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3C3" w:rsidRPr="00F743E7" w:rsidRDefault="006133C3" w:rsidP="006133C3">
      <w:pPr>
        <w:autoSpaceDE w:val="0"/>
        <w:autoSpaceDN w:val="0"/>
        <w:adjustRightInd w:val="0"/>
        <w:spacing w:after="0" w:line="240" w:lineRule="auto"/>
        <w:jc w:val="center"/>
        <w:rPr>
          <w:rFonts w:ascii="Times New Roman" w:hAnsi="Times New Roman" w:cs="Times New Roman"/>
          <w:b/>
          <w:sz w:val="24"/>
          <w:szCs w:val="24"/>
        </w:rPr>
      </w:pPr>
      <w:proofErr w:type="gramStart"/>
      <w:r w:rsidRPr="00F743E7">
        <w:rPr>
          <w:rFonts w:ascii="Times New Roman" w:hAnsi="Times New Roman" w:cs="Times New Roman"/>
          <w:b/>
          <w:sz w:val="24"/>
          <w:szCs w:val="24"/>
        </w:rPr>
        <w:t>SUPPORTING STATEMENT - OMB NO.</w:t>
      </w:r>
      <w:proofErr w:type="gramEnd"/>
      <w:r w:rsidRPr="00F743E7">
        <w:rPr>
          <w:rFonts w:ascii="Times New Roman" w:hAnsi="Times New Roman" w:cs="Times New Roman"/>
          <w:b/>
          <w:sz w:val="24"/>
          <w:szCs w:val="24"/>
        </w:rPr>
        <w:t xml:space="preserve"> 0579-0189</w:t>
      </w:r>
    </w:p>
    <w:p w:rsidR="006133C3" w:rsidRPr="00F743E7" w:rsidRDefault="006133C3" w:rsidP="006133C3">
      <w:pPr>
        <w:autoSpaceDE w:val="0"/>
        <w:autoSpaceDN w:val="0"/>
        <w:adjustRightInd w:val="0"/>
        <w:spacing w:after="0" w:line="240" w:lineRule="auto"/>
        <w:jc w:val="center"/>
        <w:rPr>
          <w:rFonts w:ascii="Times New Roman" w:hAnsi="Times New Roman" w:cs="Times New Roman"/>
          <w:b/>
          <w:sz w:val="24"/>
          <w:szCs w:val="24"/>
        </w:rPr>
      </w:pPr>
      <w:r w:rsidRPr="00F743E7">
        <w:rPr>
          <w:rFonts w:ascii="Times New Roman" w:hAnsi="Times New Roman" w:cs="Times New Roman"/>
          <w:b/>
          <w:sz w:val="24"/>
          <w:szCs w:val="24"/>
        </w:rPr>
        <w:t>CHRONIC WASTING DISEASE IN CERVIDS; PAYMENT OF INDEMNITY</w:t>
      </w:r>
    </w:p>
    <w:p w:rsidR="006133C3" w:rsidRPr="00F743E7" w:rsidRDefault="006133C3" w:rsidP="006133C3">
      <w:pPr>
        <w:autoSpaceDE w:val="0"/>
        <w:autoSpaceDN w:val="0"/>
        <w:adjustRightInd w:val="0"/>
        <w:spacing w:after="0" w:line="240" w:lineRule="auto"/>
        <w:jc w:val="center"/>
        <w:rPr>
          <w:rFonts w:ascii="Times New Roman" w:hAnsi="Times New Roman" w:cs="Times New Roman"/>
          <w:b/>
          <w:sz w:val="24"/>
          <w:szCs w:val="24"/>
        </w:rPr>
      </w:pPr>
    </w:p>
    <w:p w:rsidR="006133C3" w:rsidRPr="00F743E7" w:rsidRDefault="005233CA" w:rsidP="006133C3">
      <w:pPr>
        <w:autoSpaceDE w:val="0"/>
        <w:autoSpaceDN w:val="0"/>
        <w:adjustRightInd w:val="0"/>
        <w:spacing w:after="0" w:line="240" w:lineRule="auto"/>
        <w:jc w:val="right"/>
        <w:rPr>
          <w:rFonts w:ascii="Times New Roman" w:hAnsi="Times New Roman" w:cs="Times New Roman"/>
          <w:b/>
          <w:sz w:val="24"/>
          <w:szCs w:val="24"/>
        </w:rPr>
      </w:pPr>
      <w:r w:rsidRPr="00F743E7">
        <w:rPr>
          <w:rFonts w:ascii="Times New Roman" w:hAnsi="Times New Roman" w:cs="Times New Roman"/>
          <w:b/>
          <w:sz w:val="24"/>
          <w:szCs w:val="24"/>
        </w:rPr>
        <w:t>February 2011</w:t>
      </w:r>
    </w:p>
    <w:p w:rsidR="006133C3" w:rsidRPr="00F743E7" w:rsidRDefault="006133C3" w:rsidP="006133C3">
      <w:pPr>
        <w:autoSpaceDE w:val="0"/>
        <w:autoSpaceDN w:val="0"/>
        <w:adjustRightInd w:val="0"/>
        <w:spacing w:after="0" w:line="240" w:lineRule="auto"/>
        <w:jc w:val="right"/>
        <w:rPr>
          <w:rFonts w:ascii="Times New Roman" w:hAnsi="Times New Roman" w:cs="Times New Roman"/>
          <w:b/>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t>A. Justification</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pStyle w:val="DefaultText"/>
        <w:rPr>
          <w:rStyle w:val="InitialStyle"/>
          <w:rFonts w:ascii="Times New Roman" w:hAnsi="Times New Roman"/>
          <w:szCs w:val="24"/>
        </w:rPr>
      </w:pPr>
      <w:r w:rsidRPr="00F743E7">
        <w:rPr>
          <w:rStyle w:val="InitialStyle"/>
          <w:rFonts w:ascii="Times New Roman" w:hAnsi="Times New Roman"/>
          <w:szCs w:val="24"/>
        </w:rPr>
        <w:t>The Animal Health Protection Act (AHPA) of 2002 is the primary Federal law governing the protection of animal health. The law gives the Secretary of Agriculture broad authority to detect, control, or eradicate pests or diseases of livestock or poultry, and to pay claims arising from destruction of animals. The Secretary may also prohibit or restrict import or export of any animal or related material if necessary to prevent the spread of any livestock or poultry pest or disease.</w:t>
      </w:r>
    </w:p>
    <w:p w:rsidR="006133C3" w:rsidRPr="00F743E7" w:rsidRDefault="006133C3" w:rsidP="006133C3">
      <w:pPr>
        <w:pStyle w:val="DefaultText"/>
        <w:rPr>
          <w:rStyle w:val="InitialStyle"/>
          <w:rFonts w:ascii="Times New Roman" w:hAnsi="Times New Roman"/>
          <w:szCs w:val="24"/>
        </w:rPr>
      </w:pPr>
    </w:p>
    <w:p w:rsidR="006133C3" w:rsidRPr="00F743E7" w:rsidRDefault="006133C3" w:rsidP="006133C3">
      <w:pPr>
        <w:pStyle w:val="DefaultText"/>
        <w:rPr>
          <w:rStyle w:val="InitialStyle"/>
          <w:rFonts w:ascii="Times New Roman" w:hAnsi="Times New Roman"/>
          <w:szCs w:val="24"/>
        </w:rPr>
      </w:pPr>
      <w:r w:rsidRPr="00F743E7">
        <w:rPr>
          <w:rStyle w:val="InitialStyle"/>
          <w:rFonts w:ascii="Times New Roman" w:hAnsi="Times New Roman"/>
          <w:szCs w:val="24"/>
        </w:rPr>
        <w:t>The AHPA is contained in Title X, Subtitle E, Sections 10401-18 of P.L. 107-171,</w:t>
      </w:r>
      <w:r w:rsidR="00990B2B" w:rsidRPr="00F743E7">
        <w:rPr>
          <w:rStyle w:val="InitialStyle"/>
          <w:rFonts w:ascii="Times New Roman" w:hAnsi="Times New Roman"/>
          <w:szCs w:val="24"/>
        </w:rPr>
        <w:t xml:space="preserve"> </w:t>
      </w:r>
      <w:r w:rsidRPr="00F743E7">
        <w:rPr>
          <w:rStyle w:val="InitialStyle"/>
          <w:rFonts w:ascii="Times New Roman" w:hAnsi="Times New Roman"/>
          <w:szCs w:val="24"/>
        </w:rPr>
        <w:t>May 13, 2002, the Farm Security and Rural Investment Act of 2002.</w:t>
      </w:r>
    </w:p>
    <w:p w:rsidR="006133C3" w:rsidRPr="00F743E7" w:rsidRDefault="006133C3" w:rsidP="006133C3">
      <w:pPr>
        <w:pStyle w:val="DefaultText"/>
        <w:rPr>
          <w:rStyle w:val="InitialStyle"/>
          <w:rFonts w:ascii="Times New Roman" w:hAnsi="Times New Roman"/>
          <w:szCs w:val="24"/>
        </w:rPr>
      </w:pPr>
    </w:p>
    <w:p w:rsidR="006133C3" w:rsidRPr="00F743E7" w:rsidRDefault="006133C3" w:rsidP="006133C3">
      <w:pPr>
        <w:pStyle w:val="DefaultText"/>
        <w:rPr>
          <w:rStyle w:val="InitialStyle"/>
          <w:rFonts w:ascii="Times New Roman" w:hAnsi="Times New Roman"/>
          <w:szCs w:val="24"/>
        </w:rPr>
      </w:pPr>
      <w:r w:rsidRPr="00F743E7">
        <w:rPr>
          <w:rStyle w:val="InitialStyle"/>
          <w:rFonts w:ascii="Times New Roman" w:hAnsi="Times New Roman"/>
          <w:szCs w:val="24"/>
        </w:rPr>
        <w:t>Disease prevention is the most effective method for maintaining a healthy animal population and for enhancing the U.S. Department of Agriculture’s Animal and Plant Health Inspection Service (APHIS), Veterinary Services’ (VS) ability to allow U.S. animal producers to compete in the world market of animal and animal product trade.</w:t>
      </w:r>
    </w:p>
    <w:p w:rsidR="006133C3" w:rsidRPr="00F743E7" w:rsidRDefault="006133C3" w:rsidP="006133C3">
      <w:pPr>
        <w:pStyle w:val="DefaultText"/>
        <w:rPr>
          <w:rStyle w:val="InitialStyle"/>
          <w:rFonts w:ascii="Times New Roman" w:hAnsi="Times New Roman"/>
          <w:szCs w:val="24"/>
        </w:rPr>
      </w:pPr>
    </w:p>
    <w:p w:rsidR="006133C3" w:rsidRPr="00F743E7" w:rsidRDefault="006133C3" w:rsidP="006133C3">
      <w:pPr>
        <w:pStyle w:val="DefaultText"/>
        <w:rPr>
          <w:szCs w:val="24"/>
        </w:rPr>
      </w:pPr>
      <w:r w:rsidRPr="00F743E7">
        <w:rPr>
          <w:rStyle w:val="InitialStyle"/>
          <w:rFonts w:ascii="Times New Roman" w:hAnsi="Times New Roman"/>
          <w:szCs w:val="24"/>
        </w:rPr>
        <w:t xml:space="preserve">APHIS regulations for preventing the dissemination of animal diseases within the </w:t>
      </w:r>
      <w:r w:rsidR="00F743E7" w:rsidRPr="00F743E7">
        <w:rPr>
          <w:rStyle w:val="InitialStyle"/>
          <w:rFonts w:ascii="Times New Roman" w:hAnsi="Times New Roman"/>
          <w:szCs w:val="24"/>
        </w:rPr>
        <w:t>United States are contained in T</w:t>
      </w:r>
      <w:r w:rsidRPr="00F743E7">
        <w:rPr>
          <w:rStyle w:val="InitialStyle"/>
          <w:rFonts w:ascii="Times New Roman" w:hAnsi="Times New Roman"/>
          <w:szCs w:val="24"/>
        </w:rPr>
        <w:t xml:space="preserve">itle 9 of the </w:t>
      </w:r>
      <w:r w:rsidRPr="00F743E7">
        <w:rPr>
          <w:rStyle w:val="InitialStyle"/>
          <w:rFonts w:ascii="Times New Roman" w:hAnsi="Times New Roman"/>
          <w:i/>
          <w:szCs w:val="24"/>
        </w:rPr>
        <w:t>Code of Federal Regulations</w:t>
      </w:r>
      <w:r w:rsidRPr="00F743E7">
        <w:rPr>
          <w:rStyle w:val="InitialStyle"/>
          <w:rFonts w:ascii="Times New Roman" w:hAnsi="Times New Roman"/>
          <w:szCs w:val="24"/>
        </w:rPr>
        <w:t xml:space="preserve"> (9 CFR), Subchapter B, Cooperative Control and Eradication of Livestock or Poultry Diseases. </w:t>
      </w:r>
      <w:proofErr w:type="gramStart"/>
      <w:r w:rsidRPr="00F743E7">
        <w:rPr>
          <w:rStyle w:val="InitialStyle"/>
          <w:rFonts w:ascii="Times New Roman" w:hAnsi="Times New Roman"/>
          <w:szCs w:val="24"/>
        </w:rPr>
        <w:t>VS is</w:t>
      </w:r>
      <w:proofErr w:type="gramEnd"/>
      <w:r w:rsidRPr="00F743E7">
        <w:rPr>
          <w:rStyle w:val="InitialStyle"/>
          <w:rFonts w:ascii="Times New Roman" w:hAnsi="Times New Roman"/>
          <w:szCs w:val="24"/>
        </w:rPr>
        <w:t xml:space="preserve"> responsible for administering these </w:t>
      </w:r>
      <w:r w:rsidR="00335A0F" w:rsidRPr="00F743E7">
        <w:rPr>
          <w:rStyle w:val="InitialStyle"/>
          <w:rFonts w:ascii="Times New Roman" w:hAnsi="Times New Roman"/>
          <w:szCs w:val="24"/>
        </w:rPr>
        <w:t>r</w:t>
      </w:r>
      <w:r w:rsidRPr="00F743E7">
        <w:rPr>
          <w:rStyle w:val="InitialStyle"/>
          <w:rFonts w:ascii="Times New Roman" w:hAnsi="Times New Roman"/>
          <w:szCs w:val="24"/>
        </w:rPr>
        <w:t xml:space="preserve">egulations. The regulations at </w:t>
      </w:r>
      <w:r w:rsidR="00F743E7" w:rsidRPr="00F743E7">
        <w:rPr>
          <w:rStyle w:val="InitialStyle"/>
          <w:rFonts w:ascii="Times New Roman" w:hAnsi="Times New Roman"/>
          <w:szCs w:val="24"/>
        </w:rPr>
        <w:t>P</w:t>
      </w:r>
      <w:r w:rsidRPr="00F743E7">
        <w:rPr>
          <w:rStyle w:val="InitialStyle"/>
          <w:rFonts w:ascii="Times New Roman" w:hAnsi="Times New Roman"/>
          <w:szCs w:val="24"/>
        </w:rPr>
        <w:t xml:space="preserve">art 55 </w:t>
      </w:r>
      <w:r w:rsidRPr="00F743E7">
        <w:rPr>
          <w:szCs w:val="24"/>
        </w:rPr>
        <w:t>specifically address control programs and indemnity payments for chronic wasting disease or CWD, while regulations in Part 53 address payment of claims for other diseases.</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5233CA" w:rsidRPr="00F743E7" w:rsidRDefault="006133C3" w:rsidP="005233CA">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 xml:space="preserve">CWD is a transmissible spongiform encephalopathy of elk, deer, and moose typified by chronic weight loss leading to death. The presence of CWD in </w:t>
      </w:r>
      <w:proofErr w:type="spellStart"/>
      <w:r w:rsidRPr="00F743E7">
        <w:rPr>
          <w:rFonts w:ascii="Times New Roman" w:hAnsi="Times New Roman" w:cs="Times New Roman"/>
          <w:sz w:val="24"/>
          <w:szCs w:val="24"/>
        </w:rPr>
        <w:t>cervids</w:t>
      </w:r>
      <w:proofErr w:type="spellEnd"/>
      <w:r w:rsidRPr="00F743E7">
        <w:rPr>
          <w:rFonts w:ascii="Times New Roman" w:hAnsi="Times New Roman" w:cs="Times New Roman"/>
          <w:sz w:val="24"/>
          <w:szCs w:val="24"/>
        </w:rPr>
        <w:t xml:space="preserve"> causes significant economic and market losses to U.S. herd owners. VS pays indemnity for the voluntary depopulation of CWD-positive, exposed, or suspect animals to control this disease in the United States. Herd owners and appraisers must use 1) an Appraisal and Indemnity Claim Form (VS Form 1-23)</w:t>
      </w:r>
      <w:r w:rsidR="00F743E7" w:rsidRPr="00F743E7">
        <w:rPr>
          <w:rFonts w:ascii="Times New Roman" w:hAnsi="Times New Roman" w:cs="Times New Roman"/>
          <w:sz w:val="24"/>
          <w:szCs w:val="24"/>
        </w:rPr>
        <w:t>,</w:t>
      </w:r>
      <w:r w:rsidRPr="00F743E7">
        <w:rPr>
          <w:rFonts w:ascii="Times New Roman" w:hAnsi="Times New Roman" w:cs="Times New Roman"/>
          <w:sz w:val="24"/>
          <w:szCs w:val="24"/>
        </w:rPr>
        <w:t xml:space="preserve"> and 2) a Herd Plan Agreement to make the indemnity payments. APHIS is asking OMB to renew its approval of these information collection activi</w:t>
      </w:r>
      <w:r w:rsidR="005233CA" w:rsidRPr="00F743E7">
        <w:rPr>
          <w:rFonts w:ascii="Times New Roman" w:hAnsi="Times New Roman" w:cs="Times New Roman"/>
          <w:sz w:val="24"/>
          <w:szCs w:val="24"/>
        </w:rPr>
        <w:t>ties for an additional 3 years.</w:t>
      </w:r>
    </w:p>
    <w:p w:rsidR="005233CA" w:rsidRPr="00F743E7" w:rsidRDefault="005233CA" w:rsidP="005233CA">
      <w:pPr>
        <w:autoSpaceDE w:val="0"/>
        <w:autoSpaceDN w:val="0"/>
        <w:adjustRightInd w:val="0"/>
        <w:spacing w:after="0" w:line="240" w:lineRule="auto"/>
        <w:rPr>
          <w:rFonts w:ascii="Times New Roman" w:hAnsi="Times New Roman" w:cs="Times New Roman"/>
          <w:sz w:val="24"/>
          <w:szCs w:val="24"/>
        </w:rPr>
      </w:pPr>
    </w:p>
    <w:p w:rsidR="005233CA" w:rsidRPr="00F743E7" w:rsidRDefault="005233CA" w:rsidP="005233CA">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t>2. Indicate how, by whom, how frequently, and for what purpose the information is to be used. Except for a new collection, indicate the actual use the agency has made of the information received from the current collection.</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F743E7" w:rsidRPr="00F743E7" w:rsidRDefault="00F743E7" w:rsidP="006133C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APHIS uses the following information activities to effectively operate the indemnification program and control CWD in the United States.</w:t>
      </w:r>
    </w:p>
    <w:p w:rsidR="00F743E7" w:rsidRPr="00F743E7" w:rsidRDefault="00F743E7"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u w:val="single"/>
        </w:rPr>
      </w:pPr>
      <w:r w:rsidRPr="00F743E7">
        <w:rPr>
          <w:rFonts w:ascii="Times New Roman" w:hAnsi="Times New Roman" w:cs="Times New Roman"/>
          <w:b/>
          <w:sz w:val="24"/>
          <w:szCs w:val="24"/>
          <w:u w:val="single"/>
        </w:rPr>
        <w:lastRenderedPageBreak/>
        <w:t>All Species Appraisal &amp; Indemnity Claim Form (VS Form 1-23)</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roofErr w:type="spellStart"/>
      <w:r w:rsidRPr="00F743E7">
        <w:rPr>
          <w:rFonts w:ascii="Times New Roman" w:hAnsi="Times New Roman" w:cs="Times New Roman"/>
          <w:sz w:val="24"/>
          <w:szCs w:val="24"/>
        </w:rPr>
        <w:t>Cervid</w:t>
      </w:r>
      <w:proofErr w:type="spellEnd"/>
      <w:r w:rsidRPr="00F743E7">
        <w:rPr>
          <w:rFonts w:ascii="Times New Roman" w:hAnsi="Times New Roman" w:cs="Times New Roman"/>
          <w:sz w:val="24"/>
          <w:szCs w:val="24"/>
        </w:rPr>
        <w:t xml:space="preserve"> appraisals must be reported on the VS Form 1-23. The VS Form 1-23 is completed by either personnel from the VS Area Office or a Federal- and State-approved appraiser (usually a Federal employee) with input from the herd owner. It is signed by both the appraiser and the owner. It lists the owner's name and address, the number of animals for which the owner is seeking payment, and the appraised value of each animal. The owner's signature on this form indicates agreement with the appraised value of each animal. The owner must also certify whether the animals are subject to a mortgage. If there is a mortgage, the form must also be signed by each person holding a mortgage. By signing the form, each mortgage holder is consenting to the payment of indemnity to the owner or lien holder. The form is faxed to the regional office for approval and is kept on file in the office of the Area Veterinarian in Charge.</w:t>
      </w: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u w:val="single"/>
        </w:rPr>
      </w:pP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u w:val="single"/>
        </w:rPr>
      </w:pPr>
      <w:r w:rsidRPr="00F743E7">
        <w:rPr>
          <w:rFonts w:ascii="Times New Roman" w:hAnsi="Times New Roman" w:cs="Times New Roman"/>
          <w:b/>
          <w:sz w:val="24"/>
          <w:szCs w:val="24"/>
          <w:u w:val="single"/>
        </w:rPr>
        <w:t>Herd Plan Agreement</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As a condition of receiving indemnity, herd owners must review and sign a written agreement with APHIS stating that the farm has been effectively cleaned and disinfected. Owners also certify</w:t>
      </w:r>
      <w:r w:rsidRPr="00F743E7" w:rsidDel="00843E25">
        <w:rPr>
          <w:rFonts w:ascii="Times New Roman" w:hAnsi="Times New Roman" w:cs="Times New Roman"/>
          <w:sz w:val="24"/>
          <w:szCs w:val="24"/>
        </w:rPr>
        <w:t xml:space="preserve"> </w:t>
      </w:r>
      <w:r w:rsidRPr="00F743E7">
        <w:rPr>
          <w:rFonts w:ascii="Times New Roman" w:hAnsi="Times New Roman" w:cs="Times New Roman"/>
          <w:sz w:val="24"/>
          <w:szCs w:val="24"/>
        </w:rPr>
        <w:t xml:space="preserve">that if they continue to maintain </w:t>
      </w:r>
      <w:proofErr w:type="spellStart"/>
      <w:r w:rsidRPr="00F743E7">
        <w:rPr>
          <w:rFonts w:ascii="Times New Roman" w:hAnsi="Times New Roman" w:cs="Times New Roman"/>
          <w:sz w:val="24"/>
          <w:szCs w:val="24"/>
        </w:rPr>
        <w:t>cervids</w:t>
      </w:r>
      <w:proofErr w:type="spellEnd"/>
      <w:r w:rsidRPr="00F743E7">
        <w:rPr>
          <w:rFonts w:ascii="Times New Roman" w:hAnsi="Times New Roman" w:cs="Times New Roman"/>
          <w:sz w:val="24"/>
          <w:szCs w:val="24"/>
        </w:rPr>
        <w:t xml:space="preserve"> on their farms they will not introduce new animals until after the date specified in the herd plan. This ensures that new </w:t>
      </w:r>
      <w:proofErr w:type="spellStart"/>
      <w:r w:rsidRPr="00F743E7">
        <w:rPr>
          <w:rFonts w:ascii="Times New Roman" w:hAnsi="Times New Roman" w:cs="Times New Roman"/>
          <w:sz w:val="24"/>
          <w:szCs w:val="24"/>
        </w:rPr>
        <w:t>cervids</w:t>
      </w:r>
      <w:proofErr w:type="spellEnd"/>
      <w:r w:rsidRPr="00F743E7">
        <w:rPr>
          <w:rFonts w:ascii="Times New Roman" w:hAnsi="Times New Roman" w:cs="Times New Roman"/>
          <w:sz w:val="24"/>
          <w:szCs w:val="24"/>
        </w:rPr>
        <w:t xml:space="preserve"> brought to the farm will not be at risk of CWD exposure and infection. Officials from the State in which the herd owner resides can review and contribute to the herd plan as it is being developed by APHIS personnel. (The contributions of State personnel to the herd plans are tracked separately on the accompanying Form 71.) Once all parties have reviewed and signed the herd plan, it is sent to the APHIS Area Office.</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 xml:space="preserve">The VS Form 1-23 is not a candidate for electronic submission because it requires an original signature from both the appraiser and the herd owner to be valid. </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The Herd Plan Agreement is also not a candidate for electronic submission because it requires original signatures from the herd owner and an APHIS representative.</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t>4. Describe efforts to identify duplication. Show specifically why any similar information already available cannot be used or modified for use for the purpose described in item 2 above.</w:t>
      </w: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 xml:space="preserve">The information that APHIS collects is not available from any other source. APHIS is the only Federal Agency responsible for preventing, detecting, and controlling CWD in the United States. </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t>5. If the collection of information impacts small businesses or other small entities, describe any methods used to minimize burden.</w:t>
      </w: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p>
    <w:p w:rsidR="00F743E7" w:rsidRPr="00F743E7" w:rsidRDefault="006133C3" w:rsidP="00F743E7">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sz w:val="24"/>
          <w:szCs w:val="24"/>
        </w:rPr>
        <w:t>The information APHIS collects in connection with this program is the absolute minimum needed to effectively operate the indemnification program and control CWD in the United States. All respondents are small entities.</w:t>
      </w:r>
      <w:r w:rsidR="00F743E7" w:rsidRPr="00F743E7">
        <w:rPr>
          <w:rFonts w:ascii="Times New Roman" w:hAnsi="Times New Roman" w:cs="Times New Roman"/>
          <w:b/>
          <w:sz w:val="24"/>
          <w:szCs w:val="24"/>
        </w:rPr>
        <w:br w:type="page"/>
      </w: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lastRenderedPageBreak/>
        <w:t>6. Describe the consequence to Federal program or policy activities if the collection is not conducted or is conducted less frequently, as well as any technical or legal obstacles to reducing burden.</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 xml:space="preserve">Failure to collect this information, or collecting it less frequently, would cripple APHIS’ ability to effectively sustain its CWD control program. Further, CWD in </w:t>
      </w:r>
      <w:proofErr w:type="spellStart"/>
      <w:r w:rsidRPr="00F743E7">
        <w:rPr>
          <w:rFonts w:ascii="Times New Roman" w:hAnsi="Times New Roman" w:cs="Times New Roman"/>
          <w:sz w:val="24"/>
          <w:szCs w:val="24"/>
        </w:rPr>
        <w:t>cervids</w:t>
      </w:r>
      <w:proofErr w:type="spellEnd"/>
      <w:r w:rsidRPr="00F743E7">
        <w:rPr>
          <w:rFonts w:ascii="Times New Roman" w:hAnsi="Times New Roman" w:cs="Times New Roman"/>
          <w:sz w:val="24"/>
          <w:szCs w:val="24"/>
        </w:rPr>
        <w:t xml:space="preserve"> causes significant economic and market losses to U.S. producers, which would increase if CWD spread through U.S. captive </w:t>
      </w:r>
      <w:proofErr w:type="spellStart"/>
      <w:r w:rsidRPr="00F743E7">
        <w:rPr>
          <w:rFonts w:ascii="Times New Roman" w:hAnsi="Times New Roman" w:cs="Times New Roman"/>
          <w:sz w:val="24"/>
          <w:szCs w:val="24"/>
        </w:rPr>
        <w:t>cervid</w:t>
      </w:r>
      <w:proofErr w:type="spellEnd"/>
      <w:r w:rsidRPr="00F743E7">
        <w:rPr>
          <w:rFonts w:ascii="Times New Roman" w:hAnsi="Times New Roman" w:cs="Times New Roman"/>
          <w:sz w:val="24"/>
          <w:szCs w:val="24"/>
        </w:rPr>
        <w:t xml:space="preserve"> herds. </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9A29E3" w:rsidRPr="00F743E7" w:rsidRDefault="009A29E3" w:rsidP="009A29E3">
      <w:pPr>
        <w:pStyle w:val="DefaultText"/>
        <w:rPr>
          <w:szCs w:val="24"/>
        </w:rPr>
      </w:pPr>
      <w:r w:rsidRPr="00F743E7">
        <w:rPr>
          <w:b/>
          <w:szCs w:val="24"/>
        </w:rPr>
        <w:t>7. Explain any special circumstances that require the collection to be conducted in a manner inconsistent with the general information collection guidelines in 5 CFR 1320.5</w:t>
      </w:r>
      <w:r w:rsidR="00F743E7">
        <w:rPr>
          <w:b/>
          <w:szCs w:val="24"/>
        </w:rPr>
        <w:t>:</w:t>
      </w:r>
    </w:p>
    <w:p w:rsidR="009A29E3" w:rsidRPr="00F743E7" w:rsidRDefault="009A29E3" w:rsidP="009A29E3">
      <w:pPr>
        <w:pStyle w:val="DefaultText"/>
        <w:rPr>
          <w:szCs w:val="24"/>
        </w:rPr>
      </w:pPr>
    </w:p>
    <w:p w:rsidR="009A29E3" w:rsidRPr="00F743E7" w:rsidRDefault="009A29E3" w:rsidP="009A29E3">
      <w:pPr>
        <w:numPr>
          <w:ilvl w:val="0"/>
          <w:numId w:val="1"/>
        </w:numPr>
        <w:tabs>
          <w:tab w:val="clear" w:pos="360"/>
        </w:tabs>
        <w:spacing w:after="80" w:line="240" w:lineRule="auto"/>
        <w:ind w:left="810" w:hanging="450"/>
        <w:rPr>
          <w:rFonts w:ascii="Times New Roman" w:hAnsi="Times New Roman" w:cs="Times New Roman"/>
          <w:b/>
          <w:sz w:val="24"/>
          <w:szCs w:val="24"/>
        </w:rPr>
      </w:pPr>
      <w:r w:rsidRPr="00F743E7">
        <w:rPr>
          <w:rFonts w:ascii="Times New Roman" w:hAnsi="Times New Roman" w:cs="Times New Roman"/>
          <w:b/>
          <w:sz w:val="24"/>
          <w:szCs w:val="24"/>
        </w:rPr>
        <w:t>requiring respondents to report informa</w:t>
      </w:r>
      <w:r w:rsidRPr="00F743E7">
        <w:rPr>
          <w:rFonts w:ascii="Times New Roman" w:hAnsi="Times New Roman" w:cs="Times New Roman"/>
          <w:b/>
          <w:sz w:val="24"/>
          <w:szCs w:val="24"/>
        </w:rPr>
        <w:softHyphen/>
        <w:t>tion to the agency more often than quarterly;</w:t>
      </w:r>
    </w:p>
    <w:p w:rsidR="009A29E3" w:rsidRPr="00F743E7" w:rsidRDefault="009A29E3" w:rsidP="009A29E3">
      <w:pPr>
        <w:pStyle w:val="DefaultText1"/>
        <w:rPr>
          <w:szCs w:val="24"/>
        </w:rPr>
      </w:pPr>
    </w:p>
    <w:p w:rsidR="009A29E3" w:rsidRPr="00F743E7" w:rsidRDefault="009A29E3" w:rsidP="009A29E3">
      <w:pPr>
        <w:numPr>
          <w:ilvl w:val="0"/>
          <w:numId w:val="1"/>
        </w:numPr>
        <w:tabs>
          <w:tab w:val="clear" w:pos="360"/>
        </w:tabs>
        <w:spacing w:after="0" w:line="240" w:lineRule="auto"/>
        <w:ind w:left="810" w:hanging="450"/>
        <w:rPr>
          <w:rFonts w:ascii="Times New Roman" w:hAnsi="Times New Roman" w:cs="Times New Roman"/>
          <w:b/>
          <w:sz w:val="24"/>
          <w:szCs w:val="24"/>
        </w:rPr>
      </w:pPr>
      <w:r w:rsidRPr="00F743E7">
        <w:rPr>
          <w:rFonts w:ascii="Times New Roman" w:hAnsi="Times New Roman" w:cs="Times New Roman"/>
          <w:b/>
          <w:sz w:val="24"/>
          <w:szCs w:val="24"/>
        </w:rPr>
        <w:t>requiring respondents to prepare a writ</w:t>
      </w:r>
      <w:r w:rsidRPr="00F743E7">
        <w:rPr>
          <w:rFonts w:ascii="Times New Roman" w:hAnsi="Times New Roman" w:cs="Times New Roman"/>
          <w:b/>
          <w:sz w:val="24"/>
          <w:szCs w:val="24"/>
        </w:rPr>
        <w:softHyphen/>
        <w:t>ten response to a collection of infor</w:t>
      </w:r>
      <w:r w:rsidRPr="00F743E7">
        <w:rPr>
          <w:rFonts w:ascii="Times New Roman" w:hAnsi="Times New Roman" w:cs="Times New Roman"/>
          <w:b/>
          <w:sz w:val="24"/>
          <w:szCs w:val="24"/>
        </w:rPr>
        <w:softHyphen/>
        <w:t>ma</w:t>
      </w:r>
      <w:r w:rsidRPr="00F743E7">
        <w:rPr>
          <w:rFonts w:ascii="Times New Roman" w:hAnsi="Times New Roman" w:cs="Times New Roman"/>
          <w:b/>
          <w:sz w:val="24"/>
          <w:szCs w:val="24"/>
        </w:rPr>
        <w:softHyphen/>
        <w:t>tion in fewer than 30 days after receipt of it;</w:t>
      </w:r>
    </w:p>
    <w:p w:rsidR="009A29E3" w:rsidRPr="00F743E7" w:rsidRDefault="009A29E3" w:rsidP="009A29E3">
      <w:pPr>
        <w:spacing w:after="0" w:line="240" w:lineRule="auto"/>
        <w:rPr>
          <w:rFonts w:ascii="Times New Roman" w:hAnsi="Times New Roman" w:cs="Times New Roman"/>
          <w:b/>
          <w:sz w:val="24"/>
          <w:szCs w:val="24"/>
        </w:rPr>
      </w:pPr>
    </w:p>
    <w:p w:rsidR="009A29E3" w:rsidRPr="00F743E7" w:rsidRDefault="009A29E3" w:rsidP="009A29E3">
      <w:pPr>
        <w:numPr>
          <w:ilvl w:val="0"/>
          <w:numId w:val="2"/>
        </w:numPr>
        <w:tabs>
          <w:tab w:val="clear" w:pos="360"/>
        </w:tabs>
        <w:spacing w:after="0" w:line="240" w:lineRule="auto"/>
        <w:ind w:left="810" w:hanging="450"/>
        <w:rPr>
          <w:rFonts w:ascii="Times New Roman" w:hAnsi="Times New Roman" w:cs="Times New Roman"/>
          <w:b/>
          <w:sz w:val="24"/>
          <w:szCs w:val="24"/>
        </w:rPr>
      </w:pPr>
      <w:r w:rsidRPr="00F743E7">
        <w:rPr>
          <w:rFonts w:ascii="Times New Roman" w:hAnsi="Times New Roman" w:cs="Times New Roman"/>
          <w:b/>
          <w:sz w:val="24"/>
          <w:szCs w:val="24"/>
        </w:rPr>
        <w:t>requiring respondents to submit more than an original and two copies of any docu</w:t>
      </w:r>
      <w:r w:rsidRPr="00F743E7">
        <w:rPr>
          <w:rFonts w:ascii="Times New Roman" w:hAnsi="Times New Roman" w:cs="Times New Roman"/>
          <w:b/>
          <w:sz w:val="24"/>
          <w:szCs w:val="24"/>
        </w:rPr>
        <w:softHyphen/>
        <w:t>ment;</w:t>
      </w:r>
    </w:p>
    <w:p w:rsidR="009A29E3" w:rsidRPr="00F743E7" w:rsidRDefault="009A29E3" w:rsidP="009A29E3">
      <w:pPr>
        <w:spacing w:after="0" w:line="240" w:lineRule="auto"/>
        <w:ind w:left="810"/>
        <w:rPr>
          <w:rFonts w:ascii="Times New Roman" w:hAnsi="Times New Roman" w:cs="Times New Roman"/>
          <w:b/>
          <w:sz w:val="24"/>
          <w:szCs w:val="24"/>
        </w:rPr>
      </w:pPr>
    </w:p>
    <w:p w:rsidR="009A29E3" w:rsidRPr="00F743E7" w:rsidRDefault="009A29E3" w:rsidP="009A29E3">
      <w:pPr>
        <w:numPr>
          <w:ilvl w:val="0"/>
          <w:numId w:val="3"/>
        </w:numPr>
        <w:tabs>
          <w:tab w:val="clear" w:pos="360"/>
        </w:tabs>
        <w:spacing w:after="0" w:line="240" w:lineRule="auto"/>
        <w:ind w:left="810" w:hanging="450"/>
        <w:rPr>
          <w:rFonts w:ascii="Times New Roman" w:hAnsi="Times New Roman" w:cs="Times New Roman"/>
          <w:b/>
          <w:sz w:val="24"/>
          <w:szCs w:val="24"/>
        </w:rPr>
      </w:pPr>
      <w:r w:rsidRPr="00F743E7">
        <w:rPr>
          <w:rFonts w:ascii="Times New Roman" w:hAnsi="Times New Roman" w:cs="Times New Roman"/>
          <w:b/>
          <w:sz w:val="24"/>
          <w:szCs w:val="24"/>
        </w:rPr>
        <w:t>requiring respondents to retain re</w:t>
      </w:r>
      <w:r w:rsidRPr="00F743E7">
        <w:rPr>
          <w:rFonts w:ascii="Times New Roman" w:hAnsi="Times New Roman" w:cs="Times New Roman"/>
          <w:b/>
          <w:sz w:val="24"/>
          <w:szCs w:val="24"/>
        </w:rPr>
        <w:softHyphen/>
        <w:t>cords, other than health, medical, governm</w:t>
      </w:r>
      <w:r w:rsidRPr="00F743E7">
        <w:rPr>
          <w:rFonts w:ascii="Times New Roman" w:hAnsi="Times New Roman" w:cs="Times New Roman"/>
          <w:b/>
          <w:sz w:val="24"/>
          <w:szCs w:val="24"/>
        </w:rPr>
        <w:softHyphen/>
        <w:t>ent contract, grant-in-aid, or tax records for more than three years;</w:t>
      </w:r>
    </w:p>
    <w:p w:rsidR="009A29E3" w:rsidRPr="00F743E7" w:rsidRDefault="009A29E3" w:rsidP="009A29E3">
      <w:pPr>
        <w:spacing w:after="0" w:line="240" w:lineRule="auto"/>
        <w:ind w:left="810"/>
        <w:rPr>
          <w:rFonts w:ascii="Times New Roman" w:hAnsi="Times New Roman" w:cs="Times New Roman"/>
          <w:b/>
          <w:sz w:val="24"/>
          <w:szCs w:val="24"/>
        </w:rPr>
      </w:pPr>
    </w:p>
    <w:p w:rsidR="009A29E3" w:rsidRPr="00F743E7" w:rsidRDefault="009A29E3" w:rsidP="009A29E3">
      <w:pPr>
        <w:numPr>
          <w:ilvl w:val="0"/>
          <w:numId w:val="4"/>
        </w:numPr>
        <w:tabs>
          <w:tab w:val="clear" w:pos="360"/>
        </w:tabs>
        <w:spacing w:after="0" w:line="240" w:lineRule="auto"/>
        <w:ind w:left="810" w:hanging="450"/>
        <w:rPr>
          <w:rFonts w:ascii="Times New Roman" w:hAnsi="Times New Roman" w:cs="Times New Roman"/>
          <w:b/>
          <w:sz w:val="24"/>
          <w:szCs w:val="24"/>
        </w:rPr>
      </w:pPr>
      <w:r w:rsidRPr="00F743E7">
        <w:rPr>
          <w:rFonts w:ascii="Times New Roman" w:hAnsi="Times New Roman" w:cs="Times New Roman"/>
          <w:b/>
          <w:sz w:val="24"/>
          <w:szCs w:val="24"/>
        </w:rPr>
        <w:t>in connection with a statisti</w:t>
      </w:r>
      <w:r w:rsidRPr="00F743E7">
        <w:rPr>
          <w:rFonts w:ascii="Times New Roman" w:hAnsi="Times New Roman" w:cs="Times New Roman"/>
          <w:b/>
          <w:sz w:val="24"/>
          <w:szCs w:val="24"/>
        </w:rPr>
        <w:softHyphen/>
        <w:t>cal sur</w:t>
      </w:r>
      <w:r w:rsidRPr="00F743E7">
        <w:rPr>
          <w:rFonts w:ascii="Times New Roman" w:hAnsi="Times New Roman" w:cs="Times New Roman"/>
          <w:b/>
          <w:sz w:val="24"/>
          <w:szCs w:val="24"/>
        </w:rPr>
        <w:softHyphen/>
        <w:t>vey, that is not de</w:t>
      </w:r>
      <w:r w:rsidRPr="00F743E7">
        <w:rPr>
          <w:rFonts w:ascii="Times New Roman" w:hAnsi="Times New Roman" w:cs="Times New Roman"/>
          <w:b/>
          <w:sz w:val="24"/>
          <w:szCs w:val="24"/>
        </w:rPr>
        <w:softHyphen/>
        <w:t>signed to produce valid and reli</w:t>
      </w:r>
      <w:r w:rsidRPr="00F743E7">
        <w:rPr>
          <w:rFonts w:ascii="Times New Roman" w:hAnsi="Times New Roman" w:cs="Times New Roman"/>
          <w:b/>
          <w:sz w:val="24"/>
          <w:szCs w:val="24"/>
        </w:rPr>
        <w:softHyphen/>
        <w:t>able results that can be general</w:t>
      </w:r>
      <w:r w:rsidRPr="00F743E7">
        <w:rPr>
          <w:rFonts w:ascii="Times New Roman" w:hAnsi="Times New Roman" w:cs="Times New Roman"/>
          <w:b/>
          <w:sz w:val="24"/>
          <w:szCs w:val="24"/>
        </w:rPr>
        <w:softHyphen/>
        <w:t>ized to the uni</w:t>
      </w:r>
      <w:r w:rsidRPr="00F743E7">
        <w:rPr>
          <w:rFonts w:ascii="Times New Roman" w:hAnsi="Times New Roman" w:cs="Times New Roman"/>
          <w:b/>
          <w:sz w:val="24"/>
          <w:szCs w:val="24"/>
        </w:rPr>
        <w:softHyphen/>
        <w:t>verse of study;</w:t>
      </w:r>
    </w:p>
    <w:p w:rsidR="009A29E3" w:rsidRPr="00F743E7" w:rsidRDefault="009A29E3" w:rsidP="009A29E3">
      <w:pPr>
        <w:spacing w:after="0" w:line="240" w:lineRule="auto"/>
        <w:ind w:left="810"/>
        <w:rPr>
          <w:rFonts w:ascii="Times New Roman" w:hAnsi="Times New Roman" w:cs="Times New Roman"/>
          <w:b/>
          <w:sz w:val="24"/>
          <w:szCs w:val="24"/>
        </w:rPr>
      </w:pPr>
    </w:p>
    <w:p w:rsidR="009A29E3" w:rsidRPr="00F743E7" w:rsidRDefault="009A29E3" w:rsidP="009A29E3">
      <w:pPr>
        <w:numPr>
          <w:ilvl w:val="0"/>
          <w:numId w:val="5"/>
        </w:numPr>
        <w:tabs>
          <w:tab w:val="clear" w:pos="360"/>
        </w:tabs>
        <w:spacing w:after="0" w:line="240" w:lineRule="auto"/>
        <w:ind w:left="810" w:hanging="450"/>
        <w:rPr>
          <w:rFonts w:ascii="Times New Roman" w:hAnsi="Times New Roman" w:cs="Times New Roman"/>
          <w:b/>
          <w:sz w:val="24"/>
          <w:szCs w:val="24"/>
        </w:rPr>
      </w:pPr>
      <w:r w:rsidRPr="00F743E7">
        <w:rPr>
          <w:rFonts w:ascii="Times New Roman" w:hAnsi="Times New Roman" w:cs="Times New Roman"/>
          <w:b/>
          <w:sz w:val="24"/>
          <w:szCs w:val="24"/>
        </w:rPr>
        <w:t>requiring the use of a statis</w:t>
      </w:r>
      <w:r w:rsidRPr="00F743E7">
        <w:rPr>
          <w:rFonts w:ascii="Times New Roman" w:hAnsi="Times New Roman" w:cs="Times New Roman"/>
          <w:b/>
          <w:sz w:val="24"/>
          <w:szCs w:val="24"/>
        </w:rPr>
        <w:softHyphen/>
        <w:t>tical data classi</w:t>
      </w:r>
      <w:r w:rsidRPr="00F743E7">
        <w:rPr>
          <w:rFonts w:ascii="Times New Roman" w:hAnsi="Times New Roman" w:cs="Times New Roman"/>
          <w:b/>
          <w:sz w:val="24"/>
          <w:szCs w:val="24"/>
        </w:rPr>
        <w:softHyphen/>
        <w:t>fication that has not been re</w:t>
      </w:r>
      <w:r w:rsidRPr="00F743E7">
        <w:rPr>
          <w:rFonts w:ascii="Times New Roman" w:hAnsi="Times New Roman" w:cs="Times New Roman"/>
          <w:b/>
          <w:sz w:val="24"/>
          <w:szCs w:val="24"/>
        </w:rPr>
        <w:softHyphen/>
        <w:t>vie</w:t>
      </w:r>
      <w:r w:rsidRPr="00F743E7">
        <w:rPr>
          <w:rFonts w:ascii="Times New Roman" w:hAnsi="Times New Roman" w:cs="Times New Roman"/>
          <w:b/>
          <w:sz w:val="24"/>
          <w:szCs w:val="24"/>
        </w:rPr>
        <w:softHyphen/>
        <w:t>wed and approved by OMB;</w:t>
      </w:r>
    </w:p>
    <w:p w:rsidR="009A29E3" w:rsidRPr="00F743E7" w:rsidRDefault="009A29E3" w:rsidP="009A29E3">
      <w:pPr>
        <w:spacing w:after="0" w:line="240" w:lineRule="auto"/>
        <w:ind w:left="810"/>
        <w:rPr>
          <w:rFonts w:ascii="Times New Roman" w:hAnsi="Times New Roman" w:cs="Times New Roman"/>
          <w:b/>
          <w:sz w:val="24"/>
          <w:szCs w:val="24"/>
        </w:rPr>
      </w:pPr>
    </w:p>
    <w:p w:rsidR="009A29E3" w:rsidRPr="00F743E7" w:rsidRDefault="009A29E3" w:rsidP="009A29E3">
      <w:pPr>
        <w:numPr>
          <w:ilvl w:val="0"/>
          <w:numId w:val="6"/>
        </w:numPr>
        <w:tabs>
          <w:tab w:val="clear" w:pos="360"/>
        </w:tabs>
        <w:spacing w:after="0" w:line="240" w:lineRule="auto"/>
        <w:ind w:left="810" w:hanging="450"/>
        <w:rPr>
          <w:rFonts w:ascii="Times New Roman" w:hAnsi="Times New Roman" w:cs="Times New Roman"/>
          <w:b/>
          <w:sz w:val="24"/>
          <w:szCs w:val="24"/>
        </w:rPr>
      </w:pPr>
      <w:r w:rsidRPr="00F743E7">
        <w:rPr>
          <w:rFonts w:ascii="Times New Roman" w:hAnsi="Times New Roman" w:cs="Times New Roman"/>
          <w:b/>
          <w:sz w:val="24"/>
          <w:szCs w:val="24"/>
        </w:rPr>
        <w:t>that includes a pledge of confiden</w:t>
      </w:r>
      <w:r w:rsidRPr="00F743E7">
        <w:rPr>
          <w:rFonts w:ascii="Times New Roman" w:hAnsi="Times New Roman" w:cs="Times New Roman"/>
          <w:b/>
          <w:sz w:val="24"/>
          <w:szCs w:val="24"/>
        </w:rPr>
        <w:softHyphen/>
        <w:t>tiali</w:t>
      </w:r>
      <w:r w:rsidRPr="00F743E7">
        <w:rPr>
          <w:rFonts w:ascii="Times New Roman" w:hAnsi="Times New Roman" w:cs="Times New Roman"/>
          <w:b/>
          <w:sz w:val="24"/>
          <w:szCs w:val="24"/>
        </w:rPr>
        <w:softHyphen/>
        <w:t>ty that is not supported by au</w:t>
      </w:r>
      <w:r w:rsidRPr="00F743E7">
        <w:rPr>
          <w:rFonts w:ascii="Times New Roman" w:hAnsi="Times New Roman" w:cs="Times New Roman"/>
          <w:b/>
          <w:sz w:val="24"/>
          <w:szCs w:val="24"/>
        </w:rPr>
        <w:softHyphen/>
        <w:t>thority estab</w:t>
      </w:r>
      <w:r w:rsidRPr="00F743E7">
        <w:rPr>
          <w:rFonts w:ascii="Times New Roman" w:hAnsi="Times New Roman" w:cs="Times New Roman"/>
          <w:b/>
          <w:sz w:val="24"/>
          <w:szCs w:val="24"/>
        </w:rPr>
        <w:softHyphen/>
        <w:t>lished in statute or regu</w:t>
      </w:r>
      <w:r w:rsidRPr="00F743E7">
        <w:rPr>
          <w:rFonts w:ascii="Times New Roman" w:hAnsi="Times New Roman" w:cs="Times New Roman"/>
          <w:b/>
          <w:sz w:val="24"/>
          <w:szCs w:val="24"/>
        </w:rPr>
        <w:softHyphen/>
        <w:t>la</w:t>
      </w:r>
      <w:r w:rsidRPr="00F743E7">
        <w:rPr>
          <w:rFonts w:ascii="Times New Roman" w:hAnsi="Times New Roman" w:cs="Times New Roman"/>
          <w:b/>
          <w:sz w:val="24"/>
          <w:szCs w:val="24"/>
        </w:rPr>
        <w:softHyphen/>
        <w:t>tion, that is not sup</w:t>
      </w:r>
      <w:r w:rsidRPr="00F743E7">
        <w:rPr>
          <w:rFonts w:ascii="Times New Roman" w:hAnsi="Times New Roman" w:cs="Times New Roman"/>
          <w:b/>
          <w:sz w:val="24"/>
          <w:szCs w:val="24"/>
        </w:rPr>
        <w:softHyphen/>
        <w:t>ported by dis</w:t>
      </w:r>
      <w:r w:rsidRPr="00F743E7">
        <w:rPr>
          <w:rFonts w:ascii="Times New Roman" w:hAnsi="Times New Roman" w:cs="Times New Roman"/>
          <w:b/>
          <w:sz w:val="24"/>
          <w:szCs w:val="24"/>
        </w:rPr>
        <w:softHyphen/>
        <w:t>closure and data security policies that are consistent with the pledge, or which unneces</w:t>
      </w:r>
      <w:r w:rsidRPr="00F743E7">
        <w:rPr>
          <w:rFonts w:ascii="Times New Roman" w:hAnsi="Times New Roman" w:cs="Times New Roman"/>
          <w:b/>
          <w:sz w:val="24"/>
          <w:szCs w:val="24"/>
        </w:rPr>
        <w:softHyphen/>
        <w:t>sarily impedes shar</w:t>
      </w:r>
      <w:r w:rsidRPr="00F743E7">
        <w:rPr>
          <w:rFonts w:ascii="Times New Roman" w:hAnsi="Times New Roman" w:cs="Times New Roman"/>
          <w:b/>
          <w:sz w:val="24"/>
          <w:szCs w:val="24"/>
        </w:rPr>
        <w:softHyphen/>
        <w:t>ing of data with other agencies for com</w:t>
      </w:r>
      <w:r w:rsidRPr="00F743E7">
        <w:rPr>
          <w:rFonts w:ascii="Times New Roman" w:hAnsi="Times New Roman" w:cs="Times New Roman"/>
          <w:b/>
          <w:sz w:val="24"/>
          <w:szCs w:val="24"/>
        </w:rPr>
        <w:softHyphen/>
        <w:t>patible confiden</w:t>
      </w:r>
      <w:r w:rsidRPr="00F743E7">
        <w:rPr>
          <w:rFonts w:ascii="Times New Roman" w:hAnsi="Times New Roman" w:cs="Times New Roman"/>
          <w:b/>
          <w:sz w:val="24"/>
          <w:szCs w:val="24"/>
        </w:rPr>
        <w:softHyphen/>
        <w:t>tial use; or</w:t>
      </w:r>
    </w:p>
    <w:p w:rsidR="009A29E3" w:rsidRPr="00F743E7" w:rsidRDefault="009A29E3" w:rsidP="009A29E3">
      <w:pPr>
        <w:spacing w:after="0" w:line="240" w:lineRule="auto"/>
        <w:ind w:left="810"/>
        <w:rPr>
          <w:rFonts w:ascii="Times New Roman" w:hAnsi="Times New Roman" w:cs="Times New Roman"/>
          <w:sz w:val="24"/>
          <w:szCs w:val="24"/>
        </w:rPr>
      </w:pPr>
    </w:p>
    <w:p w:rsidR="009A29E3" w:rsidRPr="00F743E7" w:rsidRDefault="009A29E3" w:rsidP="009A29E3">
      <w:pPr>
        <w:numPr>
          <w:ilvl w:val="0"/>
          <w:numId w:val="7"/>
        </w:numPr>
        <w:tabs>
          <w:tab w:val="clear" w:pos="360"/>
          <w:tab w:val="num" w:pos="288"/>
        </w:tabs>
        <w:spacing w:after="0" w:line="240" w:lineRule="auto"/>
        <w:ind w:left="810" w:hanging="450"/>
        <w:rPr>
          <w:rFonts w:ascii="Times New Roman" w:hAnsi="Times New Roman" w:cs="Times New Roman"/>
          <w:sz w:val="24"/>
          <w:szCs w:val="24"/>
        </w:rPr>
      </w:pPr>
      <w:r w:rsidRPr="00F743E7">
        <w:rPr>
          <w:rFonts w:ascii="Times New Roman" w:hAnsi="Times New Roman" w:cs="Times New Roman"/>
          <w:b/>
          <w:sz w:val="24"/>
          <w:szCs w:val="24"/>
        </w:rPr>
        <w:t>requiring respondents to submit propri</w:t>
      </w:r>
      <w:r w:rsidRPr="00F743E7">
        <w:rPr>
          <w:rFonts w:ascii="Times New Roman" w:hAnsi="Times New Roman" w:cs="Times New Roman"/>
          <w:b/>
          <w:sz w:val="24"/>
          <w:szCs w:val="24"/>
        </w:rPr>
        <w:softHyphen/>
        <w:t>etary trade secret, or other confidential information unless the agency can demon</w:t>
      </w:r>
      <w:r w:rsidRPr="00F743E7">
        <w:rPr>
          <w:rFonts w:ascii="Times New Roman" w:hAnsi="Times New Roman" w:cs="Times New Roman"/>
          <w:b/>
          <w:sz w:val="24"/>
          <w:szCs w:val="24"/>
        </w:rPr>
        <w:softHyphen/>
        <w:t>strate that it has instituted procedures to protect the information's confidentiality to the extent permit</w:t>
      </w:r>
      <w:r w:rsidRPr="00F743E7">
        <w:rPr>
          <w:rFonts w:ascii="Times New Roman" w:hAnsi="Times New Roman" w:cs="Times New Roman"/>
          <w:b/>
          <w:sz w:val="24"/>
          <w:szCs w:val="24"/>
        </w:rPr>
        <w:softHyphen/>
        <w:t>ted by law.</w:t>
      </w:r>
    </w:p>
    <w:p w:rsidR="009A29E3" w:rsidRPr="00F743E7" w:rsidRDefault="009A29E3" w:rsidP="009A29E3">
      <w:pPr>
        <w:pStyle w:val="DefaultText"/>
        <w:rPr>
          <w:szCs w:val="24"/>
        </w:rPr>
      </w:pPr>
    </w:p>
    <w:p w:rsidR="009A29E3" w:rsidRPr="00F743E7" w:rsidRDefault="009A29E3" w:rsidP="009A29E3">
      <w:pPr>
        <w:pStyle w:val="DefaultText"/>
        <w:rPr>
          <w:szCs w:val="24"/>
        </w:rPr>
      </w:pPr>
      <w:r w:rsidRPr="00F743E7">
        <w:rPr>
          <w:szCs w:val="24"/>
        </w:rPr>
        <w:t xml:space="preserve">The information collection is conducted in a manner consistent with the guidelines established in </w:t>
      </w:r>
    </w:p>
    <w:p w:rsidR="009A29E3" w:rsidRPr="00F743E7" w:rsidRDefault="009A29E3" w:rsidP="009A29E3">
      <w:pPr>
        <w:pStyle w:val="DefaultText"/>
        <w:rPr>
          <w:szCs w:val="24"/>
        </w:rPr>
      </w:pPr>
      <w:proofErr w:type="gramStart"/>
      <w:r w:rsidRPr="00F743E7">
        <w:rPr>
          <w:szCs w:val="24"/>
        </w:rPr>
        <w:t>5 CFR 1320.5.</w:t>
      </w:r>
      <w:proofErr w:type="gramEnd"/>
    </w:p>
    <w:p w:rsidR="009A29E3" w:rsidRPr="00F743E7" w:rsidRDefault="009A29E3" w:rsidP="009A29E3">
      <w:pPr>
        <w:pStyle w:val="DefaultText"/>
        <w:rPr>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F743E7" w:rsidRDefault="00F743E7">
      <w:pPr>
        <w:rPr>
          <w:rFonts w:ascii="Times New Roman" w:hAnsi="Times New Roman" w:cs="Times New Roman"/>
          <w:b/>
          <w:sz w:val="24"/>
          <w:szCs w:val="24"/>
        </w:rPr>
      </w:pPr>
      <w:r>
        <w:rPr>
          <w:rFonts w:ascii="Times New Roman" w:hAnsi="Times New Roman" w:cs="Times New Roman"/>
          <w:b/>
          <w:sz w:val="24"/>
          <w:szCs w:val="24"/>
        </w:rPr>
        <w:br w:type="page"/>
      </w: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lastRenderedPageBreak/>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In 2010, APHIS engaged in productive consultations with the following individuals concerning the information collection activities associated with this program:</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9A29E3" w:rsidRPr="00F743E7" w:rsidRDefault="009A29E3" w:rsidP="009A29E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 xml:space="preserve">Gary Edwards </w:t>
      </w:r>
    </w:p>
    <w:p w:rsidR="009A29E3" w:rsidRPr="00F743E7" w:rsidRDefault="009A29E3" w:rsidP="009A29E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Owner</w:t>
      </w:r>
    </w:p>
    <w:p w:rsidR="009A29E3" w:rsidRPr="00F743E7" w:rsidRDefault="009A29E3" w:rsidP="009A29E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 xml:space="preserve">Thunder Bay Whitetails </w:t>
      </w:r>
    </w:p>
    <w:p w:rsidR="009A29E3" w:rsidRPr="00F743E7" w:rsidRDefault="009A29E3" w:rsidP="009A29E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United Deer Farmers of Michigan Board Member and</w:t>
      </w:r>
    </w:p>
    <w:p w:rsidR="009A29E3" w:rsidRPr="00F743E7" w:rsidRDefault="009A29E3" w:rsidP="009A29E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Ethics Committee Chair</w:t>
      </w:r>
    </w:p>
    <w:p w:rsidR="009A29E3" w:rsidRPr="00F743E7" w:rsidRDefault="009A29E3" w:rsidP="009A29E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 xml:space="preserve">Hillman, MI 49746 </w:t>
      </w:r>
    </w:p>
    <w:p w:rsidR="009A29E3" w:rsidRPr="00F743E7" w:rsidRDefault="009A29E3" w:rsidP="009A29E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thunderbaydeer@yahoo.com</w:t>
      </w:r>
    </w:p>
    <w:p w:rsidR="009A29E3" w:rsidRDefault="00EC1A1A" w:rsidP="009A29E3">
      <w:pPr>
        <w:autoSpaceDE w:val="0"/>
        <w:autoSpaceDN w:val="0"/>
        <w:adjustRightInd w:val="0"/>
        <w:spacing w:after="0" w:line="240" w:lineRule="auto"/>
        <w:rPr>
          <w:rFonts w:ascii="Times New Roman" w:hAnsi="Times New Roman" w:cs="Times New Roman"/>
          <w:sz w:val="24"/>
          <w:szCs w:val="24"/>
        </w:rPr>
      </w:pPr>
      <w:hyperlink r:id="rId6" w:history="1">
        <w:r w:rsidR="00F743E7" w:rsidRPr="00A733AF">
          <w:rPr>
            <w:rStyle w:val="Hyperlink"/>
            <w:rFonts w:ascii="Times New Roman" w:hAnsi="Times New Roman" w:cs="Times New Roman"/>
            <w:sz w:val="24"/>
            <w:szCs w:val="24"/>
          </w:rPr>
          <w:t>www.udfom.com</w:t>
        </w:r>
      </w:hyperlink>
      <w:r w:rsidR="009A29E3" w:rsidRPr="00F743E7">
        <w:rPr>
          <w:rFonts w:ascii="Times New Roman" w:hAnsi="Times New Roman" w:cs="Times New Roman"/>
          <w:sz w:val="24"/>
          <w:szCs w:val="24"/>
        </w:rPr>
        <w:t xml:space="preserve"> </w:t>
      </w:r>
    </w:p>
    <w:p w:rsidR="00F743E7" w:rsidRPr="00F743E7" w:rsidRDefault="00F743E7" w:rsidP="009A29E3">
      <w:pPr>
        <w:autoSpaceDE w:val="0"/>
        <w:autoSpaceDN w:val="0"/>
        <w:adjustRightInd w:val="0"/>
        <w:spacing w:after="0" w:line="240" w:lineRule="auto"/>
        <w:rPr>
          <w:rFonts w:ascii="Times New Roman" w:hAnsi="Times New Roman" w:cs="Times New Roman"/>
          <w:sz w:val="24"/>
          <w:szCs w:val="24"/>
        </w:rPr>
      </w:pPr>
    </w:p>
    <w:p w:rsidR="009A29E3" w:rsidRPr="00F743E7" w:rsidRDefault="006133C3" w:rsidP="006133C3">
      <w:pPr>
        <w:autoSpaceDE w:val="0"/>
        <w:autoSpaceDN w:val="0"/>
        <w:adjustRightInd w:val="0"/>
        <w:spacing w:after="0" w:line="240" w:lineRule="auto"/>
        <w:rPr>
          <w:rFonts w:ascii="Times New Roman" w:hAnsi="Times New Roman" w:cs="Times New Roman"/>
          <w:color w:val="000000"/>
          <w:sz w:val="24"/>
          <w:szCs w:val="24"/>
        </w:rPr>
      </w:pPr>
      <w:r w:rsidRPr="00F743E7">
        <w:rPr>
          <w:rFonts w:ascii="Times New Roman" w:hAnsi="Times New Roman" w:cs="Times New Roman"/>
          <w:color w:val="000000"/>
          <w:sz w:val="24"/>
          <w:szCs w:val="24"/>
        </w:rPr>
        <w:t xml:space="preserve">Nancy A. Frank, DVM, MPH, </w:t>
      </w:r>
      <w:proofErr w:type="spellStart"/>
      <w:r w:rsidRPr="00F743E7">
        <w:rPr>
          <w:rFonts w:ascii="Times New Roman" w:hAnsi="Times New Roman" w:cs="Times New Roman"/>
          <w:color w:val="000000"/>
          <w:sz w:val="24"/>
          <w:szCs w:val="24"/>
        </w:rPr>
        <w:t>Diplomate</w:t>
      </w:r>
      <w:proofErr w:type="spellEnd"/>
      <w:r w:rsidRPr="00F743E7">
        <w:rPr>
          <w:rFonts w:ascii="Times New Roman" w:hAnsi="Times New Roman" w:cs="Times New Roman"/>
          <w:color w:val="000000"/>
          <w:sz w:val="24"/>
          <w:szCs w:val="24"/>
        </w:rPr>
        <w:t xml:space="preserve"> ACVPM</w:t>
      </w:r>
      <w:r w:rsidR="009A29E3" w:rsidRPr="00F743E7">
        <w:rPr>
          <w:rFonts w:ascii="Times New Roman" w:hAnsi="Times New Roman" w:cs="Times New Roman"/>
          <w:color w:val="000000"/>
          <w:sz w:val="24"/>
          <w:szCs w:val="24"/>
        </w:rPr>
        <w:t xml:space="preserve">, </w:t>
      </w:r>
    </w:p>
    <w:p w:rsidR="009A29E3" w:rsidRPr="00F743E7" w:rsidRDefault="006133C3" w:rsidP="006133C3">
      <w:pPr>
        <w:autoSpaceDE w:val="0"/>
        <w:autoSpaceDN w:val="0"/>
        <w:adjustRightInd w:val="0"/>
        <w:spacing w:after="0" w:line="240" w:lineRule="auto"/>
        <w:rPr>
          <w:rFonts w:ascii="Times New Roman" w:hAnsi="Times New Roman" w:cs="Times New Roman"/>
          <w:color w:val="000000"/>
          <w:sz w:val="24"/>
          <w:szCs w:val="24"/>
        </w:rPr>
      </w:pPr>
      <w:r w:rsidRPr="00F743E7">
        <w:rPr>
          <w:rFonts w:ascii="Times New Roman" w:hAnsi="Times New Roman" w:cs="Times New Roman"/>
          <w:color w:val="000000"/>
          <w:sz w:val="24"/>
          <w:szCs w:val="24"/>
        </w:rPr>
        <w:t>Assistant State Veterinarian</w:t>
      </w:r>
      <w:r w:rsidRPr="00F743E7">
        <w:rPr>
          <w:rFonts w:ascii="Times New Roman" w:hAnsi="Times New Roman" w:cs="Times New Roman"/>
          <w:color w:val="000000"/>
          <w:sz w:val="24"/>
          <w:szCs w:val="24"/>
        </w:rPr>
        <w:br/>
        <w:t>Deputy Division Director</w:t>
      </w:r>
      <w:r w:rsidR="009A29E3" w:rsidRPr="00F743E7">
        <w:rPr>
          <w:rFonts w:ascii="Times New Roman" w:hAnsi="Times New Roman" w:cs="Times New Roman"/>
          <w:color w:val="000000"/>
          <w:sz w:val="24"/>
          <w:szCs w:val="24"/>
        </w:rPr>
        <w:t xml:space="preserve">, </w:t>
      </w:r>
    </w:p>
    <w:p w:rsidR="006133C3" w:rsidRDefault="006133C3" w:rsidP="006133C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color w:val="000000"/>
          <w:sz w:val="24"/>
          <w:szCs w:val="24"/>
        </w:rPr>
        <w:t>Michigan Department of Agriculture</w:t>
      </w:r>
      <w:r w:rsidRPr="00F743E7">
        <w:rPr>
          <w:rFonts w:ascii="Times New Roman" w:hAnsi="Times New Roman" w:cs="Times New Roman"/>
          <w:color w:val="000000"/>
          <w:sz w:val="24"/>
          <w:szCs w:val="24"/>
        </w:rPr>
        <w:br/>
        <w:t>Animal Industry Division</w:t>
      </w:r>
      <w:r w:rsidRPr="00F743E7">
        <w:rPr>
          <w:rFonts w:ascii="Times New Roman" w:hAnsi="Times New Roman" w:cs="Times New Roman"/>
          <w:color w:val="000000"/>
          <w:sz w:val="24"/>
          <w:szCs w:val="24"/>
        </w:rPr>
        <w:br/>
        <w:t>P.O. Box 30017</w:t>
      </w:r>
      <w:r w:rsidRPr="00F743E7">
        <w:rPr>
          <w:rFonts w:ascii="Times New Roman" w:hAnsi="Times New Roman" w:cs="Times New Roman"/>
          <w:color w:val="000000"/>
          <w:sz w:val="24"/>
          <w:szCs w:val="24"/>
        </w:rPr>
        <w:br/>
        <w:t>Lansing, MI 48909</w:t>
      </w:r>
      <w:r w:rsidRPr="00F743E7">
        <w:rPr>
          <w:rFonts w:ascii="Times New Roman" w:hAnsi="Times New Roman" w:cs="Times New Roman"/>
          <w:color w:val="000000"/>
          <w:sz w:val="24"/>
          <w:szCs w:val="24"/>
        </w:rPr>
        <w:br/>
        <w:t>517-373-6764</w:t>
      </w:r>
      <w:r w:rsidRPr="00F743E7">
        <w:rPr>
          <w:rFonts w:ascii="Times New Roman" w:hAnsi="Times New Roman" w:cs="Times New Roman"/>
          <w:color w:val="000000"/>
          <w:sz w:val="24"/>
          <w:szCs w:val="24"/>
        </w:rPr>
        <w:br/>
        <w:t>Fax 517-373-6015</w:t>
      </w:r>
      <w:r w:rsidRPr="00F743E7">
        <w:rPr>
          <w:rFonts w:ascii="Times New Roman" w:hAnsi="Times New Roman" w:cs="Times New Roman"/>
          <w:color w:val="000000"/>
          <w:sz w:val="24"/>
          <w:szCs w:val="24"/>
        </w:rPr>
        <w:br/>
      </w:r>
      <w:hyperlink r:id="rId7" w:history="1">
        <w:r w:rsidR="00F743E7" w:rsidRPr="00A733AF">
          <w:rPr>
            <w:rStyle w:val="Hyperlink"/>
            <w:rFonts w:ascii="Times New Roman" w:hAnsi="Times New Roman" w:cs="Times New Roman"/>
            <w:sz w:val="24"/>
            <w:szCs w:val="24"/>
          </w:rPr>
          <w:t>frankn@michigan.gov</w:t>
        </w:r>
      </w:hyperlink>
    </w:p>
    <w:p w:rsidR="006133C3" w:rsidRDefault="00EC1A1A" w:rsidP="006133C3">
      <w:pPr>
        <w:autoSpaceDE w:val="0"/>
        <w:autoSpaceDN w:val="0"/>
        <w:adjustRightInd w:val="0"/>
        <w:spacing w:after="0" w:line="240" w:lineRule="auto"/>
        <w:rPr>
          <w:rFonts w:ascii="Times New Roman" w:hAnsi="Times New Roman" w:cs="Times New Roman"/>
          <w:sz w:val="24"/>
          <w:szCs w:val="24"/>
        </w:rPr>
      </w:pPr>
      <w:hyperlink r:id="rId8" w:history="1">
        <w:r w:rsidR="00F743E7" w:rsidRPr="00A733AF">
          <w:rPr>
            <w:rStyle w:val="Hyperlink"/>
            <w:rFonts w:ascii="Times New Roman" w:hAnsi="Times New Roman" w:cs="Times New Roman"/>
            <w:sz w:val="24"/>
            <w:szCs w:val="24"/>
          </w:rPr>
          <w:t>www.michigan.gov/mda</w:t>
        </w:r>
      </w:hyperlink>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eastAsia="Calibri" w:hAnsi="Times New Roman" w:cs="Times New Roman"/>
          <w:sz w:val="24"/>
          <w:szCs w:val="24"/>
        </w:rPr>
      </w:pPr>
      <w:r w:rsidRPr="00F743E7">
        <w:rPr>
          <w:rFonts w:ascii="Times New Roman" w:eastAsia="Calibri" w:hAnsi="Times New Roman" w:cs="Times New Roman"/>
          <w:sz w:val="24"/>
          <w:szCs w:val="24"/>
        </w:rPr>
        <w:t>Shawn Schafer</w:t>
      </w:r>
    </w:p>
    <w:p w:rsidR="006133C3" w:rsidRPr="00F743E7" w:rsidRDefault="006133C3" w:rsidP="006133C3">
      <w:pPr>
        <w:autoSpaceDE w:val="0"/>
        <w:autoSpaceDN w:val="0"/>
        <w:adjustRightInd w:val="0"/>
        <w:spacing w:after="0" w:line="240" w:lineRule="auto"/>
        <w:rPr>
          <w:rFonts w:ascii="Times New Roman" w:eastAsia="Calibri" w:hAnsi="Times New Roman" w:cs="Times New Roman"/>
          <w:sz w:val="24"/>
          <w:szCs w:val="24"/>
        </w:rPr>
      </w:pPr>
      <w:r w:rsidRPr="00F743E7">
        <w:rPr>
          <w:rFonts w:ascii="Times New Roman" w:eastAsia="Calibri" w:hAnsi="Times New Roman" w:cs="Times New Roman"/>
          <w:sz w:val="24"/>
          <w:szCs w:val="24"/>
        </w:rPr>
        <w:t>Executive Director</w:t>
      </w:r>
    </w:p>
    <w:p w:rsidR="006133C3" w:rsidRPr="00F743E7" w:rsidRDefault="006133C3" w:rsidP="006133C3">
      <w:pPr>
        <w:autoSpaceDE w:val="0"/>
        <w:autoSpaceDN w:val="0"/>
        <w:adjustRightInd w:val="0"/>
        <w:spacing w:after="0" w:line="240" w:lineRule="auto"/>
        <w:rPr>
          <w:rFonts w:ascii="Times New Roman" w:eastAsia="Calibri" w:hAnsi="Times New Roman" w:cs="Times New Roman"/>
          <w:sz w:val="24"/>
          <w:szCs w:val="24"/>
        </w:rPr>
      </w:pPr>
      <w:r w:rsidRPr="00F743E7">
        <w:rPr>
          <w:rFonts w:ascii="Times New Roman" w:eastAsia="Calibri" w:hAnsi="Times New Roman" w:cs="Times New Roman"/>
          <w:sz w:val="24"/>
          <w:szCs w:val="24"/>
        </w:rPr>
        <w:t xml:space="preserve">North American Deer Farmers Association </w:t>
      </w:r>
    </w:p>
    <w:p w:rsidR="006133C3" w:rsidRPr="00F743E7" w:rsidRDefault="006133C3" w:rsidP="006133C3">
      <w:pPr>
        <w:autoSpaceDE w:val="0"/>
        <w:autoSpaceDN w:val="0"/>
        <w:adjustRightInd w:val="0"/>
        <w:spacing w:after="0" w:line="240" w:lineRule="auto"/>
        <w:rPr>
          <w:rFonts w:ascii="Times New Roman" w:eastAsia="Calibri" w:hAnsi="Times New Roman" w:cs="Times New Roman"/>
          <w:sz w:val="24"/>
          <w:szCs w:val="24"/>
        </w:rPr>
      </w:pPr>
      <w:r w:rsidRPr="00F743E7">
        <w:rPr>
          <w:rFonts w:ascii="Times New Roman" w:eastAsia="Calibri" w:hAnsi="Times New Roman" w:cs="Times New Roman"/>
          <w:sz w:val="24"/>
          <w:szCs w:val="24"/>
        </w:rPr>
        <w:t>104 Lakeshore Dr.</w:t>
      </w:r>
    </w:p>
    <w:p w:rsidR="006133C3" w:rsidRPr="00F743E7" w:rsidRDefault="006133C3" w:rsidP="006133C3">
      <w:pPr>
        <w:autoSpaceDE w:val="0"/>
        <w:autoSpaceDN w:val="0"/>
        <w:adjustRightInd w:val="0"/>
        <w:spacing w:after="0" w:line="240" w:lineRule="auto"/>
        <w:rPr>
          <w:rFonts w:ascii="Times New Roman" w:eastAsia="Calibri" w:hAnsi="Times New Roman" w:cs="Times New Roman"/>
          <w:sz w:val="24"/>
          <w:szCs w:val="24"/>
        </w:rPr>
      </w:pPr>
      <w:r w:rsidRPr="00F743E7">
        <w:rPr>
          <w:rFonts w:ascii="Times New Roman" w:eastAsia="Calibri" w:hAnsi="Times New Roman" w:cs="Times New Roman"/>
          <w:sz w:val="24"/>
          <w:szCs w:val="24"/>
        </w:rPr>
        <w:t>Lake City, MN 55041</w:t>
      </w:r>
    </w:p>
    <w:p w:rsidR="006133C3" w:rsidRPr="00F743E7" w:rsidRDefault="006133C3" w:rsidP="006133C3">
      <w:pPr>
        <w:autoSpaceDE w:val="0"/>
        <w:autoSpaceDN w:val="0"/>
        <w:adjustRightInd w:val="0"/>
        <w:spacing w:after="0" w:line="240" w:lineRule="auto"/>
        <w:rPr>
          <w:rFonts w:ascii="Times New Roman" w:eastAsia="Calibri" w:hAnsi="Times New Roman" w:cs="Times New Roman"/>
          <w:sz w:val="24"/>
          <w:szCs w:val="24"/>
        </w:rPr>
      </w:pPr>
      <w:r w:rsidRPr="00F743E7">
        <w:rPr>
          <w:rFonts w:ascii="Times New Roman" w:eastAsia="Calibri" w:hAnsi="Times New Roman" w:cs="Times New Roman"/>
          <w:sz w:val="24"/>
          <w:szCs w:val="24"/>
        </w:rPr>
        <w:t>651-345-5600</w:t>
      </w:r>
    </w:p>
    <w:p w:rsidR="006133C3" w:rsidRPr="00F743E7" w:rsidRDefault="00EC1A1A" w:rsidP="006133C3">
      <w:pPr>
        <w:autoSpaceDE w:val="0"/>
        <w:autoSpaceDN w:val="0"/>
        <w:adjustRightInd w:val="0"/>
        <w:spacing w:after="0" w:line="240" w:lineRule="auto"/>
        <w:rPr>
          <w:rFonts w:ascii="Times New Roman" w:eastAsia="Calibri" w:hAnsi="Times New Roman" w:cs="Times New Roman"/>
          <w:sz w:val="24"/>
          <w:szCs w:val="24"/>
        </w:rPr>
      </w:pPr>
      <w:hyperlink r:id="rId9" w:history="1">
        <w:r w:rsidR="00F743E7" w:rsidRPr="00A733AF">
          <w:rPr>
            <w:rStyle w:val="Hyperlink"/>
            <w:rFonts w:ascii="Times New Roman" w:hAnsi="Times New Roman" w:cs="Times New Roman"/>
            <w:sz w:val="24"/>
            <w:szCs w:val="24"/>
          </w:rPr>
          <w:t>schafer@nadefa.org</w:t>
        </w:r>
      </w:hyperlink>
      <w:r w:rsidR="00F743E7">
        <w:rPr>
          <w:rFonts w:ascii="Times New Roman" w:hAnsi="Times New Roman" w:cs="Times New Roman"/>
          <w:sz w:val="24"/>
          <w:szCs w:val="24"/>
        </w:rPr>
        <w:t xml:space="preserve"> </w:t>
      </w:r>
    </w:p>
    <w:p w:rsidR="006133C3" w:rsidRPr="00F743E7" w:rsidRDefault="00EC1A1A" w:rsidP="006133C3">
      <w:pPr>
        <w:autoSpaceDE w:val="0"/>
        <w:autoSpaceDN w:val="0"/>
        <w:adjustRightInd w:val="0"/>
        <w:spacing w:after="0" w:line="240" w:lineRule="auto"/>
        <w:rPr>
          <w:rFonts w:ascii="Times New Roman" w:eastAsia="Calibri" w:hAnsi="Times New Roman" w:cs="Times New Roman"/>
          <w:sz w:val="24"/>
          <w:szCs w:val="24"/>
        </w:rPr>
      </w:pPr>
      <w:hyperlink r:id="rId10" w:history="1">
        <w:r w:rsidR="00F743E7" w:rsidRPr="00A733AF">
          <w:rPr>
            <w:rStyle w:val="Hyperlink"/>
            <w:rFonts w:ascii="Times New Roman" w:hAnsi="Times New Roman" w:cs="Times New Roman"/>
            <w:sz w:val="24"/>
            <w:szCs w:val="24"/>
          </w:rPr>
          <w:t>www.nadefa.com</w:t>
        </w:r>
      </w:hyperlink>
      <w:r w:rsidR="00F743E7">
        <w:rPr>
          <w:rFonts w:ascii="Times New Roman" w:eastAsia="Calibri" w:hAnsi="Times New Roman" w:cs="Times New Roman"/>
          <w:sz w:val="24"/>
          <w:szCs w:val="24"/>
        </w:rPr>
        <w:t xml:space="preserve"> </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9A29E3" w:rsidRPr="00F743E7" w:rsidRDefault="009A29E3" w:rsidP="009A29E3">
      <w:pPr>
        <w:rPr>
          <w:rFonts w:ascii="Times New Roman" w:hAnsi="Times New Roman" w:cs="Times New Roman"/>
          <w:b/>
          <w:sz w:val="24"/>
          <w:szCs w:val="24"/>
        </w:rPr>
      </w:pPr>
      <w:r w:rsidRPr="00F743E7">
        <w:rPr>
          <w:rStyle w:val="InitialStyle"/>
          <w:rFonts w:ascii="Times New Roman" w:hAnsi="Times New Roman" w:cs="Times New Roman"/>
          <w:szCs w:val="24"/>
        </w:rPr>
        <w:t>On Thursday, April 21, 2011, page 2</w:t>
      </w:r>
      <w:r w:rsidRPr="00F743E7">
        <w:rPr>
          <w:rFonts w:ascii="Times New Roman" w:hAnsi="Times New Roman" w:cs="Times New Roman"/>
          <w:bCs/>
          <w:sz w:val="24"/>
          <w:szCs w:val="24"/>
        </w:rPr>
        <w:t>2360</w:t>
      </w:r>
      <w:r w:rsidRPr="00F743E7">
        <w:rPr>
          <w:rStyle w:val="InitialStyle"/>
          <w:rFonts w:ascii="Times New Roman" w:hAnsi="Times New Roman" w:cs="Times New Roman"/>
          <w:szCs w:val="24"/>
        </w:rPr>
        <w:t xml:space="preserve">, </w:t>
      </w:r>
      <w:r w:rsidRPr="00F743E7">
        <w:rPr>
          <w:rFonts w:ascii="Times New Roman" w:hAnsi="Times New Roman" w:cs="Times New Roman"/>
          <w:sz w:val="24"/>
          <w:szCs w:val="24"/>
        </w:rPr>
        <w:t xml:space="preserve">APHIS published in the Federal Register, a 60-day notice seeking public comments on its plans to request a </w:t>
      </w:r>
      <w:r w:rsidRPr="00F743E7">
        <w:rPr>
          <w:rFonts w:ascii="Times New Roman" w:hAnsi="Times New Roman" w:cs="Times New Roman"/>
          <w:b/>
          <w:sz w:val="24"/>
          <w:szCs w:val="24"/>
        </w:rPr>
        <w:t xml:space="preserve">3-year renewal </w:t>
      </w:r>
      <w:r w:rsidRPr="00F743E7">
        <w:rPr>
          <w:rFonts w:ascii="Times New Roman" w:hAnsi="Times New Roman" w:cs="Times New Roman"/>
          <w:sz w:val="24"/>
          <w:szCs w:val="24"/>
        </w:rPr>
        <w:t xml:space="preserve">of this collection of information. During this time, </w:t>
      </w:r>
      <w:r w:rsidR="00F743E7">
        <w:rPr>
          <w:rFonts w:ascii="Times New Roman" w:hAnsi="Times New Roman" w:cs="Times New Roman"/>
          <w:sz w:val="24"/>
          <w:szCs w:val="24"/>
        </w:rPr>
        <w:t>one</w:t>
      </w:r>
      <w:r w:rsidRPr="00F743E7">
        <w:rPr>
          <w:rFonts w:ascii="Times New Roman" w:hAnsi="Times New Roman" w:cs="Times New Roman"/>
          <w:sz w:val="24"/>
          <w:szCs w:val="24"/>
        </w:rPr>
        <w:t xml:space="preserve"> comment was received by an interested party, but was not relevant to the information collection. </w:t>
      </w:r>
    </w:p>
    <w:p w:rsidR="009A29E3" w:rsidRPr="00F743E7" w:rsidRDefault="009A29E3" w:rsidP="009A29E3">
      <w:pPr>
        <w:pStyle w:val="300"/>
        <w:rPr>
          <w:sz w:val="24"/>
          <w:szCs w:val="24"/>
        </w:rPr>
      </w:pPr>
      <w:r w:rsidRPr="00F743E7">
        <w:rPr>
          <w:sz w:val="24"/>
          <w:szCs w:val="24"/>
        </w:rPr>
        <w:t xml:space="preserve">The comment was received from Jean Public about her perception of the general maltreatment of </w:t>
      </w:r>
      <w:r w:rsidR="00877C33" w:rsidRPr="00F743E7">
        <w:rPr>
          <w:sz w:val="24"/>
          <w:szCs w:val="24"/>
        </w:rPr>
        <w:t xml:space="preserve">animals and the </w:t>
      </w:r>
      <w:r w:rsidR="00F743E7">
        <w:rPr>
          <w:sz w:val="24"/>
          <w:szCs w:val="24"/>
        </w:rPr>
        <w:t>G</w:t>
      </w:r>
      <w:r w:rsidR="00877C33" w:rsidRPr="00F743E7">
        <w:rPr>
          <w:sz w:val="24"/>
          <w:szCs w:val="24"/>
        </w:rPr>
        <w:t xml:space="preserve">overnment’s handling of </w:t>
      </w:r>
      <w:proofErr w:type="spellStart"/>
      <w:r w:rsidR="00877C33" w:rsidRPr="00F743E7">
        <w:rPr>
          <w:sz w:val="24"/>
          <w:szCs w:val="24"/>
        </w:rPr>
        <w:t>C</w:t>
      </w:r>
      <w:r w:rsidR="00F743E7">
        <w:rPr>
          <w:sz w:val="24"/>
          <w:szCs w:val="24"/>
        </w:rPr>
        <w:t>ervids</w:t>
      </w:r>
      <w:proofErr w:type="spellEnd"/>
      <w:r w:rsidR="00877C33" w:rsidRPr="00F743E7">
        <w:rPr>
          <w:sz w:val="24"/>
          <w:szCs w:val="24"/>
        </w:rPr>
        <w:t xml:space="preserve"> facilities</w:t>
      </w:r>
      <w:r w:rsidRPr="00F743E7">
        <w:rPr>
          <w:sz w:val="24"/>
          <w:szCs w:val="24"/>
        </w:rPr>
        <w:t xml:space="preserve">. It had no relevance to the purpose of the collection.  </w:t>
      </w: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lastRenderedPageBreak/>
        <w:t>9. Explain any decision to provide any payment or gift to respondents, other than</w:t>
      </w: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proofErr w:type="spellStart"/>
      <w:proofErr w:type="gramStart"/>
      <w:r w:rsidRPr="00F743E7">
        <w:rPr>
          <w:rFonts w:ascii="Times New Roman" w:hAnsi="Times New Roman" w:cs="Times New Roman"/>
          <w:b/>
          <w:sz w:val="24"/>
          <w:szCs w:val="24"/>
        </w:rPr>
        <w:t>reenumeration</w:t>
      </w:r>
      <w:proofErr w:type="spellEnd"/>
      <w:proofErr w:type="gramEnd"/>
      <w:r w:rsidRPr="00F743E7">
        <w:rPr>
          <w:rFonts w:ascii="Times New Roman" w:hAnsi="Times New Roman" w:cs="Times New Roman"/>
          <w:b/>
          <w:sz w:val="24"/>
          <w:szCs w:val="24"/>
        </w:rPr>
        <w:t xml:space="preserve"> of contractors or grantees.</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This information collection activity involves no payments or gifts to respondents.</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t>10. Describe any assurance of confidentiality provided to respondents and the basis for the assurance in statute, regulation, or agency policy.</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B12CA8" w:rsidRPr="00B12CA8" w:rsidRDefault="00B12CA8" w:rsidP="009F0729">
      <w:pPr>
        <w:spacing w:after="0" w:line="240" w:lineRule="auto"/>
        <w:rPr>
          <w:rFonts w:ascii="Times New Roman" w:hAnsi="Times New Roman" w:cs="Times New Roman"/>
          <w:color w:val="000000"/>
          <w:sz w:val="24"/>
          <w:szCs w:val="24"/>
        </w:rPr>
      </w:pPr>
      <w:r w:rsidRPr="00B12CA8">
        <w:rPr>
          <w:rFonts w:ascii="Times New Roman" w:hAnsi="Times New Roman" w:cs="Times New Roman"/>
          <w:color w:val="000000"/>
          <w:sz w:val="24"/>
          <w:szCs w:val="24"/>
        </w:rPr>
        <w:t>No additional assurance of confidentiality is provided with this information collection. Any and all information obtained in this collection shall not be disclosed except in accordance with 5 U.S.C.552a.</w:t>
      </w:r>
    </w:p>
    <w:p w:rsidR="006133C3" w:rsidRDefault="006133C3" w:rsidP="009F0729">
      <w:pPr>
        <w:autoSpaceDE w:val="0"/>
        <w:autoSpaceDN w:val="0"/>
        <w:adjustRightInd w:val="0"/>
        <w:spacing w:after="0" w:line="240" w:lineRule="auto"/>
        <w:rPr>
          <w:rFonts w:ascii="Times New Roman" w:hAnsi="Times New Roman" w:cs="Times New Roman"/>
          <w:sz w:val="24"/>
          <w:szCs w:val="24"/>
        </w:rPr>
      </w:pPr>
    </w:p>
    <w:p w:rsidR="009F0729" w:rsidRPr="00F743E7" w:rsidRDefault="009F0729" w:rsidP="009F0729">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This information collection activity will ask no questions of a personal or sensitive nature.</w:t>
      </w:r>
    </w:p>
    <w:p w:rsidR="00F743E7" w:rsidRDefault="00F743E7" w:rsidP="006133C3">
      <w:pPr>
        <w:autoSpaceDE w:val="0"/>
        <w:autoSpaceDN w:val="0"/>
        <w:adjustRightInd w:val="0"/>
        <w:spacing w:after="0" w:line="240" w:lineRule="auto"/>
        <w:rPr>
          <w:rFonts w:ascii="Times New Roman" w:hAnsi="Times New Roman" w:cs="Times New Roman"/>
          <w:b/>
          <w:sz w:val="24"/>
          <w:szCs w:val="24"/>
        </w:rPr>
      </w:pPr>
    </w:p>
    <w:p w:rsidR="00F743E7" w:rsidRDefault="00F743E7" w:rsidP="006133C3">
      <w:pPr>
        <w:autoSpaceDE w:val="0"/>
        <w:autoSpaceDN w:val="0"/>
        <w:adjustRightInd w:val="0"/>
        <w:spacing w:after="0" w:line="240" w:lineRule="auto"/>
        <w:rPr>
          <w:rFonts w:ascii="Times New Roman" w:hAnsi="Times New Roman" w:cs="Times New Roman"/>
          <w:b/>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t>12. Provide estimates of the hour burden of the collection of information. Indicate the number of respondents, frequency of response, annual hour burden, and an explanation of how the burden was estimated.</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877C3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bCs/>
          <w:sz w:val="24"/>
          <w:szCs w:val="24"/>
        </w:rPr>
        <w:t>•</w:t>
      </w:r>
      <w:r w:rsidR="006133C3" w:rsidRPr="00F743E7">
        <w:rPr>
          <w:rFonts w:ascii="Times New Roman" w:hAnsi="Times New Roman" w:cs="Times New Roman"/>
          <w:b/>
          <w:color w:val="000000"/>
          <w:sz w:val="24"/>
          <w:szCs w:val="24"/>
        </w:rPr>
        <w:t xml:space="preserve"> </w:t>
      </w:r>
      <w:r w:rsidR="006133C3" w:rsidRPr="00F743E7">
        <w:rPr>
          <w:rFonts w:ascii="Times New Roman" w:hAnsi="Times New Roman" w:cs="Times New Roman"/>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 xml:space="preserve">See APHIS Form 71. Burden estimates were developed from discussions with participating elk and deer herd owners, State animal health authorities who assist APHIS with the indemnity program, Federal- and State-approved appraisers, and VS field personnel who routinely engage in </w:t>
      </w:r>
      <w:proofErr w:type="spellStart"/>
      <w:r w:rsidRPr="00F743E7">
        <w:rPr>
          <w:rFonts w:ascii="Times New Roman" w:hAnsi="Times New Roman" w:cs="Times New Roman"/>
          <w:sz w:val="24"/>
          <w:szCs w:val="24"/>
        </w:rPr>
        <w:t>cervid</w:t>
      </w:r>
      <w:proofErr w:type="spellEnd"/>
      <w:r w:rsidRPr="00F743E7">
        <w:rPr>
          <w:rFonts w:ascii="Times New Roman" w:hAnsi="Times New Roman" w:cs="Times New Roman"/>
          <w:sz w:val="24"/>
          <w:szCs w:val="24"/>
        </w:rPr>
        <w:t xml:space="preserve"> indemnification activities.</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877C33" w:rsidP="00877C33">
      <w:pPr>
        <w:rPr>
          <w:rFonts w:ascii="Times New Roman" w:hAnsi="Times New Roman" w:cs="Times New Roman"/>
          <w:b/>
          <w:bCs/>
          <w:sz w:val="24"/>
          <w:szCs w:val="24"/>
        </w:rPr>
      </w:pPr>
      <w:r w:rsidRPr="00F743E7">
        <w:rPr>
          <w:rFonts w:ascii="Times New Roman" w:hAnsi="Times New Roman" w:cs="Times New Roman"/>
          <w:b/>
          <w:bCs/>
          <w:sz w:val="24"/>
          <w:szCs w:val="24"/>
        </w:rPr>
        <w:t>•Provide estimates of annualized cost to respondents for the hour burdens for collections of information, identifying and using appropriate wage rate categories.</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 xml:space="preserve">APHIS estimates the total annualized cost to the above respondents to be </w:t>
      </w:r>
      <w:r w:rsidRPr="00F743E7">
        <w:rPr>
          <w:rFonts w:ascii="Times New Roman" w:eastAsia="Times New Roman" w:hAnsi="Times New Roman" w:cs="Times New Roman"/>
          <w:sz w:val="24"/>
          <w:szCs w:val="24"/>
        </w:rPr>
        <w:t>$1,866.82. APHIS</w:t>
      </w:r>
      <w:r w:rsidRPr="00F743E7">
        <w:rPr>
          <w:rFonts w:ascii="Times New Roman" w:hAnsi="Times New Roman" w:cs="Times New Roman"/>
          <w:sz w:val="24"/>
          <w:szCs w:val="24"/>
        </w:rPr>
        <w:t xml:space="preserve"> arrived at this figure by multiplying the</w:t>
      </w:r>
      <w:r w:rsidR="00F743E7">
        <w:rPr>
          <w:rFonts w:ascii="Times New Roman" w:hAnsi="Times New Roman" w:cs="Times New Roman"/>
          <w:sz w:val="24"/>
          <w:szCs w:val="24"/>
        </w:rPr>
        <w:t xml:space="preserve"> total burden</w:t>
      </w:r>
      <w:r w:rsidRPr="00F743E7">
        <w:rPr>
          <w:rFonts w:ascii="Times New Roman" w:hAnsi="Times New Roman" w:cs="Times New Roman"/>
          <w:sz w:val="24"/>
          <w:szCs w:val="24"/>
        </w:rPr>
        <w:t xml:space="preserve"> hours (62) by the estimated average hourly wage of the above respondents ($21.02 for herd owners, $39.20 for State animal health officials, or an average of $30.11). </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iCs/>
          <w:sz w:val="24"/>
          <w:szCs w:val="24"/>
        </w:rPr>
      </w:pPr>
      <w:r w:rsidRPr="00F743E7">
        <w:rPr>
          <w:rFonts w:ascii="Times New Roman" w:hAnsi="Times New Roman" w:cs="Times New Roman"/>
          <w:sz w:val="24"/>
          <w:szCs w:val="24"/>
        </w:rPr>
        <w:t>Estimated hourly wages for the respondents were determined from the U.S. Department of Labor; Bureau of Labor Statistics May 2010 Report-National Compensation Survey: Occupational Wages in the United States, May 2009. (See http://www.bls.gov/oes/#tables.)</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877C33" w:rsidRPr="00F743E7" w:rsidRDefault="00877C3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lastRenderedPageBreak/>
        <w:t xml:space="preserve">13. Provide estimates of the total annual cost burden to respondents or </w:t>
      </w:r>
      <w:proofErr w:type="spellStart"/>
      <w:r w:rsidRPr="00F743E7">
        <w:rPr>
          <w:rFonts w:ascii="Times New Roman" w:hAnsi="Times New Roman" w:cs="Times New Roman"/>
          <w:b/>
          <w:sz w:val="24"/>
          <w:szCs w:val="24"/>
        </w:rPr>
        <w:t>recordkeepers</w:t>
      </w:r>
      <w:proofErr w:type="spellEnd"/>
      <w:r w:rsidRPr="00F743E7">
        <w:rPr>
          <w:rFonts w:ascii="Times New Roman" w:hAnsi="Times New Roman" w:cs="Times New Roman"/>
          <w:b/>
          <w:sz w:val="24"/>
          <w:szCs w:val="24"/>
        </w:rPr>
        <w:t xml:space="preserve"> resulting from the collection of information (do not include the cost of any hour burden shown in items 12 and 14). The cost estimates should be split into two components: (a) a total capital and </w:t>
      </w:r>
      <w:r w:rsidRPr="00F743E7">
        <w:rPr>
          <w:rFonts w:ascii="Times New Roman" w:eastAsia="HiddenHorzOCR" w:hAnsi="Times New Roman" w:cs="Times New Roman"/>
          <w:b/>
          <w:sz w:val="24"/>
          <w:szCs w:val="24"/>
        </w:rPr>
        <w:t xml:space="preserve">start~ up </w:t>
      </w:r>
      <w:r w:rsidRPr="00F743E7">
        <w:rPr>
          <w:rFonts w:ascii="Times New Roman" w:hAnsi="Times New Roman" w:cs="Times New Roman"/>
          <w:b/>
          <w:sz w:val="24"/>
          <w:szCs w:val="24"/>
        </w:rPr>
        <w:t>cost component annualized over its expected useful life; and (b) a total operation and maintenance and purchase of services component.</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pStyle w:val="DefaultText"/>
        <w:rPr>
          <w:rStyle w:val="InitialStyle"/>
          <w:rFonts w:ascii="Times New Roman" w:hAnsi="Times New Roman"/>
          <w:szCs w:val="24"/>
        </w:rPr>
      </w:pPr>
      <w:r w:rsidRPr="00F743E7">
        <w:rPr>
          <w:rStyle w:val="InitialStyle"/>
          <w:rFonts w:ascii="Times New Roman" w:hAnsi="Times New Roman"/>
          <w:szCs w:val="24"/>
        </w:rPr>
        <w:t>No annual cost burden is associated with capital and startup costs, operation and maintenance expenditures, and purchase of services.</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t>14. Provide estimates of annualized cost to the Federal government. Provide a description of the method used to estimate cost and any other expense that would not have been incurred without this collection of information.</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47ECD">
      <w:pPr>
        <w:rPr>
          <w:rFonts w:ascii="Times New Roman" w:hAnsi="Times New Roman" w:cs="Times New Roman"/>
          <w:sz w:val="24"/>
          <w:szCs w:val="24"/>
        </w:rPr>
      </w:pPr>
      <w:r w:rsidRPr="00F743E7">
        <w:rPr>
          <w:rFonts w:ascii="Times New Roman" w:hAnsi="Times New Roman" w:cs="Times New Roman"/>
          <w:sz w:val="24"/>
          <w:szCs w:val="24"/>
        </w:rPr>
        <w:t xml:space="preserve">The annualized cost to the Federal Government is estimated at </w:t>
      </w:r>
      <w:r w:rsidR="00647ECD" w:rsidRPr="00F743E7">
        <w:rPr>
          <w:rFonts w:ascii="Times New Roman" w:eastAsia="Times New Roman" w:hAnsi="Times New Roman" w:cs="Times New Roman"/>
          <w:sz w:val="24"/>
          <w:szCs w:val="24"/>
        </w:rPr>
        <w:t>$3,314</w:t>
      </w:r>
      <w:r w:rsidRPr="00F743E7">
        <w:rPr>
          <w:rFonts w:ascii="Times New Roman" w:hAnsi="Times New Roman" w:cs="Times New Roman"/>
          <w:sz w:val="24"/>
          <w:szCs w:val="24"/>
        </w:rPr>
        <w:t xml:space="preserve">. </w:t>
      </w:r>
      <w:proofErr w:type="gramStart"/>
      <w:r w:rsidRPr="00F743E7">
        <w:rPr>
          <w:rFonts w:ascii="Times New Roman" w:hAnsi="Times New Roman" w:cs="Times New Roman"/>
          <w:sz w:val="24"/>
          <w:szCs w:val="24"/>
        </w:rPr>
        <w:t>(See APHIS Form 79.)</w:t>
      </w:r>
      <w:proofErr w:type="gramEnd"/>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t>15. Explain the reasons for any program changes or adjustments reported in Items 13 or 14 of the OMB Form 83-1.</w:t>
      </w:r>
    </w:p>
    <w:p w:rsidR="006133C3" w:rsidRDefault="006133C3" w:rsidP="006133C3">
      <w:pPr>
        <w:autoSpaceDE w:val="0"/>
        <w:autoSpaceDN w:val="0"/>
        <w:adjustRightInd w:val="0"/>
        <w:spacing w:after="0" w:line="240" w:lineRule="auto"/>
        <w:rPr>
          <w:rFonts w:ascii="Times New Roman" w:hAnsi="Times New Roman" w:cs="Times New Roman"/>
          <w:b/>
          <w:sz w:val="24"/>
          <w:szCs w:val="24"/>
        </w:rPr>
      </w:pPr>
    </w:p>
    <w:p w:rsidR="00454269" w:rsidRDefault="00454269" w:rsidP="00454269">
      <w:pPr>
        <w:autoSpaceDE w:val="0"/>
        <w:autoSpaceDN w:val="0"/>
        <w:adjustRightInd w:val="0"/>
        <w:spacing w:after="0" w:line="240" w:lineRule="auto"/>
        <w:rPr>
          <w:rFonts w:ascii="Times New Roman" w:hAnsi="Times New Roman" w:cs="Times New Roman"/>
          <w:sz w:val="24"/>
          <w:szCs w:val="24"/>
        </w:rPr>
      </w:pPr>
      <w:r>
        <w:rPr>
          <w:rFonts w:ascii="Arial" w:hAnsi="Arial" w:cs="Arial"/>
        </w:rPr>
        <w:t>ICR Summary of Burden:</w:t>
      </w:r>
    </w:p>
    <w:tbl>
      <w:tblPr>
        <w:tblW w:w="5262"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2108"/>
        <w:gridCol w:w="898"/>
        <w:gridCol w:w="1624"/>
        <w:gridCol w:w="1729"/>
        <w:gridCol w:w="1795"/>
        <w:gridCol w:w="1352"/>
        <w:gridCol w:w="1045"/>
      </w:tblGrid>
      <w:tr w:rsidR="00454269" w:rsidRPr="00855A73" w:rsidTr="00454269">
        <w:trPr>
          <w:tblCellSpacing w:w="15" w:type="dxa"/>
        </w:trPr>
        <w:tc>
          <w:tcPr>
            <w:tcW w:w="978" w:type="pct"/>
            <w:shd w:val="clear" w:color="auto" w:fill="003399"/>
            <w:vAlign w:val="center"/>
            <w:hideMark/>
          </w:tcPr>
          <w:p w:rsidR="00454269" w:rsidRPr="00855A73" w:rsidRDefault="00454269" w:rsidP="00B12CA8">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 </w:t>
            </w:r>
          </w:p>
        </w:tc>
        <w:tc>
          <w:tcPr>
            <w:tcW w:w="411" w:type="pct"/>
            <w:shd w:val="clear" w:color="auto" w:fill="003399"/>
            <w:vAlign w:val="center"/>
            <w:hideMark/>
          </w:tcPr>
          <w:p w:rsidR="00454269" w:rsidRPr="00855A73" w:rsidRDefault="00454269" w:rsidP="00B12CA8">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Requested</w:t>
            </w:r>
          </w:p>
        </w:tc>
        <w:tc>
          <w:tcPr>
            <w:tcW w:w="755" w:type="pct"/>
            <w:shd w:val="clear" w:color="auto" w:fill="003399"/>
            <w:vAlign w:val="center"/>
            <w:hideMark/>
          </w:tcPr>
          <w:p w:rsidR="00454269" w:rsidRPr="00855A73" w:rsidRDefault="00454269" w:rsidP="00B12CA8">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Program Change Due to New Statute</w:t>
            </w:r>
          </w:p>
        </w:tc>
        <w:tc>
          <w:tcPr>
            <w:tcW w:w="805" w:type="pct"/>
            <w:shd w:val="clear" w:color="auto" w:fill="003399"/>
            <w:vAlign w:val="center"/>
            <w:hideMark/>
          </w:tcPr>
          <w:p w:rsidR="00454269" w:rsidRPr="00855A73" w:rsidRDefault="00454269" w:rsidP="00B12CA8">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Program Change Due to Agency Discretion</w:t>
            </w:r>
          </w:p>
        </w:tc>
        <w:tc>
          <w:tcPr>
            <w:tcW w:w="836" w:type="pct"/>
            <w:shd w:val="clear" w:color="auto" w:fill="003399"/>
            <w:vAlign w:val="center"/>
            <w:hideMark/>
          </w:tcPr>
          <w:p w:rsidR="00454269" w:rsidRPr="00855A73" w:rsidRDefault="00454269" w:rsidP="00B12CA8">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Change Due to Adjustment in Agency Estimate</w:t>
            </w:r>
          </w:p>
        </w:tc>
        <w:tc>
          <w:tcPr>
            <w:tcW w:w="626" w:type="pct"/>
            <w:shd w:val="clear" w:color="auto" w:fill="003399"/>
            <w:vAlign w:val="center"/>
            <w:hideMark/>
          </w:tcPr>
          <w:p w:rsidR="00454269" w:rsidRPr="00855A73" w:rsidRDefault="00454269" w:rsidP="00B12CA8">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Change Due to Potential Violation of the PRA</w:t>
            </w:r>
          </w:p>
        </w:tc>
        <w:tc>
          <w:tcPr>
            <w:tcW w:w="474" w:type="pct"/>
            <w:shd w:val="clear" w:color="auto" w:fill="003399"/>
            <w:vAlign w:val="center"/>
            <w:hideMark/>
          </w:tcPr>
          <w:p w:rsidR="00454269" w:rsidRPr="00855A73" w:rsidRDefault="00454269" w:rsidP="00B12CA8">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Previously Approved</w:t>
            </w:r>
          </w:p>
        </w:tc>
      </w:tr>
      <w:tr w:rsidR="00454269" w:rsidRPr="00855A73" w:rsidTr="00454269">
        <w:trPr>
          <w:trHeight w:val="522"/>
          <w:tblCellSpacing w:w="15" w:type="dxa"/>
        </w:trPr>
        <w:tc>
          <w:tcPr>
            <w:tcW w:w="978"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Annual Number of Responses</w:t>
            </w:r>
          </w:p>
        </w:tc>
        <w:tc>
          <w:tcPr>
            <w:tcW w:w="411"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6</w:t>
            </w:r>
          </w:p>
        </w:tc>
        <w:tc>
          <w:tcPr>
            <w:tcW w:w="755"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0</w:t>
            </w:r>
          </w:p>
        </w:tc>
        <w:tc>
          <w:tcPr>
            <w:tcW w:w="805"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4</w:t>
            </w:r>
          </w:p>
        </w:tc>
        <w:tc>
          <w:tcPr>
            <w:tcW w:w="836"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-8</w:t>
            </w:r>
          </w:p>
        </w:tc>
        <w:tc>
          <w:tcPr>
            <w:tcW w:w="626"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0</w:t>
            </w:r>
          </w:p>
        </w:tc>
        <w:tc>
          <w:tcPr>
            <w:tcW w:w="474"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10</w:t>
            </w:r>
          </w:p>
        </w:tc>
      </w:tr>
      <w:tr w:rsidR="00454269" w:rsidRPr="00855A73" w:rsidTr="00454269">
        <w:trPr>
          <w:trHeight w:val="360"/>
          <w:tblCellSpacing w:w="15" w:type="dxa"/>
        </w:trPr>
        <w:tc>
          <w:tcPr>
            <w:tcW w:w="978"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Annual Time Burden (</w:t>
            </w:r>
            <w:proofErr w:type="spellStart"/>
            <w:r w:rsidRPr="00454269">
              <w:rPr>
                <w:rFonts w:ascii="Arial" w:hAnsi="Arial" w:cs="Arial"/>
                <w:color w:val="000000"/>
                <w:sz w:val="16"/>
                <w:szCs w:val="16"/>
              </w:rPr>
              <w:t>Hr</w:t>
            </w:r>
            <w:proofErr w:type="spellEnd"/>
            <w:r w:rsidRPr="00454269">
              <w:rPr>
                <w:rFonts w:ascii="Arial" w:hAnsi="Arial" w:cs="Arial"/>
                <w:color w:val="000000"/>
                <w:sz w:val="16"/>
                <w:szCs w:val="16"/>
              </w:rPr>
              <w:t>)</w:t>
            </w:r>
          </w:p>
        </w:tc>
        <w:tc>
          <w:tcPr>
            <w:tcW w:w="411"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62</w:t>
            </w:r>
          </w:p>
        </w:tc>
        <w:tc>
          <w:tcPr>
            <w:tcW w:w="755"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0</w:t>
            </w:r>
          </w:p>
        </w:tc>
        <w:tc>
          <w:tcPr>
            <w:tcW w:w="805"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60</w:t>
            </w:r>
          </w:p>
        </w:tc>
        <w:tc>
          <w:tcPr>
            <w:tcW w:w="836"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-8</w:t>
            </w:r>
          </w:p>
        </w:tc>
        <w:tc>
          <w:tcPr>
            <w:tcW w:w="626"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0</w:t>
            </w:r>
          </w:p>
        </w:tc>
        <w:tc>
          <w:tcPr>
            <w:tcW w:w="474"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10</w:t>
            </w:r>
          </w:p>
        </w:tc>
      </w:tr>
      <w:tr w:rsidR="00454269" w:rsidRPr="00855A73" w:rsidTr="00454269">
        <w:trPr>
          <w:trHeight w:val="360"/>
          <w:tblCellSpacing w:w="15" w:type="dxa"/>
        </w:trPr>
        <w:tc>
          <w:tcPr>
            <w:tcW w:w="978"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Annual Cost Burden ($)</w:t>
            </w:r>
          </w:p>
        </w:tc>
        <w:tc>
          <w:tcPr>
            <w:tcW w:w="411"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0</w:t>
            </w:r>
          </w:p>
        </w:tc>
        <w:tc>
          <w:tcPr>
            <w:tcW w:w="755"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0</w:t>
            </w:r>
          </w:p>
        </w:tc>
        <w:tc>
          <w:tcPr>
            <w:tcW w:w="805"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0</w:t>
            </w:r>
          </w:p>
        </w:tc>
        <w:tc>
          <w:tcPr>
            <w:tcW w:w="836"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0</w:t>
            </w:r>
          </w:p>
        </w:tc>
        <w:tc>
          <w:tcPr>
            <w:tcW w:w="626"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0</w:t>
            </w:r>
          </w:p>
        </w:tc>
        <w:tc>
          <w:tcPr>
            <w:tcW w:w="474" w:type="pct"/>
            <w:shd w:val="clear" w:color="auto" w:fill="FFFFFF"/>
            <w:tcMar>
              <w:top w:w="30" w:type="dxa"/>
              <w:left w:w="30" w:type="dxa"/>
              <w:bottom w:w="30" w:type="dxa"/>
              <w:right w:w="30" w:type="dxa"/>
            </w:tcMar>
            <w:vAlign w:val="center"/>
            <w:hideMark/>
          </w:tcPr>
          <w:p w:rsidR="00454269" w:rsidRPr="00454269" w:rsidRDefault="00454269" w:rsidP="00454269">
            <w:pPr>
              <w:spacing w:after="0" w:line="240" w:lineRule="auto"/>
              <w:rPr>
                <w:rFonts w:ascii="Arial" w:hAnsi="Arial" w:cs="Arial"/>
                <w:color w:val="000000"/>
                <w:sz w:val="16"/>
                <w:szCs w:val="16"/>
              </w:rPr>
            </w:pPr>
            <w:r w:rsidRPr="00454269">
              <w:rPr>
                <w:rFonts w:ascii="Arial" w:hAnsi="Arial" w:cs="Arial"/>
                <w:color w:val="000000"/>
                <w:sz w:val="16"/>
                <w:szCs w:val="16"/>
              </w:rPr>
              <w:t>  0</w:t>
            </w:r>
          </w:p>
        </w:tc>
      </w:tr>
    </w:tbl>
    <w:p w:rsidR="00454269" w:rsidRPr="00F743E7" w:rsidRDefault="00454269" w:rsidP="006133C3">
      <w:pPr>
        <w:autoSpaceDE w:val="0"/>
        <w:autoSpaceDN w:val="0"/>
        <w:adjustRightInd w:val="0"/>
        <w:spacing w:after="0" w:line="240" w:lineRule="auto"/>
        <w:rPr>
          <w:rFonts w:ascii="Times New Roman" w:hAnsi="Times New Roman" w:cs="Times New Roman"/>
          <w:b/>
          <w:sz w:val="24"/>
          <w:szCs w:val="24"/>
        </w:rPr>
      </w:pPr>
    </w:p>
    <w:p w:rsidR="00B12CA8" w:rsidRDefault="00B12CA8" w:rsidP="00B12CA8">
      <w:pPr>
        <w:pStyle w:val="DefaultText"/>
        <w:rPr>
          <w:szCs w:val="24"/>
        </w:rPr>
      </w:pPr>
      <w:bookmarkStart w:id="0" w:name="_GoBack"/>
      <w:r>
        <w:rPr>
          <w:szCs w:val="24"/>
        </w:rPr>
        <w:t>In the previous collection there were 10 total respondents and in the current collection there are 4 total respondents; a decrease of 6 total respondents from the previous collection.</w:t>
      </w:r>
    </w:p>
    <w:p w:rsidR="00B12CA8" w:rsidRDefault="00B12CA8" w:rsidP="00B23239">
      <w:pPr>
        <w:autoSpaceDE w:val="0"/>
        <w:autoSpaceDN w:val="0"/>
        <w:adjustRightInd w:val="0"/>
        <w:spacing w:after="0" w:line="240" w:lineRule="auto"/>
        <w:rPr>
          <w:rFonts w:ascii="Times New Roman" w:hAnsi="Times New Roman" w:cs="Times New Roman"/>
          <w:sz w:val="24"/>
          <w:szCs w:val="24"/>
        </w:rPr>
      </w:pPr>
    </w:p>
    <w:p w:rsidR="00B23239" w:rsidRPr="00F743E7" w:rsidRDefault="00EC1A1A" w:rsidP="00B23239">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Fewer facilities identified CWD-positive animals during the current renewal of this information collection than during the previous renewal. Between 2008 and 2009, three herd owners requested indemnity, while in 2010 only one herd owner did so.</w:t>
      </w:r>
      <w:r>
        <w:rPr>
          <w:rFonts w:ascii="Times New Roman" w:hAnsi="Times New Roman" w:cs="Times New Roman"/>
          <w:sz w:val="24"/>
          <w:szCs w:val="24"/>
        </w:rPr>
        <w:t xml:space="preserve"> </w:t>
      </w:r>
      <w:r w:rsidR="00B23239" w:rsidRPr="00F743E7">
        <w:rPr>
          <w:rFonts w:ascii="Times New Roman" w:hAnsi="Times New Roman" w:cs="Times New Roman"/>
          <w:sz w:val="24"/>
          <w:szCs w:val="24"/>
        </w:rPr>
        <w:t>There is an adjustment of -8 responses completing the VS Form 1-23 resulting in a decrease of -8 total burden hours.</w:t>
      </w:r>
    </w:p>
    <w:p w:rsidR="00EC1A1A" w:rsidRPr="00F743E7" w:rsidRDefault="00EC1A1A" w:rsidP="00B23239">
      <w:pPr>
        <w:autoSpaceDE w:val="0"/>
        <w:autoSpaceDN w:val="0"/>
        <w:adjustRightInd w:val="0"/>
        <w:spacing w:after="0" w:line="240" w:lineRule="auto"/>
        <w:rPr>
          <w:rFonts w:ascii="Times New Roman" w:hAnsi="Times New Roman" w:cs="Times New Roman"/>
          <w:sz w:val="24"/>
          <w:szCs w:val="24"/>
        </w:rPr>
      </w:pPr>
    </w:p>
    <w:p w:rsidR="006133C3" w:rsidRPr="00F743E7" w:rsidRDefault="00B23239" w:rsidP="00B23239">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With the addition of the Herd Plan Agreement</w:t>
      </w:r>
      <w:r w:rsidR="00EC1A1A">
        <w:rPr>
          <w:rFonts w:ascii="Times New Roman" w:hAnsi="Times New Roman" w:cs="Times New Roman"/>
          <w:sz w:val="24"/>
          <w:szCs w:val="24"/>
        </w:rPr>
        <w:t>,</w:t>
      </w:r>
      <w:r w:rsidRPr="00F743E7">
        <w:rPr>
          <w:rFonts w:ascii="Times New Roman" w:hAnsi="Times New Roman" w:cs="Times New Roman"/>
          <w:sz w:val="24"/>
          <w:szCs w:val="24"/>
        </w:rPr>
        <w:t xml:space="preserve"> </w:t>
      </w:r>
      <w:r w:rsidR="00EC1A1A">
        <w:rPr>
          <w:rFonts w:ascii="Times New Roman" w:hAnsi="Times New Roman" w:cs="Times New Roman"/>
          <w:sz w:val="24"/>
          <w:szCs w:val="24"/>
        </w:rPr>
        <w:t xml:space="preserve">which was listed in the previous collection but had no burden associated with it, </w:t>
      </w:r>
      <w:r w:rsidRPr="00F743E7">
        <w:rPr>
          <w:rFonts w:ascii="Times New Roman" w:hAnsi="Times New Roman" w:cs="Times New Roman"/>
          <w:sz w:val="24"/>
          <w:szCs w:val="24"/>
        </w:rPr>
        <w:t>there is a program change of + 4 responses resulting in an increase of + 60 burden hours.</w:t>
      </w:r>
      <w:r w:rsidR="00EC1A1A">
        <w:rPr>
          <w:rFonts w:ascii="Times New Roman" w:hAnsi="Times New Roman" w:cs="Times New Roman"/>
          <w:sz w:val="24"/>
          <w:szCs w:val="24"/>
        </w:rPr>
        <w:t xml:space="preserve"> </w:t>
      </w:r>
      <w:r w:rsidR="006133C3" w:rsidRPr="00F743E7">
        <w:rPr>
          <w:rFonts w:ascii="Times New Roman" w:hAnsi="Times New Roman" w:cs="Times New Roman"/>
          <w:sz w:val="24"/>
          <w:szCs w:val="24"/>
        </w:rPr>
        <w:t xml:space="preserve">Herd owners and State and Federal personnel now need much more time to complete the associated herd plans – a total of approximately 60 hours for public respondents. The plans now require thorough scientific evaluation and planning as well as the receipt of legal advice by all parties involved. </w:t>
      </w:r>
      <w:r w:rsidRPr="00F743E7">
        <w:rPr>
          <w:rFonts w:ascii="Times New Roman" w:hAnsi="Times New Roman" w:cs="Times New Roman"/>
          <w:sz w:val="24"/>
          <w:szCs w:val="24"/>
        </w:rPr>
        <w:t>The change has occurred because of increased program efforts to work with herd owners and APHIS Regional Office epidemiologists in developing the herd plans. The CWD program is striving to use the most current science to guide its herd plan requirements, and is taking more time to thoroughly review the development of herd plans as legal contracts to minimize future herd plan compliance problems.</w:t>
      </w:r>
    </w:p>
    <w:bookmarkEnd w:id="0"/>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lastRenderedPageBreak/>
        <w:t>16. For collections of information whose results are planned to be published, outline plans for tabulation and publication.</w:t>
      </w: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APHIS has no plans to publish information it collects in connection with this program.</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t>17. If seeking approval to not display the expiration date for OMB approval of the information collection, explain the reasons that display would be inappropriate.</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3F6472" w:rsidRPr="00F743E7" w:rsidRDefault="003F6472" w:rsidP="003F6472">
      <w:pPr>
        <w:rPr>
          <w:rFonts w:ascii="Times New Roman" w:hAnsi="Times New Roman" w:cs="Times New Roman"/>
          <w:sz w:val="24"/>
          <w:szCs w:val="24"/>
        </w:rPr>
      </w:pPr>
      <w:r w:rsidRPr="00F743E7">
        <w:rPr>
          <w:rFonts w:ascii="Times New Roman" w:hAnsi="Times New Roman" w:cs="Times New Roman"/>
          <w:sz w:val="24"/>
          <w:szCs w:val="24"/>
        </w:rPr>
        <w:t>This form is used in 6 collections (0579-0007, 0047, 0185, 0189, 0192 and 0208); therefore, it is not practical to include an OMB expiration date because of the various expiration dates for each collection. APHIS is seeking approval to not display the OMB expiration date on this form.</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t>18. Explain each exception to the certification statement identified in the "Certification for Paperwork Reduction Act."</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APHIS can certify compliance with all provisions under the Act.</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b/>
          <w:sz w:val="24"/>
          <w:szCs w:val="24"/>
        </w:rPr>
      </w:pPr>
      <w:r w:rsidRPr="00F743E7">
        <w:rPr>
          <w:rFonts w:ascii="Times New Roman" w:hAnsi="Times New Roman" w:cs="Times New Roman"/>
          <w:b/>
          <w:sz w:val="24"/>
          <w:szCs w:val="24"/>
        </w:rPr>
        <w:t>B. Collections of Information Employing Statistical Methods</w:t>
      </w: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p>
    <w:p w:rsidR="006133C3" w:rsidRPr="00F743E7" w:rsidRDefault="006133C3" w:rsidP="006133C3">
      <w:pPr>
        <w:autoSpaceDE w:val="0"/>
        <w:autoSpaceDN w:val="0"/>
        <w:adjustRightInd w:val="0"/>
        <w:spacing w:after="0" w:line="240" w:lineRule="auto"/>
        <w:rPr>
          <w:rFonts w:ascii="Times New Roman" w:hAnsi="Times New Roman" w:cs="Times New Roman"/>
          <w:sz w:val="24"/>
          <w:szCs w:val="24"/>
        </w:rPr>
      </w:pPr>
      <w:r w:rsidRPr="00F743E7">
        <w:rPr>
          <w:rFonts w:ascii="Times New Roman" w:hAnsi="Times New Roman" w:cs="Times New Roman"/>
          <w:sz w:val="24"/>
          <w:szCs w:val="24"/>
        </w:rPr>
        <w:t>There are no statistical methods associated with the information collection activities used in this program.</w:t>
      </w:r>
    </w:p>
    <w:p w:rsidR="006A3384" w:rsidRPr="00F743E7" w:rsidRDefault="006A3384">
      <w:pPr>
        <w:rPr>
          <w:rFonts w:ascii="Times New Roman" w:hAnsi="Times New Roman" w:cs="Times New Roman"/>
          <w:sz w:val="24"/>
          <w:szCs w:val="24"/>
        </w:rPr>
      </w:pPr>
    </w:p>
    <w:sectPr w:rsidR="006A3384" w:rsidRPr="00F743E7" w:rsidSect="005233C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3C3"/>
    <w:rsid w:val="00335A0F"/>
    <w:rsid w:val="003F6472"/>
    <w:rsid w:val="00454269"/>
    <w:rsid w:val="005233CA"/>
    <w:rsid w:val="006133C3"/>
    <w:rsid w:val="00647ECD"/>
    <w:rsid w:val="006A3384"/>
    <w:rsid w:val="00877C33"/>
    <w:rsid w:val="00990B2B"/>
    <w:rsid w:val="009A29E3"/>
    <w:rsid w:val="009F0729"/>
    <w:rsid w:val="00B12CA8"/>
    <w:rsid w:val="00B23239"/>
    <w:rsid w:val="00EC1A1A"/>
    <w:rsid w:val="00EF4E16"/>
    <w:rsid w:val="00F7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6133C3"/>
    <w:rPr>
      <w:rFonts w:ascii="Courier New" w:hAnsi="Courier New"/>
      <w:color w:val="auto"/>
      <w:spacing w:val="0"/>
      <w:sz w:val="24"/>
    </w:rPr>
  </w:style>
  <w:style w:type="paragraph" w:customStyle="1" w:styleId="DefaultText">
    <w:name w:val="Default Text"/>
    <w:basedOn w:val="Normal"/>
    <w:rsid w:val="006133C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Text1">
    <w:name w:val="Default Text:1"/>
    <w:basedOn w:val="Normal"/>
    <w:rsid w:val="009A29E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ListParagraph">
    <w:name w:val="List Paragraph"/>
    <w:basedOn w:val="Normal"/>
    <w:uiPriority w:val="34"/>
    <w:qFormat/>
    <w:rsid w:val="009A29E3"/>
    <w:pPr>
      <w:ind w:left="720"/>
      <w:contextualSpacing/>
    </w:pPr>
  </w:style>
  <w:style w:type="paragraph" w:customStyle="1" w:styleId="300">
    <w:name w:val="300"/>
    <w:basedOn w:val="Normal"/>
    <w:rsid w:val="009A29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743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6133C3"/>
    <w:rPr>
      <w:rFonts w:ascii="Courier New" w:hAnsi="Courier New"/>
      <w:color w:val="auto"/>
      <w:spacing w:val="0"/>
      <w:sz w:val="24"/>
    </w:rPr>
  </w:style>
  <w:style w:type="paragraph" w:customStyle="1" w:styleId="DefaultText">
    <w:name w:val="Default Text"/>
    <w:basedOn w:val="Normal"/>
    <w:rsid w:val="006133C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Text1">
    <w:name w:val="Default Text:1"/>
    <w:basedOn w:val="Normal"/>
    <w:rsid w:val="009A29E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ListParagraph">
    <w:name w:val="List Paragraph"/>
    <w:basedOn w:val="Normal"/>
    <w:uiPriority w:val="34"/>
    <w:qFormat/>
    <w:rsid w:val="009A29E3"/>
    <w:pPr>
      <w:ind w:left="720"/>
      <w:contextualSpacing/>
    </w:pPr>
  </w:style>
  <w:style w:type="paragraph" w:customStyle="1" w:styleId="300">
    <w:name w:val="300"/>
    <w:basedOn w:val="Normal"/>
    <w:rsid w:val="009A29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743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mda" TargetMode="External"/><Relationship Id="rId3" Type="http://schemas.microsoft.com/office/2007/relationships/stylesWithEffects" Target="stylesWithEffects.xml"/><Relationship Id="rId7" Type="http://schemas.openxmlformats.org/officeDocument/2006/relationships/hyperlink" Target="mailto:frankn@michiga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dfom.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defa.com" TargetMode="External"/><Relationship Id="rId4" Type="http://schemas.openxmlformats.org/officeDocument/2006/relationships/settings" Target="settings.xml"/><Relationship Id="rId9" Type="http://schemas.openxmlformats.org/officeDocument/2006/relationships/hyperlink" Target="mailto:schafer@nade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7</Pages>
  <Words>2502</Words>
  <Characters>14264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5</cp:revision>
  <dcterms:created xsi:type="dcterms:W3CDTF">2011-09-07T12:49:00Z</dcterms:created>
  <dcterms:modified xsi:type="dcterms:W3CDTF">2011-10-12T16:06:00Z</dcterms:modified>
</cp:coreProperties>
</file>