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C5" w:rsidRPr="00900BB4" w:rsidRDefault="006C1EC5" w:rsidP="00421C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900BB4">
        <w:rPr>
          <w:rFonts w:ascii="Times New Roman" w:hAnsi="Times New Roman"/>
          <w:color w:val="000000"/>
          <w:sz w:val="28"/>
          <w:szCs w:val="28"/>
        </w:rPr>
        <w:t xml:space="preserve">Supporting Statement </w:t>
      </w:r>
      <w:r w:rsidR="00FC5D67" w:rsidRPr="00900BB4">
        <w:rPr>
          <w:rFonts w:ascii="Times New Roman" w:hAnsi="Times New Roman"/>
          <w:color w:val="000000"/>
          <w:sz w:val="28"/>
          <w:szCs w:val="28"/>
        </w:rPr>
        <w:t xml:space="preserve">A </w:t>
      </w:r>
      <w:r w:rsidRPr="00900BB4">
        <w:rPr>
          <w:rFonts w:ascii="Times New Roman" w:hAnsi="Times New Roman"/>
          <w:color w:val="000000"/>
          <w:sz w:val="28"/>
          <w:szCs w:val="28"/>
        </w:rPr>
        <w:t>for Request for Clearance:</w:t>
      </w: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32"/>
          <w:szCs w:val="32"/>
        </w:rPr>
      </w:pPr>
      <w:r>
        <w:rPr>
          <w:rFonts w:ascii="Times New Roman" w:hAnsi="Times New Roman"/>
          <w:color w:val="000000"/>
          <w:sz w:val="32"/>
          <w:szCs w:val="32"/>
        </w:rPr>
        <w:t>NATIONAL AMBULATORY MEDICAL CARE SURVEY</w:t>
      </w:r>
    </w:p>
    <w:p w:rsidR="00FC5D67" w:rsidRDefault="00FC5D67"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006C1EC5" w:rsidRPr="00900BB4"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900BB4">
        <w:rPr>
          <w:rFonts w:ascii="Times New Roman" w:hAnsi="Times New Roman"/>
          <w:color w:val="000000"/>
          <w:sz w:val="28"/>
          <w:szCs w:val="28"/>
        </w:rPr>
        <w:t>OMB No. 0920-0234</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C1EC5" w:rsidRPr="00900BB4"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900BB4">
        <w:rPr>
          <w:rFonts w:ascii="Times New Roman" w:hAnsi="Times New Roman"/>
          <w:color w:val="000000"/>
          <w:sz w:val="28"/>
          <w:szCs w:val="28"/>
        </w:rPr>
        <w:t>Contact Information:</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C1EC5" w:rsidRPr="00900BB4" w:rsidRDefault="00EF32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David A. Woodwell</w:t>
      </w:r>
      <w:r w:rsidR="006C1EC5" w:rsidRPr="00900BB4">
        <w:rPr>
          <w:rFonts w:ascii="Times New Roman" w:hAnsi="Times New Roman"/>
          <w:color w:val="000000"/>
          <w:sz w:val="28"/>
          <w:szCs w:val="28"/>
        </w:rPr>
        <w:t xml:space="preserve">, </w:t>
      </w:r>
      <w:r>
        <w:rPr>
          <w:rFonts w:ascii="Times New Roman" w:hAnsi="Times New Roman"/>
          <w:color w:val="000000"/>
          <w:sz w:val="28"/>
          <w:szCs w:val="28"/>
        </w:rPr>
        <w:t>M</w:t>
      </w:r>
      <w:r w:rsidR="006C1EC5" w:rsidRPr="00900BB4">
        <w:rPr>
          <w:rFonts w:ascii="Times New Roman" w:hAnsi="Times New Roman"/>
          <w:color w:val="000000"/>
          <w:sz w:val="28"/>
          <w:szCs w:val="28"/>
        </w:rPr>
        <w:t>.</w:t>
      </w:r>
      <w:r>
        <w:rPr>
          <w:rFonts w:ascii="Times New Roman" w:hAnsi="Times New Roman"/>
          <w:color w:val="000000"/>
          <w:sz w:val="28"/>
          <w:szCs w:val="28"/>
        </w:rPr>
        <w:t>P</w:t>
      </w:r>
      <w:r w:rsidR="006C1EC5" w:rsidRPr="00900BB4">
        <w:rPr>
          <w:rFonts w:ascii="Times New Roman" w:hAnsi="Times New Roman"/>
          <w:color w:val="000000"/>
          <w:sz w:val="28"/>
          <w:szCs w:val="28"/>
        </w:rPr>
        <w:t>.</w:t>
      </w:r>
      <w:r>
        <w:rPr>
          <w:rFonts w:ascii="Times New Roman" w:hAnsi="Times New Roman"/>
          <w:color w:val="000000"/>
          <w:sz w:val="28"/>
          <w:szCs w:val="28"/>
        </w:rPr>
        <w:t>H.</w:t>
      </w:r>
    </w:p>
    <w:p w:rsidR="006C1EC5" w:rsidRPr="00900BB4" w:rsidRDefault="00EF32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Lead Statistician</w:t>
      </w:r>
      <w:r w:rsidR="006C1EC5" w:rsidRPr="00900BB4">
        <w:rPr>
          <w:rFonts w:ascii="Times New Roman" w:hAnsi="Times New Roman"/>
          <w:color w:val="000000"/>
          <w:sz w:val="28"/>
          <w:szCs w:val="28"/>
        </w:rPr>
        <w:t xml:space="preserve">, Ambulatory and </w:t>
      </w:r>
      <w:r w:rsidR="009F06B7" w:rsidRPr="00900BB4">
        <w:rPr>
          <w:rFonts w:ascii="Times New Roman" w:hAnsi="Times New Roman"/>
          <w:color w:val="000000"/>
          <w:sz w:val="28"/>
          <w:szCs w:val="28"/>
        </w:rPr>
        <w:t xml:space="preserve">Hospital </w:t>
      </w:r>
      <w:r w:rsidR="006C1EC5" w:rsidRPr="00900BB4">
        <w:rPr>
          <w:rFonts w:ascii="Times New Roman" w:hAnsi="Times New Roman"/>
          <w:color w:val="000000"/>
          <w:sz w:val="28"/>
          <w:szCs w:val="28"/>
        </w:rPr>
        <w:t>Care Statistics Branch</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Division of Health Care Statistics</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National Center for Health Statistics/CDC</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3311 Toledo Road, Room 33</w:t>
      </w:r>
      <w:r w:rsidR="008A5AA2">
        <w:rPr>
          <w:rFonts w:ascii="Times New Roman" w:hAnsi="Times New Roman"/>
          <w:color w:val="000000"/>
          <w:sz w:val="28"/>
          <w:szCs w:val="28"/>
        </w:rPr>
        <w:t>29</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Hyattsville, MD  20782</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301-458-4</w:t>
      </w:r>
      <w:r w:rsidR="008A5AA2">
        <w:rPr>
          <w:rFonts w:ascii="Times New Roman" w:hAnsi="Times New Roman"/>
          <w:color w:val="000000"/>
          <w:sz w:val="28"/>
          <w:szCs w:val="28"/>
        </w:rPr>
        <w:t>592</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301-458-4032 (fax)</w:t>
      </w:r>
    </w:p>
    <w:p w:rsidR="006C1EC5" w:rsidRPr="00900BB4" w:rsidRDefault="008A5AA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dwoodwell</w:t>
      </w:r>
      <w:r w:rsidR="006C1EC5" w:rsidRPr="00900BB4">
        <w:rPr>
          <w:rFonts w:ascii="Times New Roman" w:hAnsi="Times New Roman"/>
          <w:color w:val="000000"/>
          <w:sz w:val="28"/>
          <w:szCs w:val="28"/>
          <w:u w:val="single"/>
        </w:rPr>
        <w:t>@cdc.gov</w:t>
      </w:r>
    </w:p>
    <w:p w:rsidR="006C1EC5" w:rsidRPr="00900BB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rsidR="006C1EC5" w:rsidRPr="00900BB4" w:rsidRDefault="00FD1941"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 xml:space="preserve">January </w:t>
      </w:r>
      <w:r w:rsidR="0065598D">
        <w:rPr>
          <w:rFonts w:ascii="Times New Roman" w:hAnsi="Times New Roman"/>
          <w:color w:val="000000"/>
          <w:sz w:val="28"/>
          <w:szCs w:val="28"/>
        </w:rPr>
        <w:t>2</w:t>
      </w:r>
      <w:r w:rsidR="00652DD7">
        <w:rPr>
          <w:rFonts w:ascii="Times New Roman" w:hAnsi="Times New Roman"/>
          <w:color w:val="000000"/>
          <w:sz w:val="28"/>
          <w:szCs w:val="28"/>
        </w:rPr>
        <w:t>1</w:t>
      </w:r>
      <w:r w:rsidR="001E3AF7" w:rsidRPr="00900BB4">
        <w:rPr>
          <w:rFonts w:ascii="Times New Roman" w:hAnsi="Times New Roman"/>
          <w:color w:val="000000"/>
          <w:sz w:val="28"/>
          <w:szCs w:val="28"/>
        </w:rPr>
        <w:t>, 20</w:t>
      </w:r>
      <w:r w:rsidR="00C1780F" w:rsidRPr="00900BB4">
        <w:rPr>
          <w:rFonts w:ascii="Times New Roman" w:hAnsi="Times New Roman"/>
          <w:color w:val="000000"/>
          <w:sz w:val="28"/>
          <w:szCs w:val="28"/>
        </w:rPr>
        <w:t>1</w:t>
      </w:r>
      <w:r>
        <w:rPr>
          <w:rFonts w:ascii="Times New Roman" w:hAnsi="Times New Roman"/>
          <w:color w:val="000000"/>
          <w:sz w:val="28"/>
          <w:szCs w:val="28"/>
        </w:rPr>
        <w:t>1</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u w:val="single"/>
        </w:rPr>
        <w:br w:type="page"/>
      </w: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u w:val="single"/>
        </w:rPr>
      </w:pPr>
      <w:r>
        <w:rPr>
          <w:rFonts w:ascii="Times New Roman" w:hAnsi="Times New Roman"/>
          <w:color w:val="000000"/>
          <w:u w:val="single"/>
        </w:rPr>
        <w:lastRenderedPageBreak/>
        <w:t>Supporting Statement</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rPr>
      </w:pPr>
      <w:r>
        <w:rPr>
          <w:rFonts w:ascii="Times New Roman" w:hAnsi="Times New Roman"/>
          <w:color w:val="000000"/>
        </w:rPr>
        <w:t xml:space="preserve"> NCHS National Ambulatory Medical Care Survey</w:t>
      </w:r>
    </w:p>
    <w:p w:rsidR="00BE14CA" w:rsidRDefault="00BE14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D1BD2" w:rsidRDefault="006C1EC5" w:rsidP="00F42F32">
      <w:pPr>
        <w:autoSpaceDE w:val="0"/>
        <w:autoSpaceDN w:val="0"/>
        <w:adjustRightInd w:val="0"/>
      </w:pPr>
      <w:r>
        <w:t>This request is for a revision of an approved data collection (OMB No. 0920</w:t>
      </w:r>
      <w:r>
        <w:noBreakHyphen/>
        <w:t>0234</w:t>
      </w:r>
      <w:r w:rsidR="0064784B">
        <w:t>: Expiration date 07/31/2012)</w:t>
      </w:r>
      <w:r>
        <w:t>, the ongoing National Ambulatory Medical Care Sur</w:t>
      </w:r>
      <w:r w:rsidR="00C1780F">
        <w:t>vey (NAMCS)</w:t>
      </w:r>
      <w:r w:rsidR="006D1BD2">
        <w:t>, for the purpose of collecting data for the next three years</w:t>
      </w:r>
      <w:r w:rsidR="00C1780F">
        <w:t xml:space="preserve">.  </w:t>
      </w:r>
      <w:r w:rsidR="00F42F32">
        <w:t>NAMCS is a national survey of patient visits to office-based physicians conducted by the National Center for Health Statistics (NCHS), one of the centers of the Centers for Disease Control and Prevention (CDC).</w:t>
      </w:r>
      <w:r w:rsidR="00C1780F">
        <w:t xml:space="preserve">  </w:t>
      </w:r>
      <w:r w:rsidR="006D1BD2">
        <w:t xml:space="preserve">Proposed modifications to (1) collected information, (2) instruments, and (3) sampling composition are discussed below. </w:t>
      </w:r>
      <w:r w:rsidR="00B755A7">
        <w:t xml:space="preserve">Selected </w:t>
      </w:r>
      <w:r w:rsidR="00590CDB">
        <w:t>activities below also</w:t>
      </w:r>
      <w:r w:rsidR="00B755A7">
        <w:t xml:space="preserve"> involve the American Recovery and Reinvestment Act of 2009 (ARRA)</w:t>
      </w:r>
      <w:r w:rsidR="00A8437F">
        <w:t>, which includes</w:t>
      </w:r>
      <w:r w:rsidR="00590CDB">
        <w:t xml:space="preserve"> the </w:t>
      </w:r>
      <w:r w:rsidR="00590CDB" w:rsidRPr="007C1E8D">
        <w:rPr>
          <w:rFonts w:eastAsia="PMingLiU"/>
          <w:lang w:eastAsia="zh-TW"/>
        </w:rPr>
        <w:t>Health Information Technology for Economic and Clinical Health (HITECH) Act</w:t>
      </w:r>
      <w:r w:rsidR="00590CDB">
        <w:rPr>
          <w:rFonts w:eastAsia="PMingLiU"/>
          <w:lang w:eastAsia="zh-TW"/>
        </w:rPr>
        <w:t>, a</w:t>
      </w:r>
      <w:r w:rsidR="00A8437F">
        <w:rPr>
          <w:rFonts w:eastAsia="PMingLiU"/>
          <w:lang w:eastAsia="zh-TW"/>
        </w:rPr>
        <w:t>s well as</w:t>
      </w:r>
      <w:r w:rsidR="00590CDB">
        <w:rPr>
          <w:rFonts w:eastAsia="PMingLiU"/>
          <w:lang w:eastAsia="zh-TW"/>
        </w:rPr>
        <w:t xml:space="preserve"> the Patient Protection and Affordable Care Act</w:t>
      </w:r>
      <w:r w:rsidR="00A8437F">
        <w:rPr>
          <w:rFonts w:eastAsia="PMingLiU"/>
          <w:lang w:eastAsia="zh-TW"/>
        </w:rPr>
        <w:t xml:space="preserve"> of 2010 </w:t>
      </w:r>
      <w:r w:rsidR="00590CDB">
        <w:rPr>
          <w:rFonts w:eastAsia="PMingLiU"/>
          <w:lang w:eastAsia="zh-TW"/>
        </w:rPr>
        <w:t>(A</w:t>
      </w:r>
      <w:r w:rsidR="0064784B">
        <w:rPr>
          <w:rFonts w:eastAsia="PMingLiU"/>
          <w:lang w:eastAsia="zh-TW"/>
        </w:rPr>
        <w:t>C</w:t>
      </w:r>
      <w:r w:rsidR="00590CDB">
        <w:rPr>
          <w:rFonts w:eastAsia="PMingLiU"/>
          <w:lang w:eastAsia="zh-TW"/>
        </w:rPr>
        <w:t>A)</w:t>
      </w:r>
      <w:r w:rsidR="00B755A7">
        <w:t>.</w:t>
      </w:r>
      <w:r w:rsidR="00AD2E18">
        <w:t xml:space="preserve">  </w:t>
      </w:r>
    </w:p>
    <w:p w:rsidR="00AD2E18" w:rsidRDefault="00AD2E18" w:rsidP="00F42F32">
      <w:pPr>
        <w:autoSpaceDE w:val="0"/>
        <w:autoSpaceDN w:val="0"/>
        <w:adjustRightInd w:val="0"/>
      </w:pPr>
    </w:p>
    <w:p w:rsidR="000F5C92" w:rsidRDefault="00590CDB" w:rsidP="009D466B">
      <w:pPr>
        <w:autoSpaceDE w:val="0"/>
        <w:autoSpaceDN w:val="0"/>
        <w:adjustRightInd w:val="0"/>
      </w:pPr>
      <w:r>
        <w:t>N</w:t>
      </w:r>
      <w:r w:rsidR="009D466B">
        <w:t xml:space="preserve">ew/modified activities planned for the </w:t>
      </w:r>
      <w:r w:rsidR="000C1E2E">
        <w:t>201</w:t>
      </w:r>
      <w:r w:rsidR="00F1112B">
        <w:t xml:space="preserve">1-2013 </w:t>
      </w:r>
      <w:r w:rsidR="009D466B">
        <w:t xml:space="preserve">survey period: </w:t>
      </w:r>
    </w:p>
    <w:p w:rsidR="009D466B" w:rsidRDefault="009D466B" w:rsidP="009D466B">
      <w:pPr>
        <w:autoSpaceDE w:val="0"/>
        <w:autoSpaceDN w:val="0"/>
        <w:adjustRightInd w:val="0"/>
      </w:pPr>
      <w:r>
        <w:t xml:space="preserve"> </w:t>
      </w:r>
    </w:p>
    <w:p w:rsidR="009D466B" w:rsidRDefault="00062379" w:rsidP="00B755A7">
      <w:pPr>
        <w:numPr>
          <w:ilvl w:val="0"/>
          <w:numId w:val="21"/>
        </w:numPr>
        <w:autoSpaceDE w:val="0"/>
        <w:autoSpaceDN w:val="0"/>
        <w:adjustRightInd w:val="0"/>
      </w:pPr>
      <w:r>
        <w:t xml:space="preserve">Once the </w:t>
      </w:r>
      <w:r w:rsidR="009D466B">
        <w:t>President’s 2011 budget</w:t>
      </w:r>
      <w:r>
        <w:t xml:space="preserve"> is passed</w:t>
      </w:r>
      <w:r w:rsidR="009D466B">
        <w:t xml:space="preserve">, increase the sample for NAMCS to 4,700 from the </w:t>
      </w:r>
      <w:r w:rsidR="00071AE2">
        <w:t>current base of 3,000</w:t>
      </w:r>
      <w:r w:rsidR="009D466B">
        <w:t xml:space="preserve"> office-based physicians </w:t>
      </w:r>
    </w:p>
    <w:p w:rsidR="00F1112B" w:rsidRDefault="00F1112B" w:rsidP="00F1112B">
      <w:pPr>
        <w:pStyle w:val="ListParagraph"/>
        <w:numPr>
          <w:ilvl w:val="0"/>
          <w:numId w:val="21"/>
        </w:numPr>
        <w:autoSpaceDE w:val="0"/>
        <w:autoSpaceDN w:val="0"/>
        <w:adjustRightInd w:val="0"/>
      </w:pPr>
      <w:r>
        <w:t>Remove the current paper-based cervical cancer screening supplement</w:t>
      </w:r>
    </w:p>
    <w:p w:rsidR="00F1112B" w:rsidRDefault="00F1112B" w:rsidP="00F1112B">
      <w:pPr>
        <w:pStyle w:val="ListParagraph"/>
        <w:numPr>
          <w:ilvl w:val="0"/>
          <w:numId w:val="21"/>
        </w:numPr>
        <w:autoSpaceDE w:val="0"/>
        <w:autoSpaceDN w:val="0"/>
        <w:adjustRightInd w:val="0"/>
      </w:pPr>
      <w:r>
        <w:t xml:space="preserve">Conduct a pretest in </w:t>
      </w:r>
      <w:r w:rsidR="00A2567D">
        <w:t xml:space="preserve">Spring </w:t>
      </w:r>
      <w:r>
        <w:t xml:space="preserve">2011 to evaluate the new asthma supplement and new </w:t>
      </w:r>
      <w:r w:rsidR="007502CE">
        <w:t>complementary and alternative medicine (</w:t>
      </w:r>
      <w:r>
        <w:t>CAM</w:t>
      </w:r>
      <w:r w:rsidR="007502CE">
        <w:t>)</w:t>
      </w:r>
      <w:r>
        <w:t xml:space="preserve"> items on the NAMCS-1</w:t>
      </w:r>
      <w:r w:rsidR="00417A47">
        <w:t>,</w:t>
      </w:r>
      <w:r>
        <w:t xml:space="preserve"> retrospective health care data collection on the PRF (</w:t>
      </w:r>
      <w:proofErr w:type="spellStart"/>
      <w:r>
        <w:t>lookback</w:t>
      </w:r>
      <w:proofErr w:type="spellEnd"/>
      <w:r>
        <w:t xml:space="preserve"> module)</w:t>
      </w:r>
      <w:r w:rsidR="00417A47">
        <w:t>,</w:t>
      </w:r>
      <w:r>
        <w:t xml:space="preserve"> and the new computerized NAMCS-1 and associated </w:t>
      </w:r>
      <w:r w:rsidR="009A6522">
        <w:t>patient record form (</w:t>
      </w:r>
      <w:r>
        <w:t>PRF</w:t>
      </w:r>
      <w:r w:rsidR="009A6522">
        <w:t>)</w:t>
      </w:r>
    </w:p>
    <w:p w:rsidR="00F1112B" w:rsidRDefault="00F1112B" w:rsidP="00F1112B">
      <w:pPr>
        <w:pStyle w:val="ListParagraph"/>
        <w:autoSpaceDE w:val="0"/>
        <w:autoSpaceDN w:val="0"/>
        <w:adjustRightInd w:val="0"/>
        <w:ind w:left="1080"/>
      </w:pPr>
    </w:p>
    <w:p w:rsidR="000F5C92" w:rsidRDefault="00F1112B" w:rsidP="00F1112B">
      <w:pPr>
        <w:pStyle w:val="ListParagraph"/>
        <w:autoSpaceDE w:val="0"/>
        <w:autoSpaceDN w:val="0"/>
        <w:adjustRightInd w:val="0"/>
        <w:ind w:left="1080" w:hanging="1080"/>
      </w:pPr>
      <w:r>
        <w:t>New activities evaluated in 2011 and planned for the 2012-2013 survey period:</w:t>
      </w:r>
    </w:p>
    <w:p w:rsidR="00F1112B" w:rsidRDefault="00F1112B" w:rsidP="00F1112B">
      <w:pPr>
        <w:pStyle w:val="ListParagraph"/>
        <w:autoSpaceDE w:val="0"/>
        <w:autoSpaceDN w:val="0"/>
        <w:adjustRightInd w:val="0"/>
        <w:ind w:left="1080" w:hanging="1080"/>
      </w:pPr>
      <w:r>
        <w:t xml:space="preserve"> </w:t>
      </w:r>
    </w:p>
    <w:p w:rsidR="00F1112B" w:rsidRDefault="00F1112B" w:rsidP="00F1112B">
      <w:pPr>
        <w:pStyle w:val="ListParagraph"/>
        <w:numPr>
          <w:ilvl w:val="0"/>
          <w:numId w:val="21"/>
        </w:numPr>
        <w:autoSpaceDE w:val="0"/>
        <w:autoSpaceDN w:val="0"/>
        <w:adjustRightInd w:val="0"/>
      </w:pPr>
      <w:r>
        <w:t>Introduce a provider-based supplement to assess asthma management by physicians/providers</w:t>
      </w:r>
    </w:p>
    <w:p w:rsidR="00F1112B" w:rsidRDefault="002E0A92" w:rsidP="00B755A7">
      <w:pPr>
        <w:pStyle w:val="ListParagraph"/>
        <w:numPr>
          <w:ilvl w:val="0"/>
          <w:numId w:val="21"/>
        </w:numPr>
        <w:autoSpaceDE w:val="0"/>
        <w:autoSpaceDN w:val="0"/>
        <w:adjustRightInd w:val="0"/>
      </w:pPr>
      <w:r>
        <w:t>Add items to the NAMCS-1 that evaluate a physician’s use of complementary and alternative medicine (CAM)</w:t>
      </w:r>
    </w:p>
    <w:p w:rsidR="009D466B" w:rsidRDefault="009609C3" w:rsidP="00B755A7">
      <w:pPr>
        <w:pStyle w:val="ListParagraph"/>
        <w:numPr>
          <w:ilvl w:val="0"/>
          <w:numId w:val="21"/>
        </w:numPr>
        <w:autoSpaceDE w:val="0"/>
        <w:autoSpaceDN w:val="0"/>
        <w:adjustRightInd w:val="0"/>
      </w:pPr>
      <w:r>
        <w:t xml:space="preserve">Computerize data collection </w:t>
      </w:r>
      <w:r w:rsidR="006A616A">
        <w:t xml:space="preserve">activities: </w:t>
      </w:r>
      <w:r w:rsidR="009A6522">
        <w:t xml:space="preserve">NAMCS-1 induction form and </w:t>
      </w:r>
      <w:r w:rsidR="009D466B">
        <w:t>PRF</w:t>
      </w:r>
    </w:p>
    <w:p w:rsidR="009D466B" w:rsidRDefault="00B755A7" w:rsidP="00B755A7">
      <w:pPr>
        <w:pStyle w:val="ListParagraph"/>
        <w:numPr>
          <w:ilvl w:val="0"/>
          <w:numId w:val="21"/>
        </w:numPr>
        <w:autoSpaceDE w:val="0"/>
        <w:autoSpaceDN w:val="0"/>
        <w:adjustRightInd w:val="0"/>
      </w:pPr>
      <w:r>
        <w:t>A</w:t>
      </w:r>
      <w:r w:rsidR="009D466B">
        <w:t xml:space="preserve">dd items (beginning in 2012) to the current NAMCS PRF to measure </w:t>
      </w:r>
      <w:r w:rsidR="003A505F">
        <w:t xml:space="preserve">risk factors and </w:t>
      </w:r>
      <w:r w:rsidR="009D466B">
        <w:t>medical care provided during the past 12 months (</w:t>
      </w:r>
      <w:proofErr w:type="spellStart"/>
      <w:r w:rsidR="00F04015">
        <w:t>lookback</w:t>
      </w:r>
      <w:proofErr w:type="spellEnd"/>
      <w:r w:rsidR="009D466B">
        <w:t xml:space="preserve"> module)</w:t>
      </w:r>
    </w:p>
    <w:p w:rsidR="009879E2" w:rsidRDefault="009879E2" w:rsidP="009879E2">
      <w:pPr>
        <w:pStyle w:val="ListParagraph"/>
        <w:autoSpaceDE w:val="0"/>
        <w:autoSpaceDN w:val="0"/>
        <w:adjustRightInd w:val="0"/>
        <w:ind w:left="1080"/>
      </w:pPr>
    </w:p>
    <w:p w:rsidR="000F5C92" w:rsidRDefault="00F22830" w:rsidP="009A6522">
      <w:pPr>
        <w:pStyle w:val="ListParagraph"/>
        <w:autoSpaceDE w:val="0"/>
        <w:autoSpaceDN w:val="0"/>
        <w:adjustRightInd w:val="0"/>
        <w:ind w:left="0"/>
      </w:pPr>
      <w:r>
        <w:t xml:space="preserve">New </w:t>
      </w:r>
      <w:r w:rsidR="009A6522">
        <w:t>electronic medical record (EMR)/electronic health record (EHR)</w:t>
      </w:r>
      <w:r>
        <w:t xml:space="preserve"> workflow supplemental survey </w:t>
      </w:r>
      <w:r w:rsidR="000C1E2E">
        <w:t xml:space="preserve">planned </w:t>
      </w:r>
      <w:r>
        <w:t>for the 2011-2013 survey period:</w:t>
      </w:r>
    </w:p>
    <w:p w:rsidR="002E0A92" w:rsidRDefault="00F22830" w:rsidP="00A2567D">
      <w:pPr>
        <w:pStyle w:val="ListParagraph"/>
        <w:autoSpaceDE w:val="0"/>
        <w:autoSpaceDN w:val="0"/>
        <w:adjustRightInd w:val="0"/>
        <w:ind w:left="1080" w:hanging="1080"/>
      </w:pPr>
      <w:r>
        <w:t xml:space="preserve"> </w:t>
      </w:r>
    </w:p>
    <w:p w:rsidR="00B755A7" w:rsidRDefault="00F22830" w:rsidP="00B755A7">
      <w:pPr>
        <w:pStyle w:val="ListParagraph"/>
        <w:numPr>
          <w:ilvl w:val="0"/>
          <w:numId w:val="21"/>
        </w:numPr>
        <w:autoSpaceDE w:val="0"/>
        <w:autoSpaceDN w:val="0"/>
        <w:adjustRightInd w:val="0"/>
      </w:pPr>
      <w:r>
        <w:t xml:space="preserve">Beginning in the </w:t>
      </w:r>
      <w:r w:rsidR="000B276F">
        <w:t>s</w:t>
      </w:r>
      <w:r>
        <w:t>pring of 2011, we will i</w:t>
      </w:r>
      <w:r w:rsidR="00B755A7">
        <w:t>ntroduce a provider-supplement to the EMR/EHR mail survey to assess physician workflow before and after EMR/EHR implementatio</w:t>
      </w:r>
      <w:r w:rsidR="005802B8">
        <w:t>n</w:t>
      </w:r>
    </w:p>
    <w:p w:rsidR="009D466B" w:rsidRDefault="009D466B" w:rsidP="00337391">
      <w:pPr>
        <w:autoSpaceDE w:val="0"/>
        <w:autoSpaceDN w:val="0"/>
        <w:adjustRightInd w:val="0"/>
      </w:pPr>
    </w:p>
    <w:p w:rsidR="006D1BD2" w:rsidRDefault="008734F0" w:rsidP="00337391">
      <w:pPr>
        <w:autoSpaceDE w:val="0"/>
        <w:autoSpaceDN w:val="0"/>
        <w:adjustRightInd w:val="0"/>
      </w:pPr>
      <w:r>
        <w:t xml:space="preserve">Continuing data </w:t>
      </w:r>
      <w:r w:rsidR="006D1BD2">
        <w:t>collection activities wit</w:t>
      </w:r>
      <w:r w:rsidR="00337391">
        <w:t>h no change at the present time:</w:t>
      </w:r>
    </w:p>
    <w:p w:rsidR="000F5C92" w:rsidRDefault="000F5C92" w:rsidP="00337391">
      <w:pPr>
        <w:autoSpaceDE w:val="0"/>
        <w:autoSpaceDN w:val="0"/>
        <w:adjustRightInd w:val="0"/>
      </w:pPr>
    </w:p>
    <w:p w:rsidR="00337391" w:rsidRDefault="004460B0" w:rsidP="00B755A7">
      <w:pPr>
        <w:pStyle w:val="ListParagraph"/>
        <w:numPr>
          <w:ilvl w:val="0"/>
          <w:numId w:val="22"/>
        </w:numPr>
        <w:autoSpaceDE w:val="0"/>
        <w:autoSpaceDN w:val="0"/>
        <w:adjustRightInd w:val="0"/>
      </w:pPr>
      <w:r>
        <w:t>P</w:t>
      </w:r>
      <w:r w:rsidR="00337391">
        <w:t>atient visits to office-based NAMCS physicians</w:t>
      </w:r>
      <w:r w:rsidR="00953E48">
        <w:t xml:space="preserve"> </w:t>
      </w:r>
    </w:p>
    <w:p w:rsidR="00337391" w:rsidRDefault="002A60EA" w:rsidP="00B755A7">
      <w:pPr>
        <w:pStyle w:val="ListParagraph"/>
        <w:numPr>
          <w:ilvl w:val="0"/>
          <w:numId w:val="22"/>
        </w:numPr>
        <w:autoSpaceDE w:val="0"/>
        <w:autoSpaceDN w:val="0"/>
        <w:adjustRightInd w:val="0"/>
      </w:pPr>
      <w:r>
        <w:t>P</w:t>
      </w:r>
      <w:r w:rsidR="00337391">
        <w:t>atient visits to physicians and mid-level providers at</w:t>
      </w:r>
      <w:r w:rsidR="003E40C7">
        <w:t xml:space="preserve"> </w:t>
      </w:r>
      <w:r w:rsidR="00B17483">
        <w:t>community health centers (</w:t>
      </w:r>
      <w:r w:rsidR="003E40C7">
        <w:t>CHCs</w:t>
      </w:r>
      <w:r w:rsidR="00B17483">
        <w:t>)</w:t>
      </w:r>
    </w:p>
    <w:p w:rsidR="00520B81" w:rsidRDefault="00337391" w:rsidP="00B755A7">
      <w:pPr>
        <w:pStyle w:val="ListParagraph"/>
        <w:numPr>
          <w:ilvl w:val="0"/>
          <w:numId w:val="22"/>
        </w:numPr>
        <w:autoSpaceDE w:val="0"/>
        <w:autoSpaceDN w:val="0"/>
        <w:adjustRightInd w:val="0"/>
      </w:pPr>
      <w:r>
        <w:t>EMR/EHR mail survey</w:t>
      </w:r>
    </w:p>
    <w:p w:rsidR="004B79DA" w:rsidRDefault="000968C2" w:rsidP="00B755A7">
      <w:pPr>
        <w:pStyle w:val="ListParagraph"/>
        <w:numPr>
          <w:ilvl w:val="0"/>
          <w:numId w:val="22"/>
        </w:numPr>
        <w:autoSpaceDE w:val="0"/>
        <w:autoSpaceDN w:val="0"/>
        <w:adjustRightInd w:val="0"/>
      </w:pPr>
      <w:r>
        <w:t xml:space="preserve">Laboratory values on the </w:t>
      </w:r>
      <w:r w:rsidR="0092117B">
        <w:t>Patient Record form (</w:t>
      </w:r>
      <w:r>
        <w:t>PRF</w:t>
      </w:r>
      <w:r w:rsidR="0092117B">
        <w:t>)</w:t>
      </w:r>
      <w:r>
        <w:t xml:space="preserve"> </w:t>
      </w:r>
      <w:r w:rsidR="00CB4CE1">
        <w:t xml:space="preserve">measuring </w:t>
      </w:r>
      <w:r w:rsidR="003A505F">
        <w:t xml:space="preserve">risk factors for </w:t>
      </w:r>
      <w:r>
        <w:t xml:space="preserve">cardiovascular </w:t>
      </w:r>
      <w:r w:rsidR="003A505F">
        <w:t>disease and d</w:t>
      </w:r>
      <w:r w:rsidR="0092117B">
        <w:t>iabetes</w:t>
      </w:r>
    </w:p>
    <w:p w:rsidR="00953E48" w:rsidRDefault="004B79DA" w:rsidP="00B755A7">
      <w:pPr>
        <w:pStyle w:val="ListParagraph"/>
        <w:numPr>
          <w:ilvl w:val="0"/>
          <w:numId w:val="22"/>
        </w:numPr>
        <w:autoSpaceDE w:val="0"/>
        <w:autoSpaceDN w:val="0"/>
        <w:adjustRightInd w:val="0"/>
      </w:pPr>
      <w:r>
        <w:t>Supplemental sample of 200 oncologists</w:t>
      </w:r>
      <w:r w:rsidR="000968C2">
        <w:t xml:space="preserve">  </w:t>
      </w:r>
    </w:p>
    <w:p w:rsidR="00520B81" w:rsidRDefault="00520B81" w:rsidP="00337391">
      <w:pPr>
        <w:autoSpaceDE w:val="0"/>
        <w:autoSpaceDN w:val="0"/>
        <w:adjustRightInd w:val="0"/>
        <w:ind w:left="720" w:hanging="360"/>
      </w:pPr>
    </w:p>
    <w:p w:rsidR="00520B81" w:rsidRPr="00AF52E6" w:rsidRDefault="00520B81" w:rsidP="00590CDB">
      <w:pPr>
        <w:autoSpaceDE w:val="0"/>
        <w:autoSpaceDN w:val="0"/>
        <w:adjustRightInd w:val="0"/>
        <w:rPr>
          <w:rFonts w:eastAsia="PMingLiU"/>
          <w:lang w:eastAsia="zh-TW"/>
        </w:rPr>
      </w:pPr>
      <w:r w:rsidRPr="00165B63">
        <w:rPr>
          <w:rFonts w:eastAsia="PMingLiU"/>
          <w:lang w:eastAsia="zh-TW"/>
        </w:rPr>
        <w:t xml:space="preserve">The </w:t>
      </w:r>
      <w:r w:rsidR="000B276F">
        <w:rPr>
          <w:rFonts w:eastAsia="PMingLiU"/>
          <w:lang w:eastAsia="zh-TW"/>
        </w:rPr>
        <w:t xml:space="preserve">continuing </w:t>
      </w:r>
      <w:r w:rsidRPr="00165B63">
        <w:rPr>
          <w:rFonts w:eastAsia="PMingLiU"/>
          <w:lang w:eastAsia="zh-TW"/>
        </w:rPr>
        <w:t>EMR/</w:t>
      </w:r>
      <w:r w:rsidR="00BD2D13">
        <w:rPr>
          <w:rFonts w:eastAsia="PMingLiU"/>
          <w:lang w:eastAsia="zh-TW"/>
        </w:rPr>
        <w:t>E</w:t>
      </w:r>
      <w:r w:rsidR="00B17483">
        <w:rPr>
          <w:rFonts w:eastAsia="PMingLiU"/>
          <w:lang w:eastAsia="zh-TW"/>
        </w:rPr>
        <w:t>H</w:t>
      </w:r>
      <w:r w:rsidR="00BD2D13">
        <w:rPr>
          <w:rFonts w:eastAsia="PMingLiU"/>
          <w:lang w:eastAsia="zh-TW"/>
        </w:rPr>
        <w:t xml:space="preserve">R mail </w:t>
      </w:r>
      <w:r w:rsidRPr="00165B63">
        <w:rPr>
          <w:rFonts w:eastAsia="PMingLiU"/>
          <w:lang w:eastAsia="zh-TW"/>
        </w:rPr>
        <w:t>survey</w:t>
      </w:r>
      <w:r w:rsidR="00B755A7">
        <w:rPr>
          <w:rFonts w:eastAsia="PMingLiU"/>
          <w:lang w:eastAsia="zh-TW"/>
        </w:rPr>
        <w:t xml:space="preserve"> is one</w:t>
      </w:r>
      <w:r w:rsidRPr="00165B63">
        <w:rPr>
          <w:rFonts w:eastAsia="PMingLiU"/>
          <w:lang w:eastAsia="zh-TW"/>
        </w:rPr>
        <w:t xml:space="preserve"> part of an ongoing project that involves the </w:t>
      </w:r>
      <w:r w:rsidRPr="00165B63">
        <w:rPr>
          <w:rStyle w:val="Emphasis"/>
          <w:b w:val="0"/>
        </w:rPr>
        <w:t>American Recovery and Reinvestment Act</w:t>
      </w:r>
      <w:r w:rsidRPr="00165B63">
        <w:t xml:space="preserve"> of 2009 (</w:t>
      </w:r>
      <w:r w:rsidRPr="00165B63">
        <w:rPr>
          <w:rFonts w:eastAsia="PMingLiU"/>
          <w:lang w:eastAsia="zh-TW"/>
        </w:rPr>
        <w:t>ARRA)</w:t>
      </w:r>
      <w:r w:rsidR="00133EAF">
        <w:rPr>
          <w:rFonts w:eastAsia="PMingLiU"/>
          <w:lang w:eastAsia="zh-TW"/>
        </w:rPr>
        <w:t xml:space="preserve"> (Public Law 111-5)</w:t>
      </w:r>
      <w:r w:rsidRPr="00165B63">
        <w:rPr>
          <w:rFonts w:eastAsia="PMingLiU"/>
          <w:lang w:eastAsia="zh-TW"/>
        </w:rPr>
        <w:t xml:space="preserve">. </w:t>
      </w:r>
      <w:r w:rsidR="000B276F">
        <w:rPr>
          <w:rFonts w:eastAsia="PMingLiU"/>
          <w:lang w:eastAsia="zh-TW"/>
        </w:rPr>
        <w:t>T</w:t>
      </w:r>
      <w:r w:rsidR="00B755A7">
        <w:rPr>
          <w:rFonts w:eastAsia="PMingLiU"/>
          <w:lang w:eastAsia="zh-TW"/>
        </w:rPr>
        <w:t>he new</w:t>
      </w:r>
      <w:r w:rsidR="007C1E8D">
        <w:rPr>
          <w:rFonts w:eastAsia="PMingLiU"/>
          <w:lang w:eastAsia="zh-TW"/>
        </w:rPr>
        <w:t xml:space="preserve"> ph</w:t>
      </w:r>
      <w:r w:rsidR="00A8437F">
        <w:rPr>
          <w:rFonts w:eastAsia="PMingLiU"/>
          <w:lang w:eastAsia="zh-TW"/>
        </w:rPr>
        <w:t>ysician workflow study</w:t>
      </w:r>
      <w:r w:rsidR="00D95BCA">
        <w:rPr>
          <w:rFonts w:eastAsia="PMingLiU"/>
          <w:lang w:eastAsia="zh-TW"/>
        </w:rPr>
        <w:t xml:space="preserve">, a longitudinal follow-up study, </w:t>
      </w:r>
      <w:r w:rsidR="007C1E8D">
        <w:rPr>
          <w:rFonts w:eastAsia="PMingLiU"/>
          <w:lang w:eastAsia="zh-TW"/>
        </w:rPr>
        <w:t>expand</w:t>
      </w:r>
      <w:r w:rsidR="00A8437F">
        <w:rPr>
          <w:rFonts w:eastAsia="PMingLiU"/>
          <w:lang w:eastAsia="zh-TW"/>
        </w:rPr>
        <w:t>s</w:t>
      </w:r>
      <w:r w:rsidR="007C1E8D">
        <w:rPr>
          <w:rFonts w:eastAsia="PMingLiU"/>
          <w:lang w:eastAsia="zh-TW"/>
        </w:rPr>
        <w:t xml:space="preserve"> </w:t>
      </w:r>
      <w:r w:rsidR="00590CDB">
        <w:rPr>
          <w:rFonts w:eastAsia="PMingLiU"/>
          <w:lang w:eastAsia="zh-TW"/>
        </w:rPr>
        <w:t xml:space="preserve">on </w:t>
      </w:r>
      <w:r w:rsidR="007C1E8D">
        <w:rPr>
          <w:rFonts w:eastAsia="PMingLiU"/>
          <w:lang w:eastAsia="zh-TW"/>
        </w:rPr>
        <w:t xml:space="preserve">the </w:t>
      </w:r>
      <w:r w:rsidR="00D95BCA">
        <w:rPr>
          <w:rFonts w:eastAsia="PMingLiU"/>
          <w:lang w:eastAsia="zh-TW"/>
        </w:rPr>
        <w:t xml:space="preserve">current </w:t>
      </w:r>
      <w:r w:rsidR="007C1E8D">
        <w:rPr>
          <w:rFonts w:eastAsia="PMingLiU"/>
          <w:lang w:eastAsia="zh-TW"/>
        </w:rPr>
        <w:t>EMR/EHR mail survey</w:t>
      </w:r>
      <w:r w:rsidR="00A8437F">
        <w:rPr>
          <w:rFonts w:eastAsia="PMingLiU"/>
          <w:lang w:eastAsia="zh-TW"/>
        </w:rPr>
        <w:t>.</w:t>
      </w:r>
      <w:r w:rsidR="007C1E8D">
        <w:rPr>
          <w:rFonts w:eastAsia="PMingLiU"/>
          <w:lang w:eastAsia="zh-TW"/>
        </w:rPr>
        <w:t xml:space="preserve"> </w:t>
      </w:r>
      <w:r w:rsidR="00D95BCA">
        <w:rPr>
          <w:rFonts w:eastAsia="PMingLiU"/>
          <w:lang w:eastAsia="zh-TW"/>
        </w:rPr>
        <w:t xml:space="preserve"> </w:t>
      </w:r>
      <w:r w:rsidR="00501489">
        <w:rPr>
          <w:rFonts w:eastAsia="PMingLiU"/>
          <w:lang w:eastAsia="zh-TW"/>
        </w:rPr>
        <w:t xml:space="preserve">Both the EMR/EHR and the physician workflow mail surveys help to measure progress towards </w:t>
      </w:r>
      <w:r w:rsidR="00D95BCA">
        <w:rPr>
          <w:rFonts w:eastAsia="PMingLiU"/>
          <w:lang w:eastAsia="zh-TW"/>
        </w:rPr>
        <w:t>Health Information Technology for Economic and Clinical Health (</w:t>
      </w:r>
      <w:r w:rsidR="00501489">
        <w:rPr>
          <w:rFonts w:eastAsia="PMingLiU"/>
          <w:lang w:eastAsia="zh-TW"/>
        </w:rPr>
        <w:t>HITECH</w:t>
      </w:r>
      <w:r w:rsidR="00D95BCA">
        <w:rPr>
          <w:rFonts w:eastAsia="PMingLiU"/>
          <w:lang w:eastAsia="zh-TW"/>
        </w:rPr>
        <w:t xml:space="preserve">) </w:t>
      </w:r>
      <w:r w:rsidR="00F91810">
        <w:rPr>
          <w:rFonts w:eastAsia="PMingLiU"/>
          <w:lang w:eastAsia="zh-TW"/>
        </w:rPr>
        <w:t xml:space="preserve">Act </w:t>
      </w:r>
      <w:r w:rsidR="00501489">
        <w:rPr>
          <w:rFonts w:eastAsia="PMingLiU"/>
          <w:lang w:eastAsia="zh-TW"/>
        </w:rPr>
        <w:t xml:space="preserve">program goals. </w:t>
      </w:r>
      <w:r w:rsidR="00A8437F">
        <w:rPr>
          <w:rFonts w:eastAsia="PMingLiU"/>
          <w:lang w:eastAsia="zh-TW"/>
        </w:rPr>
        <w:t xml:space="preserve">Additionally, the physician workflow study </w:t>
      </w:r>
      <w:r w:rsidR="00921C5D">
        <w:rPr>
          <w:rFonts w:eastAsia="PMingLiU"/>
          <w:lang w:eastAsia="zh-TW"/>
        </w:rPr>
        <w:t xml:space="preserve">addresses provisions of </w:t>
      </w:r>
      <w:r w:rsidR="000B276F">
        <w:rPr>
          <w:rFonts w:eastAsia="PMingLiU"/>
          <w:lang w:eastAsia="zh-TW"/>
        </w:rPr>
        <w:t xml:space="preserve">the </w:t>
      </w:r>
      <w:r w:rsidR="00A8437F">
        <w:rPr>
          <w:rFonts w:eastAsia="PMingLiU"/>
          <w:lang w:eastAsia="zh-TW"/>
        </w:rPr>
        <w:t>Patient Protection and Affordable Care Act of 2010 (</w:t>
      </w:r>
      <w:r w:rsidR="00590CDB">
        <w:rPr>
          <w:rFonts w:eastAsia="PMingLiU"/>
          <w:lang w:eastAsia="zh-TW"/>
        </w:rPr>
        <w:t>A</w:t>
      </w:r>
      <w:r w:rsidR="000F5C92">
        <w:rPr>
          <w:rFonts w:eastAsia="PMingLiU"/>
          <w:lang w:eastAsia="zh-TW"/>
        </w:rPr>
        <w:t>C</w:t>
      </w:r>
      <w:r w:rsidR="00590CDB">
        <w:rPr>
          <w:rFonts w:eastAsia="PMingLiU"/>
          <w:lang w:eastAsia="zh-TW"/>
        </w:rPr>
        <w:t>A</w:t>
      </w:r>
      <w:r w:rsidR="00A8437F">
        <w:rPr>
          <w:rFonts w:eastAsia="PMingLiU"/>
          <w:lang w:eastAsia="zh-TW"/>
        </w:rPr>
        <w:t>)</w:t>
      </w:r>
      <w:r w:rsidR="007C1E8D">
        <w:rPr>
          <w:rFonts w:eastAsia="PMingLiU"/>
          <w:lang w:eastAsia="zh-TW"/>
        </w:rPr>
        <w:t xml:space="preserve"> section 1561</w:t>
      </w:r>
      <w:r w:rsidR="006C14B3">
        <w:rPr>
          <w:rFonts w:eastAsia="PMingLiU"/>
          <w:lang w:eastAsia="zh-TW"/>
        </w:rPr>
        <w:t xml:space="preserve"> (Public Law 111-148)</w:t>
      </w:r>
      <w:r w:rsidR="007C1E8D">
        <w:rPr>
          <w:rFonts w:eastAsia="PMingLiU"/>
          <w:lang w:eastAsia="zh-TW"/>
        </w:rPr>
        <w:t xml:space="preserve">. </w:t>
      </w:r>
      <w:r w:rsidR="007C1E8D" w:rsidRPr="007C1E8D">
        <w:rPr>
          <w:rFonts w:eastAsia="PMingLiU"/>
          <w:lang w:eastAsia="zh-TW"/>
        </w:rPr>
        <w:t xml:space="preserve">Section 1561 requires </w:t>
      </w:r>
      <w:r w:rsidR="008F1756">
        <w:rPr>
          <w:rFonts w:eastAsia="PMingLiU"/>
          <w:lang w:eastAsia="zh-TW"/>
        </w:rPr>
        <w:t>the Department of Health and Human Services (</w:t>
      </w:r>
      <w:r w:rsidR="007C1E8D" w:rsidRPr="007C1E8D">
        <w:rPr>
          <w:rFonts w:eastAsia="PMingLiU"/>
          <w:lang w:eastAsia="zh-TW"/>
        </w:rPr>
        <w:t>HHS</w:t>
      </w:r>
      <w:r w:rsidR="008F1756">
        <w:rPr>
          <w:rFonts w:eastAsia="PMingLiU"/>
          <w:lang w:eastAsia="zh-TW"/>
        </w:rPr>
        <w:t>)</w:t>
      </w:r>
      <w:r w:rsidR="007C1E8D" w:rsidRPr="007C1E8D">
        <w:rPr>
          <w:rFonts w:eastAsia="PMingLiU"/>
          <w:lang w:eastAsia="zh-TW"/>
        </w:rPr>
        <w:t>, in consultation with the Health Information Technology (HIT) Policy Committee a</w:t>
      </w:r>
      <w:r w:rsidR="00590CDB">
        <w:rPr>
          <w:rFonts w:eastAsia="PMingLiU"/>
          <w:lang w:eastAsia="zh-TW"/>
        </w:rPr>
        <w:t xml:space="preserve">nd the HIT Standards Committee, </w:t>
      </w:r>
      <w:r w:rsidR="007C1E8D" w:rsidRPr="007C1E8D">
        <w:rPr>
          <w:rFonts w:eastAsia="PMingLiU"/>
          <w:lang w:eastAsia="zh-TW"/>
        </w:rPr>
        <w:t>to develop interoperable and secure standards and protocols that facilitate electronic enrol</w:t>
      </w:r>
      <w:r w:rsidR="00AF52E6">
        <w:rPr>
          <w:rFonts w:eastAsia="PMingLiU"/>
          <w:lang w:eastAsia="zh-TW"/>
        </w:rPr>
        <w:t>lment</w:t>
      </w:r>
      <w:r w:rsidR="00A8437F">
        <w:rPr>
          <w:rFonts w:eastAsia="PMingLiU"/>
          <w:lang w:eastAsia="zh-TW"/>
        </w:rPr>
        <w:t xml:space="preserve"> </w:t>
      </w:r>
      <w:r w:rsidR="00AF52E6" w:rsidRPr="00AF52E6">
        <w:rPr>
          <w:rFonts w:eastAsia="PMingLiU"/>
          <w:lang w:eastAsia="zh-TW"/>
        </w:rPr>
        <w:t>to encourage adoption of modern electronic systems</w:t>
      </w:r>
      <w:r w:rsidR="00C530AC">
        <w:rPr>
          <w:rFonts w:eastAsia="PMingLiU"/>
          <w:lang w:eastAsia="zh-TW"/>
        </w:rPr>
        <w:t xml:space="preserve">. </w:t>
      </w:r>
      <w:r w:rsidR="00501489">
        <w:rPr>
          <w:rFonts w:eastAsia="PMingLiU"/>
          <w:lang w:eastAsia="zh-TW"/>
        </w:rPr>
        <w:t>The main purpose of the physician workflow survey is to better understand physician experiences at various levels of E</w:t>
      </w:r>
      <w:r w:rsidR="009F10AA">
        <w:rPr>
          <w:rFonts w:eastAsia="PMingLiU"/>
          <w:lang w:eastAsia="zh-TW"/>
        </w:rPr>
        <w:t>H</w:t>
      </w:r>
      <w:r w:rsidR="00501489">
        <w:rPr>
          <w:rFonts w:eastAsia="PMingLiU"/>
          <w:lang w:eastAsia="zh-TW"/>
        </w:rPr>
        <w:t xml:space="preserve">R adoption and use in order to develop and inform policies that facilitate the adoption of modern electronic systems.  </w:t>
      </w:r>
      <w:r w:rsidR="00C530AC">
        <w:rPr>
          <w:rFonts w:eastAsia="PMingLiU"/>
          <w:lang w:eastAsia="zh-TW"/>
        </w:rPr>
        <w:t>The</w:t>
      </w:r>
      <w:r w:rsidR="00590CDB">
        <w:rPr>
          <w:rFonts w:eastAsia="PMingLiU"/>
          <w:lang w:eastAsia="zh-TW"/>
        </w:rPr>
        <w:t xml:space="preserve"> aim of both th</w:t>
      </w:r>
      <w:r w:rsidR="00C530AC">
        <w:rPr>
          <w:rFonts w:eastAsia="PMingLiU"/>
          <w:lang w:eastAsia="zh-TW"/>
        </w:rPr>
        <w:t xml:space="preserve">e HITECH </w:t>
      </w:r>
      <w:r w:rsidR="000B276F">
        <w:rPr>
          <w:rFonts w:eastAsia="PMingLiU"/>
          <w:lang w:eastAsia="zh-TW"/>
        </w:rPr>
        <w:t>A</w:t>
      </w:r>
      <w:r w:rsidR="00C530AC">
        <w:rPr>
          <w:rFonts w:eastAsia="PMingLiU"/>
          <w:lang w:eastAsia="zh-TW"/>
        </w:rPr>
        <w:t>ct and A</w:t>
      </w:r>
      <w:r w:rsidR="00AC48D5">
        <w:rPr>
          <w:rFonts w:eastAsia="PMingLiU"/>
          <w:lang w:eastAsia="zh-TW"/>
        </w:rPr>
        <w:t>C</w:t>
      </w:r>
      <w:r w:rsidR="00C530AC">
        <w:rPr>
          <w:rFonts w:eastAsia="PMingLiU"/>
          <w:lang w:eastAsia="zh-TW"/>
        </w:rPr>
        <w:t xml:space="preserve">A include </w:t>
      </w:r>
      <w:r w:rsidR="00590CDB">
        <w:rPr>
          <w:rFonts w:eastAsia="PMingLiU"/>
          <w:lang w:eastAsia="zh-TW"/>
        </w:rPr>
        <w:t>e</w:t>
      </w:r>
      <w:r w:rsidR="00590CDB" w:rsidRPr="00590CDB">
        <w:rPr>
          <w:rFonts w:eastAsia="PMingLiU"/>
          <w:lang w:eastAsia="zh-TW"/>
        </w:rPr>
        <w:t>nhanc</w:t>
      </w:r>
      <w:r w:rsidR="00C530AC">
        <w:rPr>
          <w:rFonts w:eastAsia="PMingLiU"/>
          <w:lang w:eastAsia="zh-TW"/>
        </w:rPr>
        <w:t>ing</w:t>
      </w:r>
      <w:r w:rsidR="00EE0B05">
        <w:rPr>
          <w:rFonts w:eastAsia="PMingLiU"/>
          <w:lang w:eastAsia="zh-TW"/>
        </w:rPr>
        <w:t xml:space="preserve"> efficiency and improving</w:t>
      </w:r>
      <w:r w:rsidR="00590CDB" w:rsidRPr="00590CDB">
        <w:rPr>
          <w:rFonts w:eastAsia="PMingLiU"/>
          <w:lang w:eastAsia="zh-TW"/>
        </w:rPr>
        <w:t xml:space="preserve"> quality in the health care system</w:t>
      </w:r>
      <w:r w:rsidR="00590CDB">
        <w:rPr>
          <w:rFonts w:eastAsia="PMingLiU"/>
          <w:lang w:eastAsia="zh-TW"/>
        </w:rPr>
        <w:t>, e</w:t>
      </w:r>
      <w:r w:rsidR="00590CDB" w:rsidRPr="00590CDB">
        <w:rPr>
          <w:rFonts w:eastAsia="PMingLiU"/>
          <w:lang w:eastAsia="zh-TW"/>
        </w:rPr>
        <w:t>xpand</w:t>
      </w:r>
      <w:r w:rsidR="00C530AC">
        <w:rPr>
          <w:rFonts w:eastAsia="PMingLiU"/>
          <w:lang w:eastAsia="zh-TW"/>
        </w:rPr>
        <w:t>ing</w:t>
      </w:r>
      <w:r w:rsidR="00590CDB" w:rsidRPr="00590CDB">
        <w:rPr>
          <w:rFonts w:eastAsia="PMingLiU"/>
          <w:lang w:eastAsia="zh-TW"/>
        </w:rPr>
        <w:t xml:space="preserve"> access to care</w:t>
      </w:r>
      <w:r w:rsidR="00590CDB">
        <w:rPr>
          <w:rFonts w:eastAsia="PMingLiU"/>
          <w:lang w:eastAsia="zh-TW"/>
        </w:rPr>
        <w:t>, and i</w:t>
      </w:r>
      <w:r w:rsidR="00590CDB" w:rsidRPr="00590CDB">
        <w:rPr>
          <w:rFonts w:eastAsia="PMingLiU"/>
          <w:lang w:eastAsia="zh-TW"/>
        </w:rPr>
        <w:t>mprov</w:t>
      </w:r>
      <w:r w:rsidR="00EE0B05">
        <w:rPr>
          <w:rFonts w:eastAsia="PMingLiU"/>
          <w:lang w:eastAsia="zh-TW"/>
        </w:rPr>
        <w:t>ing</w:t>
      </w:r>
      <w:r w:rsidR="00590CDB" w:rsidRPr="00590CDB">
        <w:rPr>
          <w:rFonts w:eastAsia="PMingLiU"/>
          <w:lang w:eastAsia="zh-TW"/>
        </w:rPr>
        <w:t xml:space="preserve"> patient health</w:t>
      </w:r>
      <w:r w:rsidR="00AF52E6" w:rsidRPr="00AF52E6">
        <w:rPr>
          <w:rFonts w:eastAsia="PMingLiU"/>
          <w:lang w:eastAsia="zh-TW"/>
        </w:rPr>
        <w:t>.</w:t>
      </w:r>
      <w:r w:rsidR="00501489">
        <w:rPr>
          <w:rFonts w:eastAsia="PMingLiU"/>
          <w:lang w:eastAsia="zh-TW"/>
        </w:rPr>
        <w:t xml:space="preserve">  </w:t>
      </w:r>
      <w:r w:rsidR="00EE0B05">
        <w:rPr>
          <w:rFonts w:eastAsia="PMingLiU"/>
          <w:lang w:eastAsia="zh-TW"/>
        </w:rPr>
        <w:t>T</w:t>
      </w:r>
      <w:r w:rsidR="00501489">
        <w:rPr>
          <w:rFonts w:eastAsia="PMingLiU"/>
          <w:lang w:eastAsia="zh-TW"/>
        </w:rPr>
        <w:t>he EMR/E</w:t>
      </w:r>
      <w:r w:rsidR="009F10AA">
        <w:rPr>
          <w:rFonts w:eastAsia="PMingLiU"/>
          <w:lang w:eastAsia="zh-TW"/>
        </w:rPr>
        <w:t>H</w:t>
      </w:r>
      <w:r w:rsidR="00501489">
        <w:rPr>
          <w:rFonts w:eastAsia="PMingLiU"/>
          <w:lang w:eastAsia="zh-TW"/>
        </w:rPr>
        <w:t>R</w:t>
      </w:r>
      <w:r w:rsidR="007C30EA">
        <w:rPr>
          <w:rFonts w:eastAsia="PMingLiU"/>
          <w:lang w:eastAsia="zh-TW"/>
        </w:rPr>
        <w:t xml:space="preserve"> and Workflow surveys will provide important information that will aid in the evaluation and implementation of ARRA and ACA</w:t>
      </w:r>
      <w:r w:rsidR="00501489">
        <w:rPr>
          <w:rFonts w:eastAsia="PMingLiU"/>
          <w:lang w:eastAsia="zh-TW"/>
        </w:rPr>
        <w:t xml:space="preserve"> </w:t>
      </w:r>
      <w:r w:rsidR="007C30EA">
        <w:rPr>
          <w:rFonts w:eastAsia="PMingLiU"/>
          <w:lang w:eastAsia="zh-TW"/>
        </w:rPr>
        <w:t>goals.</w:t>
      </w:r>
      <w:r w:rsidR="00AC48D5">
        <w:rPr>
          <w:rFonts w:eastAsia="PMingLiU"/>
          <w:lang w:eastAsia="zh-TW"/>
        </w:rPr>
        <w:t xml:space="preserve">  </w:t>
      </w:r>
    </w:p>
    <w:p w:rsidR="00793D4E" w:rsidRDefault="00793D4E" w:rsidP="00793D4E">
      <w:pPr>
        <w:autoSpaceDE w:val="0"/>
        <w:autoSpaceDN w:val="0"/>
        <w:adjustRightInd w:val="0"/>
        <w:ind w:left="720" w:hanging="360"/>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Typically throughout a survey period, slight modifications to the forms are needed</w:t>
      </w:r>
      <w:r w:rsidR="003A505F">
        <w:rPr>
          <w:rFonts w:ascii="Times New Roman" w:hAnsi="Times New Roman"/>
          <w:bCs/>
          <w:color w:val="000000"/>
        </w:rPr>
        <w:t>.  T</w:t>
      </w:r>
      <w:r>
        <w:rPr>
          <w:rFonts w:ascii="Times New Roman" w:hAnsi="Times New Roman"/>
          <w:bCs/>
          <w:color w:val="000000"/>
        </w:rPr>
        <w:t>herefore, in addition to the requested approval summarized above and herein, we are also requesting the ability to submit non-substantive change packages, as needed, for form modifications occurring throughout the 201</w:t>
      </w:r>
      <w:r w:rsidR="00D878AE">
        <w:rPr>
          <w:rFonts w:ascii="Times New Roman" w:hAnsi="Times New Roman"/>
          <w:bCs/>
          <w:color w:val="000000"/>
        </w:rPr>
        <w:t>1</w:t>
      </w:r>
      <w:r>
        <w:rPr>
          <w:rFonts w:ascii="Times New Roman" w:hAnsi="Times New Roman"/>
          <w:bCs/>
          <w:color w:val="000000"/>
        </w:rPr>
        <w:t>-201</w:t>
      </w:r>
      <w:r w:rsidR="00D878AE">
        <w:rPr>
          <w:rFonts w:ascii="Times New Roman" w:hAnsi="Times New Roman"/>
          <w:bCs/>
          <w:color w:val="000000"/>
        </w:rPr>
        <w:t>3</w:t>
      </w:r>
      <w:r>
        <w:rPr>
          <w:rFonts w:ascii="Times New Roman" w:hAnsi="Times New Roman"/>
          <w:bCs/>
          <w:color w:val="000000"/>
        </w:rPr>
        <w:t xml:space="preserve"> study period.  </w:t>
      </w:r>
      <w:r w:rsidR="003D1437">
        <w:rPr>
          <w:rFonts w:ascii="Times New Roman" w:hAnsi="Times New Roman"/>
          <w:bCs/>
          <w:color w:val="000000"/>
        </w:rPr>
        <w:t>If less money is approved</w:t>
      </w:r>
      <w:r w:rsidR="00885724">
        <w:rPr>
          <w:rFonts w:ascii="Times New Roman" w:hAnsi="Times New Roman"/>
          <w:bCs/>
          <w:color w:val="000000"/>
        </w:rPr>
        <w:t xml:space="preserve"> for a sample size increase in the 2011 budget</w:t>
      </w:r>
      <w:r w:rsidR="003D1437">
        <w:rPr>
          <w:rFonts w:ascii="Times New Roman" w:hAnsi="Times New Roman"/>
          <w:bCs/>
          <w:color w:val="000000"/>
        </w:rPr>
        <w:t xml:space="preserve">, OMB will be notified of the exact changes in sample size through a nonsubstantive change request.  </w:t>
      </w:r>
      <w:r w:rsidR="001C3F28">
        <w:rPr>
          <w:rFonts w:ascii="Times New Roman" w:hAnsi="Times New Roman"/>
          <w:bCs/>
          <w:color w:val="000000"/>
        </w:rPr>
        <w:t>A three-year clearance is requested.</w:t>
      </w:r>
      <w:r>
        <w:rPr>
          <w:rFonts w:ascii="Times New Roman" w:hAnsi="Times New Roman"/>
          <w:bCs/>
          <w:color w:val="000000"/>
        </w:rPr>
        <w:t xml:space="preserve">  </w:t>
      </w:r>
    </w:p>
    <w:p w:rsidR="003D1437" w:rsidRDefault="003D14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A.  Justification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1.  Circumstances Making the Collection of Information Necessary</w:t>
      </w:r>
    </w:p>
    <w:p w:rsidR="00A8437F" w:rsidRDefault="00A8437F" w:rsidP="00A8437F">
      <w:pPr>
        <w:autoSpaceDE w:val="0"/>
        <w:autoSpaceDN w:val="0"/>
        <w:adjustRightInd w:val="0"/>
        <w:outlineLvl w:val="0"/>
        <w:rPr>
          <w:u w:val="single"/>
        </w:rPr>
      </w:pPr>
    </w:p>
    <w:p w:rsidR="000D22F5" w:rsidRDefault="000D22F5" w:rsidP="000D22F5">
      <w:pPr>
        <w:outlineLvl w:val="0"/>
      </w:pPr>
      <w:r w:rsidRPr="00E9203E">
        <w:t>Background</w:t>
      </w:r>
    </w:p>
    <w:p w:rsidR="000D22F5" w:rsidRDefault="000D22F5" w:rsidP="000D22F5"/>
    <w:p w:rsidR="000D22F5" w:rsidRDefault="000D22F5" w:rsidP="000D22F5">
      <w:r>
        <w:t>NAMCS was conducted from 1973 through 1981, in 1985, and since 1989 has been an annual survey.  The breaks in data collection from 1982 through 1984 and 1986 through 1988 were due primarily to budget constraints.  The survey is conducted under authority of Section 306 of the Public Health Service Act (42 USC 242k) (</w:t>
      </w:r>
      <w:r w:rsidRPr="00204054">
        <w:rPr>
          <w:b/>
        </w:rPr>
        <w:t xml:space="preserve">Attachment </w:t>
      </w:r>
      <w:r w:rsidR="00204054">
        <w:rPr>
          <w:b/>
        </w:rPr>
        <w:t>A</w:t>
      </w:r>
      <w:r>
        <w:t xml:space="preserve">).  </w:t>
      </w:r>
    </w:p>
    <w:p w:rsidR="000D22F5" w:rsidRDefault="000D22F5" w:rsidP="00A8437F">
      <w:pPr>
        <w:autoSpaceDE w:val="0"/>
        <w:autoSpaceDN w:val="0"/>
        <w:adjustRightInd w:val="0"/>
        <w:outlineLvl w:val="0"/>
      </w:pPr>
    </w:p>
    <w:p w:rsidR="00E40ACA" w:rsidRDefault="00E40ACA" w:rsidP="000D22F5">
      <w:pPr>
        <w:outlineLvl w:val="0"/>
        <w:rPr>
          <w:u w:val="single"/>
        </w:rPr>
      </w:pPr>
    </w:p>
    <w:p w:rsidR="000D22F5" w:rsidRDefault="000858A2" w:rsidP="000D22F5">
      <w:pPr>
        <w:outlineLvl w:val="0"/>
        <w:rPr>
          <w:u w:val="single"/>
        </w:rPr>
      </w:pPr>
      <w:r>
        <w:rPr>
          <w:u w:val="single"/>
        </w:rPr>
        <w:t>Core</w:t>
      </w:r>
      <w:r w:rsidR="00AE7643">
        <w:rPr>
          <w:u w:val="single"/>
        </w:rPr>
        <w:t xml:space="preserve"> </w:t>
      </w:r>
      <w:r w:rsidR="000D22F5">
        <w:rPr>
          <w:u w:val="single"/>
        </w:rPr>
        <w:t>NAMCS</w:t>
      </w:r>
    </w:p>
    <w:p w:rsidR="000D22F5" w:rsidRDefault="000D22F5" w:rsidP="000D22F5"/>
    <w:p w:rsidR="000D22F5" w:rsidRDefault="00AE7643" w:rsidP="000D22F5">
      <w:r>
        <w:t xml:space="preserve">The core NAMCS refers to (1) the traditional sample of nonfederal office-based physicians, and (2) physicians and mid-level providers sampled in federally funded community health centers (CHCs).  </w:t>
      </w:r>
      <w:r w:rsidR="000D22F5">
        <w:t xml:space="preserve">The specific purpose of </w:t>
      </w:r>
      <w:r w:rsidR="00E8597A">
        <w:t xml:space="preserve">the </w:t>
      </w:r>
      <w:r>
        <w:t xml:space="preserve">core </w:t>
      </w:r>
      <w:r w:rsidR="000D22F5">
        <w:t xml:space="preserve">NAMCS is to meet the needs and demands for statistical information about the provision of ambulatory medical care services in the United States, and as such, fulfills one of </w:t>
      </w:r>
      <w:r w:rsidR="0013249C">
        <w:t xml:space="preserve">NCHS </w:t>
      </w:r>
      <w:r w:rsidR="000D22F5">
        <w:t xml:space="preserve">missions, to monitor the nation’s health.  Ambulatory services are rendered in a wide variety of settings, including physician offices and hospital outpatient and emergency departments.  Since more than 80 percent of all direct ambulatory medical care visits occur in physician offices, NAMCS provides data on the majority of ambulatory medical care services.  To complement these data, the </w:t>
      </w:r>
      <w:smartTag w:uri="urn:schemas-microsoft-com:office:smarttags" w:element="place">
        <w:smartTag w:uri="urn:schemas-microsoft-com:office:smarttags" w:element="PlaceName">
          <w:r w:rsidR="000D22F5">
            <w:t>National</w:t>
          </w:r>
        </w:smartTag>
        <w:r w:rsidR="000D22F5">
          <w:t xml:space="preserve"> </w:t>
        </w:r>
        <w:smartTag w:uri="urn:schemas-microsoft-com:office:smarttags" w:element="PlaceType">
          <w:r w:rsidR="000D22F5">
            <w:t>Center</w:t>
          </w:r>
        </w:smartTag>
      </w:smartTag>
      <w:r w:rsidR="000D22F5">
        <w:t xml:space="preserve"> for Health Statistics (NCHS) initiated the National Hospital Ambulatory Medical Care Survey (NHAMCS) (OMB No. 0920-0278) in 1992 to provide data on patient visits to hospital outpatient and emergency departments.  </w:t>
      </w:r>
    </w:p>
    <w:p w:rsidR="000D22F5" w:rsidRDefault="000D22F5" w:rsidP="000D22F5"/>
    <w:p w:rsidR="000D22F5" w:rsidRDefault="000D22F5" w:rsidP="000D22F5">
      <w:r>
        <w:t xml:space="preserve">In addition to health care provided </w:t>
      </w:r>
      <w:r w:rsidR="0013249C">
        <w:t>in</w:t>
      </w:r>
      <w:r>
        <w:t xml:space="preserve"> physician offices and outpatient and emergency departments, CHCs play an important role in the health care community by providing care to people who might not be able to afford it otherwise.</w:t>
      </w:r>
      <w:r w:rsidR="00AE7643">
        <w:t xml:space="preserve">  </w:t>
      </w:r>
      <w:r>
        <w:t>Specifically, CHCs are local, non-profit, community-owned health care providers which serve approximately 13 million individuals throughout the United States.  Research has shown that up to 4 percent of all primary care visits and 10 percent of all visits by uninsured patients are made to CHCs.  Prior to 2006, visits made to CHCs</w:t>
      </w:r>
      <w:r w:rsidR="000C5D13">
        <w:t xml:space="preserve">, although captured in NAMCS, </w:t>
      </w:r>
      <w:r>
        <w:t>were</w:t>
      </w:r>
      <w:r w:rsidR="00AE7643">
        <w:t xml:space="preserve"> </w:t>
      </w:r>
      <w:r w:rsidR="000C5D13">
        <w:t xml:space="preserve">not purposely included in the sampling plan; </w:t>
      </w:r>
      <w:r w:rsidR="00EC6AE7">
        <w:t xml:space="preserve">at that time, </w:t>
      </w:r>
      <w:r w:rsidR="000C5D13">
        <w:t xml:space="preserve">CHCs did not represent a separate NAMCS stratum.  </w:t>
      </w:r>
      <w:r>
        <w:t xml:space="preserve">In an attempt to obtain a more accurate picture of health care provided in the United States, a sample of 104 CHCs was included in the 2006 NAMCS panel.  There has been annual data collection since that time, and these settings will continue to be sampled in 2011-2013.  </w:t>
      </w:r>
    </w:p>
    <w:p w:rsidR="000D22F5" w:rsidRDefault="000D22F5" w:rsidP="000D22F5"/>
    <w:p w:rsidR="000D22F5" w:rsidRDefault="000D22F5" w:rsidP="000D22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NAMCS is part of the ambulatory care component of the National Health Care Surveys (NHCS), a family of provider-based surveys that capture health care utilization from a variety of settings, including hospital inpatient and long-term care facilities.  NCHS surveys of health care providers, including NAMCS, National Hospital Discharge Survey (OMB No. 0920-0212), National Nursing Home Survey (OMB No. 0920-0353), National Home and Hospice Care Survey (OMB No. 0920-0298), National Survey of Residential Care Facilities (OMB No. 0920-0780) and NHAMCS, have been modified and expanded into this integrated NHCS.   </w:t>
      </w:r>
    </w:p>
    <w:p w:rsidR="000D22F5" w:rsidRDefault="000D22F5" w:rsidP="000D22F5">
      <w:pPr>
        <w:rPr>
          <w:b/>
          <w:bCs/>
        </w:rPr>
      </w:pPr>
    </w:p>
    <w:p w:rsidR="000D22F5" w:rsidRDefault="000D22F5" w:rsidP="000D22F5">
      <w:r>
        <w:t>Other justifications for conducting NAMCS include the need for more complete ambulatory medical care data to study (1) the performance of the U</w:t>
      </w:r>
      <w:r w:rsidR="000B276F">
        <w:t>.</w:t>
      </w:r>
      <w:r>
        <w:t>S</w:t>
      </w:r>
      <w:r w:rsidR="000B276F">
        <w:t>.</w:t>
      </w:r>
      <w:r>
        <w:t xml:space="preserve"> health care system, (2) </w:t>
      </w:r>
      <w:r w:rsidR="000B276F">
        <w:t xml:space="preserve">care for </w:t>
      </w:r>
      <w:r>
        <w:t xml:space="preserve">the rapidly aging population, (3) </w:t>
      </w:r>
      <w:r w:rsidR="000B276F">
        <w:t xml:space="preserve">changes in services as </w:t>
      </w:r>
      <w:r>
        <w:t>health insurance</w:t>
      </w:r>
      <w:r w:rsidR="000B276F">
        <w:t xml:space="preserve"> coverage change</w:t>
      </w:r>
      <w:r>
        <w:t xml:space="preserve">, (4) the introduction of new medical technologies, and (5) the adoption of electronic </w:t>
      </w:r>
      <w:r w:rsidR="000B276F">
        <w:t xml:space="preserve">health </w:t>
      </w:r>
      <w:r>
        <w:t xml:space="preserve">records.  As a result of these societal changes, there has been considerable diversification in the organization, financing, and technological delivery of ambulatory medical care.  This diversification is evidenced by the proliferation of insurance and benefit alternatives for individuals, the development of new forms of physician group practices and practice arrangements, and growth in the number of alternative sites of care.  </w:t>
      </w:r>
    </w:p>
    <w:p w:rsidR="00F94818" w:rsidRDefault="00F94818" w:rsidP="00A8437F">
      <w:pPr>
        <w:autoSpaceDE w:val="0"/>
        <w:autoSpaceDN w:val="0"/>
        <w:adjustRightInd w:val="0"/>
        <w:outlineLvl w:val="0"/>
        <w:rPr>
          <w:u w:val="single"/>
        </w:rPr>
      </w:pPr>
    </w:p>
    <w:p w:rsidR="000D22F5" w:rsidRPr="00F94818" w:rsidRDefault="00F94818" w:rsidP="00A8437F">
      <w:pPr>
        <w:autoSpaceDE w:val="0"/>
        <w:autoSpaceDN w:val="0"/>
        <w:adjustRightInd w:val="0"/>
        <w:outlineLvl w:val="0"/>
        <w:rPr>
          <w:u w:val="single"/>
        </w:rPr>
      </w:pPr>
      <w:r w:rsidRPr="00F94818">
        <w:rPr>
          <w:u w:val="single"/>
        </w:rPr>
        <w:t xml:space="preserve">New/modified activities planned for the 2011-1013 survey </w:t>
      </w:r>
      <w:proofErr w:type="gramStart"/>
      <w:r w:rsidRPr="00F94818">
        <w:rPr>
          <w:u w:val="single"/>
        </w:rPr>
        <w:t>period</w:t>
      </w:r>
      <w:proofErr w:type="gramEnd"/>
    </w:p>
    <w:p w:rsidR="00F94818" w:rsidRDefault="00F94818" w:rsidP="00A8437F">
      <w:pPr>
        <w:autoSpaceDE w:val="0"/>
        <w:autoSpaceDN w:val="0"/>
        <w:adjustRightInd w:val="0"/>
        <w:outlineLvl w:val="0"/>
      </w:pPr>
    </w:p>
    <w:p w:rsidR="000D22F5" w:rsidRDefault="00F94818" w:rsidP="00A8437F">
      <w:pPr>
        <w:pStyle w:val="ListParagraph"/>
        <w:numPr>
          <w:ilvl w:val="0"/>
          <w:numId w:val="27"/>
        </w:numPr>
        <w:tabs>
          <w:tab w:val="left" w:pos="0"/>
        </w:tabs>
        <w:autoSpaceDE w:val="0"/>
        <w:autoSpaceDN w:val="0"/>
        <w:adjustRightInd w:val="0"/>
        <w:ind w:left="360"/>
        <w:outlineLvl w:val="0"/>
      </w:pPr>
      <w:r>
        <w:t>Additional Office-Based Physicians</w:t>
      </w:r>
    </w:p>
    <w:p w:rsidR="00A8437F" w:rsidRDefault="00A8437F" w:rsidP="00A8437F">
      <w:pPr>
        <w:autoSpaceDE w:val="0"/>
        <w:autoSpaceDN w:val="0"/>
        <w:adjustRightInd w:val="0"/>
      </w:pPr>
    </w:p>
    <w:p w:rsidR="00972D09" w:rsidRPr="00972D09" w:rsidRDefault="00A8437F" w:rsidP="00972D09">
      <w:pPr>
        <w:autoSpaceDE w:val="0"/>
        <w:autoSpaceDN w:val="0"/>
        <w:adjustRightInd w:val="0"/>
      </w:pPr>
      <w:r>
        <w:t>The NAMCS sample will be supplemented with an additional 1,</w:t>
      </w:r>
      <w:r w:rsidR="009C5B96">
        <w:t>7</w:t>
      </w:r>
      <w:r>
        <w:t xml:space="preserve">00 office-based physicians annually for 2011-2013.  The proposed sample </w:t>
      </w:r>
      <w:r w:rsidRPr="000E0D13">
        <w:t xml:space="preserve">will include 3,000 physicians </w:t>
      </w:r>
      <w:r>
        <w:t xml:space="preserve">for the historical sample size, a continued supplement from 2010 of </w:t>
      </w:r>
      <w:r w:rsidRPr="000E0D13">
        <w:t>200 oncologists, and an additional 1,</w:t>
      </w:r>
      <w:r>
        <w:t>5</w:t>
      </w:r>
      <w:r w:rsidRPr="000E0D13">
        <w:t xml:space="preserve">00 office-based physicians.  </w:t>
      </w:r>
      <w:r>
        <w:t xml:space="preserve">Five-hundred of the proposed 1,500 additional physicians will be </w:t>
      </w:r>
      <w:r w:rsidRPr="000E0D13">
        <w:t>funded by</w:t>
      </w:r>
      <w:r>
        <w:t xml:space="preserve"> the </w:t>
      </w:r>
      <w:r w:rsidR="00C42E45">
        <w:t>Patient Protection and Affordable Care Act of 2010</w:t>
      </w:r>
      <w:r>
        <w:t xml:space="preserve">, and the other 1,000 from the </w:t>
      </w:r>
      <w:r w:rsidRPr="000E0D13">
        <w:t>President’s general budget.</w:t>
      </w:r>
      <w:r>
        <w:t xml:space="preserve">  </w:t>
      </w:r>
      <w:r w:rsidR="00B70207">
        <w:t xml:space="preserve">Finances for the additional 500 physicians have been approved; however, finances for the 1,000 supplemental physicians have not yet been approved.  </w:t>
      </w:r>
      <w:r w:rsidR="00062379">
        <w:t xml:space="preserve">Once the </w:t>
      </w:r>
      <w:r>
        <w:t xml:space="preserve">President’s </w:t>
      </w:r>
      <w:r w:rsidR="00062379">
        <w:t xml:space="preserve">2011 </w:t>
      </w:r>
      <w:r>
        <w:t>budget is passed, the additional 1,</w:t>
      </w:r>
      <w:r w:rsidR="00B70207">
        <w:t>0</w:t>
      </w:r>
      <w:r>
        <w:t>00 physicians will be included in the 3</w:t>
      </w:r>
      <w:r w:rsidRPr="00F93452">
        <w:rPr>
          <w:vertAlign w:val="superscript"/>
        </w:rPr>
        <w:t>rd</w:t>
      </w:r>
      <w:r>
        <w:t xml:space="preserve"> and 4</w:t>
      </w:r>
      <w:r w:rsidRPr="00F93452">
        <w:rPr>
          <w:vertAlign w:val="superscript"/>
        </w:rPr>
        <w:t>th</w:t>
      </w:r>
      <w:r>
        <w:t xml:space="preserve"> quarters of 2011 data collection year and beyond; however, depending on when the budget is passed, the </w:t>
      </w:r>
      <w:r w:rsidRPr="00F47F2B">
        <w:t xml:space="preserve">additional 1,000 physicians may not be added until 2012 because of processing deadlines.  </w:t>
      </w:r>
      <w:r w:rsidR="00B70207">
        <w:t>The supplemental 500 physicians will be incorporated in the 3</w:t>
      </w:r>
      <w:r w:rsidR="00B70207" w:rsidRPr="00B70207">
        <w:rPr>
          <w:vertAlign w:val="superscript"/>
        </w:rPr>
        <w:t>rd</w:t>
      </w:r>
      <w:r w:rsidR="00B70207">
        <w:t xml:space="preserve"> and 4</w:t>
      </w:r>
      <w:r w:rsidR="00B70207" w:rsidRPr="00B70207">
        <w:rPr>
          <w:vertAlign w:val="superscript"/>
        </w:rPr>
        <w:t>th</w:t>
      </w:r>
      <w:r w:rsidR="00B70207">
        <w:t xml:space="preserve"> quarters of 2011 data collection year.  </w:t>
      </w:r>
      <w:r w:rsidRPr="00F47F2B">
        <w:t>Increasing the NAMCS sample will aid in continuing to monitor disease prevention and health promotion by providing more reliable national estimates of health care utilization in physician offices and community health centers.</w:t>
      </w:r>
      <w:r w:rsidR="00972D09">
        <w:t xml:space="preserve">  </w:t>
      </w:r>
      <w:r w:rsidR="00972D09">
        <w:rPr>
          <w:bCs/>
          <w:color w:val="000000"/>
        </w:rPr>
        <w:t xml:space="preserve">If less money is approved for a sample size increase in the 2011 President’s budget, OMB will be notified of the exact changes in sample size through a </w:t>
      </w:r>
      <w:proofErr w:type="spellStart"/>
      <w:r w:rsidR="00972D09">
        <w:rPr>
          <w:bCs/>
          <w:color w:val="000000"/>
        </w:rPr>
        <w:t>nonsubstantive</w:t>
      </w:r>
      <w:proofErr w:type="spellEnd"/>
      <w:r w:rsidR="00972D09">
        <w:rPr>
          <w:bCs/>
          <w:color w:val="000000"/>
        </w:rPr>
        <w:t xml:space="preserve"> change request.  </w:t>
      </w:r>
    </w:p>
    <w:p w:rsidR="00A8437F" w:rsidRPr="00F47F2B" w:rsidRDefault="00A8437F" w:rsidP="00A8437F">
      <w:pPr>
        <w:autoSpaceDE w:val="0"/>
        <w:autoSpaceDN w:val="0"/>
        <w:adjustRightInd w:val="0"/>
      </w:pPr>
    </w:p>
    <w:p w:rsidR="00F94818" w:rsidRDefault="00F94818" w:rsidP="00F94818">
      <w:pPr>
        <w:pStyle w:val="Style0"/>
        <w:numPr>
          <w:ilvl w:val="0"/>
          <w:numId w:val="2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0"/>
        <w:rPr>
          <w:rFonts w:ascii="Times New Roman" w:hAnsi="Times New Roman"/>
        </w:rPr>
      </w:pPr>
      <w:r>
        <w:rPr>
          <w:rFonts w:ascii="Times New Roman" w:hAnsi="Times New Roman"/>
        </w:rPr>
        <w:t>Removal of Cervical Cancer Screening Supplement (CCSS)</w:t>
      </w:r>
    </w:p>
    <w:p w:rsidR="00F94818" w:rsidRDefault="00F94818" w:rsidP="00F948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rFonts w:ascii="Times New Roman" w:hAnsi="Times New Roman"/>
        </w:rPr>
      </w:pPr>
    </w:p>
    <w:p w:rsidR="00F94818" w:rsidRDefault="00F94818" w:rsidP="00F94818">
      <w:pPr>
        <w:autoSpaceDE w:val="0"/>
        <w:autoSpaceDN w:val="0"/>
        <w:adjustRightInd w:val="0"/>
        <w:rPr>
          <w:rFonts w:eastAsia="PMingLiU"/>
          <w:lang w:eastAsia="zh-TW"/>
        </w:rPr>
      </w:pPr>
      <w:r>
        <w:t xml:space="preserve">Funding for this supplement, supplied by the </w:t>
      </w:r>
      <w:r w:rsidR="00C57AB0">
        <w:t>CDC</w:t>
      </w:r>
      <w:r w:rsidR="009A2FB1">
        <w:t>’s</w:t>
      </w:r>
      <w:r w:rsidR="00C57AB0">
        <w:t xml:space="preserve"> </w:t>
      </w:r>
      <w:r>
        <w:t xml:space="preserve">National Center for Chronic Disease Prevention and Health Promotion (NCCDPHP), has ended and </w:t>
      </w:r>
      <w:r w:rsidR="00522CD4">
        <w:t xml:space="preserve">the supplement </w:t>
      </w:r>
      <w:r>
        <w:t xml:space="preserve">will not be fielded in 2011.  </w:t>
      </w:r>
      <w:r>
        <w:rPr>
          <w:rFonts w:eastAsia="PMingLiU"/>
          <w:lang w:eastAsia="zh-TW"/>
        </w:rPr>
        <w:t xml:space="preserve">   </w:t>
      </w:r>
    </w:p>
    <w:p w:rsidR="001C5AC6" w:rsidRDefault="001C5AC6" w:rsidP="00F94818">
      <w:pPr>
        <w:autoSpaceDE w:val="0"/>
        <w:autoSpaceDN w:val="0"/>
        <w:adjustRightInd w:val="0"/>
        <w:rPr>
          <w:rFonts w:eastAsia="PMingLiU"/>
          <w:lang w:eastAsia="zh-TW"/>
        </w:rPr>
      </w:pPr>
    </w:p>
    <w:p w:rsidR="001C5AC6" w:rsidRDefault="001C5AC6" w:rsidP="001C5AC6">
      <w:pPr>
        <w:pStyle w:val="ListParagraph"/>
        <w:numPr>
          <w:ilvl w:val="0"/>
          <w:numId w:val="27"/>
        </w:numPr>
        <w:autoSpaceDE w:val="0"/>
        <w:autoSpaceDN w:val="0"/>
        <w:adjustRightInd w:val="0"/>
        <w:ind w:left="360"/>
        <w:rPr>
          <w:rFonts w:eastAsia="PMingLiU"/>
          <w:lang w:eastAsia="zh-TW"/>
        </w:rPr>
      </w:pPr>
      <w:r>
        <w:rPr>
          <w:rFonts w:eastAsia="PMingLiU"/>
          <w:lang w:eastAsia="zh-TW"/>
        </w:rPr>
        <w:t xml:space="preserve">Spring 2011 pretest </w:t>
      </w:r>
    </w:p>
    <w:p w:rsidR="00065FD8" w:rsidRDefault="00065FD8" w:rsidP="00065FD8">
      <w:pPr>
        <w:autoSpaceDE w:val="0"/>
        <w:autoSpaceDN w:val="0"/>
        <w:adjustRightInd w:val="0"/>
        <w:rPr>
          <w:rFonts w:eastAsia="PMingLiU"/>
          <w:lang w:eastAsia="zh-TW"/>
        </w:rPr>
      </w:pPr>
    </w:p>
    <w:p w:rsidR="00C931C3" w:rsidRDefault="00065FD8" w:rsidP="00302A0A">
      <w:pPr>
        <w:autoSpaceDE w:val="0"/>
        <w:autoSpaceDN w:val="0"/>
        <w:adjustRightInd w:val="0"/>
        <w:rPr>
          <w:rFonts w:cs="Courier New"/>
        </w:rPr>
      </w:pPr>
      <w:r>
        <w:rPr>
          <w:rFonts w:cs="Courier New"/>
        </w:rPr>
        <w:t>A pretest is planned for spring 2011 to evaluate the new asthma supplement</w:t>
      </w:r>
      <w:r w:rsidR="00C931C3">
        <w:rPr>
          <w:rFonts w:cs="Courier New"/>
        </w:rPr>
        <w:t xml:space="preserve"> </w:t>
      </w:r>
    </w:p>
    <w:p w:rsidR="00302A0A" w:rsidRDefault="00C931C3" w:rsidP="00302A0A">
      <w:pPr>
        <w:autoSpaceDE w:val="0"/>
        <w:autoSpaceDN w:val="0"/>
        <w:adjustRightInd w:val="0"/>
        <w:rPr>
          <w:color w:val="000000"/>
        </w:rPr>
      </w:pPr>
      <w:r>
        <w:rPr>
          <w:rFonts w:cs="Courier New"/>
        </w:rPr>
        <w:t>(</w:t>
      </w:r>
      <w:r w:rsidRPr="00C931C3">
        <w:rPr>
          <w:rFonts w:cs="Courier New"/>
          <w:b/>
        </w:rPr>
        <w:t xml:space="preserve">Attachment </w:t>
      </w:r>
      <w:r w:rsidR="00955A80">
        <w:rPr>
          <w:rFonts w:cs="Courier New"/>
          <w:b/>
        </w:rPr>
        <w:t>R</w:t>
      </w:r>
      <w:r>
        <w:rPr>
          <w:rFonts w:cs="Courier New"/>
        </w:rPr>
        <w:t>)</w:t>
      </w:r>
      <w:r w:rsidR="00065FD8">
        <w:rPr>
          <w:rFonts w:cs="Courier New"/>
        </w:rPr>
        <w:t>, complementary and alternative medicine (CAM) items on the NAMCS-1</w:t>
      </w:r>
      <w:r>
        <w:rPr>
          <w:rFonts w:cs="Courier New"/>
        </w:rPr>
        <w:t xml:space="preserve"> (</w:t>
      </w:r>
      <w:r w:rsidRPr="00C931C3">
        <w:rPr>
          <w:rFonts w:cs="Courier New"/>
          <w:b/>
        </w:rPr>
        <w:t xml:space="preserve">Attachment </w:t>
      </w:r>
      <w:r w:rsidR="00955A80">
        <w:rPr>
          <w:rFonts w:cs="Courier New"/>
          <w:b/>
        </w:rPr>
        <w:t>S</w:t>
      </w:r>
      <w:r>
        <w:rPr>
          <w:rFonts w:cs="Courier New"/>
        </w:rPr>
        <w:t>)</w:t>
      </w:r>
      <w:r w:rsidR="00065FD8">
        <w:rPr>
          <w:rFonts w:cs="Courier New"/>
        </w:rPr>
        <w:t>, retrospective health care data collection items on the patient record form (PRF)</w:t>
      </w:r>
      <w:r w:rsidR="00292E53">
        <w:rPr>
          <w:rFonts w:cs="Courier New"/>
        </w:rPr>
        <w:t xml:space="preserve"> (look-back module)</w:t>
      </w:r>
      <w:r w:rsidR="00955A80">
        <w:rPr>
          <w:rFonts w:cs="Courier New"/>
        </w:rPr>
        <w:t xml:space="preserve"> (</w:t>
      </w:r>
      <w:r w:rsidR="00955A80" w:rsidRPr="00955A80">
        <w:rPr>
          <w:rFonts w:cs="Courier New"/>
          <w:b/>
        </w:rPr>
        <w:t>Attachment T</w:t>
      </w:r>
      <w:r w:rsidR="00955A80">
        <w:rPr>
          <w:rFonts w:cs="Courier New"/>
        </w:rPr>
        <w:t>)</w:t>
      </w:r>
      <w:r w:rsidR="00065FD8">
        <w:rPr>
          <w:rFonts w:cs="Courier New"/>
        </w:rPr>
        <w:t>, and the new computerized NAMCS-1 and associated</w:t>
      </w:r>
      <w:r w:rsidR="00302A0A">
        <w:rPr>
          <w:rFonts w:cs="Courier New"/>
        </w:rPr>
        <w:t xml:space="preserve"> PRFs.  </w:t>
      </w:r>
      <w:r w:rsidR="00302A0A">
        <w:t>If the pretest is successful, we will add the new items to their respective forms</w:t>
      </w:r>
      <w:r w:rsidR="009A2FB1">
        <w:t xml:space="preserve"> for the 2012 survey</w:t>
      </w:r>
      <w:r w:rsidR="00302A0A">
        <w:t xml:space="preserve">.  If only minor changes are required, we will submit a </w:t>
      </w:r>
      <w:proofErr w:type="spellStart"/>
      <w:r w:rsidR="00302A0A">
        <w:t>nonsubstantive</w:t>
      </w:r>
      <w:proofErr w:type="spellEnd"/>
      <w:r w:rsidR="00302A0A">
        <w:t xml:space="preserve"> change package for OMB review.  </w:t>
      </w:r>
    </w:p>
    <w:p w:rsidR="00F94818" w:rsidRDefault="00065FD8" w:rsidP="00302A0A">
      <w:pPr>
        <w:autoSpaceDE w:val="0"/>
        <w:autoSpaceDN w:val="0"/>
        <w:adjustRightInd w:val="0"/>
      </w:pPr>
      <w:r>
        <w:rPr>
          <w:rFonts w:cs="Courier New"/>
        </w:rPr>
        <w:t xml:space="preserve"> </w:t>
      </w:r>
    </w:p>
    <w:p w:rsidR="00A8437F" w:rsidRDefault="00EA53B2" w:rsidP="00F948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outlineLvl w:val="0"/>
        <w:rPr>
          <w:rFonts w:ascii="Times New Roman" w:hAnsi="Times New Roman"/>
          <w:u w:val="single"/>
        </w:rPr>
      </w:pPr>
      <w:r>
        <w:rPr>
          <w:rFonts w:ascii="Times New Roman" w:hAnsi="Times New Roman"/>
          <w:u w:val="single"/>
        </w:rPr>
        <w:t>New activities evaluated in 2011 and planned for the 2012-2013 survey period</w:t>
      </w:r>
    </w:p>
    <w:p w:rsidR="00EA53B2" w:rsidRDefault="00EA53B2" w:rsidP="00F948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outlineLvl w:val="0"/>
        <w:rPr>
          <w:rFonts w:ascii="Times New Roman" w:hAnsi="Times New Roman"/>
          <w:u w:val="single"/>
        </w:rPr>
      </w:pPr>
    </w:p>
    <w:p w:rsidR="00EA53B2" w:rsidRPr="00792B72" w:rsidRDefault="00EA53B2" w:rsidP="00EA53B2">
      <w:pPr>
        <w:pStyle w:val="ListParagraph"/>
        <w:numPr>
          <w:ilvl w:val="0"/>
          <w:numId w:val="28"/>
        </w:numPr>
        <w:ind w:left="360"/>
      </w:pPr>
      <w:r>
        <w:t>Asthma Supplement</w:t>
      </w:r>
    </w:p>
    <w:p w:rsidR="00EA53B2" w:rsidRDefault="00EA53B2" w:rsidP="00EA53B2">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rPr>
          <w:rFonts w:ascii="Times New Roman" w:hAnsi="Times New Roman"/>
        </w:rPr>
      </w:pPr>
    </w:p>
    <w:p w:rsidR="00EA53B2" w:rsidRDefault="00EA53B2" w:rsidP="00EA53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1F1A45">
        <w:rPr>
          <w:rFonts w:ascii="Times New Roman" w:hAnsi="Times New Roman"/>
        </w:rPr>
        <w:t xml:space="preserve">Although the means to control asthma have been widely disseminated </w:t>
      </w:r>
      <w:r>
        <w:rPr>
          <w:rFonts w:ascii="Times New Roman" w:hAnsi="Times New Roman"/>
        </w:rPr>
        <w:t xml:space="preserve">by </w:t>
      </w:r>
      <w:r w:rsidRPr="001F1A45">
        <w:rPr>
          <w:rFonts w:ascii="Times New Roman" w:hAnsi="Times New Roman"/>
        </w:rPr>
        <w:t xml:space="preserve">the National Heart, Lung, and Blood </w:t>
      </w:r>
      <w:proofErr w:type="gramStart"/>
      <w:r w:rsidRPr="001F1A45">
        <w:rPr>
          <w:rFonts w:ascii="Times New Roman" w:hAnsi="Times New Roman"/>
        </w:rPr>
        <w:t>Institute</w:t>
      </w:r>
      <w:r w:rsidR="008D2347">
        <w:rPr>
          <w:rFonts w:ascii="Times New Roman" w:hAnsi="Times New Roman"/>
        </w:rPr>
        <w:t xml:space="preserve">’s </w:t>
      </w:r>
      <w:r w:rsidRPr="001F1A45">
        <w:rPr>
          <w:rFonts w:ascii="Times New Roman" w:hAnsi="Times New Roman"/>
        </w:rPr>
        <w:t xml:space="preserve"> (</w:t>
      </w:r>
      <w:proofErr w:type="gramEnd"/>
      <w:r w:rsidRPr="001F1A45">
        <w:rPr>
          <w:rFonts w:ascii="Times New Roman" w:hAnsi="Times New Roman"/>
        </w:rPr>
        <w:t>NHLBI) Guidelines for the Diagnosis and Management of Asthma (the Guidelines</w:t>
      </w:r>
      <w:r w:rsidR="008D2347">
        <w:rPr>
          <w:rFonts w:ascii="Times New Roman" w:hAnsi="Times New Roman"/>
        </w:rPr>
        <w:t>) (</w:t>
      </w:r>
      <w:r>
        <w:rPr>
          <w:rFonts w:ascii="Times New Roman" w:hAnsi="Times New Roman"/>
        </w:rPr>
        <w:t xml:space="preserve">see </w:t>
      </w:r>
      <w:hyperlink r:id="rId8" w:history="1">
        <w:r w:rsidRPr="004B16F4">
          <w:rPr>
            <w:rStyle w:val="Hyperlink"/>
            <w:rFonts w:ascii="Times New Roman" w:hAnsi="Times New Roman"/>
            <w:color w:val="0070C0"/>
          </w:rPr>
          <w:t>http://www.nhlbi.nih.gov/guidelines/asthma/index.htm</w:t>
        </w:r>
      </w:hyperlink>
      <w:r w:rsidRPr="001F1A45">
        <w:rPr>
          <w:rFonts w:ascii="Times New Roman" w:hAnsi="Times New Roman"/>
        </w:rPr>
        <w:t xml:space="preserve">), uptake of effective management strategies remains suboptimal.  </w:t>
      </w:r>
      <w:r>
        <w:rPr>
          <w:rFonts w:ascii="Times New Roman" w:hAnsi="Times New Roman"/>
        </w:rPr>
        <w:t>Although other national sources have reported data on patient outcomes related to asthma, the following relevant points are still uncertain:</w:t>
      </w:r>
    </w:p>
    <w:p w:rsidR="00EA53B2" w:rsidRDefault="00EA53B2" w:rsidP="00EA53B2">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Where do major barriers to implementation of asthma management strategies occur on the pathway from health care delivery to acceptance and practice by patients</w:t>
      </w:r>
    </w:p>
    <w:p w:rsidR="00EA53B2" w:rsidRDefault="00EA53B2" w:rsidP="00EA53B2">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What is the overall acceptance of the Guidelines by health care practitioners</w:t>
      </w:r>
    </w:p>
    <w:p w:rsidR="00EA53B2" w:rsidRDefault="00EA53B2" w:rsidP="00EA53B2">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 xml:space="preserve">To what extent can identification of </w:t>
      </w:r>
      <w:r w:rsidR="00F5371D">
        <w:rPr>
          <w:rFonts w:ascii="Times New Roman" w:hAnsi="Times New Roman"/>
        </w:rPr>
        <w:t xml:space="preserve">the </w:t>
      </w:r>
      <w:r>
        <w:rPr>
          <w:rFonts w:ascii="Times New Roman" w:hAnsi="Times New Roman"/>
        </w:rPr>
        <w:t xml:space="preserve">implementation and barriers to use of specific asthma management strategies by health care providers inform ongoing strategies in the hope of increasing uptake of the Guidelines </w:t>
      </w:r>
    </w:p>
    <w:p w:rsidR="00EA53B2" w:rsidRDefault="00EA53B2" w:rsidP="00EA53B2">
      <w:pPr>
        <w:rPr>
          <w:u w:val="single"/>
        </w:rPr>
      </w:pPr>
    </w:p>
    <w:p w:rsidR="00C42E45" w:rsidRDefault="00EA53B2" w:rsidP="00EA53B2">
      <w:r>
        <w:t>The proposed asthma supplement (</w:t>
      </w:r>
      <w:r w:rsidRPr="00204054">
        <w:rPr>
          <w:b/>
        </w:rPr>
        <w:t>Attachment B</w:t>
      </w:r>
      <w:r>
        <w:t xml:space="preserve">) will be administered to primary care </w:t>
      </w:r>
      <w:r w:rsidR="00546385">
        <w:t xml:space="preserve">physicians, physicians likely to </w:t>
      </w:r>
      <w:r>
        <w:t>see asthma patients</w:t>
      </w:r>
      <w:r w:rsidR="00546385">
        <w:t>, and all CHC physicians/providers</w:t>
      </w:r>
      <w:r>
        <w:t>.</w:t>
      </w:r>
      <w:r w:rsidR="0022307C">
        <w:t xml:space="preserve">  </w:t>
      </w:r>
      <w:r w:rsidR="00F53AE1">
        <w:t xml:space="preserve">The bottom of </w:t>
      </w:r>
      <w:r w:rsidR="0022307C" w:rsidRPr="0022307C">
        <w:rPr>
          <w:b/>
        </w:rPr>
        <w:t>Attachment B</w:t>
      </w:r>
      <w:r w:rsidR="0022307C">
        <w:t xml:space="preserve"> also includes proposed screener questions that will be added to the 2012</w:t>
      </w:r>
      <w:r w:rsidR="00F5371D">
        <w:t xml:space="preserve"> </w:t>
      </w:r>
      <w:r w:rsidR="0022307C">
        <w:t xml:space="preserve">NAMCS physician induction interview to determine supplement eligibility.  </w:t>
      </w:r>
      <w:r>
        <w:t xml:space="preserve">The goal of the supplement will be to construct an accurate picture of uptake and implementation of </w:t>
      </w:r>
      <w:r w:rsidRPr="008F1756">
        <w:t>asthma management as specified by the Guidelines.  The Guidelines have been available since 1991 and</w:t>
      </w:r>
      <w:r w:rsidR="00C42E45">
        <w:t xml:space="preserve"> most recently updated in 2007.  </w:t>
      </w:r>
    </w:p>
    <w:p w:rsidR="00C42E45" w:rsidRDefault="00C42E45" w:rsidP="00EA53B2"/>
    <w:p w:rsidR="00EA53B2" w:rsidRPr="001979AA" w:rsidRDefault="001979AA" w:rsidP="00EA53B2">
      <w:pPr>
        <w:pStyle w:val="ListParagraph"/>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0"/>
      </w:pPr>
      <w:r>
        <w:t>Complementary and Alternative Medicine (CAM)</w:t>
      </w:r>
    </w:p>
    <w:p w:rsidR="00A8437F" w:rsidRPr="00F47F2B"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p>
    <w:p w:rsidR="00A8437F" w:rsidRDefault="00A8437F" w:rsidP="00A8437F">
      <w:r w:rsidRPr="00F47F2B">
        <w:t>Use of many complementary and alternative medicine (CAM) therapies have been increasing in the United States.  In 2007, alm</w:t>
      </w:r>
      <w:r w:rsidR="00A14DD6">
        <w:t xml:space="preserve">ost 4 out of 10 adults (38.3%) </w:t>
      </w:r>
      <w:r w:rsidRPr="00F47F2B">
        <w:t>had used some type of CAM in the past 12 months,</w:t>
      </w:r>
      <w:r w:rsidR="00A14DD6">
        <w:t xml:space="preserve"> and total out-of-pocket costs </w:t>
      </w:r>
      <w:r w:rsidRPr="00F47F2B">
        <w:t xml:space="preserve">for visits to CAM practitioners and purchases of CAM products total </w:t>
      </w:r>
      <w:r w:rsidR="005C3526">
        <w:t>$</w:t>
      </w:r>
      <w:r w:rsidRPr="00F47F2B">
        <w:t>33.9 billion.</w:t>
      </w:r>
      <w:r w:rsidR="00A14DD6">
        <w:t xml:space="preserve">  </w:t>
      </w:r>
      <w:r w:rsidRPr="00F47F2B">
        <w:t>Although these practices are not part of convention</w:t>
      </w:r>
      <w:r w:rsidR="00A14DD6">
        <w:t xml:space="preserve">al medicine, some conventional </w:t>
      </w:r>
      <w:r w:rsidRPr="00F47F2B">
        <w:t xml:space="preserve">medical providers do refer their patients and/or use CAM treatments in their </w:t>
      </w:r>
      <w:r w:rsidRPr="00F47F2B">
        <w:tab/>
        <w:t xml:space="preserve">practices.  The </w:t>
      </w:r>
      <w:r w:rsidRPr="00792B72">
        <w:t xml:space="preserve">short set of questions </w:t>
      </w:r>
      <w:r>
        <w:t>(</w:t>
      </w:r>
      <w:r w:rsidRPr="00204054">
        <w:rPr>
          <w:b/>
        </w:rPr>
        <w:t xml:space="preserve">Attachment </w:t>
      </w:r>
      <w:r w:rsidR="00204054">
        <w:rPr>
          <w:b/>
        </w:rPr>
        <w:t>C</w:t>
      </w:r>
      <w:r>
        <w:t xml:space="preserve">) </w:t>
      </w:r>
      <w:r w:rsidR="005C3526">
        <w:t xml:space="preserve">is </w:t>
      </w:r>
      <w:r w:rsidRPr="00792B72">
        <w:t xml:space="preserve">slated for </w:t>
      </w:r>
      <w:r w:rsidR="00885724">
        <w:t xml:space="preserve">evaluation in the 2011 pretest, and </w:t>
      </w:r>
      <w:r w:rsidRPr="00792B72">
        <w:t>inclusion in the</w:t>
      </w:r>
      <w:r w:rsidR="00A14DD6">
        <w:t xml:space="preserve"> </w:t>
      </w:r>
      <w:r w:rsidRPr="00792B72">
        <w:t>2012 NAMCS</w:t>
      </w:r>
      <w:r>
        <w:t>-1 i</w:t>
      </w:r>
      <w:r w:rsidRPr="00792B72">
        <w:t xml:space="preserve">nduction </w:t>
      </w:r>
      <w:r>
        <w:t>f</w:t>
      </w:r>
      <w:r w:rsidRPr="00792B72">
        <w:t>orm</w:t>
      </w:r>
      <w:r w:rsidR="00885724">
        <w:t xml:space="preserve">.  These items </w:t>
      </w:r>
      <w:r w:rsidRPr="00792B72">
        <w:t>will collect information on the frequency of</w:t>
      </w:r>
      <w:r w:rsidR="00A14DD6">
        <w:t xml:space="preserve"> </w:t>
      </w:r>
      <w:r w:rsidRPr="00792B72">
        <w:t>referrals and use</w:t>
      </w:r>
      <w:r>
        <w:t xml:space="preserve"> </w:t>
      </w:r>
      <w:r w:rsidRPr="00792B72">
        <w:t>of CAM by</w:t>
      </w:r>
      <w:r>
        <w:t xml:space="preserve"> </w:t>
      </w:r>
      <w:r w:rsidRPr="00792B72">
        <w:t xml:space="preserve">conventional </w:t>
      </w:r>
      <w:proofErr w:type="gramStart"/>
      <w:r w:rsidRPr="00792B72">
        <w:t>providers, which has</w:t>
      </w:r>
      <w:proofErr w:type="gramEnd"/>
      <w:r w:rsidRPr="00792B72">
        <w:t xml:space="preserve"> not been</w:t>
      </w:r>
      <w:r w:rsidR="00A14DD6">
        <w:t xml:space="preserve"> </w:t>
      </w:r>
      <w:r w:rsidRPr="00792B72">
        <w:t>previously collected on</w:t>
      </w:r>
      <w:r>
        <w:t xml:space="preserve"> </w:t>
      </w:r>
      <w:r w:rsidRPr="00792B72">
        <w:t>a large-scale</w:t>
      </w:r>
      <w:r>
        <w:t xml:space="preserve"> </w:t>
      </w:r>
      <w:r w:rsidRPr="00792B72">
        <w:t>national survey. Because the majority of</w:t>
      </w:r>
      <w:r w:rsidR="00A14DD6">
        <w:t xml:space="preserve"> </w:t>
      </w:r>
      <w:r>
        <w:t xml:space="preserve">providers </w:t>
      </w:r>
      <w:r w:rsidRPr="00792B72">
        <w:t>who use CAM do</w:t>
      </w:r>
      <w:r w:rsidR="00A14DD6">
        <w:t xml:space="preserve"> </w:t>
      </w:r>
      <w:r w:rsidRPr="00792B72">
        <w:t>so in</w:t>
      </w:r>
      <w:r>
        <w:t xml:space="preserve"> </w:t>
      </w:r>
      <w:r w:rsidRPr="00792B72">
        <w:t>conjunction with conventional medicine, it is important to find out the extent</w:t>
      </w:r>
      <w:r>
        <w:t xml:space="preserve"> </w:t>
      </w:r>
      <w:r w:rsidRPr="00792B72">
        <w:t>to</w:t>
      </w:r>
      <w:r>
        <w:t xml:space="preserve"> </w:t>
      </w:r>
      <w:r w:rsidRPr="00792B72">
        <w:t>which conventional providers are integrating</w:t>
      </w:r>
      <w:r w:rsidR="00A14DD6">
        <w:t xml:space="preserve"> </w:t>
      </w:r>
      <w:r w:rsidRPr="00792B72">
        <w:t>CAM into their treatment plans.</w:t>
      </w:r>
      <w:r>
        <w:t xml:space="preserve">  </w:t>
      </w:r>
      <w:r w:rsidRPr="00792B72">
        <w:t>This</w:t>
      </w:r>
      <w:r>
        <w:t xml:space="preserve"> </w:t>
      </w:r>
      <w:r w:rsidRPr="00792B72">
        <w:t>short set of questions is sponsored by the</w:t>
      </w:r>
      <w:r w:rsidR="00A14DD6">
        <w:t xml:space="preserve"> </w:t>
      </w:r>
      <w:r w:rsidRPr="00792B72">
        <w:t>National Center for Complementary and Alternative Medicine (NCCAM), part of</w:t>
      </w:r>
      <w:r w:rsidR="00A14DD6">
        <w:t xml:space="preserve"> </w:t>
      </w:r>
      <w:r w:rsidRPr="00792B72">
        <w:t>the National Institutes of Health.</w:t>
      </w:r>
      <w:r>
        <w:t xml:space="preserve">  </w:t>
      </w:r>
      <w:r w:rsidRPr="00792B72">
        <w:t>NCCAM’s mission is to study the use and</w:t>
      </w:r>
      <w:r w:rsidR="00A14DD6">
        <w:t xml:space="preserve"> </w:t>
      </w:r>
      <w:r w:rsidRPr="00792B72">
        <w:t>effectiveness of CAM therapies and</w:t>
      </w:r>
      <w:r>
        <w:t xml:space="preserve"> </w:t>
      </w:r>
      <w:r w:rsidRPr="00792B72">
        <w:t>data collected via these questions will be</w:t>
      </w:r>
      <w:r w:rsidR="00A14DD6">
        <w:t xml:space="preserve"> </w:t>
      </w:r>
      <w:r w:rsidRPr="00792B72">
        <w:t>invaluable for shedding light on the</w:t>
      </w:r>
      <w:r>
        <w:t xml:space="preserve"> </w:t>
      </w:r>
      <w:r w:rsidRPr="00792B72">
        <w:t>integration of conventional and CAM</w:t>
      </w:r>
      <w:r w:rsidR="00A14DD6">
        <w:t xml:space="preserve"> </w:t>
      </w:r>
      <w:r w:rsidRPr="00792B72">
        <w:t>therapies in the U</w:t>
      </w:r>
      <w:r>
        <w:t>nited States</w:t>
      </w:r>
      <w:r w:rsidRPr="00792B72">
        <w:t>.</w:t>
      </w:r>
    </w:p>
    <w:p w:rsidR="00A14DD6" w:rsidRDefault="00A14DD6" w:rsidP="00A8437F"/>
    <w:p w:rsidR="00A8437F" w:rsidRDefault="008F483F" w:rsidP="008F1756">
      <w:pPr>
        <w:pStyle w:val="ListParagraph"/>
        <w:numPr>
          <w:ilvl w:val="0"/>
          <w:numId w:val="28"/>
        </w:numPr>
        <w:autoSpaceDE w:val="0"/>
        <w:autoSpaceDN w:val="0"/>
        <w:adjustRightInd w:val="0"/>
        <w:ind w:left="360"/>
      </w:pPr>
      <w:r w:rsidRPr="008F483F">
        <w:rPr>
          <w:rFonts w:eastAsia="PMingLiU"/>
          <w:lang w:eastAsia="zh-TW"/>
        </w:rPr>
        <w:t>Activities</w:t>
      </w:r>
      <w:r w:rsidR="00292E53">
        <w:rPr>
          <w:rFonts w:eastAsia="PMingLiU"/>
          <w:lang w:eastAsia="zh-TW"/>
        </w:rPr>
        <w:t xml:space="preserve"> to Computerize Data Collection</w:t>
      </w:r>
      <w:r w:rsidR="00A8437F">
        <w:t>: NAMCS-1 and Patient Record form</w:t>
      </w:r>
    </w:p>
    <w:p w:rsidR="00A8437F"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A8437F" w:rsidRDefault="00A8437F" w:rsidP="00A8437F">
      <w:pPr>
        <w:rPr>
          <w:rFonts w:cs="Courier New"/>
        </w:rPr>
      </w:pPr>
      <w:r>
        <w:rPr>
          <w:rFonts w:cs="Courier New"/>
        </w:rPr>
        <w:t xml:space="preserve">Beginning in 2012, the NAMCS-1 induction interview will be conducted through </w:t>
      </w:r>
      <w:r w:rsidR="00ED1C05">
        <w:rPr>
          <w:rFonts w:cs="Courier New"/>
        </w:rPr>
        <w:t xml:space="preserve">a </w:t>
      </w:r>
      <w:r>
        <w:rPr>
          <w:rFonts w:cs="Courier New"/>
        </w:rPr>
        <w:t xml:space="preserve">computer assisted interviewing </w:t>
      </w:r>
      <w:r w:rsidR="00ED1C05">
        <w:rPr>
          <w:rFonts w:cs="Courier New"/>
        </w:rPr>
        <w:t>instrument</w:t>
      </w:r>
      <w:r>
        <w:rPr>
          <w:rFonts w:cs="Courier New"/>
        </w:rPr>
        <w:t xml:space="preserve">.  The Patient Record forms (PRFs) completed by Census Field Representatives will be entered directly into a computerized form.  Both instruments will be evaluated in a 2011 pretest.  </w:t>
      </w:r>
      <w:r w:rsidR="00B57FFB">
        <w:rPr>
          <w:rFonts w:cs="Courier New"/>
        </w:rPr>
        <w:t xml:space="preserve">A physician sample separate from those used for the core and mail NAMCS will be used for the pretest.  </w:t>
      </w:r>
      <w:r>
        <w:rPr>
          <w:rFonts w:cs="Courier New"/>
        </w:rPr>
        <w:t xml:space="preserve">Note that when physicians and/or their staffs complete PRFs themselves (approximately 35% of all forms), they will </w:t>
      </w:r>
      <w:r w:rsidR="00292E53">
        <w:rPr>
          <w:rFonts w:cs="Courier New"/>
        </w:rPr>
        <w:t xml:space="preserve">have the option to either enter the data on an electronic device, or </w:t>
      </w:r>
      <w:r>
        <w:rPr>
          <w:rFonts w:cs="Courier New"/>
        </w:rPr>
        <w:t xml:space="preserve">follow the original protocol and use paper forms.  It is anticipated that the use of </w:t>
      </w:r>
      <w:r w:rsidR="00ED1C05">
        <w:rPr>
          <w:rFonts w:cs="Courier New"/>
        </w:rPr>
        <w:t>a computer assisted interviewing instrument w</w:t>
      </w:r>
      <w:r>
        <w:rPr>
          <w:rFonts w:cs="Courier New"/>
        </w:rPr>
        <w:t xml:space="preserve">ill simplify the data collection activities and also reduce data entry errors and omissions, thus improving data quality.  Furthermore, it will reduce the time required for processing the data since individual question editing could now be done at the same time data </w:t>
      </w:r>
      <w:r w:rsidR="005C3526">
        <w:rPr>
          <w:rFonts w:cs="Courier New"/>
        </w:rPr>
        <w:t>are</w:t>
      </w:r>
      <w:r>
        <w:rPr>
          <w:rFonts w:cs="Courier New"/>
        </w:rPr>
        <w:t xml:space="preserve"> collected and not retrospectively.  The use of </w:t>
      </w:r>
      <w:r w:rsidR="00ED1C05">
        <w:rPr>
          <w:rFonts w:cs="Courier New"/>
        </w:rPr>
        <w:t>a computer assisted interviewing instrument</w:t>
      </w:r>
      <w:r>
        <w:rPr>
          <w:rFonts w:cs="Courier New"/>
        </w:rPr>
        <w:t xml:space="preserve"> will also reduce respondent burden by tailoring data questions to the individual sampled case, thus skipping out irrelevant questions.      </w:t>
      </w:r>
    </w:p>
    <w:p w:rsidR="00A8437F"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A8437F" w:rsidRDefault="008F483F" w:rsidP="008F48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outlineLvl w:val="0"/>
        <w:rPr>
          <w:rFonts w:ascii="Times New Roman" w:hAnsi="Times New Roman"/>
        </w:rPr>
      </w:pPr>
      <w:r>
        <w:rPr>
          <w:rFonts w:ascii="Times New Roman" w:hAnsi="Times New Roman"/>
        </w:rPr>
        <w:t>4</w:t>
      </w:r>
      <w:r w:rsidR="00A8437F">
        <w:rPr>
          <w:rFonts w:ascii="Times New Roman" w:hAnsi="Times New Roman"/>
        </w:rPr>
        <w:t xml:space="preserve">. </w:t>
      </w:r>
      <w:r>
        <w:rPr>
          <w:rFonts w:ascii="Times New Roman" w:hAnsi="Times New Roman"/>
        </w:rPr>
        <w:tab/>
      </w:r>
      <w:r w:rsidR="00A8437F">
        <w:rPr>
          <w:rFonts w:ascii="Times New Roman" w:hAnsi="Times New Roman"/>
        </w:rPr>
        <w:t>Medical Care Provided in Last 12 Months (</w:t>
      </w:r>
      <w:proofErr w:type="spellStart"/>
      <w:r w:rsidR="00A8437F">
        <w:rPr>
          <w:rFonts w:ascii="Times New Roman" w:hAnsi="Times New Roman"/>
        </w:rPr>
        <w:t>lookback</w:t>
      </w:r>
      <w:proofErr w:type="spellEnd"/>
      <w:r w:rsidR="00A8437F">
        <w:rPr>
          <w:rFonts w:ascii="Times New Roman" w:hAnsi="Times New Roman"/>
        </w:rPr>
        <w:t xml:space="preserve"> module)</w:t>
      </w:r>
    </w:p>
    <w:p w:rsidR="00A8437F"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A8437F" w:rsidRDefault="00A8437F" w:rsidP="00A8437F">
      <w:r>
        <w:t xml:space="preserve">The </w:t>
      </w:r>
      <w:proofErr w:type="spellStart"/>
      <w:r>
        <w:t>lookback</w:t>
      </w:r>
      <w:proofErr w:type="spellEnd"/>
      <w:r>
        <w:t xml:space="preserve"> module will collect additional information from the 12 month period prior to the sampled visit on risk factors and clinical management of patients with </w:t>
      </w:r>
      <w:r w:rsidR="00292E53">
        <w:t>conditions that put people at high risk for heart disease and stroke</w:t>
      </w:r>
      <w:r>
        <w:t xml:space="preserve">.  </w:t>
      </w:r>
      <w:r w:rsidR="00292E53">
        <w:t>For example</w:t>
      </w:r>
      <w:r>
        <w:t xml:space="preserve">, the module would record medications prescribed, changes in medications, family history, and contraindications to certain medications.  The intent of </w:t>
      </w:r>
      <w:r w:rsidR="00BE2C53">
        <w:t xml:space="preserve">the </w:t>
      </w:r>
      <w:proofErr w:type="spellStart"/>
      <w:r>
        <w:t>lookback</w:t>
      </w:r>
      <w:proofErr w:type="spellEnd"/>
      <w:r>
        <w:t xml:space="preserve"> module is to improve the nation’s ability to monitor and evaluate the quality of clinical care to prevent heart disease and stroke</w:t>
      </w:r>
      <w:r w:rsidR="00292E53">
        <w:t xml:space="preserve"> as health reform proceeds</w:t>
      </w:r>
      <w:r>
        <w:t xml:space="preserve">.  Since these surveys already collect selected intermediate outcomes, including blood pressure and cholesterol levels, combining currently collected PRF data with the additional </w:t>
      </w:r>
      <w:proofErr w:type="spellStart"/>
      <w:r>
        <w:t>lookback</w:t>
      </w:r>
      <w:proofErr w:type="spellEnd"/>
      <w:r>
        <w:t xml:space="preserve"> items would permit the evaluation and monitoring of appropriateness of clinical management and the relationship to th</w:t>
      </w:r>
      <w:r w:rsidR="00292E53">
        <w:t xml:space="preserve">ese outcomes.  The </w:t>
      </w:r>
      <w:proofErr w:type="spellStart"/>
      <w:r w:rsidR="00292E53">
        <w:t>lookback</w:t>
      </w:r>
      <w:proofErr w:type="spellEnd"/>
      <w:r w:rsidR="00292E53">
        <w:t xml:space="preserve"> module is funded from </w:t>
      </w:r>
      <w:r w:rsidR="00F53D51">
        <w:t>prevention funds from the Patient Protection and Affordable Care Act of 2010.</w:t>
      </w:r>
    </w:p>
    <w:p w:rsidR="00A8437F"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A8437F" w:rsidRDefault="00A8437F" w:rsidP="00A8437F">
      <w:r>
        <w:t xml:space="preserve">The utility of the </w:t>
      </w:r>
      <w:proofErr w:type="spellStart"/>
      <w:r>
        <w:t>lookback</w:t>
      </w:r>
      <w:proofErr w:type="spellEnd"/>
      <w:r>
        <w:t xml:space="preserve"> module as an addition to the current NAMCS </w:t>
      </w:r>
      <w:r w:rsidR="00BE2C53">
        <w:t xml:space="preserve">starting in </w:t>
      </w:r>
      <w:r w:rsidR="00885724">
        <w:t xml:space="preserve">2012 </w:t>
      </w:r>
      <w:r>
        <w:t xml:space="preserve">will be considerable.  For example, these items would greatly improve the nation’s ability to monitor and evaluate the effects of increased insurance coverage on the quality of care provided in physicians’ offices to prevent heart disease and stroke.  Furthermore, information on the clinical management of conditions that put patients at risk could identify shortfalls in the quality of care that in turn could lead to improvements in clinical and public policy to improve prevention.  </w:t>
      </w:r>
    </w:p>
    <w:p w:rsidR="00A8437F" w:rsidRDefault="00A8437F" w:rsidP="00A8437F"/>
    <w:p w:rsidR="00A8437F" w:rsidRDefault="00A8437F" w:rsidP="00A8437F">
      <w:r>
        <w:t>The questions are currently being developed</w:t>
      </w:r>
      <w:r w:rsidR="005C3526">
        <w:t>, and they will be similar to the currently collected items on the PRF except they will be based on an earlier visit time period</w:t>
      </w:r>
      <w:r>
        <w:t xml:space="preserve">.  When the exact questions are finalized, we will submit a nonsubstantive change request to OMB.   </w:t>
      </w:r>
    </w:p>
    <w:p w:rsidR="00A41B5F" w:rsidRDefault="00A41B5F" w:rsidP="00A41B5F">
      <w:pPr>
        <w:pStyle w:val="ListParagraph"/>
        <w:ind w:left="360" w:firstLine="720"/>
      </w:pPr>
    </w:p>
    <w:p w:rsidR="00A8437F" w:rsidRPr="00AC6975" w:rsidRDefault="008F483F" w:rsidP="00A41B5F">
      <w:pPr>
        <w:ind w:left="360" w:hanging="360"/>
        <w:rPr>
          <w:u w:val="single"/>
        </w:rPr>
      </w:pPr>
      <w:r w:rsidRPr="00AC6975">
        <w:rPr>
          <w:u w:val="single"/>
        </w:rPr>
        <w:t>New EMR/E</w:t>
      </w:r>
      <w:r w:rsidR="00967827" w:rsidRPr="00AC6975">
        <w:rPr>
          <w:u w:val="single"/>
        </w:rPr>
        <w:t>H</w:t>
      </w:r>
      <w:r w:rsidRPr="00AC6975">
        <w:rPr>
          <w:u w:val="single"/>
        </w:rPr>
        <w:t xml:space="preserve">R </w:t>
      </w:r>
      <w:r w:rsidR="00BD3666" w:rsidRPr="00AC6975">
        <w:rPr>
          <w:u w:val="single"/>
        </w:rPr>
        <w:t>S</w:t>
      </w:r>
      <w:r w:rsidRPr="00AC6975">
        <w:rPr>
          <w:u w:val="single"/>
        </w:rPr>
        <w:t xml:space="preserve">upplemental </w:t>
      </w:r>
      <w:r w:rsidR="00BD3666" w:rsidRPr="00AC6975">
        <w:rPr>
          <w:u w:val="single"/>
        </w:rPr>
        <w:t>S</w:t>
      </w:r>
      <w:r w:rsidRPr="00AC6975">
        <w:rPr>
          <w:u w:val="single"/>
        </w:rPr>
        <w:t xml:space="preserve">urvey </w:t>
      </w:r>
      <w:r w:rsidR="00BD3666" w:rsidRPr="00AC6975">
        <w:rPr>
          <w:u w:val="single"/>
        </w:rPr>
        <w:t>on Physician Workflow</w:t>
      </w:r>
    </w:p>
    <w:p w:rsidR="001E0CF5" w:rsidRDefault="001E0CF5" w:rsidP="008F175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6A0F99" w:rsidRDefault="0013280A" w:rsidP="001328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 xml:space="preserve">As part of the American Reinvestment and Rehabilitation Act of 2009 (ARA), the </w:t>
      </w:r>
      <w:r w:rsidRPr="001E0CF5">
        <w:rPr>
          <w:rFonts w:ascii="Times New Roman" w:hAnsi="Times New Roman"/>
        </w:rPr>
        <w:t>Health Information Technology for Economic and Clinical Health (HITECH) Act set forth a plan for advancing a nationwide health information technology infrastructure in order to improve efficiency and the quality of care in the health care system.  Central to the vision of a nationwide electronic health information network is the use of ele</w:t>
      </w:r>
      <w:r>
        <w:rPr>
          <w:rFonts w:ascii="Times New Roman" w:hAnsi="Times New Roman"/>
        </w:rPr>
        <w:t xml:space="preserve">ctronic health records (EHRs). </w:t>
      </w:r>
      <w:r w:rsidRPr="001E0CF5">
        <w:rPr>
          <w:rFonts w:ascii="Times New Roman" w:hAnsi="Times New Roman"/>
        </w:rPr>
        <w:t xml:space="preserve">HITECH authorizes the Centers for Medicare &amp; Medicaid Services (CMS) to administer incentives to eligible professionals and hospitals for meaningful use of certified EHR technology.  The HITECH Act also authorizes the establishment of several new grant programs that will provide resources to facilitate the adoption and use of EHRs by providing technical assistance, the capacity to exchange health information, and the availability of trained professionals to support these activities. </w:t>
      </w:r>
    </w:p>
    <w:p w:rsidR="006A0F99" w:rsidRDefault="006A0F99" w:rsidP="001328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13280A" w:rsidRPr="001E0CF5" w:rsidRDefault="0013280A" w:rsidP="001328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1E0CF5">
        <w:rPr>
          <w:rFonts w:ascii="Times New Roman" w:hAnsi="Times New Roman"/>
        </w:rPr>
        <w:t>These priority grant programs are</w:t>
      </w:r>
      <w:r w:rsidR="00306C2B">
        <w:rPr>
          <w:rFonts w:ascii="Times New Roman" w:hAnsi="Times New Roman"/>
        </w:rPr>
        <w:t xml:space="preserve"> the following</w:t>
      </w:r>
      <w:r w:rsidRPr="001E0CF5">
        <w:rPr>
          <w:rFonts w:ascii="Times New Roman" w:hAnsi="Times New Roman"/>
        </w:rPr>
        <w:t xml:space="preserve">: </w:t>
      </w:r>
    </w:p>
    <w:p w:rsidR="0013280A" w:rsidRPr="001E0CF5" w:rsidRDefault="0013280A" w:rsidP="00306C2B">
      <w:pPr>
        <w:pStyle w:val="ListParagraph"/>
        <w:numPr>
          <w:ilvl w:val="0"/>
          <w:numId w:val="25"/>
        </w:numPr>
        <w:ind w:hanging="540"/>
      </w:pPr>
      <w:r w:rsidRPr="001E0CF5">
        <w:t>Health Information Technology Extension Program (Extension Program) - will establish a collaborative consortium of Health Information Technology Regional Extension Centers facilitated by the national Health Information Technology Research Center (HITRC). The Extension Program aims to reach 100,000 priority primary care providers across the nation within two years by providing technical assistance in the selection, acquisition, implementation, and meaningful use of an EHR to improve health care quality and outcomes.</w:t>
      </w:r>
    </w:p>
    <w:p w:rsidR="0013280A" w:rsidRPr="001E0CF5" w:rsidRDefault="0013280A" w:rsidP="0013280A">
      <w:pPr>
        <w:pStyle w:val="ListParagraph"/>
        <w:numPr>
          <w:ilvl w:val="0"/>
          <w:numId w:val="25"/>
        </w:numPr>
      </w:pPr>
      <w:r w:rsidRPr="001E0CF5">
        <w:t xml:space="preserve">State Grants to Promote Health Information Technology (State Health Information Exchange Cooperative Agreements Program - to promote health information exchange (HIE) that will advance mechanisms for information sharing across the health care system. </w:t>
      </w:r>
    </w:p>
    <w:p w:rsidR="0013280A" w:rsidRDefault="0013280A" w:rsidP="0013280A">
      <w:pPr>
        <w:pStyle w:val="ListParagraph"/>
        <w:numPr>
          <w:ilvl w:val="0"/>
          <w:numId w:val="25"/>
        </w:numPr>
      </w:pPr>
      <w:r w:rsidRPr="001E0CF5">
        <w:t>Information Technology Professionals in Health Care (Workforce Program</w:t>
      </w:r>
      <w:proofErr w:type="gramStart"/>
      <w:r w:rsidRPr="001E0CF5">
        <w:t>)-</w:t>
      </w:r>
      <w:proofErr w:type="gramEnd"/>
      <w:r w:rsidRPr="001E0CF5">
        <w:t xml:space="preserve"> to fund the training and development of a workforce that will meet short-term HITECH Act programmatic needs.</w:t>
      </w:r>
    </w:p>
    <w:p w:rsidR="006A0F99" w:rsidRPr="001E0CF5" w:rsidRDefault="006A0F99" w:rsidP="006A0F99">
      <w:pPr>
        <w:pStyle w:val="ListParagraph"/>
      </w:pPr>
    </w:p>
    <w:p w:rsidR="0013280A" w:rsidRDefault="006A0F99" w:rsidP="0013280A">
      <w:pPr>
        <w:rPr>
          <w:rFonts w:eastAsia="PMingLiU"/>
          <w:lang w:eastAsia="zh-TW"/>
        </w:rPr>
      </w:pPr>
      <w:r>
        <w:rPr>
          <w:rFonts w:eastAsia="PMingLiU"/>
          <w:lang w:eastAsia="zh-TW"/>
        </w:rPr>
        <w:t>Additionally, recommendations from Patient Protection and Affordable Care Act of 2010 (A</w:t>
      </w:r>
      <w:r w:rsidR="00885724">
        <w:rPr>
          <w:rFonts w:eastAsia="PMingLiU"/>
          <w:lang w:eastAsia="zh-TW"/>
        </w:rPr>
        <w:t>C</w:t>
      </w:r>
      <w:r>
        <w:rPr>
          <w:rFonts w:eastAsia="PMingLiU"/>
          <w:lang w:eastAsia="zh-TW"/>
        </w:rPr>
        <w:t xml:space="preserve">A) section 1561 </w:t>
      </w:r>
      <w:r w:rsidRPr="007C1E8D">
        <w:rPr>
          <w:rFonts w:eastAsia="PMingLiU"/>
          <w:lang w:eastAsia="zh-TW"/>
        </w:rPr>
        <w:t xml:space="preserve">requires </w:t>
      </w:r>
      <w:r>
        <w:rPr>
          <w:rFonts w:eastAsia="PMingLiU"/>
          <w:lang w:eastAsia="zh-TW"/>
        </w:rPr>
        <w:t>the Department of Health and Human Services (</w:t>
      </w:r>
      <w:r w:rsidRPr="007C1E8D">
        <w:rPr>
          <w:rFonts w:eastAsia="PMingLiU"/>
          <w:lang w:eastAsia="zh-TW"/>
        </w:rPr>
        <w:t>HHS</w:t>
      </w:r>
      <w:r>
        <w:rPr>
          <w:rFonts w:eastAsia="PMingLiU"/>
          <w:lang w:eastAsia="zh-TW"/>
        </w:rPr>
        <w:t>)</w:t>
      </w:r>
      <w:r w:rsidRPr="007C1E8D">
        <w:rPr>
          <w:rFonts w:eastAsia="PMingLiU"/>
          <w:lang w:eastAsia="zh-TW"/>
        </w:rPr>
        <w:t>, in consultation with the Health Information Technology (HIT) Policy Committee a</w:t>
      </w:r>
      <w:r>
        <w:rPr>
          <w:rFonts w:eastAsia="PMingLiU"/>
          <w:lang w:eastAsia="zh-TW"/>
        </w:rPr>
        <w:t xml:space="preserve">nd the HIT Standards Committee, </w:t>
      </w:r>
      <w:r w:rsidRPr="007C1E8D">
        <w:rPr>
          <w:rFonts w:eastAsia="PMingLiU"/>
          <w:lang w:eastAsia="zh-TW"/>
        </w:rPr>
        <w:t>to develop interoperable and secure standards and protocols that facilitate electronic enrol</w:t>
      </w:r>
      <w:r>
        <w:rPr>
          <w:rFonts w:eastAsia="PMingLiU"/>
          <w:lang w:eastAsia="zh-TW"/>
        </w:rPr>
        <w:t xml:space="preserve">lment </w:t>
      </w:r>
      <w:r w:rsidRPr="00AF52E6">
        <w:rPr>
          <w:rFonts w:eastAsia="PMingLiU"/>
          <w:lang w:eastAsia="zh-TW"/>
        </w:rPr>
        <w:t>to encourage adoption of modern electronic systems</w:t>
      </w:r>
      <w:r>
        <w:rPr>
          <w:rFonts w:eastAsia="PMingLiU"/>
          <w:lang w:eastAsia="zh-TW"/>
        </w:rPr>
        <w:t>. The aim of both the HITECH act and ARA include</w:t>
      </w:r>
      <w:r w:rsidR="00041099">
        <w:rPr>
          <w:rFonts w:eastAsia="PMingLiU"/>
          <w:lang w:eastAsia="zh-TW"/>
        </w:rPr>
        <w:t>s</w:t>
      </w:r>
      <w:r>
        <w:rPr>
          <w:rFonts w:eastAsia="PMingLiU"/>
          <w:lang w:eastAsia="zh-TW"/>
        </w:rPr>
        <w:t xml:space="preserve"> e</w:t>
      </w:r>
      <w:r w:rsidRPr="00590CDB">
        <w:rPr>
          <w:rFonts w:eastAsia="PMingLiU"/>
          <w:lang w:eastAsia="zh-TW"/>
        </w:rPr>
        <w:t>nhanc</w:t>
      </w:r>
      <w:r>
        <w:rPr>
          <w:rFonts w:eastAsia="PMingLiU"/>
          <w:lang w:eastAsia="zh-TW"/>
        </w:rPr>
        <w:t>ing</w:t>
      </w:r>
      <w:r w:rsidRPr="00590CDB">
        <w:rPr>
          <w:rFonts w:eastAsia="PMingLiU"/>
          <w:lang w:eastAsia="zh-TW"/>
        </w:rPr>
        <w:t xml:space="preserve"> efficiency and improve quality in the health care system</w:t>
      </w:r>
      <w:r>
        <w:rPr>
          <w:rFonts w:eastAsia="PMingLiU"/>
          <w:lang w:eastAsia="zh-TW"/>
        </w:rPr>
        <w:t>, e</w:t>
      </w:r>
      <w:r w:rsidRPr="00590CDB">
        <w:rPr>
          <w:rFonts w:eastAsia="PMingLiU"/>
          <w:lang w:eastAsia="zh-TW"/>
        </w:rPr>
        <w:t>xpand</w:t>
      </w:r>
      <w:r>
        <w:rPr>
          <w:rFonts w:eastAsia="PMingLiU"/>
          <w:lang w:eastAsia="zh-TW"/>
        </w:rPr>
        <w:t>ing</w:t>
      </w:r>
      <w:r w:rsidRPr="00590CDB">
        <w:rPr>
          <w:rFonts w:eastAsia="PMingLiU"/>
          <w:lang w:eastAsia="zh-TW"/>
        </w:rPr>
        <w:t xml:space="preserve"> access to care</w:t>
      </w:r>
      <w:r>
        <w:rPr>
          <w:rFonts w:eastAsia="PMingLiU"/>
          <w:lang w:eastAsia="zh-TW"/>
        </w:rPr>
        <w:t>, and i</w:t>
      </w:r>
      <w:r w:rsidRPr="00590CDB">
        <w:rPr>
          <w:rFonts w:eastAsia="PMingLiU"/>
          <w:lang w:eastAsia="zh-TW"/>
        </w:rPr>
        <w:t>mprove patient health</w:t>
      </w:r>
      <w:r w:rsidRPr="00AF52E6">
        <w:rPr>
          <w:rFonts w:eastAsia="PMingLiU"/>
          <w:lang w:eastAsia="zh-TW"/>
        </w:rPr>
        <w:t>.</w:t>
      </w:r>
    </w:p>
    <w:p w:rsidR="006A0F99" w:rsidRPr="001E0CF5" w:rsidRDefault="006A0F99" w:rsidP="0013280A"/>
    <w:p w:rsidR="00F47F2B" w:rsidRPr="001E0CF5" w:rsidRDefault="000E57BC" w:rsidP="00F47F2B">
      <w:r w:rsidRPr="001E0CF5">
        <w:t>The physician workflow supplement of the EMR/EHR mail survey is sponsored by the Office of the National Coordinator for Health Information Technology (ONC), Department of Health and Human Services (DHHS).</w:t>
      </w:r>
      <w:r>
        <w:t xml:space="preserve">  </w:t>
      </w:r>
      <w:r w:rsidR="001E0CF5" w:rsidRPr="001E0CF5">
        <w:t>To assist in measuring the progress of meeting the President’s</w:t>
      </w:r>
      <w:r w:rsidR="001E0CF5" w:rsidRPr="0013280A">
        <w:t xml:space="preserve"> </w:t>
      </w:r>
      <w:r w:rsidR="001E0CF5" w:rsidRPr="001E0CF5">
        <w:t xml:space="preserve">goal for most Americans to have access to an interoperable EHR by 2014, </w:t>
      </w:r>
      <w:r w:rsidR="00041099">
        <w:t xml:space="preserve">ONC has funded </w:t>
      </w:r>
      <w:r w:rsidR="001E0CF5" w:rsidRPr="001E0CF5">
        <w:t xml:space="preserve">NCHS </w:t>
      </w:r>
      <w:r w:rsidR="00041099">
        <w:t xml:space="preserve">to </w:t>
      </w:r>
      <w:r w:rsidR="001E0CF5" w:rsidRPr="001E0CF5">
        <w:t xml:space="preserve">add a follow up longitudinal supplement to the EMR/EHR mail survey first conducted in 2008 (see </w:t>
      </w:r>
      <w:r w:rsidR="001E0CF5" w:rsidRPr="001E0CF5">
        <w:rPr>
          <w:b/>
        </w:rPr>
        <w:t xml:space="preserve">Attachment </w:t>
      </w:r>
      <w:r w:rsidR="00204054">
        <w:rPr>
          <w:b/>
        </w:rPr>
        <w:t>D</w:t>
      </w:r>
      <w:r w:rsidR="001E0CF5" w:rsidRPr="001E0CF5">
        <w:rPr>
          <w:b/>
        </w:rPr>
        <w:t xml:space="preserve"> </w:t>
      </w:r>
      <w:r w:rsidR="001E0CF5" w:rsidRPr="001E0CF5">
        <w:t xml:space="preserve">for a copy of the 2011 </w:t>
      </w:r>
      <w:r w:rsidR="00275EA9">
        <w:t xml:space="preserve">EMR/EHR mail </w:t>
      </w:r>
      <w:r w:rsidR="001E0CF5" w:rsidRPr="001E0CF5">
        <w:t>supplement)</w:t>
      </w:r>
      <w:r w:rsidR="006A0F99">
        <w:t xml:space="preserve">, the Physician Workflow </w:t>
      </w:r>
      <w:r w:rsidR="00041099">
        <w:t>S</w:t>
      </w:r>
      <w:r w:rsidR="006A0F99">
        <w:t>upplementary Mail Survey</w:t>
      </w:r>
      <w:r w:rsidR="001E0CF5" w:rsidRPr="001E0CF5">
        <w:t xml:space="preserve">. The sample for the </w:t>
      </w:r>
      <w:r w:rsidR="006A0F99">
        <w:t>follow up supplement</w:t>
      </w:r>
      <w:r w:rsidR="001E0CF5" w:rsidRPr="001E0CF5">
        <w:t xml:space="preserve"> will be drawn from the responding physicians from the 2011 EMR/EHR mail survey, which is separate from the traditional NAMCS sample with a </w:t>
      </w:r>
      <w:r w:rsidR="00041099">
        <w:t xml:space="preserve">state-based </w:t>
      </w:r>
      <w:r w:rsidR="001E0CF5" w:rsidRPr="001E0CF5">
        <w:t>sample of 10,302 physicians in 2011.</w:t>
      </w:r>
      <w:r w:rsidR="00AA0B63">
        <w:t xml:space="preserve">  These physicians will be contacted twice in 2011, once for the EMR/EHR supplement, and once for the physician workflow supplement.  Additionally, this cohort will be followed for three years from 2011 to 2013.  </w:t>
      </w:r>
      <w:r w:rsidR="00F47F2B" w:rsidRPr="001E0CF5">
        <w:t>ONC requires continuous information on the costs, benefits, and barriers associated with the use of EHRs at various levels of adoption.  This information helps ONC measure the progress towards HITECH program goals and provides insight into where scarce resources need to be devoted to help physicians achieve Stage I and Stage II meaningful us</w:t>
      </w:r>
      <w:r w:rsidR="00F47F2B">
        <w:t xml:space="preserve">e of certified EHR technology. </w:t>
      </w:r>
      <w:r w:rsidR="00F47F2B" w:rsidRPr="001E0CF5">
        <w:t>The longitudinal nature of this</w:t>
      </w:r>
      <w:r w:rsidR="00F47F2B">
        <w:t xml:space="preserve"> physician workflow</w:t>
      </w:r>
      <w:r w:rsidR="00F47F2B" w:rsidRPr="001E0CF5">
        <w:t xml:space="preserve"> study will also provide insight into physician investment behavior, intent to meet HHS’ meaningful use criteria, and barriers that physicians face at various s</w:t>
      </w:r>
      <w:r w:rsidR="00041099">
        <w:t>tages</w:t>
      </w:r>
      <w:r w:rsidR="00F47F2B" w:rsidRPr="001E0CF5">
        <w:t xml:space="preserve"> of EHR adoption.</w:t>
      </w:r>
      <w:r w:rsidR="00E40E77">
        <w:t xml:space="preserve">  </w:t>
      </w:r>
      <w:r w:rsidR="00041099">
        <w:t xml:space="preserve">ONC will use this information </w:t>
      </w:r>
      <w:r w:rsidR="00F47F2B" w:rsidRPr="001E0CF5">
        <w:t xml:space="preserve">to inform policy-making around Stage II meaningful use criteria. The meaningful use </w:t>
      </w:r>
      <w:r w:rsidR="00F47F2B">
        <w:t>rule</w:t>
      </w:r>
      <w:r w:rsidR="00F47F2B" w:rsidRPr="001E0CF5">
        <w:t xml:space="preserve"> is part of a coordinated set of regulations to help create a private and secure 21</w:t>
      </w:r>
      <w:r w:rsidR="00F47F2B" w:rsidRPr="001E0CF5">
        <w:rPr>
          <w:vertAlign w:val="superscript"/>
        </w:rPr>
        <w:t xml:space="preserve">st </w:t>
      </w:r>
      <w:r w:rsidR="00F47F2B" w:rsidRPr="001E0CF5">
        <w:t>century electronic health information system. ONC</w:t>
      </w:r>
      <w:r w:rsidR="000122C4">
        <w:t>’</w:t>
      </w:r>
      <w:r w:rsidR="00F47F2B" w:rsidRPr="001E0CF5">
        <w:t>s criteria for meaningful use will be implemented in three stages.  Stage 1 will begin in 2011; Stage 2 will begin in 2013, and will add more requirements and new reports; and Stage 3 will begin in 2015 and is expected to add more requirements.  The information obtained from the</w:t>
      </w:r>
      <w:r w:rsidR="00F47F2B">
        <w:t xml:space="preserve"> new workflow supplement </w:t>
      </w:r>
      <w:r w:rsidR="00F47F2B" w:rsidRPr="00813897">
        <w:t>will provide gre</w:t>
      </w:r>
      <w:r w:rsidR="00F47F2B">
        <w:t xml:space="preserve">at value to ONC and NHCS. </w:t>
      </w:r>
      <w:r w:rsidR="00F47F2B" w:rsidRPr="001E0CF5">
        <w:t>Together</w:t>
      </w:r>
      <w:r w:rsidR="00F47F2B">
        <w:t xml:space="preserve"> with the EMR/EHR supplement, the</w:t>
      </w:r>
      <w:r w:rsidR="00F47F2B" w:rsidRPr="001E0CF5">
        <w:t xml:space="preserve"> information</w:t>
      </w:r>
      <w:r w:rsidR="00F47F2B">
        <w:t xml:space="preserve"> obtained </w:t>
      </w:r>
      <w:r w:rsidR="00F47F2B" w:rsidRPr="001E0CF5">
        <w:t>will help ONC monitor the effectiveness of federal programs and grants</w:t>
      </w:r>
      <w:r w:rsidR="00E40E77">
        <w:t xml:space="preserve">, </w:t>
      </w:r>
      <w:r w:rsidR="00F47F2B" w:rsidRPr="001E0CF5">
        <w:t>and inform key policy decisions</w:t>
      </w:r>
      <w:r w:rsidR="00E40E77">
        <w:t xml:space="preserve"> to develop criteria for successive stages</w:t>
      </w:r>
      <w:r w:rsidR="00F47F2B" w:rsidRPr="001E0CF5">
        <w:t>.</w:t>
      </w:r>
    </w:p>
    <w:p w:rsidR="00F47F2B" w:rsidRDefault="00F47F2B" w:rsidP="0013280A"/>
    <w:p w:rsidR="008F1756" w:rsidRPr="00813897" w:rsidRDefault="008F1756" w:rsidP="008F1756">
      <w:r>
        <w:t xml:space="preserve">See </w:t>
      </w:r>
      <w:r w:rsidRPr="00204054">
        <w:rPr>
          <w:b/>
        </w:rPr>
        <w:t>Attachment</w:t>
      </w:r>
      <w:r w:rsidR="00E40ACA">
        <w:rPr>
          <w:b/>
        </w:rPr>
        <w:t>s</w:t>
      </w:r>
      <w:r w:rsidRPr="00204054">
        <w:rPr>
          <w:b/>
        </w:rPr>
        <w:t xml:space="preserve"> </w:t>
      </w:r>
      <w:r w:rsidR="00204054">
        <w:rPr>
          <w:b/>
        </w:rPr>
        <w:t>E</w:t>
      </w:r>
      <w:r w:rsidR="00E40ACA">
        <w:rPr>
          <w:b/>
        </w:rPr>
        <w:t>1 and E2</w:t>
      </w:r>
      <w:r w:rsidR="0013280A">
        <w:rPr>
          <w:b/>
        </w:rPr>
        <w:t xml:space="preserve"> </w:t>
      </w:r>
      <w:r>
        <w:t xml:space="preserve">for the proposed </w:t>
      </w:r>
      <w:r w:rsidR="00B17A56">
        <w:t>Physician Workflow supplementary Mail Surveys</w:t>
      </w:r>
      <w:r>
        <w:t xml:space="preserve">. </w:t>
      </w:r>
      <w:r w:rsidR="00E40ACA">
        <w:t xml:space="preserve">One </w:t>
      </w:r>
      <w:r w:rsidR="00E867A7">
        <w:t xml:space="preserve">EMR/EHR </w:t>
      </w:r>
      <w:r w:rsidR="00EA7F5C">
        <w:t>Workflow</w:t>
      </w:r>
      <w:r w:rsidR="00E867A7">
        <w:t xml:space="preserve"> survey is intended for physicians who currently have an electronic health record system</w:t>
      </w:r>
      <w:r w:rsidR="00E40ACA">
        <w:t xml:space="preserve"> (</w:t>
      </w:r>
      <w:r w:rsidR="00E40ACA" w:rsidRPr="00E40ACA">
        <w:rPr>
          <w:b/>
        </w:rPr>
        <w:t>Attachment E1</w:t>
      </w:r>
      <w:r w:rsidR="00E40ACA">
        <w:t xml:space="preserve">), and the </w:t>
      </w:r>
      <w:r w:rsidR="00E867A7">
        <w:t>second is for physicians without a current electronic health record system</w:t>
      </w:r>
      <w:r w:rsidR="00E40ACA">
        <w:t xml:space="preserve"> (</w:t>
      </w:r>
      <w:r w:rsidR="00E40ACA" w:rsidRPr="00E40ACA">
        <w:rPr>
          <w:b/>
        </w:rPr>
        <w:t>Attachment E2</w:t>
      </w:r>
      <w:r w:rsidR="00E40ACA">
        <w:t>)</w:t>
      </w:r>
      <w:r w:rsidR="00E867A7">
        <w:t>.</w:t>
      </w:r>
      <w:r w:rsidR="00CA6378">
        <w:t xml:space="preserve">  . </w:t>
      </w:r>
      <w:r w:rsidR="00E867A7">
        <w:t xml:space="preserve"> </w:t>
      </w:r>
      <w:r>
        <w:t xml:space="preserve">  </w:t>
      </w:r>
      <w:r w:rsidRPr="00813897">
        <w:t xml:space="preserve"> </w:t>
      </w:r>
    </w:p>
    <w:p w:rsidR="004707B8" w:rsidRDefault="004707B8"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color w:val="000000"/>
          <w:u w:val="single"/>
        </w:rPr>
      </w:pPr>
    </w:p>
    <w:p w:rsidR="006C1EC5" w:rsidRDefault="00A510E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color w:val="000000"/>
          <w:u w:val="single"/>
        </w:rPr>
      </w:pPr>
      <w:r>
        <w:rPr>
          <w:rFonts w:ascii="Times New Roman" w:hAnsi="Times New Roman"/>
          <w:bCs/>
          <w:color w:val="000000"/>
          <w:u w:val="single"/>
        </w:rPr>
        <w:t>Privacy Impact Assessment</w:t>
      </w:r>
      <w:r w:rsidR="002E343C">
        <w:rPr>
          <w:rFonts w:ascii="Times New Roman" w:hAnsi="Times New Roman"/>
          <w:bCs/>
          <w:color w:val="000000"/>
          <w:u w:val="single"/>
        </w:rPr>
        <w:t xml:space="preserve"> </w:t>
      </w:r>
    </w:p>
    <w:p w:rsidR="007C40D7" w:rsidRDefault="007C40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7C40D7" w:rsidRPr="007C40D7" w:rsidRDefault="007C40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 xml:space="preserve">The substantive information required for this section is provided in detail </w:t>
      </w:r>
      <w:r w:rsidR="004454F9">
        <w:rPr>
          <w:rFonts w:ascii="Times New Roman" w:hAnsi="Times New Roman"/>
          <w:bCs/>
          <w:color w:val="000000"/>
        </w:rPr>
        <w:t xml:space="preserve">in </w:t>
      </w:r>
      <w:r>
        <w:rPr>
          <w:rFonts w:ascii="Times New Roman" w:hAnsi="Times New Roman"/>
          <w:bCs/>
          <w:color w:val="000000"/>
        </w:rPr>
        <w:t xml:space="preserve">“Overview of Data Collection System” below.  </w:t>
      </w:r>
      <w:r w:rsidR="00827652">
        <w:rPr>
          <w:rFonts w:ascii="Times New Roman" w:hAnsi="Times New Roman"/>
          <w:bCs/>
          <w:color w:val="000000"/>
        </w:rPr>
        <w:t>T</w:t>
      </w:r>
      <w:r w:rsidR="004454F9">
        <w:rPr>
          <w:rFonts w:ascii="Times New Roman" w:hAnsi="Times New Roman"/>
          <w:bCs/>
          <w:color w:val="000000"/>
        </w:rPr>
        <w:t>he section titled “</w:t>
      </w:r>
      <w:r w:rsidR="004454F9" w:rsidRPr="004454F9">
        <w:rPr>
          <w:rFonts w:ascii="Times New Roman" w:hAnsi="Times New Roman"/>
          <w:bCs/>
          <w:color w:val="000000"/>
        </w:rPr>
        <w:t xml:space="preserve">Identification of Website(s) and Website Content Directed at Children </w:t>
      </w:r>
      <w:proofErr w:type="gramStart"/>
      <w:r w:rsidR="004454F9" w:rsidRPr="004454F9">
        <w:rPr>
          <w:rFonts w:ascii="Times New Roman" w:hAnsi="Times New Roman"/>
          <w:bCs/>
          <w:color w:val="000000"/>
        </w:rPr>
        <w:t>Under</w:t>
      </w:r>
      <w:proofErr w:type="gramEnd"/>
      <w:r w:rsidR="004454F9" w:rsidRPr="004454F9">
        <w:rPr>
          <w:rFonts w:ascii="Times New Roman" w:hAnsi="Times New Roman"/>
          <w:bCs/>
          <w:color w:val="000000"/>
        </w:rPr>
        <w:t xml:space="preserve"> 13 Years of Age</w:t>
      </w:r>
      <w:r w:rsidR="004454F9">
        <w:rPr>
          <w:rFonts w:ascii="Times New Roman" w:hAnsi="Times New Roman"/>
          <w:bCs/>
          <w:color w:val="000000"/>
        </w:rPr>
        <w:t xml:space="preserve">” </w:t>
      </w:r>
      <w:r w:rsidR="00827652">
        <w:rPr>
          <w:rFonts w:ascii="Times New Roman" w:hAnsi="Times New Roman"/>
          <w:bCs/>
          <w:color w:val="000000"/>
        </w:rPr>
        <w:t>includes discussion of the NAMCS website.</w:t>
      </w:r>
      <w:r w:rsidR="004454F9">
        <w:rPr>
          <w:rFonts w:ascii="Times New Roman" w:hAnsi="Times New Roman"/>
          <w:bCs/>
          <w:color w:val="000000"/>
        </w:rPr>
        <w:t xml:space="preserve"> </w:t>
      </w:r>
    </w:p>
    <w:p w:rsidR="002E343C" w:rsidRDefault="002E343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8A719A" w:rsidRDefault="00D1512A"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color w:val="000000"/>
          <w:u w:val="single"/>
        </w:rPr>
      </w:pPr>
      <w:r>
        <w:rPr>
          <w:rFonts w:ascii="Times New Roman" w:hAnsi="Times New Roman"/>
          <w:bCs/>
          <w:color w:val="000000"/>
        </w:rPr>
        <w:t xml:space="preserve"> </w:t>
      </w:r>
      <w:r w:rsidR="008A719A">
        <w:rPr>
          <w:rFonts w:ascii="Times New Roman" w:hAnsi="Times New Roman"/>
          <w:bCs/>
          <w:color w:val="000000"/>
          <w:u w:val="single"/>
        </w:rPr>
        <w:t xml:space="preserve">Overview of the </w:t>
      </w:r>
      <w:r w:rsidR="00B70F0D">
        <w:rPr>
          <w:rFonts w:ascii="Times New Roman" w:hAnsi="Times New Roman"/>
          <w:bCs/>
          <w:color w:val="000000"/>
          <w:u w:val="single"/>
        </w:rPr>
        <w:t>Core</w:t>
      </w:r>
      <w:r w:rsidR="005D47EC">
        <w:rPr>
          <w:rFonts w:ascii="Times New Roman" w:hAnsi="Times New Roman"/>
          <w:bCs/>
          <w:color w:val="000000"/>
          <w:u w:val="single"/>
        </w:rPr>
        <w:t xml:space="preserve"> </w:t>
      </w:r>
      <w:r w:rsidR="00B70F0D">
        <w:rPr>
          <w:rFonts w:ascii="Times New Roman" w:hAnsi="Times New Roman"/>
          <w:bCs/>
          <w:color w:val="000000"/>
          <w:u w:val="single"/>
        </w:rPr>
        <w:t xml:space="preserve">NAMCS </w:t>
      </w:r>
      <w:r w:rsidR="008A719A">
        <w:rPr>
          <w:rFonts w:ascii="Times New Roman" w:hAnsi="Times New Roman"/>
          <w:bCs/>
          <w:color w:val="000000"/>
          <w:u w:val="single"/>
        </w:rPr>
        <w:t>Data Collection System</w:t>
      </w:r>
    </w:p>
    <w:p w:rsidR="008A719A" w:rsidRPr="008A719A" w:rsidRDefault="008A71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571FFE" w:rsidRDefault="00093CC5" w:rsidP="00093CC5">
      <w:r>
        <w:rPr>
          <w:bCs/>
          <w:color w:val="000000"/>
        </w:rPr>
        <w:t xml:space="preserve">The target universe of </w:t>
      </w:r>
      <w:r w:rsidR="00F5371D">
        <w:rPr>
          <w:bCs/>
          <w:color w:val="000000"/>
        </w:rPr>
        <w:t xml:space="preserve">the </w:t>
      </w:r>
      <w:r w:rsidR="009A7BE3">
        <w:rPr>
          <w:bCs/>
          <w:color w:val="000000"/>
        </w:rPr>
        <w:t xml:space="preserve">core </w:t>
      </w:r>
      <w:r>
        <w:rPr>
          <w:bCs/>
          <w:color w:val="000000"/>
        </w:rPr>
        <w:t>NAMCS includes visits made in the United States to the offices of nonfederally employed physicians, excluding those in the specialties of anesthesiology, radiology, and pathology, who were classified by the American Medical Association (AMA) or the American Osteopathic Association (AOA) as “office-based, patient care</w:t>
      </w:r>
      <w:r w:rsidR="00F5371D">
        <w:rPr>
          <w:bCs/>
          <w:color w:val="000000"/>
        </w:rPr>
        <w:t>.</w:t>
      </w:r>
      <w:r>
        <w:rPr>
          <w:bCs/>
          <w:color w:val="000000"/>
        </w:rPr>
        <w:t>”</w:t>
      </w:r>
      <w:r w:rsidR="00F5371D">
        <w:rPr>
          <w:bCs/>
          <w:color w:val="000000"/>
        </w:rPr>
        <w:t xml:space="preserve">  The target universe also includes v</w:t>
      </w:r>
      <w:r w:rsidR="00707319">
        <w:rPr>
          <w:bCs/>
          <w:color w:val="000000"/>
        </w:rPr>
        <w:t>isits to p</w:t>
      </w:r>
      <w:r w:rsidR="00571FFE">
        <w:rPr>
          <w:color w:val="000000"/>
        </w:rPr>
        <w:t xml:space="preserve">hysicians (MDs and DOs) and mid-level providers </w:t>
      </w:r>
      <w:r w:rsidR="00571FFE">
        <w:t xml:space="preserve">(i.e., nurse practitioners, physician assistants, and nurse mid-wives) practicing at </w:t>
      </w:r>
      <w:r w:rsidR="007A0710">
        <w:t>non-office-based community health centers</w:t>
      </w:r>
      <w:r w:rsidR="009A7BE3">
        <w:t xml:space="preserve">.  </w:t>
      </w:r>
    </w:p>
    <w:p w:rsidR="009A7BE3" w:rsidRDefault="009A7BE3" w:rsidP="00093CC5"/>
    <w:p w:rsidR="00571FFE" w:rsidRDefault="009A7BE3" w:rsidP="00093CC5">
      <w:r>
        <w:t>For the core</w:t>
      </w:r>
      <w:r w:rsidR="002B43AE">
        <w:t xml:space="preserve"> </w:t>
      </w:r>
      <w:r>
        <w:t>NAMCS, each physician/provider in private practice/CHC i</w:t>
      </w:r>
      <w:r w:rsidR="002E408A">
        <w:t>s asked to complete a NAMCS</w:t>
      </w:r>
      <w:r w:rsidR="0022307C">
        <w:t xml:space="preserve"> physician </w:t>
      </w:r>
      <w:r>
        <w:t>induction form (</w:t>
      </w:r>
      <w:r w:rsidR="002E408A" w:rsidRPr="00204054">
        <w:rPr>
          <w:b/>
        </w:rPr>
        <w:t xml:space="preserve">Attachment </w:t>
      </w:r>
      <w:r w:rsidR="00891349" w:rsidRPr="00204054">
        <w:rPr>
          <w:b/>
        </w:rPr>
        <w:t>F</w:t>
      </w:r>
      <w:r>
        <w:t xml:space="preserve">) </w:t>
      </w:r>
      <w:r w:rsidR="00C979A6">
        <w:t xml:space="preserve">over the telephone and </w:t>
      </w:r>
      <w:r>
        <w:t>during an initial personal interview.</w:t>
      </w:r>
      <w:r w:rsidR="00272038">
        <w:t xml:space="preserve">  T</w:t>
      </w:r>
      <w:r w:rsidR="00272038" w:rsidRPr="00D7645E">
        <w:t xml:space="preserve">he questions in the first-half of the </w:t>
      </w:r>
      <w:r w:rsidR="00272038">
        <w:t>NAMCS-1</w:t>
      </w:r>
      <w:r w:rsidR="00060D34">
        <w:t xml:space="preserve">, which are completed over the telephone, </w:t>
      </w:r>
      <w:r w:rsidR="00272038" w:rsidRPr="00D7645E">
        <w:t xml:space="preserve">are used to guide </w:t>
      </w:r>
      <w:r w:rsidR="007E4C93">
        <w:t xml:space="preserve">Census </w:t>
      </w:r>
      <w:r w:rsidR="00B07770">
        <w:t>Field Representatives (</w:t>
      </w:r>
      <w:r w:rsidR="00272038" w:rsidRPr="00D7645E">
        <w:t>FRs</w:t>
      </w:r>
      <w:r w:rsidR="00B07770">
        <w:t>)</w:t>
      </w:r>
      <w:r w:rsidR="00272038" w:rsidRPr="00D7645E">
        <w:t xml:space="preserve"> through the induction process and verify the physician/provider's eligibility.  The second-half of the form</w:t>
      </w:r>
      <w:r w:rsidR="00060D34">
        <w:t xml:space="preserve">, which is completed in person, </w:t>
      </w:r>
      <w:r w:rsidR="00272038" w:rsidRPr="00D7645E">
        <w:t>is dedicated to obtaining information concerning sel</w:t>
      </w:r>
      <w:r w:rsidR="00272038">
        <w:t>ected practice characteristics</w:t>
      </w:r>
      <w:r w:rsidR="001F35E4">
        <w:t xml:space="preserve"> and determin</w:t>
      </w:r>
      <w:r w:rsidR="00B07770">
        <w:t>ing</w:t>
      </w:r>
      <w:r w:rsidR="001F35E4">
        <w:t xml:space="preserve"> a sampling strategy to collect</w:t>
      </w:r>
      <w:r w:rsidR="00B07770">
        <w:t xml:space="preserve"> Patient Record </w:t>
      </w:r>
      <w:r w:rsidR="00996D9A">
        <w:t>f</w:t>
      </w:r>
      <w:r w:rsidR="00B07770">
        <w:t>orm</w:t>
      </w:r>
      <w:r w:rsidR="00996D9A">
        <w:t>s</w:t>
      </w:r>
      <w:r w:rsidR="001F35E4">
        <w:t xml:space="preserve"> </w:t>
      </w:r>
      <w:r w:rsidR="00B07770">
        <w:t>(</w:t>
      </w:r>
      <w:r w:rsidR="001F35E4">
        <w:t>PRFs</w:t>
      </w:r>
      <w:r w:rsidR="00B07770">
        <w:t>)</w:t>
      </w:r>
      <w:r w:rsidR="002E408A">
        <w:t xml:space="preserve"> (</w:t>
      </w:r>
      <w:r w:rsidR="002E408A" w:rsidRPr="00204054">
        <w:rPr>
          <w:b/>
        </w:rPr>
        <w:t xml:space="preserve">Attachment </w:t>
      </w:r>
      <w:r w:rsidR="00891349" w:rsidRPr="00204054">
        <w:rPr>
          <w:b/>
        </w:rPr>
        <w:t>G</w:t>
      </w:r>
      <w:r w:rsidR="002E408A">
        <w:t>)</w:t>
      </w:r>
      <w:r w:rsidR="00272038" w:rsidRPr="00D7645E">
        <w:t>.</w:t>
      </w:r>
      <w:r w:rsidR="00CE1E0F">
        <w:t xml:space="preserve"> </w:t>
      </w:r>
      <w:r w:rsidR="00870658">
        <w:t xml:space="preserve">In addition, the </w:t>
      </w:r>
      <w:r w:rsidR="00891349">
        <w:t xml:space="preserve">newly approved </w:t>
      </w:r>
      <w:r w:rsidR="00870658">
        <w:t>EMR/</w:t>
      </w:r>
      <w:r w:rsidR="001F60B9">
        <w:t>E</w:t>
      </w:r>
      <w:r w:rsidR="00D36725">
        <w:t>H</w:t>
      </w:r>
      <w:r w:rsidR="001F60B9">
        <w:t>R</w:t>
      </w:r>
      <w:r w:rsidR="0078332F">
        <w:t xml:space="preserve"> </w:t>
      </w:r>
      <w:r w:rsidR="00891349">
        <w:t xml:space="preserve">and </w:t>
      </w:r>
      <w:r w:rsidR="00D36725">
        <w:t xml:space="preserve">diagnostic test items, and the new CAM items </w:t>
      </w:r>
      <w:r w:rsidR="002E408A">
        <w:t>(</w:t>
      </w:r>
      <w:r w:rsidR="002E408A" w:rsidRPr="00204054">
        <w:rPr>
          <w:b/>
        </w:rPr>
        <w:t xml:space="preserve">Attachment </w:t>
      </w:r>
      <w:r w:rsidR="00204054">
        <w:rPr>
          <w:b/>
        </w:rPr>
        <w:t>C</w:t>
      </w:r>
      <w:r w:rsidR="002E408A">
        <w:t xml:space="preserve">) </w:t>
      </w:r>
      <w:r w:rsidR="0078332F">
        <w:t xml:space="preserve">will be </w:t>
      </w:r>
      <w:r w:rsidR="00870658">
        <w:t xml:space="preserve">added to the second half of the NAMCS-1.  </w:t>
      </w:r>
      <w:r w:rsidR="00CE1E0F">
        <w:t>E</w:t>
      </w:r>
      <w:r>
        <w:t>ach CHC director is also asked to complete a CHC induction form</w:t>
      </w:r>
      <w:r w:rsidR="009C0D7D">
        <w:t xml:space="preserve"> during </w:t>
      </w:r>
      <w:r w:rsidR="00A93A3A">
        <w:t xml:space="preserve">a </w:t>
      </w:r>
      <w:r w:rsidR="009C0D7D">
        <w:t>personal interview</w:t>
      </w:r>
      <w:r w:rsidR="002E408A">
        <w:t xml:space="preserve"> (</w:t>
      </w:r>
      <w:r w:rsidR="002E408A" w:rsidRPr="00204054">
        <w:rPr>
          <w:b/>
        </w:rPr>
        <w:t>Attachment</w:t>
      </w:r>
      <w:r w:rsidR="00891349" w:rsidRPr="00204054">
        <w:rPr>
          <w:b/>
        </w:rPr>
        <w:t xml:space="preserve"> H</w:t>
      </w:r>
      <w:r w:rsidR="002E408A">
        <w:t>)</w:t>
      </w:r>
      <w:r>
        <w:t xml:space="preserve">.  </w:t>
      </w:r>
      <w:r w:rsidR="004B48E5">
        <w:t>This form</w:t>
      </w:r>
      <w:r>
        <w:t xml:space="preserve"> </w:t>
      </w:r>
      <w:r w:rsidR="00CE1E0F">
        <w:t>permits</w:t>
      </w:r>
      <w:r w:rsidR="009C0D7D">
        <w:t xml:space="preserve"> the collection of general CHC contact information</w:t>
      </w:r>
      <w:r w:rsidR="00451CA6">
        <w:t xml:space="preserve"> including </w:t>
      </w:r>
      <w:r w:rsidR="009C0D7D">
        <w:t>type of center</w:t>
      </w:r>
      <w:r w:rsidR="00451CA6">
        <w:t>, s</w:t>
      </w:r>
      <w:r w:rsidR="009C0D7D">
        <w:t>ources of revenue</w:t>
      </w:r>
      <w:r w:rsidR="00FD4EBD">
        <w:t>, and identification of sampled p</w:t>
      </w:r>
      <w:r w:rsidR="001C7C94">
        <w:t>roviders</w:t>
      </w:r>
      <w:r w:rsidR="00E47A8F">
        <w:t xml:space="preserve">.  </w:t>
      </w:r>
    </w:p>
    <w:p w:rsidR="00A93A3A" w:rsidRDefault="00A93A3A" w:rsidP="00093CC5"/>
    <w:p w:rsidR="006D6308" w:rsidRPr="00FC73DF" w:rsidRDefault="00195661" w:rsidP="00A92751">
      <w:pPr>
        <w:rPr>
          <w:color w:val="000000"/>
        </w:rPr>
      </w:pPr>
      <w:r>
        <w:t xml:space="preserve">The majority of the data collection occurs with the completion of PRFs by </w:t>
      </w:r>
      <w:r w:rsidR="008B252F">
        <w:t xml:space="preserve">the </w:t>
      </w:r>
      <w:r>
        <w:t>sampled physician/provider and/or office staff. A PRF is completed fo</w:t>
      </w:r>
      <w:r w:rsidR="00D77ADF">
        <w:t>r</w:t>
      </w:r>
      <w:r>
        <w:t xml:space="preserve"> each sampled patient visit and will be the same as th</w:t>
      </w:r>
      <w:r w:rsidR="00C17A59">
        <w:t>e one currently used in 20</w:t>
      </w:r>
      <w:r w:rsidR="00F50C30">
        <w:t>10</w:t>
      </w:r>
      <w:r w:rsidR="00A10B6C">
        <w:t xml:space="preserve"> </w:t>
      </w:r>
      <w:r w:rsidR="00F50C30">
        <w:t xml:space="preserve">except that there will only be </w:t>
      </w:r>
      <w:r w:rsidR="00AB5ADB">
        <w:t xml:space="preserve">only </w:t>
      </w:r>
      <w:r w:rsidR="00F50C30">
        <w:t>one form</w:t>
      </w:r>
      <w:r w:rsidR="00AB5ADB">
        <w:t>.  The proposed 2011 PRF will have</w:t>
      </w:r>
      <w:r w:rsidR="00A92751">
        <w:t xml:space="preserve"> cholesterol laboratory values on the reverse side</w:t>
      </w:r>
      <w:r w:rsidR="00AB5ADB">
        <w:t xml:space="preserve"> although </w:t>
      </w:r>
      <w:r w:rsidR="008B252F">
        <w:t xml:space="preserve">only selected </w:t>
      </w:r>
      <w:r w:rsidR="00AB5ADB">
        <w:t xml:space="preserve">physicians will be </w:t>
      </w:r>
      <w:r w:rsidR="008B252F">
        <w:t xml:space="preserve">asked </w:t>
      </w:r>
      <w:r w:rsidR="00AB5ADB">
        <w:t>to complete the items</w:t>
      </w:r>
      <w:r w:rsidR="00D93773">
        <w:t xml:space="preserve">.  </w:t>
      </w:r>
    </w:p>
    <w:p w:rsidR="00C24632" w:rsidRDefault="00C24632"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C24632" w:rsidRPr="00C24632" w:rsidRDefault="008F6186"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r>
        <w:rPr>
          <w:rFonts w:ascii="Times New Roman" w:hAnsi="Times New Roman"/>
          <w:bCs/>
          <w:color w:val="000000"/>
          <w:u w:val="single"/>
        </w:rPr>
        <w:t xml:space="preserve">Overview of </w:t>
      </w:r>
      <w:r w:rsidR="00C24632" w:rsidRPr="00C24632">
        <w:rPr>
          <w:rFonts w:ascii="Times New Roman" w:hAnsi="Times New Roman"/>
          <w:bCs/>
          <w:color w:val="000000"/>
          <w:u w:val="single"/>
        </w:rPr>
        <w:t>EMR/EHR Mail Survey</w:t>
      </w:r>
    </w:p>
    <w:p w:rsidR="00C24632" w:rsidRDefault="00C24632"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996D9A" w:rsidRPr="000262E5" w:rsidRDefault="00194175"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NCHS w</w:t>
      </w:r>
      <w:r w:rsidR="00BE25E2">
        <w:rPr>
          <w:rFonts w:ascii="Times New Roman" w:hAnsi="Times New Roman"/>
          <w:bCs/>
          <w:color w:val="000000"/>
        </w:rPr>
        <w:t xml:space="preserve">ill continue to field the EMR/EHR </w:t>
      </w:r>
      <w:r w:rsidR="006D6308">
        <w:rPr>
          <w:rFonts w:ascii="Times New Roman" w:hAnsi="Times New Roman"/>
          <w:bCs/>
          <w:color w:val="000000"/>
        </w:rPr>
        <w:t>mail survey</w:t>
      </w:r>
      <w:r w:rsidR="00494F42">
        <w:rPr>
          <w:rFonts w:ascii="Times New Roman" w:hAnsi="Times New Roman"/>
          <w:bCs/>
          <w:color w:val="000000"/>
        </w:rPr>
        <w:t xml:space="preserve"> with a supplementary sample of </w:t>
      </w:r>
      <w:r w:rsidR="00BE25E2">
        <w:rPr>
          <w:rFonts w:ascii="Times New Roman" w:hAnsi="Times New Roman"/>
          <w:bCs/>
          <w:color w:val="000000"/>
        </w:rPr>
        <w:t>10,30</w:t>
      </w:r>
      <w:r w:rsidR="008E5452">
        <w:rPr>
          <w:rFonts w:ascii="Times New Roman" w:hAnsi="Times New Roman"/>
          <w:bCs/>
          <w:color w:val="000000"/>
        </w:rPr>
        <w:t>2</w:t>
      </w:r>
      <w:r w:rsidR="00BE25E2">
        <w:rPr>
          <w:rFonts w:ascii="Times New Roman" w:hAnsi="Times New Roman"/>
          <w:bCs/>
          <w:color w:val="000000"/>
        </w:rPr>
        <w:t xml:space="preserve"> </w:t>
      </w:r>
      <w:r w:rsidR="00494F42">
        <w:rPr>
          <w:rFonts w:ascii="Times New Roman" w:hAnsi="Times New Roman"/>
          <w:bCs/>
          <w:color w:val="000000"/>
        </w:rPr>
        <w:t xml:space="preserve">physicians.  </w:t>
      </w:r>
      <w:r w:rsidR="00A92751">
        <w:rPr>
          <w:rFonts w:ascii="Times New Roman" w:hAnsi="Times New Roman"/>
          <w:bCs/>
          <w:color w:val="000000"/>
        </w:rPr>
        <w:t>T</w:t>
      </w:r>
      <w:r w:rsidR="00494F42">
        <w:rPr>
          <w:rFonts w:ascii="Times New Roman" w:hAnsi="Times New Roman"/>
          <w:bCs/>
          <w:color w:val="000000"/>
        </w:rPr>
        <w:t xml:space="preserve">he </w:t>
      </w:r>
      <w:r w:rsidR="006D6308">
        <w:rPr>
          <w:rFonts w:ascii="Times New Roman" w:hAnsi="Times New Roman"/>
          <w:bCs/>
          <w:color w:val="000000"/>
        </w:rPr>
        <w:t xml:space="preserve">mail survey </w:t>
      </w:r>
      <w:r w:rsidR="00494F42">
        <w:rPr>
          <w:rFonts w:ascii="Times New Roman" w:hAnsi="Times New Roman"/>
          <w:bCs/>
          <w:color w:val="000000"/>
        </w:rPr>
        <w:t>is a self-administered paper questionnaire</w:t>
      </w:r>
      <w:r w:rsidR="008B252F">
        <w:rPr>
          <w:rFonts w:ascii="Times New Roman" w:hAnsi="Times New Roman"/>
          <w:bCs/>
          <w:color w:val="000000"/>
        </w:rPr>
        <w:t xml:space="preserve"> that is sent from NCHS and returned in the mail by the sampled physician.</w:t>
      </w:r>
      <w:r w:rsidR="00B17A56">
        <w:rPr>
          <w:rFonts w:ascii="Times New Roman" w:hAnsi="Times New Roman"/>
          <w:bCs/>
          <w:color w:val="000000"/>
        </w:rPr>
        <w:t xml:space="preserve"> </w:t>
      </w:r>
    </w:p>
    <w:p w:rsidR="00D2754D" w:rsidRDefault="00D2754D"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p>
    <w:p w:rsidR="00E069A2" w:rsidRPr="00E069A2" w:rsidRDefault="00E069A2"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r w:rsidRPr="00E069A2">
        <w:rPr>
          <w:rFonts w:ascii="Times New Roman" w:hAnsi="Times New Roman"/>
          <w:color w:val="000000"/>
          <w:u w:val="single"/>
        </w:rPr>
        <w:t xml:space="preserve">Items of Information </w:t>
      </w:r>
      <w:proofErr w:type="gramStart"/>
      <w:r w:rsidR="00C60112">
        <w:rPr>
          <w:rFonts w:ascii="Times New Roman" w:hAnsi="Times New Roman"/>
          <w:color w:val="000000"/>
          <w:u w:val="single"/>
        </w:rPr>
        <w:t>T</w:t>
      </w:r>
      <w:r w:rsidRPr="00E069A2">
        <w:rPr>
          <w:rFonts w:ascii="Times New Roman" w:hAnsi="Times New Roman"/>
          <w:color w:val="000000"/>
          <w:u w:val="single"/>
        </w:rPr>
        <w:t>o</w:t>
      </w:r>
      <w:proofErr w:type="gramEnd"/>
      <w:r w:rsidRPr="00E069A2">
        <w:rPr>
          <w:rFonts w:ascii="Times New Roman" w:hAnsi="Times New Roman"/>
          <w:color w:val="000000"/>
          <w:u w:val="single"/>
        </w:rPr>
        <w:t xml:space="preserve"> </w:t>
      </w:r>
      <w:r w:rsidR="00C60112">
        <w:rPr>
          <w:rFonts w:ascii="Times New Roman" w:hAnsi="Times New Roman"/>
          <w:color w:val="000000"/>
          <w:u w:val="single"/>
        </w:rPr>
        <w:t>B</w:t>
      </w:r>
      <w:r w:rsidRPr="00E069A2">
        <w:rPr>
          <w:rFonts w:ascii="Times New Roman" w:hAnsi="Times New Roman"/>
          <w:color w:val="000000"/>
          <w:u w:val="single"/>
        </w:rPr>
        <w:t>e Collected</w:t>
      </w:r>
    </w:p>
    <w:p w:rsidR="00E069A2" w:rsidRDefault="00E069A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57B08" w:rsidRDefault="00FE166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 xml:space="preserve">The </w:t>
      </w:r>
      <w:r w:rsidR="00325F8B">
        <w:rPr>
          <w:rFonts w:ascii="Times New Roman" w:hAnsi="Times New Roman"/>
          <w:bCs/>
          <w:color w:val="000000"/>
        </w:rPr>
        <w:t xml:space="preserve">current </w:t>
      </w:r>
      <w:r>
        <w:rPr>
          <w:rFonts w:ascii="Times New Roman" w:hAnsi="Times New Roman"/>
          <w:bCs/>
          <w:color w:val="000000"/>
        </w:rPr>
        <w:t>core</w:t>
      </w:r>
      <w:r w:rsidR="002B43AE">
        <w:rPr>
          <w:rFonts w:ascii="Times New Roman" w:hAnsi="Times New Roman"/>
          <w:bCs/>
          <w:color w:val="000000"/>
        </w:rPr>
        <w:t xml:space="preserve"> </w:t>
      </w:r>
      <w:r>
        <w:rPr>
          <w:rFonts w:ascii="Times New Roman" w:hAnsi="Times New Roman"/>
          <w:bCs/>
          <w:color w:val="000000"/>
        </w:rPr>
        <w:t>NAMCS collects information on a range of data on the characteristics of the users and providers of physician office-based and CHC care.  Information on the sampled provider concerning selected practice characteristics</w:t>
      </w:r>
      <w:r w:rsidR="00A10B6C">
        <w:rPr>
          <w:rFonts w:ascii="Times New Roman" w:hAnsi="Times New Roman"/>
          <w:bCs/>
          <w:color w:val="000000"/>
        </w:rPr>
        <w:t>,</w:t>
      </w:r>
      <w:r>
        <w:rPr>
          <w:rFonts w:ascii="Times New Roman" w:hAnsi="Times New Roman"/>
          <w:bCs/>
          <w:color w:val="000000"/>
        </w:rPr>
        <w:t xml:space="preserve"> such as ownership, utilization of electronic medical records, </w:t>
      </w:r>
      <w:r w:rsidR="00500E09">
        <w:rPr>
          <w:rFonts w:ascii="Times New Roman" w:hAnsi="Times New Roman"/>
          <w:bCs/>
          <w:color w:val="000000"/>
        </w:rPr>
        <w:t xml:space="preserve">and </w:t>
      </w:r>
      <w:r>
        <w:rPr>
          <w:rFonts w:ascii="Times New Roman" w:hAnsi="Times New Roman"/>
          <w:bCs/>
          <w:color w:val="000000"/>
        </w:rPr>
        <w:t xml:space="preserve">practice </w:t>
      </w:r>
      <w:r w:rsidR="00500E09">
        <w:rPr>
          <w:rFonts w:ascii="Times New Roman" w:hAnsi="Times New Roman"/>
          <w:bCs/>
          <w:color w:val="000000"/>
        </w:rPr>
        <w:t>revenue</w:t>
      </w:r>
      <w:r w:rsidR="008B252F">
        <w:rPr>
          <w:rFonts w:ascii="Times New Roman" w:hAnsi="Times New Roman"/>
          <w:bCs/>
          <w:color w:val="000000"/>
        </w:rPr>
        <w:t>,</w:t>
      </w:r>
      <w:r w:rsidR="00500E09">
        <w:rPr>
          <w:rFonts w:ascii="Times New Roman" w:hAnsi="Times New Roman"/>
          <w:bCs/>
          <w:color w:val="000000"/>
        </w:rPr>
        <w:t xml:space="preserve"> </w:t>
      </w:r>
      <w:r w:rsidR="00A736F5">
        <w:rPr>
          <w:rFonts w:ascii="Times New Roman" w:hAnsi="Times New Roman"/>
          <w:bCs/>
          <w:color w:val="000000"/>
        </w:rPr>
        <w:t xml:space="preserve">is </w:t>
      </w:r>
      <w:r>
        <w:rPr>
          <w:rFonts w:ascii="Times New Roman" w:hAnsi="Times New Roman"/>
          <w:bCs/>
          <w:color w:val="000000"/>
        </w:rPr>
        <w:t>collected.</w:t>
      </w:r>
      <w:r w:rsidR="00457B08">
        <w:rPr>
          <w:rFonts w:ascii="Times New Roman" w:hAnsi="Times New Roman"/>
          <w:bCs/>
          <w:color w:val="000000"/>
        </w:rPr>
        <w:t xml:space="preserve"> </w:t>
      </w:r>
      <w:r>
        <w:rPr>
          <w:rFonts w:ascii="Times New Roman" w:hAnsi="Times New Roman"/>
          <w:bCs/>
          <w:color w:val="000000"/>
        </w:rPr>
        <w:t xml:space="preserve">  </w:t>
      </w:r>
    </w:p>
    <w:p w:rsidR="00457B08" w:rsidRDefault="00457B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CA79E2" w:rsidRDefault="00C20C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Cs/>
          <w:color w:val="000000"/>
        </w:rPr>
        <w:t xml:space="preserve">Expanded </w:t>
      </w:r>
      <w:r w:rsidR="00A10586">
        <w:rPr>
          <w:rFonts w:ascii="Times New Roman" w:hAnsi="Times New Roman"/>
          <w:bCs/>
          <w:color w:val="000000"/>
        </w:rPr>
        <w:t>d</w:t>
      </w:r>
      <w:r w:rsidR="00FE1666">
        <w:rPr>
          <w:rFonts w:ascii="Times New Roman" w:hAnsi="Times New Roman"/>
          <w:bCs/>
          <w:color w:val="000000"/>
        </w:rPr>
        <w:t xml:space="preserve">ata collected on </w:t>
      </w:r>
      <w:r w:rsidR="00457B08">
        <w:rPr>
          <w:rFonts w:ascii="Times New Roman" w:hAnsi="Times New Roman"/>
          <w:bCs/>
          <w:color w:val="000000"/>
        </w:rPr>
        <w:t xml:space="preserve">the current </w:t>
      </w:r>
      <w:r w:rsidR="00FE1666">
        <w:rPr>
          <w:rFonts w:ascii="Times New Roman" w:hAnsi="Times New Roman"/>
          <w:bCs/>
          <w:color w:val="000000"/>
        </w:rPr>
        <w:t>patient visits include demographic characteristics, injury/poisoning/adverse effects, reasons for visit, continuity of care, diagnoses, vital signs, diagnostic/screening services, health education, non-medication treatment, medications, providers seen, visit disposition</w:t>
      </w:r>
      <w:r w:rsidR="00EE4CF1">
        <w:rPr>
          <w:rFonts w:ascii="Times New Roman" w:hAnsi="Times New Roman"/>
          <w:bCs/>
          <w:color w:val="000000"/>
        </w:rPr>
        <w:t>,</w:t>
      </w:r>
      <w:r w:rsidR="00FE1666">
        <w:rPr>
          <w:rFonts w:ascii="Times New Roman" w:hAnsi="Times New Roman"/>
          <w:bCs/>
          <w:color w:val="000000"/>
        </w:rPr>
        <w:t xml:space="preserve"> and time spent with provider.  </w:t>
      </w:r>
      <w:r>
        <w:rPr>
          <w:rFonts w:ascii="Times New Roman" w:hAnsi="Times New Roman"/>
          <w:bCs/>
          <w:color w:val="000000"/>
        </w:rPr>
        <w:t>Data from t</w:t>
      </w:r>
      <w:r w:rsidR="00A96DA1">
        <w:rPr>
          <w:rFonts w:ascii="Times New Roman" w:hAnsi="Times New Roman"/>
          <w:bCs/>
          <w:color w:val="000000"/>
        </w:rPr>
        <w:t xml:space="preserve">he laboratory values </w:t>
      </w:r>
      <w:r>
        <w:rPr>
          <w:rFonts w:ascii="Times New Roman" w:hAnsi="Times New Roman"/>
          <w:bCs/>
          <w:color w:val="000000"/>
        </w:rPr>
        <w:t xml:space="preserve">implemented in 2010 will </w:t>
      </w:r>
      <w:r w:rsidR="00A96DA1">
        <w:rPr>
          <w:rFonts w:ascii="Times New Roman" w:hAnsi="Times New Roman"/>
          <w:bCs/>
          <w:color w:val="000000"/>
        </w:rPr>
        <w:t xml:space="preserve">allow researchers to better understand the extent to which ambulatory health care providers identify and control abnormal values of lipoproteins, blood sugar, and </w:t>
      </w:r>
      <w:proofErr w:type="spellStart"/>
      <w:r w:rsidR="00A96DA1">
        <w:rPr>
          <w:rFonts w:ascii="Times New Roman" w:hAnsi="Times New Roman"/>
          <w:bCs/>
          <w:color w:val="000000"/>
        </w:rPr>
        <w:t>glycohemoglobin</w:t>
      </w:r>
      <w:proofErr w:type="spellEnd"/>
      <w:r w:rsidR="00A96DA1">
        <w:rPr>
          <w:rFonts w:ascii="Times New Roman" w:hAnsi="Times New Roman"/>
          <w:bCs/>
          <w:color w:val="000000"/>
        </w:rPr>
        <w:t xml:space="preserve">.  </w:t>
      </w:r>
      <w:r w:rsidR="007F71D0">
        <w:rPr>
          <w:rFonts w:ascii="Times New Roman" w:hAnsi="Times New Roman"/>
          <w:bCs/>
          <w:color w:val="000000"/>
        </w:rPr>
        <w:t>The EMR</w:t>
      </w:r>
      <w:r w:rsidR="004907B0">
        <w:rPr>
          <w:rFonts w:ascii="Times New Roman" w:hAnsi="Times New Roman"/>
          <w:bCs/>
          <w:color w:val="000000"/>
        </w:rPr>
        <w:t xml:space="preserve"> </w:t>
      </w:r>
      <w:r w:rsidR="006D6308">
        <w:rPr>
          <w:rFonts w:ascii="Times New Roman" w:hAnsi="Times New Roman"/>
          <w:bCs/>
          <w:color w:val="000000"/>
        </w:rPr>
        <w:t>mail survey</w:t>
      </w:r>
      <w:r w:rsidR="007F71D0">
        <w:rPr>
          <w:rFonts w:ascii="Times New Roman" w:hAnsi="Times New Roman"/>
          <w:bCs/>
          <w:color w:val="000000"/>
        </w:rPr>
        <w:t xml:space="preserve"> is conducted to help provide more reliable estimates regarding office-based physician’s adoption of EMR/EHR systems.  </w:t>
      </w:r>
      <w:r w:rsidR="00CA593E" w:rsidRPr="00CA593E">
        <w:rPr>
          <w:rFonts w:ascii="Times New Roman" w:hAnsi="Times New Roman"/>
          <w:bCs/>
          <w:color w:val="000000"/>
        </w:rPr>
        <w:t xml:space="preserve">Furthermore, information from the </w:t>
      </w:r>
      <w:r w:rsidR="00E97FFC">
        <w:rPr>
          <w:rFonts w:ascii="Times New Roman" w:hAnsi="Times New Roman"/>
          <w:bCs/>
          <w:color w:val="000000"/>
        </w:rPr>
        <w:t xml:space="preserve">physician </w:t>
      </w:r>
      <w:r w:rsidR="00CA593E" w:rsidRPr="00CA593E">
        <w:rPr>
          <w:rFonts w:ascii="Times New Roman" w:hAnsi="Times New Roman"/>
          <w:bCs/>
          <w:color w:val="000000"/>
        </w:rPr>
        <w:t>wo</w:t>
      </w:r>
      <w:r w:rsidR="003A53F3">
        <w:rPr>
          <w:rFonts w:ascii="Times New Roman" w:hAnsi="Times New Roman"/>
          <w:bCs/>
          <w:color w:val="000000"/>
        </w:rPr>
        <w:t>r</w:t>
      </w:r>
      <w:r w:rsidR="00CA593E" w:rsidRPr="00CA593E">
        <w:rPr>
          <w:rFonts w:ascii="Times New Roman" w:hAnsi="Times New Roman"/>
          <w:bCs/>
          <w:color w:val="000000"/>
        </w:rPr>
        <w:t xml:space="preserve">kflow survey will help </w:t>
      </w:r>
      <w:r w:rsidR="00CA593E">
        <w:rPr>
          <w:rFonts w:ascii="Times New Roman" w:hAnsi="Times New Roman"/>
          <w:bCs/>
          <w:color w:val="000000"/>
        </w:rPr>
        <w:t xml:space="preserve">(1) </w:t>
      </w:r>
      <w:r w:rsidR="00CA593E" w:rsidRPr="00CA593E">
        <w:rPr>
          <w:rFonts w:ascii="Times New Roman" w:hAnsi="Times New Roman"/>
        </w:rPr>
        <w:t>ONC measure the progress towards the Health Information Technology for Economic and Clinical Health</w:t>
      </w:r>
      <w:r w:rsidR="00CA593E">
        <w:rPr>
          <w:rFonts w:ascii="Times New Roman" w:hAnsi="Times New Roman"/>
        </w:rPr>
        <w:t xml:space="preserve"> Act </w:t>
      </w:r>
      <w:r w:rsidR="00CA593E" w:rsidRPr="00CA593E">
        <w:rPr>
          <w:rFonts w:ascii="Times New Roman" w:hAnsi="Times New Roman"/>
        </w:rPr>
        <w:t>(HITECH)</w:t>
      </w:r>
      <w:r w:rsidR="00CA593E">
        <w:rPr>
          <w:rFonts w:ascii="Times New Roman" w:hAnsi="Times New Roman"/>
        </w:rPr>
        <w:t xml:space="preserve"> </w:t>
      </w:r>
      <w:r w:rsidR="00CA593E" w:rsidRPr="00CA593E">
        <w:rPr>
          <w:rFonts w:ascii="Times New Roman" w:hAnsi="Times New Roman"/>
        </w:rPr>
        <w:t xml:space="preserve">program goals </w:t>
      </w:r>
      <w:r w:rsidR="00CA593E">
        <w:rPr>
          <w:rFonts w:ascii="Times New Roman" w:hAnsi="Times New Roman"/>
        </w:rPr>
        <w:t xml:space="preserve">(i.e., advancing a nationwide health information technology infrastructure to improve efficiency and quality of health care delivery) </w:t>
      </w:r>
      <w:r w:rsidR="00CA593E" w:rsidRPr="00CA593E">
        <w:rPr>
          <w:rFonts w:ascii="Times New Roman" w:hAnsi="Times New Roman"/>
        </w:rPr>
        <w:t xml:space="preserve">and </w:t>
      </w:r>
      <w:r w:rsidR="00CA593E">
        <w:rPr>
          <w:rFonts w:ascii="Times New Roman" w:hAnsi="Times New Roman"/>
        </w:rPr>
        <w:t xml:space="preserve">(2) </w:t>
      </w:r>
      <w:r w:rsidR="00CA593E" w:rsidRPr="00CA593E">
        <w:rPr>
          <w:rFonts w:ascii="Times New Roman" w:hAnsi="Times New Roman"/>
        </w:rPr>
        <w:t>provides insight into where scarce resources need to be devoted to help physicians achieve Stage I and Stage II meaningful use of certified EHR technology</w:t>
      </w:r>
      <w:r w:rsidR="00CA593E">
        <w:t xml:space="preserve">. </w:t>
      </w:r>
      <w:r w:rsidR="007F71D0">
        <w:rPr>
          <w:rFonts w:ascii="Times New Roman" w:hAnsi="Times New Roman"/>
          <w:bCs/>
          <w:color w:val="000000"/>
        </w:rPr>
        <w:t xml:space="preserve"> </w:t>
      </w:r>
      <w:r w:rsidR="00A96DA1">
        <w:rPr>
          <w:rFonts w:ascii="Times New Roman" w:hAnsi="Times New Roman"/>
          <w:bCs/>
          <w:color w:val="000000"/>
        </w:rPr>
        <w:t xml:space="preserve"> </w:t>
      </w:r>
    </w:p>
    <w:p w:rsidR="00CA79E2" w:rsidRDefault="00CA79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1D09D6" w:rsidRPr="001D09D6" w:rsidRDefault="001D09D6"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r w:rsidRPr="001D09D6">
        <w:rPr>
          <w:rFonts w:ascii="Times New Roman" w:hAnsi="Times New Roman"/>
          <w:color w:val="000000"/>
          <w:u w:val="single"/>
        </w:rPr>
        <w:t>Information in Identifiable Form (IIF)</w:t>
      </w:r>
    </w:p>
    <w:p w:rsidR="001D09D6" w:rsidRDefault="001D09D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core</w:t>
      </w:r>
      <w:r w:rsidR="002B43AE">
        <w:rPr>
          <w:rFonts w:ascii="Times New Roman" w:hAnsi="Times New Roman"/>
          <w:color w:val="000000"/>
        </w:rPr>
        <w:t xml:space="preserve"> </w:t>
      </w:r>
      <w:r>
        <w:rPr>
          <w:rFonts w:ascii="Times New Roman" w:hAnsi="Times New Roman"/>
          <w:color w:val="000000"/>
        </w:rPr>
        <w:t xml:space="preserve">NAMCS and related supplements provide numerous and varied national estimates on provider, visit, and practice characteristics.  Although </w:t>
      </w:r>
      <w:proofErr w:type="gramStart"/>
      <w:r>
        <w:rPr>
          <w:rFonts w:ascii="Times New Roman" w:hAnsi="Times New Roman"/>
          <w:color w:val="000000"/>
        </w:rPr>
        <w:t>a majority</w:t>
      </w:r>
      <w:r w:rsidR="00C61CC5">
        <w:rPr>
          <w:rFonts w:ascii="Times New Roman" w:hAnsi="Times New Roman"/>
          <w:color w:val="000000"/>
        </w:rPr>
        <w:t xml:space="preserve"> </w:t>
      </w:r>
      <w:r>
        <w:rPr>
          <w:rFonts w:ascii="Times New Roman" w:hAnsi="Times New Roman"/>
          <w:color w:val="000000"/>
        </w:rPr>
        <w:t>of the data collected are</w:t>
      </w:r>
      <w:proofErr w:type="gramEnd"/>
      <w:r>
        <w:rPr>
          <w:rFonts w:ascii="Times New Roman" w:hAnsi="Times New Roman"/>
          <w:color w:val="000000"/>
        </w:rPr>
        <w:t xml:space="preserve"> not considered personally identifiable, some fit the definition of </w:t>
      </w:r>
      <w:r w:rsidR="00E97FFC">
        <w:rPr>
          <w:rFonts w:ascii="Times New Roman" w:hAnsi="Times New Roman"/>
          <w:color w:val="000000"/>
        </w:rPr>
        <w:t>information in identifiable form (</w:t>
      </w:r>
      <w:r>
        <w:rPr>
          <w:rFonts w:ascii="Times New Roman" w:hAnsi="Times New Roman"/>
          <w:color w:val="000000"/>
        </w:rPr>
        <w:t>I</w:t>
      </w:r>
      <w:r w:rsidR="001D09D6">
        <w:rPr>
          <w:rFonts w:ascii="Times New Roman" w:hAnsi="Times New Roman"/>
          <w:color w:val="000000"/>
        </w:rPr>
        <w:t>I</w:t>
      </w:r>
      <w:r>
        <w:rPr>
          <w:rFonts w:ascii="Times New Roman" w:hAnsi="Times New Roman"/>
          <w:color w:val="000000"/>
        </w:rPr>
        <w:t>F</w:t>
      </w:r>
      <w:r w:rsidR="00E97FFC">
        <w:rPr>
          <w:rFonts w:ascii="Times New Roman" w:hAnsi="Times New Roman"/>
          <w:color w:val="000000"/>
        </w:rPr>
        <w:t>)</w:t>
      </w:r>
      <w:r>
        <w:rPr>
          <w:rFonts w:ascii="Times New Roman" w:hAnsi="Times New Roman"/>
          <w:color w:val="000000"/>
        </w:rPr>
        <w:t>.  A list of all I</w:t>
      </w:r>
      <w:r w:rsidR="001D09D6">
        <w:rPr>
          <w:rFonts w:ascii="Times New Roman" w:hAnsi="Times New Roman"/>
          <w:color w:val="000000"/>
        </w:rPr>
        <w:t>I</w:t>
      </w:r>
      <w:r>
        <w:rPr>
          <w:rFonts w:ascii="Times New Roman" w:hAnsi="Times New Roman"/>
          <w:color w:val="000000"/>
        </w:rPr>
        <w:t xml:space="preserve">F data items is highlighted below, and all were approved in past packages by OMB to be collected on survey forms.   </w:t>
      </w:r>
      <w:r>
        <w:rPr>
          <w:rFonts w:ascii="Times New Roman" w:hAnsi="Times New Roman"/>
        </w:rPr>
        <w:t xml:space="preserve">None of these data </w:t>
      </w:r>
      <w:r w:rsidR="002B43AE">
        <w:rPr>
          <w:rFonts w:ascii="Times New Roman" w:hAnsi="Times New Roman"/>
        </w:rPr>
        <w:t>are</w:t>
      </w:r>
      <w:r>
        <w:rPr>
          <w:rFonts w:ascii="Times New Roman" w:hAnsi="Times New Roman"/>
        </w:rPr>
        <w:t xml:space="preserve"> released to the public or become part of public-use files.</w:t>
      </w:r>
      <w:r>
        <w:rPr>
          <w:rFonts w:cs="Arial"/>
          <w:color w:val="0000FF"/>
          <w:sz w:val="20"/>
          <w:szCs w:val="20"/>
        </w:rPr>
        <w:t xml:space="preserve"> </w:t>
      </w:r>
      <w:r>
        <w:rPr>
          <w:rFonts w:ascii="Times New Roman" w:hAnsi="Times New Roman"/>
          <w:color w:val="000000"/>
        </w:rPr>
        <w:t xml:space="preserv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1D09D6"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Pr>
          <w:rFonts w:ascii="Times New Roman" w:hAnsi="Times New Roman"/>
          <w:color w:val="000000"/>
        </w:rPr>
        <w:t>Information in Identifiable Form</w:t>
      </w:r>
      <w:r w:rsidR="006C1EC5">
        <w:rPr>
          <w:rFonts w:ascii="Times New Roman" w:hAnsi="Times New Roman"/>
          <w:color w:val="000000"/>
        </w:rPr>
        <w:t xml:space="preserve"> Categories: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cs="Arial"/>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ascii="Times New Roman" w:hAnsi="Times New Roman"/>
          <w:color w:val="000000"/>
        </w:rPr>
        <w:tab/>
        <w:t>Physician/CHC provider name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cs="Arial"/>
          <w:color w:val="000000"/>
        </w:rPr>
        <w:tab/>
      </w:r>
      <w:r>
        <w:rPr>
          <w:rFonts w:ascii="Times New Roman" w:hAnsi="Times New Roman"/>
          <w:color w:val="000000"/>
        </w:rPr>
        <w:t>Physician/CHC provider mailing address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cs="Arial"/>
          <w:color w:val="000000"/>
        </w:rPr>
        <w:tab/>
      </w:r>
      <w:r>
        <w:rPr>
          <w:rFonts w:ascii="Times New Roman" w:hAnsi="Times New Roman"/>
          <w:color w:val="000000"/>
        </w:rPr>
        <w:t>Physician/CHC provider telephone number</w:t>
      </w:r>
    </w:p>
    <w:p w:rsidR="00092C21" w:rsidRPr="00092C21" w:rsidRDefault="00092C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cs="Arial"/>
          <w:color w:val="000000"/>
        </w:rPr>
        <w:tab/>
      </w:r>
      <w:r>
        <w:rPr>
          <w:rFonts w:ascii="Times New Roman" w:hAnsi="Times New Roman"/>
          <w:color w:val="000000"/>
        </w:rPr>
        <w:t>Physician/CHC provider Federal Tax ID</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cs="Arial"/>
          <w:color w:val="000000"/>
        </w:rPr>
        <w:tab/>
      </w:r>
      <w:r>
        <w:rPr>
          <w:rFonts w:ascii="Times New Roman" w:hAnsi="Times New Roman"/>
          <w:color w:val="000000"/>
        </w:rPr>
        <w:t>CHC executive director name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cs="Arial"/>
          <w:color w:val="000000"/>
        </w:rPr>
        <w:tab/>
      </w:r>
      <w:r>
        <w:rPr>
          <w:rFonts w:ascii="Times New Roman" w:hAnsi="Times New Roman"/>
          <w:color w:val="000000"/>
        </w:rPr>
        <w:t>CHC mailing address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cs="Arial"/>
          <w:color w:val="000000"/>
        </w:rPr>
        <w:tab/>
      </w:r>
      <w:r>
        <w:rPr>
          <w:rFonts w:ascii="Times New Roman" w:hAnsi="Times New Roman"/>
          <w:color w:val="000000"/>
        </w:rPr>
        <w:t>CHC contact person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bCs/>
          <w:color w:val="000000"/>
        </w:rPr>
      </w:pPr>
      <w:r>
        <w:rPr>
          <w:rFonts w:cs="Arial"/>
          <w:color w:val="000000"/>
        </w:rPr>
        <w:t>●</w:t>
      </w:r>
      <w:r>
        <w:rPr>
          <w:rFonts w:cs="Arial"/>
          <w:color w:val="000000"/>
        </w:rPr>
        <w:tab/>
      </w:r>
      <w:r>
        <w:rPr>
          <w:rFonts w:ascii="Times New Roman" w:hAnsi="Times New Roman"/>
          <w:color w:val="000000"/>
        </w:rPr>
        <w:t>Physician o</w:t>
      </w:r>
      <w:r>
        <w:rPr>
          <w:rFonts w:ascii="Times New Roman" w:hAnsi="Times New Roman"/>
          <w:bCs/>
          <w:color w:val="000000"/>
        </w:rPr>
        <w:t>ffice/CHC staff name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Pr>
          <w:rFonts w:cs="Arial"/>
          <w:color w:val="000000"/>
        </w:rPr>
        <w:t>●</w:t>
      </w:r>
      <w:r>
        <w:rPr>
          <w:rFonts w:cs="Arial"/>
          <w:color w:val="000000"/>
        </w:rPr>
        <w:tab/>
      </w:r>
      <w:r>
        <w:rPr>
          <w:rFonts w:ascii="Times New Roman" w:hAnsi="Times New Roman"/>
          <w:color w:val="000000"/>
        </w:rPr>
        <w:t>Patient date of birth</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8F6C61" w:rsidRDefault="008F6C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r w:rsidRPr="008F6C61">
        <w:rPr>
          <w:rFonts w:ascii="Times New Roman" w:hAnsi="Times New Roman"/>
          <w:bCs/>
          <w:color w:val="000000"/>
          <w:u w:val="single"/>
        </w:rPr>
        <w:t>Identification of Website(s) and Website Content Directed at Children Under 13 Years of Age</w:t>
      </w:r>
    </w:p>
    <w:p w:rsidR="008F6C61" w:rsidRDefault="008F6C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021792" w:rsidRPr="008B0442" w:rsidRDefault="00354AFE" w:rsidP="000217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w:t>
      </w:r>
      <w:r w:rsidR="00021792" w:rsidRPr="008B0442">
        <w:rPr>
          <w:rFonts w:ascii="Times New Roman" w:hAnsi="Times New Roman"/>
          <w:color w:val="000000"/>
        </w:rPr>
        <w:t xml:space="preserve"> ambulatory health care data website dedicated to NAMCS and NHAMCS (</w:t>
      </w:r>
      <w:r w:rsidR="00237AEF" w:rsidRPr="001A4A75">
        <w:rPr>
          <w:rFonts w:ascii="Times New Roman" w:hAnsi="Times New Roman"/>
          <w:color w:val="548DD4"/>
          <w:u w:val="single"/>
        </w:rPr>
        <w:t>http://www.cdc.gov/nchs/ahcd.htm</w:t>
      </w:r>
      <w:r w:rsidR="00021792" w:rsidRPr="008B0442">
        <w:rPr>
          <w:rFonts w:ascii="Times New Roman" w:hAnsi="Times New Roman"/>
          <w:color w:val="000000"/>
        </w:rPr>
        <w:t>) describes the survey, answers questions physicians may have on why they should participate, describes how the Privacy Rule permits data collection for NAMCS, and provides a link (</w:t>
      </w:r>
      <w:r w:rsidR="002B0C85" w:rsidRPr="002B0C85">
        <w:rPr>
          <w:rFonts w:ascii="Times New Roman" w:hAnsi="Times New Roman"/>
          <w:color w:val="0070C0"/>
        </w:rPr>
        <w:t>http://www.cdc.gov/nchs/ahcd/namcs_participant.htm</w:t>
      </w:r>
      <w:r w:rsidR="002B0C85">
        <w:rPr>
          <w:rFonts w:ascii="Times New Roman" w:hAnsi="Times New Roman"/>
          <w:color w:val="000000"/>
        </w:rPr>
        <w:t>) to our par</w:t>
      </w:r>
      <w:r w:rsidR="00021792" w:rsidRPr="008B0442">
        <w:rPr>
          <w:rFonts w:ascii="Times New Roman" w:hAnsi="Times New Roman"/>
          <w:color w:val="000000"/>
        </w:rPr>
        <w:t xml:space="preserve">ticipant </w:t>
      </w:r>
      <w:r>
        <w:rPr>
          <w:rFonts w:ascii="Times New Roman" w:hAnsi="Times New Roman"/>
          <w:color w:val="000000"/>
        </w:rPr>
        <w:t>w</w:t>
      </w:r>
      <w:r w:rsidR="00021792" w:rsidRPr="008B0442">
        <w:rPr>
          <w:rFonts w:ascii="Times New Roman" w:hAnsi="Times New Roman"/>
          <w:color w:val="000000"/>
        </w:rPr>
        <w:t xml:space="preserve">ebsite.   </w:t>
      </w:r>
      <w:r w:rsidR="00021792" w:rsidRPr="008B0442">
        <w:rPr>
          <w:rFonts w:ascii="Times New Roman" w:hAnsi="Times New Roman"/>
          <w:bCs/>
          <w:color w:val="000000"/>
        </w:rPr>
        <w:t xml:space="preserve">There are no websites directed at children </w:t>
      </w:r>
      <w:proofErr w:type="gramStart"/>
      <w:r w:rsidR="00D40DEC">
        <w:rPr>
          <w:rFonts w:ascii="Times New Roman" w:hAnsi="Times New Roman"/>
          <w:bCs/>
          <w:color w:val="000000"/>
        </w:rPr>
        <w:t>under</w:t>
      </w:r>
      <w:proofErr w:type="gramEnd"/>
      <w:r w:rsidR="00021792" w:rsidRPr="008B0442">
        <w:rPr>
          <w:rFonts w:ascii="Times New Roman" w:hAnsi="Times New Roman"/>
          <w:bCs/>
          <w:color w:val="000000"/>
        </w:rPr>
        <w:t xml:space="preserve"> </w:t>
      </w:r>
      <w:r w:rsidR="00021792">
        <w:rPr>
          <w:rFonts w:ascii="Times New Roman" w:hAnsi="Times New Roman"/>
          <w:bCs/>
          <w:color w:val="000000"/>
        </w:rPr>
        <w:t>1</w:t>
      </w:r>
      <w:r w:rsidR="00021792" w:rsidRPr="008B0442">
        <w:rPr>
          <w:rFonts w:ascii="Times New Roman" w:hAnsi="Times New Roman"/>
          <w:bCs/>
          <w:color w:val="000000"/>
        </w:rPr>
        <w:t xml:space="preserve">3 years of age.  </w:t>
      </w:r>
      <w:r w:rsidR="00021792" w:rsidRPr="008B0442">
        <w:rPr>
          <w:rFonts w:ascii="Times New Roman" w:hAnsi="Times New Roman"/>
          <w:color w:val="000000"/>
        </w:rPr>
        <w:t xml:space="preserve">     </w:t>
      </w:r>
    </w:p>
    <w:p w:rsidR="006F78D7" w:rsidRDefault="006F78D7"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2.  Purpose and Use of Information Collected</w:t>
      </w:r>
    </w:p>
    <w:p w:rsidR="00F47F2B" w:rsidRDefault="00F47F2B" w:rsidP="00F47F2B"/>
    <w:p w:rsidR="004707B8" w:rsidRDefault="004707B8" w:rsidP="004707B8">
      <w:pPr>
        <w:autoSpaceDE w:val="0"/>
        <w:autoSpaceDN w:val="0"/>
        <w:adjustRightInd w:val="0"/>
      </w:pPr>
      <w:r>
        <w:t xml:space="preserve">The general purpose of this study is to collect information about physician </w:t>
      </w:r>
      <w:proofErr w:type="gramStart"/>
      <w:r>
        <w:t>practices,</w:t>
      </w:r>
      <w:proofErr w:type="gramEnd"/>
      <w:r>
        <w:t xml:space="preserve"> </w:t>
      </w:r>
      <w:r w:rsidR="007A0710">
        <w:t>community health centers</w:t>
      </w:r>
      <w:r w:rsidR="003F7FA9">
        <w:t xml:space="preserve"> (CHCs)</w:t>
      </w:r>
      <w:r w:rsidR="002B43AE">
        <w:t xml:space="preserve">, </w:t>
      </w:r>
      <w:r>
        <w:t>ambulatory patients, their problems, and the resources used for their care.  The resulting published statistics and data sets</w:t>
      </w:r>
      <w:r>
        <w:rPr>
          <w:color w:val="FF0000"/>
        </w:rPr>
        <w:t xml:space="preserve"> </w:t>
      </w:r>
      <w:r>
        <w:t xml:space="preserve">help the profession plan for more effective health services, improve medical education, and assist the public health community in understanding the patterns of diseases and health conditions.  In addition, policy makers use NAMCS data to identify (1) quality of care issues, (2) medical resource utilization, and (3) changes in health care over time.  </w:t>
      </w:r>
    </w:p>
    <w:p w:rsidR="004707B8" w:rsidRDefault="004707B8" w:rsidP="004707B8">
      <w:pPr>
        <w:autoSpaceDE w:val="0"/>
        <w:autoSpaceDN w:val="0"/>
        <w:adjustRightInd w:val="0"/>
      </w:pPr>
    </w:p>
    <w:p w:rsidR="004707B8" w:rsidRDefault="004707B8" w:rsidP="004707B8">
      <w:pPr>
        <w:autoSpaceDE w:val="0"/>
        <w:autoSpaceDN w:val="0"/>
        <w:adjustRightInd w:val="0"/>
      </w:pPr>
      <w:r>
        <w:t>If NAMCS data were not collected, there would be no national estimates on health care issues faced by office-based physicians</w:t>
      </w:r>
      <w:r w:rsidR="002B43AE">
        <w:t xml:space="preserve"> and CHC providers</w:t>
      </w:r>
      <w:r>
        <w:t>.  The physician/provider and patient visit data of the 2011-2013 NAMCS will be used in basically the same manner as data from prior surveys</w:t>
      </w:r>
      <w:r w:rsidR="00B13848">
        <w:t>. T</w:t>
      </w:r>
      <w:r>
        <w:t xml:space="preserve">he additional supplements and items on the NAMCS-1 will allow research to focus on the following:  (1) measurement of EMR/EHR system adoption and associated system characteristics, (2) ability to perform diagnostic tests at specific in-scope physician practice locations, (3) integration of complementary and alternative medicine in physician treatment plans, (4) </w:t>
      </w:r>
      <w:r w:rsidRPr="00E5530D">
        <w:t xml:space="preserve">clinical management and patient risk factors during the 12 months before </w:t>
      </w:r>
      <w:r>
        <w:t xml:space="preserve">a </w:t>
      </w:r>
      <w:r w:rsidRPr="00E5530D">
        <w:t>sampled visit</w:t>
      </w:r>
      <w:r>
        <w:t xml:space="preserve"> associated with heart disease and stroke, and (5) management of asthma by physicians/providers.</w:t>
      </w:r>
    </w:p>
    <w:p w:rsidR="004707B8" w:rsidRDefault="004707B8" w:rsidP="00F47F2B"/>
    <w:p w:rsidR="00F6668E"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sidRPr="00253B7F">
        <w:rPr>
          <w:rFonts w:ascii="Times New Roman" w:hAnsi="Times New Roman"/>
          <w:u w:val="single"/>
        </w:rPr>
        <w:t>Privacy Impact Assessment Information</w:t>
      </w:r>
    </w:p>
    <w:p w:rsidR="00F6668E"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00F6668E" w:rsidRPr="005E0FDD"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The following sections highlight the numerous components of the 2011-2013 NAMCS, and in doing </w:t>
      </w:r>
      <w:proofErr w:type="gramStart"/>
      <w:r>
        <w:rPr>
          <w:rFonts w:ascii="Times New Roman" w:hAnsi="Times New Roman"/>
        </w:rPr>
        <w:t>so,</w:t>
      </w:r>
      <w:proofErr w:type="gramEnd"/>
      <w:r>
        <w:rPr>
          <w:rFonts w:ascii="Times New Roman" w:hAnsi="Times New Roman"/>
        </w:rPr>
        <w:t xml:space="preserve"> fulfill the Office of Management and Budget’s privacy impact assessment requirement.  Specifically, the requirement is met by describing why NAMCS information is being collected, and the usefulness of collecting the data.  </w:t>
      </w:r>
    </w:p>
    <w:p w:rsidR="00F6668E" w:rsidRDefault="00F6668E" w:rsidP="00F6668E">
      <w:pPr>
        <w:autoSpaceDE w:val="0"/>
        <w:autoSpaceDN w:val="0"/>
        <w:adjustRightInd w:val="0"/>
        <w:outlineLvl w:val="0"/>
        <w:rPr>
          <w:u w:val="single"/>
        </w:rPr>
      </w:pPr>
    </w:p>
    <w:p w:rsidR="00F6668E" w:rsidRDefault="00307688"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Pr>
          <w:rFonts w:ascii="Times New Roman" w:hAnsi="Times New Roman"/>
          <w:u w:val="single"/>
        </w:rPr>
        <w:t>Core</w:t>
      </w:r>
      <w:r w:rsidR="002B43AE">
        <w:rPr>
          <w:rFonts w:ascii="Times New Roman" w:hAnsi="Times New Roman"/>
          <w:u w:val="single"/>
        </w:rPr>
        <w:t xml:space="preserve"> </w:t>
      </w:r>
      <w:r w:rsidR="00F6668E">
        <w:rPr>
          <w:rFonts w:ascii="Times New Roman" w:hAnsi="Times New Roman"/>
          <w:u w:val="single"/>
        </w:rPr>
        <w:t>NAMCS</w:t>
      </w:r>
    </w:p>
    <w:p w:rsidR="00F6668E"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6668E"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Each year, </w:t>
      </w:r>
      <w:r w:rsidR="002B43AE">
        <w:rPr>
          <w:rFonts w:ascii="Times New Roman" w:hAnsi="Times New Roman"/>
        </w:rPr>
        <w:t xml:space="preserve">the core </w:t>
      </w:r>
      <w:r>
        <w:rPr>
          <w:rFonts w:ascii="Times New Roman" w:hAnsi="Times New Roman"/>
        </w:rPr>
        <w:t xml:space="preserve">NAMCS provides a range of baseline data on the characteristics of the users and providers of physician office-based and CHC care.  Data collected include the demographic characteristics of patients, reasons for visit, diagnoses, diagnostic services, medications, and disposition.  These annual data, together with trend data, may be used to monitor the effects of change in the health care system; provide new insights into ambulatory medical care; and stimulate further research on the utilization, organization, and delivery of ambulatory care. </w:t>
      </w:r>
    </w:p>
    <w:p w:rsidR="00F6668E" w:rsidRDefault="00F6668E" w:rsidP="00F6668E"/>
    <w:p w:rsidR="00F6668E" w:rsidRDefault="00F6668E" w:rsidP="00F6668E">
      <w:r>
        <w:t xml:space="preserve">The data obtained from </w:t>
      </w:r>
      <w:r w:rsidR="002B43AE">
        <w:t xml:space="preserve">the core </w:t>
      </w:r>
      <w:r>
        <w:t xml:space="preserve">NAMCS are useful to managers of health care delivery system, and others concerned with planning, monitoring, and managing health care resources.  The data are valuable to those who develop and evaluate new and modified health care systems and arrangements.  The continuing nature of the survey permits observation and measurement over time of different modes (e.g., examinations, imaging, procedures) for managing and treating patient problems.  In addition, it provides general information on the patterns of selected conditions.  </w:t>
      </w:r>
      <w:r w:rsidR="00F9463B">
        <w:t xml:space="preserve">The core </w:t>
      </w:r>
      <w:r>
        <w:t xml:space="preserve">NAMCS also provides valuable information about the speed and effectiveness with which certain advances in medical practice are adopted, and about the effectiveness of educational programs among office-based physician practices.  </w:t>
      </w:r>
    </w:p>
    <w:p w:rsidR="00F6668E"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668E" w:rsidRDefault="00F6668E" w:rsidP="00F6668E">
      <w:r>
        <w:t xml:space="preserve">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 and health policymakers.  Uses vary from the inclusion of a few selected statistics in a large research effort, to an in-depth analysis of the entire NAMCS data set covering multiple years.  </w:t>
      </w:r>
    </w:p>
    <w:p w:rsidR="00F6668E"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668E"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The examples listed below illustrate selected users and uses of </w:t>
      </w:r>
      <w:r w:rsidR="005C229C">
        <w:t xml:space="preserve">core </w:t>
      </w:r>
      <w:r>
        <w:t xml:space="preserve">NAMCS data, and an extensive list can be found at </w:t>
      </w:r>
      <w:r w:rsidRPr="00B36799">
        <w:rPr>
          <w:color w:val="0070C0"/>
          <w:u w:val="single"/>
        </w:rPr>
        <w:t>http://www.cdc.gov/nchs/data/ahcd/publist9-10-10.pdf</w:t>
      </w:r>
      <w:r>
        <w:t xml:space="preserve">.  </w:t>
      </w:r>
    </w:p>
    <w:p w:rsidR="00F6668E"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668E" w:rsidRDefault="00F6668E" w:rsidP="00F66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sym w:font="Symbol" w:char="F0B7"/>
      </w:r>
      <w:r>
        <w:tab/>
        <w:t>Researchers within and outside NCHS have published work in scholarly journals using NAMCS data:</w:t>
      </w:r>
    </w:p>
    <w:p w:rsidR="00F6668E" w:rsidRDefault="00F6668E" w:rsidP="00F6668E">
      <w:pPr>
        <w:numPr>
          <w:ilvl w:val="0"/>
          <w:numId w:val="3"/>
        </w:numPr>
        <w:tabs>
          <w:tab w:val="clear" w:pos="122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80"/>
        <w:rPr>
          <w:bCs/>
          <w:color w:val="000000"/>
        </w:rPr>
      </w:pPr>
      <w:proofErr w:type="spellStart"/>
      <w:r w:rsidRPr="00E359D1">
        <w:rPr>
          <w:bCs/>
          <w:color w:val="000000"/>
        </w:rPr>
        <w:t>Mojtabai</w:t>
      </w:r>
      <w:proofErr w:type="spellEnd"/>
      <w:r w:rsidRPr="00E359D1">
        <w:rPr>
          <w:bCs/>
          <w:color w:val="000000"/>
        </w:rPr>
        <w:t xml:space="preserve"> R, Olfson M. National trends in psychotropic medication </w:t>
      </w:r>
      <w:proofErr w:type="spellStart"/>
      <w:r w:rsidRPr="00E359D1">
        <w:rPr>
          <w:bCs/>
          <w:color w:val="000000"/>
        </w:rPr>
        <w:t>polypharmacy</w:t>
      </w:r>
      <w:proofErr w:type="spellEnd"/>
      <w:r w:rsidRPr="00E359D1">
        <w:rPr>
          <w:bCs/>
          <w:color w:val="000000"/>
        </w:rPr>
        <w:t xml:space="preserve"> in office-based psychiatry. </w:t>
      </w:r>
      <w:r w:rsidRPr="00E359D1">
        <w:rPr>
          <w:bCs/>
          <w:i/>
          <w:color w:val="000000"/>
        </w:rPr>
        <w:t>Arch Gen Psychiatry</w:t>
      </w:r>
      <w:r w:rsidRPr="00E359D1">
        <w:rPr>
          <w:bCs/>
          <w:color w:val="000000"/>
        </w:rPr>
        <w:t>. 2010 Jan</w:t>
      </w:r>
      <w:proofErr w:type="gramStart"/>
      <w:r w:rsidRPr="00E359D1">
        <w:rPr>
          <w:bCs/>
          <w:color w:val="000000"/>
        </w:rPr>
        <w:t>;67</w:t>
      </w:r>
      <w:proofErr w:type="gramEnd"/>
      <w:r w:rsidRPr="00E359D1">
        <w:rPr>
          <w:bCs/>
          <w:color w:val="000000"/>
        </w:rPr>
        <w:t>(1):26-36.</w:t>
      </w:r>
    </w:p>
    <w:p w:rsidR="00F6668E" w:rsidRPr="00602AED" w:rsidRDefault="00F6668E" w:rsidP="00F6668E">
      <w:pPr>
        <w:numPr>
          <w:ilvl w:val="0"/>
          <w:numId w:val="3"/>
        </w:numPr>
        <w:tabs>
          <w:tab w:val="clear" w:pos="122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80"/>
        <w:rPr>
          <w:bCs/>
          <w:color w:val="000000"/>
        </w:rPr>
      </w:pPr>
      <w:r w:rsidRPr="00602AED">
        <w:rPr>
          <w:bCs/>
          <w:color w:val="000000"/>
        </w:rPr>
        <w:t xml:space="preserve">Decker SL, Burt CW, Sisk JE.  Trends in diabetes treatment patterns among primary care providers.  </w:t>
      </w:r>
      <w:r w:rsidRPr="00602AED">
        <w:rPr>
          <w:bCs/>
          <w:i/>
          <w:color w:val="000000"/>
        </w:rPr>
        <w:t xml:space="preserve">J </w:t>
      </w:r>
      <w:proofErr w:type="spellStart"/>
      <w:r w:rsidRPr="00602AED">
        <w:rPr>
          <w:bCs/>
          <w:i/>
          <w:color w:val="000000"/>
        </w:rPr>
        <w:t>Ambul</w:t>
      </w:r>
      <w:proofErr w:type="spellEnd"/>
      <w:r w:rsidRPr="00602AED">
        <w:rPr>
          <w:bCs/>
          <w:i/>
          <w:color w:val="000000"/>
        </w:rPr>
        <w:t xml:space="preserve"> Care Manage</w:t>
      </w:r>
      <w:r w:rsidRPr="00602AED">
        <w:rPr>
          <w:bCs/>
          <w:color w:val="000000"/>
        </w:rPr>
        <w:t>. 2009 Oct-Dec</w:t>
      </w:r>
      <w:proofErr w:type="gramStart"/>
      <w:r w:rsidRPr="00602AED">
        <w:rPr>
          <w:bCs/>
          <w:color w:val="000000"/>
        </w:rPr>
        <w:t>;32</w:t>
      </w:r>
      <w:proofErr w:type="gramEnd"/>
      <w:r w:rsidRPr="00602AED">
        <w:rPr>
          <w:bCs/>
          <w:color w:val="000000"/>
        </w:rPr>
        <w:t>(4):333-341.</w:t>
      </w:r>
    </w:p>
    <w:p w:rsidR="00F6668E" w:rsidRDefault="00F6668E" w:rsidP="00F66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6"/>
      </w:pPr>
    </w:p>
    <w:p w:rsidR="00F6668E" w:rsidRDefault="00F6668E" w:rsidP="00F6668E">
      <w:pPr>
        <w:autoSpaceDE w:val="0"/>
        <w:autoSpaceDN w:val="0"/>
        <w:adjustRightInd w:val="0"/>
        <w:ind w:left="720" w:hanging="720"/>
        <w:rPr>
          <w:rFonts w:cs="Arial"/>
          <w:szCs w:val="20"/>
        </w:rPr>
      </w:pPr>
      <w:r>
        <w:sym w:font="Symbol" w:char="F0B7"/>
      </w:r>
      <w:r>
        <w:tab/>
        <w:t>Staff from the Ambulatory and Hospital Care Statistics Branch presented</w:t>
      </w:r>
      <w:r w:rsidR="005C229C">
        <w:t xml:space="preserve"> core</w:t>
      </w:r>
      <w:r>
        <w:t xml:space="preserve"> </w:t>
      </w:r>
      <w:r>
        <w:rPr>
          <w:rFonts w:cs="Arial"/>
          <w:szCs w:val="20"/>
        </w:rPr>
        <w:t xml:space="preserve">NAMCS data on trends in visit rates for skin and soft tissue infections typical of </w:t>
      </w:r>
      <w:r>
        <w:rPr>
          <w:rFonts w:cs="Arial"/>
          <w:i/>
          <w:iCs/>
          <w:szCs w:val="20"/>
        </w:rPr>
        <w:t xml:space="preserve">Staphylococcus </w:t>
      </w:r>
      <w:proofErr w:type="spellStart"/>
      <w:r>
        <w:rPr>
          <w:rFonts w:cs="Arial"/>
          <w:i/>
          <w:iCs/>
          <w:szCs w:val="20"/>
        </w:rPr>
        <w:t>aureus</w:t>
      </w:r>
      <w:proofErr w:type="spellEnd"/>
      <w:r>
        <w:rPr>
          <w:rFonts w:cs="Arial"/>
          <w:szCs w:val="20"/>
        </w:rPr>
        <w:t xml:space="preserve"> at the 136th Annual Meeting of the American Public Health Association in 2008.</w:t>
      </w:r>
    </w:p>
    <w:p w:rsidR="00F6668E" w:rsidRDefault="00F6668E" w:rsidP="00F6668E">
      <w:pPr>
        <w:pStyle w:val="1LargeBullet"/>
        <w:rPr>
          <w:rFonts w:ascii="Times New Roman" w:hAnsi="Times New Roman"/>
        </w:rPr>
      </w:pPr>
    </w:p>
    <w:p w:rsidR="00F6668E"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WP TypographicSymbols" w:hAnsi="WP TypographicSymbols"/>
        </w:rPr>
      </w:pPr>
      <w:r>
        <w:rPr>
          <w:rFonts w:ascii="WP TypographicSymbols" w:hAnsi="WP TypographicSymbols"/>
        </w:rPr>
        <w:sym w:font="Symbol" w:char="F0B7"/>
      </w:r>
      <w:r>
        <w:rPr>
          <w:rFonts w:ascii="WP TypographicSymbols" w:hAnsi="WP TypographicSymbols"/>
        </w:rPr>
        <w:tab/>
      </w:r>
      <w:r>
        <w:t xml:space="preserve">The Department of Health and Human Services is currently using </w:t>
      </w:r>
      <w:r w:rsidR="005C229C">
        <w:t xml:space="preserve">core </w:t>
      </w:r>
      <w:r>
        <w:t xml:space="preserve">NAMCS data to evaluate certain Healthy People 2010 and 2020 objectives.  These objectives are designed to serve as a road map for improving the health of all people in the </w:t>
      </w:r>
      <w:smartTag w:uri="urn:schemas-microsoft-com:office:smarttags" w:element="place">
        <w:smartTag w:uri="urn:schemas-microsoft-com:office:smarttags" w:element="country-region">
          <w:r>
            <w:t>United States</w:t>
          </w:r>
        </w:smartTag>
      </w:smartTag>
      <w:r>
        <w:t xml:space="preserve"> by the year 2010, and NAMCS data support efforts to quantify national improvement.</w:t>
      </w:r>
      <w:r>
        <w:rPr>
          <w:rFonts w:ascii="WP TypographicSymbols" w:hAnsi="WP TypographicSymbols"/>
        </w:rPr>
        <w:t xml:space="preserve"> </w:t>
      </w:r>
    </w:p>
    <w:p w:rsidR="00F6668E" w:rsidRDefault="00F6668E" w:rsidP="00F6668E">
      <w:pPr>
        <w:pStyle w:val="1LargeBullet"/>
        <w:rPr>
          <w:rFonts w:ascii="Times New Roman" w:hAnsi="Times New Roman"/>
        </w:rPr>
      </w:pPr>
    </w:p>
    <w:p w:rsidR="00F6668E" w:rsidRDefault="00F6668E" w:rsidP="00F66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0" w:name="OLE_LINK4"/>
      <w:bookmarkStart w:id="1" w:name="OLE_LINK5"/>
      <w:r>
        <w:sym w:font="Symbol" w:char="F0B7"/>
      </w:r>
      <w:bookmarkEnd w:id="0"/>
      <w:bookmarkEnd w:id="1"/>
      <w:r>
        <w:tab/>
        <w:t xml:space="preserve">The results of the </w:t>
      </w:r>
      <w:r w:rsidR="005C229C">
        <w:t xml:space="preserve">core </w:t>
      </w:r>
      <w:r>
        <w:t xml:space="preserve">2003 NAMCS bioterrorism questions have been presented by Ambulatory and Hospital Care Statistics Branch staff to outside partners, such as the Association of American Medical Colleges, and decision-making components of the Department of Health and Human Services charged with bioterrorism preparedness.  Combined results from the 2003 and 2004 </w:t>
      </w:r>
      <w:r w:rsidR="005C229C">
        <w:t xml:space="preserve">core </w:t>
      </w:r>
      <w:r>
        <w:t>NAMCS bioterrorism questions have been recently published in peer-reviewed journals in the primary medical care literature and as NCHS annual reports.</w:t>
      </w:r>
    </w:p>
    <w:p w:rsidR="00F6668E" w:rsidRDefault="00F6668E" w:rsidP="00F66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F6668E" w:rsidRDefault="00F6668E" w:rsidP="00F6668E">
      <w:pPr>
        <w:ind w:left="720" w:hanging="720"/>
      </w:pPr>
      <w:r>
        <w:sym w:font="Symbol" w:char="F0B7"/>
      </w:r>
      <w:r>
        <w:tab/>
        <w:t>The Medicare Payment Advisory Commission (</w:t>
      </w:r>
      <w:proofErr w:type="spellStart"/>
      <w:r>
        <w:rPr>
          <w:bCs/>
        </w:rPr>
        <w:t>MedPAC</w:t>
      </w:r>
      <w:proofErr w:type="spellEnd"/>
      <w:r>
        <w:t xml:space="preserve">), an independent Congressional agency, is required by law to make recommendations to Congress on payment updates to Medicare providers.  </w:t>
      </w:r>
      <w:proofErr w:type="spellStart"/>
      <w:r>
        <w:t>MedPAC</w:t>
      </w:r>
      <w:proofErr w:type="spellEnd"/>
      <w:r>
        <w:t xml:space="preserve"> uses </w:t>
      </w:r>
      <w:r w:rsidR="005C229C">
        <w:t xml:space="preserve">core </w:t>
      </w:r>
      <w:r>
        <w:t xml:space="preserve">NAMCS data in its analysis of physician services. In particular, </w:t>
      </w:r>
      <w:r w:rsidR="005C229C">
        <w:t xml:space="preserve">core </w:t>
      </w:r>
      <w:r>
        <w:t xml:space="preserve">NAMCS data provide </w:t>
      </w:r>
      <w:proofErr w:type="spellStart"/>
      <w:r>
        <w:t>MedPAC</w:t>
      </w:r>
      <w:proofErr w:type="spellEnd"/>
      <w:r>
        <w:t xml:space="preserve"> with information on trends in physician willingness to serve Medicare beneficiaries.  </w:t>
      </w:r>
      <w:proofErr w:type="spellStart"/>
      <w:r>
        <w:t>MedPAC</w:t>
      </w:r>
      <w:proofErr w:type="spellEnd"/>
      <w:r>
        <w:t xml:space="preserve"> presents this indicator yearly in its public meetings and in its official reports to the Congress to help determine payment updates for Medicare services.</w:t>
      </w:r>
    </w:p>
    <w:p w:rsidR="00F6668E"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6668E"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The addition of CHCs to the </w:t>
      </w:r>
      <w:r w:rsidR="005C229C">
        <w:rPr>
          <w:rFonts w:ascii="Times New Roman" w:hAnsi="Times New Roman"/>
        </w:rPr>
        <w:t>traditional physician</w:t>
      </w:r>
      <w:r w:rsidR="00C51195">
        <w:rPr>
          <w:rFonts w:ascii="Times New Roman" w:hAnsi="Times New Roman"/>
        </w:rPr>
        <w:t>-</w:t>
      </w:r>
      <w:r w:rsidR="005C229C">
        <w:rPr>
          <w:rFonts w:ascii="Times New Roman" w:hAnsi="Times New Roman"/>
        </w:rPr>
        <w:t xml:space="preserve">only </w:t>
      </w:r>
      <w:r>
        <w:rPr>
          <w:rFonts w:ascii="Times New Roman" w:hAnsi="Times New Roman"/>
        </w:rPr>
        <w:t xml:space="preserve">NAMCS sample </w:t>
      </w:r>
      <w:r w:rsidR="005C229C">
        <w:rPr>
          <w:rFonts w:ascii="Times New Roman" w:hAnsi="Times New Roman"/>
        </w:rPr>
        <w:t>(now considered the “core NAMCS</w:t>
      </w:r>
      <w:r w:rsidR="00C51195">
        <w:rPr>
          <w:rFonts w:ascii="Times New Roman" w:hAnsi="Times New Roman"/>
        </w:rPr>
        <w:t>”</w:t>
      </w:r>
      <w:r w:rsidR="005C229C">
        <w:rPr>
          <w:rFonts w:ascii="Times New Roman" w:hAnsi="Times New Roman"/>
        </w:rPr>
        <w:t xml:space="preserve">) </w:t>
      </w:r>
      <w:r>
        <w:rPr>
          <w:rFonts w:ascii="Times New Roman" w:hAnsi="Times New Roman"/>
        </w:rPr>
        <w:t>has produced a better overall picture of the ambulatory care provided in the United States</w:t>
      </w:r>
      <w:r w:rsidR="00CB2089">
        <w:rPr>
          <w:rFonts w:ascii="Times New Roman" w:hAnsi="Times New Roman"/>
        </w:rPr>
        <w:t xml:space="preserve">.  The core NAMCS now allows </w:t>
      </w:r>
      <w:r>
        <w:rPr>
          <w:rFonts w:ascii="Times New Roman" w:hAnsi="Times New Roman"/>
        </w:rPr>
        <w:t xml:space="preserve">us to </w:t>
      </w:r>
      <w:r w:rsidR="00CB2089">
        <w:rPr>
          <w:rFonts w:ascii="Times New Roman" w:hAnsi="Times New Roman"/>
        </w:rPr>
        <w:t xml:space="preserve">compare the delivery of health services at CHCs and non-CHC settings to understand utilization differences across ambulatory care settings.  Also, a </w:t>
      </w:r>
      <w:r>
        <w:rPr>
          <w:rFonts w:ascii="Times New Roman" w:hAnsi="Times New Roman"/>
        </w:rPr>
        <w:t>separate stratum of CHCs allows NCHS not only to improve our estimates of health care for the uninsured, but also to make separate estimates for providers and visits at CHCs.</w:t>
      </w:r>
    </w:p>
    <w:p w:rsidR="00FA6EF4" w:rsidRDefault="00FA6EF4"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02952" w:rsidRPr="00C02952" w:rsidRDefault="00711D9D"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Pr>
          <w:rFonts w:ascii="Times New Roman" w:hAnsi="Times New Roman"/>
          <w:u w:val="single"/>
        </w:rPr>
        <w:t>EMR/EHR Mail Survey</w:t>
      </w:r>
    </w:p>
    <w:p w:rsidR="00C02952" w:rsidRDefault="00C02952"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FA6EF4" w:rsidRDefault="00FA6EF4"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6C7CED">
        <w:rPr>
          <w:rFonts w:ascii="Times New Roman" w:hAnsi="Times New Roman"/>
        </w:rPr>
        <w:t>The EMR/EHR mail survey will continue to assist in measuring the progress of meeting the goal for most Americans to have access to an interoperable E</w:t>
      </w:r>
      <w:r>
        <w:rPr>
          <w:rFonts w:ascii="Times New Roman" w:hAnsi="Times New Roman"/>
        </w:rPr>
        <w:t>H</w:t>
      </w:r>
      <w:r w:rsidRPr="006C7CED">
        <w:rPr>
          <w:rFonts w:ascii="Times New Roman" w:hAnsi="Times New Roman"/>
        </w:rPr>
        <w:t xml:space="preserve">R by 2014.  The items for both the mail survey and the NAMCS-1 </w:t>
      </w:r>
      <w:r>
        <w:rPr>
          <w:rFonts w:ascii="Times New Roman" w:hAnsi="Times New Roman"/>
        </w:rPr>
        <w:t xml:space="preserve">induction interview </w:t>
      </w:r>
      <w:r w:rsidRPr="006C7CED">
        <w:rPr>
          <w:rFonts w:ascii="Times New Roman" w:hAnsi="Times New Roman"/>
        </w:rPr>
        <w:t>will help guide the policymaking process surrounding Stage II meaningful use.  The meaningful use rule is part of a coordinated set of regulations to help create a private and secure 21</w:t>
      </w:r>
      <w:r w:rsidRPr="00D36D8C">
        <w:rPr>
          <w:rFonts w:ascii="Times New Roman" w:hAnsi="Times New Roman"/>
          <w:vertAlign w:val="superscript"/>
        </w:rPr>
        <w:t>st</w:t>
      </w:r>
      <w:r>
        <w:rPr>
          <w:rFonts w:ascii="Times New Roman" w:hAnsi="Times New Roman"/>
        </w:rPr>
        <w:t xml:space="preserve"> </w:t>
      </w:r>
      <w:r w:rsidRPr="006C7CED">
        <w:rPr>
          <w:rFonts w:ascii="Times New Roman" w:hAnsi="Times New Roman"/>
        </w:rPr>
        <w:t xml:space="preserve">century electronic health information system.  The information obtained from these questions (checking insurance eligibility electronically, questions related to information exchange, and the new EHR functionality questions) will provide great value to </w:t>
      </w:r>
      <w:r>
        <w:rPr>
          <w:rFonts w:ascii="Times New Roman" w:hAnsi="Times New Roman"/>
        </w:rPr>
        <w:t>the Office of the National Coordinator for Health Information Technology (</w:t>
      </w:r>
      <w:r w:rsidRPr="006C7CED">
        <w:rPr>
          <w:rFonts w:ascii="Times New Roman" w:hAnsi="Times New Roman"/>
        </w:rPr>
        <w:t>ONC</w:t>
      </w:r>
      <w:r>
        <w:rPr>
          <w:rFonts w:ascii="Times New Roman" w:hAnsi="Times New Roman"/>
        </w:rPr>
        <w:t>)</w:t>
      </w:r>
      <w:r w:rsidRPr="006C7CED">
        <w:rPr>
          <w:rFonts w:ascii="Times New Roman" w:hAnsi="Times New Roman"/>
        </w:rPr>
        <w:t xml:space="preserve"> and NHCS.    </w:t>
      </w:r>
    </w:p>
    <w:p w:rsidR="00FA6EF4" w:rsidRDefault="00FA6EF4"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5C229C" w:rsidRDefault="00FA6EF4" w:rsidP="005C22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Having data that identif</w:t>
      </w:r>
      <w:r w:rsidR="00B13848">
        <w:rPr>
          <w:rFonts w:ascii="Times New Roman" w:hAnsi="Times New Roman"/>
        </w:rPr>
        <w:t>y</w:t>
      </w:r>
      <w:r>
        <w:rPr>
          <w:rFonts w:ascii="Times New Roman" w:hAnsi="Times New Roman"/>
        </w:rPr>
        <w:t xml:space="preserve"> an office’s ability to perform a particular diagnostic test will allow for identifying the adoption of new medical technologies across various physician and practice characteristics (e.g., specialty, office type, and ownership) over time.  </w:t>
      </w:r>
    </w:p>
    <w:p w:rsidR="005C229C" w:rsidRDefault="005C229C" w:rsidP="005C22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5C229C" w:rsidRPr="005C229C" w:rsidRDefault="005C229C" w:rsidP="005C22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5C229C">
        <w:rPr>
          <w:rFonts w:ascii="Times New Roman" w:hAnsi="Times New Roman"/>
        </w:rPr>
        <w:t>Estimates from 2009 and 2010 EMR/EHR data have recently been published by NCHS staff and show that medical record system adoption varies considerably as a function of practice location and type of EMR/EHR system.  The highlighted report below can be of great utility for ONC in measuring physician’s access to interoperable HER adoption by 2014.</w:t>
      </w:r>
    </w:p>
    <w:p w:rsidR="005C229C" w:rsidRPr="00245121" w:rsidRDefault="005C229C" w:rsidP="005C229C">
      <w:pPr>
        <w:numPr>
          <w:ilvl w:val="0"/>
          <w:numId w:val="3"/>
        </w:numPr>
        <w:tabs>
          <w:tab w:val="clear" w:pos="122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hanging="180"/>
      </w:pPr>
      <w:r w:rsidRPr="0007265B">
        <w:rPr>
          <w:bCs/>
          <w:color w:val="000000"/>
        </w:rPr>
        <w:t xml:space="preserve">Hsiao J, Hing E, Socey TC, </w:t>
      </w:r>
      <w:proofErr w:type="gramStart"/>
      <w:r w:rsidRPr="0007265B">
        <w:rPr>
          <w:bCs/>
          <w:color w:val="000000"/>
        </w:rPr>
        <w:t>Cai</w:t>
      </w:r>
      <w:proofErr w:type="gramEnd"/>
      <w:r w:rsidRPr="0007265B">
        <w:rPr>
          <w:bCs/>
          <w:color w:val="000000"/>
        </w:rPr>
        <w:t xml:space="preserve"> B.  </w:t>
      </w:r>
      <w:r>
        <w:rPr>
          <w:bCs/>
          <w:color w:val="000000"/>
        </w:rPr>
        <w:t xml:space="preserve">Electronic Medical Record/Electronic Health Record Systems of Office-Based Physicians: United States, 2009 and Preliminary 2010 State Estimates. </w:t>
      </w:r>
      <w:r w:rsidRPr="00616BB3">
        <w:rPr>
          <w:bCs/>
          <w:i/>
          <w:color w:val="000000"/>
        </w:rPr>
        <w:t>NCHS Health E-Stat</w:t>
      </w:r>
      <w:r>
        <w:rPr>
          <w:bCs/>
          <w:color w:val="000000"/>
        </w:rPr>
        <w:t xml:space="preserve">. 2010 December. </w:t>
      </w:r>
    </w:p>
    <w:p w:rsidR="005C229C" w:rsidRDefault="005C229C" w:rsidP="005C2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pPr>
      <w:r>
        <w:rPr>
          <w:bCs/>
          <w:color w:val="000000"/>
        </w:rPr>
        <w:t>(</w:t>
      </w:r>
      <w:proofErr w:type="gramStart"/>
      <w:r>
        <w:rPr>
          <w:bCs/>
          <w:color w:val="000000"/>
        </w:rPr>
        <w:t>see</w:t>
      </w:r>
      <w:proofErr w:type="gramEnd"/>
      <w:r>
        <w:rPr>
          <w:bCs/>
          <w:color w:val="000000"/>
        </w:rPr>
        <w:t xml:space="preserve"> </w:t>
      </w:r>
      <w:r w:rsidRPr="00171D41">
        <w:rPr>
          <w:bCs/>
          <w:color w:val="0070C0"/>
        </w:rPr>
        <w:t>http://www.cdc.gov/nchs/data/hestat/emr_ehr_09/emr_ehr_09.htm</w:t>
      </w:r>
      <w:r>
        <w:rPr>
          <w:bCs/>
          <w:color w:val="000000"/>
        </w:rPr>
        <w:t>)</w:t>
      </w:r>
    </w:p>
    <w:p w:rsidR="005C229C" w:rsidRDefault="005C229C" w:rsidP="005C229C">
      <w:pPr>
        <w:autoSpaceDE w:val="0"/>
        <w:autoSpaceDN w:val="0"/>
        <w:adjustRightInd w:val="0"/>
        <w:ind w:left="720" w:hanging="720"/>
      </w:pPr>
    </w:p>
    <w:p w:rsidR="00F6668E" w:rsidRPr="00F94818" w:rsidRDefault="00F6668E" w:rsidP="00F6668E">
      <w:pPr>
        <w:autoSpaceDE w:val="0"/>
        <w:autoSpaceDN w:val="0"/>
        <w:adjustRightInd w:val="0"/>
        <w:outlineLvl w:val="0"/>
        <w:rPr>
          <w:u w:val="single"/>
        </w:rPr>
      </w:pPr>
      <w:r w:rsidRPr="00F94818">
        <w:rPr>
          <w:u w:val="single"/>
        </w:rPr>
        <w:t xml:space="preserve">New activities </w:t>
      </w:r>
      <w:r w:rsidR="00566D7E">
        <w:rPr>
          <w:u w:val="single"/>
        </w:rPr>
        <w:t xml:space="preserve">evaluated in 2011 and </w:t>
      </w:r>
      <w:r w:rsidRPr="00F94818">
        <w:rPr>
          <w:u w:val="single"/>
        </w:rPr>
        <w:t>planned for the 201</w:t>
      </w:r>
      <w:r w:rsidR="00566D7E">
        <w:rPr>
          <w:u w:val="single"/>
        </w:rPr>
        <w:t>2</w:t>
      </w:r>
      <w:r w:rsidRPr="00F94818">
        <w:rPr>
          <w:u w:val="single"/>
        </w:rPr>
        <w:t>-1013 survey period</w:t>
      </w:r>
    </w:p>
    <w:p w:rsidR="004707B8" w:rsidRDefault="004707B8" w:rsidP="00F47F2B"/>
    <w:p w:rsidR="00566D7E" w:rsidRPr="00566D7E" w:rsidRDefault="00566D7E" w:rsidP="00566D7E">
      <w:pPr>
        <w:pStyle w:val="Style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0"/>
        <w:rPr>
          <w:rFonts w:ascii="Times New Roman" w:hAnsi="Times New Roman"/>
        </w:rPr>
      </w:pPr>
      <w:r w:rsidRPr="00566D7E">
        <w:rPr>
          <w:rFonts w:ascii="Times New Roman" w:hAnsi="Times New Roman"/>
        </w:rPr>
        <w:t>Asthma Supplement</w:t>
      </w:r>
    </w:p>
    <w:p w:rsidR="00566D7E" w:rsidRDefault="00566D7E" w:rsidP="00566D7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66D7E" w:rsidRDefault="00566D7E" w:rsidP="00566D7E">
      <w:r>
        <w:t xml:space="preserve">The proposed asthma supplement will be administered to </w:t>
      </w:r>
      <w:r w:rsidR="00B65786">
        <w:t xml:space="preserve">the </w:t>
      </w:r>
      <w:r>
        <w:t xml:space="preserve">sample primary care health providers and specialists likely to see asthma patients to assess implementation of guidelines to control asthma.  These recommendations are </w:t>
      </w:r>
      <w:r w:rsidRPr="001F1A45">
        <w:t>disseminated from the National Heart, Lung, and Blood Institute (NHLBI) Guidelines for the Diagnosis and Management of Asthma (</w:t>
      </w:r>
      <w:r>
        <w:t>known as “</w:t>
      </w:r>
      <w:r w:rsidRPr="001F1A45">
        <w:t>the Guidelines</w:t>
      </w:r>
      <w:r>
        <w:t>”</w:t>
      </w:r>
      <w:r w:rsidRPr="001F1A45">
        <w:t>)</w:t>
      </w:r>
      <w:r>
        <w:t xml:space="preserve">.  Specifically, a 2-year asthma supplement is proposed for 2012-2013 to obtain a robust sample of physician responses to construct an accurate picture of the identification, uptake, and implementation of asthma management as specified in the Guidelines.    </w:t>
      </w:r>
    </w:p>
    <w:p w:rsidR="00566D7E" w:rsidRDefault="00566D7E" w:rsidP="00F47F2B"/>
    <w:p w:rsidR="00F47F2B" w:rsidRPr="00427BCC" w:rsidRDefault="00F47F2B" w:rsidP="00427BCC">
      <w:pPr>
        <w:pStyle w:val="Style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0"/>
        <w:rPr>
          <w:rFonts w:ascii="Times New Roman" w:hAnsi="Times New Roman"/>
        </w:rPr>
      </w:pPr>
      <w:r w:rsidRPr="00427BCC">
        <w:rPr>
          <w:rFonts w:ascii="Times New Roman" w:hAnsi="Times New Roman"/>
        </w:rPr>
        <w:t>Complementary and Alternative Medicine (CAM)</w:t>
      </w:r>
    </w:p>
    <w:p w:rsidR="00F47F2B" w:rsidRPr="00A63EA5" w:rsidRDefault="00F47F2B" w:rsidP="00F47F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p>
    <w:p w:rsidR="00F47F2B" w:rsidRDefault="00F47F2B" w:rsidP="00F47F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A63EA5">
        <w:rPr>
          <w:rFonts w:ascii="Times New Roman" w:hAnsi="Times New Roman"/>
        </w:rPr>
        <w:t>The short set of questions slated for inclusion in the 2012 NAMCS-1 physician induction form will collect information on the frequency of referrals and use of CAM by conventional providers, which has not been previously collected on a large-scale national survey.   Because the majority of providers who use CAM do so in conjunction with conventional medicine, it is important to find out the extent to which conventional providers are integrating CAM into their treatment plans. </w:t>
      </w:r>
    </w:p>
    <w:p w:rsidR="00F47F2B" w:rsidRDefault="00F47F2B" w:rsidP="00F47F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F47F2B" w:rsidRPr="00427BCC" w:rsidRDefault="00F47F2B" w:rsidP="00427BCC">
      <w:pPr>
        <w:pStyle w:val="Style0"/>
        <w:numPr>
          <w:ilvl w:val="0"/>
          <w:numId w:val="3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0"/>
        <w:rPr>
          <w:rFonts w:ascii="Times New Roman" w:hAnsi="Times New Roman"/>
        </w:rPr>
      </w:pPr>
      <w:r w:rsidRPr="00427BCC">
        <w:rPr>
          <w:rFonts w:ascii="Times New Roman" w:hAnsi="Times New Roman"/>
        </w:rPr>
        <w:t>Medical Care Provided in Last 12 Months (</w:t>
      </w:r>
      <w:proofErr w:type="spellStart"/>
      <w:r w:rsidRPr="00427BCC">
        <w:rPr>
          <w:rFonts w:ascii="Times New Roman" w:hAnsi="Times New Roman"/>
        </w:rPr>
        <w:t>lookback</w:t>
      </w:r>
      <w:proofErr w:type="spellEnd"/>
      <w:r w:rsidRPr="00427BCC">
        <w:rPr>
          <w:rFonts w:ascii="Times New Roman" w:hAnsi="Times New Roman"/>
        </w:rPr>
        <w:t xml:space="preserve"> module)</w:t>
      </w:r>
    </w:p>
    <w:p w:rsidR="00F47F2B" w:rsidRDefault="00F47F2B" w:rsidP="00F47F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p>
    <w:p w:rsidR="00F47F2B" w:rsidRPr="00D63336" w:rsidRDefault="00F47F2B" w:rsidP="00F47F2B">
      <w:r w:rsidRPr="00E5530D">
        <w:t xml:space="preserve">The intent of data from the </w:t>
      </w:r>
      <w:proofErr w:type="spellStart"/>
      <w:r>
        <w:t>lookback</w:t>
      </w:r>
      <w:proofErr w:type="spellEnd"/>
      <w:r w:rsidRPr="00E5530D">
        <w:t xml:space="preserve"> module is to improve the nation’s ability to monitor and evaluate the quality of clinical care to prevent heart disease and stroke.  To achieve this, </w:t>
      </w:r>
      <w:r w:rsidR="00B13848">
        <w:t xml:space="preserve">NCHS </w:t>
      </w:r>
      <w:r w:rsidRPr="00E5530D">
        <w:t>would expand data collected on clinical management and on patients’ risk factors during the 12 months before the sampled visit.</w:t>
      </w:r>
      <w:r>
        <w:t xml:space="preserve">  These items </w:t>
      </w:r>
      <w:r w:rsidRPr="00D63336">
        <w:t>would greatly improve the nation’s ability to monitor and evaluate the effects of increased insurance coverage on the quality of care provided in physicians’ offices to pr</w:t>
      </w:r>
      <w:r w:rsidR="00B13848">
        <w:t xml:space="preserve">event heart disease and stroke.  Also, these items would allow </w:t>
      </w:r>
      <w:r w:rsidR="00AC6975">
        <w:t xml:space="preserve">for monitoring of activities undertaken within the framework of the Patient Protection and Affordable Care Act of 2010 (ACA) section 1561 specifically to improve the use of preventive care.  </w:t>
      </w:r>
      <w:r w:rsidRPr="00D63336">
        <w:t xml:space="preserve">Furthermore, information on the clinical management of conditions that put patients at risk could identify shortfalls in the quality of care that in turn could lead to improvements in clinical and public policy to improve prevention.  </w:t>
      </w:r>
    </w:p>
    <w:p w:rsidR="00F47F2B" w:rsidRDefault="00F47F2B" w:rsidP="00F47F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p>
    <w:p w:rsidR="00F47F2B" w:rsidRDefault="00427BCC" w:rsidP="000A56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Pr>
          <w:rFonts w:ascii="Times New Roman" w:hAnsi="Times New Roman"/>
          <w:u w:val="single"/>
        </w:rPr>
        <w:t>New EMR/E</w:t>
      </w:r>
      <w:r w:rsidR="000D1622">
        <w:rPr>
          <w:rFonts w:ascii="Times New Roman" w:hAnsi="Times New Roman"/>
          <w:u w:val="single"/>
        </w:rPr>
        <w:t>H</w:t>
      </w:r>
      <w:r>
        <w:rPr>
          <w:rFonts w:ascii="Times New Roman" w:hAnsi="Times New Roman"/>
          <w:u w:val="single"/>
        </w:rPr>
        <w:t xml:space="preserve">R </w:t>
      </w:r>
      <w:r w:rsidR="000A5653">
        <w:rPr>
          <w:rFonts w:ascii="Times New Roman" w:hAnsi="Times New Roman"/>
          <w:u w:val="single"/>
        </w:rPr>
        <w:t>S</w:t>
      </w:r>
      <w:r>
        <w:rPr>
          <w:rFonts w:ascii="Times New Roman" w:hAnsi="Times New Roman"/>
          <w:u w:val="single"/>
        </w:rPr>
        <w:t xml:space="preserve">upplemental </w:t>
      </w:r>
      <w:r w:rsidR="000A5653">
        <w:rPr>
          <w:rFonts w:ascii="Times New Roman" w:hAnsi="Times New Roman"/>
          <w:u w:val="single"/>
        </w:rPr>
        <w:t>S</w:t>
      </w:r>
      <w:r>
        <w:rPr>
          <w:rFonts w:ascii="Times New Roman" w:hAnsi="Times New Roman"/>
          <w:u w:val="single"/>
        </w:rPr>
        <w:t xml:space="preserve">urvey </w:t>
      </w:r>
      <w:r w:rsidR="000A5653">
        <w:rPr>
          <w:rFonts w:ascii="Times New Roman" w:hAnsi="Times New Roman"/>
          <w:u w:val="single"/>
        </w:rPr>
        <w:t>on Physician Workflow</w:t>
      </w:r>
    </w:p>
    <w:p w:rsidR="000A5653" w:rsidRDefault="000A5653" w:rsidP="000A56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F47F2B" w:rsidRPr="001E0CF5" w:rsidRDefault="00F47F2B" w:rsidP="00F47F2B">
      <w:r w:rsidRPr="001E0CF5">
        <w:t>ONC requires continuous information on the costs, benefits, and barriers associated with the use of EHRs at various levels of adoption.  This information helps ONC measure the progress towards HITECH program goals and provides insight into where scarce resources need to be devoted to help physicians achieve Stage I and Stage II meaningful us</w:t>
      </w:r>
      <w:r>
        <w:t xml:space="preserve">e of certified EHR technology. </w:t>
      </w:r>
      <w:r w:rsidRPr="001E0CF5">
        <w:t>The longitudinal nature of this</w:t>
      </w:r>
      <w:r>
        <w:t xml:space="preserve"> physician workflow</w:t>
      </w:r>
      <w:r w:rsidRPr="001E0CF5">
        <w:t xml:space="preserve"> study will also provide insight into physician investment behavior, intent to meet HHS’ meaningful use criteria, and barriers that physicians face at various </w:t>
      </w:r>
      <w:r w:rsidR="00CC3015">
        <w:t xml:space="preserve">stages </w:t>
      </w:r>
      <w:r w:rsidRPr="001E0CF5">
        <w:t xml:space="preserve">of EHR adoption.  </w:t>
      </w:r>
      <w:r w:rsidR="00CC3015">
        <w:t xml:space="preserve">ONC will use this information </w:t>
      </w:r>
      <w:r w:rsidRPr="001E0CF5">
        <w:t xml:space="preserve">to inform policy-making around Stage II meaningful use criteria. The meaningful use </w:t>
      </w:r>
      <w:r>
        <w:t>rule</w:t>
      </w:r>
      <w:r w:rsidRPr="001E0CF5">
        <w:t xml:space="preserve"> is part of a coordinated set of regulations to help create a private and secure 21</w:t>
      </w:r>
      <w:r w:rsidRPr="001E0CF5">
        <w:rPr>
          <w:vertAlign w:val="superscript"/>
        </w:rPr>
        <w:t xml:space="preserve">st </w:t>
      </w:r>
      <w:r w:rsidRPr="001E0CF5">
        <w:t>century electronic health information system. ONCs criteria for meaningful use will be implemented in three stages.  Stage 1 will begin in 2011; Stage 2 will begin in 2013, and will add more requirements and new reports; and Stage 3 will begin in 2015 and is expected to add more requirements.  The information obtained from the</w:t>
      </w:r>
      <w:r>
        <w:t xml:space="preserve"> new workflow supplement </w:t>
      </w:r>
      <w:r w:rsidRPr="00813897">
        <w:t>will provide gre</w:t>
      </w:r>
      <w:r>
        <w:t xml:space="preserve">at value to ONC and NHCS. </w:t>
      </w:r>
      <w:r w:rsidRPr="001E0CF5">
        <w:t>Together</w:t>
      </w:r>
      <w:r>
        <w:t xml:space="preserve"> with the EMR/EHR supplement, the</w:t>
      </w:r>
      <w:r w:rsidRPr="001E0CF5">
        <w:t xml:space="preserve"> information</w:t>
      </w:r>
      <w:r>
        <w:t xml:space="preserve"> obtained </w:t>
      </w:r>
      <w:r w:rsidRPr="001E0CF5">
        <w:t>will help ONC monitor the effectiveness of federal programs and grants</w:t>
      </w:r>
      <w:r w:rsidR="000A6CCA">
        <w:t xml:space="preserve">, and inform key policy </w:t>
      </w:r>
      <w:r w:rsidRPr="001E0CF5">
        <w:t>decisions</w:t>
      </w:r>
      <w:r w:rsidR="000A6CCA">
        <w:t xml:space="preserve"> to develop criteria for successive stages</w:t>
      </w:r>
      <w:r w:rsidRPr="001E0CF5">
        <w:t>.</w:t>
      </w:r>
    </w:p>
    <w:p w:rsidR="00190FA4" w:rsidRDefault="00190FA4"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3.  Use of Improved Information Technology and Burden Reduction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0B7594" w:rsidRDefault="000B7594" w:rsidP="00DB5F22">
      <w:pPr>
        <w:rPr>
          <w:color w:val="000000"/>
        </w:rPr>
      </w:pPr>
      <w:r>
        <w:rPr>
          <w:color w:val="000000"/>
        </w:rPr>
        <w:t xml:space="preserve">Information in identifiable form (IIF) is not provided on the public use files or in any reports.  No highly sensitive data are collected.  </w:t>
      </w:r>
    </w:p>
    <w:p w:rsidR="000B7594" w:rsidRDefault="000B7594" w:rsidP="00DB5F22">
      <w:pPr>
        <w:rPr>
          <w:color w:val="000000"/>
        </w:rPr>
      </w:pPr>
    </w:p>
    <w:p w:rsidR="00DB5F22" w:rsidRDefault="006C1EC5" w:rsidP="00DB5F22">
      <w:pPr>
        <w:rPr>
          <w:rFonts w:ascii="Arial" w:hAnsi="Arial"/>
          <w:sz w:val="20"/>
        </w:rPr>
      </w:pPr>
      <w:r>
        <w:rPr>
          <w:color w:val="000000"/>
        </w:rPr>
        <w:t xml:space="preserve">Respondent burden in NAMCS data collection is minimized through sampling procedures, which are discussed in more detail in items </w:t>
      </w:r>
      <w:r w:rsidRPr="00F26635">
        <w:rPr>
          <w:color w:val="000000"/>
        </w:rPr>
        <w:t>A.5</w:t>
      </w:r>
      <w:r>
        <w:rPr>
          <w:color w:val="000000"/>
        </w:rPr>
        <w:t xml:space="preserve"> </w:t>
      </w:r>
      <w:r>
        <w:t xml:space="preserve">and </w:t>
      </w:r>
      <w:r w:rsidRPr="00F26635">
        <w:t>B.1</w:t>
      </w:r>
      <w:r>
        <w:t>.</w:t>
      </w:r>
      <w:r w:rsidR="00CA4CC3">
        <w:t xml:space="preserve">  </w:t>
      </w:r>
      <w:r>
        <w:rPr>
          <w:color w:val="000000"/>
        </w:rPr>
        <w:t xml:space="preserve">In general, </w:t>
      </w:r>
      <w:r w:rsidR="005B4BCB">
        <w:rPr>
          <w:color w:val="000000"/>
        </w:rPr>
        <w:t>improved</w:t>
      </w:r>
      <w:r>
        <w:rPr>
          <w:color w:val="000000"/>
        </w:rPr>
        <w:t xml:space="preserve"> information technology would</w:t>
      </w:r>
      <w:r w:rsidR="0054674A">
        <w:rPr>
          <w:color w:val="000000"/>
        </w:rPr>
        <w:t xml:space="preserve"> significantly </w:t>
      </w:r>
      <w:r>
        <w:rPr>
          <w:color w:val="000000"/>
        </w:rPr>
        <w:t xml:space="preserve">reduce the burden </w:t>
      </w:r>
      <w:r w:rsidR="0054674A">
        <w:rPr>
          <w:color w:val="000000"/>
        </w:rPr>
        <w:t xml:space="preserve">for NAMCS </w:t>
      </w:r>
      <w:r w:rsidR="00DB5F22">
        <w:rPr>
          <w:color w:val="000000"/>
        </w:rPr>
        <w:t>respondent</w:t>
      </w:r>
      <w:r w:rsidR="0054674A">
        <w:rPr>
          <w:color w:val="000000"/>
        </w:rPr>
        <w:t>s</w:t>
      </w:r>
      <w:r w:rsidR="00E52C88">
        <w:rPr>
          <w:color w:val="000000"/>
        </w:rPr>
        <w:t xml:space="preserve"> when </w:t>
      </w:r>
      <w:r w:rsidR="0054674A">
        <w:rPr>
          <w:color w:val="000000"/>
        </w:rPr>
        <w:t xml:space="preserve">answering NAMCS-1 induction interview </w:t>
      </w:r>
      <w:proofErr w:type="gramStart"/>
      <w:r w:rsidR="0054674A">
        <w:rPr>
          <w:color w:val="000000"/>
        </w:rPr>
        <w:t>questions</w:t>
      </w:r>
      <w:r w:rsidR="000C74DF">
        <w:rPr>
          <w:color w:val="000000"/>
        </w:rPr>
        <w:t>,</w:t>
      </w:r>
      <w:proofErr w:type="gramEnd"/>
      <w:r w:rsidR="000B7594">
        <w:rPr>
          <w:color w:val="000000"/>
        </w:rPr>
        <w:t xml:space="preserve"> and a move to electronic collection is requested</w:t>
      </w:r>
      <w:r w:rsidR="0054674A">
        <w:rPr>
          <w:color w:val="000000"/>
        </w:rPr>
        <w:t xml:space="preserve">.  </w:t>
      </w:r>
      <w:r w:rsidR="00315635">
        <w:rPr>
          <w:color w:val="000000"/>
        </w:rPr>
        <w:t xml:space="preserve">Currently, </w:t>
      </w:r>
      <w:r w:rsidR="0010299C">
        <w:rPr>
          <w:color w:val="000000"/>
        </w:rPr>
        <w:t>completing the form requires a Census field representative (</w:t>
      </w:r>
      <w:r w:rsidR="00315635">
        <w:rPr>
          <w:color w:val="000000"/>
        </w:rPr>
        <w:t>FR</w:t>
      </w:r>
      <w:r w:rsidR="0010299C">
        <w:rPr>
          <w:color w:val="000000"/>
        </w:rPr>
        <w:t>)</w:t>
      </w:r>
      <w:r w:rsidR="00315635">
        <w:rPr>
          <w:color w:val="000000"/>
        </w:rPr>
        <w:t xml:space="preserve"> to follow the flow of the form from front to back, navigating numerous skip patterns, adding information from complicated lists, and administering flash cards to the respondent</w:t>
      </w:r>
      <w:r w:rsidR="0054674A">
        <w:rPr>
          <w:color w:val="000000"/>
        </w:rPr>
        <w:t>.</w:t>
      </w:r>
      <w:r w:rsidR="008A593C">
        <w:rPr>
          <w:color w:val="000000"/>
        </w:rPr>
        <w:t xml:space="preserve">  </w:t>
      </w:r>
      <w:r w:rsidR="00E12051">
        <w:rPr>
          <w:color w:val="000000"/>
        </w:rPr>
        <w:t xml:space="preserve">This process </w:t>
      </w:r>
      <w:r w:rsidR="008A593C">
        <w:rPr>
          <w:color w:val="000000"/>
        </w:rPr>
        <w:t xml:space="preserve">can be complicated and </w:t>
      </w:r>
      <w:r w:rsidR="001275A1">
        <w:rPr>
          <w:color w:val="000000"/>
        </w:rPr>
        <w:t>lengthy</w:t>
      </w:r>
      <w:r w:rsidR="008A593C">
        <w:rPr>
          <w:color w:val="000000"/>
        </w:rPr>
        <w:t xml:space="preserve"> </w:t>
      </w:r>
      <w:r w:rsidR="00E12051">
        <w:rPr>
          <w:color w:val="000000"/>
        </w:rPr>
        <w:t xml:space="preserve">and involve </w:t>
      </w:r>
      <w:r w:rsidR="008A593C">
        <w:rPr>
          <w:color w:val="000000"/>
        </w:rPr>
        <w:t xml:space="preserve">numerous opportunities to enter incorrect data.  Using a </w:t>
      </w:r>
      <w:r w:rsidR="008E295B">
        <w:rPr>
          <w:rFonts w:cs="Courier New"/>
        </w:rPr>
        <w:t xml:space="preserve">computer assisted </w:t>
      </w:r>
      <w:r w:rsidR="000A36AF">
        <w:rPr>
          <w:rFonts w:cs="Courier New"/>
        </w:rPr>
        <w:t xml:space="preserve">interviewing instrument </w:t>
      </w:r>
      <w:r w:rsidR="008A593C">
        <w:rPr>
          <w:color w:val="000000"/>
        </w:rPr>
        <w:t>of the NAMCS-1 will allow FR</w:t>
      </w:r>
      <w:r w:rsidR="00EF39AF">
        <w:rPr>
          <w:color w:val="000000"/>
        </w:rPr>
        <w:t>s</w:t>
      </w:r>
      <w:r w:rsidR="008A593C">
        <w:rPr>
          <w:color w:val="000000"/>
        </w:rPr>
        <w:t xml:space="preserve"> to skip unneeded questions, quickly populate write-in fields with drop-down menus, and eliminate the need for paper flash-cards that highlight item choices.  In the end, we expect the time a physician/provider spend</w:t>
      </w:r>
      <w:r w:rsidR="00D4106A">
        <w:rPr>
          <w:color w:val="000000"/>
        </w:rPr>
        <w:t>s</w:t>
      </w:r>
      <w:r w:rsidR="008A593C">
        <w:rPr>
          <w:color w:val="000000"/>
        </w:rPr>
        <w:t xml:space="preserve"> during the induction interview to </w:t>
      </w:r>
      <w:r w:rsidR="00D4106A">
        <w:rPr>
          <w:color w:val="000000"/>
        </w:rPr>
        <w:t xml:space="preserve">be </w:t>
      </w:r>
      <w:r w:rsidR="008A593C">
        <w:rPr>
          <w:color w:val="000000"/>
        </w:rPr>
        <w:t xml:space="preserve">significantly </w:t>
      </w:r>
      <w:r w:rsidR="000C74DF">
        <w:rPr>
          <w:color w:val="000000"/>
        </w:rPr>
        <w:t>reduced</w:t>
      </w:r>
      <w:r w:rsidR="008A593C">
        <w:rPr>
          <w:color w:val="000000"/>
        </w:rPr>
        <w:t xml:space="preserve">.  </w:t>
      </w:r>
      <w:r w:rsidR="0054674A">
        <w:rPr>
          <w:color w:val="000000"/>
        </w:rPr>
        <w:t xml:space="preserve">The burden </w:t>
      </w:r>
      <w:r w:rsidR="00E12051">
        <w:rPr>
          <w:color w:val="000000"/>
        </w:rPr>
        <w:t xml:space="preserve">associated with completing </w:t>
      </w:r>
      <w:r w:rsidR="008E295B">
        <w:rPr>
          <w:color w:val="000000"/>
        </w:rPr>
        <w:t>Patient Record forms (</w:t>
      </w:r>
      <w:r w:rsidR="0054674A">
        <w:rPr>
          <w:color w:val="000000"/>
        </w:rPr>
        <w:t>PRF</w:t>
      </w:r>
      <w:r w:rsidR="008A593C">
        <w:rPr>
          <w:color w:val="000000"/>
        </w:rPr>
        <w:t>s</w:t>
      </w:r>
      <w:r w:rsidR="008E295B">
        <w:rPr>
          <w:color w:val="000000"/>
        </w:rPr>
        <w:t>)</w:t>
      </w:r>
      <w:r w:rsidR="008A593C">
        <w:rPr>
          <w:color w:val="000000"/>
        </w:rPr>
        <w:t xml:space="preserve"> </w:t>
      </w:r>
      <w:r w:rsidR="00D4106A">
        <w:rPr>
          <w:color w:val="000000"/>
        </w:rPr>
        <w:t xml:space="preserve">for the physician/provider </w:t>
      </w:r>
      <w:r w:rsidR="0054674A">
        <w:rPr>
          <w:color w:val="000000"/>
        </w:rPr>
        <w:t xml:space="preserve">would not be </w:t>
      </w:r>
      <w:r w:rsidR="008A593C">
        <w:rPr>
          <w:color w:val="000000"/>
        </w:rPr>
        <w:t xml:space="preserve">significantly </w:t>
      </w:r>
      <w:r w:rsidR="0054674A">
        <w:rPr>
          <w:color w:val="000000"/>
        </w:rPr>
        <w:t>reduced</w:t>
      </w:r>
      <w:r w:rsidR="008A593C">
        <w:rPr>
          <w:color w:val="000000"/>
        </w:rPr>
        <w:t xml:space="preserve"> </w:t>
      </w:r>
      <w:r w:rsidR="00D4106A">
        <w:rPr>
          <w:color w:val="000000"/>
        </w:rPr>
        <w:t xml:space="preserve">because </w:t>
      </w:r>
      <w:r w:rsidR="000C74DF">
        <w:rPr>
          <w:color w:val="000000"/>
        </w:rPr>
        <w:t>he/she</w:t>
      </w:r>
      <w:r w:rsidR="00D4106A">
        <w:rPr>
          <w:color w:val="000000"/>
        </w:rPr>
        <w:t xml:space="preserve"> will still complete only the paper form.  </w:t>
      </w:r>
      <w:r w:rsidR="00182429">
        <w:rPr>
          <w:color w:val="000000"/>
        </w:rPr>
        <w:t xml:space="preserve">However, </w:t>
      </w:r>
      <w:r w:rsidR="00DB5F22">
        <w:rPr>
          <w:color w:val="000000"/>
        </w:rPr>
        <w:t>i</w:t>
      </w:r>
      <w:r w:rsidR="00DB5F22">
        <w:rPr>
          <w:rFonts w:cs="Courier New"/>
        </w:rPr>
        <w:t xml:space="preserve">t is anticipated that the </w:t>
      </w:r>
      <w:r w:rsidR="000C74DF">
        <w:rPr>
          <w:rFonts w:cs="Courier New"/>
        </w:rPr>
        <w:t xml:space="preserve">FRs </w:t>
      </w:r>
      <w:r w:rsidR="00DB5F22">
        <w:rPr>
          <w:rFonts w:cs="Courier New"/>
        </w:rPr>
        <w:t xml:space="preserve">use of a </w:t>
      </w:r>
      <w:r w:rsidR="000C74DF">
        <w:rPr>
          <w:rFonts w:cs="Courier New"/>
        </w:rPr>
        <w:t xml:space="preserve">computerized data entry system for PRF data </w:t>
      </w:r>
      <w:r w:rsidR="009875E8">
        <w:rPr>
          <w:rFonts w:cs="Courier New"/>
        </w:rPr>
        <w:t xml:space="preserve">would significantly </w:t>
      </w:r>
      <w:r w:rsidR="00DB5F22">
        <w:rPr>
          <w:rFonts w:cs="Courier New"/>
        </w:rPr>
        <w:t xml:space="preserve">simplify the data collection activities </w:t>
      </w:r>
      <w:r w:rsidR="009875E8">
        <w:rPr>
          <w:rFonts w:cs="Courier New"/>
        </w:rPr>
        <w:t xml:space="preserve">by </w:t>
      </w:r>
      <w:r w:rsidR="00DB5F22">
        <w:rPr>
          <w:rFonts w:cs="Courier New"/>
        </w:rPr>
        <w:t>reduc</w:t>
      </w:r>
      <w:r w:rsidR="009875E8">
        <w:rPr>
          <w:rFonts w:cs="Courier New"/>
        </w:rPr>
        <w:t xml:space="preserve">ing </w:t>
      </w:r>
      <w:r w:rsidR="00DB5F22">
        <w:rPr>
          <w:rFonts w:cs="Courier New"/>
        </w:rPr>
        <w:t xml:space="preserve">data entry errors and omissions, </w:t>
      </w:r>
      <w:r w:rsidR="00D4106A">
        <w:rPr>
          <w:rFonts w:cs="Courier New"/>
        </w:rPr>
        <w:t xml:space="preserve">as well as </w:t>
      </w:r>
      <w:r w:rsidR="009875E8">
        <w:rPr>
          <w:rFonts w:cs="Courier New"/>
        </w:rPr>
        <w:t xml:space="preserve">providing on-screen look-up tables for items such as reason for visit, diagnosis, and medications.  Overall, using </w:t>
      </w:r>
      <w:r w:rsidR="000C74DF">
        <w:rPr>
          <w:rFonts w:cs="Courier New"/>
        </w:rPr>
        <w:t>a computerized data entry system</w:t>
      </w:r>
      <w:r w:rsidR="009875E8">
        <w:rPr>
          <w:rFonts w:cs="Courier New"/>
        </w:rPr>
        <w:t xml:space="preserve"> should reduce FR and respondent burden</w:t>
      </w:r>
      <w:r w:rsidR="00D4106A">
        <w:rPr>
          <w:rFonts w:cs="Courier New"/>
        </w:rPr>
        <w:t>, and ultimately improve overall</w:t>
      </w:r>
      <w:r w:rsidR="009875E8">
        <w:rPr>
          <w:rFonts w:cs="Courier New"/>
        </w:rPr>
        <w:t xml:space="preserve"> </w:t>
      </w:r>
      <w:r w:rsidR="00DB5F22">
        <w:rPr>
          <w:rFonts w:cs="Courier New"/>
        </w:rPr>
        <w:t>data</w:t>
      </w:r>
      <w:r w:rsidR="009875E8">
        <w:rPr>
          <w:rFonts w:cs="Courier New"/>
        </w:rPr>
        <w:t xml:space="preserve"> </w:t>
      </w:r>
      <w:r w:rsidR="00DB5F22">
        <w:rPr>
          <w:rFonts w:cs="Courier New"/>
        </w:rPr>
        <w:t xml:space="preserve">quality.  </w:t>
      </w:r>
      <w:r w:rsidR="009875E8">
        <w:rPr>
          <w:rFonts w:cs="Courier New"/>
        </w:rPr>
        <w:t>In addition, collecting the data electronically will speed editing, transmission, and processing</w:t>
      </w:r>
      <w:r w:rsidR="000C74DF">
        <w:rPr>
          <w:rFonts w:cs="Courier New"/>
        </w:rPr>
        <w:t xml:space="preserve">, </w:t>
      </w:r>
      <w:r w:rsidR="009875E8">
        <w:rPr>
          <w:rFonts w:cs="Courier New"/>
        </w:rPr>
        <w:t xml:space="preserve">thereby making </w:t>
      </w:r>
      <w:r w:rsidR="000C74DF">
        <w:rPr>
          <w:rFonts w:cs="Courier New"/>
        </w:rPr>
        <w:t xml:space="preserve">release of the </w:t>
      </w:r>
      <w:r w:rsidR="009875E8">
        <w:rPr>
          <w:rFonts w:cs="Courier New"/>
        </w:rPr>
        <w:t xml:space="preserve">yearly statistics </w:t>
      </w:r>
      <w:r w:rsidR="000C74DF">
        <w:rPr>
          <w:rFonts w:cs="Courier New"/>
        </w:rPr>
        <w:t xml:space="preserve">more </w:t>
      </w:r>
      <w:r w:rsidR="009875E8">
        <w:rPr>
          <w:rFonts w:cs="Courier New"/>
        </w:rPr>
        <w:t>timely.</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color w:val="000000"/>
        </w:rPr>
      </w:pPr>
      <w:r>
        <w:rPr>
          <w:rFonts w:ascii="Times New Roman" w:hAnsi="Times New Roman"/>
          <w:bCs/>
          <w:color w:val="000000"/>
        </w:rPr>
        <w:t>There are no legal obstacles to reducing the burden.</w:t>
      </w:r>
    </w:p>
    <w:p w:rsidR="002A5F67" w:rsidRDefault="002A5F67"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4.  Efforts to Identify Duplication and Use of Similar Information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NCHS </w:t>
      </w:r>
      <w:proofErr w:type="gramStart"/>
      <w:r w:rsidR="00B66747">
        <w:rPr>
          <w:rFonts w:ascii="Times New Roman" w:hAnsi="Times New Roman"/>
          <w:color w:val="000000"/>
        </w:rPr>
        <w:t xml:space="preserve">staff </w:t>
      </w:r>
      <w:r>
        <w:rPr>
          <w:rFonts w:ascii="Times New Roman" w:hAnsi="Times New Roman"/>
          <w:color w:val="000000"/>
        </w:rPr>
        <w:t>have</w:t>
      </w:r>
      <w:proofErr w:type="gramEnd"/>
      <w:r>
        <w:rPr>
          <w:rFonts w:ascii="Times New Roman" w:hAnsi="Times New Roman"/>
          <w:color w:val="000000"/>
        </w:rPr>
        <w:t xml:space="preserve"> had extensive contacts </w:t>
      </w:r>
      <w:r w:rsidR="00B66747">
        <w:rPr>
          <w:rFonts w:ascii="Times New Roman" w:hAnsi="Times New Roman"/>
          <w:color w:val="000000"/>
        </w:rPr>
        <w:t xml:space="preserve">regarding survey items </w:t>
      </w:r>
      <w:r>
        <w:rPr>
          <w:rFonts w:ascii="Times New Roman" w:hAnsi="Times New Roman"/>
          <w:color w:val="000000"/>
        </w:rPr>
        <w:t xml:space="preserve">with organizations and individuals in both the private and public sectors who are familiar with physician utilization data, e.g., the American Medical Association.  Over the </w:t>
      </w:r>
      <w:r w:rsidR="007602A7">
        <w:rPr>
          <w:rFonts w:ascii="Times New Roman" w:hAnsi="Times New Roman"/>
          <w:color w:val="000000"/>
        </w:rPr>
        <w:t>4</w:t>
      </w:r>
      <w:r>
        <w:rPr>
          <w:rFonts w:ascii="Times New Roman" w:hAnsi="Times New Roman"/>
          <w:color w:val="000000"/>
        </w:rPr>
        <w:t>0 years since work on NAMCS began, three sources of similar data have been identified and are discussed below.</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National Health Interview Survey (NHIS. OMB No. 0920-0214) is a population-based survey in which information is obtained through household interviews.  In addition to the recall problems that may be associated with household respondents, respondents cannot provide the detailed medical information about diagnoses, diagnostic procedures, medications, or therapeutic procedures that are collected in NAMCS.</w:t>
      </w:r>
      <w:r w:rsidR="00B66747">
        <w:rPr>
          <w:rFonts w:ascii="Times New Roman" w:hAnsi="Times New Roman"/>
          <w:color w:val="000000"/>
        </w:rPr>
        <w:t xml:space="preserve">  </w:t>
      </w:r>
      <w:r>
        <w:rPr>
          <w:rFonts w:ascii="Times New Roman" w:hAnsi="Times New Roman"/>
          <w:color w:val="000000"/>
        </w:rPr>
        <w:t>NHIS can provide only counts of physician visits and general medical information.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Medical Expenditures Panel Survey (MEPS) (</w:t>
      </w:r>
      <w:r w:rsidR="00352FA3">
        <w:rPr>
          <w:rFonts w:ascii="Times New Roman" w:hAnsi="Times New Roman"/>
          <w:color w:val="000000"/>
        </w:rPr>
        <w:t>Agency for Healthcare Research and Quality</w:t>
      </w:r>
      <w:r>
        <w:rPr>
          <w:rFonts w:ascii="Times New Roman" w:hAnsi="Times New Roman"/>
          <w:color w:val="000000"/>
        </w:rPr>
        <w:t>, OMB No. 0937</w:t>
      </w:r>
      <w:r>
        <w:rPr>
          <w:rFonts w:ascii="Times New Roman" w:hAnsi="Times New Roman"/>
          <w:color w:val="000000"/>
        </w:rPr>
        <w:noBreakHyphen/>
        <w:t>0187) is a survey of households and their members' health care providers (including physicians in office</w:t>
      </w:r>
      <w:r>
        <w:rPr>
          <w:rFonts w:ascii="Times New Roman" w:hAnsi="Times New Roman"/>
          <w:color w:val="000000"/>
        </w:rPr>
        <w:noBreakHyphen/>
        <w:t xml:space="preserve">based practice), health insurance companies, and employers.  As with NHIS, household respondents cannot supply detailed medical information.  The medical information collected from physician respondents does not include detailed data on specific diagnostic services, medications, and other therapeutic services.  Both NHIS and MEPS also experience an unknown degree of reporting bias since it is likely that respondents may be reluctant to report medical contacts for sensitive problems, such as psychiatric disorders and sexually transmitted diseases.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IMS America, Inc., a private organization, conducts a study titled the National Disease and Therapeutic Index (NDTI) that produces data somewhat similar to those collected in NAMCS.  These data are focused on the drug prescribing habits of physicians, and results are sold to drug companies for drug marketing purposes.  The data collected are limited to only drug data and the corresponding patient’s age, sex, and diagnosis</w:t>
      </w:r>
      <w:r w:rsidR="00A267CA">
        <w:rPr>
          <w:rFonts w:ascii="Times New Roman" w:hAnsi="Times New Roman"/>
          <w:color w:val="000000"/>
        </w:rPr>
        <w:t>,</w:t>
      </w:r>
      <w:r>
        <w:rPr>
          <w:rFonts w:ascii="Times New Roman" w:hAnsi="Times New Roman"/>
          <w:color w:val="000000"/>
        </w:rPr>
        <w:t xml:space="preserve"> whereas NAMCS collects information on expected source of payment, reasons for visit, and other diagnostic and therapeutic services.  Although </w:t>
      </w:r>
      <w:r w:rsidR="002D6376">
        <w:rPr>
          <w:rFonts w:ascii="Times New Roman" w:hAnsi="Times New Roman"/>
          <w:color w:val="000000"/>
        </w:rPr>
        <w:t xml:space="preserve">the NDTI </w:t>
      </w:r>
      <w:r>
        <w:rPr>
          <w:rFonts w:ascii="Times New Roman" w:hAnsi="Times New Roman"/>
          <w:color w:val="000000"/>
        </w:rPr>
        <w:t>data are available for purchase by the government, the cost is prohibitive for most agencies.  The data also have limitations that preclude their use for many purposes:  data on response rates are proprietary and may be under 50 percent, and the survey and sampling procedures are of unknown validity.  Efforts to obtain such information from IMS America have been unsuccessful.</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These information sources are not adequate for needs such as those described in </w:t>
      </w:r>
      <w:r w:rsidRPr="00F26635">
        <w:rPr>
          <w:rFonts w:ascii="Times New Roman" w:hAnsi="Times New Roman"/>
          <w:color w:val="000000"/>
        </w:rPr>
        <w:t>A.2</w:t>
      </w:r>
      <w:r>
        <w:rPr>
          <w:rFonts w:ascii="Times New Roman" w:hAnsi="Times New Roman"/>
          <w:color w:val="000000"/>
        </w:rPr>
        <w:t xml:space="preserve"> above.  NAMCS allows for greater emphasis on analysis o</w:t>
      </w:r>
      <w:r w:rsidR="002D6376">
        <w:rPr>
          <w:rFonts w:ascii="Times New Roman" w:hAnsi="Times New Roman"/>
          <w:color w:val="000000"/>
        </w:rPr>
        <w:t>f</w:t>
      </w:r>
      <w:r>
        <w:rPr>
          <w:rFonts w:ascii="Times New Roman" w:hAnsi="Times New Roman"/>
          <w:color w:val="000000"/>
        </w:rPr>
        <w:t xml:space="preserve"> the provision of effective health services, adoption of electronic medical technology, determination of health care workforce requirements, and improvement of medical education. Furthermore, the depth of data collected in NAMCS about ambulatory patients allows for rich analysis regarding the principal reason for </w:t>
      </w:r>
      <w:r w:rsidR="0020013C">
        <w:rPr>
          <w:rFonts w:ascii="Times New Roman" w:hAnsi="Times New Roman"/>
          <w:color w:val="000000"/>
        </w:rPr>
        <w:t>patients’</w:t>
      </w:r>
      <w:r w:rsidR="00A267CA">
        <w:rPr>
          <w:rFonts w:ascii="Times New Roman" w:hAnsi="Times New Roman"/>
          <w:color w:val="000000"/>
        </w:rPr>
        <w:t xml:space="preserve"> </w:t>
      </w:r>
      <w:r>
        <w:rPr>
          <w:rFonts w:ascii="Times New Roman" w:hAnsi="Times New Roman"/>
          <w:color w:val="000000"/>
        </w:rPr>
        <w:t>visits and the resources used in the provision of their medical care.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129FC" w:rsidRDefault="00A129FC">
      <w:r w:rsidRPr="00255B6D">
        <w:t xml:space="preserve">Although general information is known about </w:t>
      </w:r>
      <w:r w:rsidR="00D33563">
        <w:t>community health centers (</w:t>
      </w:r>
      <w:r>
        <w:t>CHCs</w:t>
      </w:r>
      <w:r w:rsidR="00D33563">
        <w:t>)</w:t>
      </w:r>
      <w:r w:rsidRPr="00255B6D">
        <w:t xml:space="preserve"> through</w:t>
      </w:r>
      <w:r>
        <w:t xml:space="preserve"> the Uniform Data System (</w:t>
      </w:r>
      <w:r w:rsidRPr="00255B6D">
        <w:t>a mandatory reporting system of characteristics submitted to the Bureau of Primary Health</w:t>
      </w:r>
      <w:r>
        <w:t xml:space="preserve"> Care at the Health Resources and Services Administration (HRSA)), the continuation of a CHC sample in NAMCS will provide details of the patient/physician encounter not collected elsewhere.  Only federally qualified health centers that are funded under Section 330 of the Public Health Service Act are required to submit information to HRSA.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Advice from consultants, attendance at relevant meetings, and literature reviews have been used to identify other sources that collect practice characteristics similar to those collected by NAMCS; however, there has been no other source found that would be able to provide national estimates.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bookmarkStart w:id="2" w:name="OLE_LINK3"/>
      <w:r>
        <w:rPr>
          <w:rFonts w:ascii="Times New Roman" w:hAnsi="Times New Roman"/>
          <w:b/>
          <w:bCs/>
          <w:color w:val="000000"/>
        </w:rPr>
        <w:t>5.  Impact on Small Businesses or Other Small Entities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color w:val="000000"/>
        </w:rPr>
        <w:t>Many NAMCS respondents are physicians in solo practices.  In order to reduce respondent burden for these and all respondents, several data collection methods are used.  These methods are designed to be flexible to meet the varied reporting and record keeping situations found in physician offices and community health centers (CHCs).  A sample of patient visits is collected within practices and CHCs to minimize data collection workload.  The data reported on each patient visit is limited to data already obtained by the physician for the patient’s medical record and is further limited to a minimum number of items which adequately describe the utilization o</w:t>
      </w:r>
      <w:r w:rsidR="008317F0">
        <w:rPr>
          <w:rFonts w:ascii="Times New Roman" w:hAnsi="Times New Roman"/>
          <w:color w:val="000000"/>
        </w:rPr>
        <w:t xml:space="preserve">f ambulatory medical care.  </w:t>
      </w:r>
      <w:r>
        <w:rPr>
          <w:rFonts w:ascii="Times New Roman" w:hAnsi="Times New Roman"/>
          <w:color w:val="000000"/>
        </w:rPr>
        <w:t xml:space="preserve">In addition, the impact of NAMCS on office-based physicians </w:t>
      </w:r>
      <w:r>
        <w:rPr>
          <w:rFonts w:ascii="Times New Roman" w:hAnsi="Times New Roman"/>
        </w:rPr>
        <w:t xml:space="preserve">is further reduced by (1) design procedures that limit participation to once every three years, and (2) for all providers, requirements that ask for the collection of forms for a designated one-week period.  Because of limitations in </w:t>
      </w:r>
      <w:r w:rsidR="00302D43">
        <w:rPr>
          <w:rFonts w:ascii="Times New Roman" w:hAnsi="Times New Roman"/>
        </w:rPr>
        <w:t xml:space="preserve">population </w:t>
      </w:r>
      <w:r>
        <w:rPr>
          <w:rFonts w:ascii="Times New Roman" w:hAnsi="Times New Roman"/>
        </w:rPr>
        <w:t>size, a small number of CHCs may be included in the survey for successive years.  Census field representatives (FRs) monitor reporting, and assist physicians/providers and their staff</w:t>
      </w:r>
      <w:r w:rsidR="00F8343A">
        <w:rPr>
          <w:rFonts w:ascii="Times New Roman" w:hAnsi="Times New Roman"/>
        </w:rPr>
        <w:t>s</w:t>
      </w:r>
      <w:r>
        <w:rPr>
          <w:rFonts w:ascii="Times New Roman" w:hAnsi="Times New Roman"/>
        </w:rPr>
        <w:t xml:space="preserve"> in data collection to the extent possible.  </w:t>
      </w:r>
    </w:p>
    <w:p w:rsidR="00594A98" w:rsidRDefault="00594A9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6.  Consequences of Collecting the Information Less Frequently</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The rapidly changing environment of ambulatory care delivery makes it important to have annual data for decision making, describing the public’s use of physician services, monitoring the effects of change, and planning possible changes in payment policies.  This information has become even more crucial with the need to track the effects of the health care industry’s </w:t>
      </w:r>
      <w:r w:rsidR="00D63D3D">
        <w:rPr>
          <w:rFonts w:ascii="Times New Roman" w:hAnsi="Times New Roman"/>
          <w:color w:val="000000"/>
        </w:rPr>
        <w:t>changing arrangements for delivering care,</w:t>
      </w:r>
      <w:r>
        <w:rPr>
          <w:rFonts w:ascii="Times New Roman" w:hAnsi="Times New Roman"/>
          <w:color w:val="000000"/>
        </w:rPr>
        <w:t xml:space="preserve"> by having continuous data collection before, during, and after the restructuring.  To increase reliability, data from NAMCS are often analyzed by combining data across years, and less frequent collection would limit the study of rare visit characteristics.  The current design asks a sampled physician/provider to participate for a 1-week period no more than once every 3 years, and only a small proportion of all physicians/providers are included in the survey each year.  There are no legal obstacles to reduce the burden.</w:t>
      </w:r>
    </w:p>
    <w:bookmarkEnd w:id="2"/>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7.  Special Circumstances Relating to the Guidelines of 5 CFR 1320.5</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9B4472" w:rsidRDefault="009B4472" w:rsidP="00FC5D67">
      <w:pPr>
        <w:widowControl w:val="0"/>
        <w:autoSpaceDE w:val="0"/>
        <w:autoSpaceDN w:val="0"/>
        <w:adjustRightInd w:val="0"/>
        <w:spacing w:line="360" w:lineRule="auto"/>
        <w:ind w:left="720" w:hanging="720"/>
        <w:outlineLvl w:val="0"/>
      </w:pPr>
      <w:r>
        <w:t>This request fully complies with the regulation 5 CFR 1320.5.</w:t>
      </w:r>
    </w:p>
    <w:p w:rsidR="009B4472" w:rsidRDefault="009B44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8.  Comments in Response to the Federal Register Notice and Efforts to Consult Outside the Agency</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A. Federal Register Notice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970A28"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This project fully complies with all guidelines of 5 CFR 1320.8(d).  </w:t>
      </w:r>
      <w:r w:rsidRPr="009E4AB6">
        <w:rPr>
          <w:rFonts w:ascii="Times New Roman" w:hAnsi="Times New Roman"/>
          <w:color w:val="000000"/>
        </w:rPr>
        <w:t>The 20</w:t>
      </w:r>
      <w:r w:rsidR="001974F8">
        <w:rPr>
          <w:rFonts w:ascii="Times New Roman" w:hAnsi="Times New Roman"/>
          <w:color w:val="000000"/>
        </w:rPr>
        <w:t>11</w:t>
      </w:r>
      <w:r w:rsidRPr="009E4AB6">
        <w:rPr>
          <w:rFonts w:ascii="Times New Roman" w:hAnsi="Times New Roman"/>
          <w:color w:val="000000"/>
        </w:rPr>
        <w:noBreakHyphen/>
        <w:t>201</w:t>
      </w:r>
      <w:r w:rsidR="001974F8">
        <w:rPr>
          <w:rFonts w:ascii="Times New Roman" w:hAnsi="Times New Roman"/>
          <w:color w:val="000000"/>
        </w:rPr>
        <w:t>3</w:t>
      </w:r>
      <w:r w:rsidRPr="009E4AB6">
        <w:rPr>
          <w:rFonts w:ascii="Times New Roman" w:hAnsi="Times New Roman"/>
          <w:color w:val="000000"/>
        </w:rPr>
        <w:t xml:space="preserve"> NAMCS was published for public comment in the Federal Register </w:t>
      </w:r>
      <w:r w:rsidR="00930D08">
        <w:rPr>
          <w:rFonts w:ascii="Times New Roman" w:hAnsi="Times New Roman"/>
          <w:color w:val="000000"/>
        </w:rPr>
        <w:t xml:space="preserve">July 13, </w:t>
      </w:r>
      <w:r w:rsidRPr="00930D08">
        <w:rPr>
          <w:rFonts w:ascii="Times New Roman" w:hAnsi="Times New Roman"/>
          <w:color w:val="000000"/>
        </w:rPr>
        <w:t>20</w:t>
      </w:r>
      <w:r w:rsidR="00930D08">
        <w:rPr>
          <w:rFonts w:ascii="Times New Roman" w:hAnsi="Times New Roman"/>
          <w:color w:val="000000"/>
        </w:rPr>
        <w:t>10</w:t>
      </w:r>
      <w:r w:rsidRPr="009E4AB6">
        <w:rPr>
          <w:rFonts w:ascii="Times New Roman" w:hAnsi="Times New Roman"/>
          <w:color w:val="000000"/>
        </w:rPr>
        <w:t xml:space="preserve">, </w:t>
      </w:r>
      <w:r w:rsidRPr="00930D08">
        <w:rPr>
          <w:rFonts w:ascii="Times New Roman" w:hAnsi="Times New Roman"/>
          <w:color w:val="000000"/>
        </w:rPr>
        <w:t>Vol.</w:t>
      </w:r>
      <w:r w:rsidRPr="001974F8">
        <w:rPr>
          <w:rFonts w:ascii="Times New Roman" w:hAnsi="Times New Roman"/>
          <w:color w:val="000000"/>
          <w:highlight w:val="yellow"/>
        </w:rPr>
        <w:t xml:space="preserve"> </w:t>
      </w:r>
      <w:r w:rsidRPr="00930D08">
        <w:rPr>
          <w:rFonts w:ascii="Times New Roman" w:hAnsi="Times New Roman"/>
          <w:color w:val="000000"/>
        </w:rPr>
        <w:t>7</w:t>
      </w:r>
      <w:r w:rsidR="00930D08" w:rsidRPr="00930D08">
        <w:rPr>
          <w:rFonts w:ascii="Times New Roman" w:hAnsi="Times New Roman"/>
          <w:color w:val="000000"/>
        </w:rPr>
        <w:t>5</w:t>
      </w:r>
      <w:r w:rsidRPr="00930D08">
        <w:rPr>
          <w:rFonts w:ascii="Times New Roman" w:hAnsi="Times New Roman"/>
          <w:color w:val="000000"/>
        </w:rPr>
        <w:t>, No. 1</w:t>
      </w:r>
      <w:r w:rsidR="00930D08" w:rsidRPr="00930D08">
        <w:rPr>
          <w:rFonts w:ascii="Times New Roman" w:hAnsi="Times New Roman"/>
          <w:color w:val="000000"/>
        </w:rPr>
        <w:t>33</w:t>
      </w:r>
      <w:r w:rsidRPr="00930D08">
        <w:rPr>
          <w:rFonts w:ascii="Times New Roman" w:hAnsi="Times New Roman"/>
          <w:color w:val="000000"/>
        </w:rPr>
        <w:t>,</w:t>
      </w:r>
      <w:r w:rsidRPr="009E4AB6">
        <w:rPr>
          <w:rFonts w:ascii="Times New Roman" w:hAnsi="Times New Roman"/>
          <w:color w:val="000000"/>
        </w:rPr>
        <w:t xml:space="preserve"> pages </w:t>
      </w:r>
      <w:r w:rsidR="00930D08">
        <w:rPr>
          <w:rFonts w:ascii="Times New Roman" w:hAnsi="Times New Roman"/>
          <w:color w:val="000000"/>
        </w:rPr>
        <w:t>39947</w:t>
      </w:r>
      <w:r w:rsidRPr="00930D08">
        <w:rPr>
          <w:rFonts w:ascii="Times New Roman" w:hAnsi="Times New Roman"/>
          <w:color w:val="000000"/>
        </w:rPr>
        <w:noBreakHyphen/>
      </w:r>
      <w:r w:rsidR="00930D08" w:rsidRPr="00930D08">
        <w:rPr>
          <w:rFonts w:ascii="Times New Roman" w:hAnsi="Times New Roman"/>
          <w:color w:val="000000"/>
        </w:rPr>
        <w:t>3</w:t>
      </w:r>
      <w:r w:rsidR="00930D08">
        <w:rPr>
          <w:rFonts w:ascii="Times New Roman" w:hAnsi="Times New Roman"/>
          <w:color w:val="000000"/>
        </w:rPr>
        <w:t>9948</w:t>
      </w:r>
      <w:r w:rsidRPr="009E4AB6">
        <w:rPr>
          <w:rFonts w:ascii="Times New Roman" w:hAnsi="Times New Roman"/>
          <w:b/>
          <w:color w:val="000000"/>
        </w:rPr>
        <w:t xml:space="preserve"> </w:t>
      </w:r>
      <w:r w:rsidRPr="009E4AB6">
        <w:rPr>
          <w:rFonts w:ascii="Times New Roman" w:hAnsi="Times New Roman"/>
          <w:color w:val="000000"/>
        </w:rPr>
        <w:t>(</w:t>
      </w:r>
      <w:r w:rsidRPr="000D7797">
        <w:rPr>
          <w:rFonts w:ascii="Times New Roman" w:hAnsi="Times New Roman"/>
          <w:b/>
          <w:color w:val="000000"/>
        </w:rPr>
        <w:t xml:space="preserve">Attachment </w:t>
      </w:r>
      <w:r w:rsidR="004E037F" w:rsidRPr="000D7797">
        <w:rPr>
          <w:rFonts w:ascii="Times New Roman" w:hAnsi="Times New Roman"/>
          <w:b/>
          <w:color w:val="000000"/>
        </w:rPr>
        <w:t>I</w:t>
      </w:r>
      <w:r w:rsidRPr="009E4AB6">
        <w:rPr>
          <w:rFonts w:ascii="Times New Roman" w:hAnsi="Times New Roman"/>
          <w:color w:val="000000"/>
        </w:rPr>
        <w:t xml:space="preserve">).  </w:t>
      </w:r>
    </w:p>
    <w:p w:rsidR="00970A28" w:rsidRDefault="00970A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70956" w:rsidRDefault="0098492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Four </w:t>
      </w:r>
      <w:r w:rsidR="006C1EC5" w:rsidRPr="009E4AB6">
        <w:rPr>
          <w:rFonts w:ascii="Times New Roman" w:hAnsi="Times New Roman"/>
          <w:color w:val="000000"/>
        </w:rPr>
        <w:t>public comments were received in response to the notice</w:t>
      </w:r>
      <w:r w:rsidR="00670956">
        <w:rPr>
          <w:rFonts w:ascii="Times New Roman" w:hAnsi="Times New Roman"/>
          <w:color w:val="000000"/>
        </w:rPr>
        <w:t xml:space="preserve"> and</w:t>
      </w:r>
      <w:r w:rsidR="00D547CE">
        <w:rPr>
          <w:rFonts w:ascii="Times New Roman" w:hAnsi="Times New Roman"/>
          <w:color w:val="000000"/>
        </w:rPr>
        <w:t xml:space="preserve"> shown </w:t>
      </w:r>
      <w:r w:rsidR="00670956">
        <w:rPr>
          <w:rFonts w:ascii="Times New Roman" w:hAnsi="Times New Roman"/>
          <w:color w:val="000000"/>
        </w:rPr>
        <w:t xml:space="preserve">in </w:t>
      </w:r>
      <w:r w:rsidR="00970A28" w:rsidRPr="00970A28">
        <w:rPr>
          <w:rFonts w:ascii="Times New Roman" w:hAnsi="Times New Roman"/>
          <w:b/>
          <w:color w:val="000000"/>
        </w:rPr>
        <w:t>Attachment U</w:t>
      </w:r>
      <w:r w:rsidR="00970A28">
        <w:rPr>
          <w:rFonts w:ascii="Times New Roman" w:hAnsi="Times New Roman"/>
          <w:color w:val="000000"/>
        </w:rPr>
        <w:t xml:space="preserve">.  </w:t>
      </w:r>
      <w:r w:rsidR="00670956">
        <w:rPr>
          <w:rFonts w:ascii="Times New Roman" w:hAnsi="Times New Roman"/>
          <w:color w:val="000000"/>
        </w:rPr>
        <w:t>The following CDC response</w:t>
      </w:r>
      <w:r w:rsidR="00D13457">
        <w:rPr>
          <w:rFonts w:ascii="Times New Roman" w:hAnsi="Times New Roman"/>
          <w:color w:val="000000"/>
        </w:rPr>
        <w:t xml:space="preserve">, plus additional documents when needed, </w:t>
      </w:r>
      <w:r w:rsidR="00670956">
        <w:rPr>
          <w:rFonts w:ascii="Times New Roman" w:hAnsi="Times New Roman"/>
          <w:color w:val="000000"/>
        </w:rPr>
        <w:t xml:space="preserve">was forwarded to each of the </w:t>
      </w:r>
      <w:r w:rsidR="001D393F">
        <w:rPr>
          <w:rFonts w:ascii="Times New Roman" w:hAnsi="Times New Roman"/>
          <w:color w:val="000000"/>
        </w:rPr>
        <w:t>four</w:t>
      </w:r>
      <w:r w:rsidR="00670956">
        <w:rPr>
          <w:rFonts w:ascii="Times New Roman" w:hAnsi="Times New Roman"/>
          <w:color w:val="000000"/>
        </w:rPr>
        <w:t xml:space="preserve"> individuals providing comments:</w:t>
      </w:r>
    </w:p>
    <w:p w:rsidR="00670956" w:rsidRDefault="0067095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70956" w:rsidRPr="00670956" w:rsidRDefault="00670956" w:rsidP="00670956">
      <w:pPr>
        <w:pStyle w:val="HTMLPreformatted"/>
        <w:tabs>
          <w:tab w:val="clear" w:pos="916"/>
          <w:tab w:val="left" w:pos="720"/>
        </w:tabs>
        <w:ind w:left="720" w:right="1530"/>
        <w:jc w:val="both"/>
        <w:rPr>
          <w:rFonts w:ascii="Times New Roman" w:hAnsi="Times New Roman" w:cs="Times New Roman"/>
          <w:sz w:val="24"/>
          <w:szCs w:val="24"/>
        </w:rPr>
      </w:pPr>
      <w:r w:rsidRPr="00670956">
        <w:rPr>
          <w:rFonts w:ascii="Times New Roman" w:hAnsi="Times New Roman" w:cs="Times New Roman"/>
          <w:sz w:val="24"/>
          <w:szCs w:val="24"/>
        </w:rPr>
        <w:t xml:space="preserve">Thank you for your comments concerning the CDC 60 Day Federal Register Notice for OMB No. 60-Day 10-0237, National Health and Nutrition Examination Survey. We have given the concerns you described careful consideration. For further information regarding the unique mission of CDC, please refer to our website at </w:t>
      </w:r>
      <w:hyperlink r:id="rId9" w:history="1">
        <w:r w:rsidRPr="00670956">
          <w:rPr>
            <w:rStyle w:val="Hyperlink"/>
            <w:rFonts w:ascii="Times New Roman" w:hAnsi="Times New Roman" w:cs="Times New Roman"/>
            <w:sz w:val="24"/>
            <w:szCs w:val="24"/>
          </w:rPr>
          <w:t>www.cdc.gov</w:t>
        </w:r>
      </w:hyperlink>
      <w:r w:rsidRPr="00670956">
        <w:rPr>
          <w:rFonts w:ascii="Times New Roman" w:hAnsi="Times New Roman" w:cs="Times New Roman"/>
          <w:sz w:val="24"/>
          <w:szCs w:val="24"/>
        </w:rPr>
        <w:t xml:space="preserve">. </w:t>
      </w:r>
    </w:p>
    <w:p w:rsidR="00670956" w:rsidRDefault="0067095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B. Efforts to Consult Outside the Agency</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3" w:name="OLE_LINK1"/>
      <w:bookmarkStart w:id="4" w:name="OLE_LINK2"/>
      <w:r>
        <w:rPr>
          <w:rFonts w:ascii="Times New Roman" w:hAnsi="Times New Roman"/>
          <w:color w:val="000000"/>
        </w:rPr>
        <w:t>The core</w:t>
      </w:r>
      <w:r w:rsidR="00171D41">
        <w:rPr>
          <w:rFonts w:ascii="Times New Roman" w:hAnsi="Times New Roman"/>
          <w:color w:val="000000"/>
        </w:rPr>
        <w:t>/CHC</w:t>
      </w:r>
      <w:r>
        <w:rPr>
          <w:rFonts w:ascii="Times New Roman" w:hAnsi="Times New Roman"/>
          <w:color w:val="000000"/>
        </w:rPr>
        <w:t xml:space="preserve"> NAMCS has not changed appreciably from the design and data collection summarized in the last 20</w:t>
      </w:r>
      <w:r w:rsidR="00522BA6">
        <w:rPr>
          <w:rFonts w:ascii="Times New Roman" w:hAnsi="Times New Roman"/>
          <w:color w:val="000000"/>
        </w:rPr>
        <w:t>10</w:t>
      </w:r>
      <w:r>
        <w:rPr>
          <w:rFonts w:ascii="Times New Roman" w:hAnsi="Times New Roman"/>
          <w:color w:val="000000"/>
        </w:rPr>
        <w:t>-20</w:t>
      </w:r>
      <w:r w:rsidR="001974F8">
        <w:rPr>
          <w:rFonts w:ascii="Times New Roman" w:hAnsi="Times New Roman"/>
          <w:color w:val="000000"/>
        </w:rPr>
        <w:t>12</w:t>
      </w:r>
      <w:r>
        <w:rPr>
          <w:rFonts w:ascii="Times New Roman" w:hAnsi="Times New Roman"/>
          <w:color w:val="000000"/>
        </w:rPr>
        <w:t xml:space="preserve"> OMB package</w:t>
      </w:r>
      <w:r w:rsidR="00B8284D">
        <w:rPr>
          <w:rFonts w:ascii="Times New Roman" w:hAnsi="Times New Roman"/>
          <w:color w:val="000000"/>
        </w:rPr>
        <w:t>.  T</w:t>
      </w:r>
      <w:r>
        <w:rPr>
          <w:rFonts w:ascii="Times New Roman" w:hAnsi="Times New Roman"/>
          <w:color w:val="000000"/>
        </w:rPr>
        <w:t>he following consultants both within and outside CDC were instrumental at that point. The Office of the Assistant Secretary for Planning and Evaluation (OASPE) was consulted along with other government agencies, such as the Food and Drug Administration, National Institutes of Health, and Centers for Medicare and Medicaid Services.  In addition, representatives from the American Medical Association and other major national medical organizations as well as private and public health services researchers w</w:t>
      </w:r>
      <w:r w:rsidR="00891CBB">
        <w:rPr>
          <w:rFonts w:ascii="Times New Roman" w:hAnsi="Times New Roman"/>
          <w:color w:val="000000"/>
        </w:rPr>
        <w:t xml:space="preserve">ere contacted for their input.  We are currently collaborating with Census </w:t>
      </w:r>
      <w:r w:rsidR="0054309A">
        <w:rPr>
          <w:rFonts w:ascii="Times New Roman" w:hAnsi="Times New Roman"/>
          <w:color w:val="000000"/>
        </w:rPr>
        <w:t xml:space="preserve">about </w:t>
      </w:r>
      <w:r w:rsidR="00891CBB">
        <w:rPr>
          <w:rFonts w:ascii="Times New Roman" w:hAnsi="Times New Roman"/>
          <w:color w:val="000000"/>
        </w:rPr>
        <w:t xml:space="preserve">the implementation of </w:t>
      </w:r>
      <w:r w:rsidR="00B8284D">
        <w:rPr>
          <w:rFonts w:ascii="Times New Roman" w:hAnsi="Times New Roman"/>
          <w:color w:val="000000"/>
        </w:rPr>
        <w:t>computerized data collection</w:t>
      </w:r>
      <w:r w:rsidR="00891CBB">
        <w:rPr>
          <w:rFonts w:ascii="Times New Roman" w:hAnsi="Times New Roman"/>
          <w:color w:val="000000"/>
        </w:rPr>
        <w:t>.</w:t>
      </w:r>
    </w:p>
    <w:p w:rsidR="0054309A" w:rsidRDefault="005430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In the summer of 2005, experts from Batelle and the University of California-San Francisco were consulted to review the CCSS questionnaire and provide recommendations concerning items to add, delete, or modify on the supplement. Also during this time, considerable consultation was solicited prior to the introduction of the CHC sampling strata.  First, The National Association of Community Health Centers (NACHC) worked closely with NCHS in reviewing and providing comments on all the CHC forms and procedures.  A meeting was held with individuals identified as having an interest in data collection from CHCs.  A total of 15 people attended whose affiliation ranged from the federal government (NCHS, HRSA</w:t>
      </w:r>
      <w:r w:rsidR="00B8284D">
        <w:rPr>
          <w:rFonts w:ascii="Times New Roman" w:hAnsi="Times New Roman"/>
          <w:color w:val="000000"/>
        </w:rPr>
        <w:t>,</w:t>
      </w:r>
      <w:r>
        <w:rPr>
          <w:rFonts w:ascii="Times New Roman" w:hAnsi="Times New Roman"/>
          <w:color w:val="000000"/>
        </w:rPr>
        <w:t xml:space="preserve"> and the Census Bureau) to professional association (NACHC) to academia (The Johns Hopkins Bloomberg School of Public Health).  During this meeting, NCHS presented the methodological plan as well as the survey instrument for comment and discussion.  Based on comments received during this meeting and those afterwards, changes were made to the CHC survey instruments.  Finally, NCHS met with representatives from the Indian Health Service (IHS) to present our plan for including Indian Federally Qualified Health Centers in the CHC sample.  During this meeting, NCHS explained our methodological plan and provided all forms for comment.  The IHS commented on the forms and agreed to provide the</w:t>
      </w:r>
      <w:r w:rsidR="00BD5F02">
        <w:rPr>
          <w:rFonts w:ascii="Times New Roman" w:hAnsi="Times New Roman"/>
          <w:color w:val="000000"/>
        </w:rPr>
        <w:t>ir</w:t>
      </w:r>
      <w:r>
        <w:rPr>
          <w:rFonts w:ascii="Times New Roman" w:hAnsi="Times New Roman"/>
          <w:color w:val="000000"/>
        </w:rPr>
        <w:t xml:space="preserve"> list of health centers locations.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additional NCHS sample of office-based physicians for the EMR/EHR mail survey was funded by the </w:t>
      </w:r>
      <w:r>
        <w:t>Office of the National Coordinator for Health Information Technology (ONC), DHHS.</w:t>
      </w:r>
      <w:r>
        <w:rPr>
          <w:color w:val="000000"/>
        </w:rPr>
        <w:t xml:space="preserve"> Both ONC and </w:t>
      </w:r>
      <w:r w:rsidR="004848BD">
        <w:rPr>
          <w:color w:val="000000"/>
        </w:rPr>
        <w:t xml:space="preserve">NCHS </w:t>
      </w:r>
      <w:r>
        <w:rPr>
          <w:color w:val="000000"/>
        </w:rPr>
        <w:t xml:space="preserve">have worked closely on the development of the EMR/EHR questions currently used in the core NAMCS and the mail survey. Consultation has also taken place with experts from the Robert Wood Johnson Foundation, </w:t>
      </w:r>
      <w:smartTag w:uri="urn:schemas-microsoft-com:office:smarttags" w:element="place">
        <w:smartTag w:uri="urn:schemas-microsoft-com:office:smarttags" w:element="State">
          <w:r>
            <w:rPr>
              <w:color w:val="000000"/>
            </w:rPr>
            <w:t>Massachusetts</w:t>
          </w:r>
        </w:smartTag>
      </w:smartTag>
      <w:r>
        <w:rPr>
          <w:color w:val="000000"/>
        </w:rPr>
        <w:t xml:space="preserve"> General Hospital, and The George Washington University.</w:t>
      </w:r>
    </w:p>
    <w:p w:rsidR="00206313" w:rsidRDefault="002063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06313" w:rsidRPr="00B17A56" w:rsidRDefault="00206313" w:rsidP="002063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The new physician workflow study continued earlier collaborations with the Office of the National Coordinator for Health Information Technology, and a panel of health information technology experts were consulted in development of the physician workflow surveys (</w:t>
      </w:r>
      <w:r w:rsidRPr="00172040">
        <w:rPr>
          <w:rFonts w:ascii="Times New Roman" w:hAnsi="Times New Roman"/>
          <w:b/>
          <w:bCs/>
          <w:color w:val="000000"/>
        </w:rPr>
        <w:t xml:space="preserve">Attachment </w:t>
      </w:r>
      <w:r w:rsidR="00172040">
        <w:rPr>
          <w:rFonts w:ascii="Times New Roman" w:hAnsi="Times New Roman"/>
          <w:b/>
          <w:bCs/>
          <w:color w:val="000000"/>
        </w:rPr>
        <w:t>E</w:t>
      </w:r>
      <w:r w:rsidRPr="004E037F">
        <w:rPr>
          <w:rFonts w:ascii="Times New Roman" w:hAnsi="Times New Roman"/>
          <w:bCs/>
          <w:color w:val="000000"/>
        </w:rPr>
        <w:t>)</w:t>
      </w:r>
      <w:r>
        <w:rPr>
          <w:rFonts w:ascii="Times New Roman" w:hAnsi="Times New Roman"/>
          <w:bCs/>
          <w:color w:val="000000"/>
        </w:rPr>
        <w:t xml:space="preserve"> </w:t>
      </w:r>
    </w:p>
    <w:p w:rsidR="006C1EC5" w:rsidRDefault="006C1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NCHS will continue to work closely with these individuals and agencies as the need for consultation arises.  There are no outstanding unresolved issues.  A list containing the names of the consultants is provided in </w:t>
      </w:r>
      <w:r w:rsidRPr="00864FC7">
        <w:rPr>
          <w:rFonts w:ascii="Times New Roman" w:hAnsi="Times New Roman"/>
          <w:b/>
          <w:color w:val="000000"/>
        </w:rPr>
        <w:t>Attachment</w:t>
      </w:r>
      <w:r w:rsidR="00B9684F" w:rsidRPr="00864FC7">
        <w:rPr>
          <w:rFonts w:ascii="Times New Roman" w:hAnsi="Times New Roman"/>
          <w:b/>
          <w:color w:val="000000"/>
        </w:rPr>
        <w:t xml:space="preserve"> </w:t>
      </w:r>
      <w:r w:rsidR="00762134" w:rsidRPr="00864FC7">
        <w:rPr>
          <w:rFonts w:ascii="Times New Roman" w:hAnsi="Times New Roman"/>
          <w:b/>
          <w:color w:val="000000"/>
        </w:rPr>
        <w:t>J</w:t>
      </w:r>
      <w:r>
        <w:rPr>
          <w:rFonts w:ascii="Times New Roman" w:hAnsi="Times New Roman"/>
          <w:color w:val="000000"/>
        </w:rPr>
        <w:t>.</w:t>
      </w:r>
      <w:bookmarkEnd w:id="3"/>
      <w:bookmarkEnd w:id="4"/>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 xml:space="preserve">9.  Explanation of Any Payment or Gift to Respondents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No payments or gifts are proposed for the </w:t>
      </w:r>
      <w:r w:rsidR="00F933BC">
        <w:rPr>
          <w:rFonts w:ascii="Times New Roman" w:hAnsi="Times New Roman"/>
        </w:rPr>
        <w:t>201</w:t>
      </w:r>
      <w:r w:rsidR="009E2A18">
        <w:rPr>
          <w:rFonts w:ascii="Times New Roman" w:hAnsi="Times New Roman"/>
        </w:rPr>
        <w:t>1</w:t>
      </w:r>
      <w:r>
        <w:rPr>
          <w:rFonts w:ascii="Times New Roman" w:hAnsi="Times New Roman"/>
        </w:rPr>
        <w:t>-201</w:t>
      </w:r>
      <w:r w:rsidR="009E2A18">
        <w:rPr>
          <w:rFonts w:ascii="Times New Roman" w:hAnsi="Times New Roman"/>
        </w:rPr>
        <w:t>3</w:t>
      </w:r>
      <w:r>
        <w:rPr>
          <w:rFonts w:ascii="Times New Roman" w:hAnsi="Times New Roman"/>
        </w:rPr>
        <w:t xml:space="preserve"> survey. OMB will be notified of any plans to offer payment or gifts in the future.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Pr>
          <w:rFonts w:ascii="Times New Roman" w:hAnsi="Times New Roman"/>
          <w:b/>
        </w:rPr>
        <w:t>10.  Assurance of Confidentiality Provided to Respondents</w:t>
      </w:r>
    </w:p>
    <w:p w:rsidR="005356FE" w:rsidRDefault="005356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4641DA" w:rsidRPr="004641DA" w:rsidRDefault="004641DA" w:rsidP="004641DA">
      <w:pPr>
        <w:widowControl w:val="0"/>
        <w:autoSpaceDE w:val="0"/>
        <w:autoSpaceDN w:val="0"/>
        <w:adjustRightInd w:val="0"/>
        <w:rPr>
          <w:color w:val="000000"/>
        </w:rPr>
      </w:pPr>
      <w:r w:rsidRPr="004641DA">
        <w:rPr>
          <w:color w:val="000000"/>
        </w:rPr>
        <w:t>An assurance of confidentiality is provided to all respondents according to section 308 (d) of the Public Health Service Act (42 USC 242m) which states:</w:t>
      </w:r>
    </w:p>
    <w:p w:rsidR="004641DA" w:rsidRPr="004641DA" w:rsidRDefault="004641DA" w:rsidP="004641DA">
      <w:pPr>
        <w:widowControl w:val="0"/>
        <w:autoSpaceDE w:val="0"/>
        <w:autoSpaceDN w:val="0"/>
        <w:adjustRightInd w:val="0"/>
        <w:rPr>
          <w:color w:val="000000"/>
        </w:rPr>
      </w:pPr>
    </w:p>
    <w:p w:rsidR="004641DA" w:rsidRPr="004641DA" w:rsidRDefault="004641DA" w:rsidP="004641DA">
      <w:pPr>
        <w:ind w:left="720"/>
        <w:rPr>
          <w:color w:val="000000"/>
        </w:rPr>
      </w:pPr>
      <w:r w:rsidRPr="004641DA">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4641DA" w:rsidRPr="004641DA" w:rsidRDefault="004641DA" w:rsidP="004641DA">
      <w:pPr>
        <w:rPr>
          <w:color w:val="000000"/>
        </w:rPr>
      </w:pPr>
    </w:p>
    <w:p w:rsidR="004641DA" w:rsidRPr="004641DA" w:rsidRDefault="004641DA" w:rsidP="004641DA">
      <w:pPr>
        <w:rPr>
          <w:color w:val="000000"/>
        </w:rPr>
      </w:pPr>
      <w:r w:rsidRPr="004641DA">
        <w:rPr>
          <w:color w:val="000000"/>
        </w:rPr>
        <w:t xml:space="preserve">In addition, legislation covering confidentiality is provided according to section 513 of the Confidential Information Protection and Statistical Efficiency Act (PL 107-347) which states: </w:t>
      </w:r>
    </w:p>
    <w:p w:rsidR="004641DA" w:rsidRPr="004641DA" w:rsidRDefault="004641DA" w:rsidP="004641DA">
      <w:pPr>
        <w:rPr>
          <w:color w:val="000000"/>
        </w:rPr>
      </w:pPr>
    </w:p>
    <w:p w:rsidR="004641DA" w:rsidRDefault="00674AE0" w:rsidP="00674AE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Pr>
          <w:rFonts w:ascii="Times New Roman" w:hAnsi="Times New Roman"/>
          <w:color w:val="000000"/>
        </w:rPr>
        <w:tab/>
      </w:r>
      <w:r w:rsidR="004641DA" w:rsidRPr="004641DA">
        <w:rPr>
          <w:rFonts w:ascii="Times New Roman" w:hAnsi="Times New Roman"/>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641DA" w:rsidRPr="004641DA">
        <w:rPr>
          <w:rFonts w:ascii="Times New Roman" w:hAnsi="Times New Roman"/>
          <w:bCs/>
          <w:color w:val="000000"/>
        </w:rPr>
        <w:t>class E felony</w:t>
      </w:r>
      <w:r w:rsidR="004641DA" w:rsidRPr="004641DA">
        <w:rPr>
          <w:rFonts w:ascii="Times New Roman" w:hAnsi="Times New Roman"/>
          <w:color w:val="000000"/>
        </w:rPr>
        <w:t xml:space="preserve"> and </w:t>
      </w:r>
      <w:r w:rsidR="004641DA" w:rsidRPr="004641DA">
        <w:rPr>
          <w:rFonts w:ascii="Times New Roman" w:hAnsi="Times New Roman"/>
          <w:bCs/>
          <w:color w:val="000000"/>
        </w:rPr>
        <w:t>imprisoned for not more than 5 years</w:t>
      </w:r>
      <w:r w:rsidR="004641DA" w:rsidRPr="004641DA">
        <w:rPr>
          <w:rFonts w:ascii="Times New Roman" w:hAnsi="Times New Roman"/>
          <w:color w:val="000000"/>
        </w:rPr>
        <w:t xml:space="preserve">, or fined not more than </w:t>
      </w:r>
      <w:r w:rsidR="004641DA" w:rsidRPr="004641DA">
        <w:rPr>
          <w:rFonts w:ascii="Times New Roman" w:hAnsi="Times New Roman"/>
          <w:bCs/>
          <w:color w:val="000000"/>
        </w:rPr>
        <w:t>$250,000</w:t>
      </w:r>
      <w:r w:rsidR="004641DA" w:rsidRPr="004641DA">
        <w:rPr>
          <w:rFonts w:ascii="Times New Roman" w:hAnsi="Times New Roman"/>
          <w:color w:val="000000"/>
        </w:rPr>
        <w:t>, or both.”</w:t>
      </w:r>
    </w:p>
    <w:p w:rsidR="0084663F" w:rsidRDefault="0084663F" w:rsidP="00FC5D67">
      <w:pPr>
        <w:outlineLvl w:val="0"/>
        <w:rPr>
          <w:color w:val="000000"/>
          <w:u w:val="single"/>
        </w:rPr>
      </w:pPr>
    </w:p>
    <w:p w:rsidR="004641DA" w:rsidRPr="00943202" w:rsidRDefault="004641DA" w:rsidP="00FC5D67">
      <w:pPr>
        <w:outlineLvl w:val="0"/>
        <w:rPr>
          <w:color w:val="000000"/>
          <w:u w:val="single"/>
        </w:rPr>
      </w:pPr>
      <w:r w:rsidRPr="00943202">
        <w:rPr>
          <w:color w:val="000000"/>
          <w:u w:val="single"/>
        </w:rPr>
        <w:t>Privacy Impact Assessment Information</w:t>
      </w:r>
    </w:p>
    <w:p w:rsidR="006C1EC5" w:rsidRDefault="006C1EC5">
      <w:pPr>
        <w:ind w:left="1080"/>
        <w:rPr>
          <w:rFonts w:ascii="Arial" w:hAnsi="Arial" w:cs="Arial"/>
          <w:color w:val="0000FF"/>
        </w:rPr>
      </w:pPr>
    </w:p>
    <w:p w:rsidR="006C1EC5" w:rsidRDefault="00530885" w:rsidP="00530885">
      <w:pPr>
        <w:rPr>
          <w:color w:val="000000"/>
        </w:rPr>
      </w:pPr>
      <w:r>
        <w:t xml:space="preserve">A.  </w:t>
      </w:r>
      <w:r w:rsidR="00E739EC">
        <w:t xml:space="preserve">This submission has been reviewed by </w:t>
      </w:r>
      <w:r w:rsidR="00242EF9">
        <w:t>Information Collection Review Office (</w:t>
      </w:r>
      <w:r w:rsidR="00E739EC">
        <w:t>ICRO</w:t>
      </w:r>
      <w:r w:rsidR="00242EF9">
        <w:t>)</w:t>
      </w:r>
      <w:r w:rsidR="00E739EC">
        <w:t>, who determined that the Privacy Act does apply</w:t>
      </w:r>
      <w:r>
        <w:t>.  The applicable System of Records Notice is 09-20-0167</w:t>
      </w:r>
      <w:r w:rsidR="00DE27B1">
        <w:t xml:space="preserve"> </w:t>
      </w:r>
      <w:r w:rsidR="004E03C4">
        <w:t xml:space="preserve">Health </w:t>
      </w:r>
      <w:r w:rsidR="00DE27B1">
        <w:t xml:space="preserve">Resources Utilization </w:t>
      </w:r>
      <w:r w:rsidR="00307688">
        <w:t>Statistics</w:t>
      </w:r>
      <w:r>
        <w:t xml:space="preserve">.  </w:t>
      </w:r>
      <w:r>
        <w:rPr>
          <w:color w:val="000000"/>
        </w:rPr>
        <w:t>T</w:t>
      </w:r>
      <w:r w:rsidR="006C1EC5">
        <w:rPr>
          <w:color w:val="000000"/>
        </w:rPr>
        <w:t>he NCHS Privacy Act Coordinator and the NCHS Confidentiality Officer have</w:t>
      </w:r>
      <w:r w:rsidR="005356FE">
        <w:rPr>
          <w:color w:val="000000"/>
        </w:rPr>
        <w:t xml:space="preserve"> </w:t>
      </w:r>
      <w:r>
        <w:rPr>
          <w:color w:val="000000"/>
        </w:rPr>
        <w:t xml:space="preserve">also </w:t>
      </w:r>
      <w:r w:rsidR="006C1EC5">
        <w:rPr>
          <w:color w:val="000000"/>
        </w:rPr>
        <w:t xml:space="preserve">reviewed this package and have determined that the Privacy Act is applicable.  </w:t>
      </w:r>
    </w:p>
    <w:p w:rsidR="006C1EC5" w:rsidRDefault="006C1EC5">
      <w:pPr>
        <w:rPr>
          <w:color w:val="000000"/>
        </w:rPr>
      </w:pPr>
    </w:p>
    <w:p w:rsidR="00FF16E5" w:rsidRDefault="00CC7D49" w:rsidP="00FF16E5">
      <w:pPr>
        <w:rPr>
          <w:color w:val="000000"/>
        </w:rPr>
      </w:pPr>
      <w:r>
        <w:rPr>
          <w:color w:val="000000"/>
        </w:rPr>
        <w:t xml:space="preserve">B.  </w:t>
      </w:r>
      <w:r w:rsidR="006C1EC5">
        <w:rPr>
          <w:color w:val="000000"/>
        </w:rPr>
        <w:t>The survey is designed so that NCHS receives no identifiable patient information, such as patient names, Social Security numbers, or health identification numbers.  The top section of each Patient Record form (PRF), which contains the patient's name and record number, is separated from the bottom section by a perforation running across the page.  The top section remains attached to the bottom until the entire PRF is completed.  To ensure confidentiality, before collecting the completed PRF, the top section is detached and given to the physician/provider or his/her staff.  The field representative instructs the provider to keep this portion for a period of four weeks, in case it is necessary to retrieve missing information or clarify information that had been recorded.</w:t>
      </w:r>
      <w:r w:rsidR="00FF16E5">
        <w:rPr>
          <w:color w:val="000000"/>
        </w:rPr>
        <w:t xml:space="preserve">  </w:t>
      </w:r>
      <w:r w:rsidR="006C1EC5">
        <w:rPr>
          <w:color w:val="000000"/>
        </w:rPr>
        <w:t xml:space="preserve"> </w:t>
      </w:r>
      <w:r w:rsidR="00FF16E5">
        <w:rPr>
          <w:color w:val="000000"/>
        </w:rPr>
        <w:t>Hard copies of the survey forms will be stored in a locked file cabinet in a secure building at NCHS.</w:t>
      </w:r>
    </w:p>
    <w:p w:rsidR="006C1EC5" w:rsidRDefault="006C1EC5">
      <w:pPr>
        <w:rPr>
          <w:color w:val="000000"/>
        </w:rPr>
      </w:pPr>
      <w:r>
        <w:rPr>
          <w:color w:val="000000"/>
        </w:rPr>
        <w:t xml:space="preserve"> </w:t>
      </w:r>
    </w:p>
    <w:p w:rsidR="006C1EC5" w:rsidRPr="00052696" w:rsidRDefault="006C1EC5">
      <w:r>
        <w:t>Prior to 2003, NAMCS was exempted from IRB review because physician practices were not considered to be human subjects, the medical record data already existed, and no patient identifiers were collected.  However, with the implementation of the Privacy Rule mandated by the Health Insurance Portability and Accountability Act (HIPAA) in April, 2003</w:t>
      </w:r>
      <w:r w:rsidRPr="00052696">
        <w:t xml:space="preserve">, a full review of NAMCS protocol was required by the IRB.  </w:t>
      </w:r>
    </w:p>
    <w:p w:rsidR="006C1EC5" w:rsidRPr="00052696" w:rsidRDefault="006C1EC5"/>
    <w:p w:rsidR="006C1EC5" w:rsidRPr="00052696" w:rsidRDefault="006C1EC5">
      <w:pPr>
        <w:rPr>
          <w:b/>
          <w:color w:val="000000"/>
        </w:rPr>
      </w:pPr>
      <w:r w:rsidRPr="00052696">
        <w:rPr>
          <w:color w:val="000000"/>
        </w:rPr>
        <w:t xml:space="preserve">The NAMCS data collection plan has been approved by CDC’s </w:t>
      </w:r>
      <w:r w:rsidR="00AB427A">
        <w:rPr>
          <w:color w:val="000000"/>
        </w:rPr>
        <w:t>Research Ethic</w:t>
      </w:r>
      <w:r w:rsidR="00E1569E">
        <w:rPr>
          <w:color w:val="000000"/>
        </w:rPr>
        <w:t>s</w:t>
      </w:r>
      <w:r w:rsidR="00AB427A">
        <w:rPr>
          <w:color w:val="000000"/>
        </w:rPr>
        <w:t xml:space="preserve"> Review</w:t>
      </w:r>
      <w:r w:rsidRPr="00052696">
        <w:rPr>
          <w:color w:val="000000"/>
        </w:rPr>
        <w:t xml:space="preserve"> Board </w:t>
      </w:r>
      <w:r w:rsidR="00416E43">
        <w:rPr>
          <w:color w:val="000000"/>
        </w:rPr>
        <w:t xml:space="preserve">(IRB) </w:t>
      </w:r>
      <w:r w:rsidRPr="00052696">
        <w:rPr>
          <w:color w:val="000000"/>
        </w:rPr>
        <w:t>(Protocol #20</w:t>
      </w:r>
      <w:r w:rsidR="00235041">
        <w:rPr>
          <w:color w:val="000000"/>
        </w:rPr>
        <w:t>10</w:t>
      </w:r>
      <w:r w:rsidRPr="00052696">
        <w:rPr>
          <w:color w:val="000000"/>
        </w:rPr>
        <w:t>-</w:t>
      </w:r>
      <w:r w:rsidR="002E3F0A">
        <w:rPr>
          <w:color w:val="000000"/>
        </w:rPr>
        <w:t>0</w:t>
      </w:r>
      <w:r w:rsidR="00235041">
        <w:rPr>
          <w:color w:val="000000"/>
        </w:rPr>
        <w:t>2</w:t>
      </w:r>
      <w:r w:rsidRPr="00052696">
        <w:rPr>
          <w:color w:val="000000"/>
        </w:rPr>
        <w:t>) based on 45 CFR 46.  In addition, the Board has granted (1) a waiver of the requirement to obtain informed consent from the patient, (2) a waiver of the documentation of informed consent by physicians, and (3) in accordance with the Health Insurance Portability and Accountability Act (HIPAA) Privacy Regulation (45 CFR 164.512), a waiver of patient authorization for release of patient medical record data by health care providers.</w:t>
      </w:r>
    </w:p>
    <w:p w:rsidR="006C1EC5" w:rsidRPr="00052696"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052696">
        <w:rPr>
          <w:color w:val="000000"/>
        </w:rPr>
        <w:t xml:space="preserve">The </w:t>
      </w:r>
      <w:r w:rsidR="00456E65">
        <w:rPr>
          <w:color w:val="000000"/>
        </w:rPr>
        <w:t>Research Ethic</w:t>
      </w:r>
      <w:r w:rsidR="00E1569E">
        <w:rPr>
          <w:color w:val="000000"/>
        </w:rPr>
        <w:t>s</w:t>
      </w:r>
      <w:r w:rsidR="00456E65">
        <w:rPr>
          <w:color w:val="000000"/>
        </w:rPr>
        <w:t xml:space="preserve"> Review Board’s </w:t>
      </w:r>
      <w:r w:rsidRPr="00052696">
        <w:rPr>
          <w:color w:val="000000"/>
        </w:rPr>
        <w:t>letter granting approval for continuation of Protocol #20</w:t>
      </w:r>
      <w:r w:rsidR="00945079">
        <w:rPr>
          <w:color w:val="000000"/>
        </w:rPr>
        <w:t>10</w:t>
      </w:r>
      <w:r w:rsidRPr="00052696">
        <w:rPr>
          <w:color w:val="000000"/>
        </w:rPr>
        <w:t>-0</w:t>
      </w:r>
      <w:r w:rsidR="00945079">
        <w:rPr>
          <w:color w:val="000000"/>
        </w:rPr>
        <w:t>2</w:t>
      </w:r>
      <w:r w:rsidRPr="00052696">
        <w:rPr>
          <w:color w:val="000000"/>
        </w:rPr>
        <w:t xml:space="preserve"> NAMCS for the maximum allowable period of one year is presented in </w:t>
      </w:r>
      <w:r w:rsidRPr="006B10EB">
        <w:rPr>
          <w:b/>
          <w:color w:val="000000"/>
        </w:rPr>
        <w:t xml:space="preserve">Attachment </w:t>
      </w:r>
      <w:r w:rsidR="00383236" w:rsidRPr="006B10EB">
        <w:rPr>
          <w:b/>
          <w:color w:val="000000"/>
        </w:rPr>
        <w:t>K</w:t>
      </w:r>
      <w:r w:rsidRPr="00052696">
        <w:rPr>
          <w:color w:val="000000"/>
        </w:rPr>
        <w:t>.</w:t>
      </w:r>
      <w:r>
        <w:rPr>
          <w:color w:val="000000"/>
        </w:rPr>
        <w:t xml:space="preserve">    </w:t>
      </w:r>
    </w:p>
    <w:p w:rsidR="006C1EC5" w:rsidRDefault="006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6C1EC5" w:rsidRDefault="006C1EC5">
      <w:pPr>
        <w:tabs>
          <w:tab w:val="left" w:pos="0"/>
        </w:tabs>
        <w:autoSpaceDE w:val="0"/>
        <w:autoSpaceDN w:val="0"/>
        <w:adjustRightInd w:val="0"/>
        <w:rPr>
          <w:color w:val="000000"/>
        </w:rPr>
      </w:pPr>
      <w:r>
        <w:rPr>
          <w:color w:val="000000"/>
        </w:rPr>
        <w:t>In this survey, as in others, NAMCS will include a routine set of measures to safeguard confidentiality, including the following: all staff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materials are moved between locations, records are maintained to ensure that there is no loss in transit, and personally identifiable information is shipped separately from providers’ contact information; and when confidential information is not in use, it is stored in secure conditions.</w:t>
      </w:r>
    </w:p>
    <w:p w:rsidR="006C1EC5" w:rsidRDefault="006C1EC5">
      <w:pPr>
        <w:tabs>
          <w:tab w:val="left" w:pos="108"/>
          <w:tab w:val="left" w:pos="3420"/>
        </w:tabs>
        <w:autoSpaceDE w:val="0"/>
        <w:autoSpaceDN w:val="0"/>
        <w:adjustRightInd w:val="0"/>
        <w:ind w:left="-180"/>
        <w:rPr>
          <w:color w:val="000000"/>
        </w:rPr>
      </w:pPr>
    </w:p>
    <w:p w:rsidR="0078065F" w:rsidRDefault="0078065F">
      <w:pPr>
        <w:tabs>
          <w:tab w:val="left" w:pos="0"/>
        </w:tabs>
        <w:autoSpaceDE w:val="0"/>
        <w:autoSpaceDN w:val="0"/>
        <w:adjustRightInd w:val="0"/>
        <w:rPr>
          <w:color w:val="000000"/>
        </w:rPr>
      </w:pPr>
      <w:r>
        <w:rPr>
          <w:color w:val="000000"/>
        </w:rPr>
        <w:t>In keeping with NCHS pol</w:t>
      </w:r>
      <w:r w:rsidR="006C1EC5">
        <w:rPr>
          <w:color w:val="000000"/>
        </w:rPr>
        <w:t>icy</w:t>
      </w:r>
      <w:r>
        <w:rPr>
          <w:color w:val="000000"/>
        </w:rPr>
        <w:t xml:space="preserve">, </w:t>
      </w:r>
      <w:r w:rsidR="006C1EC5">
        <w:rPr>
          <w:color w:val="000000"/>
        </w:rPr>
        <w:t xml:space="preserve">NAMCS data </w:t>
      </w:r>
      <w:r>
        <w:rPr>
          <w:color w:val="000000"/>
        </w:rPr>
        <w:t xml:space="preserve">are made </w:t>
      </w:r>
      <w:r w:rsidR="006C1EC5">
        <w:rPr>
          <w:color w:val="000000"/>
        </w:rPr>
        <w:t>available via public</w:t>
      </w:r>
      <w:r>
        <w:rPr>
          <w:color w:val="000000"/>
        </w:rPr>
        <w:t>-</w:t>
      </w:r>
      <w:r w:rsidR="006C1EC5">
        <w:rPr>
          <w:color w:val="000000"/>
        </w:rPr>
        <w:t xml:space="preserve">use data files to the </w:t>
      </w:r>
      <w:r>
        <w:rPr>
          <w:color w:val="000000"/>
        </w:rPr>
        <w:t>public</w:t>
      </w:r>
      <w:r w:rsidR="006C1EC5">
        <w:rPr>
          <w:color w:val="000000"/>
        </w:rPr>
        <w:t xml:space="preserve">.  Confidential data </w:t>
      </w:r>
      <w:r>
        <w:rPr>
          <w:color w:val="000000"/>
        </w:rPr>
        <w:t xml:space="preserve">are never released </w:t>
      </w:r>
      <w:r w:rsidR="006C1EC5">
        <w:rPr>
          <w:color w:val="000000"/>
        </w:rPr>
        <w:t xml:space="preserve">to the public.  </w:t>
      </w:r>
      <w:r>
        <w:rPr>
          <w:color w:val="000000"/>
        </w:rPr>
        <w:t>A</w:t>
      </w:r>
      <w:r w:rsidR="006C1EC5">
        <w:rPr>
          <w:color w:val="000000"/>
        </w:rPr>
        <w:t xml:space="preserve">ll personal identifiers </w:t>
      </w:r>
      <w:r>
        <w:rPr>
          <w:color w:val="000000"/>
        </w:rPr>
        <w:t xml:space="preserve">such as </w:t>
      </w:r>
      <w:r w:rsidR="006C1EC5">
        <w:rPr>
          <w:color w:val="000000"/>
        </w:rPr>
        <w:t>physician/provider name, address, patient date of birth, and any other specific information</w:t>
      </w:r>
      <w:r>
        <w:rPr>
          <w:color w:val="000000"/>
        </w:rPr>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   </w:t>
      </w:r>
    </w:p>
    <w:p w:rsidR="00AF058D" w:rsidRDefault="00AF058D">
      <w:pPr>
        <w:tabs>
          <w:tab w:val="left" w:pos="0"/>
        </w:tabs>
        <w:autoSpaceDE w:val="0"/>
        <w:autoSpaceDN w:val="0"/>
        <w:adjustRightInd w:val="0"/>
        <w:rPr>
          <w:color w:val="000000"/>
        </w:rPr>
      </w:pPr>
    </w:p>
    <w:p w:rsidR="00AF058D" w:rsidRDefault="00AF058D" w:rsidP="00AF058D">
      <w:pPr>
        <w:tabs>
          <w:tab w:val="left" w:pos="0"/>
        </w:tabs>
        <w:rPr>
          <w:color w:val="000000"/>
        </w:rPr>
      </w:pPr>
      <w:r>
        <w:rPr>
          <w:color w:val="000000"/>
        </w:rPr>
        <w:t>C.  T</w:t>
      </w:r>
      <w:r w:rsidRPr="00FC73DF">
        <w:rPr>
          <w:color w:val="000000"/>
        </w:rPr>
        <w:t xml:space="preserve">he </w:t>
      </w:r>
      <w:r w:rsidR="0006647E">
        <w:rPr>
          <w:color w:val="000000"/>
        </w:rPr>
        <w:t>Research Ethic</w:t>
      </w:r>
      <w:r w:rsidR="007F6FB9">
        <w:rPr>
          <w:color w:val="000000"/>
        </w:rPr>
        <w:t>s</w:t>
      </w:r>
      <w:r w:rsidR="0006647E">
        <w:rPr>
          <w:color w:val="000000"/>
        </w:rPr>
        <w:t xml:space="preserve"> Review Board </w:t>
      </w:r>
      <w:r w:rsidRPr="00FC73DF">
        <w:rPr>
          <w:color w:val="000000"/>
        </w:rPr>
        <w:t>granted a waiver of the requirement to obtain informed consent from the patient</w:t>
      </w:r>
      <w:r>
        <w:rPr>
          <w:color w:val="000000"/>
        </w:rPr>
        <w:t>.</w:t>
      </w:r>
    </w:p>
    <w:p w:rsidR="00AF058D" w:rsidRDefault="00AF058D">
      <w:pPr>
        <w:tabs>
          <w:tab w:val="left" w:pos="0"/>
        </w:tabs>
        <w:autoSpaceDE w:val="0"/>
        <w:autoSpaceDN w:val="0"/>
        <w:adjustRightInd w:val="0"/>
        <w:rPr>
          <w:color w:val="000000"/>
        </w:rPr>
      </w:pPr>
    </w:p>
    <w:p w:rsidR="00B0096C" w:rsidRDefault="00B0096C" w:rsidP="00B0096C">
      <w:pPr>
        <w:rPr>
          <w:color w:val="000000"/>
        </w:rPr>
      </w:pPr>
      <w:r>
        <w:rPr>
          <w:color w:val="000000"/>
        </w:rPr>
        <w:t>D.  In the introductory</w:t>
      </w:r>
      <w:r w:rsidR="005665FA">
        <w:rPr>
          <w:color w:val="000000"/>
        </w:rPr>
        <w:t xml:space="preserve"> letter from the NCHS director, it stat</w:t>
      </w:r>
      <w:r w:rsidR="000619B8">
        <w:rPr>
          <w:color w:val="000000"/>
        </w:rPr>
        <w:t>e</w:t>
      </w:r>
      <w:r w:rsidR="005665FA">
        <w:rPr>
          <w:color w:val="000000"/>
        </w:rPr>
        <w:t xml:space="preserve">s that </w:t>
      </w:r>
      <w:r>
        <w:rPr>
          <w:color w:val="000000"/>
        </w:rPr>
        <w:t xml:space="preserve">participation in the NAMCS is voluntary.  There is no effect on the respondent for not participating.  </w:t>
      </w:r>
      <w:proofErr w:type="gramStart"/>
      <w:r>
        <w:rPr>
          <w:color w:val="000000"/>
        </w:rPr>
        <w:t>N</w:t>
      </w:r>
      <w:r w:rsidR="005665FA">
        <w:rPr>
          <w:color w:val="000000"/>
        </w:rPr>
        <w:t xml:space="preserve">AMCS data are used to monitor office-based and CHC </w:t>
      </w:r>
      <w:r>
        <w:rPr>
          <w:color w:val="000000"/>
        </w:rPr>
        <w:t>ambulatory health care utilization.</w:t>
      </w:r>
      <w:proofErr w:type="gramEnd"/>
      <w:r>
        <w:rPr>
          <w:color w:val="000000"/>
        </w:rPr>
        <w:t xml:space="preserve">  The information is not shared with anyone, although public-use data files are available on the NAMCS website once individually identifiable information is removed.  The legal authority for NAMCS data collection is Section 306 of the Public Health Service Act (42 U.S.C. 242k).</w:t>
      </w:r>
    </w:p>
    <w:p w:rsidR="00AF058D" w:rsidRDefault="00AF058D">
      <w:pPr>
        <w:tabs>
          <w:tab w:val="left" w:pos="0"/>
        </w:tabs>
        <w:autoSpaceDE w:val="0"/>
        <w:autoSpaceDN w:val="0"/>
        <w:adjustRightInd w:val="0"/>
        <w:rPr>
          <w:color w:val="000000"/>
        </w:rPr>
      </w:pPr>
    </w:p>
    <w:p w:rsidR="006C1EC5" w:rsidRDefault="006C1EC5" w:rsidP="00FC5D67">
      <w:pPr>
        <w:outlineLvl w:val="0"/>
        <w:rPr>
          <w:b/>
          <w:bCs/>
          <w:color w:val="000000"/>
        </w:rPr>
      </w:pPr>
      <w:r>
        <w:rPr>
          <w:b/>
          <w:bCs/>
          <w:color w:val="000000"/>
        </w:rPr>
        <w:t xml:space="preserve">11.  Justification for Sensitive Questions </w:t>
      </w:r>
    </w:p>
    <w:p w:rsidR="006C1EC5" w:rsidRDefault="006C1EC5">
      <w:pPr>
        <w:rPr>
          <w:color w:val="000000"/>
        </w:rPr>
      </w:pPr>
    </w:p>
    <w:p w:rsidR="006C1EC5" w:rsidRDefault="006C1EC5" w:rsidP="00FC5D67">
      <w:pPr>
        <w:outlineLvl w:val="0"/>
        <w:rPr>
          <w:color w:val="000000"/>
        </w:rPr>
      </w:pPr>
      <w:r>
        <w:rPr>
          <w:color w:val="000000"/>
        </w:rPr>
        <w:t xml:space="preserve">No new sensitive data items are being proposed.  </w:t>
      </w:r>
    </w:p>
    <w:p w:rsidR="006C1EC5" w:rsidRDefault="006C1EC5">
      <w:pPr>
        <w:rPr>
          <w:color w:val="000000"/>
        </w:rPr>
      </w:pPr>
    </w:p>
    <w:p w:rsidR="006C1EC5" w:rsidRDefault="006C1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It is necessary for NAMCS to collect some protected </w:t>
      </w:r>
      <w:r w:rsidR="00037E78">
        <w:rPr>
          <w:color w:val="000000"/>
        </w:rPr>
        <w:t xml:space="preserve">and approved </w:t>
      </w:r>
      <w:r>
        <w:rPr>
          <w:color w:val="000000"/>
        </w:rPr>
        <w:t>health information, such as date of visit, birth date, and ZIP code. These data are used internally to create certain composite variables</w:t>
      </w:r>
      <w:r w:rsidR="002B0E63">
        <w:rPr>
          <w:color w:val="000000"/>
        </w:rPr>
        <w:t>,</w:t>
      </w:r>
      <w:r>
        <w:rPr>
          <w:color w:val="000000"/>
        </w:rPr>
        <w:t xml:space="preserve"> such as patient age</w:t>
      </w:r>
      <w:r w:rsidR="002B0E63">
        <w:rPr>
          <w:color w:val="000000"/>
        </w:rPr>
        <w:t xml:space="preserve">, which </w:t>
      </w:r>
      <w:r>
        <w:rPr>
          <w:color w:val="000000"/>
        </w:rPr>
        <w:t xml:space="preserve">contains 6 mutually exclusive groups.  Also, in cases when the Census Bureau abstracts the data from the medical record, the patient’s name or address may be viewed in the process of collecting the survey data.  Strict procedures are utilized to prevent disclosure of identified NAMCS data.  Individual patient names or other identifying information are not collected.  At no time are the patients contacted to obtain information.  After the data have been collected from the physicians/providers and processed, a file of the sample visits will be sent to NCHS.  The only identifiable elements on the file are date of visit, ZIP code, and birth date.  For the public use files, date of visit is converted to month and day of week, birth date is converted to patient’s age, and ZIP code is deleted.  Patient’s ZIP code is used within NCHS to match the visit data to characteristics of the patient’s residential area, such as median household income or percent of the population who are high school graduates.  </w:t>
      </w:r>
    </w:p>
    <w:p w:rsidR="007D6530" w:rsidRDefault="007D6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D6530" w:rsidRDefault="007D6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In general, no sensitive data, except tax ID is collected</w:t>
      </w:r>
      <w:r w:rsidR="000510B5">
        <w:rPr>
          <w:color w:val="000000"/>
        </w:rPr>
        <w:t xml:space="preserve"> or shared.  The tax ID is used to identify ownership of office-based physician practices, as it is important to ensure that each office is not administratively connected to a hospital or outpatient department.     </w:t>
      </w:r>
    </w:p>
    <w:p w:rsidR="006C1EC5" w:rsidRDefault="006C1EC5">
      <w:pPr>
        <w:rPr>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 xml:space="preserve">12.  Estimates of Annualized Burden Hours and Costs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A. Burden Hours</w:t>
      </w:r>
    </w:p>
    <w:p w:rsidR="00626198" w:rsidRDefault="006C1EC5" w:rsidP="005C4C06">
      <w:pPr>
        <w:autoSpaceDE w:val="0"/>
        <w:autoSpaceDN w:val="0"/>
        <w:adjustRightInd w:val="0"/>
        <w:ind w:right="-90"/>
      </w:pPr>
      <w:r>
        <w:rPr>
          <w:color w:val="000000"/>
        </w:rPr>
        <w:t>This submission requests OMB approval for three years of NAMCS data collection.  The burden</w:t>
      </w:r>
      <w:r w:rsidR="003B2320">
        <w:rPr>
          <w:color w:val="000000"/>
        </w:rPr>
        <w:t>s</w:t>
      </w:r>
      <w:r>
        <w:rPr>
          <w:color w:val="000000"/>
        </w:rPr>
        <w:t xml:space="preserve"> for one complete survey cycle </w:t>
      </w:r>
      <w:r w:rsidR="003B2320">
        <w:rPr>
          <w:color w:val="000000"/>
        </w:rPr>
        <w:t xml:space="preserve">and the proposed </w:t>
      </w:r>
      <w:r w:rsidR="00203568">
        <w:rPr>
          <w:color w:val="000000"/>
        </w:rPr>
        <w:t>pretest</w:t>
      </w:r>
      <w:r w:rsidR="003B2320">
        <w:rPr>
          <w:color w:val="000000"/>
        </w:rPr>
        <w:t xml:space="preserve"> are </w:t>
      </w:r>
      <w:r>
        <w:rPr>
          <w:color w:val="000000"/>
        </w:rPr>
        <w:t>summarized in the table</w:t>
      </w:r>
      <w:r w:rsidR="003B2320">
        <w:rPr>
          <w:color w:val="000000"/>
        </w:rPr>
        <w:t>s</w:t>
      </w:r>
      <w:r>
        <w:rPr>
          <w:color w:val="000000"/>
        </w:rPr>
        <w:t xml:space="preserve"> below. </w:t>
      </w:r>
      <w:r>
        <w:t xml:space="preserve">The estimated annualized burden hours were based on previous years' experience in administering the survey, and final data from multiple components of the 2006 NAMCS.  The table represents an </w:t>
      </w:r>
      <w:bookmarkStart w:id="5" w:name="OLE_LINK28"/>
      <w:bookmarkStart w:id="6" w:name="OLE_LINK29"/>
      <w:r>
        <w:t>average for one year of data collection.</w:t>
      </w:r>
      <w:bookmarkEnd w:id="5"/>
      <w:bookmarkEnd w:id="6"/>
      <w:r w:rsidR="00051AA5">
        <w:t xml:space="preserve">  The average annual burden is </w:t>
      </w:r>
      <w:r w:rsidR="00EC6F0B" w:rsidRPr="004C6993">
        <w:t>12</w:t>
      </w:r>
      <w:r w:rsidR="00526C45" w:rsidRPr="004C6993">
        <w:t>,</w:t>
      </w:r>
      <w:r w:rsidR="00EC6F0B" w:rsidRPr="004C6993">
        <w:t>1</w:t>
      </w:r>
      <w:r w:rsidR="004C6993">
        <w:t>79</w:t>
      </w:r>
      <w:r w:rsidR="00823163" w:rsidRPr="00EC6F0B">
        <w:t xml:space="preserve"> hours</w:t>
      </w:r>
      <w:r w:rsidR="00823163" w:rsidRPr="00C366D1">
        <w:t>.</w:t>
      </w:r>
      <w:r w:rsidR="00F678BC">
        <w:t xml:space="preserve">  </w:t>
      </w:r>
      <w:r w:rsidR="00823163" w:rsidRPr="00C366D1">
        <w:t>If 75% of the budget is passe</w:t>
      </w:r>
      <w:r w:rsidR="007F6FB9" w:rsidRPr="00C366D1">
        <w:t>d</w:t>
      </w:r>
      <w:r w:rsidR="00626198">
        <w:t xml:space="preserve"> to increase the number of physicians</w:t>
      </w:r>
      <w:r w:rsidR="00823163" w:rsidRPr="00C366D1">
        <w:t xml:space="preserve">, </w:t>
      </w:r>
      <w:r w:rsidR="00C31CF3" w:rsidRPr="00C366D1">
        <w:t xml:space="preserve">the sample will include </w:t>
      </w:r>
      <w:r w:rsidR="00120C51" w:rsidRPr="00C366D1">
        <w:t>4,</w:t>
      </w:r>
      <w:r w:rsidR="00ED3B17">
        <w:t>762</w:t>
      </w:r>
      <w:r w:rsidR="00120C51" w:rsidRPr="00C366D1">
        <w:t xml:space="preserve"> </w:t>
      </w:r>
      <w:r w:rsidR="00626198">
        <w:t xml:space="preserve">office-based core NAMCS physicians </w:t>
      </w:r>
      <w:r w:rsidR="00120C51" w:rsidRPr="00910056">
        <w:t xml:space="preserve">filling out a NAMCS-1 and </w:t>
      </w:r>
      <w:r w:rsidR="00910056" w:rsidRPr="00910056">
        <w:t>969</w:t>
      </w:r>
      <w:r w:rsidR="00120C51" w:rsidRPr="00910056">
        <w:t xml:space="preserve"> filling out PRFs; this will </w:t>
      </w:r>
      <w:r w:rsidR="00DE117A" w:rsidRPr="00910056">
        <w:t>reduce</w:t>
      </w:r>
      <w:r w:rsidR="00120C51" w:rsidRPr="00910056">
        <w:t xml:space="preserve"> </w:t>
      </w:r>
      <w:r w:rsidR="00823163" w:rsidRPr="00910056">
        <w:t xml:space="preserve">the </w:t>
      </w:r>
      <w:r w:rsidR="00120C51" w:rsidRPr="00910056">
        <w:t xml:space="preserve">total </w:t>
      </w:r>
      <w:r w:rsidR="00823163" w:rsidRPr="00910056">
        <w:t xml:space="preserve">average annual burden </w:t>
      </w:r>
      <w:r w:rsidR="00120C51" w:rsidRPr="00910056">
        <w:t xml:space="preserve">to </w:t>
      </w:r>
      <w:r w:rsidR="00910056" w:rsidRPr="005F212C">
        <w:t>11,</w:t>
      </w:r>
      <w:r w:rsidR="008D60A8" w:rsidRPr="005F212C">
        <w:t>7</w:t>
      </w:r>
      <w:r w:rsidR="00296004" w:rsidRPr="005F212C">
        <w:t>98</w:t>
      </w:r>
      <w:r w:rsidR="00910056">
        <w:t xml:space="preserve"> </w:t>
      </w:r>
      <w:r w:rsidR="00823163" w:rsidRPr="00910056">
        <w:t>hours</w:t>
      </w:r>
      <w:r w:rsidR="00120C51" w:rsidRPr="00D77D4E">
        <w:t>.  If 50% of the budget is passe</w:t>
      </w:r>
      <w:r w:rsidR="007F6FB9" w:rsidRPr="00D77D4E">
        <w:t>d</w:t>
      </w:r>
      <w:r w:rsidR="00120C51" w:rsidRPr="00D77D4E">
        <w:t>, the sample will include 4,</w:t>
      </w:r>
      <w:r w:rsidR="00D77D4E" w:rsidRPr="00D77D4E">
        <w:t xml:space="preserve">512 </w:t>
      </w:r>
      <w:r w:rsidR="00120C51" w:rsidRPr="00D77D4E">
        <w:t xml:space="preserve">respondents filling out the NAMCS-1 and </w:t>
      </w:r>
      <w:r w:rsidR="00D77D4E" w:rsidRPr="00D77D4E">
        <w:t>922</w:t>
      </w:r>
      <w:r w:rsidR="00120C51" w:rsidRPr="00D77D4E">
        <w:t xml:space="preserve"> filling out PRFs; this will </w:t>
      </w:r>
      <w:r w:rsidR="00DE117A" w:rsidRPr="00D77D4E">
        <w:t xml:space="preserve">reduce </w:t>
      </w:r>
      <w:r w:rsidR="00120C51" w:rsidRPr="00D77D4E">
        <w:t xml:space="preserve">the total average annual burden to </w:t>
      </w:r>
      <w:r w:rsidR="00DE117A" w:rsidRPr="00F678BC">
        <w:t>1</w:t>
      </w:r>
      <w:r w:rsidR="00C356E0" w:rsidRPr="00F678BC">
        <w:t>1</w:t>
      </w:r>
      <w:r w:rsidR="00DE117A" w:rsidRPr="00F678BC">
        <w:t>,</w:t>
      </w:r>
      <w:r w:rsidR="00C356E0" w:rsidRPr="00F678BC">
        <w:t>4</w:t>
      </w:r>
      <w:r w:rsidR="00296004" w:rsidRPr="00F678BC">
        <w:t>23</w:t>
      </w:r>
      <w:r w:rsidR="00120C51" w:rsidRPr="00D77D4E">
        <w:t xml:space="preserve"> hours.</w:t>
      </w:r>
      <w:r w:rsidR="00626198">
        <w:t xml:space="preserve">  NCHS will notify OMB of the outcome via a </w:t>
      </w:r>
      <w:proofErr w:type="spellStart"/>
      <w:r w:rsidR="00626198">
        <w:t>nonsubstantive</w:t>
      </w:r>
      <w:proofErr w:type="spellEnd"/>
      <w:r w:rsidR="00626198">
        <w:t xml:space="preserve"> change submission.  </w:t>
      </w:r>
      <w:r w:rsidR="00120C51">
        <w:t xml:space="preserve"> </w:t>
      </w:r>
    </w:p>
    <w:p w:rsidR="00626198" w:rsidRDefault="00626198" w:rsidP="005C4C06">
      <w:pPr>
        <w:autoSpaceDE w:val="0"/>
        <w:autoSpaceDN w:val="0"/>
        <w:adjustRightInd w:val="0"/>
        <w:ind w:right="-90"/>
      </w:pPr>
    </w:p>
    <w:p w:rsidR="00626198" w:rsidRDefault="00626198" w:rsidP="005C4C06">
      <w:pPr>
        <w:autoSpaceDE w:val="0"/>
        <w:autoSpaceDN w:val="0"/>
        <w:adjustRightInd w:val="0"/>
        <w:ind w:right="-90"/>
      </w:pPr>
    </w:p>
    <w:p w:rsidR="00626198" w:rsidRDefault="00626198" w:rsidP="005C4C06">
      <w:pPr>
        <w:autoSpaceDE w:val="0"/>
        <w:autoSpaceDN w:val="0"/>
        <w:adjustRightInd w:val="0"/>
        <w:ind w:right="-90"/>
      </w:pPr>
    </w:p>
    <w:p w:rsidR="00626198" w:rsidRDefault="00626198" w:rsidP="005C4C06">
      <w:pPr>
        <w:autoSpaceDE w:val="0"/>
        <w:autoSpaceDN w:val="0"/>
        <w:adjustRightInd w:val="0"/>
        <w:ind w:right="-90"/>
      </w:pPr>
    </w:p>
    <w:p w:rsidR="00626198" w:rsidRDefault="00626198" w:rsidP="005C4C06">
      <w:pPr>
        <w:autoSpaceDE w:val="0"/>
        <w:autoSpaceDN w:val="0"/>
        <w:adjustRightInd w:val="0"/>
        <w:ind w:right="-90"/>
      </w:pPr>
    </w:p>
    <w:p w:rsidR="00626198" w:rsidRDefault="00626198" w:rsidP="005C4C06">
      <w:pPr>
        <w:autoSpaceDE w:val="0"/>
        <w:autoSpaceDN w:val="0"/>
        <w:adjustRightInd w:val="0"/>
        <w:ind w:right="-90"/>
      </w:pPr>
    </w:p>
    <w:p w:rsidR="00626198" w:rsidRDefault="00626198" w:rsidP="005C4C06">
      <w:pPr>
        <w:autoSpaceDE w:val="0"/>
        <w:autoSpaceDN w:val="0"/>
        <w:adjustRightInd w:val="0"/>
        <w:ind w:right="-90"/>
      </w:pPr>
    </w:p>
    <w:p w:rsidR="005502C8"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Pr>
          <w:rFonts w:ascii="Times New Roman" w:hAnsi="Times New Roman"/>
          <w:color w:val="000000"/>
        </w:rPr>
        <w:t>Table of Estimated Annualized Burden Hours</w:t>
      </w:r>
    </w:p>
    <w:tbl>
      <w:tblPr>
        <w:tblW w:w="9810" w:type="dxa"/>
        <w:tblInd w:w="108" w:type="dxa"/>
        <w:tblBorders>
          <w:left w:val="single" w:sz="4" w:space="0" w:color="auto"/>
          <w:right w:val="single" w:sz="4" w:space="0" w:color="auto"/>
          <w:insideH w:val="single" w:sz="4" w:space="0" w:color="auto"/>
          <w:insideV w:val="single" w:sz="4" w:space="0" w:color="auto"/>
        </w:tblBorders>
        <w:tblLayout w:type="fixed"/>
        <w:tblLook w:val="01E0"/>
      </w:tblPr>
      <w:tblGrid>
        <w:gridCol w:w="1260"/>
        <w:gridCol w:w="1530"/>
        <w:gridCol w:w="1800"/>
        <w:gridCol w:w="1350"/>
        <w:gridCol w:w="1440"/>
        <w:gridCol w:w="1260"/>
        <w:gridCol w:w="1170"/>
      </w:tblGrid>
      <w:tr w:rsidR="008521B3" w:rsidRPr="00BD24C2" w:rsidTr="007528DF">
        <w:trPr>
          <w:cantSplit/>
          <w:trHeight w:val="773"/>
        </w:trPr>
        <w:tc>
          <w:tcPr>
            <w:tcW w:w="1260" w:type="dxa"/>
            <w:tcBorders>
              <w:top w:val="single" w:sz="4" w:space="0" w:color="auto"/>
              <w:bottom w:val="single" w:sz="4" w:space="0" w:color="auto"/>
            </w:tcBorders>
          </w:tcPr>
          <w:p w:rsidR="008521B3" w:rsidRDefault="008521B3" w:rsidP="00603942">
            <w:pPr>
              <w:rPr>
                <w:b/>
                <w:sz w:val="20"/>
                <w:szCs w:val="20"/>
              </w:rPr>
            </w:pPr>
          </w:p>
          <w:p w:rsidR="008521B3" w:rsidRDefault="008521B3" w:rsidP="00603942">
            <w:pPr>
              <w:rPr>
                <w:b/>
                <w:sz w:val="20"/>
                <w:szCs w:val="20"/>
              </w:rPr>
            </w:pPr>
          </w:p>
          <w:p w:rsidR="008521B3" w:rsidRDefault="008521B3" w:rsidP="00603942">
            <w:pPr>
              <w:rPr>
                <w:b/>
                <w:sz w:val="20"/>
                <w:szCs w:val="20"/>
              </w:rPr>
            </w:pPr>
          </w:p>
          <w:p w:rsidR="008521B3" w:rsidRPr="008521B3" w:rsidRDefault="008521B3" w:rsidP="00603942">
            <w:pPr>
              <w:rPr>
                <w:b/>
                <w:sz w:val="20"/>
                <w:szCs w:val="20"/>
              </w:rPr>
            </w:pPr>
            <w:r w:rsidRPr="008521B3">
              <w:rPr>
                <w:b/>
                <w:sz w:val="20"/>
                <w:szCs w:val="20"/>
              </w:rPr>
              <w:t>Type of Form</w:t>
            </w:r>
          </w:p>
        </w:tc>
        <w:tc>
          <w:tcPr>
            <w:tcW w:w="1530" w:type="dxa"/>
            <w:tcBorders>
              <w:top w:val="single" w:sz="4" w:space="0" w:color="auto"/>
              <w:bottom w:val="single" w:sz="4" w:space="0" w:color="auto"/>
            </w:tcBorders>
            <w:vAlign w:val="center"/>
          </w:tcPr>
          <w:p w:rsidR="008521B3" w:rsidRPr="008521B3" w:rsidRDefault="008521B3" w:rsidP="00603942">
            <w:pPr>
              <w:rPr>
                <w:b/>
                <w:sz w:val="20"/>
                <w:szCs w:val="20"/>
              </w:rPr>
            </w:pPr>
          </w:p>
          <w:p w:rsidR="008521B3" w:rsidRPr="008521B3" w:rsidRDefault="008521B3" w:rsidP="00603942">
            <w:pPr>
              <w:rPr>
                <w:b/>
                <w:sz w:val="20"/>
                <w:szCs w:val="20"/>
              </w:rPr>
            </w:pPr>
          </w:p>
          <w:p w:rsidR="008521B3" w:rsidRDefault="008521B3" w:rsidP="00603942">
            <w:pPr>
              <w:rPr>
                <w:b/>
                <w:sz w:val="20"/>
                <w:szCs w:val="20"/>
              </w:rPr>
            </w:pPr>
          </w:p>
          <w:p w:rsidR="008521B3" w:rsidRPr="008521B3" w:rsidRDefault="008521B3" w:rsidP="00603942">
            <w:pPr>
              <w:rPr>
                <w:b/>
                <w:sz w:val="20"/>
                <w:szCs w:val="20"/>
              </w:rPr>
            </w:pPr>
            <w:r w:rsidRPr="008521B3">
              <w:rPr>
                <w:b/>
                <w:sz w:val="20"/>
                <w:szCs w:val="20"/>
              </w:rPr>
              <w:t>Type of Respondent</w:t>
            </w:r>
          </w:p>
          <w:p w:rsidR="008521B3" w:rsidRPr="008521B3" w:rsidRDefault="008521B3" w:rsidP="00603942">
            <w:pPr>
              <w:rPr>
                <w:b/>
                <w:sz w:val="20"/>
                <w:szCs w:val="20"/>
              </w:rPr>
            </w:pPr>
          </w:p>
        </w:tc>
        <w:tc>
          <w:tcPr>
            <w:tcW w:w="1800" w:type="dxa"/>
            <w:tcBorders>
              <w:top w:val="single" w:sz="4" w:space="0" w:color="auto"/>
              <w:bottom w:val="single" w:sz="4" w:space="0" w:color="auto"/>
            </w:tcBorders>
            <w:vAlign w:val="center"/>
          </w:tcPr>
          <w:p w:rsidR="008521B3" w:rsidRPr="008521B3" w:rsidRDefault="008521B3" w:rsidP="00603942">
            <w:pPr>
              <w:rPr>
                <w:b/>
                <w:sz w:val="20"/>
                <w:szCs w:val="20"/>
              </w:rPr>
            </w:pPr>
          </w:p>
          <w:p w:rsidR="008521B3" w:rsidRDefault="008521B3" w:rsidP="00603942">
            <w:pPr>
              <w:rPr>
                <w:b/>
                <w:sz w:val="20"/>
                <w:szCs w:val="20"/>
              </w:rPr>
            </w:pPr>
          </w:p>
          <w:p w:rsidR="008521B3" w:rsidRPr="008521B3" w:rsidRDefault="008521B3" w:rsidP="00603942">
            <w:pPr>
              <w:rPr>
                <w:b/>
                <w:sz w:val="20"/>
                <w:szCs w:val="20"/>
              </w:rPr>
            </w:pPr>
            <w:r>
              <w:rPr>
                <w:b/>
                <w:sz w:val="20"/>
                <w:szCs w:val="20"/>
              </w:rPr>
              <w:t>F</w:t>
            </w:r>
            <w:r w:rsidRPr="008521B3">
              <w:rPr>
                <w:b/>
                <w:sz w:val="20"/>
                <w:szCs w:val="20"/>
              </w:rPr>
              <w:t>orm Name</w:t>
            </w:r>
          </w:p>
        </w:tc>
        <w:tc>
          <w:tcPr>
            <w:tcW w:w="1350" w:type="dxa"/>
            <w:tcBorders>
              <w:top w:val="single" w:sz="4" w:space="0" w:color="auto"/>
              <w:bottom w:val="single" w:sz="4" w:space="0" w:color="auto"/>
            </w:tcBorders>
          </w:tcPr>
          <w:p w:rsidR="008521B3" w:rsidRPr="008521B3" w:rsidRDefault="008521B3" w:rsidP="00603942">
            <w:pPr>
              <w:rPr>
                <w:b/>
                <w:sz w:val="20"/>
                <w:szCs w:val="20"/>
              </w:rPr>
            </w:pPr>
          </w:p>
          <w:p w:rsidR="008521B3" w:rsidRPr="008521B3" w:rsidRDefault="008521B3" w:rsidP="00603942">
            <w:pPr>
              <w:rPr>
                <w:b/>
                <w:sz w:val="20"/>
                <w:szCs w:val="20"/>
              </w:rPr>
            </w:pPr>
          </w:p>
          <w:p w:rsidR="008521B3" w:rsidRDefault="008521B3" w:rsidP="00603942">
            <w:pPr>
              <w:rPr>
                <w:b/>
                <w:sz w:val="20"/>
                <w:szCs w:val="20"/>
              </w:rPr>
            </w:pPr>
          </w:p>
          <w:p w:rsidR="008521B3" w:rsidRPr="008521B3" w:rsidRDefault="008521B3" w:rsidP="00603942">
            <w:pPr>
              <w:rPr>
                <w:b/>
                <w:sz w:val="20"/>
                <w:szCs w:val="20"/>
              </w:rPr>
            </w:pPr>
            <w:r w:rsidRPr="008521B3">
              <w:rPr>
                <w:b/>
                <w:sz w:val="20"/>
                <w:szCs w:val="20"/>
              </w:rPr>
              <w:t>Number of</w:t>
            </w:r>
          </w:p>
          <w:p w:rsidR="008521B3" w:rsidRPr="008521B3" w:rsidRDefault="008521B3" w:rsidP="00603942">
            <w:pPr>
              <w:rPr>
                <w:b/>
                <w:sz w:val="20"/>
                <w:szCs w:val="20"/>
              </w:rPr>
            </w:pPr>
            <w:r w:rsidRPr="008521B3">
              <w:rPr>
                <w:b/>
                <w:sz w:val="20"/>
                <w:szCs w:val="20"/>
              </w:rPr>
              <w:t>Respondents</w:t>
            </w:r>
          </w:p>
        </w:tc>
        <w:tc>
          <w:tcPr>
            <w:tcW w:w="1440" w:type="dxa"/>
            <w:tcBorders>
              <w:top w:val="single" w:sz="4" w:space="0" w:color="auto"/>
              <w:bottom w:val="single" w:sz="4" w:space="0" w:color="auto"/>
            </w:tcBorders>
            <w:vAlign w:val="center"/>
          </w:tcPr>
          <w:p w:rsidR="008521B3" w:rsidRPr="008521B3" w:rsidRDefault="008521B3" w:rsidP="00603942">
            <w:pPr>
              <w:rPr>
                <w:b/>
                <w:sz w:val="20"/>
                <w:szCs w:val="20"/>
              </w:rPr>
            </w:pPr>
          </w:p>
          <w:p w:rsidR="008521B3" w:rsidRDefault="008521B3" w:rsidP="00603942">
            <w:pPr>
              <w:rPr>
                <w:b/>
                <w:sz w:val="20"/>
                <w:szCs w:val="20"/>
              </w:rPr>
            </w:pPr>
          </w:p>
          <w:p w:rsidR="008521B3" w:rsidRDefault="008521B3" w:rsidP="00603942">
            <w:pPr>
              <w:rPr>
                <w:b/>
                <w:sz w:val="20"/>
                <w:szCs w:val="20"/>
              </w:rPr>
            </w:pPr>
          </w:p>
          <w:p w:rsidR="008521B3" w:rsidRPr="008521B3" w:rsidRDefault="008521B3" w:rsidP="00603942">
            <w:pPr>
              <w:rPr>
                <w:b/>
                <w:sz w:val="20"/>
                <w:szCs w:val="20"/>
              </w:rPr>
            </w:pPr>
            <w:r w:rsidRPr="008521B3">
              <w:rPr>
                <w:b/>
                <w:sz w:val="20"/>
                <w:szCs w:val="20"/>
              </w:rPr>
              <w:t>Number of</w:t>
            </w:r>
          </w:p>
          <w:p w:rsidR="008521B3" w:rsidRPr="008521B3" w:rsidRDefault="008521B3" w:rsidP="00603942">
            <w:pPr>
              <w:rPr>
                <w:b/>
                <w:sz w:val="20"/>
                <w:szCs w:val="20"/>
              </w:rPr>
            </w:pPr>
            <w:r w:rsidRPr="008521B3">
              <w:rPr>
                <w:b/>
                <w:sz w:val="20"/>
                <w:szCs w:val="20"/>
              </w:rPr>
              <w:t>Responses per</w:t>
            </w:r>
          </w:p>
          <w:p w:rsidR="008521B3" w:rsidRPr="008521B3" w:rsidRDefault="008521B3" w:rsidP="00603942">
            <w:pPr>
              <w:rPr>
                <w:b/>
                <w:sz w:val="20"/>
                <w:szCs w:val="20"/>
              </w:rPr>
            </w:pPr>
            <w:r w:rsidRPr="008521B3">
              <w:rPr>
                <w:b/>
                <w:sz w:val="20"/>
                <w:szCs w:val="20"/>
              </w:rPr>
              <w:t>Respondent</w:t>
            </w:r>
          </w:p>
        </w:tc>
        <w:tc>
          <w:tcPr>
            <w:tcW w:w="1260" w:type="dxa"/>
            <w:tcBorders>
              <w:top w:val="single" w:sz="4" w:space="0" w:color="auto"/>
              <w:bottom w:val="single" w:sz="4" w:space="0" w:color="auto"/>
            </w:tcBorders>
            <w:vAlign w:val="center"/>
          </w:tcPr>
          <w:p w:rsidR="008521B3" w:rsidRDefault="008521B3" w:rsidP="00603942">
            <w:pPr>
              <w:rPr>
                <w:b/>
                <w:sz w:val="20"/>
                <w:szCs w:val="20"/>
              </w:rPr>
            </w:pPr>
          </w:p>
          <w:p w:rsidR="008521B3" w:rsidRDefault="008521B3" w:rsidP="00603942">
            <w:pPr>
              <w:rPr>
                <w:b/>
                <w:sz w:val="20"/>
                <w:szCs w:val="20"/>
              </w:rPr>
            </w:pPr>
          </w:p>
          <w:p w:rsidR="008521B3" w:rsidRPr="008521B3" w:rsidRDefault="008521B3" w:rsidP="00603942">
            <w:pPr>
              <w:rPr>
                <w:b/>
                <w:sz w:val="20"/>
                <w:szCs w:val="20"/>
              </w:rPr>
            </w:pPr>
            <w:r w:rsidRPr="008521B3">
              <w:rPr>
                <w:b/>
                <w:sz w:val="20"/>
                <w:szCs w:val="20"/>
              </w:rPr>
              <w:t>Hours per Response</w:t>
            </w:r>
          </w:p>
        </w:tc>
        <w:tc>
          <w:tcPr>
            <w:tcW w:w="1170" w:type="dxa"/>
            <w:tcBorders>
              <w:top w:val="single" w:sz="4" w:space="0" w:color="auto"/>
              <w:bottom w:val="single" w:sz="4" w:space="0" w:color="auto"/>
            </w:tcBorders>
            <w:vAlign w:val="center"/>
          </w:tcPr>
          <w:p w:rsidR="008521B3" w:rsidRDefault="008521B3" w:rsidP="00603942">
            <w:pPr>
              <w:rPr>
                <w:b/>
                <w:sz w:val="20"/>
                <w:szCs w:val="20"/>
              </w:rPr>
            </w:pPr>
          </w:p>
          <w:p w:rsidR="008521B3" w:rsidRDefault="008521B3" w:rsidP="00603942">
            <w:pPr>
              <w:rPr>
                <w:b/>
                <w:sz w:val="20"/>
                <w:szCs w:val="20"/>
              </w:rPr>
            </w:pPr>
          </w:p>
          <w:p w:rsidR="008521B3" w:rsidRDefault="008521B3" w:rsidP="00603942">
            <w:pPr>
              <w:rPr>
                <w:b/>
                <w:sz w:val="20"/>
                <w:szCs w:val="20"/>
              </w:rPr>
            </w:pPr>
          </w:p>
          <w:p w:rsidR="008521B3" w:rsidRPr="008521B3" w:rsidRDefault="008521B3" w:rsidP="00603942">
            <w:pPr>
              <w:rPr>
                <w:b/>
                <w:sz w:val="20"/>
                <w:szCs w:val="20"/>
              </w:rPr>
            </w:pPr>
            <w:r w:rsidRPr="008521B3">
              <w:rPr>
                <w:b/>
                <w:sz w:val="20"/>
                <w:szCs w:val="20"/>
              </w:rPr>
              <w:t>Total Burden</w:t>
            </w:r>
          </w:p>
          <w:p w:rsidR="008521B3" w:rsidRPr="008521B3" w:rsidRDefault="008521B3" w:rsidP="00603942">
            <w:pPr>
              <w:rPr>
                <w:b/>
                <w:sz w:val="20"/>
                <w:szCs w:val="20"/>
              </w:rPr>
            </w:pPr>
            <w:r w:rsidRPr="008521B3">
              <w:rPr>
                <w:b/>
                <w:sz w:val="20"/>
                <w:szCs w:val="20"/>
              </w:rPr>
              <w:t>(Hours)</w:t>
            </w:r>
          </w:p>
        </w:tc>
      </w:tr>
      <w:tr w:rsidR="007528DF" w:rsidRPr="00BD24C2" w:rsidTr="007528DF">
        <w:tc>
          <w:tcPr>
            <w:tcW w:w="1260" w:type="dxa"/>
            <w:vMerge w:val="restart"/>
            <w:tcBorders>
              <w:top w:val="single" w:sz="4" w:space="0" w:color="auto"/>
            </w:tcBorders>
          </w:tcPr>
          <w:p w:rsidR="000C18B6" w:rsidRDefault="00171D41" w:rsidP="000C18B6">
            <w:pPr>
              <w:rPr>
                <w:b/>
                <w:sz w:val="20"/>
                <w:szCs w:val="20"/>
              </w:rPr>
            </w:pPr>
            <w:r>
              <w:rPr>
                <w:b/>
                <w:sz w:val="20"/>
                <w:szCs w:val="20"/>
              </w:rPr>
              <w:t>Core</w:t>
            </w:r>
          </w:p>
          <w:p w:rsidR="007528DF" w:rsidRPr="008521B3" w:rsidRDefault="007528DF" w:rsidP="000C18B6">
            <w:pPr>
              <w:rPr>
                <w:b/>
                <w:sz w:val="20"/>
                <w:szCs w:val="20"/>
              </w:rPr>
            </w:pPr>
            <w:r w:rsidRPr="008521B3">
              <w:rPr>
                <w:b/>
                <w:sz w:val="20"/>
                <w:szCs w:val="20"/>
              </w:rPr>
              <w:t xml:space="preserve">NAMCS </w:t>
            </w:r>
            <w:r>
              <w:rPr>
                <w:b/>
                <w:sz w:val="20"/>
                <w:szCs w:val="20"/>
              </w:rPr>
              <w:t>F</w:t>
            </w:r>
            <w:r w:rsidRPr="008521B3">
              <w:rPr>
                <w:b/>
                <w:sz w:val="20"/>
                <w:szCs w:val="20"/>
              </w:rPr>
              <w:t>orms</w:t>
            </w:r>
          </w:p>
        </w:tc>
        <w:tc>
          <w:tcPr>
            <w:tcW w:w="1530" w:type="dxa"/>
            <w:tcBorders>
              <w:top w:val="single" w:sz="4" w:space="0" w:color="auto"/>
            </w:tcBorders>
            <w:vAlign w:val="bottom"/>
          </w:tcPr>
          <w:p w:rsidR="007528DF" w:rsidRPr="005C4C06" w:rsidRDefault="007528DF" w:rsidP="007528DF">
            <w:pPr>
              <w:rPr>
                <w:sz w:val="20"/>
                <w:szCs w:val="20"/>
              </w:rPr>
            </w:pPr>
            <w:r w:rsidRPr="005C4C06">
              <w:rPr>
                <w:sz w:val="20"/>
                <w:szCs w:val="20"/>
              </w:rPr>
              <w:t>Office-based physicians/CHC providers</w:t>
            </w:r>
          </w:p>
        </w:tc>
        <w:tc>
          <w:tcPr>
            <w:tcW w:w="1800" w:type="dxa"/>
            <w:tcBorders>
              <w:top w:val="single" w:sz="4" w:space="0" w:color="auto"/>
            </w:tcBorders>
            <w:vAlign w:val="bottom"/>
          </w:tcPr>
          <w:p w:rsidR="007528DF" w:rsidRPr="005C4C06" w:rsidRDefault="007528DF" w:rsidP="007528DF">
            <w:pPr>
              <w:rPr>
                <w:sz w:val="20"/>
                <w:szCs w:val="20"/>
              </w:rPr>
            </w:pPr>
            <w:r w:rsidRPr="005C4C06">
              <w:rPr>
                <w:sz w:val="20"/>
                <w:szCs w:val="20"/>
              </w:rPr>
              <w:t>Physician Induction Interview (NAMCS-1)</w:t>
            </w:r>
          </w:p>
        </w:tc>
        <w:tc>
          <w:tcPr>
            <w:tcW w:w="1350" w:type="dxa"/>
            <w:tcBorders>
              <w:top w:val="single" w:sz="4" w:space="0" w:color="auto"/>
            </w:tcBorders>
            <w:vAlign w:val="bottom"/>
          </w:tcPr>
          <w:p w:rsidR="007528DF" w:rsidRPr="005C4C06" w:rsidRDefault="007528DF" w:rsidP="007528DF">
            <w:pPr>
              <w:rPr>
                <w:sz w:val="20"/>
                <w:szCs w:val="20"/>
              </w:rPr>
            </w:pPr>
            <w:r w:rsidRPr="005C4C06">
              <w:rPr>
                <w:sz w:val="20"/>
                <w:szCs w:val="20"/>
              </w:rPr>
              <w:t>5,012</w:t>
            </w:r>
          </w:p>
        </w:tc>
        <w:tc>
          <w:tcPr>
            <w:tcW w:w="1440" w:type="dxa"/>
            <w:tcBorders>
              <w:top w:val="single" w:sz="4" w:space="0" w:color="auto"/>
            </w:tcBorders>
            <w:vAlign w:val="bottom"/>
          </w:tcPr>
          <w:p w:rsidR="007528DF" w:rsidRPr="005C4C06" w:rsidRDefault="007528DF" w:rsidP="007528DF">
            <w:pPr>
              <w:rPr>
                <w:sz w:val="20"/>
                <w:szCs w:val="20"/>
              </w:rPr>
            </w:pPr>
            <w:r w:rsidRPr="005C4C06">
              <w:rPr>
                <w:sz w:val="20"/>
                <w:szCs w:val="20"/>
              </w:rPr>
              <w:t>1</w:t>
            </w:r>
          </w:p>
        </w:tc>
        <w:tc>
          <w:tcPr>
            <w:tcW w:w="1260" w:type="dxa"/>
            <w:tcBorders>
              <w:top w:val="single" w:sz="4" w:space="0" w:color="auto"/>
            </w:tcBorders>
            <w:vAlign w:val="bottom"/>
          </w:tcPr>
          <w:p w:rsidR="007528DF" w:rsidRPr="005C4C06" w:rsidRDefault="007528DF" w:rsidP="007528DF">
            <w:pPr>
              <w:rPr>
                <w:sz w:val="20"/>
                <w:szCs w:val="20"/>
              </w:rPr>
            </w:pPr>
            <w:r w:rsidRPr="005C4C06">
              <w:rPr>
                <w:sz w:val="20"/>
                <w:szCs w:val="20"/>
              </w:rPr>
              <w:t>28/60</w:t>
            </w:r>
          </w:p>
        </w:tc>
        <w:tc>
          <w:tcPr>
            <w:tcW w:w="1170" w:type="dxa"/>
            <w:tcBorders>
              <w:top w:val="single" w:sz="4" w:space="0" w:color="auto"/>
            </w:tcBorders>
            <w:vAlign w:val="bottom"/>
          </w:tcPr>
          <w:p w:rsidR="007528DF" w:rsidRPr="005C4C06" w:rsidRDefault="007528DF" w:rsidP="007528DF">
            <w:pPr>
              <w:rPr>
                <w:sz w:val="20"/>
                <w:szCs w:val="20"/>
              </w:rPr>
            </w:pPr>
            <w:r w:rsidRPr="005C4C06">
              <w:rPr>
                <w:sz w:val="20"/>
                <w:szCs w:val="20"/>
              </w:rPr>
              <w:t>2,339</w:t>
            </w:r>
          </w:p>
        </w:tc>
      </w:tr>
      <w:tr w:rsidR="007528DF" w:rsidRPr="00BD24C2" w:rsidTr="007528DF">
        <w:trPr>
          <w:trHeight w:val="683"/>
        </w:trPr>
        <w:tc>
          <w:tcPr>
            <w:tcW w:w="1260" w:type="dxa"/>
            <w:vMerge/>
          </w:tcPr>
          <w:p w:rsidR="007528DF" w:rsidRPr="005C4C06" w:rsidRDefault="007528DF" w:rsidP="00603942">
            <w:pPr>
              <w:rPr>
                <w:sz w:val="20"/>
                <w:szCs w:val="20"/>
              </w:rPr>
            </w:pPr>
          </w:p>
        </w:tc>
        <w:tc>
          <w:tcPr>
            <w:tcW w:w="1530" w:type="dxa"/>
            <w:vAlign w:val="bottom"/>
          </w:tcPr>
          <w:p w:rsidR="007528DF" w:rsidRPr="005C4C06" w:rsidRDefault="007528DF" w:rsidP="007528DF">
            <w:pPr>
              <w:rPr>
                <w:sz w:val="20"/>
                <w:szCs w:val="20"/>
              </w:rPr>
            </w:pPr>
            <w:r w:rsidRPr="005C4C06">
              <w:rPr>
                <w:sz w:val="20"/>
                <w:szCs w:val="20"/>
              </w:rPr>
              <w:t>Community Health Center Directors</w:t>
            </w:r>
          </w:p>
        </w:tc>
        <w:tc>
          <w:tcPr>
            <w:tcW w:w="1800" w:type="dxa"/>
            <w:vAlign w:val="bottom"/>
          </w:tcPr>
          <w:p w:rsidR="007528DF" w:rsidRPr="005C4C06" w:rsidRDefault="007528DF" w:rsidP="007528DF">
            <w:pPr>
              <w:rPr>
                <w:sz w:val="20"/>
                <w:szCs w:val="20"/>
              </w:rPr>
            </w:pPr>
            <w:r w:rsidRPr="005C4C06">
              <w:rPr>
                <w:sz w:val="20"/>
                <w:szCs w:val="20"/>
              </w:rPr>
              <w:t>Community Health Center Induction Interview (NAMCS-201)</w:t>
            </w:r>
          </w:p>
        </w:tc>
        <w:tc>
          <w:tcPr>
            <w:tcW w:w="1350" w:type="dxa"/>
            <w:vAlign w:val="bottom"/>
          </w:tcPr>
          <w:p w:rsidR="007528DF" w:rsidRPr="005C4C06" w:rsidRDefault="007528DF" w:rsidP="007528DF">
            <w:pPr>
              <w:rPr>
                <w:sz w:val="20"/>
                <w:szCs w:val="20"/>
              </w:rPr>
            </w:pPr>
            <w:r w:rsidRPr="005C4C06">
              <w:rPr>
                <w:sz w:val="20"/>
                <w:szCs w:val="20"/>
              </w:rPr>
              <w:t>104</w:t>
            </w:r>
          </w:p>
        </w:tc>
        <w:tc>
          <w:tcPr>
            <w:tcW w:w="1440" w:type="dxa"/>
            <w:vAlign w:val="bottom"/>
          </w:tcPr>
          <w:p w:rsidR="007528DF" w:rsidRPr="005C4C06" w:rsidRDefault="007528DF" w:rsidP="007528DF">
            <w:pPr>
              <w:rPr>
                <w:sz w:val="20"/>
                <w:szCs w:val="20"/>
              </w:rPr>
            </w:pPr>
            <w:r w:rsidRPr="005C4C06">
              <w:rPr>
                <w:sz w:val="20"/>
                <w:szCs w:val="20"/>
              </w:rPr>
              <w:t>1</w:t>
            </w:r>
          </w:p>
        </w:tc>
        <w:tc>
          <w:tcPr>
            <w:tcW w:w="1260" w:type="dxa"/>
            <w:vAlign w:val="bottom"/>
          </w:tcPr>
          <w:p w:rsidR="007528DF" w:rsidRPr="005C4C06" w:rsidRDefault="007528DF" w:rsidP="007528DF">
            <w:pPr>
              <w:rPr>
                <w:sz w:val="20"/>
                <w:szCs w:val="20"/>
              </w:rPr>
            </w:pPr>
            <w:r w:rsidRPr="005C4C06">
              <w:rPr>
                <w:sz w:val="20"/>
                <w:szCs w:val="20"/>
              </w:rPr>
              <w:t>20/60</w:t>
            </w:r>
          </w:p>
        </w:tc>
        <w:tc>
          <w:tcPr>
            <w:tcW w:w="1170" w:type="dxa"/>
            <w:vAlign w:val="bottom"/>
          </w:tcPr>
          <w:p w:rsidR="007528DF" w:rsidRPr="005C4C06" w:rsidRDefault="007528DF" w:rsidP="007528DF">
            <w:pPr>
              <w:rPr>
                <w:sz w:val="20"/>
                <w:szCs w:val="20"/>
              </w:rPr>
            </w:pPr>
            <w:r w:rsidRPr="005C4C06">
              <w:rPr>
                <w:sz w:val="20"/>
                <w:szCs w:val="20"/>
              </w:rPr>
              <w:t>35</w:t>
            </w:r>
          </w:p>
        </w:tc>
      </w:tr>
      <w:tr w:rsidR="007528DF" w:rsidRPr="00BD24C2" w:rsidTr="007528DF">
        <w:tc>
          <w:tcPr>
            <w:tcW w:w="1260" w:type="dxa"/>
            <w:vMerge/>
          </w:tcPr>
          <w:p w:rsidR="007528DF" w:rsidRPr="005C4C06" w:rsidRDefault="007528DF" w:rsidP="00603942">
            <w:pPr>
              <w:rPr>
                <w:sz w:val="20"/>
                <w:szCs w:val="20"/>
              </w:rPr>
            </w:pPr>
          </w:p>
        </w:tc>
        <w:tc>
          <w:tcPr>
            <w:tcW w:w="1530" w:type="dxa"/>
            <w:vAlign w:val="bottom"/>
          </w:tcPr>
          <w:p w:rsidR="007528DF" w:rsidRPr="005C4C06" w:rsidRDefault="007528DF" w:rsidP="007528DF">
            <w:pPr>
              <w:rPr>
                <w:sz w:val="20"/>
                <w:szCs w:val="20"/>
              </w:rPr>
            </w:pPr>
            <w:r w:rsidRPr="005C4C06">
              <w:rPr>
                <w:sz w:val="20"/>
                <w:szCs w:val="20"/>
              </w:rPr>
              <w:t>Office-based physicians/CHC providers/staff</w:t>
            </w:r>
          </w:p>
        </w:tc>
        <w:tc>
          <w:tcPr>
            <w:tcW w:w="1800" w:type="dxa"/>
            <w:vAlign w:val="bottom"/>
          </w:tcPr>
          <w:p w:rsidR="007528DF" w:rsidRDefault="007528DF" w:rsidP="007528DF">
            <w:pPr>
              <w:rPr>
                <w:sz w:val="20"/>
                <w:szCs w:val="20"/>
              </w:rPr>
            </w:pPr>
          </w:p>
          <w:p w:rsidR="007528DF" w:rsidRPr="005C4C06" w:rsidRDefault="007528DF" w:rsidP="007528DF">
            <w:pPr>
              <w:rPr>
                <w:sz w:val="20"/>
                <w:szCs w:val="20"/>
              </w:rPr>
            </w:pPr>
            <w:r w:rsidRPr="005C4C06">
              <w:rPr>
                <w:sz w:val="20"/>
                <w:szCs w:val="20"/>
              </w:rPr>
              <w:t>Patient Record form (NAMCS-30)</w:t>
            </w:r>
          </w:p>
        </w:tc>
        <w:tc>
          <w:tcPr>
            <w:tcW w:w="1350" w:type="dxa"/>
            <w:vAlign w:val="bottom"/>
          </w:tcPr>
          <w:p w:rsidR="007528DF" w:rsidRPr="005C4C06" w:rsidRDefault="007528DF" w:rsidP="007528DF">
            <w:pPr>
              <w:rPr>
                <w:sz w:val="20"/>
                <w:szCs w:val="20"/>
              </w:rPr>
            </w:pPr>
            <w:r w:rsidRPr="005C4C06">
              <w:rPr>
                <w:sz w:val="20"/>
                <w:szCs w:val="20"/>
              </w:rPr>
              <w:t>1,017</w:t>
            </w:r>
          </w:p>
        </w:tc>
        <w:tc>
          <w:tcPr>
            <w:tcW w:w="1440" w:type="dxa"/>
            <w:vAlign w:val="bottom"/>
          </w:tcPr>
          <w:p w:rsidR="007528DF" w:rsidRPr="005C4C06" w:rsidRDefault="007528DF" w:rsidP="007528DF">
            <w:pPr>
              <w:rPr>
                <w:sz w:val="20"/>
                <w:szCs w:val="20"/>
              </w:rPr>
            </w:pPr>
            <w:r w:rsidRPr="005C4C06">
              <w:rPr>
                <w:sz w:val="20"/>
                <w:szCs w:val="20"/>
              </w:rPr>
              <w:t>30</w:t>
            </w:r>
          </w:p>
        </w:tc>
        <w:tc>
          <w:tcPr>
            <w:tcW w:w="1260" w:type="dxa"/>
            <w:vAlign w:val="bottom"/>
          </w:tcPr>
          <w:p w:rsidR="007528DF" w:rsidRPr="005C4C06" w:rsidRDefault="007528DF" w:rsidP="007528DF">
            <w:pPr>
              <w:rPr>
                <w:sz w:val="20"/>
                <w:szCs w:val="20"/>
              </w:rPr>
            </w:pPr>
            <w:r w:rsidRPr="005C4C06">
              <w:rPr>
                <w:sz w:val="20"/>
                <w:szCs w:val="20"/>
              </w:rPr>
              <w:t>11/60</w:t>
            </w:r>
          </w:p>
        </w:tc>
        <w:tc>
          <w:tcPr>
            <w:tcW w:w="1170" w:type="dxa"/>
            <w:vAlign w:val="bottom"/>
          </w:tcPr>
          <w:p w:rsidR="007528DF" w:rsidRPr="005C4C06" w:rsidRDefault="007528DF" w:rsidP="007528DF">
            <w:pPr>
              <w:rPr>
                <w:sz w:val="20"/>
                <w:szCs w:val="20"/>
              </w:rPr>
            </w:pPr>
            <w:r w:rsidRPr="005C4C06">
              <w:rPr>
                <w:sz w:val="20"/>
                <w:szCs w:val="20"/>
              </w:rPr>
              <w:t>5,594</w:t>
            </w:r>
          </w:p>
        </w:tc>
      </w:tr>
      <w:tr w:rsidR="007528DF" w:rsidRPr="00BD24C2" w:rsidTr="007528DF">
        <w:tc>
          <w:tcPr>
            <w:tcW w:w="1260" w:type="dxa"/>
            <w:vMerge/>
          </w:tcPr>
          <w:p w:rsidR="007528DF" w:rsidRPr="005C4C06" w:rsidRDefault="007528DF" w:rsidP="00603942">
            <w:pPr>
              <w:rPr>
                <w:sz w:val="20"/>
                <w:szCs w:val="20"/>
              </w:rPr>
            </w:pPr>
          </w:p>
        </w:tc>
        <w:tc>
          <w:tcPr>
            <w:tcW w:w="1530" w:type="dxa"/>
            <w:vAlign w:val="bottom"/>
          </w:tcPr>
          <w:p w:rsidR="007528DF" w:rsidRPr="005C4C06" w:rsidRDefault="007528DF" w:rsidP="007528DF">
            <w:pPr>
              <w:rPr>
                <w:sz w:val="20"/>
                <w:szCs w:val="20"/>
              </w:rPr>
            </w:pPr>
            <w:r w:rsidRPr="005C4C06">
              <w:rPr>
                <w:sz w:val="20"/>
                <w:szCs w:val="20"/>
              </w:rPr>
              <w:t>Office/CHC staff</w:t>
            </w:r>
          </w:p>
        </w:tc>
        <w:tc>
          <w:tcPr>
            <w:tcW w:w="1800" w:type="dxa"/>
            <w:vAlign w:val="bottom"/>
          </w:tcPr>
          <w:p w:rsidR="007528DF" w:rsidRPr="005C4C06" w:rsidRDefault="007528DF" w:rsidP="007528DF">
            <w:pPr>
              <w:rPr>
                <w:sz w:val="20"/>
                <w:szCs w:val="20"/>
              </w:rPr>
            </w:pPr>
            <w:r w:rsidRPr="005C4C06">
              <w:rPr>
                <w:sz w:val="20"/>
                <w:szCs w:val="20"/>
              </w:rPr>
              <w:t>Pulling, re-filing Patient Record form (NAMCS-30)</w:t>
            </w:r>
          </w:p>
        </w:tc>
        <w:tc>
          <w:tcPr>
            <w:tcW w:w="1350" w:type="dxa"/>
            <w:vAlign w:val="bottom"/>
          </w:tcPr>
          <w:p w:rsidR="007528DF" w:rsidRPr="005C4C06" w:rsidRDefault="007528DF" w:rsidP="007528DF">
            <w:pPr>
              <w:rPr>
                <w:sz w:val="20"/>
                <w:szCs w:val="20"/>
              </w:rPr>
            </w:pPr>
            <w:r w:rsidRPr="005C4C06">
              <w:rPr>
                <w:sz w:val="20"/>
                <w:szCs w:val="20"/>
              </w:rPr>
              <w:t>893</w:t>
            </w:r>
          </w:p>
        </w:tc>
        <w:tc>
          <w:tcPr>
            <w:tcW w:w="1440" w:type="dxa"/>
            <w:vAlign w:val="bottom"/>
          </w:tcPr>
          <w:p w:rsidR="007528DF" w:rsidRPr="005C4C06" w:rsidRDefault="007528DF" w:rsidP="007528DF">
            <w:pPr>
              <w:rPr>
                <w:sz w:val="20"/>
                <w:szCs w:val="20"/>
              </w:rPr>
            </w:pPr>
            <w:r w:rsidRPr="005C4C06">
              <w:rPr>
                <w:sz w:val="20"/>
                <w:szCs w:val="20"/>
              </w:rPr>
              <w:t>30</w:t>
            </w:r>
          </w:p>
        </w:tc>
        <w:tc>
          <w:tcPr>
            <w:tcW w:w="1260" w:type="dxa"/>
            <w:vAlign w:val="bottom"/>
          </w:tcPr>
          <w:p w:rsidR="007528DF" w:rsidRPr="005C4C06" w:rsidRDefault="007528DF" w:rsidP="007528DF">
            <w:pPr>
              <w:rPr>
                <w:sz w:val="20"/>
                <w:szCs w:val="20"/>
              </w:rPr>
            </w:pPr>
            <w:r w:rsidRPr="005C4C06">
              <w:rPr>
                <w:sz w:val="20"/>
                <w:szCs w:val="20"/>
              </w:rPr>
              <w:t>1/60</w:t>
            </w:r>
          </w:p>
        </w:tc>
        <w:tc>
          <w:tcPr>
            <w:tcW w:w="1170" w:type="dxa"/>
            <w:vAlign w:val="bottom"/>
          </w:tcPr>
          <w:p w:rsidR="007528DF" w:rsidRPr="005C4C06" w:rsidRDefault="007528DF" w:rsidP="007528DF">
            <w:pPr>
              <w:rPr>
                <w:sz w:val="20"/>
                <w:szCs w:val="20"/>
              </w:rPr>
            </w:pPr>
            <w:r w:rsidRPr="005C4C06">
              <w:rPr>
                <w:sz w:val="20"/>
                <w:szCs w:val="20"/>
              </w:rPr>
              <w:t>447</w:t>
            </w:r>
          </w:p>
        </w:tc>
      </w:tr>
      <w:tr w:rsidR="007528DF" w:rsidRPr="00BD24C2" w:rsidTr="007528DF">
        <w:tc>
          <w:tcPr>
            <w:tcW w:w="1260" w:type="dxa"/>
            <w:vMerge/>
          </w:tcPr>
          <w:p w:rsidR="007528DF" w:rsidRPr="005C4C06" w:rsidRDefault="007528DF" w:rsidP="00603942">
            <w:pPr>
              <w:rPr>
                <w:sz w:val="20"/>
                <w:szCs w:val="20"/>
              </w:rPr>
            </w:pPr>
          </w:p>
        </w:tc>
        <w:tc>
          <w:tcPr>
            <w:tcW w:w="1530" w:type="dxa"/>
            <w:vAlign w:val="bottom"/>
          </w:tcPr>
          <w:p w:rsidR="007528DF" w:rsidRPr="005C4C06" w:rsidRDefault="007528DF" w:rsidP="007528DF">
            <w:pPr>
              <w:ind w:right="-108"/>
              <w:rPr>
                <w:sz w:val="20"/>
                <w:szCs w:val="20"/>
              </w:rPr>
            </w:pPr>
            <w:r w:rsidRPr="005C4C06">
              <w:rPr>
                <w:sz w:val="20"/>
                <w:szCs w:val="20"/>
              </w:rPr>
              <w:t>Office-based physicians/CHC providers/staff</w:t>
            </w:r>
          </w:p>
        </w:tc>
        <w:tc>
          <w:tcPr>
            <w:tcW w:w="1800" w:type="dxa"/>
            <w:vAlign w:val="bottom"/>
          </w:tcPr>
          <w:p w:rsidR="007528DF" w:rsidRDefault="007528DF" w:rsidP="007528DF">
            <w:pPr>
              <w:rPr>
                <w:sz w:val="20"/>
                <w:szCs w:val="20"/>
              </w:rPr>
            </w:pPr>
          </w:p>
          <w:p w:rsidR="007528DF" w:rsidRDefault="007528DF" w:rsidP="007528DF">
            <w:pPr>
              <w:rPr>
                <w:sz w:val="20"/>
                <w:szCs w:val="20"/>
              </w:rPr>
            </w:pPr>
          </w:p>
          <w:p w:rsidR="007528DF" w:rsidRPr="005C4C06" w:rsidRDefault="007528DF" w:rsidP="007528DF">
            <w:pPr>
              <w:rPr>
                <w:sz w:val="20"/>
                <w:szCs w:val="20"/>
              </w:rPr>
            </w:pPr>
            <w:r w:rsidRPr="005C4C06">
              <w:rPr>
                <w:sz w:val="20"/>
                <w:szCs w:val="20"/>
              </w:rPr>
              <w:t>Asthma Supplement</w:t>
            </w:r>
          </w:p>
        </w:tc>
        <w:tc>
          <w:tcPr>
            <w:tcW w:w="1350" w:type="dxa"/>
            <w:vAlign w:val="bottom"/>
          </w:tcPr>
          <w:p w:rsidR="007528DF" w:rsidRPr="005C4C06" w:rsidRDefault="007528DF" w:rsidP="007528DF">
            <w:pPr>
              <w:rPr>
                <w:sz w:val="20"/>
                <w:szCs w:val="20"/>
              </w:rPr>
            </w:pPr>
            <w:r w:rsidRPr="005C4C06">
              <w:rPr>
                <w:sz w:val="20"/>
                <w:szCs w:val="20"/>
              </w:rPr>
              <w:t>669</w:t>
            </w:r>
          </w:p>
        </w:tc>
        <w:tc>
          <w:tcPr>
            <w:tcW w:w="1440" w:type="dxa"/>
            <w:vAlign w:val="bottom"/>
          </w:tcPr>
          <w:p w:rsidR="007528DF" w:rsidRPr="005C4C06" w:rsidRDefault="007528DF" w:rsidP="007528DF">
            <w:pPr>
              <w:rPr>
                <w:sz w:val="20"/>
                <w:szCs w:val="20"/>
              </w:rPr>
            </w:pPr>
            <w:r w:rsidRPr="005C4C06">
              <w:rPr>
                <w:sz w:val="20"/>
                <w:szCs w:val="20"/>
              </w:rPr>
              <w:t>1</w:t>
            </w:r>
          </w:p>
        </w:tc>
        <w:tc>
          <w:tcPr>
            <w:tcW w:w="1260" w:type="dxa"/>
            <w:vAlign w:val="bottom"/>
          </w:tcPr>
          <w:p w:rsidR="007528DF" w:rsidRPr="005C4C06" w:rsidRDefault="007528DF" w:rsidP="007528DF">
            <w:pPr>
              <w:rPr>
                <w:sz w:val="20"/>
                <w:szCs w:val="20"/>
              </w:rPr>
            </w:pPr>
            <w:r w:rsidRPr="005C4C06">
              <w:rPr>
                <w:sz w:val="20"/>
                <w:szCs w:val="20"/>
              </w:rPr>
              <w:t>15/60</w:t>
            </w:r>
          </w:p>
        </w:tc>
        <w:tc>
          <w:tcPr>
            <w:tcW w:w="1170" w:type="dxa"/>
            <w:vAlign w:val="bottom"/>
          </w:tcPr>
          <w:p w:rsidR="007528DF" w:rsidRPr="005C4C06" w:rsidRDefault="007528DF" w:rsidP="007528DF">
            <w:pPr>
              <w:rPr>
                <w:sz w:val="20"/>
                <w:szCs w:val="20"/>
              </w:rPr>
            </w:pPr>
            <w:r w:rsidRPr="005C4C06">
              <w:rPr>
                <w:sz w:val="20"/>
                <w:szCs w:val="20"/>
              </w:rPr>
              <w:t>167</w:t>
            </w:r>
          </w:p>
        </w:tc>
      </w:tr>
      <w:tr w:rsidR="008521B3" w:rsidRPr="00BD24C2" w:rsidTr="007528DF">
        <w:tc>
          <w:tcPr>
            <w:tcW w:w="1260" w:type="dxa"/>
          </w:tcPr>
          <w:p w:rsidR="008521B3" w:rsidRPr="007528DF" w:rsidRDefault="003F6A55" w:rsidP="00603942">
            <w:pPr>
              <w:rPr>
                <w:b/>
                <w:sz w:val="20"/>
                <w:szCs w:val="20"/>
              </w:rPr>
            </w:pPr>
            <w:r>
              <w:rPr>
                <w:b/>
                <w:sz w:val="20"/>
                <w:szCs w:val="20"/>
              </w:rPr>
              <w:t>EMR/</w:t>
            </w:r>
            <w:r w:rsidR="007528DF" w:rsidRPr="007528DF">
              <w:rPr>
                <w:b/>
                <w:sz w:val="20"/>
                <w:szCs w:val="20"/>
              </w:rPr>
              <w:t>E</w:t>
            </w:r>
            <w:r>
              <w:rPr>
                <w:b/>
                <w:sz w:val="20"/>
                <w:szCs w:val="20"/>
              </w:rPr>
              <w:t>H</w:t>
            </w:r>
            <w:r w:rsidR="007528DF" w:rsidRPr="007528DF">
              <w:rPr>
                <w:b/>
                <w:sz w:val="20"/>
                <w:szCs w:val="20"/>
              </w:rPr>
              <w:t>R Mail Survey</w:t>
            </w:r>
          </w:p>
        </w:tc>
        <w:tc>
          <w:tcPr>
            <w:tcW w:w="1530" w:type="dxa"/>
            <w:vAlign w:val="bottom"/>
          </w:tcPr>
          <w:p w:rsidR="008521B3" w:rsidRPr="005C4C06" w:rsidRDefault="008521B3" w:rsidP="007528DF">
            <w:pPr>
              <w:rPr>
                <w:sz w:val="20"/>
                <w:szCs w:val="20"/>
              </w:rPr>
            </w:pPr>
            <w:r w:rsidRPr="005C4C06">
              <w:rPr>
                <w:sz w:val="20"/>
                <w:szCs w:val="20"/>
              </w:rPr>
              <w:t>Office-based physicians</w:t>
            </w:r>
          </w:p>
        </w:tc>
        <w:tc>
          <w:tcPr>
            <w:tcW w:w="1800" w:type="dxa"/>
            <w:vAlign w:val="bottom"/>
          </w:tcPr>
          <w:p w:rsidR="008521B3" w:rsidRPr="005C4C06" w:rsidRDefault="008521B3" w:rsidP="007528DF">
            <w:pPr>
              <w:rPr>
                <w:sz w:val="20"/>
                <w:szCs w:val="20"/>
              </w:rPr>
            </w:pPr>
            <w:r w:rsidRPr="005C4C06">
              <w:rPr>
                <w:sz w:val="20"/>
                <w:szCs w:val="20"/>
              </w:rPr>
              <w:t>EMR/EHR Mail Survey</w:t>
            </w:r>
          </w:p>
        </w:tc>
        <w:tc>
          <w:tcPr>
            <w:tcW w:w="1350" w:type="dxa"/>
            <w:vAlign w:val="bottom"/>
          </w:tcPr>
          <w:p w:rsidR="008521B3" w:rsidRPr="005C4C06" w:rsidRDefault="008521B3" w:rsidP="007528DF">
            <w:pPr>
              <w:rPr>
                <w:sz w:val="20"/>
                <w:szCs w:val="20"/>
              </w:rPr>
            </w:pPr>
            <w:r w:rsidRPr="005C4C06">
              <w:rPr>
                <w:sz w:val="20"/>
                <w:szCs w:val="20"/>
              </w:rPr>
              <w:t>5,460</w:t>
            </w:r>
          </w:p>
        </w:tc>
        <w:tc>
          <w:tcPr>
            <w:tcW w:w="1440" w:type="dxa"/>
            <w:vAlign w:val="bottom"/>
          </w:tcPr>
          <w:p w:rsidR="008521B3" w:rsidRPr="005C4C06" w:rsidRDefault="008521B3" w:rsidP="007528DF">
            <w:pPr>
              <w:rPr>
                <w:sz w:val="20"/>
                <w:szCs w:val="20"/>
              </w:rPr>
            </w:pPr>
            <w:r w:rsidRPr="005C4C06">
              <w:rPr>
                <w:sz w:val="20"/>
                <w:szCs w:val="20"/>
              </w:rPr>
              <w:t>1</w:t>
            </w:r>
          </w:p>
        </w:tc>
        <w:tc>
          <w:tcPr>
            <w:tcW w:w="1260" w:type="dxa"/>
            <w:vAlign w:val="bottom"/>
          </w:tcPr>
          <w:p w:rsidR="008521B3" w:rsidRPr="005C4C06" w:rsidRDefault="008521B3" w:rsidP="007528DF">
            <w:pPr>
              <w:rPr>
                <w:sz w:val="20"/>
                <w:szCs w:val="20"/>
              </w:rPr>
            </w:pPr>
            <w:r w:rsidRPr="005C4C06">
              <w:rPr>
                <w:sz w:val="20"/>
                <w:szCs w:val="20"/>
              </w:rPr>
              <w:t>20/60</w:t>
            </w:r>
          </w:p>
        </w:tc>
        <w:tc>
          <w:tcPr>
            <w:tcW w:w="1170" w:type="dxa"/>
            <w:vAlign w:val="bottom"/>
          </w:tcPr>
          <w:p w:rsidR="008521B3" w:rsidRPr="005C4C06" w:rsidRDefault="008521B3" w:rsidP="007528DF">
            <w:pPr>
              <w:rPr>
                <w:sz w:val="20"/>
                <w:szCs w:val="20"/>
              </w:rPr>
            </w:pPr>
            <w:r w:rsidRPr="005C4C06">
              <w:rPr>
                <w:sz w:val="20"/>
                <w:szCs w:val="20"/>
              </w:rPr>
              <w:t>1,820</w:t>
            </w:r>
          </w:p>
        </w:tc>
      </w:tr>
      <w:tr w:rsidR="0079129F" w:rsidRPr="00BD24C2" w:rsidTr="007528DF">
        <w:tc>
          <w:tcPr>
            <w:tcW w:w="1260" w:type="dxa"/>
          </w:tcPr>
          <w:p w:rsidR="0079129F" w:rsidRPr="007528DF" w:rsidRDefault="003F6A55" w:rsidP="003F6A55">
            <w:pPr>
              <w:rPr>
                <w:b/>
                <w:sz w:val="20"/>
                <w:szCs w:val="20"/>
              </w:rPr>
            </w:pPr>
            <w:r>
              <w:rPr>
                <w:b/>
                <w:sz w:val="20"/>
                <w:szCs w:val="20"/>
              </w:rPr>
              <w:t xml:space="preserve">Follow up </w:t>
            </w:r>
            <w:r w:rsidR="0079129F" w:rsidRPr="007528DF">
              <w:rPr>
                <w:b/>
                <w:sz w:val="20"/>
                <w:szCs w:val="20"/>
              </w:rPr>
              <w:t>EMR/E</w:t>
            </w:r>
            <w:r>
              <w:rPr>
                <w:b/>
                <w:sz w:val="20"/>
                <w:szCs w:val="20"/>
              </w:rPr>
              <w:t>H</w:t>
            </w:r>
            <w:r w:rsidR="0079129F" w:rsidRPr="007528DF">
              <w:rPr>
                <w:b/>
                <w:sz w:val="20"/>
                <w:szCs w:val="20"/>
              </w:rPr>
              <w:t>R Mail Survey</w:t>
            </w:r>
          </w:p>
        </w:tc>
        <w:tc>
          <w:tcPr>
            <w:tcW w:w="1530" w:type="dxa"/>
            <w:vAlign w:val="bottom"/>
          </w:tcPr>
          <w:p w:rsidR="0079129F" w:rsidRPr="0073669C" w:rsidRDefault="0079129F" w:rsidP="0079129F">
            <w:pPr>
              <w:rPr>
                <w:sz w:val="20"/>
                <w:szCs w:val="20"/>
              </w:rPr>
            </w:pPr>
            <w:r w:rsidRPr="0073669C">
              <w:rPr>
                <w:sz w:val="20"/>
                <w:szCs w:val="20"/>
              </w:rPr>
              <w:t>Office-based physicians</w:t>
            </w:r>
          </w:p>
        </w:tc>
        <w:tc>
          <w:tcPr>
            <w:tcW w:w="1800" w:type="dxa"/>
            <w:vAlign w:val="bottom"/>
          </w:tcPr>
          <w:p w:rsidR="0079129F" w:rsidRPr="0073669C" w:rsidRDefault="003F6A55" w:rsidP="0079129F">
            <w:pPr>
              <w:rPr>
                <w:sz w:val="20"/>
                <w:szCs w:val="20"/>
              </w:rPr>
            </w:pPr>
            <w:r w:rsidRPr="0073669C">
              <w:rPr>
                <w:sz w:val="20"/>
                <w:szCs w:val="20"/>
              </w:rPr>
              <w:t>Physician Workflow</w:t>
            </w:r>
            <w:r w:rsidR="0079129F" w:rsidRPr="0073669C">
              <w:rPr>
                <w:sz w:val="20"/>
                <w:szCs w:val="20"/>
              </w:rPr>
              <w:t xml:space="preserve"> Survey</w:t>
            </w:r>
          </w:p>
        </w:tc>
        <w:tc>
          <w:tcPr>
            <w:tcW w:w="1350" w:type="dxa"/>
            <w:vAlign w:val="bottom"/>
          </w:tcPr>
          <w:p w:rsidR="0079129F" w:rsidRPr="0073669C" w:rsidRDefault="0079129F" w:rsidP="0079129F">
            <w:pPr>
              <w:rPr>
                <w:sz w:val="20"/>
                <w:szCs w:val="20"/>
              </w:rPr>
            </w:pPr>
            <w:r w:rsidRPr="0073669C">
              <w:rPr>
                <w:sz w:val="20"/>
                <w:szCs w:val="20"/>
              </w:rPr>
              <w:t>2,982</w:t>
            </w:r>
          </w:p>
        </w:tc>
        <w:tc>
          <w:tcPr>
            <w:tcW w:w="1440" w:type="dxa"/>
            <w:vAlign w:val="bottom"/>
          </w:tcPr>
          <w:p w:rsidR="0079129F" w:rsidRPr="0073669C" w:rsidRDefault="0079129F" w:rsidP="0079129F">
            <w:pPr>
              <w:rPr>
                <w:sz w:val="20"/>
                <w:szCs w:val="20"/>
              </w:rPr>
            </w:pPr>
            <w:r w:rsidRPr="0073669C">
              <w:rPr>
                <w:sz w:val="20"/>
                <w:szCs w:val="20"/>
              </w:rPr>
              <w:t>1</w:t>
            </w:r>
          </w:p>
        </w:tc>
        <w:tc>
          <w:tcPr>
            <w:tcW w:w="1260" w:type="dxa"/>
            <w:vAlign w:val="bottom"/>
          </w:tcPr>
          <w:p w:rsidR="0079129F" w:rsidRPr="0073669C" w:rsidRDefault="0079129F" w:rsidP="0079129F">
            <w:pPr>
              <w:rPr>
                <w:sz w:val="20"/>
                <w:szCs w:val="20"/>
              </w:rPr>
            </w:pPr>
            <w:r w:rsidRPr="0073669C">
              <w:rPr>
                <w:sz w:val="20"/>
                <w:szCs w:val="20"/>
              </w:rPr>
              <w:t>20/60</w:t>
            </w:r>
          </w:p>
        </w:tc>
        <w:tc>
          <w:tcPr>
            <w:tcW w:w="1170" w:type="dxa"/>
            <w:vAlign w:val="bottom"/>
          </w:tcPr>
          <w:p w:rsidR="0079129F" w:rsidRPr="0073669C" w:rsidRDefault="0079129F" w:rsidP="0079129F">
            <w:pPr>
              <w:rPr>
                <w:sz w:val="20"/>
                <w:szCs w:val="20"/>
              </w:rPr>
            </w:pPr>
            <w:r w:rsidRPr="0073669C">
              <w:rPr>
                <w:sz w:val="20"/>
                <w:szCs w:val="20"/>
              </w:rPr>
              <w:t>994</w:t>
            </w:r>
          </w:p>
        </w:tc>
      </w:tr>
      <w:tr w:rsidR="0079129F" w:rsidRPr="00BD24C2" w:rsidTr="007528DF">
        <w:trPr>
          <w:trHeight w:val="773"/>
        </w:trPr>
        <w:tc>
          <w:tcPr>
            <w:tcW w:w="1260" w:type="dxa"/>
            <w:vMerge w:val="restart"/>
          </w:tcPr>
          <w:p w:rsidR="0079129F" w:rsidRDefault="0079129F" w:rsidP="00A31BAB">
            <w:pPr>
              <w:rPr>
                <w:b/>
                <w:sz w:val="20"/>
                <w:szCs w:val="20"/>
              </w:rPr>
            </w:pPr>
            <w:r>
              <w:rPr>
                <w:b/>
                <w:sz w:val="20"/>
                <w:szCs w:val="20"/>
              </w:rPr>
              <w:t>Pretest</w:t>
            </w:r>
            <w:r w:rsidRPr="008521B3">
              <w:rPr>
                <w:b/>
                <w:sz w:val="20"/>
                <w:szCs w:val="20"/>
              </w:rPr>
              <w:t xml:space="preserve"> NAMCS</w:t>
            </w:r>
          </w:p>
          <w:p w:rsidR="0079129F" w:rsidRPr="008521B3" w:rsidRDefault="0079129F" w:rsidP="00A31BAB">
            <w:pPr>
              <w:rPr>
                <w:b/>
                <w:sz w:val="20"/>
                <w:szCs w:val="20"/>
              </w:rPr>
            </w:pPr>
            <w:r>
              <w:rPr>
                <w:b/>
                <w:sz w:val="20"/>
                <w:szCs w:val="20"/>
              </w:rPr>
              <w:t>Forms</w:t>
            </w:r>
          </w:p>
        </w:tc>
        <w:tc>
          <w:tcPr>
            <w:tcW w:w="1530" w:type="dxa"/>
            <w:vAlign w:val="bottom"/>
          </w:tcPr>
          <w:p w:rsidR="0079129F" w:rsidRPr="007C2A85" w:rsidRDefault="0079129F" w:rsidP="007528DF">
            <w:pPr>
              <w:rPr>
                <w:sz w:val="20"/>
                <w:szCs w:val="20"/>
              </w:rPr>
            </w:pPr>
            <w:r w:rsidRPr="007C2A85">
              <w:rPr>
                <w:sz w:val="20"/>
                <w:szCs w:val="20"/>
              </w:rPr>
              <w:t>Office-based physicians</w:t>
            </w:r>
          </w:p>
        </w:tc>
        <w:tc>
          <w:tcPr>
            <w:tcW w:w="1800" w:type="dxa"/>
            <w:vAlign w:val="bottom"/>
          </w:tcPr>
          <w:p w:rsidR="0079129F" w:rsidRPr="007C2A85" w:rsidRDefault="0079129F" w:rsidP="007528DF">
            <w:pPr>
              <w:rPr>
                <w:sz w:val="20"/>
                <w:szCs w:val="20"/>
              </w:rPr>
            </w:pPr>
            <w:r w:rsidRPr="007C2A85">
              <w:rPr>
                <w:sz w:val="20"/>
                <w:szCs w:val="20"/>
              </w:rPr>
              <w:t>Physician Induction Interview (NAMCS-1)</w:t>
            </w:r>
          </w:p>
        </w:tc>
        <w:tc>
          <w:tcPr>
            <w:tcW w:w="1350" w:type="dxa"/>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79129F" w:rsidP="007528DF">
            <w:pPr>
              <w:rPr>
                <w:sz w:val="20"/>
                <w:szCs w:val="20"/>
              </w:rPr>
            </w:pPr>
            <w:r w:rsidRPr="007C2A85">
              <w:rPr>
                <w:sz w:val="20"/>
                <w:szCs w:val="20"/>
              </w:rPr>
              <w:t>100</w:t>
            </w:r>
          </w:p>
        </w:tc>
        <w:tc>
          <w:tcPr>
            <w:tcW w:w="1440" w:type="dxa"/>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79129F" w:rsidP="007528DF">
            <w:pPr>
              <w:rPr>
                <w:sz w:val="20"/>
                <w:szCs w:val="20"/>
              </w:rPr>
            </w:pPr>
            <w:r w:rsidRPr="007C2A85">
              <w:rPr>
                <w:sz w:val="20"/>
                <w:szCs w:val="20"/>
              </w:rPr>
              <w:t>1</w:t>
            </w:r>
          </w:p>
        </w:tc>
        <w:tc>
          <w:tcPr>
            <w:tcW w:w="1260" w:type="dxa"/>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C327DC" w:rsidP="007528DF">
            <w:pPr>
              <w:rPr>
                <w:sz w:val="20"/>
                <w:szCs w:val="20"/>
              </w:rPr>
            </w:pPr>
            <w:r>
              <w:rPr>
                <w:sz w:val="20"/>
                <w:szCs w:val="20"/>
              </w:rPr>
              <w:t>35</w:t>
            </w:r>
            <w:r w:rsidR="0079129F" w:rsidRPr="007C2A85">
              <w:rPr>
                <w:sz w:val="20"/>
                <w:szCs w:val="20"/>
              </w:rPr>
              <w:t>/60</w:t>
            </w:r>
          </w:p>
        </w:tc>
        <w:tc>
          <w:tcPr>
            <w:tcW w:w="1170" w:type="dxa"/>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C327DC" w:rsidP="007528DF">
            <w:pPr>
              <w:rPr>
                <w:sz w:val="20"/>
                <w:szCs w:val="20"/>
              </w:rPr>
            </w:pPr>
            <w:r>
              <w:rPr>
                <w:sz w:val="20"/>
                <w:szCs w:val="20"/>
              </w:rPr>
              <w:t>58</w:t>
            </w:r>
          </w:p>
        </w:tc>
      </w:tr>
      <w:tr w:rsidR="00626198" w:rsidRPr="00BD24C2" w:rsidTr="007528DF">
        <w:trPr>
          <w:trHeight w:val="773"/>
        </w:trPr>
        <w:tc>
          <w:tcPr>
            <w:tcW w:w="1260" w:type="dxa"/>
            <w:vMerge/>
          </w:tcPr>
          <w:p w:rsidR="00626198" w:rsidRDefault="00626198" w:rsidP="00A31BAB">
            <w:pPr>
              <w:rPr>
                <w:b/>
                <w:sz w:val="20"/>
                <w:szCs w:val="20"/>
              </w:rPr>
            </w:pPr>
          </w:p>
        </w:tc>
        <w:tc>
          <w:tcPr>
            <w:tcW w:w="1530" w:type="dxa"/>
            <w:vAlign w:val="bottom"/>
          </w:tcPr>
          <w:p w:rsidR="00626198" w:rsidRPr="007C2A85" w:rsidRDefault="00626198" w:rsidP="00626198">
            <w:pPr>
              <w:jc w:val="both"/>
              <w:rPr>
                <w:sz w:val="20"/>
                <w:szCs w:val="20"/>
              </w:rPr>
            </w:pPr>
            <w:r w:rsidRPr="007C2A85">
              <w:rPr>
                <w:sz w:val="20"/>
                <w:szCs w:val="20"/>
              </w:rPr>
              <w:t>Office-based physicians</w:t>
            </w:r>
          </w:p>
        </w:tc>
        <w:tc>
          <w:tcPr>
            <w:tcW w:w="1800" w:type="dxa"/>
            <w:vAlign w:val="bottom"/>
          </w:tcPr>
          <w:p w:rsidR="00626198" w:rsidRPr="007C2A85" w:rsidRDefault="00626198" w:rsidP="007528DF">
            <w:pPr>
              <w:rPr>
                <w:sz w:val="20"/>
                <w:szCs w:val="20"/>
              </w:rPr>
            </w:pPr>
            <w:r>
              <w:rPr>
                <w:sz w:val="20"/>
                <w:szCs w:val="20"/>
              </w:rPr>
              <w:t>Asthma Supplement</w:t>
            </w:r>
          </w:p>
        </w:tc>
        <w:tc>
          <w:tcPr>
            <w:tcW w:w="1350" w:type="dxa"/>
            <w:vAlign w:val="bottom"/>
          </w:tcPr>
          <w:p w:rsidR="00626198" w:rsidRDefault="00626198" w:rsidP="007528DF">
            <w:pPr>
              <w:rPr>
                <w:sz w:val="20"/>
                <w:szCs w:val="20"/>
              </w:rPr>
            </w:pPr>
            <w:r>
              <w:rPr>
                <w:sz w:val="20"/>
                <w:szCs w:val="20"/>
              </w:rPr>
              <w:t>100</w:t>
            </w:r>
          </w:p>
        </w:tc>
        <w:tc>
          <w:tcPr>
            <w:tcW w:w="1440" w:type="dxa"/>
            <w:vAlign w:val="bottom"/>
          </w:tcPr>
          <w:p w:rsidR="00626198" w:rsidRDefault="00626198" w:rsidP="007528DF">
            <w:pPr>
              <w:rPr>
                <w:sz w:val="20"/>
                <w:szCs w:val="20"/>
              </w:rPr>
            </w:pPr>
            <w:r>
              <w:rPr>
                <w:sz w:val="20"/>
                <w:szCs w:val="20"/>
              </w:rPr>
              <w:t>1</w:t>
            </w:r>
          </w:p>
        </w:tc>
        <w:tc>
          <w:tcPr>
            <w:tcW w:w="1260" w:type="dxa"/>
            <w:vAlign w:val="bottom"/>
          </w:tcPr>
          <w:p w:rsidR="00626198" w:rsidRDefault="00626198" w:rsidP="007528DF">
            <w:pPr>
              <w:rPr>
                <w:sz w:val="20"/>
                <w:szCs w:val="20"/>
              </w:rPr>
            </w:pPr>
            <w:r>
              <w:rPr>
                <w:sz w:val="20"/>
                <w:szCs w:val="20"/>
              </w:rPr>
              <w:t>15/60</w:t>
            </w:r>
          </w:p>
        </w:tc>
        <w:tc>
          <w:tcPr>
            <w:tcW w:w="1170" w:type="dxa"/>
            <w:vAlign w:val="bottom"/>
          </w:tcPr>
          <w:p w:rsidR="00626198" w:rsidRDefault="00626198" w:rsidP="007528DF">
            <w:pPr>
              <w:rPr>
                <w:sz w:val="20"/>
                <w:szCs w:val="20"/>
              </w:rPr>
            </w:pPr>
            <w:r>
              <w:rPr>
                <w:sz w:val="20"/>
                <w:szCs w:val="20"/>
              </w:rPr>
              <w:t>25</w:t>
            </w:r>
          </w:p>
        </w:tc>
      </w:tr>
      <w:tr w:rsidR="0079129F" w:rsidRPr="00BD24C2" w:rsidTr="007528DF">
        <w:trPr>
          <w:trHeight w:val="530"/>
        </w:trPr>
        <w:tc>
          <w:tcPr>
            <w:tcW w:w="1260" w:type="dxa"/>
            <w:vMerge/>
            <w:tcBorders>
              <w:bottom w:val="single" w:sz="4" w:space="0" w:color="auto"/>
            </w:tcBorders>
          </w:tcPr>
          <w:p w:rsidR="0079129F" w:rsidRPr="007C2A85" w:rsidRDefault="0079129F" w:rsidP="00A31BAB">
            <w:pPr>
              <w:rPr>
                <w:sz w:val="20"/>
                <w:szCs w:val="20"/>
              </w:rPr>
            </w:pPr>
          </w:p>
        </w:tc>
        <w:tc>
          <w:tcPr>
            <w:tcW w:w="1530" w:type="dxa"/>
            <w:tcBorders>
              <w:bottom w:val="single" w:sz="4" w:space="0" w:color="auto"/>
            </w:tcBorders>
            <w:vAlign w:val="bottom"/>
          </w:tcPr>
          <w:p w:rsidR="0079129F" w:rsidRPr="007C2A85" w:rsidRDefault="0079129F" w:rsidP="007528DF">
            <w:pPr>
              <w:rPr>
                <w:sz w:val="20"/>
                <w:szCs w:val="20"/>
              </w:rPr>
            </w:pPr>
            <w:r w:rsidRPr="007C2A85">
              <w:rPr>
                <w:sz w:val="20"/>
                <w:szCs w:val="20"/>
              </w:rPr>
              <w:t>Office-based physicians/staff</w:t>
            </w:r>
          </w:p>
        </w:tc>
        <w:tc>
          <w:tcPr>
            <w:tcW w:w="1800" w:type="dxa"/>
            <w:tcBorders>
              <w:bottom w:val="single" w:sz="4" w:space="0" w:color="auto"/>
            </w:tcBorders>
            <w:vAlign w:val="bottom"/>
          </w:tcPr>
          <w:p w:rsidR="0079129F" w:rsidRPr="007C2A85" w:rsidRDefault="0079129F" w:rsidP="007528DF">
            <w:pPr>
              <w:rPr>
                <w:sz w:val="20"/>
                <w:szCs w:val="20"/>
              </w:rPr>
            </w:pPr>
            <w:r w:rsidRPr="007C2A85">
              <w:rPr>
                <w:sz w:val="20"/>
                <w:szCs w:val="20"/>
              </w:rPr>
              <w:t>Patient Record form (NAMCS-30)</w:t>
            </w:r>
          </w:p>
        </w:tc>
        <w:tc>
          <w:tcPr>
            <w:tcW w:w="1350" w:type="dxa"/>
            <w:tcBorders>
              <w:bottom w:val="single" w:sz="4" w:space="0" w:color="auto"/>
            </w:tcBorders>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79129F" w:rsidP="007528DF">
            <w:pPr>
              <w:rPr>
                <w:sz w:val="20"/>
                <w:szCs w:val="20"/>
              </w:rPr>
            </w:pPr>
            <w:r w:rsidRPr="007C2A85">
              <w:rPr>
                <w:sz w:val="20"/>
                <w:szCs w:val="20"/>
              </w:rPr>
              <w:t>100</w:t>
            </w:r>
          </w:p>
        </w:tc>
        <w:tc>
          <w:tcPr>
            <w:tcW w:w="1440" w:type="dxa"/>
            <w:tcBorders>
              <w:bottom w:val="single" w:sz="4" w:space="0" w:color="auto"/>
            </w:tcBorders>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79129F" w:rsidP="007528DF">
            <w:pPr>
              <w:rPr>
                <w:sz w:val="20"/>
                <w:szCs w:val="20"/>
              </w:rPr>
            </w:pPr>
            <w:r w:rsidRPr="007C2A85">
              <w:rPr>
                <w:sz w:val="20"/>
                <w:szCs w:val="20"/>
              </w:rPr>
              <w:t>30</w:t>
            </w:r>
          </w:p>
        </w:tc>
        <w:tc>
          <w:tcPr>
            <w:tcW w:w="1260" w:type="dxa"/>
            <w:tcBorders>
              <w:bottom w:val="single" w:sz="4" w:space="0" w:color="auto"/>
            </w:tcBorders>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79129F" w:rsidP="007528DF">
            <w:pPr>
              <w:rPr>
                <w:sz w:val="20"/>
                <w:szCs w:val="20"/>
              </w:rPr>
            </w:pPr>
            <w:r w:rsidRPr="007C2A85">
              <w:rPr>
                <w:sz w:val="20"/>
                <w:szCs w:val="20"/>
              </w:rPr>
              <w:t>14/60</w:t>
            </w:r>
          </w:p>
        </w:tc>
        <w:tc>
          <w:tcPr>
            <w:tcW w:w="1170" w:type="dxa"/>
            <w:tcBorders>
              <w:bottom w:val="single" w:sz="4" w:space="0" w:color="auto"/>
            </w:tcBorders>
            <w:vAlign w:val="bottom"/>
          </w:tcPr>
          <w:p w:rsidR="0079129F" w:rsidRDefault="0079129F" w:rsidP="007528DF">
            <w:pPr>
              <w:rPr>
                <w:sz w:val="20"/>
                <w:szCs w:val="20"/>
              </w:rPr>
            </w:pPr>
          </w:p>
          <w:p w:rsidR="0079129F" w:rsidRDefault="0079129F" w:rsidP="007528DF">
            <w:pPr>
              <w:rPr>
                <w:sz w:val="20"/>
                <w:szCs w:val="20"/>
              </w:rPr>
            </w:pPr>
          </w:p>
          <w:p w:rsidR="0079129F" w:rsidRPr="007C2A85" w:rsidRDefault="00626198" w:rsidP="007528DF">
            <w:pPr>
              <w:rPr>
                <w:sz w:val="20"/>
                <w:szCs w:val="20"/>
              </w:rPr>
            </w:pPr>
            <w:r>
              <w:rPr>
                <w:sz w:val="20"/>
                <w:szCs w:val="20"/>
              </w:rPr>
              <w:t>700</w:t>
            </w:r>
          </w:p>
        </w:tc>
      </w:tr>
      <w:tr w:rsidR="0079129F" w:rsidRPr="00BD24C2" w:rsidTr="007528DF">
        <w:tc>
          <w:tcPr>
            <w:tcW w:w="1260" w:type="dxa"/>
            <w:tcBorders>
              <w:top w:val="single" w:sz="4" w:space="0" w:color="auto"/>
              <w:bottom w:val="single" w:sz="4" w:space="0" w:color="auto"/>
            </w:tcBorders>
          </w:tcPr>
          <w:p w:rsidR="0079129F" w:rsidRPr="008521B3" w:rsidRDefault="0079129F" w:rsidP="00A31BAB">
            <w:pPr>
              <w:rPr>
                <w:sz w:val="20"/>
                <w:szCs w:val="20"/>
              </w:rPr>
            </w:pPr>
          </w:p>
        </w:tc>
        <w:tc>
          <w:tcPr>
            <w:tcW w:w="1530" w:type="dxa"/>
            <w:tcBorders>
              <w:top w:val="single" w:sz="4" w:space="0" w:color="auto"/>
              <w:bottom w:val="single" w:sz="4" w:space="0" w:color="auto"/>
            </w:tcBorders>
            <w:vAlign w:val="bottom"/>
          </w:tcPr>
          <w:p w:rsidR="0079129F" w:rsidRPr="008521B3" w:rsidRDefault="0079129F" w:rsidP="007528DF">
            <w:pPr>
              <w:rPr>
                <w:b/>
                <w:sz w:val="20"/>
                <w:szCs w:val="20"/>
              </w:rPr>
            </w:pPr>
            <w:r w:rsidRPr="008521B3">
              <w:rPr>
                <w:b/>
                <w:sz w:val="20"/>
                <w:szCs w:val="20"/>
              </w:rPr>
              <w:t>Total</w:t>
            </w:r>
          </w:p>
        </w:tc>
        <w:tc>
          <w:tcPr>
            <w:tcW w:w="1800" w:type="dxa"/>
            <w:tcBorders>
              <w:top w:val="single" w:sz="4" w:space="0" w:color="auto"/>
              <w:bottom w:val="single" w:sz="4" w:space="0" w:color="auto"/>
            </w:tcBorders>
            <w:vAlign w:val="bottom"/>
          </w:tcPr>
          <w:p w:rsidR="0079129F" w:rsidRPr="008521B3" w:rsidRDefault="0079129F" w:rsidP="007528DF">
            <w:pPr>
              <w:rPr>
                <w:sz w:val="20"/>
                <w:szCs w:val="20"/>
              </w:rPr>
            </w:pPr>
          </w:p>
        </w:tc>
        <w:tc>
          <w:tcPr>
            <w:tcW w:w="1350" w:type="dxa"/>
            <w:tcBorders>
              <w:top w:val="single" w:sz="4" w:space="0" w:color="auto"/>
              <w:bottom w:val="single" w:sz="4" w:space="0" w:color="auto"/>
            </w:tcBorders>
            <w:vAlign w:val="bottom"/>
          </w:tcPr>
          <w:p w:rsidR="0079129F" w:rsidRPr="008521B3" w:rsidRDefault="0079129F" w:rsidP="007528DF">
            <w:pPr>
              <w:rPr>
                <w:sz w:val="20"/>
                <w:szCs w:val="20"/>
              </w:rPr>
            </w:pPr>
          </w:p>
        </w:tc>
        <w:tc>
          <w:tcPr>
            <w:tcW w:w="1440" w:type="dxa"/>
            <w:tcBorders>
              <w:top w:val="single" w:sz="4" w:space="0" w:color="auto"/>
              <w:bottom w:val="single" w:sz="4" w:space="0" w:color="auto"/>
            </w:tcBorders>
            <w:vAlign w:val="bottom"/>
          </w:tcPr>
          <w:p w:rsidR="0079129F" w:rsidRPr="008521B3" w:rsidRDefault="0079129F" w:rsidP="007528DF">
            <w:pPr>
              <w:rPr>
                <w:sz w:val="20"/>
                <w:szCs w:val="20"/>
              </w:rPr>
            </w:pPr>
          </w:p>
        </w:tc>
        <w:tc>
          <w:tcPr>
            <w:tcW w:w="1260" w:type="dxa"/>
            <w:tcBorders>
              <w:top w:val="single" w:sz="4" w:space="0" w:color="auto"/>
              <w:bottom w:val="single" w:sz="4" w:space="0" w:color="auto"/>
            </w:tcBorders>
            <w:vAlign w:val="bottom"/>
          </w:tcPr>
          <w:p w:rsidR="0079129F" w:rsidRPr="008521B3" w:rsidRDefault="0079129F" w:rsidP="007528DF">
            <w:pPr>
              <w:rPr>
                <w:sz w:val="20"/>
                <w:szCs w:val="20"/>
              </w:rPr>
            </w:pPr>
          </w:p>
        </w:tc>
        <w:tc>
          <w:tcPr>
            <w:tcW w:w="1170" w:type="dxa"/>
            <w:tcBorders>
              <w:top w:val="single" w:sz="4" w:space="0" w:color="auto"/>
              <w:bottom w:val="single" w:sz="4" w:space="0" w:color="auto"/>
            </w:tcBorders>
            <w:vAlign w:val="bottom"/>
          </w:tcPr>
          <w:p w:rsidR="0079129F" w:rsidRPr="008521B3" w:rsidRDefault="00626198" w:rsidP="00C327DC">
            <w:pPr>
              <w:rPr>
                <w:sz w:val="20"/>
                <w:szCs w:val="20"/>
              </w:rPr>
            </w:pPr>
            <w:r>
              <w:rPr>
                <w:sz w:val="20"/>
                <w:szCs w:val="20"/>
              </w:rPr>
              <w:t>12,1</w:t>
            </w:r>
            <w:r w:rsidR="00C327DC">
              <w:rPr>
                <w:sz w:val="20"/>
                <w:szCs w:val="20"/>
              </w:rPr>
              <w:t>79</w:t>
            </w:r>
          </w:p>
        </w:tc>
      </w:tr>
    </w:tbl>
    <w:p w:rsidR="00655DA2" w:rsidRDefault="00655DA2" w:rsidP="00FC5D67">
      <w:pPr>
        <w:autoSpaceDE w:val="0"/>
        <w:autoSpaceDN w:val="0"/>
        <w:adjustRightInd w:val="0"/>
        <w:outlineLvl w:val="0"/>
        <w:rPr>
          <w:u w:val="single"/>
        </w:rPr>
      </w:pPr>
    </w:p>
    <w:p w:rsidR="006C1EC5" w:rsidRDefault="00171D41" w:rsidP="00FC5D67">
      <w:pPr>
        <w:autoSpaceDE w:val="0"/>
        <w:autoSpaceDN w:val="0"/>
        <w:adjustRightInd w:val="0"/>
        <w:outlineLvl w:val="0"/>
        <w:rPr>
          <w:u w:val="single"/>
        </w:rPr>
      </w:pPr>
      <w:r>
        <w:rPr>
          <w:u w:val="single"/>
        </w:rPr>
        <w:t>Core N</w:t>
      </w:r>
      <w:r w:rsidR="006C1EC5">
        <w:rPr>
          <w:u w:val="single"/>
        </w:rPr>
        <w:t>AMCS</w:t>
      </w:r>
      <w:r w:rsidR="00FA7CF1">
        <w:rPr>
          <w:u w:val="single"/>
        </w:rPr>
        <w:t xml:space="preserve"> and EMR/EHR </w:t>
      </w:r>
      <w:r w:rsidR="005F1D43">
        <w:rPr>
          <w:u w:val="single"/>
        </w:rPr>
        <w:t>Mail Survey</w:t>
      </w:r>
    </w:p>
    <w:p w:rsidR="006C1EC5" w:rsidRDefault="006C1EC5">
      <w:pPr>
        <w:autoSpaceDE w:val="0"/>
        <w:autoSpaceDN w:val="0"/>
        <w:adjustRightInd w:val="0"/>
        <w:rPr>
          <w:u w:val="single"/>
        </w:rPr>
      </w:pPr>
    </w:p>
    <w:p w:rsidR="006C1EC5" w:rsidRDefault="006C1EC5">
      <w:pPr>
        <w:autoSpaceDE w:val="0"/>
        <w:autoSpaceDN w:val="0"/>
        <w:adjustRightInd w:val="0"/>
      </w:pPr>
      <w:r>
        <w:t>For the core</w:t>
      </w:r>
      <w:r w:rsidR="000C18B6">
        <w:t xml:space="preserve"> N</w:t>
      </w:r>
      <w:r>
        <w:t>AMCS, each physician</w:t>
      </w:r>
      <w:r w:rsidR="00B54AAF">
        <w:t>/provider</w:t>
      </w:r>
      <w:r>
        <w:t xml:space="preserve"> in private practice/CHC is asked to complete an induction form (NAMCS-1)</w:t>
      </w:r>
      <w:r w:rsidR="00791F22">
        <w:t xml:space="preserve"> (</w:t>
      </w:r>
      <w:r w:rsidR="00791F22" w:rsidRPr="006B10EB">
        <w:rPr>
          <w:b/>
        </w:rPr>
        <w:t xml:space="preserve">Attachment </w:t>
      </w:r>
      <w:r w:rsidR="001806A8" w:rsidRPr="006B10EB">
        <w:rPr>
          <w:b/>
        </w:rPr>
        <w:t>F</w:t>
      </w:r>
      <w:r w:rsidR="00791F22" w:rsidRPr="000C6A85">
        <w:t>)</w:t>
      </w:r>
      <w:r>
        <w:t>, while each Community Health Center director is also asked to complete a CHC induction form (NAMCS-201)</w:t>
      </w:r>
      <w:r w:rsidR="00763340">
        <w:t xml:space="preserve"> (</w:t>
      </w:r>
      <w:r w:rsidR="00763340" w:rsidRPr="00EC2964">
        <w:rPr>
          <w:b/>
        </w:rPr>
        <w:t xml:space="preserve">Attachment </w:t>
      </w:r>
      <w:r w:rsidR="001806A8" w:rsidRPr="00EC2964">
        <w:rPr>
          <w:b/>
        </w:rPr>
        <w:t>H</w:t>
      </w:r>
      <w:r w:rsidR="00763340">
        <w:t>)</w:t>
      </w:r>
      <w:r>
        <w:t xml:space="preserve"> (</w:t>
      </w:r>
      <w:r w:rsidR="00483772">
        <w:t>4</w:t>
      </w:r>
      <w:r>
        <w:t>,</w:t>
      </w:r>
      <w:r w:rsidR="00483772">
        <w:t>700</w:t>
      </w:r>
      <w:r>
        <w:t xml:space="preserve"> core physicians</w:t>
      </w:r>
      <w:r w:rsidR="00483772">
        <w:t xml:space="preserve">, 312 </w:t>
      </w:r>
      <w:r w:rsidR="00823163">
        <w:t xml:space="preserve">CHC providers, 104 CHCs).  </w:t>
      </w:r>
    </w:p>
    <w:p w:rsidR="006C1EC5" w:rsidRDefault="006C1EC5">
      <w:pPr>
        <w:autoSpaceDE w:val="0"/>
        <w:autoSpaceDN w:val="0"/>
        <w:adjustRightInd w:val="0"/>
      </w:pPr>
    </w:p>
    <w:p w:rsidR="006C1EC5" w:rsidRDefault="006C1EC5">
      <w:pPr>
        <w:autoSpaceDE w:val="0"/>
        <w:autoSpaceDN w:val="0"/>
        <w:adjustRightInd w:val="0"/>
      </w:pPr>
      <w:r>
        <w:t xml:space="preserve">Of the </w:t>
      </w:r>
      <w:r w:rsidR="00483772">
        <w:t>5,012</w:t>
      </w:r>
      <w:r>
        <w:t xml:space="preserve"> physicians/providers </w:t>
      </w:r>
      <w:r w:rsidR="00075949">
        <w:t xml:space="preserve">originally sampled </w:t>
      </w:r>
      <w:r>
        <w:t xml:space="preserve">in the </w:t>
      </w:r>
      <w:r w:rsidR="00DC528A">
        <w:t>NAMCS</w:t>
      </w:r>
      <w:r w:rsidR="00075949">
        <w:t xml:space="preserve"> (4,700 core physicians + 312 CHC physician/providers) </w:t>
      </w:r>
      <w:r>
        <w:t xml:space="preserve">an estimated </w:t>
      </w:r>
      <w:r w:rsidR="00483772">
        <w:t xml:space="preserve">1,175 </w:t>
      </w:r>
      <w:r w:rsidR="003B7D71">
        <w:t xml:space="preserve">core </w:t>
      </w:r>
      <w:r w:rsidR="00483772">
        <w:t xml:space="preserve">physicians </w:t>
      </w:r>
      <w:r>
        <w:t>are anticip</w:t>
      </w:r>
      <w:r w:rsidR="00A50A3C">
        <w:t>ated to be found ineligible</w:t>
      </w:r>
      <w:r w:rsidR="00951D14">
        <w:t xml:space="preserve"> (all CHC physician/providers are considered eligible)</w:t>
      </w:r>
      <w:r w:rsidR="00A50A3C">
        <w:t>. Of</w:t>
      </w:r>
      <w:r>
        <w:t xml:space="preserve"> those eligible, a majority of participants will complete Patient Record forms (NAMCS-30) </w:t>
      </w:r>
      <w:r w:rsidR="00C0095D">
        <w:t>(</w:t>
      </w:r>
      <w:r w:rsidR="00C0095D" w:rsidRPr="00EC2964">
        <w:rPr>
          <w:b/>
        </w:rPr>
        <w:t xml:space="preserve">Attachment </w:t>
      </w:r>
      <w:r w:rsidR="001806A8" w:rsidRPr="00EC2964">
        <w:rPr>
          <w:b/>
        </w:rPr>
        <w:t>G</w:t>
      </w:r>
      <w:r w:rsidR="00C0095D">
        <w:t xml:space="preserve">) </w:t>
      </w:r>
      <w:r>
        <w:t>themselves (N=</w:t>
      </w:r>
      <w:r w:rsidR="00483772">
        <w:t>1,017</w:t>
      </w:r>
      <w:r>
        <w:t xml:space="preserve">), while </w:t>
      </w:r>
      <w:r w:rsidR="00483772">
        <w:t>893</w:t>
      </w:r>
      <w:r>
        <w:t xml:space="preserve"> will rely on Census abstractors to complete the forms. In cases</w:t>
      </w:r>
      <w:r w:rsidR="002C2D1B">
        <w:t xml:space="preserve"> abstracted by Census FRs</w:t>
      </w:r>
      <w:r>
        <w:t>, staff will only pull and re-file the medical records</w:t>
      </w:r>
      <w:r w:rsidR="00C0095D">
        <w:t xml:space="preserve"> </w:t>
      </w:r>
      <w:r w:rsidR="0072735B">
        <w:t xml:space="preserve">(N=893) </w:t>
      </w:r>
      <w:r w:rsidR="00C0095D">
        <w:t>(</w:t>
      </w:r>
      <w:r w:rsidRPr="00EC2964">
        <w:rPr>
          <w:b/>
        </w:rPr>
        <w:t xml:space="preserve">Attachment </w:t>
      </w:r>
      <w:r w:rsidR="00383236" w:rsidRPr="00EC2964">
        <w:rPr>
          <w:b/>
        </w:rPr>
        <w:t>L</w:t>
      </w:r>
      <w:r w:rsidR="00C0095D" w:rsidRPr="00C0095D">
        <w:t>)</w:t>
      </w:r>
      <w:r w:rsidR="00C0095D">
        <w:t xml:space="preserve">.  The Patient Record form contains the </w:t>
      </w:r>
      <w:r w:rsidR="00951D14">
        <w:t xml:space="preserve">items on the </w:t>
      </w:r>
      <w:proofErr w:type="spellStart"/>
      <w:r w:rsidR="00F04015">
        <w:t>lookback</w:t>
      </w:r>
      <w:proofErr w:type="spellEnd"/>
      <w:r w:rsidR="00951D14">
        <w:t xml:space="preserve"> module</w:t>
      </w:r>
      <w:r w:rsidR="00C0095D">
        <w:t xml:space="preserve"> being pretested.  </w:t>
      </w:r>
      <w:r w:rsidR="00A65A05">
        <w:t>A</w:t>
      </w:r>
      <w:r w:rsidR="00C0095D">
        <w:t xml:space="preserve">pproximately </w:t>
      </w:r>
      <w:r>
        <w:t xml:space="preserve">30 </w:t>
      </w:r>
      <w:r w:rsidR="00A65A05">
        <w:t>forms are expected from each sample physician’s practice</w:t>
      </w:r>
      <w:r>
        <w:t xml:space="preserve">.  </w:t>
      </w:r>
    </w:p>
    <w:p w:rsidR="006C1EC5" w:rsidRDefault="006C1EC5">
      <w:pPr>
        <w:autoSpaceDE w:val="0"/>
        <w:autoSpaceDN w:val="0"/>
        <w:adjustRightInd w:val="0"/>
      </w:pPr>
    </w:p>
    <w:p w:rsidR="006C1EC5" w:rsidRDefault="0022219A">
      <w:pPr>
        <w:autoSpaceDE w:val="0"/>
        <w:autoSpaceDN w:val="0"/>
        <w:adjustRightInd w:val="0"/>
      </w:pPr>
      <w:r>
        <w:t>W</w:t>
      </w:r>
      <w:r w:rsidR="006C1EC5">
        <w:t xml:space="preserve">e estimate that approximately </w:t>
      </w:r>
      <w:r>
        <w:t>669</w:t>
      </w:r>
      <w:r w:rsidR="006C1EC5">
        <w:t xml:space="preserve"> physicians and CHC providers will be asked to complete the </w:t>
      </w:r>
      <w:r>
        <w:t>asthma supplement</w:t>
      </w:r>
      <w:r w:rsidR="00751A89">
        <w:t xml:space="preserve"> (</w:t>
      </w:r>
      <w:r w:rsidR="00751A89" w:rsidRPr="00EC2964">
        <w:rPr>
          <w:b/>
        </w:rPr>
        <w:t xml:space="preserve">Attachment </w:t>
      </w:r>
      <w:r w:rsidR="001806A8" w:rsidRPr="00EC2964">
        <w:rPr>
          <w:b/>
        </w:rPr>
        <w:t>B</w:t>
      </w:r>
      <w:r w:rsidR="00751A89">
        <w:t>)</w:t>
      </w:r>
      <w:r w:rsidR="006C1EC5">
        <w:t>.</w:t>
      </w:r>
    </w:p>
    <w:p w:rsidR="006C1EC5" w:rsidRDefault="006C1EC5">
      <w:pPr>
        <w:autoSpaceDE w:val="0"/>
        <w:autoSpaceDN w:val="0"/>
        <w:adjustRightInd w:val="0"/>
      </w:pPr>
    </w:p>
    <w:p w:rsidR="00D75737" w:rsidRDefault="006C1EC5">
      <w:pPr>
        <w:autoSpaceDE w:val="0"/>
        <w:autoSpaceDN w:val="0"/>
        <w:adjustRightInd w:val="0"/>
      </w:pPr>
      <w:r>
        <w:t>In 20</w:t>
      </w:r>
      <w:r w:rsidR="00AF5901">
        <w:t>09</w:t>
      </w:r>
      <w:r>
        <w:t xml:space="preserve">, </w:t>
      </w:r>
      <w:r w:rsidR="00A72B60">
        <w:t>1,0</w:t>
      </w:r>
      <w:r w:rsidR="00AF5901">
        <w:t>54</w:t>
      </w:r>
      <w:r>
        <w:t xml:space="preserve"> </w:t>
      </w:r>
      <w:r w:rsidR="00D83069">
        <w:t>out of 2</w:t>
      </w:r>
      <w:r w:rsidR="00AF5901">
        <w:t>,</w:t>
      </w:r>
      <w:r w:rsidR="00D83069">
        <w:t xml:space="preserve">000 </w:t>
      </w:r>
      <w:r w:rsidR="007F6FB9">
        <w:t xml:space="preserve">(53%) </w:t>
      </w:r>
      <w:r w:rsidR="00D83069">
        <w:t xml:space="preserve">sampled physicians </w:t>
      </w:r>
      <w:r>
        <w:t xml:space="preserve">completed the </w:t>
      </w:r>
      <w:r w:rsidR="00526C45">
        <w:t xml:space="preserve">EMR/EHR </w:t>
      </w:r>
      <w:r>
        <w:t>mail survey</w:t>
      </w:r>
      <w:r w:rsidR="000C6A85">
        <w:t xml:space="preserve"> (</w:t>
      </w:r>
      <w:r w:rsidR="000C6A85" w:rsidRPr="00EC2964">
        <w:rPr>
          <w:b/>
        </w:rPr>
        <w:t xml:space="preserve">Attachment </w:t>
      </w:r>
      <w:r w:rsidR="00EC2964">
        <w:rPr>
          <w:b/>
        </w:rPr>
        <w:t>D</w:t>
      </w:r>
      <w:r w:rsidR="000C6A85">
        <w:t>)</w:t>
      </w:r>
      <w:r>
        <w:t xml:space="preserve">, and </w:t>
      </w:r>
      <w:r w:rsidR="00526C45">
        <w:t>th</w:t>
      </w:r>
      <w:r w:rsidR="007F6FB9">
        <w:t xml:space="preserve">is participation </w:t>
      </w:r>
      <w:r w:rsidR="00526C45">
        <w:t xml:space="preserve">rate </w:t>
      </w:r>
      <w:r>
        <w:t xml:space="preserve">is used as a proxy for </w:t>
      </w:r>
      <w:r w:rsidR="00526C45">
        <w:t xml:space="preserve">the </w:t>
      </w:r>
      <w:r>
        <w:t>anticipated survey cycle</w:t>
      </w:r>
      <w:r w:rsidR="00D83069">
        <w:t xml:space="preserve"> of 10,30</w:t>
      </w:r>
      <w:r w:rsidR="008C11B7">
        <w:t>2</w:t>
      </w:r>
      <w:r w:rsidR="00D83069">
        <w:t xml:space="preserve"> physicians</w:t>
      </w:r>
      <w:r w:rsidR="008C11B7">
        <w:t xml:space="preserve"> in 2011</w:t>
      </w:r>
      <w:r>
        <w:t>.</w:t>
      </w:r>
      <w:r w:rsidR="00AF5901">
        <w:t xml:space="preserve">  </w:t>
      </w:r>
      <w:r w:rsidR="00541103">
        <w:t xml:space="preserve">Therefore, </w:t>
      </w:r>
      <w:r w:rsidR="00AF5901">
        <w:t xml:space="preserve">we expect </w:t>
      </w:r>
      <w:r w:rsidR="00541103">
        <w:t xml:space="preserve">that </w:t>
      </w:r>
      <w:r w:rsidR="00AF5901">
        <w:t>approximately 53% of physicians should complete the mail survey</w:t>
      </w:r>
      <w:r w:rsidR="00785652">
        <w:t xml:space="preserve"> each year</w:t>
      </w:r>
      <w:r w:rsidR="00AF5901">
        <w:t xml:space="preserve">, </w:t>
      </w:r>
      <w:r w:rsidR="00541103">
        <w:t xml:space="preserve">extrapolating </w:t>
      </w:r>
      <w:r w:rsidR="00AF5901">
        <w:t>to 5,460 physicians in 2011-2013.</w:t>
      </w:r>
      <w:r w:rsidR="000F5561">
        <w:t xml:space="preserve">  </w:t>
      </w:r>
      <w:r>
        <w:t xml:space="preserve"> </w:t>
      </w:r>
    </w:p>
    <w:p w:rsidR="00D75737" w:rsidRDefault="00D75737">
      <w:pPr>
        <w:autoSpaceDE w:val="0"/>
        <w:autoSpaceDN w:val="0"/>
        <w:adjustRightInd w:val="0"/>
      </w:pPr>
    </w:p>
    <w:p w:rsidR="006C1EC5" w:rsidRDefault="00D75737">
      <w:pPr>
        <w:autoSpaceDE w:val="0"/>
        <w:autoSpaceDN w:val="0"/>
        <w:adjustRightInd w:val="0"/>
      </w:pPr>
      <w:r>
        <w:t xml:space="preserve">The above burden table </w:t>
      </w:r>
      <w:r w:rsidR="00785652">
        <w:t xml:space="preserve">assumes </w:t>
      </w:r>
      <w:r>
        <w:t>a fully-funded core NAMCS sample of 4,700 office-based physicians</w:t>
      </w:r>
      <w:r w:rsidR="00785652">
        <w:t xml:space="preserve"> in addition to the mail survey</w:t>
      </w:r>
      <w:r>
        <w:t xml:space="preserve">.  If the President’s 2011 fiscal year </w:t>
      </w:r>
      <w:r w:rsidR="00ED2158">
        <w:t xml:space="preserve">general budget does not pass in a timely manner, </w:t>
      </w:r>
      <w:r>
        <w:t xml:space="preserve">we </w:t>
      </w:r>
      <w:r w:rsidR="003C647E">
        <w:t xml:space="preserve">will be unable </w:t>
      </w:r>
      <w:r>
        <w:t>to include the additional 1,000 NAMCS physicians i</w:t>
      </w:r>
      <w:r w:rsidR="00CC491B">
        <w:t>n 2011</w:t>
      </w:r>
      <w:r>
        <w:t xml:space="preserve">.  If this scenario takes place, we will submit a non-substantive change package highlighting the sample modification.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85B91" w:rsidRDefault="00285B91" w:rsidP="00285B9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r>
        <w:rPr>
          <w:rFonts w:ascii="Times New Roman" w:hAnsi="Times New Roman"/>
          <w:color w:val="000000"/>
          <w:u w:val="single"/>
        </w:rPr>
        <w:t xml:space="preserve">Automation/New Items/Supplement Pretest </w:t>
      </w:r>
    </w:p>
    <w:p w:rsidR="00285B91" w:rsidRDefault="00285B91" w:rsidP="00285B9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highlight w:val="yellow"/>
        </w:rPr>
      </w:pPr>
    </w:p>
    <w:p w:rsidR="00285B91" w:rsidRDefault="00285B91" w:rsidP="00285B9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For the automation/new items/supplement pretest, we present an </w:t>
      </w:r>
      <w:r>
        <w:rPr>
          <w:rFonts w:ascii="Times New Roman" w:hAnsi="Times New Roman"/>
        </w:rPr>
        <w:t>average for one year of data collection, which means that the above estimates are based on 100 physicians (300 total physicians in pretest) who will complete the pretest Physician Induction Interview</w:t>
      </w:r>
      <w:r w:rsidR="00782D8D">
        <w:rPr>
          <w:rFonts w:ascii="Times New Roman" w:hAnsi="Times New Roman"/>
        </w:rPr>
        <w:t xml:space="preserve">, </w:t>
      </w:r>
      <w:r w:rsidR="00DC3037">
        <w:rPr>
          <w:rFonts w:ascii="Times New Roman" w:hAnsi="Times New Roman"/>
        </w:rPr>
        <w:t>PRFs</w:t>
      </w:r>
      <w:r w:rsidR="00782D8D">
        <w:rPr>
          <w:rFonts w:ascii="Times New Roman" w:hAnsi="Times New Roman"/>
        </w:rPr>
        <w:t>, and asthma supplement</w:t>
      </w:r>
      <w:r>
        <w:rPr>
          <w:rFonts w:ascii="Times New Roman" w:hAnsi="Times New Roman"/>
        </w:rPr>
        <w:t xml:space="preserve">. </w:t>
      </w:r>
    </w:p>
    <w:p w:rsidR="006876DC" w:rsidRDefault="006876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 xml:space="preserve">B. Burden Cost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The cost to providers for each data collection cycle is estimated to be </w:t>
      </w:r>
      <w:r w:rsidRPr="0008255A">
        <w:rPr>
          <w:rFonts w:ascii="Times New Roman" w:hAnsi="Times New Roman"/>
          <w:color w:val="000000"/>
        </w:rPr>
        <w:t>$</w:t>
      </w:r>
      <w:r w:rsidR="0008255A" w:rsidRPr="0008255A">
        <w:rPr>
          <w:rFonts w:ascii="Times New Roman" w:hAnsi="Times New Roman"/>
          <w:color w:val="000000"/>
        </w:rPr>
        <w:t>7</w:t>
      </w:r>
      <w:r w:rsidR="00991875">
        <w:rPr>
          <w:rFonts w:ascii="Times New Roman" w:hAnsi="Times New Roman"/>
          <w:color w:val="000000"/>
        </w:rPr>
        <w:t>50</w:t>
      </w:r>
      <w:r w:rsidR="006039D6" w:rsidRPr="0008255A">
        <w:rPr>
          <w:rFonts w:ascii="Times New Roman" w:hAnsi="Times New Roman"/>
          <w:color w:val="000000"/>
        </w:rPr>
        <w:t>,</w:t>
      </w:r>
      <w:r w:rsidR="00991875">
        <w:rPr>
          <w:rFonts w:ascii="Times New Roman" w:hAnsi="Times New Roman"/>
          <w:color w:val="000000"/>
        </w:rPr>
        <w:t>348</w:t>
      </w:r>
      <w:r>
        <w:rPr>
          <w:rFonts w:ascii="Times New Roman" w:hAnsi="Times New Roman"/>
          <w:color w:val="000000"/>
        </w:rPr>
        <w:t xml:space="preserve">. The hourly wage estimates for completing the forms mentioned above in </w:t>
      </w:r>
      <w:r w:rsidR="00F45CE1">
        <w:rPr>
          <w:rFonts w:ascii="Times New Roman" w:hAnsi="Times New Roman"/>
          <w:color w:val="000000"/>
        </w:rPr>
        <w:t>burden hours t</w:t>
      </w:r>
      <w:r>
        <w:rPr>
          <w:rFonts w:ascii="Times New Roman" w:hAnsi="Times New Roman"/>
          <w:color w:val="000000"/>
        </w:rPr>
        <w:t>able</w:t>
      </w:r>
      <w:r w:rsidR="00F45CE1">
        <w:rPr>
          <w:rFonts w:ascii="Times New Roman" w:hAnsi="Times New Roman"/>
          <w:color w:val="000000"/>
        </w:rPr>
        <w:t xml:space="preserve"> </w:t>
      </w:r>
      <w:r>
        <w:rPr>
          <w:rFonts w:ascii="Times New Roman" w:hAnsi="Times New Roman"/>
          <w:color w:val="000000"/>
        </w:rPr>
        <w:t>along with pulling and re-filing PRFs are based on information from the Bureau of Labor Statistics web site (http://www.bls.gov). Specifically, we used the "May 2007 National Occupational Employment and Wage Estimates” for (1) health</w:t>
      </w:r>
      <w:r w:rsidR="00CF32FE">
        <w:rPr>
          <w:rFonts w:ascii="Times New Roman" w:hAnsi="Times New Roman"/>
          <w:color w:val="000000"/>
        </w:rPr>
        <w:t xml:space="preserve"> </w:t>
      </w:r>
      <w:r>
        <w:rPr>
          <w:rFonts w:ascii="Times New Roman" w:hAnsi="Times New Roman"/>
          <w:color w:val="000000"/>
        </w:rPr>
        <w:t>care practitioners and technical occupations, and (2) office administrative and support administrative support occupations.  Data were gathered on mean hourly wage in 2007 for (1) physicians, mid-level providers (e.g., registered nurses), and other professionals involved in managing a private office</w:t>
      </w:r>
      <w:r>
        <w:rPr>
          <w:rFonts w:ascii="Times New Roman" w:hAnsi="Times New Roman"/>
          <w:color w:val="000000"/>
        </w:rPr>
        <w:noBreakHyphen/>
        <w:t>based practice (e.g., nurses, receptionists, etc.) as well as for (2) physicians and mid-level providers at CHCs who will complete the forms (i.e., physician assistants, nurse practitioners</w:t>
      </w:r>
      <w:r w:rsidR="00B07A0F">
        <w:rPr>
          <w:rFonts w:ascii="Times New Roman" w:hAnsi="Times New Roman"/>
          <w:color w:val="000000"/>
        </w:rPr>
        <w:t>,</w:t>
      </w:r>
      <w:r>
        <w:rPr>
          <w:rFonts w:ascii="Times New Roman" w:hAnsi="Times New Roman"/>
          <w:color w:val="000000"/>
        </w:rPr>
        <w:t xml:space="preserve"> and nurse midwives). The total cost estimate for office-based physicians/providers includes estimates for completing the </w:t>
      </w:r>
      <w:r w:rsidR="00B07A0F">
        <w:rPr>
          <w:rFonts w:ascii="Times New Roman" w:hAnsi="Times New Roman"/>
          <w:color w:val="000000"/>
        </w:rPr>
        <w:t>P</w:t>
      </w:r>
      <w:r>
        <w:rPr>
          <w:rFonts w:ascii="Times New Roman" w:hAnsi="Times New Roman"/>
          <w:color w:val="000000"/>
        </w:rPr>
        <w:t xml:space="preserve">hysician </w:t>
      </w:r>
      <w:r w:rsidR="00B07A0F">
        <w:rPr>
          <w:rFonts w:ascii="Times New Roman" w:hAnsi="Times New Roman"/>
          <w:color w:val="000000"/>
        </w:rPr>
        <w:t>I</w:t>
      </w:r>
      <w:r>
        <w:rPr>
          <w:rFonts w:ascii="Times New Roman" w:hAnsi="Times New Roman"/>
          <w:color w:val="000000"/>
        </w:rPr>
        <w:t xml:space="preserve">nduction </w:t>
      </w:r>
      <w:r w:rsidR="00B07A0F">
        <w:rPr>
          <w:rFonts w:ascii="Times New Roman" w:hAnsi="Times New Roman"/>
          <w:color w:val="000000"/>
        </w:rPr>
        <w:t>I</w:t>
      </w:r>
      <w:r>
        <w:rPr>
          <w:rFonts w:ascii="Times New Roman" w:hAnsi="Times New Roman"/>
          <w:color w:val="000000"/>
        </w:rPr>
        <w:t xml:space="preserve">nterview (NAMCS-1), PRF, </w:t>
      </w:r>
      <w:r w:rsidR="00CD5A19">
        <w:rPr>
          <w:rFonts w:ascii="Times New Roman" w:hAnsi="Times New Roman"/>
          <w:color w:val="000000"/>
        </w:rPr>
        <w:t>asthma supplement</w:t>
      </w:r>
      <w:r>
        <w:rPr>
          <w:rFonts w:ascii="Times New Roman" w:hAnsi="Times New Roman"/>
          <w:color w:val="000000"/>
        </w:rPr>
        <w:t xml:space="preserve">, </w:t>
      </w:r>
      <w:r w:rsidR="00203568">
        <w:rPr>
          <w:rFonts w:ascii="Times New Roman" w:hAnsi="Times New Roman"/>
          <w:color w:val="000000"/>
        </w:rPr>
        <w:t>pretest</w:t>
      </w:r>
      <w:r w:rsidR="00CD5A19">
        <w:rPr>
          <w:rFonts w:ascii="Times New Roman" w:hAnsi="Times New Roman"/>
          <w:color w:val="000000"/>
        </w:rPr>
        <w:t xml:space="preserve">, </w:t>
      </w:r>
      <w:r>
        <w:rPr>
          <w:rFonts w:ascii="Times New Roman" w:hAnsi="Times New Roman"/>
          <w:color w:val="000000"/>
        </w:rPr>
        <w:t xml:space="preserve">and EMR/EHR mail survey.  The average hourly wage for these respondents is weighted based on </w:t>
      </w:r>
      <w:r w:rsidR="00F45CE1">
        <w:rPr>
          <w:rFonts w:ascii="Times New Roman" w:hAnsi="Times New Roman"/>
          <w:color w:val="000000"/>
        </w:rPr>
        <w:t xml:space="preserve">who typically completes </w:t>
      </w:r>
      <w:r>
        <w:rPr>
          <w:rFonts w:ascii="Times New Roman" w:hAnsi="Times New Roman"/>
          <w:color w:val="000000"/>
        </w:rPr>
        <w:t>each applicable form</w:t>
      </w:r>
      <w:r w:rsidR="00424015">
        <w:rPr>
          <w:rFonts w:ascii="Times New Roman" w:hAnsi="Times New Roman"/>
          <w:color w:val="000000"/>
        </w:rPr>
        <w:t>.  F</w:t>
      </w:r>
      <w:r w:rsidR="00CD5A19">
        <w:rPr>
          <w:rFonts w:ascii="Times New Roman" w:hAnsi="Times New Roman"/>
          <w:color w:val="000000"/>
        </w:rPr>
        <w:t xml:space="preserve">or example, </w:t>
      </w:r>
      <w:r>
        <w:rPr>
          <w:rFonts w:ascii="Times New Roman" w:hAnsi="Times New Roman"/>
          <w:color w:val="000000"/>
        </w:rPr>
        <w:t>the estimate of $5</w:t>
      </w:r>
      <w:r w:rsidR="00951DF2">
        <w:rPr>
          <w:rFonts w:ascii="Times New Roman" w:hAnsi="Times New Roman"/>
          <w:color w:val="000000"/>
        </w:rPr>
        <w:t>6</w:t>
      </w:r>
      <w:r>
        <w:rPr>
          <w:rFonts w:ascii="Times New Roman" w:hAnsi="Times New Roman"/>
          <w:color w:val="000000"/>
        </w:rPr>
        <w:t>.</w:t>
      </w:r>
      <w:r w:rsidR="00CD5A19">
        <w:rPr>
          <w:rFonts w:ascii="Times New Roman" w:hAnsi="Times New Roman"/>
          <w:color w:val="000000"/>
        </w:rPr>
        <w:t>10</w:t>
      </w:r>
      <w:r w:rsidR="00A54A74">
        <w:rPr>
          <w:rFonts w:ascii="Times New Roman" w:hAnsi="Times New Roman"/>
          <w:color w:val="000000"/>
        </w:rPr>
        <w:t xml:space="preserve"> </w:t>
      </w:r>
      <w:r w:rsidR="00F45CE1">
        <w:rPr>
          <w:rFonts w:ascii="Times New Roman" w:hAnsi="Times New Roman"/>
          <w:color w:val="000000"/>
        </w:rPr>
        <w:t xml:space="preserve">(office-based physicians/staff) </w:t>
      </w:r>
      <w:r>
        <w:rPr>
          <w:rFonts w:ascii="Times New Roman" w:hAnsi="Times New Roman"/>
          <w:color w:val="000000"/>
        </w:rPr>
        <w:t>is somewhat lower than the average physician salaries presented in the 2007 National Occupational Employment and Wage Estimates</w:t>
      </w:r>
      <w:r w:rsidR="00F45CE1">
        <w:rPr>
          <w:rFonts w:ascii="Times New Roman" w:hAnsi="Times New Roman"/>
          <w:color w:val="000000"/>
        </w:rPr>
        <w:t xml:space="preserve"> </w:t>
      </w:r>
      <w:r w:rsidR="00F77489">
        <w:rPr>
          <w:rFonts w:ascii="Times New Roman" w:hAnsi="Times New Roman"/>
          <w:color w:val="000000"/>
        </w:rPr>
        <w:t xml:space="preserve">(NOEWE) </w:t>
      </w:r>
      <w:r w:rsidR="00F45CE1">
        <w:rPr>
          <w:rFonts w:ascii="Times New Roman" w:hAnsi="Times New Roman"/>
          <w:color w:val="000000"/>
        </w:rPr>
        <w:t>because the wages of various office workers was averaged with the hourly salary of a physician</w:t>
      </w:r>
      <w:r>
        <w:rPr>
          <w:rFonts w:ascii="Times New Roman" w:hAnsi="Times New Roman"/>
          <w:color w:val="000000"/>
        </w:rPr>
        <w:t xml:space="preserve">.  </w:t>
      </w:r>
      <w:r w:rsidR="00F77489">
        <w:rPr>
          <w:rFonts w:ascii="Times New Roman" w:hAnsi="Times New Roman"/>
          <w:color w:val="000000"/>
        </w:rPr>
        <w:t xml:space="preserve">In addition, the salaries in the table below were approximated based on an average starting </w:t>
      </w:r>
      <w:r w:rsidR="0067798D">
        <w:rPr>
          <w:rFonts w:ascii="Times New Roman" w:hAnsi="Times New Roman"/>
          <w:color w:val="000000"/>
        </w:rPr>
        <w:t xml:space="preserve">salary using the </w:t>
      </w:r>
      <w:r w:rsidR="00F77489">
        <w:rPr>
          <w:rFonts w:ascii="Times New Roman" w:hAnsi="Times New Roman"/>
          <w:color w:val="000000"/>
        </w:rPr>
        <w:t>2007 NOEW</w:t>
      </w:r>
      <w:r w:rsidR="00DA72C7">
        <w:rPr>
          <w:rFonts w:ascii="Times New Roman" w:hAnsi="Times New Roman"/>
          <w:color w:val="000000"/>
        </w:rPr>
        <w:t>E</w:t>
      </w:r>
      <w:r w:rsidR="00F77489">
        <w:rPr>
          <w:rFonts w:ascii="Times New Roman" w:hAnsi="Times New Roman"/>
          <w:color w:val="000000"/>
        </w:rPr>
        <w:t xml:space="preserve"> figure, adding an approximat</w:t>
      </w:r>
      <w:r w:rsidR="00DA72C7">
        <w:rPr>
          <w:rFonts w:ascii="Times New Roman" w:hAnsi="Times New Roman"/>
          <w:color w:val="000000"/>
        </w:rPr>
        <w:t>e</w:t>
      </w:r>
      <w:r w:rsidR="00F77489">
        <w:rPr>
          <w:rFonts w:ascii="Times New Roman" w:hAnsi="Times New Roman"/>
          <w:color w:val="000000"/>
        </w:rPr>
        <w:t xml:space="preserve"> cost of living increase, and averaging the estimates from 2009-2012.  </w:t>
      </w:r>
      <w:r>
        <w:rPr>
          <w:rFonts w:ascii="Times New Roman" w:hAnsi="Times New Roman"/>
          <w:color w:val="000000"/>
        </w:rPr>
        <w:t xml:space="preserve">The following table shows </w:t>
      </w:r>
      <w:r w:rsidR="00F45CE1">
        <w:rPr>
          <w:rFonts w:ascii="Times New Roman" w:hAnsi="Times New Roman"/>
          <w:color w:val="000000"/>
        </w:rPr>
        <w:t>the breakdown of the total annual respondent cost</w:t>
      </w:r>
      <w:r>
        <w:rPr>
          <w:rFonts w:ascii="Times New Roman" w:hAnsi="Times New Roman"/>
          <w:color w:val="000000"/>
        </w:rPr>
        <w:t>.</w:t>
      </w:r>
    </w:p>
    <w:p w:rsidR="001C37B2" w:rsidRDefault="001C37B2" w:rsidP="00F45C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p>
    <w:p w:rsidR="006C1EC5" w:rsidRDefault="006C1EC5" w:rsidP="00F45C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Pr>
          <w:rFonts w:ascii="Times New Roman" w:hAnsi="Times New Roman"/>
          <w:color w:val="000000"/>
        </w:rPr>
        <w:t>Table of Annualized Respondent Cost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0"/>
        <w:gridCol w:w="1080"/>
        <w:gridCol w:w="990"/>
        <w:gridCol w:w="990"/>
      </w:tblGrid>
      <w:tr w:rsidR="004D1953" w:rsidTr="004D1953">
        <w:trPr>
          <w:cantSplit/>
          <w:trHeight w:val="1097"/>
        </w:trPr>
        <w:tc>
          <w:tcPr>
            <w:tcW w:w="5850" w:type="dxa"/>
            <w:tcBorders>
              <w:top w:val="single" w:sz="4" w:space="0" w:color="auto"/>
              <w:left w:val="single" w:sz="4" w:space="0" w:color="auto"/>
              <w:bottom w:val="single" w:sz="4" w:space="0" w:color="auto"/>
              <w:right w:val="single" w:sz="4" w:space="0" w:color="auto"/>
            </w:tcBorders>
            <w:vAlign w:val="bottom"/>
          </w:tcPr>
          <w:p w:rsidR="006C1EC5" w:rsidRDefault="006C1EC5" w:rsidP="004D1953">
            <w:pPr>
              <w:ind w:right="162"/>
              <w:jc w:val="center"/>
              <w:rPr>
                <w:b/>
                <w:sz w:val="20"/>
                <w:szCs w:val="20"/>
              </w:rPr>
            </w:pPr>
          </w:p>
          <w:p w:rsidR="006C1EC5" w:rsidRDefault="006C1EC5">
            <w:pPr>
              <w:jc w:val="center"/>
              <w:rPr>
                <w:b/>
                <w:sz w:val="20"/>
                <w:szCs w:val="20"/>
              </w:rPr>
            </w:pPr>
            <w:r>
              <w:rPr>
                <w:b/>
                <w:sz w:val="20"/>
                <w:szCs w:val="20"/>
              </w:rPr>
              <w:t>Type of Respondent</w:t>
            </w:r>
          </w:p>
          <w:p w:rsidR="006C1EC5" w:rsidRDefault="006C1EC5">
            <w:pPr>
              <w:spacing w:after="58"/>
              <w:jc w:val="center"/>
              <w:rPr>
                <w:b/>
                <w:sz w:val="20"/>
                <w:szCs w:val="20"/>
              </w:rPr>
            </w:pPr>
          </w:p>
        </w:tc>
        <w:tc>
          <w:tcPr>
            <w:tcW w:w="1080" w:type="dxa"/>
            <w:tcBorders>
              <w:top w:val="single" w:sz="4" w:space="0" w:color="auto"/>
              <w:left w:val="single" w:sz="4" w:space="0" w:color="auto"/>
              <w:bottom w:val="single" w:sz="4" w:space="0" w:color="auto"/>
            </w:tcBorders>
            <w:vAlign w:val="bottom"/>
          </w:tcPr>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Pr>
                <w:rFonts w:ascii="Times New Roman" w:hAnsi="Times New Roman"/>
                <w:b/>
                <w:bCs/>
                <w:color w:val="000000"/>
                <w:sz w:val="20"/>
                <w:szCs w:val="20"/>
              </w:rPr>
              <w:t>Response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Pr>
                <w:rFonts w:ascii="Times New Roman" w:hAnsi="Times New Roman"/>
                <w:b/>
                <w:bCs/>
                <w:color w:val="000000"/>
                <w:sz w:val="20"/>
                <w:szCs w:val="20"/>
              </w:rPr>
              <w:t>Burden (in hours)</w:t>
            </w:r>
          </w:p>
        </w:tc>
        <w:tc>
          <w:tcPr>
            <w:tcW w:w="990" w:type="dxa"/>
            <w:tcBorders>
              <w:top w:val="single" w:sz="4" w:space="0" w:color="auto"/>
              <w:bottom w:val="single" w:sz="4" w:space="0" w:color="auto"/>
            </w:tcBorders>
            <w:vAlign w:val="bottom"/>
          </w:tcPr>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Pr>
                <w:rFonts w:ascii="Times New Roman" w:hAnsi="Times New Roman"/>
                <w:b/>
                <w:bCs/>
                <w:color w:val="000000"/>
                <w:sz w:val="20"/>
                <w:szCs w:val="20"/>
              </w:rPr>
              <w:t>Average</w:t>
            </w:r>
          </w:p>
          <w:p w:rsidR="006C1EC5" w:rsidRDefault="006C1EC5">
            <w:pPr>
              <w:spacing w:after="58"/>
              <w:jc w:val="center"/>
              <w:rPr>
                <w:b/>
                <w:sz w:val="20"/>
                <w:szCs w:val="20"/>
              </w:rPr>
            </w:pPr>
            <w:r>
              <w:rPr>
                <w:b/>
                <w:bCs/>
                <w:color w:val="000000"/>
                <w:sz w:val="20"/>
                <w:szCs w:val="20"/>
              </w:rPr>
              <w:t>Hourly Wage</w:t>
            </w:r>
          </w:p>
        </w:tc>
        <w:tc>
          <w:tcPr>
            <w:tcW w:w="990" w:type="dxa"/>
            <w:tcBorders>
              <w:top w:val="single" w:sz="4" w:space="0" w:color="auto"/>
              <w:bottom w:val="single" w:sz="4" w:space="0" w:color="auto"/>
              <w:right w:val="single" w:sz="4" w:space="0" w:color="auto"/>
            </w:tcBorders>
            <w:vAlign w:val="bottom"/>
          </w:tcPr>
          <w:p w:rsidR="006C1EC5" w:rsidRDefault="006C1EC5">
            <w:pPr>
              <w:jc w:val="center"/>
              <w:rPr>
                <w:b/>
                <w:sz w:val="20"/>
                <w:szCs w:val="20"/>
              </w:rPr>
            </w:pPr>
            <w:r>
              <w:rPr>
                <w:b/>
                <w:bCs/>
                <w:color w:val="000000"/>
                <w:sz w:val="20"/>
                <w:szCs w:val="20"/>
              </w:rPr>
              <w:t>Total Cost</w:t>
            </w:r>
          </w:p>
        </w:tc>
      </w:tr>
      <w:tr w:rsidR="004D1953" w:rsidTr="004D1953">
        <w:tc>
          <w:tcPr>
            <w:tcW w:w="5850" w:type="dxa"/>
            <w:tcBorders>
              <w:top w:val="single" w:sz="4" w:space="0" w:color="auto"/>
              <w:left w:val="single" w:sz="4" w:space="0" w:color="auto"/>
              <w:bottom w:val="nil"/>
              <w:right w:val="single" w:sz="4" w:space="0" w:color="auto"/>
            </w:tcBorders>
          </w:tcPr>
          <w:p w:rsidR="006C1EC5" w:rsidRDefault="006C1EC5" w:rsidP="00886211">
            <w:pPr>
              <w:rPr>
                <w:sz w:val="20"/>
                <w:szCs w:val="20"/>
              </w:rPr>
            </w:pPr>
            <w:r>
              <w:rPr>
                <w:sz w:val="20"/>
                <w:szCs w:val="20"/>
              </w:rPr>
              <w:t xml:space="preserve">Office-based physicians/CHC providers </w:t>
            </w:r>
            <w:r w:rsidR="00886211">
              <w:rPr>
                <w:sz w:val="20"/>
                <w:szCs w:val="20"/>
              </w:rPr>
              <w:t xml:space="preserve"> (completing NAMCS-1s)</w:t>
            </w:r>
          </w:p>
        </w:tc>
        <w:tc>
          <w:tcPr>
            <w:tcW w:w="1080" w:type="dxa"/>
            <w:tcBorders>
              <w:top w:val="single" w:sz="4" w:space="0" w:color="auto"/>
              <w:left w:val="single" w:sz="4" w:space="0" w:color="auto"/>
              <w:bottom w:val="nil"/>
              <w:right w:val="single" w:sz="4" w:space="0" w:color="auto"/>
            </w:tcBorders>
          </w:tcPr>
          <w:p w:rsidR="006C1EC5" w:rsidRPr="005C0EC5" w:rsidRDefault="00886211" w:rsidP="009A37D6">
            <w:pPr>
              <w:jc w:val="center"/>
              <w:rPr>
                <w:sz w:val="20"/>
                <w:szCs w:val="20"/>
              </w:rPr>
            </w:pPr>
            <w:r w:rsidRPr="005C0EC5">
              <w:rPr>
                <w:sz w:val="20"/>
                <w:szCs w:val="20"/>
              </w:rPr>
              <w:t>2,</w:t>
            </w:r>
            <w:r w:rsidR="009A37D6" w:rsidRPr="005C0EC5">
              <w:rPr>
                <w:sz w:val="20"/>
                <w:szCs w:val="20"/>
              </w:rPr>
              <w:t>339</w:t>
            </w:r>
          </w:p>
        </w:tc>
        <w:tc>
          <w:tcPr>
            <w:tcW w:w="990" w:type="dxa"/>
            <w:tcBorders>
              <w:top w:val="single" w:sz="4" w:space="0" w:color="auto"/>
              <w:left w:val="single" w:sz="4" w:space="0" w:color="auto"/>
              <w:bottom w:val="nil"/>
              <w:right w:val="single" w:sz="4" w:space="0" w:color="auto"/>
            </w:tcBorders>
          </w:tcPr>
          <w:p w:rsidR="006C1EC5" w:rsidRDefault="00886211">
            <w:pPr>
              <w:jc w:val="center"/>
              <w:rPr>
                <w:sz w:val="20"/>
                <w:szCs w:val="20"/>
              </w:rPr>
            </w:pPr>
            <w:r>
              <w:rPr>
                <w:sz w:val="20"/>
                <w:szCs w:val="20"/>
              </w:rPr>
              <w:t>$64.34</w:t>
            </w:r>
          </w:p>
        </w:tc>
        <w:tc>
          <w:tcPr>
            <w:tcW w:w="990" w:type="dxa"/>
            <w:tcBorders>
              <w:top w:val="single" w:sz="4" w:space="0" w:color="auto"/>
              <w:left w:val="single" w:sz="4" w:space="0" w:color="auto"/>
              <w:bottom w:val="nil"/>
              <w:right w:val="single" w:sz="4" w:space="0" w:color="auto"/>
            </w:tcBorders>
          </w:tcPr>
          <w:p w:rsidR="006C1EC5" w:rsidRDefault="00886211" w:rsidP="00B42DA1">
            <w:pPr>
              <w:jc w:val="center"/>
              <w:rPr>
                <w:sz w:val="20"/>
                <w:szCs w:val="20"/>
              </w:rPr>
            </w:pPr>
            <w:r>
              <w:rPr>
                <w:sz w:val="20"/>
                <w:szCs w:val="20"/>
              </w:rPr>
              <w:t>$</w:t>
            </w:r>
            <w:r w:rsidR="00B42DA1">
              <w:rPr>
                <w:sz w:val="20"/>
                <w:szCs w:val="20"/>
              </w:rPr>
              <w:t>150,491</w:t>
            </w:r>
          </w:p>
        </w:tc>
      </w:tr>
      <w:tr w:rsidR="004D1953" w:rsidTr="004D1953">
        <w:tc>
          <w:tcPr>
            <w:tcW w:w="5850" w:type="dxa"/>
            <w:tcBorders>
              <w:top w:val="nil"/>
              <w:left w:val="single" w:sz="4" w:space="0" w:color="auto"/>
              <w:bottom w:val="nil"/>
              <w:right w:val="single" w:sz="4" w:space="0" w:color="auto"/>
            </w:tcBorders>
          </w:tcPr>
          <w:p w:rsidR="00886211" w:rsidRDefault="00886211">
            <w:pPr>
              <w:rPr>
                <w:sz w:val="20"/>
                <w:szCs w:val="20"/>
              </w:rPr>
            </w:pPr>
            <w:r>
              <w:rPr>
                <w:sz w:val="20"/>
                <w:szCs w:val="20"/>
              </w:rPr>
              <w:t>Office-based physicians/CHC providers/staff (completing PRFs)</w:t>
            </w:r>
          </w:p>
          <w:p w:rsidR="006C1EC5" w:rsidRDefault="006C1EC5">
            <w:pPr>
              <w:rPr>
                <w:sz w:val="20"/>
                <w:szCs w:val="20"/>
              </w:rPr>
            </w:pPr>
            <w:r>
              <w:rPr>
                <w:sz w:val="20"/>
                <w:szCs w:val="20"/>
              </w:rPr>
              <w:t>Office-based physicians, mail survey</w:t>
            </w:r>
          </w:p>
        </w:tc>
        <w:tc>
          <w:tcPr>
            <w:tcW w:w="1080" w:type="dxa"/>
            <w:tcBorders>
              <w:top w:val="nil"/>
              <w:left w:val="single" w:sz="4" w:space="0" w:color="auto"/>
              <w:bottom w:val="nil"/>
              <w:right w:val="single" w:sz="4" w:space="0" w:color="auto"/>
            </w:tcBorders>
          </w:tcPr>
          <w:p w:rsidR="00886211" w:rsidRPr="005C0EC5" w:rsidRDefault="00886211">
            <w:pPr>
              <w:jc w:val="center"/>
              <w:rPr>
                <w:sz w:val="20"/>
                <w:szCs w:val="20"/>
              </w:rPr>
            </w:pPr>
            <w:r w:rsidRPr="005C0EC5">
              <w:rPr>
                <w:sz w:val="20"/>
                <w:szCs w:val="20"/>
              </w:rPr>
              <w:t>5,</w:t>
            </w:r>
            <w:r w:rsidR="00B42DA1" w:rsidRPr="005C0EC5">
              <w:rPr>
                <w:sz w:val="20"/>
                <w:szCs w:val="20"/>
              </w:rPr>
              <w:t>594</w:t>
            </w:r>
          </w:p>
          <w:p w:rsidR="006C1EC5" w:rsidRPr="005C0EC5" w:rsidRDefault="009A37D6">
            <w:pPr>
              <w:jc w:val="center"/>
              <w:rPr>
                <w:sz w:val="20"/>
                <w:szCs w:val="20"/>
              </w:rPr>
            </w:pPr>
            <w:r w:rsidRPr="005C0EC5">
              <w:rPr>
                <w:sz w:val="20"/>
                <w:szCs w:val="20"/>
              </w:rPr>
              <w:t>1,820</w:t>
            </w:r>
          </w:p>
        </w:tc>
        <w:tc>
          <w:tcPr>
            <w:tcW w:w="990" w:type="dxa"/>
            <w:tcBorders>
              <w:top w:val="nil"/>
              <w:left w:val="single" w:sz="4" w:space="0" w:color="auto"/>
              <w:bottom w:val="nil"/>
              <w:right w:val="single" w:sz="4" w:space="0" w:color="auto"/>
            </w:tcBorders>
          </w:tcPr>
          <w:p w:rsidR="00886211" w:rsidRDefault="00BC33AF">
            <w:pPr>
              <w:jc w:val="center"/>
              <w:rPr>
                <w:sz w:val="20"/>
                <w:szCs w:val="20"/>
              </w:rPr>
            </w:pPr>
            <w:r>
              <w:rPr>
                <w:sz w:val="20"/>
                <w:szCs w:val="20"/>
              </w:rPr>
              <w:t>$51.24</w:t>
            </w:r>
          </w:p>
          <w:p w:rsidR="006C1EC5" w:rsidRPr="00A72B60" w:rsidRDefault="006C1EC5">
            <w:pPr>
              <w:jc w:val="center"/>
              <w:rPr>
                <w:sz w:val="20"/>
                <w:szCs w:val="20"/>
              </w:rPr>
            </w:pPr>
            <w:r w:rsidRPr="00A72B60">
              <w:rPr>
                <w:sz w:val="20"/>
                <w:szCs w:val="20"/>
              </w:rPr>
              <w:t>$87.</w:t>
            </w:r>
            <w:r w:rsidR="00641E5D" w:rsidRPr="00A72B60">
              <w:rPr>
                <w:sz w:val="20"/>
                <w:szCs w:val="20"/>
              </w:rPr>
              <w:t>17</w:t>
            </w:r>
          </w:p>
        </w:tc>
        <w:tc>
          <w:tcPr>
            <w:tcW w:w="990" w:type="dxa"/>
            <w:tcBorders>
              <w:top w:val="nil"/>
              <w:left w:val="single" w:sz="4" w:space="0" w:color="auto"/>
              <w:bottom w:val="nil"/>
              <w:right w:val="single" w:sz="4" w:space="0" w:color="auto"/>
            </w:tcBorders>
          </w:tcPr>
          <w:p w:rsidR="00886211" w:rsidRDefault="00BC33AF">
            <w:pPr>
              <w:jc w:val="center"/>
              <w:rPr>
                <w:sz w:val="20"/>
                <w:szCs w:val="20"/>
              </w:rPr>
            </w:pPr>
            <w:r>
              <w:rPr>
                <w:sz w:val="20"/>
                <w:szCs w:val="20"/>
              </w:rPr>
              <w:t>$</w:t>
            </w:r>
            <w:r w:rsidR="0064690B">
              <w:rPr>
                <w:sz w:val="20"/>
                <w:szCs w:val="20"/>
              </w:rPr>
              <w:t>286,637</w:t>
            </w:r>
          </w:p>
          <w:p w:rsidR="006C1EC5" w:rsidRPr="00A72B60" w:rsidRDefault="00B42DA1">
            <w:pPr>
              <w:jc w:val="center"/>
              <w:rPr>
                <w:sz w:val="20"/>
                <w:szCs w:val="20"/>
              </w:rPr>
            </w:pPr>
            <w:r>
              <w:rPr>
                <w:sz w:val="20"/>
                <w:szCs w:val="20"/>
              </w:rPr>
              <w:t>$</w:t>
            </w:r>
            <w:r w:rsidR="0064690B">
              <w:rPr>
                <w:sz w:val="20"/>
                <w:szCs w:val="20"/>
              </w:rPr>
              <w:t>158,649</w:t>
            </w:r>
          </w:p>
        </w:tc>
      </w:tr>
      <w:tr w:rsidR="004630F1" w:rsidTr="004D1953">
        <w:tc>
          <w:tcPr>
            <w:tcW w:w="5850" w:type="dxa"/>
            <w:tcBorders>
              <w:top w:val="nil"/>
              <w:left w:val="single" w:sz="4" w:space="0" w:color="auto"/>
              <w:bottom w:val="nil"/>
              <w:right w:val="single" w:sz="4" w:space="0" w:color="auto"/>
            </w:tcBorders>
          </w:tcPr>
          <w:p w:rsidR="004630F1" w:rsidRDefault="004630F1">
            <w:pPr>
              <w:rPr>
                <w:sz w:val="20"/>
                <w:szCs w:val="20"/>
              </w:rPr>
            </w:pPr>
            <w:r>
              <w:rPr>
                <w:sz w:val="20"/>
                <w:szCs w:val="20"/>
              </w:rPr>
              <w:t>Office-based physicians, workflow survey</w:t>
            </w:r>
          </w:p>
        </w:tc>
        <w:tc>
          <w:tcPr>
            <w:tcW w:w="1080" w:type="dxa"/>
            <w:tcBorders>
              <w:top w:val="nil"/>
              <w:left w:val="single" w:sz="4" w:space="0" w:color="auto"/>
              <w:bottom w:val="nil"/>
              <w:right w:val="single" w:sz="4" w:space="0" w:color="auto"/>
            </w:tcBorders>
          </w:tcPr>
          <w:p w:rsidR="004630F1" w:rsidRPr="005C0EC5" w:rsidRDefault="0008255A">
            <w:pPr>
              <w:jc w:val="center"/>
              <w:rPr>
                <w:sz w:val="20"/>
                <w:szCs w:val="20"/>
              </w:rPr>
            </w:pPr>
            <w:r w:rsidRPr="005C0EC5">
              <w:rPr>
                <w:sz w:val="20"/>
                <w:szCs w:val="20"/>
              </w:rPr>
              <w:t>994</w:t>
            </w:r>
          </w:p>
        </w:tc>
        <w:tc>
          <w:tcPr>
            <w:tcW w:w="990" w:type="dxa"/>
            <w:tcBorders>
              <w:top w:val="nil"/>
              <w:left w:val="single" w:sz="4" w:space="0" w:color="auto"/>
              <w:bottom w:val="nil"/>
              <w:right w:val="single" w:sz="4" w:space="0" w:color="auto"/>
            </w:tcBorders>
          </w:tcPr>
          <w:p w:rsidR="004630F1" w:rsidRDefault="0008255A">
            <w:pPr>
              <w:jc w:val="center"/>
              <w:rPr>
                <w:sz w:val="20"/>
                <w:szCs w:val="20"/>
              </w:rPr>
            </w:pPr>
            <w:r>
              <w:rPr>
                <w:sz w:val="20"/>
                <w:szCs w:val="20"/>
              </w:rPr>
              <w:t>$87.17</w:t>
            </w:r>
          </w:p>
        </w:tc>
        <w:tc>
          <w:tcPr>
            <w:tcW w:w="990" w:type="dxa"/>
            <w:tcBorders>
              <w:top w:val="nil"/>
              <w:left w:val="single" w:sz="4" w:space="0" w:color="auto"/>
              <w:bottom w:val="nil"/>
              <w:right w:val="single" w:sz="4" w:space="0" w:color="auto"/>
            </w:tcBorders>
          </w:tcPr>
          <w:p w:rsidR="004630F1" w:rsidRDefault="0008255A">
            <w:pPr>
              <w:jc w:val="center"/>
              <w:rPr>
                <w:sz w:val="20"/>
                <w:szCs w:val="20"/>
              </w:rPr>
            </w:pPr>
            <w:r>
              <w:rPr>
                <w:sz w:val="20"/>
                <w:szCs w:val="20"/>
              </w:rPr>
              <w:t>$86,647</w:t>
            </w:r>
          </w:p>
        </w:tc>
      </w:tr>
      <w:tr w:rsidR="004D1953" w:rsidTr="004D1953">
        <w:tc>
          <w:tcPr>
            <w:tcW w:w="5850" w:type="dxa"/>
            <w:tcBorders>
              <w:top w:val="nil"/>
              <w:left w:val="single" w:sz="4" w:space="0" w:color="auto"/>
              <w:bottom w:val="nil"/>
              <w:right w:val="single" w:sz="4" w:space="0" w:color="auto"/>
            </w:tcBorders>
          </w:tcPr>
          <w:p w:rsidR="006C1EC5" w:rsidRDefault="006C1EC5">
            <w:pPr>
              <w:rPr>
                <w:sz w:val="20"/>
                <w:szCs w:val="20"/>
              </w:rPr>
            </w:pPr>
            <w:r>
              <w:rPr>
                <w:sz w:val="20"/>
                <w:szCs w:val="20"/>
              </w:rPr>
              <w:t>Office/CHC staff (pulling &amp; re-filing PRFs)</w:t>
            </w:r>
          </w:p>
        </w:tc>
        <w:tc>
          <w:tcPr>
            <w:tcW w:w="1080" w:type="dxa"/>
            <w:tcBorders>
              <w:top w:val="nil"/>
              <w:left w:val="single" w:sz="4" w:space="0" w:color="auto"/>
              <w:bottom w:val="nil"/>
              <w:right w:val="single" w:sz="4" w:space="0" w:color="auto"/>
            </w:tcBorders>
          </w:tcPr>
          <w:p w:rsidR="006C1EC5" w:rsidRPr="005C0EC5" w:rsidRDefault="00BC33AF">
            <w:pPr>
              <w:jc w:val="center"/>
              <w:rPr>
                <w:sz w:val="20"/>
                <w:szCs w:val="20"/>
              </w:rPr>
            </w:pPr>
            <w:r w:rsidRPr="005C0EC5">
              <w:rPr>
                <w:sz w:val="20"/>
                <w:szCs w:val="20"/>
              </w:rPr>
              <w:t>447</w:t>
            </w:r>
          </w:p>
        </w:tc>
        <w:tc>
          <w:tcPr>
            <w:tcW w:w="990" w:type="dxa"/>
            <w:tcBorders>
              <w:top w:val="nil"/>
              <w:left w:val="single" w:sz="4" w:space="0" w:color="auto"/>
              <w:bottom w:val="nil"/>
              <w:right w:val="single" w:sz="4" w:space="0" w:color="auto"/>
            </w:tcBorders>
          </w:tcPr>
          <w:p w:rsidR="006C1EC5" w:rsidRDefault="006C1EC5">
            <w:pPr>
              <w:jc w:val="center"/>
              <w:rPr>
                <w:sz w:val="20"/>
                <w:szCs w:val="20"/>
              </w:rPr>
            </w:pPr>
            <w:r>
              <w:rPr>
                <w:sz w:val="20"/>
                <w:szCs w:val="20"/>
              </w:rPr>
              <w:t>$25.03</w:t>
            </w:r>
          </w:p>
        </w:tc>
        <w:tc>
          <w:tcPr>
            <w:tcW w:w="990" w:type="dxa"/>
            <w:tcBorders>
              <w:top w:val="nil"/>
              <w:left w:val="single" w:sz="4" w:space="0" w:color="auto"/>
              <w:bottom w:val="nil"/>
              <w:right w:val="single" w:sz="4" w:space="0" w:color="auto"/>
            </w:tcBorders>
          </w:tcPr>
          <w:p w:rsidR="006C1EC5" w:rsidRDefault="006C1EC5" w:rsidP="00B42DA1">
            <w:pPr>
              <w:jc w:val="center"/>
              <w:rPr>
                <w:sz w:val="20"/>
                <w:szCs w:val="20"/>
              </w:rPr>
            </w:pPr>
            <w:r>
              <w:rPr>
                <w:sz w:val="20"/>
                <w:szCs w:val="20"/>
              </w:rPr>
              <w:t>$</w:t>
            </w:r>
            <w:r w:rsidR="0064690B">
              <w:rPr>
                <w:sz w:val="20"/>
                <w:szCs w:val="20"/>
              </w:rPr>
              <w:t>11,188</w:t>
            </w:r>
          </w:p>
        </w:tc>
      </w:tr>
      <w:tr w:rsidR="004D1953" w:rsidTr="004D1953">
        <w:tc>
          <w:tcPr>
            <w:tcW w:w="5850" w:type="dxa"/>
            <w:tcBorders>
              <w:top w:val="nil"/>
              <w:left w:val="single" w:sz="4" w:space="0" w:color="auto"/>
              <w:bottom w:val="nil"/>
              <w:right w:val="single" w:sz="4" w:space="0" w:color="auto"/>
            </w:tcBorders>
          </w:tcPr>
          <w:p w:rsidR="006C1EC5" w:rsidRDefault="006C1EC5">
            <w:pPr>
              <w:rPr>
                <w:sz w:val="20"/>
                <w:szCs w:val="20"/>
              </w:rPr>
            </w:pPr>
            <w:r>
              <w:rPr>
                <w:sz w:val="20"/>
                <w:szCs w:val="20"/>
              </w:rPr>
              <w:t xml:space="preserve">Community </w:t>
            </w:r>
            <w:smartTag w:uri="urn:schemas-microsoft-com:office:smarttags" w:element="PlaceName">
              <w:r>
                <w:rPr>
                  <w:sz w:val="20"/>
                  <w:szCs w:val="20"/>
                </w:rPr>
                <w:t>Health</w:t>
              </w:r>
            </w:smartTag>
            <w:r>
              <w:rPr>
                <w:sz w:val="20"/>
                <w:szCs w:val="20"/>
              </w:rPr>
              <w:t xml:space="preserve"> </w:t>
            </w:r>
            <w:smartTag w:uri="urn:schemas-microsoft-com:office:smarttags" w:element="PlaceType">
              <w:r>
                <w:rPr>
                  <w:sz w:val="20"/>
                  <w:szCs w:val="20"/>
                </w:rPr>
                <w:t>Center</w:t>
              </w:r>
            </w:smartTag>
            <w:r>
              <w:rPr>
                <w:sz w:val="20"/>
                <w:szCs w:val="20"/>
              </w:rPr>
              <w:t xml:space="preserve"> Directors</w:t>
            </w:r>
          </w:p>
          <w:p w:rsidR="006E1285" w:rsidRDefault="006E1285">
            <w:pPr>
              <w:rPr>
                <w:sz w:val="20"/>
                <w:szCs w:val="20"/>
              </w:rPr>
            </w:pPr>
            <w:r>
              <w:rPr>
                <w:sz w:val="20"/>
                <w:szCs w:val="20"/>
              </w:rPr>
              <w:t xml:space="preserve">Office-based physicians/staff (completing </w:t>
            </w:r>
            <w:r w:rsidR="00203568">
              <w:rPr>
                <w:sz w:val="20"/>
                <w:szCs w:val="20"/>
              </w:rPr>
              <w:t>pretest</w:t>
            </w:r>
            <w:r>
              <w:rPr>
                <w:sz w:val="20"/>
                <w:szCs w:val="20"/>
              </w:rPr>
              <w:t xml:space="preserve"> NAMC</w:t>
            </w:r>
            <w:r w:rsidR="009A37D6">
              <w:rPr>
                <w:sz w:val="20"/>
                <w:szCs w:val="20"/>
              </w:rPr>
              <w:t>S</w:t>
            </w:r>
            <w:r>
              <w:rPr>
                <w:sz w:val="20"/>
                <w:szCs w:val="20"/>
              </w:rPr>
              <w:t>-1</w:t>
            </w:r>
            <w:r w:rsidR="007B6118">
              <w:rPr>
                <w:sz w:val="20"/>
                <w:szCs w:val="20"/>
              </w:rPr>
              <w:t xml:space="preserve">, </w:t>
            </w:r>
            <w:r>
              <w:rPr>
                <w:sz w:val="20"/>
                <w:szCs w:val="20"/>
              </w:rPr>
              <w:t>PRFs</w:t>
            </w:r>
            <w:r w:rsidR="007B6118">
              <w:rPr>
                <w:sz w:val="20"/>
                <w:szCs w:val="20"/>
              </w:rPr>
              <w:t>, &amp; asthma supplement</w:t>
            </w:r>
            <w:r>
              <w:rPr>
                <w:sz w:val="20"/>
                <w:szCs w:val="20"/>
              </w:rPr>
              <w:t>)</w:t>
            </w:r>
          </w:p>
          <w:p w:rsidR="009A37D6" w:rsidRDefault="009A37D6">
            <w:pPr>
              <w:rPr>
                <w:sz w:val="20"/>
                <w:szCs w:val="20"/>
              </w:rPr>
            </w:pPr>
            <w:r>
              <w:rPr>
                <w:sz w:val="20"/>
                <w:szCs w:val="20"/>
              </w:rPr>
              <w:t>Office-based physicians/CHC providers (asthma supplement)</w:t>
            </w:r>
          </w:p>
        </w:tc>
        <w:tc>
          <w:tcPr>
            <w:tcW w:w="1080" w:type="dxa"/>
            <w:tcBorders>
              <w:top w:val="nil"/>
              <w:left w:val="single" w:sz="4" w:space="0" w:color="auto"/>
              <w:bottom w:val="single" w:sz="4" w:space="0" w:color="auto"/>
              <w:right w:val="single" w:sz="4" w:space="0" w:color="auto"/>
            </w:tcBorders>
          </w:tcPr>
          <w:p w:rsidR="006C1EC5" w:rsidRPr="005C0EC5" w:rsidRDefault="006C1EC5">
            <w:pPr>
              <w:jc w:val="center"/>
              <w:rPr>
                <w:sz w:val="20"/>
                <w:szCs w:val="20"/>
              </w:rPr>
            </w:pPr>
            <w:r w:rsidRPr="005C0EC5">
              <w:rPr>
                <w:sz w:val="20"/>
                <w:szCs w:val="20"/>
              </w:rPr>
              <w:t>3</w:t>
            </w:r>
            <w:r w:rsidR="00C3163E" w:rsidRPr="005C0EC5">
              <w:rPr>
                <w:sz w:val="20"/>
                <w:szCs w:val="20"/>
              </w:rPr>
              <w:t>5</w:t>
            </w:r>
          </w:p>
          <w:p w:rsidR="006E1285" w:rsidRPr="005C0EC5" w:rsidRDefault="006E1285">
            <w:pPr>
              <w:jc w:val="center"/>
              <w:rPr>
                <w:sz w:val="20"/>
                <w:szCs w:val="20"/>
              </w:rPr>
            </w:pPr>
          </w:p>
          <w:p w:rsidR="007B6118" w:rsidRPr="005C0EC5" w:rsidRDefault="007B6118">
            <w:pPr>
              <w:jc w:val="center"/>
              <w:rPr>
                <w:sz w:val="20"/>
                <w:szCs w:val="20"/>
              </w:rPr>
            </w:pPr>
            <w:r w:rsidRPr="005C0EC5">
              <w:rPr>
                <w:sz w:val="20"/>
                <w:szCs w:val="20"/>
              </w:rPr>
              <w:t>7</w:t>
            </w:r>
            <w:r w:rsidR="00A72F83">
              <w:rPr>
                <w:sz w:val="20"/>
                <w:szCs w:val="20"/>
              </w:rPr>
              <w:t>83</w:t>
            </w:r>
          </w:p>
          <w:p w:rsidR="00B42DA1" w:rsidRPr="005C0EC5" w:rsidRDefault="00B42DA1">
            <w:pPr>
              <w:jc w:val="center"/>
              <w:rPr>
                <w:sz w:val="20"/>
                <w:szCs w:val="20"/>
              </w:rPr>
            </w:pPr>
            <w:r w:rsidRPr="005C0EC5">
              <w:rPr>
                <w:sz w:val="20"/>
                <w:szCs w:val="20"/>
              </w:rPr>
              <w:t>167</w:t>
            </w:r>
          </w:p>
        </w:tc>
        <w:tc>
          <w:tcPr>
            <w:tcW w:w="990" w:type="dxa"/>
            <w:tcBorders>
              <w:top w:val="nil"/>
              <w:left w:val="single" w:sz="4" w:space="0" w:color="auto"/>
              <w:bottom w:val="single" w:sz="4" w:space="0" w:color="auto"/>
              <w:right w:val="single" w:sz="4" w:space="0" w:color="auto"/>
            </w:tcBorders>
          </w:tcPr>
          <w:p w:rsidR="006C1EC5" w:rsidRDefault="006C1EC5">
            <w:pPr>
              <w:jc w:val="center"/>
              <w:rPr>
                <w:sz w:val="20"/>
                <w:szCs w:val="20"/>
              </w:rPr>
            </w:pPr>
            <w:r>
              <w:rPr>
                <w:sz w:val="20"/>
                <w:szCs w:val="20"/>
              </w:rPr>
              <w:t>$59.00</w:t>
            </w:r>
          </w:p>
          <w:p w:rsidR="006E1285" w:rsidRDefault="006E1285" w:rsidP="00670FD9">
            <w:pPr>
              <w:jc w:val="center"/>
              <w:rPr>
                <w:sz w:val="20"/>
                <w:szCs w:val="20"/>
              </w:rPr>
            </w:pPr>
          </w:p>
          <w:p w:rsidR="007B6118" w:rsidRDefault="007B6118" w:rsidP="00670FD9">
            <w:pPr>
              <w:jc w:val="center"/>
              <w:rPr>
                <w:sz w:val="20"/>
                <w:szCs w:val="20"/>
              </w:rPr>
            </w:pPr>
            <w:r>
              <w:rPr>
                <w:sz w:val="20"/>
                <w:szCs w:val="20"/>
              </w:rPr>
              <w:t>$56.10</w:t>
            </w:r>
          </w:p>
          <w:p w:rsidR="009A37D6" w:rsidRDefault="009A37D6" w:rsidP="00670FD9">
            <w:pPr>
              <w:jc w:val="center"/>
              <w:rPr>
                <w:sz w:val="20"/>
                <w:szCs w:val="20"/>
              </w:rPr>
            </w:pPr>
            <w:r>
              <w:rPr>
                <w:sz w:val="20"/>
                <w:szCs w:val="20"/>
              </w:rPr>
              <w:t>$64.34</w:t>
            </w:r>
          </w:p>
        </w:tc>
        <w:tc>
          <w:tcPr>
            <w:tcW w:w="990" w:type="dxa"/>
            <w:tcBorders>
              <w:top w:val="nil"/>
              <w:left w:val="single" w:sz="4" w:space="0" w:color="auto"/>
              <w:bottom w:val="single" w:sz="4" w:space="0" w:color="auto"/>
              <w:right w:val="single" w:sz="4" w:space="0" w:color="auto"/>
            </w:tcBorders>
          </w:tcPr>
          <w:p w:rsidR="006C1EC5" w:rsidRDefault="006C1EC5">
            <w:pPr>
              <w:jc w:val="center"/>
              <w:rPr>
                <w:sz w:val="20"/>
                <w:szCs w:val="20"/>
              </w:rPr>
            </w:pPr>
            <w:r>
              <w:rPr>
                <w:sz w:val="20"/>
                <w:szCs w:val="20"/>
              </w:rPr>
              <w:t>$</w:t>
            </w:r>
            <w:r w:rsidR="0064690B">
              <w:rPr>
                <w:sz w:val="20"/>
                <w:szCs w:val="20"/>
              </w:rPr>
              <w:t>2,065</w:t>
            </w:r>
          </w:p>
          <w:p w:rsidR="00BC33AF" w:rsidRDefault="00BC33AF" w:rsidP="00B42DA1">
            <w:pPr>
              <w:jc w:val="center"/>
              <w:rPr>
                <w:sz w:val="20"/>
                <w:szCs w:val="20"/>
              </w:rPr>
            </w:pPr>
          </w:p>
          <w:p w:rsidR="007B6118" w:rsidRDefault="007B6118" w:rsidP="00B42DA1">
            <w:pPr>
              <w:jc w:val="center"/>
              <w:rPr>
                <w:sz w:val="20"/>
                <w:szCs w:val="20"/>
              </w:rPr>
            </w:pPr>
            <w:r>
              <w:rPr>
                <w:sz w:val="20"/>
                <w:szCs w:val="20"/>
              </w:rPr>
              <w:t>$43,</w:t>
            </w:r>
            <w:r w:rsidR="00A72F83">
              <w:rPr>
                <w:sz w:val="20"/>
                <w:szCs w:val="20"/>
              </w:rPr>
              <w:t>926</w:t>
            </w:r>
          </w:p>
          <w:p w:rsidR="00B42DA1" w:rsidRDefault="00B42DA1" w:rsidP="00B42DA1">
            <w:pPr>
              <w:jc w:val="center"/>
              <w:rPr>
                <w:sz w:val="20"/>
                <w:szCs w:val="20"/>
              </w:rPr>
            </w:pPr>
            <w:r>
              <w:rPr>
                <w:sz w:val="20"/>
                <w:szCs w:val="20"/>
              </w:rPr>
              <w:t>$</w:t>
            </w:r>
            <w:r w:rsidR="0064690B">
              <w:rPr>
                <w:sz w:val="20"/>
                <w:szCs w:val="20"/>
              </w:rPr>
              <w:t>10,745</w:t>
            </w:r>
          </w:p>
        </w:tc>
      </w:tr>
      <w:tr w:rsidR="004D1953" w:rsidTr="004D1953">
        <w:tc>
          <w:tcPr>
            <w:tcW w:w="5850" w:type="dxa"/>
            <w:tcBorders>
              <w:top w:val="single" w:sz="4" w:space="0" w:color="auto"/>
              <w:left w:val="single" w:sz="4" w:space="0" w:color="auto"/>
              <w:bottom w:val="single" w:sz="4" w:space="0" w:color="auto"/>
              <w:right w:val="single" w:sz="4" w:space="0" w:color="auto"/>
            </w:tcBorders>
          </w:tcPr>
          <w:p w:rsidR="006C1EC5" w:rsidRDefault="006C1EC5">
            <w:pPr>
              <w:rPr>
                <w:b/>
                <w:sz w:val="20"/>
                <w:szCs w:val="20"/>
              </w:rPr>
            </w:pPr>
            <w:r>
              <w:rPr>
                <w:b/>
                <w:sz w:val="20"/>
                <w:szCs w:val="20"/>
              </w:rPr>
              <w:t>Total</w:t>
            </w:r>
          </w:p>
        </w:tc>
        <w:tc>
          <w:tcPr>
            <w:tcW w:w="1080" w:type="dxa"/>
            <w:tcBorders>
              <w:top w:val="single" w:sz="4" w:space="0" w:color="auto"/>
              <w:left w:val="single" w:sz="4" w:space="0" w:color="auto"/>
              <w:bottom w:val="single" w:sz="4" w:space="0" w:color="auto"/>
              <w:right w:val="single" w:sz="4" w:space="0" w:color="auto"/>
            </w:tcBorders>
          </w:tcPr>
          <w:p w:rsidR="006C1EC5" w:rsidRDefault="006C1EC5">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6C1EC5" w:rsidRDefault="006C1EC5">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6C1EC5" w:rsidRDefault="006E1285" w:rsidP="001A0806">
            <w:pPr>
              <w:jc w:val="center"/>
              <w:rPr>
                <w:sz w:val="20"/>
                <w:szCs w:val="20"/>
              </w:rPr>
            </w:pPr>
            <w:r>
              <w:rPr>
                <w:sz w:val="20"/>
                <w:szCs w:val="20"/>
              </w:rPr>
              <w:t>$</w:t>
            </w:r>
            <w:r w:rsidR="00C9163D">
              <w:rPr>
                <w:sz w:val="20"/>
                <w:szCs w:val="20"/>
              </w:rPr>
              <w:t>7</w:t>
            </w:r>
            <w:r w:rsidR="001A0806">
              <w:rPr>
                <w:sz w:val="20"/>
                <w:szCs w:val="20"/>
              </w:rPr>
              <w:t>50,348</w:t>
            </w:r>
          </w:p>
        </w:tc>
      </w:tr>
    </w:tbl>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13.  Estimates of Other Total Annual Cost Burden to Respondents or Recordkeepers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For this project there will be no annual capital or maintenance costs to the respondent resulting from the collection of information.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bookmarkStart w:id="7" w:name="OLE_LINK19"/>
      <w:bookmarkStart w:id="8" w:name="OLE_LINK20"/>
      <w:r>
        <w:rPr>
          <w:rFonts w:ascii="Times New Roman" w:hAnsi="Times New Roman"/>
          <w:b/>
          <w:bCs/>
          <w:color w:val="000000"/>
        </w:rPr>
        <w:t xml:space="preserve">14.  Annualized Cost to the Government </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9" w:name="OLE_LINK21"/>
      <w:bookmarkStart w:id="10" w:name="OLE_LINK22"/>
      <w:bookmarkStart w:id="11" w:name="OLE_LINK23"/>
      <w:r>
        <w:rPr>
          <w:rFonts w:ascii="Times New Roman" w:hAnsi="Times New Roman"/>
          <w:color w:val="000000"/>
        </w:rPr>
        <w:t xml:space="preserve">The estimate of average annual (one-data cycle) cost to the government for the </w:t>
      </w:r>
      <w:r w:rsidRPr="006039D6">
        <w:rPr>
          <w:rFonts w:ascii="Times New Roman" w:hAnsi="Times New Roman"/>
          <w:color w:val="000000"/>
        </w:rPr>
        <w:t>20</w:t>
      </w:r>
      <w:r w:rsidR="005645F5" w:rsidRPr="006039D6">
        <w:rPr>
          <w:rFonts w:ascii="Times New Roman" w:hAnsi="Times New Roman"/>
          <w:color w:val="000000"/>
        </w:rPr>
        <w:t>1</w:t>
      </w:r>
      <w:r w:rsidR="00A8548F">
        <w:rPr>
          <w:rFonts w:ascii="Times New Roman" w:hAnsi="Times New Roman"/>
          <w:color w:val="000000"/>
        </w:rPr>
        <w:t>1</w:t>
      </w:r>
      <w:r w:rsidRPr="006039D6">
        <w:rPr>
          <w:rFonts w:ascii="Times New Roman" w:hAnsi="Times New Roman"/>
          <w:color w:val="000000"/>
        </w:rPr>
        <w:noBreakHyphen/>
        <w:t>201</w:t>
      </w:r>
      <w:r w:rsidR="00A8548F">
        <w:rPr>
          <w:rFonts w:ascii="Times New Roman" w:hAnsi="Times New Roman"/>
          <w:color w:val="000000"/>
        </w:rPr>
        <w:t>3</w:t>
      </w:r>
      <w:r w:rsidRPr="006039D6">
        <w:rPr>
          <w:rFonts w:ascii="Times New Roman" w:hAnsi="Times New Roman"/>
          <w:color w:val="000000"/>
        </w:rPr>
        <w:t xml:space="preserve"> survey is as follows: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5C19A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12" w:name="OLE_LINK6"/>
      <w:bookmarkStart w:id="13" w:name="OLE_LINK7"/>
      <w:r w:rsidRPr="005C19A1">
        <w:rPr>
          <w:rFonts w:ascii="Times New Roman" w:hAnsi="Times New Roman"/>
          <w:color w:val="000000"/>
        </w:rPr>
        <w:t>$3,</w:t>
      </w:r>
      <w:r w:rsidR="00EB6CA2">
        <w:rPr>
          <w:rFonts w:ascii="Times New Roman" w:hAnsi="Times New Roman"/>
          <w:color w:val="000000"/>
        </w:rPr>
        <w:t>422</w:t>
      </w:r>
      <w:r w:rsidRPr="005C19A1">
        <w:rPr>
          <w:rFonts w:ascii="Times New Roman" w:hAnsi="Times New Roman"/>
          <w:color w:val="000000"/>
        </w:rPr>
        <w:t>,</w:t>
      </w:r>
      <w:r w:rsidR="00EB6CA2">
        <w:rPr>
          <w:rFonts w:ascii="Times New Roman" w:hAnsi="Times New Roman"/>
          <w:color w:val="000000"/>
        </w:rPr>
        <w:t>247</w:t>
      </w:r>
      <w:r w:rsidRPr="005C19A1">
        <w:rPr>
          <w:rFonts w:ascii="Times New Roman" w:hAnsi="Times New Roman"/>
          <w:color w:val="000000"/>
        </w:rPr>
        <w:t xml:space="preserve"> Interagency Agreement for data collection with the Bureau of the Census</w:t>
      </w:r>
    </w:p>
    <w:p w:rsidR="006C1EC5" w:rsidRPr="005C19A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C19A1">
        <w:rPr>
          <w:rFonts w:ascii="Times New Roman" w:hAnsi="Times New Roman"/>
          <w:color w:val="000000"/>
        </w:rPr>
        <w:t xml:space="preserve">$   </w:t>
      </w:r>
      <w:r w:rsidR="00741568">
        <w:rPr>
          <w:rFonts w:ascii="Times New Roman" w:hAnsi="Times New Roman"/>
          <w:color w:val="000000"/>
        </w:rPr>
        <w:t>401</w:t>
      </w:r>
      <w:r w:rsidRPr="005C19A1">
        <w:rPr>
          <w:rFonts w:ascii="Times New Roman" w:hAnsi="Times New Roman"/>
          <w:color w:val="000000"/>
        </w:rPr>
        <w:t>,</w:t>
      </w:r>
      <w:r w:rsidR="00741568">
        <w:rPr>
          <w:rFonts w:ascii="Times New Roman" w:hAnsi="Times New Roman"/>
          <w:color w:val="000000"/>
        </w:rPr>
        <w:t>711</w:t>
      </w:r>
      <w:r w:rsidRPr="005C19A1">
        <w:rPr>
          <w:rFonts w:ascii="Times New Roman" w:hAnsi="Times New Roman"/>
          <w:color w:val="000000"/>
        </w:rPr>
        <w:t xml:space="preserve"> Overhead</w:t>
      </w:r>
    </w:p>
    <w:p w:rsidR="006C1EC5" w:rsidRPr="005C19A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C19A1">
        <w:rPr>
          <w:rFonts w:ascii="Times New Roman" w:hAnsi="Times New Roman"/>
          <w:color w:val="000000"/>
        </w:rPr>
        <w:t xml:space="preserve">$     </w:t>
      </w:r>
      <w:r w:rsidR="00741568">
        <w:rPr>
          <w:rFonts w:ascii="Times New Roman" w:hAnsi="Times New Roman"/>
          <w:color w:val="000000"/>
        </w:rPr>
        <w:t>23</w:t>
      </w:r>
      <w:r w:rsidRPr="005C19A1">
        <w:rPr>
          <w:rFonts w:ascii="Times New Roman" w:hAnsi="Times New Roman"/>
          <w:color w:val="000000"/>
        </w:rPr>
        <w:t>,</w:t>
      </w:r>
      <w:r w:rsidR="00741568">
        <w:rPr>
          <w:rFonts w:ascii="Times New Roman" w:hAnsi="Times New Roman"/>
          <w:color w:val="000000"/>
        </w:rPr>
        <w:t>528</w:t>
      </w:r>
      <w:r w:rsidRPr="005C19A1">
        <w:rPr>
          <w:rFonts w:ascii="Times New Roman" w:hAnsi="Times New Roman"/>
          <w:color w:val="000000"/>
        </w:rPr>
        <w:t xml:space="preserve"> Printing </w:t>
      </w:r>
    </w:p>
    <w:p w:rsidR="006C1EC5" w:rsidRPr="005C19A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C19A1">
        <w:rPr>
          <w:rFonts w:ascii="Times New Roman" w:hAnsi="Times New Roman"/>
          <w:color w:val="000000"/>
        </w:rPr>
        <w:t xml:space="preserve">$   </w:t>
      </w:r>
      <w:r w:rsidR="00741568">
        <w:rPr>
          <w:rFonts w:ascii="Times New Roman" w:hAnsi="Times New Roman"/>
          <w:color w:val="000000"/>
        </w:rPr>
        <w:t>867</w:t>
      </w:r>
      <w:r w:rsidR="005645F5" w:rsidRPr="005C19A1">
        <w:rPr>
          <w:rFonts w:ascii="Times New Roman" w:hAnsi="Times New Roman"/>
          <w:color w:val="000000"/>
        </w:rPr>
        <w:t>,</w:t>
      </w:r>
      <w:r w:rsidR="00741568">
        <w:rPr>
          <w:rFonts w:ascii="Times New Roman" w:hAnsi="Times New Roman"/>
          <w:color w:val="000000"/>
        </w:rPr>
        <w:t>316</w:t>
      </w:r>
      <w:r w:rsidRPr="005C19A1">
        <w:rPr>
          <w:rFonts w:ascii="Times New Roman" w:hAnsi="Times New Roman"/>
          <w:color w:val="000000"/>
        </w:rPr>
        <w:t xml:space="preserve"> </w:t>
      </w:r>
      <w:r w:rsidRPr="00620CD7">
        <w:rPr>
          <w:rFonts w:ascii="Times New Roman" w:hAnsi="Times New Roman"/>
          <w:color w:val="000000"/>
        </w:rPr>
        <w:t xml:space="preserve">Contract costs for </w:t>
      </w:r>
      <w:r w:rsidR="004D5394" w:rsidRPr="00620CD7">
        <w:rPr>
          <w:rFonts w:ascii="Times New Roman" w:hAnsi="Times New Roman"/>
          <w:color w:val="000000"/>
        </w:rPr>
        <w:t xml:space="preserve">conducting the EMR/EHR mail survey and </w:t>
      </w:r>
      <w:r w:rsidRPr="00620CD7">
        <w:rPr>
          <w:rFonts w:ascii="Times New Roman" w:hAnsi="Times New Roman"/>
          <w:color w:val="000000"/>
        </w:rPr>
        <w:t>coding/keying</w:t>
      </w:r>
      <w:r w:rsidR="00A8548F" w:rsidRPr="00620CD7">
        <w:rPr>
          <w:rFonts w:ascii="Times New Roman" w:hAnsi="Times New Roman"/>
          <w:color w:val="000000"/>
        </w:rPr>
        <w:t xml:space="preserve"> </w:t>
      </w:r>
      <w:r w:rsidR="00620CD7" w:rsidRPr="00620CD7">
        <w:rPr>
          <w:rFonts w:ascii="Times New Roman" w:hAnsi="Times New Roman"/>
          <w:color w:val="000000"/>
        </w:rPr>
        <w:tab/>
      </w:r>
      <w:r w:rsidR="00620CD7" w:rsidRPr="00620CD7">
        <w:rPr>
          <w:rFonts w:ascii="Times New Roman" w:hAnsi="Times New Roman"/>
          <w:color w:val="000000"/>
        </w:rPr>
        <w:tab/>
        <w:t xml:space="preserve">       </w:t>
      </w:r>
      <w:r w:rsidRPr="00620CD7">
        <w:rPr>
          <w:rFonts w:ascii="Times New Roman" w:hAnsi="Times New Roman"/>
          <w:color w:val="000000"/>
        </w:rPr>
        <w:t>data</w:t>
      </w:r>
      <w:r w:rsidRPr="005C19A1">
        <w:rPr>
          <w:rFonts w:ascii="Times New Roman" w:hAnsi="Times New Roman"/>
          <w:color w:val="000000"/>
        </w:rPr>
        <w:t xml:space="preserve"> </w:t>
      </w:r>
    </w:p>
    <w:p w:rsidR="006C1EC5" w:rsidRPr="005C19A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5C19A1">
        <w:rPr>
          <w:rFonts w:ascii="Times New Roman" w:hAnsi="Times New Roman"/>
          <w:color w:val="000000"/>
        </w:rPr>
        <w:t xml:space="preserve">$  </w:t>
      </w:r>
      <w:r w:rsidR="00741568">
        <w:rPr>
          <w:rFonts w:ascii="Times New Roman" w:hAnsi="Times New Roman"/>
          <w:color w:val="000000"/>
        </w:rPr>
        <w:t>671</w:t>
      </w:r>
      <w:r w:rsidRPr="005C19A1">
        <w:rPr>
          <w:rFonts w:ascii="Times New Roman" w:hAnsi="Times New Roman"/>
          <w:color w:val="000000"/>
        </w:rPr>
        <w:t>,</w:t>
      </w:r>
      <w:r w:rsidR="00741568">
        <w:rPr>
          <w:rFonts w:ascii="Times New Roman" w:hAnsi="Times New Roman"/>
          <w:color w:val="000000"/>
        </w:rPr>
        <w:t>168</w:t>
      </w:r>
      <w:proofErr w:type="gramEnd"/>
      <w:r w:rsidRPr="005C19A1">
        <w:rPr>
          <w:rFonts w:ascii="Times New Roman" w:hAnsi="Times New Roman"/>
          <w:color w:val="000000"/>
        </w:rPr>
        <w:t xml:space="preserve"> Staff salaries, data processing, printing, overhead, etc.</w:t>
      </w:r>
    </w:p>
    <w:p w:rsidR="006C1EC5" w:rsidRPr="005C19A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C19A1">
        <w:rPr>
          <w:rFonts w:ascii="Times New Roman" w:hAnsi="Times New Roman"/>
          <w:color w:val="000000"/>
        </w:rPr>
        <w:t>--------------</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C19A1">
        <w:rPr>
          <w:rFonts w:ascii="Times New Roman" w:hAnsi="Times New Roman"/>
          <w:color w:val="000000"/>
        </w:rPr>
        <w:t xml:space="preserve">$ </w:t>
      </w:r>
      <w:r w:rsidR="00741568">
        <w:rPr>
          <w:rFonts w:ascii="Times New Roman" w:hAnsi="Times New Roman"/>
          <w:color w:val="000000"/>
        </w:rPr>
        <w:t>5,385,970</w:t>
      </w:r>
      <w:r w:rsidRPr="005C19A1">
        <w:rPr>
          <w:rFonts w:ascii="Times New Roman" w:hAnsi="Times New Roman"/>
          <w:color w:val="000000"/>
        </w:rPr>
        <w:t xml:space="preserve">    Total cost for 12 months</w:t>
      </w:r>
      <w:r>
        <w:rPr>
          <w:rFonts w:ascii="Times New Roman" w:hAnsi="Times New Roman"/>
          <w:color w:val="000000"/>
        </w:rPr>
        <w:t xml:space="preserve"> </w:t>
      </w:r>
    </w:p>
    <w:bookmarkEnd w:id="7"/>
    <w:bookmarkEnd w:id="8"/>
    <w:bookmarkEnd w:id="9"/>
    <w:bookmarkEnd w:id="10"/>
    <w:bookmarkEnd w:id="11"/>
    <w:bookmarkEnd w:id="12"/>
    <w:bookmarkEnd w:id="13"/>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15.  Explanation for Program Changes or Adjustments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15602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Adding </w:t>
      </w:r>
      <w:r w:rsidR="00E25F60">
        <w:rPr>
          <w:rFonts w:ascii="Times New Roman" w:hAnsi="Times New Roman"/>
          <w:color w:val="000000"/>
        </w:rPr>
        <w:t>phys</w:t>
      </w:r>
      <w:r w:rsidR="00805187">
        <w:rPr>
          <w:rFonts w:ascii="Times New Roman" w:hAnsi="Times New Roman"/>
          <w:color w:val="000000"/>
        </w:rPr>
        <w:t xml:space="preserve">icians to </w:t>
      </w:r>
      <w:r w:rsidR="00E25F60">
        <w:rPr>
          <w:rFonts w:ascii="Times New Roman" w:hAnsi="Times New Roman"/>
          <w:color w:val="000000"/>
        </w:rPr>
        <w:t xml:space="preserve">the </w:t>
      </w:r>
      <w:r w:rsidR="00805187">
        <w:rPr>
          <w:rFonts w:ascii="Times New Roman" w:hAnsi="Times New Roman"/>
          <w:color w:val="000000"/>
        </w:rPr>
        <w:t>c</w:t>
      </w:r>
      <w:r w:rsidR="00E25F60">
        <w:rPr>
          <w:rFonts w:ascii="Times New Roman" w:hAnsi="Times New Roman"/>
          <w:color w:val="000000"/>
        </w:rPr>
        <w:t>ore NAMCS</w:t>
      </w:r>
      <w:r w:rsidR="005F4BD0">
        <w:rPr>
          <w:rFonts w:ascii="Times New Roman" w:hAnsi="Times New Roman"/>
          <w:color w:val="000000"/>
        </w:rPr>
        <w:t xml:space="preserve">, both </w:t>
      </w:r>
      <w:r>
        <w:rPr>
          <w:rFonts w:ascii="Times New Roman" w:hAnsi="Times New Roman"/>
          <w:color w:val="000000"/>
        </w:rPr>
        <w:t xml:space="preserve">EMR mail </w:t>
      </w:r>
      <w:r w:rsidR="00E25F60">
        <w:rPr>
          <w:rFonts w:ascii="Times New Roman" w:hAnsi="Times New Roman"/>
          <w:color w:val="000000"/>
        </w:rPr>
        <w:t>samples</w:t>
      </w:r>
      <w:r w:rsidR="00805187">
        <w:rPr>
          <w:rFonts w:ascii="Times New Roman" w:hAnsi="Times New Roman"/>
          <w:color w:val="000000"/>
        </w:rPr>
        <w:t xml:space="preserve">, the proposed asthma supplement, and the pretest </w:t>
      </w:r>
      <w:r>
        <w:rPr>
          <w:rFonts w:ascii="Times New Roman" w:hAnsi="Times New Roman"/>
          <w:color w:val="000000"/>
        </w:rPr>
        <w:t xml:space="preserve">will </w:t>
      </w:r>
      <w:r w:rsidR="00E25F60">
        <w:rPr>
          <w:rFonts w:ascii="Times New Roman" w:hAnsi="Times New Roman"/>
          <w:color w:val="000000"/>
        </w:rPr>
        <w:t xml:space="preserve">increase </w:t>
      </w:r>
      <w:r>
        <w:rPr>
          <w:rFonts w:ascii="Times New Roman" w:hAnsi="Times New Roman"/>
          <w:color w:val="000000"/>
        </w:rPr>
        <w:t xml:space="preserve">the requested burden </w:t>
      </w:r>
      <w:r w:rsidR="00E25F60">
        <w:rPr>
          <w:rFonts w:ascii="Times New Roman" w:hAnsi="Times New Roman"/>
          <w:color w:val="000000"/>
        </w:rPr>
        <w:t xml:space="preserve">by </w:t>
      </w:r>
      <w:r w:rsidR="00CA178E">
        <w:rPr>
          <w:rFonts w:ascii="Times New Roman" w:hAnsi="Times New Roman"/>
          <w:color w:val="000000"/>
        </w:rPr>
        <w:t>4</w:t>
      </w:r>
      <w:r w:rsidR="00A03E22">
        <w:rPr>
          <w:rFonts w:ascii="Times New Roman" w:hAnsi="Times New Roman"/>
          <w:color w:val="000000"/>
        </w:rPr>
        <w:t>,</w:t>
      </w:r>
      <w:r w:rsidR="000B43E1">
        <w:rPr>
          <w:rFonts w:ascii="Times New Roman" w:hAnsi="Times New Roman"/>
          <w:color w:val="000000"/>
        </w:rPr>
        <w:t>807</w:t>
      </w:r>
      <w:r w:rsidR="00A03E22">
        <w:rPr>
          <w:rFonts w:ascii="Times New Roman" w:hAnsi="Times New Roman"/>
          <w:color w:val="000000"/>
        </w:rPr>
        <w:t xml:space="preserve"> </w:t>
      </w:r>
      <w:r>
        <w:rPr>
          <w:rFonts w:ascii="Times New Roman" w:hAnsi="Times New Roman"/>
          <w:color w:val="000000"/>
        </w:rPr>
        <w:t>hours</w:t>
      </w:r>
      <w:r w:rsidR="00A03E22">
        <w:rPr>
          <w:rFonts w:ascii="Times New Roman" w:hAnsi="Times New Roman"/>
          <w:color w:val="000000"/>
        </w:rPr>
        <w:t xml:space="preserve"> </w:t>
      </w:r>
      <w:r w:rsidR="00E74B72">
        <w:rPr>
          <w:rFonts w:ascii="Times New Roman" w:hAnsi="Times New Roman"/>
          <w:color w:val="000000"/>
        </w:rPr>
        <w:t xml:space="preserve">from </w:t>
      </w:r>
      <w:r w:rsidR="00A03E22">
        <w:rPr>
          <w:rFonts w:ascii="Times New Roman" w:hAnsi="Times New Roman"/>
          <w:color w:val="000000"/>
        </w:rPr>
        <w:t>the</w:t>
      </w:r>
      <w:r w:rsidR="00E74B72">
        <w:rPr>
          <w:rFonts w:ascii="Times New Roman" w:hAnsi="Times New Roman"/>
          <w:color w:val="000000"/>
        </w:rPr>
        <w:t xml:space="preserve"> 7,372 total hours reported in the most previously approved </w:t>
      </w:r>
      <w:r w:rsidR="00A03E22">
        <w:rPr>
          <w:rFonts w:ascii="Times New Roman" w:hAnsi="Times New Roman"/>
          <w:color w:val="000000"/>
        </w:rPr>
        <w:t>package</w:t>
      </w:r>
      <w:r w:rsidR="002646B5">
        <w:rPr>
          <w:rFonts w:ascii="Times New Roman" w:hAnsi="Times New Roman"/>
          <w:color w:val="000000"/>
        </w:rPr>
        <w:t>.  The total NAMCS burden will now equal 12,1</w:t>
      </w:r>
      <w:r w:rsidR="000C5196">
        <w:rPr>
          <w:rFonts w:ascii="Times New Roman" w:hAnsi="Times New Roman"/>
          <w:color w:val="000000"/>
        </w:rPr>
        <w:t>79</w:t>
      </w:r>
      <w:r w:rsidR="002646B5">
        <w:rPr>
          <w:rFonts w:ascii="Times New Roman" w:hAnsi="Times New Roman"/>
          <w:color w:val="000000"/>
        </w:rPr>
        <w:t xml:space="preserve"> hours. </w:t>
      </w:r>
      <w:r>
        <w:rPr>
          <w:rFonts w:ascii="Times New Roman" w:hAnsi="Times New Roman"/>
          <w:color w:val="000000"/>
        </w:rPr>
        <w:t xml:space="preserve">  </w:t>
      </w:r>
    </w:p>
    <w:p w:rsidR="000C18B6" w:rsidRDefault="000C18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16.  Plans for Tabulation and Publication and Project Time Schedule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731EA5" w:rsidRDefault="00731EA5" w:rsidP="00731EA5">
      <w:r>
        <w:t xml:space="preserve">Revisions for the </w:t>
      </w:r>
      <w:r w:rsidR="00C41822">
        <w:t>EMR/EHR</w:t>
      </w:r>
      <w:r>
        <w:t xml:space="preserve"> mail survey</w:t>
      </w:r>
    </w:p>
    <w:p w:rsidR="00731EA5" w:rsidRDefault="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731EA5" w:rsidRDefault="000A4136"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2</w:t>
      </w:r>
      <w:r w:rsidR="00731EA5">
        <w:rPr>
          <w:rFonts w:ascii="Times New Roman" w:hAnsi="Times New Roman"/>
          <w:color w:val="000000"/>
        </w:rPr>
        <w:t>/201</w:t>
      </w:r>
      <w:r w:rsidR="00AD74D7">
        <w:rPr>
          <w:rFonts w:ascii="Times New Roman" w:hAnsi="Times New Roman"/>
          <w:color w:val="000000"/>
        </w:rPr>
        <w:t>1</w:t>
      </w:r>
      <w:r w:rsidR="00731EA5">
        <w:rPr>
          <w:rFonts w:ascii="Times New Roman" w:hAnsi="Times New Roman"/>
          <w:color w:val="000000"/>
        </w:rPr>
        <w:tab/>
        <w:t xml:space="preserve">           Begin data collection for 201</w:t>
      </w:r>
      <w:r w:rsidR="009A0193">
        <w:rPr>
          <w:rFonts w:ascii="Times New Roman" w:hAnsi="Times New Roman"/>
          <w:color w:val="000000"/>
        </w:rPr>
        <w:t>1</w:t>
      </w:r>
      <w:r w:rsidR="00731EA5">
        <w:rPr>
          <w:rFonts w:ascii="Times New Roman" w:hAnsi="Times New Roman"/>
          <w:color w:val="000000"/>
        </w:rPr>
        <w:t xml:space="preserve"> EMR/EHR mail survey</w:t>
      </w:r>
    </w:p>
    <w:p w:rsidR="00731EA5" w:rsidRDefault="00731EA5"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0A4136">
        <w:rPr>
          <w:rFonts w:ascii="Times New Roman" w:hAnsi="Times New Roman"/>
          <w:color w:val="000000"/>
        </w:rPr>
        <w:t>5</w:t>
      </w:r>
      <w:r>
        <w:rPr>
          <w:rFonts w:ascii="Times New Roman" w:hAnsi="Times New Roman"/>
          <w:color w:val="000000"/>
        </w:rPr>
        <w:t>/201</w:t>
      </w:r>
      <w:r w:rsidR="00AD74D7">
        <w:rPr>
          <w:rFonts w:ascii="Times New Roman" w:hAnsi="Times New Roman"/>
          <w:color w:val="000000"/>
        </w:rPr>
        <w:t>1</w:t>
      </w:r>
      <w:r>
        <w:rPr>
          <w:rFonts w:ascii="Times New Roman" w:hAnsi="Times New Roman"/>
          <w:color w:val="000000"/>
        </w:rPr>
        <w:tab/>
        <w:t xml:space="preserve">           End data collection</w:t>
      </w:r>
      <w:r>
        <w:rPr>
          <w:rFonts w:ascii="Times New Roman" w:hAnsi="Times New Roman"/>
          <w:color w:val="000000"/>
        </w:rPr>
        <w:tab/>
      </w:r>
      <w:r>
        <w:rPr>
          <w:rFonts w:ascii="Times New Roman" w:hAnsi="Times New Roman"/>
          <w:color w:val="000000"/>
        </w:rPr>
        <w:tab/>
      </w:r>
    </w:p>
    <w:p w:rsidR="00731EA5" w:rsidRDefault="00840107"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59592F">
        <w:rPr>
          <w:rFonts w:ascii="Times New Roman" w:hAnsi="Times New Roman"/>
          <w:color w:val="000000"/>
        </w:rPr>
        <w:t>7</w:t>
      </w:r>
      <w:r>
        <w:rPr>
          <w:rFonts w:ascii="Times New Roman" w:hAnsi="Times New Roman"/>
          <w:color w:val="000000"/>
        </w:rPr>
        <w:t>/201</w:t>
      </w:r>
      <w:r w:rsidR="00AD74D7">
        <w:rPr>
          <w:rFonts w:ascii="Times New Roman" w:hAnsi="Times New Roman"/>
          <w:color w:val="000000"/>
        </w:rPr>
        <w:t>1</w:t>
      </w:r>
      <w:r>
        <w:rPr>
          <w:rFonts w:ascii="Times New Roman" w:hAnsi="Times New Roman"/>
          <w:color w:val="000000"/>
        </w:rPr>
        <w:t xml:space="preserve">           </w:t>
      </w:r>
      <w:r w:rsidR="00771521">
        <w:rPr>
          <w:rFonts w:ascii="Times New Roman" w:hAnsi="Times New Roman"/>
          <w:color w:val="000000"/>
        </w:rPr>
        <w:t xml:space="preserve"> </w:t>
      </w:r>
      <w:r w:rsidR="00731EA5">
        <w:rPr>
          <w:rFonts w:ascii="Times New Roman" w:hAnsi="Times New Roman"/>
          <w:color w:val="000000"/>
        </w:rPr>
        <w:t>Begin data analysis</w:t>
      </w:r>
    </w:p>
    <w:p w:rsidR="00731EA5" w:rsidRDefault="00731EA5"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9A0193">
        <w:rPr>
          <w:rFonts w:ascii="Times New Roman" w:hAnsi="Times New Roman"/>
          <w:color w:val="000000"/>
        </w:rPr>
        <w:t>11</w:t>
      </w:r>
      <w:r w:rsidR="00840107">
        <w:rPr>
          <w:rFonts w:ascii="Times New Roman" w:hAnsi="Times New Roman"/>
          <w:color w:val="000000"/>
        </w:rPr>
        <w:t>/201</w:t>
      </w:r>
      <w:r w:rsidR="009A0193">
        <w:rPr>
          <w:rFonts w:ascii="Times New Roman" w:hAnsi="Times New Roman"/>
          <w:color w:val="000000"/>
        </w:rPr>
        <w:t xml:space="preserve">1         </w:t>
      </w:r>
      <w:r w:rsidR="00771521">
        <w:rPr>
          <w:rFonts w:ascii="Times New Roman" w:hAnsi="Times New Roman"/>
          <w:color w:val="000000"/>
        </w:rPr>
        <w:t xml:space="preserve"> </w:t>
      </w:r>
      <w:r>
        <w:rPr>
          <w:rFonts w:ascii="Times New Roman" w:hAnsi="Times New Roman"/>
          <w:color w:val="000000"/>
        </w:rPr>
        <w:t xml:space="preserve">Publish </w:t>
      </w:r>
      <w:r w:rsidR="00840107">
        <w:rPr>
          <w:rFonts w:ascii="Times New Roman" w:hAnsi="Times New Roman"/>
          <w:color w:val="000000"/>
        </w:rPr>
        <w:t>Health E-stat</w:t>
      </w:r>
    </w:p>
    <w:p w:rsidR="00731EA5" w:rsidRDefault="008401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p>
    <w:p w:rsidR="003F6A55" w:rsidRDefault="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Revisions for the Physician Workflow mail survey (Follow up EMR/EHR mail survey)</w:t>
      </w:r>
    </w:p>
    <w:p w:rsidR="003F6A55" w:rsidRDefault="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F6A55"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3/2011</w:t>
      </w:r>
      <w:r>
        <w:rPr>
          <w:rFonts w:ascii="Times New Roman" w:hAnsi="Times New Roman"/>
          <w:color w:val="000000"/>
        </w:rPr>
        <w:tab/>
        <w:t xml:space="preserve">           Begin data collection for 2011 Physician Workflow mail survey</w:t>
      </w:r>
    </w:p>
    <w:p w:rsidR="003F6A55"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7/2011</w:t>
      </w:r>
      <w:r>
        <w:rPr>
          <w:rFonts w:ascii="Times New Roman" w:hAnsi="Times New Roman"/>
          <w:color w:val="000000"/>
        </w:rPr>
        <w:tab/>
        <w:t xml:space="preserve">           End data collection</w:t>
      </w:r>
      <w:r>
        <w:rPr>
          <w:rFonts w:ascii="Times New Roman" w:hAnsi="Times New Roman"/>
          <w:color w:val="000000"/>
        </w:rPr>
        <w:tab/>
      </w:r>
      <w:r>
        <w:rPr>
          <w:rFonts w:ascii="Times New Roman" w:hAnsi="Times New Roman"/>
          <w:color w:val="000000"/>
        </w:rPr>
        <w:tab/>
      </w:r>
    </w:p>
    <w:p w:rsidR="003F6A55"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8/2011            Begin data analysis</w:t>
      </w:r>
    </w:p>
    <w:p w:rsidR="003F6A55"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12/2011          Publish Health E-stat</w:t>
      </w:r>
    </w:p>
    <w:p w:rsidR="003F6A55" w:rsidRDefault="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The duration of activities for the </w:t>
      </w:r>
      <w:r w:rsidR="00731EA5">
        <w:rPr>
          <w:rFonts w:ascii="Times New Roman" w:hAnsi="Times New Roman"/>
          <w:color w:val="000000"/>
        </w:rPr>
        <w:t>core</w:t>
      </w:r>
      <w:r w:rsidR="00171D41">
        <w:rPr>
          <w:rFonts w:ascii="Times New Roman" w:hAnsi="Times New Roman"/>
          <w:color w:val="000000"/>
        </w:rPr>
        <w:t>/CHC</w:t>
      </w:r>
      <w:r w:rsidR="00731EA5">
        <w:rPr>
          <w:rFonts w:ascii="Times New Roman" w:hAnsi="Times New Roman"/>
          <w:color w:val="000000"/>
        </w:rPr>
        <w:t xml:space="preserve"> </w:t>
      </w:r>
      <w:r>
        <w:rPr>
          <w:rFonts w:ascii="Times New Roman" w:hAnsi="Times New Roman"/>
          <w:color w:val="000000"/>
        </w:rPr>
        <w:t>survey will span 36 months.  The timetable for key activities for the 201</w:t>
      </w:r>
      <w:r w:rsidR="00C41702">
        <w:rPr>
          <w:rFonts w:ascii="Times New Roman" w:hAnsi="Times New Roman"/>
          <w:color w:val="000000"/>
        </w:rPr>
        <w:t>1</w:t>
      </w:r>
      <w:r>
        <w:rPr>
          <w:rFonts w:ascii="Times New Roman" w:hAnsi="Times New Roman"/>
          <w:color w:val="000000"/>
        </w:rPr>
        <w:t xml:space="preserve"> survey is as follows:</w:t>
      </w:r>
    </w:p>
    <w:p w:rsidR="006C1EC5" w:rsidRDefault="006C1EC5"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12/20</w:t>
      </w:r>
      <w:r w:rsidR="00C41702">
        <w:rPr>
          <w:rFonts w:ascii="Times New Roman" w:hAnsi="Times New Roman"/>
          <w:color w:val="000000"/>
        </w:rPr>
        <w:t>10</w:t>
      </w:r>
      <w:r>
        <w:rPr>
          <w:rFonts w:ascii="Times New Roman" w:hAnsi="Times New Roman"/>
          <w:color w:val="000000"/>
        </w:rPr>
        <w:tab/>
        <w:t>Begin data collection for 201</w:t>
      </w:r>
      <w:r w:rsidR="00C41702">
        <w:rPr>
          <w:rFonts w:ascii="Times New Roman" w:hAnsi="Times New Roman"/>
          <w:color w:val="000000"/>
        </w:rPr>
        <w:t>1</w:t>
      </w:r>
      <w:r>
        <w:rPr>
          <w:rFonts w:ascii="Times New Roman" w:hAnsi="Times New Roman"/>
          <w:color w:val="000000"/>
        </w:rPr>
        <w:t xml:space="preserve"> survey</w:t>
      </w:r>
    </w:p>
    <w:p w:rsidR="00AD270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66226F">
        <w:rPr>
          <w:rFonts w:ascii="Times New Roman" w:hAnsi="Times New Roman"/>
          <w:color w:val="000000"/>
        </w:rPr>
        <w:t>6</w:t>
      </w:r>
      <w:r w:rsidR="00AD2701">
        <w:rPr>
          <w:rFonts w:ascii="Times New Roman" w:hAnsi="Times New Roman"/>
          <w:color w:val="000000"/>
        </w:rPr>
        <w:t>/2011</w:t>
      </w:r>
      <w:r w:rsidR="00AD2701">
        <w:rPr>
          <w:rFonts w:ascii="Times New Roman" w:hAnsi="Times New Roman"/>
          <w:color w:val="000000"/>
        </w:rPr>
        <w:tab/>
      </w:r>
      <w:r w:rsidR="00AD2701">
        <w:rPr>
          <w:rFonts w:ascii="Times New Roman" w:hAnsi="Times New Roman"/>
          <w:color w:val="000000"/>
        </w:rPr>
        <w:tab/>
        <w:t xml:space="preserve">Begin scheduled NAMCS </w:t>
      </w:r>
      <w:r w:rsidR="00203568">
        <w:rPr>
          <w:rFonts w:ascii="Times New Roman" w:hAnsi="Times New Roman"/>
          <w:color w:val="000000"/>
        </w:rPr>
        <w:t>pretest</w:t>
      </w:r>
    </w:p>
    <w:p w:rsidR="00AD2701" w:rsidRDefault="00AD27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66226F">
        <w:rPr>
          <w:rFonts w:ascii="Times New Roman" w:hAnsi="Times New Roman"/>
          <w:color w:val="000000"/>
        </w:rPr>
        <w:t>8</w:t>
      </w:r>
      <w:r>
        <w:rPr>
          <w:rFonts w:ascii="Times New Roman" w:hAnsi="Times New Roman"/>
          <w:color w:val="000000"/>
        </w:rPr>
        <w:t>/2011</w:t>
      </w:r>
      <w:r>
        <w:rPr>
          <w:rFonts w:ascii="Times New Roman" w:hAnsi="Times New Roman"/>
          <w:color w:val="000000"/>
        </w:rPr>
        <w:tab/>
      </w:r>
      <w:r>
        <w:rPr>
          <w:rFonts w:ascii="Times New Roman" w:hAnsi="Times New Roman"/>
          <w:color w:val="000000"/>
        </w:rPr>
        <w:tab/>
        <w:t xml:space="preserve">End scheduled NAMCS </w:t>
      </w:r>
      <w:r w:rsidR="00203568">
        <w:rPr>
          <w:rFonts w:ascii="Times New Roman" w:hAnsi="Times New Roman"/>
          <w:color w:val="000000"/>
        </w:rPr>
        <w:t>pretest</w:t>
      </w:r>
    </w:p>
    <w:p w:rsidR="006C1EC5" w:rsidRDefault="00AD27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6C1EC5">
        <w:rPr>
          <w:rFonts w:ascii="Times New Roman" w:hAnsi="Times New Roman"/>
          <w:color w:val="000000"/>
        </w:rPr>
        <w:t>12/201</w:t>
      </w:r>
      <w:r>
        <w:rPr>
          <w:rFonts w:ascii="Times New Roman" w:hAnsi="Times New Roman"/>
          <w:color w:val="000000"/>
        </w:rPr>
        <w:t>1</w:t>
      </w:r>
      <w:r w:rsidR="006C1EC5">
        <w:rPr>
          <w:rFonts w:ascii="Times New Roman" w:hAnsi="Times New Roman"/>
          <w:color w:val="000000"/>
        </w:rPr>
        <w:tab/>
        <w:t>Formally end reporting period</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rPr>
      </w:pPr>
      <w:r>
        <w:rPr>
          <w:rFonts w:ascii="Times New Roman" w:hAnsi="Times New Roman"/>
          <w:color w:val="000000"/>
        </w:rPr>
        <w:tab/>
        <w:t>4/201</w:t>
      </w:r>
      <w:r w:rsidR="00AD2701">
        <w:rPr>
          <w:rFonts w:ascii="Times New Roman" w:hAnsi="Times New Roman"/>
          <w:color w:val="000000"/>
        </w:rPr>
        <w:t>2</w:t>
      </w:r>
      <w:r>
        <w:rPr>
          <w:rFonts w:ascii="Times New Roman" w:hAnsi="Times New Roman"/>
          <w:color w:val="000000"/>
        </w:rPr>
        <w:tab/>
      </w:r>
      <w:r>
        <w:rPr>
          <w:rFonts w:ascii="Times New Roman" w:hAnsi="Times New Roman"/>
          <w:color w:val="000000"/>
        </w:rPr>
        <w:tab/>
        <w:t>Close out field work</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r>
        <w:rPr>
          <w:rFonts w:ascii="Times New Roman" w:hAnsi="Times New Roman"/>
          <w:color w:val="000000"/>
        </w:rPr>
        <w:tab/>
        <w:t>3/201</w:t>
      </w:r>
      <w:r w:rsidR="00AD2701">
        <w:rPr>
          <w:rFonts w:ascii="Times New Roman" w:hAnsi="Times New Roman"/>
          <w:color w:val="000000"/>
        </w:rPr>
        <w:t>3</w:t>
      </w:r>
      <w:r>
        <w:rPr>
          <w:rFonts w:ascii="Times New Roman" w:hAnsi="Times New Roman"/>
          <w:color w:val="000000"/>
        </w:rPr>
        <w:tab/>
      </w:r>
      <w:r>
        <w:rPr>
          <w:rFonts w:ascii="Times New Roman" w:hAnsi="Times New Roman"/>
          <w:color w:val="000000"/>
        </w:rPr>
        <w:tab/>
        <w:t>End data processing</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4/201</w:t>
      </w:r>
      <w:r w:rsidR="00AD2701">
        <w:rPr>
          <w:rFonts w:ascii="Times New Roman" w:hAnsi="Times New Roman"/>
          <w:color w:val="000000"/>
        </w:rPr>
        <w:t>3</w:t>
      </w:r>
      <w:r>
        <w:rPr>
          <w:rFonts w:ascii="Times New Roman" w:hAnsi="Times New Roman"/>
          <w:color w:val="000000"/>
        </w:rPr>
        <w:tab/>
      </w:r>
      <w:r>
        <w:rPr>
          <w:rFonts w:ascii="Times New Roman" w:hAnsi="Times New Roman"/>
          <w:color w:val="000000"/>
        </w:rPr>
        <w:tab/>
        <w:t>Begin data analysis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B07A0F">
        <w:rPr>
          <w:rFonts w:ascii="Times New Roman" w:hAnsi="Times New Roman"/>
          <w:color w:val="000000"/>
        </w:rPr>
        <w:t>6</w:t>
      </w:r>
      <w:r>
        <w:rPr>
          <w:rFonts w:ascii="Times New Roman" w:hAnsi="Times New Roman"/>
          <w:color w:val="000000"/>
        </w:rPr>
        <w:t>/201</w:t>
      </w:r>
      <w:r w:rsidR="00AD2701">
        <w:rPr>
          <w:rFonts w:ascii="Times New Roman" w:hAnsi="Times New Roman"/>
          <w:color w:val="000000"/>
        </w:rPr>
        <w:t>3</w:t>
      </w:r>
      <w:r>
        <w:rPr>
          <w:rFonts w:ascii="Times New Roman" w:hAnsi="Times New Roman"/>
          <w:color w:val="000000"/>
        </w:rPr>
        <w:tab/>
      </w:r>
      <w:r>
        <w:rPr>
          <w:rFonts w:ascii="Times New Roman" w:hAnsi="Times New Roman"/>
          <w:color w:val="000000"/>
        </w:rPr>
        <w:tab/>
        <w:t>Publish National Health Statistics Report</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B07A0F">
        <w:rPr>
          <w:rFonts w:ascii="Times New Roman" w:hAnsi="Times New Roman"/>
          <w:color w:val="000000"/>
        </w:rPr>
        <w:t>7</w:t>
      </w:r>
      <w:r>
        <w:rPr>
          <w:rFonts w:ascii="Times New Roman" w:hAnsi="Times New Roman"/>
          <w:color w:val="000000"/>
        </w:rPr>
        <w:t>/201</w:t>
      </w:r>
      <w:r w:rsidR="00AD2701">
        <w:rPr>
          <w:rFonts w:ascii="Times New Roman" w:hAnsi="Times New Roman"/>
          <w:color w:val="000000"/>
        </w:rPr>
        <w:t>3</w:t>
      </w:r>
      <w:r>
        <w:rPr>
          <w:rFonts w:ascii="Times New Roman" w:hAnsi="Times New Roman"/>
          <w:color w:val="000000"/>
        </w:rPr>
        <w:tab/>
      </w:r>
      <w:r w:rsidR="00B07A0F">
        <w:rPr>
          <w:rFonts w:ascii="Times New Roman" w:hAnsi="Times New Roman"/>
          <w:color w:val="000000"/>
        </w:rPr>
        <w:tab/>
      </w:r>
      <w:r>
        <w:rPr>
          <w:rFonts w:ascii="Times New Roman" w:hAnsi="Times New Roman"/>
          <w:color w:val="000000"/>
        </w:rPr>
        <w:t>Public use data available on Internet</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3/201</w:t>
      </w:r>
      <w:r w:rsidR="00AD2701">
        <w:rPr>
          <w:rFonts w:ascii="Times New Roman" w:hAnsi="Times New Roman"/>
          <w:color w:val="000000"/>
        </w:rPr>
        <w:t>4</w:t>
      </w:r>
      <w:r>
        <w:rPr>
          <w:rFonts w:ascii="Times New Roman" w:hAnsi="Times New Roman"/>
          <w:color w:val="000000"/>
        </w:rPr>
        <w:tab/>
      </w:r>
      <w:r>
        <w:rPr>
          <w:rFonts w:ascii="Times New Roman" w:hAnsi="Times New Roman"/>
          <w:color w:val="000000"/>
        </w:rPr>
        <w:tab/>
        <w:t>Publish additional reports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r>
        <w:rPr>
          <w:rFonts w:ascii="Times New Roman" w:hAnsi="Times New Roman"/>
          <w:color w:val="000000"/>
        </w:rPr>
        <w:tab/>
      </w:r>
      <w:r>
        <w:rPr>
          <w:rFonts w:ascii="Times New Roman" w:hAnsi="Times New Roman"/>
          <w:color w:val="000000"/>
        </w:rPr>
        <w:tab/>
      </w:r>
    </w:p>
    <w:p w:rsidR="006C1EC5" w:rsidRDefault="006C1EC5">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Pr>
          <w:color w:val="000000"/>
        </w:rPr>
        <w:t xml:space="preserve">Plans for types of data analyses will parallel the analyses completed for the NHAMCS because a majority of the data items from NAMCS and the outpatient department are the same.  For example, data will be presented in the following tables:  patient visits by age, sex, and race; expected source(s) of payment; principal reason for visit; primary diagnosis; diagnostic service; disposition; and provider type seen.  NCHS plans to publish the data </w:t>
      </w:r>
      <w:r w:rsidR="00551EC5">
        <w:rPr>
          <w:color w:val="000000"/>
        </w:rPr>
        <w:t xml:space="preserve">on the Web and in various data briefs.  The most recent NAMCS data brief, titled </w:t>
      </w:r>
      <w:r w:rsidR="001D4423">
        <w:rPr>
          <w:color w:val="000000"/>
        </w:rPr>
        <w:t>“</w:t>
      </w:r>
      <w:r w:rsidR="00551EC5">
        <w:rPr>
          <w:color w:val="000000"/>
        </w:rPr>
        <w:t>Population</w:t>
      </w:r>
      <w:r>
        <w:rPr>
          <w:color w:val="000000"/>
        </w:rPr>
        <w:t xml:space="preserve"> </w:t>
      </w:r>
      <w:r w:rsidR="00551EC5">
        <w:rPr>
          <w:color w:val="000000"/>
        </w:rPr>
        <w:t>Aging and the Use of Office-based Physician Services</w:t>
      </w:r>
      <w:r w:rsidR="001D4423">
        <w:rPr>
          <w:color w:val="000000"/>
        </w:rPr>
        <w:t>”</w:t>
      </w:r>
      <w:r w:rsidR="00551EC5">
        <w:rPr>
          <w:color w:val="000000"/>
        </w:rPr>
        <w:t xml:space="preserve"> can be found</w:t>
      </w:r>
      <w:r>
        <w:rPr>
          <w:color w:val="000000"/>
        </w:rPr>
        <w:t xml:space="preserve"> on-line </w:t>
      </w:r>
      <w:r w:rsidR="001D4423">
        <w:rPr>
          <w:color w:val="000000"/>
        </w:rPr>
        <w:t xml:space="preserve">at </w:t>
      </w:r>
      <w:hyperlink r:id="rId10" w:history="1">
        <w:r w:rsidR="002B0C85" w:rsidRPr="00150D47">
          <w:rPr>
            <w:rStyle w:val="Hyperlink"/>
            <w:color w:val="0070C0"/>
          </w:rPr>
          <w:t>http://www.cdc.gov/nchs/data/databriefs/db41.pdf</w:t>
        </w:r>
      </w:hyperlink>
      <w:r w:rsidR="00B52E60" w:rsidRPr="00150D47">
        <w:rPr>
          <w:color w:val="0070C0"/>
        </w:rPr>
        <w:t>.</w:t>
      </w:r>
      <w:r w:rsidR="00B52E60">
        <w:rPr>
          <w:color w:val="0070C0"/>
        </w:rPr>
        <w:t xml:space="preserve"> </w:t>
      </w:r>
      <w:r w:rsidR="00913605">
        <w:rPr>
          <w:color w:val="0070C0"/>
        </w:rPr>
        <w:t xml:space="preserve">  </w:t>
      </w:r>
      <w:r>
        <w:rPr>
          <w:color w:val="000000"/>
        </w:rPr>
        <w:t xml:space="preserve">In addition, a report comparing data from NAMCS and NHAMCS and combining data from both surveys has recently been published.  The link for an on-line copy of the 2006 combined NAMCS and NHAMCS summary is </w:t>
      </w:r>
      <w:hyperlink r:id="rId11" w:history="1">
        <w:r w:rsidRPr="00913605">
          <w:rPr>
            <w:rStyle w:val="Hyperlink"/>
            <w:color w:val="0070C0"/>
          </w:rPr>
          <w:t>http://www.cdc.gov/nchs/data/nhsr/nhsr008.pdf</w:t>
        </w:r>
      </w:hyperlink>
      <w:r>
        <w:rPr>
          <w:color w:val="0000FF"/>
        </w:rPr>
        <w:t xml:space="preserve">.  </w:t>
      </w:r>
      <w:r>
        <w:rPr>
          <w:color w:val="000000"/>
        </w:rPr>
        <w:t>Finally, NCHS reports examining (1) c</w:t>
      </w:r>
      <w:r>
        <w:t xml:space="preserve">haracteristics of office-based physicians and their practices (on-line copy:  </w:t>
      </w:r>
      <w:hyperlink r:id="rId12" w:history="1">
        <w:r w:rsidRPr="00FD584E">
          <w:rPr>
            <w:rStyle w:val="Hyperlink"/>
            <w:color w:val="0070C0"/>
            <w:u w:val="none"/>
          </w:rPr>
          <w:t>http://www.cdc.gov/nchs/data/series/sr_13/sr13_166.pdf</w:t>
        </w:r>
      </w:hyperlink>
      <w:r>
        <w:t xml:space="preserve">) and (2) electronic medical record use by office-based physicians and their practices (on-line copy: </w:t>
      </w:r>
      <w:hyperlink r:id="rId13" w:history="1">
        <w:r w:rsidRPr="00FD584E">
          <w:rPr>
            <w:rStyle w:val="Hyperlink"/>
            <w:color w:val="0070C0"/>
            <w:u w:val="none"/>
          </w:rPr>
          <w:t>http://www.cdc.gov/nchs/data/ad/ad393.pdf</w:t>
        </w:r>
      </w:hyperlink>
      <w:r>
        <w:t xml:space="preserve">) have also been released.  </w:t>
      </w:r>
    </w:p>
    <w:p w:rsidR="006C1EC5" w:rsidRDefault="006C1EC5">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17.  Reason(s) Display of OMB Expiration Date is Inappropriate</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An exception for displaying the expiration date is not requested.</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Pr>
          <w:rFonts w:ascii="Times New Roman" w:hAnsi="Times New Roman"/>
          <w:b/>
          <w:bCs/>
          <w:color w:val="000000"/>
        </w:rPr>
        <w:t>18.  Exceptions to Certification for Paperwork Reduction Act Submissions</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data encompassed by this project will fully comply with all guidelines of 5 CFR 1320.9, and no exception is requested to certification for Paperwork Reduction Act Submission.</w:t>
      </w:r>
    </w:p>
    <w:p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sectPr w:rsidR="006C1EC5" w:rsidSect="005C4C06">
      <w:headerReference w:type="even" r:id="rId14"/>
      <w:headerReference w:type="default" r:id="rId15"/>
      <w:footerReference w:type="even" r:id="rId16"/>
      <w:footerReference w:type="default" r:id="rId17"/>
      <w:headerReference w:type="first" r:id="rId18"/>
      <w:pgSz w:w="12240" w:h="15840" w:code="1"/>
      <w:pgMar w:top="1440" w:right="171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26D" w:rsidRDefault="002C126D">
      <w:r>
        <w:separator/>
      </w:r>
    </w:p>
  </w:endnote>
  <w:endnote w:type="continuationSeparator" w:id="0">
    <w:p w:rsidR="002C126D" w:rsidRDefault="002C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1D" w:rsidRDefault="00065500" w:rsidP="00421CC1">
    <w:pPr>
      <w:pStyle w:val="Footer"/>
      <w:framePr w:wrap="around" w:vAnchor="text" w:hAnchor="margin" w:xAlign="center" w:y="1"/>
      <w:rPr>
        <w:rStyle w:val="PageNumber"/>
      </w:rPr>
    </w:pPr>
    <w:r>
      <w:rPr>
        <w:rStyle w:val="PageNumber"/>
      </w:rPr>
      <w:fldChar w:fldCharType="begin"/>
    </w:r>
    <w:r w:rsidR="00F5371D">
      <w:rPr>
        <w:rStyle w:val="PageNumber"/>
      </w:rPr>
      <w:instrText xml:space="preserve">PAGE  </w:instrText>
    </w:r>
    <w:r>
      <w:rPr>
        <w:rStyle w:val="PageNumber"/>
      </w:rPr>
      <w:fldChar w:fldCharType="end"/>
    </w:r>
  </w:p>
  <w:p w:rsidR="00F5371D" w:rsidRDefault="00F5371D" w:rsidP="00421C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1D" w:rsidRDefault="00065500" w:rsidP="00421CC1">
    <w:pPr>
      <w:pStyle w:val="Footer"/>
      <w:framePr w:wrap="around" w:vAnchor="text" w:hAnchor="margin" w:xAlign="center" w:y="1"/>
      <w:rPr>
        <w:rStyle w:val="PageNumber"/>
      </w:rPr>
    </w:pPr>
    <w:r>
      <w:rPr>
        <w:rStyle w:val="PageNumber"/>
      </w:rPr>
      <w:fldChar w:fldCharType="begin"/>
    </w:r>
    <w:r w:rsidR="00F5371D">
      <w:rPr>
        <w:rStyle w:val="PageNumber"/>
      </w:rPr>
      <w:instrText xml:space="preserve">PAGE  </w:instrText>
    </w:r>
    <w:r>
      <w:rPr>
        <w:rStyle w:val="PageNumber"/>
      </w:rPr>
      <w:fldChar w:fldCharType="separate"/>
    </w:r>
    <w:r w:rsidR="00EC6AE7">
      <w:rPr>
        <w:rStyle w:val="PageNumber"/>
        <w:noProof/>
      </w:rPr>
      <w:t>3</w:t>
    </w:r>
    <w:r>
      <w:rPr>
        <w:rStyle w:val="PageNumber"/>
      </w:rPr>
      <w:fldChar w:fldCharType="end"/>
    </w:r>
  </w:p>
  <w:p w:rsidR="00F5371D" w:rsidRDefault="00F5371D" w:rsidP="00421CC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26D" w:rsidRDefault="002C126D">
      <w:r>
        <w:separator/>
      </w:r>
    </w:p>
  </w:footnote>
  <w:footnote w:type="continuationSeparator" w:id="0">
    <w:p w:rsidR="002C126D" w:rsidRDefault="002C1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1D" w:rsidRDefault="00F537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1D" w:rsidRDefault="00F537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1D" w:rsidRDefault="00F537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398"/>
    <w:multiLevelType w:val="hybridMultilevel"/>
    <w:tmpl w:val="CFBE2C42"/>
    <w:lvl w:ilvl="0" w:tplc="3FA4D96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9D3A24"/>
    <w:multiLevelType w:val="hybridMultilevel"/>
    <w:tmpl w:val="8A1CD94A"/>
    <w:lvl w:ilvl="0" w:tplc="41C6A8D6">
      <w:start w:val="1"/>
      <w:numFmt w:val="bullet"/>
      <w:lvlText w:val=""/>
      <w:lvlJc w:val="left"/>
      <w:pPr>
        <w:tabs>
          <w:tab w:val="num" w:pos="1220"/>
        </w:tabs>
        <w:ind w:left="1076" w:firstLine="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20C840EB"/>
    <w:multiLevelType w:val="hybridMultilevel"/>
    <w:tmpl w:val="03E81D7C"/>
    <w:lvl w:ilvl="0" w:tplc="7B5AA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3F73D9"/>
    <w:multiLevelType w:val="hybridMultilevel"/>
    <w:tmpl w:val="D478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F07FD"/>
    <w:multiLevelType w:val="hybridMultilevel"/>
    <w:tmpl w:val="94AAA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76C80"/>
    <w:multiLevelType w:val="hybridMultilevel"/>
    <w:tmpl w:val="52026B3A"/>
    <w:lvl w:ilvl="0" w:tplc="FFFFFFFF">
      <w:start w:val="1"/>
      <w:numFmt w:val="upperRoman"/>
      <w:lvlText w:val="%1."/>
      <w:lvlJc w:val="right"/>
      <w:pPr>
        <w:tabs>
          <w:tab w:val="num" w:pos="540"/>
        </w:tabs>
        <w:ind w:left="54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9AE3ADE"/>
    <w:multiLevelType w:val="hybridMultilevel"/>
    <w:tmpl w:val="9912BE3E"/>
    <w:lvl w:ilvl="0" w:tplc="161206E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85071"/>
    <w:multiLevelType w:val="hybridMultilevel"/>
    <w:tmpl w:val="1D0E1336"/>
    <w:lvl w:ilvl="0" w:tplc="FFFFFFFF">
      <w:start w:val="1"/>
      <w:numFmt w:val="upperRoman"/>
      <w:lvlText w:val="%1."/>
      <w:lvlJc w:val="right"/>
      <w:pPr>
        <w:tabs>
          <w:tab w:val="num" w:pos="900"/>
        </w:tabs>
        <w:ind w:left="900" w:hanging="180"/>
      </w:pPr>
      <w:rPr>
        <w:rFonts w:hint="default"/>
        <w:b w:val="0"/>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8">
    <w:nsid w:val="2C43420A"/>
    <w:multiLevelType w:val="hybridMultilevel"/>
    <w:tmpl w:val="72FE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175B49"/>
    <w:multiLevelType w:val="hybridMultilevel"/>
    <w:tmpl w:val="84E4C2F8"/>
    <w:lvl w:ilvl="0" w:tplc="0409000F">
      <w:start w:val="1"/>
      <w:numFmt w:val="decimal"/>
      <w:lvlText w:val="%1."/>
      <w:lvlJc w:val="left"/>
      <w:pPr>
        <w:tabs>
          <w:tab w:val="num" w:pos="1005"/>
        </w:tabs>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6D54ADC"/>
    <w:multiLevelType w:val="hybridMultilevel"/>
    <w:tmpl w:val="1F625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F92F2F"/>
    <w:multiLevelType w:val="singleLevel"/>
    <w:tmpl w:val="D8000C02"/>
    <w:lvl w:ilvl="0">
      <w:start w:val="1"/>
      <w:numFmt w:val="decimal"/>
      <w:lvlText w:val="%1."/>
      <w:legacy w:legacy="1" w:legacySpace="0" w:legacyIndent="360"/>
      <w:lvlJc w:val="left"/>
      <w:rPr>
        <w:rFonts w:ascii="Times New Roman" w:hAnsi="Times New Roman" w:cs="Times New Roman" w:hint="default"/>
      </w:rPr>
    </w:lvl>
  </w:abstractNum>
  <w:abstractNum w:abstractNumId="12">
    <w:nsid w:val="3B3A6C8F"/>
    <w:multiLevelType w:val="hybridMultilevel"/>
    <w:tmpl w:val="B36E1B5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3">
    <w:nsid w:val="3F515153"/>
    <w:multiLevelType w:val="hybridMultilevel"/>
    <w:tmpl w:val="21A64F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27E08"/>
    <w:multiLevelType w:val="hybridMultilevel"/>
    <w:tmpl w:val="EA8CA7B8"/>
    <w:lvl w:ilvl="0" w:tplc="355A0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525006"/>
    <w:multiLevelType w:val="hybridMultilevel"/>
    <w:tmpl w:val="5F70D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D94B4E"/>
    <w:multiLevelType w:val="hybridMultilevel"/>
    <w:tmpl w:val="54CA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C77199"/>
    <w:multiLevelType w:val="hybridMultilevel"/>
    <w:tmpl w:val="116CD612"/>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47F3A"/>
    <w:multiLevelType w:val="hybridMultilevel"/>
    <w:tmpl w:val="3DA6956C"/>
    <w:lvl w:ilvl="0" w:tplc="FECA2F60">
      <w:start w:val="1"/>
      <w:numFmt w:val="decimal"/>
      <w:lvlText w:val="(%1)"/>
      <w:lvlJc w:val="left"/>
      <w:pPr>
        <w:ind w:left="720" w:hanging="360"/>
      </w:pPr>
      <w:rPr>
        <w:rFonts w:hint="default"/>
      </w:rPr>
    </w:lvl>
    <w:lvl w:ilvl="1" w:tplc="CC08CEC4">
      <w:start w:val="5"/>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B878E7"/>
    <w:multiLevelType w:val="hybridMultilevel"/>
    <w:tmpl w:val="1700C6E8"/>
    <w:lvl w:ilvl="0" w:tplc="C03EC53C">
      <w:start w:val="1"/>
      <w:numFmt w:val="decimal"/>
      <w:lvlText w:val="(%1)"/>
      <w:lvlJc w:val="left"/>
      <w:pPr>
        <w:tabs>
          <w:tab w:val="num" w:pos="720"/>
        </w:tabs>
        <w:ind w:left="720" w:hanging="360"/>
      </w:pPr>
      <w:rPr>
        <w:rFonts w:hint="default"/>
      </w:rPr>
    </w:lvl>
    <w:lvl w:ilvl="1" w:tplc="652CB8B0">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8E065B"/>
    <w:multiLevelType w:val="hybridMultilevel"/>
    <w:tmpl w:val="FE06E078"/>
    <w:lvl w:ilvl="0" w:tplc="41C6A8D6">
      <w:start w:val="1"/>
      <w:numFmt w:val="bullet"/>
      <w:lvlText w:val=""/>
      <w:lvlJc w:val="left"/>
      <w:pPr>
        <w:tabs>
          <w:tab w:val="num" w:pos="1220"/>
        </w:tabs>
        <w:ind w:left="1076" w:firstLine="0"/>
      </w:pPr>
      <w:rPr>
        <w:rFonts w:ascii="Symbol" w:hAnsi="Symbol" w:hint="default"/>
      </w:rPr>
    </w:lvl>
    <w:lvl w:ilvl="1" w:tplc="04090003" w:tentative="1">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1">
    <w:nsid w:val="52677EDB"/>
    <w:multiLevelType w:val="hybridMultilevel"/>
    <w:tmpl w:val="65CA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DE2A9E"/>
    <w:multiLevelType w:val="hybridMultilevel"/>
    <w:tmpl w:val="DEBAFE82"/>
    <w:lvl w:ilvl="0" w:tplc="FECA2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83063B"/>
    <w:multiLevelType w:val="hybridMultilevel"/>
    <w:tmpl w:val="FB548EDE"/>
    <w:lvl w:ilvl="0" w:tplc="5AC0CBA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075F07"/>
    <w:multiLevelType w:val="hybridMultilevel"/>
    <w:tmpl w:val="E85C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6446BA"/>
    <w:multiLevelType w:val="hybridMultilevel"/>
    <w:tmpl w:val="CF568C0A"/>
    <w:lvl w:ilvl="0" w:tplc="03228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85754C"/>
    <w:multiLevelType w:val="hybridMultilevel"/>
    <w:tmpl w:val="B21A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265ECF"/>
    <w:multiLevelType w:val="hybridMultilevel"/>
    <w:tmpl w:val="C6100C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AC4A45"/>
    <w:multiLevelType w:val="hybridMultilevel"/>
    <w:tmpl w:val="FE5EE846"/>
    <w:lvl w:ilvl="0" w:tplc="D04EB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2F10AD"/>
    <w:multiLevelType w:val="hybridMultilevel"/>
    <w:tmpl w:val="A7E6B02E"/>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0">
    <w:nsid w:val="6D470080"/>
    <w:multiLevelType w:val="hybridMultilevel"/>
    <w:tmpl w:val="7AC44CA8"/>
    <w:lvl w:ilvl="0" w:tplc="F98E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0E4783"/>
    <w:multiLevelType w:val="hybridMultilevel"/>
    <w:tmpl w:val="6A96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8327F"/>
    <w:multiLevelType w:val="hybridMultilevel"/>
    <w:tmpl w:val="88CC652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num w:numId="1">
    <w:abstractNumId w:val="17"/>
  </w:num>
  <w:num w:numId="2">
    <w:abstractNumId w:val="20"/>
  </w:num>
  <w:num w:numId="3">
    <w:abstractNumId w:val="1"/>
  </w:num>
  <w:num w:numId="4">
    <w:abstractNumId w:val="29"/>
  </w:num>
  <w:num w:numId="5">
    <w:abstractNumId w:val="12"/>
  </w:num>
  <w:num w:numId="6">
    <w:abstractNumId w:val="7"/>
  </w:num>
  <w:num w:numId="7">
    <w:abstractNumId w:val="32"/>
  </w:num>
  <w:num w:numId="8">
    <w:abstractNumId w:val="5"/>
  </w:num>
  <w:num w:numId="9">
    <w:abstractNumId w:val="10"/>
  </w:num>
  <w:num w:numId="10">
    <w:abstractNumId w:val="27"/>
  </w:num>
  <w:num w:numId="11">
    <w:abstractNumId w:val="11"/>
  </w:num>
  <w:num w:numId="12">
    <w:abstractNumId w:val="19"/>
  </w:num>
  <w:num w:numId="13">
    <w:abstractNumId w:val="2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14"/>
  </w:num>
  <w:num w:numId="18">
    <w:abstractNumId w:val="25"/>
  </w:num>
  <w:num w:numId="19">
    <w:abstractNumId w:val="30"/>
  </w:num>
  <w:num w:numId="20">
    <w:abstractNumId w:val="28"/>
  </w:num>
  <w:num w:numId="21">
    <w:abstractNumId w:val="15"/>
  </w:num>
  <w:num w:numId="22">
    <w:abstractNumId w:val="8"/>
  </w:num>
  <w:num w:numId="23">
    <w:abstractNumId w:val="22"/>
  </w:num>
  <w:num w:numId="24">
    <w:abstractNumId w:val="18"/>
  </w:num>
  <w:num w:numId="25">
    <w:abstractNumId w:val="13"/>
  </w:num>
  <w:num w:numId="26">
    <w:abstractNumId w:val="24"/>
  </w:num>
  <w:num w:numId="27">
    <w:abstractNumId w:val="16"/>
  </w:num>
  <w:num w:numId="28">
    <w:abstractNumId w:val="4"/>
  </w:num>
  <w:num w:numId="29">
    <w:abstractNumId w:val="31"/>
  </w:num>
  <w:num w:numId="30">
    <w:abstractNumId w:val="21"/>
  </w:num>
  <w:num w:numId="31">
    <w:abstractNumId w:val="3"/>
  </w:num>
  <w:num w:numId="32">
    <w:abstractNumId w:val="26"/>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79873"/>
  </w:hdrShapeDefaults>
  <w:footnotePr>
    <w:footnote w:id="-1"/>
    <w:footnote w:id="0"/>
  </w:footnotePr>
  <w:endnotePr>
    <w:endnote w:id="-1"/>
    <w:endnote w:id="0"/>
  </w:endnotePr>
  <w:compat/>
  <w:rsids>
    <w:rsidRoot w:val="003B5B1B"/>
    <w:rsid w:val="00010313"/>
    <w:rsid w:val="00010518"/>
    <w:rsid w:val="000118E2"/>
    <w:rsid w:val="00011A61"/>
    <w:rsid w:val="000122C4"/>
    <w:rsid w:val="000127FB"/>
    <w:rsid w:val="0001475A"/>
    <w:rsid w:val="000153FF"/>
    <w:rsid w:val="00015E92"/>
    <w:rsid w:val="00016059"/>
    <w:rsid w:val="00021792"/>
    <w:rsid w:val="0002223C"/>
    <w:rsid w:val="00022A42"/>
    <w:rsid w:val="000233C9"/>
    <w:rsid w:val="000262E5"/>
    <w:rsid w:val="000319FF"/>
    <w:rsid w:val="000360D1"/>
    <w:rsid w:val="00037E78"/>
    <w:rsid w:val="00041099"/>
    <w:rsid w:val="00043032"/>
    <w:rsid w:val="0004399E"/>
    <w:rsid w:val="00045E4A"/>
    <w:rsid w:val="00047827"/>
    <w:rsid w:val="00050CD2"/>
    <w:rsid w:val="000510B5"/>
    <w:rsid w:val="00051AA5"/>
    <w:rsid w:val="00052064"/>
    <w:rsid w:val="0005229F"/>
    <w:rsid w:val="00052696"/>
    <w:rsid w:val="00056B84"/>
    <w:rsid w:val="000577AC"/>
    <w:rsid w:val="00060D34"/>
    <w:rsid w:val="00061018"/>
    <w:rsid w:val="000619B8"/>
    <w:rsid w:val="00062379"/>
    <w:rsid w:val="00062930"/>
    <w:rsid w:val="00062A04"/>
    <w:rsid w:val="00065500"/>
    <w:rsid w:val="00065FD8"/>
    <w:rsid w:val="0006647E"/>
    <w:rsid w:val="00071728"/>
    <w:rsid w:val="00071AE2"/>
    <w:rsid w:val="0007265B"/>
    <w:rsid w:val="0007276E"/>
    <w:rsid w:val="00075949"/>
    <w:rsid w:val="000760B0"/>
    <w:rsid w:val="0008065A"/>
    <w:rsid w:val="0008255A"/>
    <w:rsid w:val="000858A2"/>
    <w:rsid w:val="000858AA"/>
    <w:rsid w:val="00087077"/>
    <w:rsid w:val="0008725A"/>
    <w:rsid w:val="00092C21"/>
    <w:rsid w:val="000934C3"/>
    <w:rsid w:val="000938A4"/>
    <w:rsid w:val="00093CC5"/>
    <w:rsid w:val="00095B25"/>
    <w:rsid w:val="00095E8A"/>
    <w:rsid w:val="00096730"/>
    <w:rsid w:val="000968C2"/>
    <w:rsid w:val="0009748E"/>
    <w:rsid w:val="000A25D5"/>
    <w:rsid w:val="000A28BF"/>
    <w:rsid w:val="000A36AF"/>
    <w:rsid w:val="000A38EA"/>
    <w:rsid w:val="000A4136"/>
    <w:rsid w:val="000A5653"/>
    <w:rsid w:val="000A62E1"/>
    <w:rsid w:val="000A6CCA"/>
    <w:rsid w:val="000B276F"/>
    <w:rsid w:val="000B33F4"/>
    <w:rsid w:val="000B43E1"/>
    <w:rsid w:val="000B73D9"/>
    <w:rsid w:val="000B7594"/>
    <w:rsid w:val="000C136C"/>
    <w:rsid w:val="000C18B6"/>
    <w:rsid w:val="000C19B6"/>
    <w:rsid w:val="000C1E2E"/>
    <w:rsid w:val="000C1EA2"/>
    <w:rsid w:val="000C303C"/>
    <w:rsid w:val="000C405E"/>
    <w:rsid w:val="000C5196"/>
    <w:rsid w:val="000C5D13"/>
    <w:rsid w:val="000C67D8"/>
    <w:rsid w:val="000C6A85"/>
    <w:rsid w:val="000C6DC8"/>
    <w:rsid w:val="000C74DF"/>
    <w:rsid w:val="000D1622"/>
    <w:rsid w:val="000D22F5"/>
    <w:rsid w:val="000D26CD"/>
    <w:rsid w:val="000D36CC"/>
    <w:rsid w:val="000D7797"/>
    <w:rsid w:val="000E0D13"/>
    <w:rsid w:val="000E57BC"/>
    <w:rsid w:val="000E7F20"/>
    <w:rsid w:val="000F102C"/>
    <w:rsid w:val="000F2D91"/>
    <w:rsid w:val="000F3936"/>
    <w:rsid w:val="000F5561"/>
    <w:rsid w:val="000F5C92"/>
    <w:rsid w:val="000F7E78"/>
    <w:rsid w:val="0010299C"/>
    <w:rsid w:val="001039F3"/>
    <w:rsid w:val="001048FF"/>
    <w:rsid w:val="00106F25"/>
    <w:rsid w:val="0010701C"/>
    <w:rsid w:val="00107C29"/>
    <w:rsid w:val="001116F1"/>
    <w:rsid w:val="00112A89"/>
    <w:rsid w:val="00120C51"/>
    <w:rsid w:val="00121218"/>
    <w:rsid w:val="00121D24"/>
    <w:rsid w:val="00124504"/>
    <w:rsid w:val="001247B2"/>
    <w:rsid w:val="001266FE"/>
    <w:rsid w:val="001275A1"/>
    <w:rsid w:val="0012779D"/>
    <w:rsid w:val="001314DD"/>
    <w:rsid w:val="0013249C"/>
    <w:rsid w:val="0013280A"/>
    <w:rsid w:val="00133EAF"/>
    <w:rsid w:val="001345C1"/>
    <w:rsid w:val="00136558"/>
    <w:rsid w:val="00137784"/>
    <w:rsid w:val="0014154B"/>
    <w:rsid w:val="001423D0"/>
    <w:rsid w:val="00143E63"/>
    <w:rsid w:val="001449D2"/>
    <w:rsid w:val="00147673"/>
    <w:rsid w:val="00147CCA"/>
    <w:rsid w:val="00150D47"/>
    <w:rsid w:val="00151104"/>
    <w:rsid w:val="00151AEB"/>
    <w:rsid w:val="00152572"/>
    <w:rsid w:val="0015602D"/>
    <w:rsid w:val="00160DA9"/>
    <w:rsid w:val="00161C78"/>
    <w:rsid w:val="00165A39"/>
    <w:rsid w:val="00165B63"/>
    <w:rsid w:val="00171D41"/>
    <w:rsid w:val="00172040"/>
    <w:rsid w:val="00175314"/>
    <w:rsid w:val="001806A8"/>
    <w:rsid w:val="00180834"/>
    <w:rsid w:val="001821A2"/>
    <w:rsid w:val="00182429"/>
    <w:rsid w:val="001838A0"/>
    <w:rsid w:val="00183E4F"/>
    <w:rsid w:val="00184553"/>
    <w:rsid w:val="001848C3"/>
    <w:rsid w:val="001869AE"/>
    <w:rsid w:val="00187DBD"/>
    <w:rsid w:val="00190A0E"/>
    <w:rsid w:val="00190FA4"/>
    <w:rsid w:val="001921B3"/>
    <w:rsid w:val="001939DE"/>
    <w:rsid w:val="00194175"/>
    <w:rsid w:val="00195661"/>
    <w:rsid w:val="00196399"/>
    <w:rsid w:val="001972CB"/>
    <w:rsid w:val="001974F8"/>
    <w:rsid w:val="001979AA"/>
    <w:rsid w:val="001A059E"/>
    <w:rsid w:val="001A0806"/>
    <w:rsid w:val="001A1CB1"/>
    <w:rsid w:val="001A3037"/>
    <w:rsid w:val="001A401B"/>
    <w:rsid w:val="001A4A75"/>
    <w:rsid w:val="001A6FF3"/>
    <w:rsid w:val="001B023B"/>
    <w:rsid w:val="001B2AAC"/>
    <w:rsid w:val="001B4371"/>
    <w:rsid w:val="001B5CA2"/>
    <w:rsid w:val="001B72E0"/>
    <w:rsid w:val="001C1025"/>
    <w:rsid w:val="001C37B2"/>
    <w:rsid w:val="001C3EEE"/>
    <w:rsid w:val="001C3F28"/>
    <w:rsid w:val="001C5AC6"/>
    <w:rsid w:val="001C602D"/>
    <w:rsid w:val="001C7C94"/>
    <w:rsid w:val="001D028F"/>
    <w:rsid w:val="001D085C"/>
    <w:rsid w:val="001D09D6"/>
    <w:rsid w:val="001D393F"/>
    <w:rsid w:val="001D4423"/>
    <w:rsid w:val="001D4797"/>
    <w:rsid w:val="001D546F"/>
    <w:rsid w:val="001D6FE7"/>
    <w:rsid w:val="001E0CF5"/>
    <w:rsid w:val="001E1BD6"/>
    <w:rsid w:val="001E25BB"/>
    <w:rsid w:val="001E27F9"/>
    <w:rsid w:val="001E3AF7"/>
    <w:rsid w:val="001E50B8"/>
    <w:rsid w:val="001E5B29"/>
    <w:rsid w:val="001E6D01"/>
    <w:rsid w:val="001E6D4C"/>
    <w:rsid w:val="001F1A45"/>
    <w:rsid w:val="001F1CEA"/>
    <w:rsid w:val="001F2F05"/>
    <w:rsid w:val="001F35E4"/>
    <w:rsid w:val="001F4961"/>
    <w:rsid w:val="001F4F0D"/>
    <w:rsid w:val="001F4F15"/>
    <w:rsid w:val="001F58E9"/>
    <w:rsid w:val="001F5D67"/>
    <w:rsid w:val="001F60B9"/>
    <w:rsid w:val="001F6B91"/>
    <w:rsid w:val="001F7084"/>
    <w:rsid w:val="0020013C"/>
    <w:rsid w:val="00201AB3"/>
    <w:rsid w:val="00203568"/>
    <w:rsid w:val="00204054"/>
    <w:rsid w:val="00204DDB"/>
    <w:rsid w:val="00206313"/>
    <w:rsid w:val="00213F79"/>
    <w:rsid w:val="002147BE"/>
    <w:rsid w:val="00214D9D"/>
    <w:rsid w:val="002210F2"/>
    <w:rsid w:val="0022219A"/>
    <w:rsid w:val="0022307C"/>
    <w:rsid w:val="00235041"/>
    <w:rsid w:val="002359C8"/>
    <w:rsid w:val="00237AEF"/>
    <w:rsid w:val="00242EF9"/>
    <w:rsid w:val="00245121"/>
    <w:rsid w:val="002464E6"/>
    <w:rsid w:val="00247576"/>
    <w:rsid w:val="0025075E"/>
    <w:rsid w:val="00251305"/>
    <w:rsid w:val="00253B7F"/>
    <w:rsid w:val="00255B6D"/>
    <w:rsid w:val="00261EAF"/>
    <w:rsid w:val="0026368C"/>
    <w:rsid w:val="002638B2"/>
    <w:rsid w:val="002646B5"/>
    <w:rsid w:val="0026520F"/>
    <w:rsid w:val="002660E9"/>
    <w:rsid w:val="00270497"/>
    <w:rsid w:val="00270BC7"/>
    <w:rsid w:val="00272038"/>
    <w:rsid w:val="0027206A"/>
    <w:rsid w:val="00272BCE"/>
    <w:rsid w:val="00274763"/>
    <w:rsid w:val="00275EA9"/>
    <w:rsid w:val="002761C6"/>
    <w:rsid w:val="00277B76"/>
    <w:rsid w:val="00281059"/>
    <w:rsid w:val="00285B91"/>
    <w:rsid w:val="002866B9"/>
    <w:rsid w:val="00290FC4"/>
    <w:rsid w:val="00291AE3"/>
    <w:rsid w:val="00292E53"/>
    <w:rsid w:val="00292F05"/>
    <w:rsid w:val="002934CA"/>
    <w:rsid w:val="00294F89"/>
    <w:rsid w:val="00295F2D"/>
    <w:rsid w:val="00296004"/>
    <w:rsid w:val="00296AF0"/>
    <w:rsid w:val="002A39A4"/>
    <w:rsid w:val="002A5B00"/>
    <w:rsid w:val="002A5F67"/>
    <w:rsid w:val="002A60EA"/>
    <w:rsid w:val="002B024F"/>
    <w:rsid w:val="002B0C85"/>
    <w:rsid w:val="002B0E63"/>
    <w:rsid w:val="002B245F"/>
    <w:rsid w:val="002B30E1"/>
    <w:rsid w:val="002B43AE"/>
    <w:rsid w:val="002B4891"/>
    <w:rsid w:val="002B5972"/>
    <w:rsid w:val="002B6664"/>
    <w:rsid w:val="002B7D02"/>
    <w:rsid w:val="002C126D"/>
    <w:rsid w:val="002C170E"/>
    <w:rsid w:val="002C20FC"/>
    <w:rsid w:val="002C2D1B"/>
    <w:rsid w:val="002C7C71"/>
    <w:rsid w:val="002D1E7D"/>
    <w:rsid w:val="002D2143"/>
    <w:rsid w:val="002D6376"/>
    <w:rsid w:val="002D6C84"/>
    <w:rsid w:val="002D7C5B"/>
    <w:rsid w:val="002E0A92"/>
    <w:rsid w:val="002E343C"/>
    <w:rsid w:val="002E344F"/>
    <w:rsid w:val="002E3842"/>
    <w:rsid w:val="002E3F0A"/>
    <w:rsid w:val="002E408A"/>
    <w:rsid w:val="002F0D6E"/>
    <w:rsid w:val="002F2104"/>
    <w:rsid w:val="002F39A8"/>
    <w:rsid w:val="002F437A"/>
    <w:rsid w:val="002F4E35"/>
    <w:rsid w:val="002F5C0D"/>
    <w:rsid w:val="002F5C82"/>
    <w:rsid w:val="002F75F2"/>
    <w:rsid w:val="003021D6"/>
    <w:rsid w:val="00302A0A"/>
    <w:rsid w:val="00302D43"/>
    <w:rsid w:val="0030308B"/>
    <w:rsid w:val="00306C2B"/>
    <w:rsid w:val="00307688"/>
    <w:rsid w:val="0031235A"/>
    <w:rsid w:val="00312601"/>
    <w:rsid w:val="0031487D"/>
    <w:rsid w:val="00314E14"/>
    <w:rsid w:val="00315635"/>
    <w:rsid w:val="0031732B"/>
    <w:rsid w:val="00320554"/>
    <w:rsid w:val="003225BA"/>
    <w:rsid w:val="00324CE0"/>
    <w:rsid w:val="0032571F"/>
    <w:rsid w:val="00325BC0"/>
    <w:rsid w:val="00325F8B"/>
    <w:rsid w:val="00327805"/>
    <w:rsid w:val="00331639"/>
    <w:rsid w:val="00336272"/>
    <w:rsid w:val="00337391"/>
    <w:rsid w:val="00345F20"/>
    <w:rsid w:val="00347A97"/>
    <w:rsid w:val="00350FAC"/>
    <w:rsid w:val="0035136F"/>
    <w:rsid w:val="00352841"/>
    <w:rsid w:val="00352FA3"/>
    <w:rsid w:val="00353BFE"/>
    <w:rsid w:val="00354267"/>
    <w:rsid w:val="00354AFE"/>
    <w:rsid w:val="00355077"/>
    <w:rsid w:val="0035534D"/>
    <w:rsid w:val="00356A84"/>
    <w:rsid w:val="003573F9"/>
    <w:rsid w:val="00357771"/>
    <w:rsid w:val="00357F9F"/>
    <w:rsid w:val="00361A38"/>
    <w:rsid w:val="00362217"/>
    <w:rsid w:val="0036657F"/>
    <w:rsid w:val="00367941"/>
    <w:rsid w:val="00370AAD"/>
    <w:rsid w:val="00370F30"/>
    <w:rsid w:val="00371900"/>
    <w:rsid w:val="00372D54"/>
    <w:rsid w:val="003740CB"/>
    <w:rsid w:val="003772D4"/>
    <w:rsid w:val="003800D2"/>
    <w:rsid w:val="00383236"/>
    <w:rsid w:val="00383E39"/>
    <w:rsid w:val="00384CE0"/>
    <w:rsid w:val="00384E0F"/>
    <w:rsid w:val="00390528"/>
    <w:rsid w:val="003907DA"/>
    <w:rsid w:val="00391444"/>
    <w:rsid w:val="003914CC"/>
    <w:rsid w:val="003916AB"/>
    <w:rsid w:val="00391F11"/>
    <w:rsid w:val="003A3B23"/>
    <w:rsid w:val="003A505F"/>
    <w:rsid w:val="003A53F3"/>
    <w:rsid w:val="003A57A8"/>
    <w:rsid w:val="003A6BA6"/>
    <w:rsid w:val="003B2320"/>
    <w:rsid w:val="003B2EEB"/>
    <w:rsid w:val="003B5B1B"/>
    <w:rsid w:val="003B7D71"/>
    <w:rsid w:val="003C0AAC"/>
    <w:rsid w:val="003C11CC"/>
    <w:rsid w:val="003C1483"/>
    <w:rsid w:val="003C2C33"/>
    <w:rsid w:val="003C647E"/>
    <w:rsid w:val="003D0460"/>
    <w:rsid w:val="003D1437"/>
    <w:rsid w:val="003D2470"/>
    <w:rsid w:val="003D321D"/>
    <w:rsid w:val="003D5A26"/>
    <w:rsid w:val="003D6AEA"/>
    <w:rsid w:val="003E3721"/>
    <w:rsid w:val="003E40C7"/>
    <w:rsid w:val="003E4320"/>
    <w:rsid w:val="003E451D"/>
    <w:rsid w:val="003E6B48"/>
    <w:rsid w:val="003F1C8A"/>
    <w:rsid w:val="003F5511"/>
    <w:rsid w:val="003F6A55"/>
    <w:rsid w:val="003F7FA9"/>
    <w:rsid w:val="004013E1"/>
    <w:rsid w:val="00402D99"/>
    <w:rsid w:val="00404B82"/>
    <w:rsid w:val="00405D72"/>
    <w:rsid w:val="00412C33"/>
    <w:rsid w:val="004153B6"/>
    <w:rsid w:val="00415BE5"/>
    <w:rsid w:val="00416B59"/>
    <w:rsid w:val="00416E43"/>
    <w:rsid w:val="00417448"/>
    <w:rsid w:val="00417A47"/>
    <w:rsid w:val="00420BC3"/>
    <w:rsid w:val="00421CC1"/>
    <w:rsid w:val="0042269E"/>
    <w:rsid w:val="00424015"/>
    <w:rsid w:val="00424255"/>
    <w:rsid w:val="004248A1"/>
    <w:rsid w:val="00425824"/>
    <w:rsid w:val="00427BCC"/>
    <w:rsid w:val="0043098A"/>
    <w:rsid w:val="004323E2"/>
    <w:rsid w:val="00433E68"/>
    <w:rsid w:val="0043599D"/>
    <w:rsid w:val="00437500"/>
    <w:rsid w:val="00443E9E"/>
    <w:rsid w:val="00443F96"/>
    <w:rsid w:val="00444295"/>
    <w:rsid w:val="00444477"/>
    <w:rsid w:val="004454F9"/>
    <w:rsid w:val="004460B0"/>
    <w:rsid w:val="004460CF"/>
    <w:rsid w:val="004471E6"/>
    <w:rsid w:val="00451CA6"/>
    <w:rsid w:val="00456E65"/>
    <w:rsid w:val="004571E5"/>
    <w:rsid w:val="00457B08"/>
    <w:rsid w:val="00462F5F"/>
    <w:rsid w:val="004630F1"/>
    <w:rsid w:val="0046415C"/>
    <w:rsid w:val="004641DA"/>
    <w:rsid w:val="00466FF9"/>
    <w:rsid w:val="00467071"/>
    <w:rsid w:val="004707B8"/>
    <w:rsid w:val="004737A9"/>
    <w:rsid w:val="00474DA0"/>
    <w:rsid w:val="004776C9"/>
    <w:rsid w:val="00477DA1"/>
    <w:rsid w:val="00480AAD"/>
    <w:rsid w:val="00483772"/>
    <w:rsid w:val="004848BD"/>
    <w:rsid w:val="004907B0"/>
    <w:rsid w:val="004940CD"/>
    <w:rsid w:val="00494B5A"/>
    <w:rsid w:val="00494F42"/>
    <w:rsid w:val="00495F92"/>
    <w:rsid w:val="00497C2D"/>
    <w:rsid w:val="004A0B41"/>
    <w:rsid w:val="004A3C9B"/>
    <w:rsid w:val="004A6398"/>
    <w:rsid w:val="004A7BF3"/>
    <w:rsid w:val="004B03CF"/>
    <w:rsid w:val="004B0CA2"/>
    <w:rsid w:val="004B16F4"/>
    <w:rsid w:val="004B331C"/>
    <w:rsid w:val="004B48E5"/>
    <w:rsid w:val="004B5846"/>
    <w:rsid w:val="004B79DA"/>
    <w:rsid w:val="004C0232"/>
    <w:rsid w:val="004C0F06"/>
    <w:rsid w:val="004C6993"/>
    <w:rsid w:val="004C6A16"/>
    <w:rsid w:val="004C6B2A"/>
    <w:rsid w:val="004C7E69"/>
    <w:rsid w:val="004D0955"/>
    <w:rsid w:val="004D0A2A"/>
    <w:rsid w:val="004D1953"/>
    <w:rsid w:val="004D4FA7"/>
    <w:rsid w:val="004D5394"/>
    <w:rsid w:val="004D54B8"/>
    <w:rsid w:val="004E037F"/>
    <w:rsid w:val="004E03C4"/>
    <w:rsid w:val="004E1EEC"/>
    <w:rsid w:val="004E1FB6"/>
    <w:rsid w:val="004E3017"/>
    <w:rsid w:val="004E4DB3"/>
    <w:rsid w:val="004E5EF7"/>
    <w:rsid w:val="004E68B1"/>
    <w:rsid w:val="004F10D6"/>
    <w:rsid w:val="004F474C"/>
    <w:rsid w:val="004F5294"/>
    <w:rsid w:val="00500E09"/>
    <w:rsid w:val="00500E1E"/>
    <w:rsid w:val="00501489"/>
    <w:rsid w:val="005014CA"/>
    <w:rsid w:val="00505FEB"/>
    <w:rsid w:val="00507D61"/>
    <w:rsid w:val="00513BC5"/>
    <w:rsid w:val="00513E8C"/>
    <w:rsid w:val="00520B81"/>
    <w:rsid w:val="00522BA6"/>
    <w:rsid w:val="00522CD4"/>
    <w:rsid w:val="00526C45"/>
    <w:rsid w:val="00530885"/>
    <w:rsid w:val="00531857"/>
    <w:rsid w:val="005356FE"/>
    <w:rsid w:val="0054049A"/>
    <w:rsid w:val="00541103"/>
    <w:rsid w:val="005413AF"/>
    <w:rsid w:val="005418EA"/>
    <w:rsid w:val="0054309A"/>
    <w:rsid w:val="005430F8"/>
    <w:rsid w:val="0054329B"/>
    <w:rsid w:val="0054609D"/>
    <w:rsid w:val="00546385"/>
    <w:rsid w:val="0054674A"/>
    <w:rsid w:val="005472F8"/>
    <w:rsid w:val="005502C8"/>
    <w:rsid w:val="00551EC5"/>
    <w:rsid w:val="00553665"/>
    <w:rsid w:val="00555370"/>
    <w:rsid w:val="005569F3"/>
    <w:rsid w:val="00561906"/>
    <w:rsid w:val="005645F5"/>
    <w:rsid w:val="005656DA"/>
    <w:rsid w:val="005665FA"/>
    <w:rsid w:val="00566A2B"/>
    <w:rsid w:val="00566CCA"/>
    <w:rsid w:val="00566D7E"/>
    <w:rsid w:val="00567AB8"/>
    <w:rsid w:val="00571511"/>
    <w:rsid w:val="00571FFE"/>
    <w:rsid w:val="00573DAB"/>
    <w:rsid w:val="0057634B"/>
    <w:rsid w:val="005802B8"/>
    <w:rsid w:val="00581594"/>
    <w:rsid w:val="0058274B"/>
    <w:rsid w:val="005839FA"/>
    <w:rsid w:val="00584455"/>
    <w:rsid w:val="0058471E"/>
    <w:rsid w:val="00590CDB"/>
    <w:rsid w:val="00591D37"/>
    <w:rsid w:val="00593EE5"/>
    <w:rsid w:val="005945D2"/>
    <w:rsid w:val="00594A98"/>
    <w:rsid w:val="005957EE"/>
    <w:rsid w:val="0059592F"/>
    <w:rsid w:val="00596644"/>
    <w:rsid w:val="005A11F7"/>
    <w:rsid w:val="005A135A"/>
    <w:rsid w:val="005A55B6"/>
    <w:rsid w:val="005A561D"/>
    <w:rsid w:val="005A76C0"/>
    <w:rsid w:val="005B0141"/>
    <w:rsid w:val="005B32F5"/>
    <w:rsid w:val="005B4BCB"/>
    <w:rsid w:val="005B4FDB"/>
    <w:rsid w:val="005B653C"/>
    <w:rsid w:val="005C0EC5"/>
    <w:rsid w:val="005C1438"/>
    <w:rsid w:val="005C19A1"/>
    <w:rsid w:val="005C229C"/>
    <w:rsid w:val="005C3526"/>
    <w:rsid w:val="005C4C06"/>
    <w:rsid w:val="005C5BFC"/>
    <w:rsid w:val="005D11B9"/>
    <w:rsid w:val="005D199F"/>
    <w:rsid w:val="005D1C19"/>
    <w:rsid w:val="005D2CFA"/>
    <w:rsid w:val="005D47EC"/>
    <w:rsid w:val="005D6347"/>
    <w:rsid w:val="005D65D1"/>
    <w:rsid w:val="005D7E95"/>
    <w:rsid w:val="005E0FDD"/>
    <w:rsid w:val="005E14E7"/>
    <w:rsid w:val="005F0114"/>
    <w:rsid w:val="005F1D43"/>
    <w:rsid w:val="005F212C"/>
    <w:rsid w:val="005F2CC6"/>
    <w:rsid w:val="005F3EDF"/>
    <w:rsid w:val="005F4BD0"/>
    <w:rsid w:val="005F4FE8"/>
    <w:rsid w:val="00602AED"/>
    <w:rsid w:val="00603942"/>
    <w:rsid w:val="006039D6"/>
    <w:rsid w:val="006040D4"/>
    <w:rsid w:val="006061B7"/>
    <w:rsid w:val="00607E75"/>
    <w:rsid w:val="006108F3"/>
    <w:rsid w:val="00616BB3"/>
    <w:rsid w:val="00617906"/>
    <w:rsid w:val="00620CD7"/>
    <w:rsid w:val="006227B0"/>
    <w:rsid w:val="0062328D"/>
    <w:rsid w:val="006260E1"/>
    <w:rsid w:val="00626198"/>
    <w:rsid w:val="006266D9"/>
    <w:rsid w:val="00626B47"/>
    <w:rsid w:val="006327B9"/>
    <w:rsid w:val="006346B8"/>
    <w:rsid w:val="00634D2B"/>
    <w:rsid w:val="00641E5D"/>
    <w:rsid w:val="00643E47"/>
    <w:rsid w:val="0064690B"/>
    <w:rsid w:val="0064784B"/>
    <w:rsid w:val="00652DD7"/>
    <w:rsid w:val="0065598D"/>
    <w:rsid w:val="00655DA2"/>
    <w:rsid w:val="00656672"/>
    <w:rsid w:val="00657215"/>
    <w:rsid w:val="0066226F"/>
    <w:rsid w:val="00662A5B"/>
    <w:rsid w:val="00662CD8"/>
    <w:rsid w:val="006672F3"/>
    <w:rsid w:val="00670956"/>
    <w:rsid w:val="00670FD9"/>
    <w:rsid w:val="00672893"/>
    <w:rsid w:val="00674AE0"/>
    <w:rsid w:val="0067798D"/>
    <w:rsid w:val="00682095"/>
    <w:rsid w:val="00685C51"/>
    <w:rsid w:val="0068604F"/>
    <w:rsid w:val="0068754F"/>
    <w:rsid w:val="006876DC"/>
    <w:rsid w:val="00693CCE"/>
    <w:rsid w:val="0069465C"/>
    <w:rsid w:val="006961F8"/>
    <w:rsid w:val="006A0F99"/>
    <w:rsid w:val="006A2C3D"/>
    <w:rsid w:val="006A4D52"/>
    <w:rsid w:val="006A4E9C"/>
    <w:rsid w:val="006A5DFF"/>
    <w:rsid w:val="006A616A"/>
    <w:rsid w:val="006A7C6A"/>
    <w:rsid w:val="006B10EB"/>
    <w:rsid w:val="006B261E"/>
    <w:rsid w:val="006B507E"/>
    <w:rsid w:val="006B5606"/>
    <w:rsid w:val="006B653F"/>
    <w:rsid w:val="006B73D6"/>
    <w:rsid w:val="006B7872"/>
    <w:rsid w:val="006B7976"/>
    <w:rsid w:val="006C100A"/>
    <w:rsid w:val="006C14B3"/>
    <w:rsid w:val="006C1DA9"/>
    <w:rsid w:val="006C1EC5"/>
    <w:rsid w:val="006C34E8"/>
    <w:rsid w:val="006C4B9A"/>
    <w:rsid w:val="006C5596"/>
    <w:rsid w:val="006C7CED"/>
    <w:rsid w:val="006D1B39"/>
    <w:rsid w:val="006D1B7D"/>
    <w:rsid w:val="006D1BD2"/>
    <w:rsid w:val="006D27D2"/>
    <w:rsid w:val="006D6308"/>
    <w:rsid w:val="006D692D"/>
    <w:rsid w:val="006E1285"/>
    <w:rsid w:val="006E25BD"/>
    <w:rsid w:val="006E39CF"/>
    <w:rsid w:val="006E44CC"/>
    <w:rsid w:val="006E4CDE"/>
    <w:rsid w:val="006E5D77"/>
    <w:rsid w:val="006E63EF"/>
    <w:rsid w:val="006F13BF"/>
    <w:rsid w:val="006F6B6E"/>
    <w:rsid w:val="006F71AE"/>
    <w:rsid w:val="006F78D7"/>
    <w:rsid w:val="00704DD2"/>
    <w:rsid w:val="00707319"/>
    <w:rsid w:val="0070783A"/>
    <w:rsid w:val="007105BE"/>
    <w:rsid w:val="00711145"/>
    <w:rsid w:val="00711D9D"/>
    <w:rsid w:val="0071377D"/>
    <w:rsid w:val="0071475D"/>
    <w:rsid w:val="00714E5D"/>
    <w:rsid w:val="007218FF"/>
    <w:rsid w:val="0072605D"/>
    <w:rsid w:val="007262B8"/>
    <w:rsid w:val="0072735B"/>
    <w:rsid w:val="00731AA1"/>
    <w:rsid w:val="00731EA5"/>
    <w:rsid w:val="00734D15"/>
    <w:rsid w:val="0073669C"/>
    <w:rsid w:val="00741568"/>
    <w:rsid w:val="007431A0"/>
    <w:rsid w:val="00743CED"/>
    <w:rsid w:val="00744F72"/>
    <w:rsid w:val="00745971"/>
    <w:rsid w:val="007502CE"/>
    <w:rsid w:val="00751A89"/>
    <w:rsid w:val="007524C0"/>
    <w:rsid w:val="007528DF"/>
    <w:rsid w:val="00756B01"/>
    <w:rsid w:val="00757389"/>
    <w:rsid w:val="007602A7"/>
    <w:rsid w:val="007610B7"/>
    <w:rsid w:val="00762134"/>
    <w:rsid w:val="007626FC"/>
    <w:rsid w:val="00763340"/>
    <w:rsid w:val="00765ED3"/>
    <w:rsid w:val="007660C5"/>
    <w:rsid w:val="00771521"/>
    <w:rsid w:val="00771DF4"/>
    <w:rsid w:val="00771EC4"/>
    <w:rsid w:val="0077202A"/>
    <w:rsid w:val="0078065F"/>
    <w:rsid w:val="00782D8D"/>
    <w:rsid w:val="0078332F"/>
    <w:rsid w:val="00785652"/>
    <w:rsid w:val="00787713"/>
    <w:rsid w:val="0079129F"/>
    <w:rsid w:val="00791949"/>
    <w:rsid w:val="00791F22"/>
    <w:rsid w:val="00792B72"/>
    <w:rsid w:val="00793D4E"/>
    <w:rsid w:val="007960BE"/>
    <w:rsid w:val="0079643F"/>
    <w:rsid w:val="007A0710"/>
    <w:rsid w:val="007A0EED"/>
    <w:rsid w:val="007A1A1D"/>
    <w:rsid w:val="007A2BA1"/>
    <w:rsid w:val="007A62AE"/>
    <w:rsid w:val="007B593C"/>
    <w:rsid w:val="007B6118"/>
    <w:rsid w:val="007B75F4"/>
    <w:rsid w:val="007B7868"/>
    <w:rsid w:val="007C1E8D"/>
    <w:rsid w:val="007C26CD"/>
    <w:rsid w:val="007C2A85"/>
    <w:rsid w:val="007C30EA"/>
    <w:rsid w:val="007C40D7"/>
    <w:rsid w:val="007D4C6B"/>
    <w:rsid w:val="007D6530"/>
    <w:rsid w:val="007E4C93"/>
    <w:rsid w:val="007F2C49"/>
    <w:rsid w:val="007F3504"/>
    <w:rsid w:val="007F3B7A"/>
    <w:rsid w:val="007F5D31"/>
    <w:rsid w:val="007F68CF"/>
    <w:rsid w:val="007F68F6"/>
    <w:rsid w:val="007F6FB9"/>
    <w:rsid w:val="007F71D0"/>
    <w:rsid w:val="0080138E"/>
    <w:rsid w:val="008030FA"/>
    <w:rsid w:val="00803717"/>
    <w:rsid w:val="00805187"/>
    <w:rsid w:val="008059E5"/>
    <w:rsid w:val="0080683A"/>
    <w:rsid w:val="008104F2"/>
    <w:rsid w:val="00813897"/>
    <w:rsid w:val="00813A70"/>
    <w:rsid w:val="008146AC"/>
    <w:rsid w:val="008150B3"/>
    <w:rsid w:val="008153D8"/>
    <w:rsid w:val="00815BDE"/>
    <w:rsid w:val="00822B21"/>
    <w:rsid w:val="00823163"/>
    <w:rsid w:val="00823C2D"/>
    <w:rsid w:val="00825CE9"/>
    <w:rsid w:val="00827652"/>
    <w:rsid w:val="00827FCD"/>
    <w:rsid w:val="008317F0"/>
    <w:rsid w:val="008360F9"/>
    <w:rsid w:val="00840107"/>
    <w:rsid w:val="00840D0E"/>
    <w:rsid w:val="00845DFC"/>
    <w:rsid w:val="0084663F"/>
    <w:rsid w:val="00846A68"/>
    <w:rsid w:val="00846AD6"/>
    <w:rsid w:val="0084728A"/>
    <w:rsid w:val="00851707"/>
    <w:rsid w:val="00851729"/>
    <w:rsid w:val="00851975"/>
    <w:rsid w:val="008521B3"/>
    <w:rsid w:val="008544CC"/>
    <w:rsid w:val="00864FC7"/>
    <w:rsid w:val="008653C2"/>
    <w:rsid w:val="00866C16"/>
    <w:rsid w:val="00870658"/>
    <w:rsid w:val="0087092F"/>
    <w:rsid w:val="00870A70"/>
    <w:rsid w:val="008734F0"/>
    <w:rsid w:val="008776C3"/>
    <w:rsid w:val="0088079A"/>
    <w:rsid w:val="00880C5D"/>
    <w:rsid w:val="00882EE3"/>
    <w:rsid w:val="00883482"/>
    <w:rsid w:val="00885724"/>
    <w:rsid w:val="00885844"/>
    <w:rsid w:val="00886211"/>
    <w:rsid w:val="008863CB"/>
    <w:rsid w:val="00891349"/>
    <w:rsid w:val="00891BB6"/>
    <w:rsid w:val="00891CBB"/>
    <w:rsid w:val="00896326"/>
    <w:rsid w:val="008967C7"/>
    <w:rsid w:val="008974A9"/>
    <w:rsid w:val="008A116F"/>
    <w:rsid w:val="008A1675"/>
    <w:rsid w:val="008A2C04"/>
    <w:rsid w:val="008A4E11"/>
    <w:rsid w:val="008A593C"/>
    <w:rsid w:val="008A5AA2"/>
    <w:rsid w:val="008A719A"/>
    <w:rsid w:val="008B0442"/>
    <w:rsid w:val="008B252F"/>
    <w:rsid w:val="008B513A"/>
    <w:rsid w:val="008B71CD"/>
    <w:rsid w:val="008B7B8F"/>
    <w:rsid w:val="008C11B7"/>
    <w:rsid w:val="008C15DF"/>
    <w:rsid w:val="008C3514"/>
    <w:rsid w:val="008C3F27"/>
    <w:rsid w:val="008C65E2"/>
    <w:rsid w:val="008D2347"/>
    <w:rsid w:val="008D401A"/>
    <w:rsid w:val="008D4D71"/>
    <w:rsid w:val="008D60A8"/>
    <w:rsid w:val="008D789C"/>
    <w:rsid w:val="008E0F9C"/>
    <w:rsid w:val="008E295B"/>
    <w:rsid w:val="008E5452"/>
    <w:rsid w:val="008E5AA1"/>
    <w:rsid w:val="008E72C9"/>
    <w:rsid w:val="008E7887"/>
    <w:rsid w:val="008F05BF"/>
    <w:rsid w:val="008F1756"/>
    <w:rsid w:val="008F483F"/>
    <w:rsid w:val="008F5634"/>
    <w:rsid w:val="008F6186"/>
    <w:rsid w:val="008F6C61"/>
    <w:rsid w:val="00900BB4"/>
    <w:rsid w:val="00900C31"/>
    <w:rsid w:val="0090112B"/>
    <w:rsid w:val="00901758"/>
    <w:rsid w:val="00901EEA"/>
    <w:rsid w:val="009026CE"/>
    <w:rsid w:val="00902877"/>
    <w:rsid w:val="00904B30"/>
    <w:rsid w:val="00905640"/>
    <w:rsid w:val="00910056"/>
    <w:rsid w:val="00910D98"/>
    <w:rsid w:val="00913605"/>
    <w:rsid w:val="00913B23"/>
    <w:rsid w:val="00914392"/>
    <w:rsid w:val="0091622C"/>
    <w:rsid w:val="0092117B"/>
    <w:rsid w:val="00921C5D"/>
    <w:rsid w:val="00922776"/>
    <w:rsid w:val="00923F06"/>
    <w:rsid w:val="00924227"/>
    <w:rsid w:val="00925413"/>
    <w:rsid w:val="00925DB7"/>
    <w:rsid w:val="00927535"/>
    <w:rsid w:val="00930D08"/>
    <w:rsid w:val="00934CC7"/>
    <w:rsid w:val="00945079"/>
    <w:rsid w:val="0095001A"/>
    <w:rsid w:val="00951281"/>
    <w:rsid w:val="00951D14"/>
    <w:rsid w:val="00951DF2"/>
    <w:rsid w:val="009527E4"/>
    <w:rsid w:val="00952BB8"/>
    <w:rsid w:val="00953E48"/>
    <w:rsid w:val="00953E8E"/>
    <w:rsid w:val="009545DA"/>
    <w:rsid w:val="00955A80"/>
    <w:rsid w:val="00956179"/>
    <w:rsid w:val="00956E78"/>
    <w:rsid w:val="009609C3"/>
    <w:rsid w:val="00960B6D"/>
    <w:rsid w:val="00965D4E"/>
    <w:rsid w:val="00967519"/>
    <w:rsid w:val="00967827"/>
    <w:rsid w:val="00970A28"/>
    <w:rsid w:val="009717FB"/>
    <w:rsid w:val="009721A8"/>
    <w:rsid w:val="00972D09"/>
    <w:rsid w:val="0097407B"/>
    <w:rsid w:val="009753BB"/>
    <w:rsid w:val="009766C9"/>
    <w:rsid w:val="00981240"/>
    <w:rsid w:val="00984925"/>
    <w:rsid w:val="009875E8"/>
    <w:rsid w:val="009879E2"/>
    <w:rsid w:val="00990776"/>
    <w:rsid w:val="00991875"/>
    <w:rsid w:val="00992768"/>
    <w:rsid w:val="009931AD"/>
    <w:rsid w:val="009956C1"/>
    <w:rsid w:val="00996302"/>
    <w:rsid w:val="00996D9A"/>
    <w:rsid w:val="009A0193"/>
    <w:rsid w:val="009A24BC"/>
    <w:rsid w:val="009A26B7"/>
    <w:rsid w:val="009A290E"/>
    <w:rsid w:val="009A2FB1"/>
    <w:rsid w:val="009A37D6"/>
    <w:rsid w:val="009A4F98"/>
    <w:rsid w:val="009A6522"/>
    <w:rsid w:val="009A7BE3"/>
    <w:rsid w:val="009B0D4D"/>
    <w:rsid w:val="009B1F0A"/>
    <w:rsid w:val="009B4472"/>
    <w:rsid w:val="009B5935"/>
    <w:rsid w:val="009C0D7D"/>
    <w:rsid w:val="009C4039"/>
    <w:rsid w:val="009C4D52"/>
    <w:rsid w:val="009C5B96"/>
    <w:rsid w:val="009C5E1F"/>
    <w:rsid w:val="009C743E"/>
    <w:rsid w:val="009D0A32"/>
    <w:rsid w:val="009D3E40"/>
    <w:rsid w:val="009D466B"/>
    <w:rsid w:val="009E0BAB"/>
    <w:rsid w:val="009E0F34"/>
    <w:rsid w:val="009E179F"/>
    <w:rsid w:val="009E1C34"/>
    <w:rsid w:val="009E2A18"/>
    <w:rsid w:val="009E4AB6"/>
    <w:rsid w:val="009E4BB4"/>
    <w:rsid w:val="009F06B7"/>
    <w:rsid w:val="009F07D2"/>
    <w:rsid w:val="009F10AA"/>
    <w:rsid w:val="009F3BF9"/>
    <w:rsid w:val="009F4CAF"/>
    <w:rsid w:val="009F4E66"/>
    <w:rsid w:val="009F520B"/>
    <w:rsid w:val="009F5AB5"/>
    <w:rsid w:val="009F5C86"/>
    <w:rsid w:val="00A03E22"/>
    <w:rsid w:val="00A04EF2"/>
    <w:rsid w:val="00A10586"/>
    <w:rsid w:val="00A10B6C"/>
    <w:rsid w:val="00A129FC"/>
    <w:rsid w:val="00A131DC"/>
    <w:rsid w:val="00A145D7"/>
    <w:rsid w:val="00A14B08"/>
    <w:rsid w:val="00A14DD6"/>
    <w:rsid w:val="00A21F36"/>
    <w:rsid w:val="00A24165"/>
    <w:rsid w:val="00A2567D"/>
    <w:rsid w:val="00A267CA"/>
    <w:rsid w:val="00A31226"/>
    <w:rsid w:val="00A31B28"/>
    <w:rsid w:val="00A31BAB"/>
    <w:rsid w:val="00A32099"/>
    <w:rsid w:val="00A32148"/>
    <w:rsid w:val="00A33BA2"/>
    <w:rsid w:val="00A34D92"/>
    <w:rsid w:val="00A363B3"/>
    <w:rsid w:val="00A36E2D"/>
    <w:rsid w:val="00A41B5F"/>
    <w:rsid w:val="00A435BB"/>
    <w:rsid w:val="00A44FB8"/>
    <w:rsid w:val="00A46551"/>
    <w:rsid w:val="00A50A3C"/>
    <w:rsid w:val="00A510E5"/>
    <w:rsid w:val="00A52405"/>
    <w:rsid w:val="00A52B39"/>
    <w:rsid w:val="00A53B11"/>
    <w:rsid w:val="00A54664"/>
    <w:rsid w:val="00A54A74"/>
    <w:rsid w:val="00A55332"/>
    <w:rsid w:val="00A60214"/>
    <w:rsid w:val="00A618DF"/>
    <w:rsid w:val="00A62486"/>
    <w:rsid w:val="00A630A6"/>
    <w:rsid w:val="00A633E7"/>
    <w:rsid w:val="00A63EA5"/>
    <w:rsid w:val="00A64C60"/>
    <w:rsid w:val="00A65A05"/>
    <w:rsid w:val="00A70433"/>
    <w:rsid w:val="00A71161"/>
    <w:rsid w:val="00A718F7"/>
    <w:rsid w:val="00A72B60"/>
    <w:rsid w:val="00A72F83"/>
    <w:rsid w:val="00A736F5"/>
    <w:rsid w:val="00A80D7B"/>
    <w:rsid w:val="00A81484"/>
    <w:rsid w:val="00A8437F"/>
    <w:rsid w:val="00A844D7"/>
    <w:rsid w:val="00A8548F"/>
    <w:rsid w:val="00A854FD"/>
    <w:rsid w:val="00A86380"/>
    <w:rsid w:val="00A87F03"/>
    <w:rsid w:val="00A912C3"/>
    <w:rsid w:val="00A91EAC"/>
    <w:rsid w:val="00A92751"/>
    <w:rsid w:val="00A93A3A"/>
    <w:rsid w:val="00A9480D"/>
    <w:rsid w:val="00A94897"/>
    <w:rsid w:val="00A95629"/>
    <w:rsid w:val="00A96DA1"/>
    <w:rsid w:val="00AA0B63"/>
    <w:rsid w:val="00AA1AD4"/>
    <w:rsid w:val="00AB0FBA"/>
    <w:rsid w:val="00AB2500"/>
    <w:rsid w:val="00AB427A"/>
    <w:rsid w:val="00AB5ADB"/>
    <w:rsid w:val="00AB768C"/>
    <w:rsid w:val="00AC1333"/>
    <w:rsid w:val="00AC1A70"/>
    <w:rsid w:val="00AC1AF0"/>
    <w:rsid w:val="00AC3AA1"/>
    <w:rsid w:val="00AC466E"/>
    <w:rsid w:val="00AC48D5"/>
    <w:rsid w:val="00AC4ADC"/>
    <w:rsid w:val="00AC5B75"/>
    <w:rsid w:val="00AC6975"/>
    <w:rsid w:val="00AD14E5"/>
    <w:rsid w:val="00AD2701"/>
    <w:rsid w:val="00AD2E18"/>
    <w:rsid w:val="00AD3059"/>
    <w:rsid w:val="00AD6211"/>
    <w:rsid w:val="00AD74D7"/>
    <w:rsid w:val="00AE2EBC"/>
    <w:rsid w:val="00AE33CC"/>
    <w:rsid w:val="00AE737D"/>
    <w:rsid w:val="00AE7643"/>
    <w:rsid w:val="00AF058D"/>
    <w:rsid w:val="00AF21EA"/>
    <w:rsid w:val="00AF223F"/>
    <w:rsid w:val="00AF4058"/>
    <w:rsid w:val="00AF4E13"/>
    <w:rsid w:val="00AF52E6"/>
    <w:rsid w:val="00AF5901"/>
    <w:rsid w:val="00AF71EC"/>
    <w:rsid w:val="00AF795C"/>
    <w:rsid w:val="00B0096C"/>
    <w:rsid w:val="00B0148F"/>
    <w:rsid w:val="00B04602"/>
    <w:rsid w:val="00B05353"/>
    <w:rsid w:val="00B05A05"/>
    <w:rsid w:val="00B0634B"/>
    <w:rsid w:val="00B07770"/>
    <w:rsid w:val="00B07A0F"/>
    <w:rsid w:val="00B129A6"/>
    <w:rsid w:val="00B12C1E"/>
    <w:rsid w:val="00B1343A"/>
    <w:rsid w:val="00B13848"/>
    <w:rsid w:val="00B138B4"/>
    <w:rsid w:val="00B17483"/>
    <w:rsid w:val="00B17806"/>
    <w:rsid w:val="00B17A56"/>
    <w:rsid w:val="00B2226E"/>
    <w:rsid w:val="00B228A0"/>
    <w:rsid w:val="00B23064"/>
    <w:rsid w:val="00B2316A"/>
    <w:rsid w:val="00B31D63"/>
    <w:rsid w:val="00B36799"/>
    <w:rsid w:val="00B42071"/>
    <w:rsid w:val="00B4223A"/>
    <w:rsid w:val="00B42DA1"/>
    <w:rsid w:val="00B446B0"/>
    <w:rsid w:val="00B462EB"/>
    <w:rsid w:val="00B51287"/>
    <w:rsid w:val="00B51B9A"/>
    <w:rsid w:val="00B521E9"/>
    <w:rsid w:val="00B52E60"/>
    <w:rsid w:val="00B53A9C"/>
    <w:rsid w:val="00B54AAF"/>
    <w:rsid w:val="00B57FFB"/>
    <w:rsid w:val="00B616B8"/>
    <w:rsid w:val="00B62A08"/>
    <w:rsid w:val="00B62EA9"/>
    <w:rsid w:val="00B64746"/>
    <w:rsid w:val="00B65786"/>
    <w:rsid w:val="00B66747"/>
    <w:rsid w:val="00B70207"/>
    <w:rsid w:val="00B70F0D"/>
    <w:rsid w:val="00B7165D"/>
    <w:rsid w:val="00B7514E"/>
    <w:rsid w:val="00B755A7"/>
    <w:rsid w:val="00B76F40"/>
    <w:rsid w:val="00B8284D"/>
    <w:rsid w:val="00B831AB"/>
    <w:rsid w:val="00B837D6"/>
    <w:rsid w:val="00B85EB5"/>
    <w:rsid w:val="00B90066"/>
    <w:rsid w:val="00B93774"/>
    <w:rsid w:val="00B94917"/>
    <w:rsid w:val="00B9684F"/>
    <w:rsid w:val="00B96B37"/>
    <w:rsid w:val="00BB1DEA"/>
    <w:rsid w:val="00BB1ED0"/>
    <w:rsid w:val="00BB4F09"/>
    <w:rsid w:val="00BB7777"/>
    <w:rsid w:val="00BC33AF"/>
    <w:rsid w:val="00BC4563"/>
    <w:rsid w:val="00BC5CED"/>
    <w:rsid w:val="00BD1A1A"/>
    <w:rsid w:val="00BD2D13"/>
    <w:rsid w:val="00BD3167"/>
    <w:rsid w:val="00BD3666"/>
    <w:rsid w:val="00BD3F8D"/>
    <w:rsid w:val="00BD5762"/>
    <w:rsid w:val="00BD5F02"/>
    <w:rsid w:val="00BE14CA"/>
    <w:rsid w:val="00BE2123"/>
    <w:rsid w:val="00BE2229"/>
    <w:rsid w:val="00BE25E2"/>
    <w:rsid w:val="00BE2C53"/>
    <w:rsid w:val="00BE4365"/>
    <w:rsid w:val="00BE4E9C"/>
    <w:rsid w:val="00BE7ED7"/>
    <w:rsid w:val="00BE7EED"/>
    <w:rsid w:val="00BF16E4"/>
    <w:rsid w:val="00BF2527"/>
    <w:rsid w:val="00BF6C9D"/>
    <w:rsid w:val="00C0095D"/>
    <w:rsid w:val="00C02952"/>
    <w:rsid w:val="00C04DFE"/>
    <w:rsid w:val="00C06077"/>
    <w:rsid w:val="00C11FB0"/>
    <w:rsid w:val="00C16044"/>
    <w:rsid w:val="00C1780F"/>
    <w:rsid w:val="00C17A59"/>
    <w:rsid w:val="00C20821"/>
    <w:rsid w:val="00C20C72"/>
    <w:rsid w:val="00C21B3E"/>
    <w:rsid w:val="00C24632"/>
    <w:rsid w:val="00C269E5"/>
    <w:rsid w:val="00C27AA9"/>
    <w:rsid w:val="00C3163E"/>
    <w:rsid w:val="00C31CF3"/>
    <w:rsid w:val="00C327DC"/>
    <w:rsid w:val="00C352AE"/>
    <w:rsid w:val="00C356E0"/>
    <w:rsid w:val="00C366D1"/>
    <w:rsid w:val="00C372C1"/>
    <w:rsid w:val="00C41702"/>
    <w:rsid w:val="00C41822"/>
    <w:rsid w:val="00C42E45"/>
    <w:rsid w:val="00C43176"/>
    <w:rsid w:val="00C47C4D"/>
    <w:rsid w:val="00C503F9"/>
    <w:rsid w:val="00C50CFA"/>
    <w:rsid w:val="00C51195"/>
    <w:rsid w:val="00C51621"/>
    <w:rsid w:val="00C527DE"/>
    <w:rsid w:val="00C530AC"/>
    <w:rsid w:val="00C559B7"/>
    <w:rsid w:val="00C56D19"/>
    <w:rsid w:val="00C57AB0"/>
    <w:rsid w:val="00C60112"/>
    <w:rsid w:val="00C61CC5"/>
    <w:rsid w:val="00C62A7A"/>
    <w:rsid w:val="00C63FFE"/>
    <w:rsid w:val="00C66AB3"/>
    <w:rsid w:val="00C6745E"/>
    <w:rsid w:val="00C708AD"/>
    <w:rsid w:val="00C71774"/>
    <w:rsid w:val="00C7207D"/>
    <w:rsid w:val="00C7208F"/>
    <w:rsid w:val="00C749E1"/>
    <w:rsid w:val="00C74D19"/>
    <w:rsid w:val="00C7514C"/>
    <w:rsid w:val="00C77EF1"/>
    <w:rsid w:val="00C80812"/>
    <w:rsid w:val="00C811E1"/>
    <w:rsid w:val="00C83585"/>
    <w:rsid w:val="00C87A0F"/>
    <w:rsid w:val="00C9038F"/>
    <w:rsid w:val="00C9163D"/>
    <w:rsid w:val="00C921B9"/>
    <w:rsid w:val="00C9261F"/>
    <w:rsid w:val="00C92992"/>
    <w:rsid w:val="00C931C3"/>
    <w:rsid w:val="00C93A1E"/>
    <w:rsid w:val="00C979A6"/>
    <w:rsid w:val="00CA10E9"/>
    <w:rsid w:val="00CA178E"/>
    <w:rsid w:val="00CA3431"/>
    <w:rsid w:val="00CA4130"/>
    <w:rsid w:val="00CA4CC3"/>
    <w:rsid w:val="00CA5931"/>
    <w:rsid w:val="00CA593E"/>
    <w:rsid w:val="00CA6378"/>
    <w:rsid w:val="00CA79E2"/>
    <w:rsid w:val="00CB1775"/>
    <w:rsid w:val="00CB2089"/>
    <w:rsid w:val="00CB3D88"/>
    <w:rsid w:val="00CB4B19"/>
    <w:rsid w:val="00CB4CE1"/>
    <w:rsid w:val="00CC1FFA"/>
    <w:rsid w:val="00CC3015"/>
    <w:rsid w:val="00CC491B"/>
    <w:rsid w:val="00CC506C"/>
    <w:rsid w:val="00CC7D14"/>
    <w:rsid w:val="00CC7D49"/>
    <w:rsid w:val="00CD1256"/>
    <w:rsid w:val="00CD20A3"/>
    <w:rsid w:val="00CD4CB3"/>
    <w:rsid w:val="00CD4E57"/>
    <w:rsid w:val="00CD5A19"/>
    <w:rsid w:val="00CE1DF1"/>
    <w:rsid w:val="00CE1E0F"/>
    <w:rsid w:val="00CE4118"/>
    <w:rsid w:val="00CE460D"/>
    <w:rsid w:val="00CE483A"/>
    <w:rsid w:val="00CE60F2"/>
    <w:rsid w:val="00CE71B1"/>
    <w:rsid w:val="00CE7FFC"/>
    <w:rsid w:val="00CF0A87"/>
    <w:rsid w:val="00CF1F06"/>
    <w:rsid w:val="00CF2C82"/>
    <w:rsid w:val="00CF32FE"/>
    <w:rsid w:val="00CF6FDC"/>
    <w:rsid w:val="00CF7BAD"/>
    <w:rsid w:val="00D01687"/>
    <w:rsid w:val="00D05700"/>
    <w:rsid w:val="00D05714"/>
    <w:rsid w:val="00D06519"/>
    <w:rsid w:val="00D07A55"/>
    <w:rsid w:val="00D13097"/>
    <w:rsid w:val="00D13457"/>
    <w:rsid w:val="00D1512A"/>
    <w:rsid w:val="00D15CFC"/>
    <w:rsid w:val="00D169AC"/>
    <w:rsid w:val="00D20188"/>
    <w:rsid w:val="00D216DE"/>
    <w:rsid w:val="00D2754D"/>
    <w:rsid w:val="00D32065"/>
    <w:rsid w:val="00D33563"/>
    <w:rsid w:val="00D353CC"/>
    <w:rsid w:val="00D36725"/>
    <w:rsid w:val="00D36D8C"/>
    <w:rsid w:val="00D40DEC"/>
    <w:rsid w:val="00D4106A"/>
    <w:rsid w:val="00D4594F"/>
    <w:rsid w:val="00D4775A"/>
    <w:rsid w:val="00D5005D"/>
    <w:rsid w:val="00D547CE"/>
    <w:rsid w:val="00D54E7A"/>
    <w:rsid w:val="00D55EB5"/>
    <w:rsid w:val="00D56B16"/>
    <w:rsid w:val="00D60851"/>
    <w:rsid w:val="00D60B58"/>
    <w:rsid w:val="00D62E95"/>
    <w:rsid w:val="00D630FC"/>
    <w:rsid w:val="00D63336"/>
    <w:rsid w:val="00D63D3D"/>
    <w:rsid w:val="00D66875"/>
    <w:rsid w:val="00D67365"/>
    <w:rsid w:val="00D67C7F"/>
    <w:rsid w:val="00D717B0"/>
    <w:rsid w:val="00D7563F"/>
    <w:rsid w:val="00D75737"/>
    <w:rsid w:val="00D75F32"/>
    <w:rsid w:val="00D7645E"/>
    <w:rsid w:val="00D77ADF"/>
    <w:rsid w:val="00D77D4E"/>
    <w:rsid w:val="00D83069"/>
    <w:rsid w:val="00D84C33"/>
    <w:rsid w:val="00D867B1"/>
    <w:rsid w:val="00D878AE"/>
    <w:rsid w:val="00D87AC7"/>
    <w:rsid w:val="00D91BE1"/>
    <w:rsid w:val="00D93773"/>
    <w:rsid w:val="00D9386E"/>
    <w:rsid w:val="00D95BCA"/>
    <w:rsid w:val="00D95DF6"/>
    <w:rsid w:val="00D971D4"/>
    <w:rsid w:val="00DA205C"/>
    <w:rsid w:val="00DA3068"/>
    <w:rsid w:val="00DA72C7"/>
    <w:rsid w:val="00DB09A3"/>
    <w:rsid w:val="00DB3A06"/>
    <w:rsid w:val="00DB43C9"/>
    <w:rsid w:val="00DB5F22"/>
    <w:rsid w:val="00DB621E"/>
    <w:rsid w:val="00DC3037"/>
    <w:rsid w:val="00DC3E8C"/>
    <w:rsid w:val="00DC528A"/>
    <w:rsid w:val="00DD35DF"/>
    <w:rsid w:val="00DD3B39"/>
    <w:rsid w:val="00DD49C5"/>
    <w:rsid w:val="00DD4F91"/>
    <w:rsid w:val="00DD51CF"/>
    <w:rsid w:val="00DE117A"/>
    <w:rsid w:val="00DE27B1"/>
    <w:rsid w:val="00DE620D"/>
    <w:rsid w:val="00DF4C2C"/>
    <w:rsid w:val="00DF55BD"/>
    <w:rsid w:val="00DF7128"/>
    <w:rsid w:val="00E0507D"/>
    <w:rsid w:val="00E0553F"/>
    <w:rsid w:val="00E069A2"/>
    <w:rsid w:val="00E06F88"/>
    <w:rsid w:val="00E119B7"/>
    <w:rsid w:val="00E12051"/>
    <w:rsid w:val="00E13934"/>
    <w:rsid w:val="00E13E96"/>
    <w:rsid w:val="00E1569E"/>
    <w:rsid w:val="00E164F9"/>
    <w:rsid w:val="00E2007A"/>
    <w:rsid w:val="00E251A5"/>
    <w:rsid w:val="00E25F60"/>
    <w:rsid w:val="00E33430"/>
    <w:rsid w:val="00E35584"/>
    <w:rsid w:val="00E359D1"/>
    <w:rsid w:val="00E36FF0"/>
    <w:rsid w:val="00E40ACA"/>
    <w:rsid w:val="00E40E77"/>
    <w:rsid w:val="00E42A89"/>
    <w:rsid w:val="00E47A8F"/>
    <w:rsid w:val="00E5192A"/>
    <w:rsid w:val="00E52C88"/>
    <w:rsid w:val="00E5530D"/>
    <w:rsid w:val="00E57389"/>
    <w:rsid w:val="00E62299"/>
    <w:rsid w:val="00E64F50"/>
    <w:rsid w:val="00E72012"/>
    <w:rsid w:val="00E739EC"/>
    <w:rsid w:val="00E74B72"/>
    <w:rsid w:val="00E759F1"/>
    <w:rsid w:val="00E75A89"/>
    <w:rsid w:val="00E777E1"/>
    <w:rsid w:val="00E80BE1"/>
    <w:rsid w:val="00E8597A"/>
    <w:rsid w:val="00E85DC6"/>
    <w:rsid w:val="00E8668E"/>
    <w:rsid w:val="00E867A7"/>
    <w:rsid w:val="00E9203E"/>
    <w:rsid w:val="00E92430"/>
    <w:rsid w:val="00E92830"/>
    <w:rsid w:val="00E964AA"/>
    <w:rsid w:val="00E9664A"/>
    <w:rsid w:val="00E96804"/>
    <w:rsid w:val="00E97FFC"/>
    <w:rsid w:val="00EA4BD8"/>
    <w:rsid w:val="00EA53B2"/>
    <w:rsid w:val="00EA6421"/>
    <w:rsid w:val="00EA7F5C"/>
    <w:rsid w:val="00EB0AA9"/>
    <w:rsid w:val="00EB1471"/>
    <w:rsid w:val="00EB1F4A"/>
    <w:rsid w:val="00EB6CA2"/>
    <w:rsid w:val="00EC2964"/>
    <w:rsid w:val="00EC4A63"/>
    <w:rsid w:val="00EC58F1"/>
    <w:rsid w:val="00EC6AE7"/>
    <w:rsid w:val="00EC6F0B"/>
    <w:rsid w:val="00EC7651"/>
    <w:rsid w:val="00ED190B"/>
    <w:rsid w:val="00ED1C05"/>
    <w:rsid w:val="00ED2158"/>
    <w:rsid w:val="00ED3B17"/>
    <w:rsid w:val="00ED3BEC"/>
    <w:rsid w:val="00ED41AE"/>
    <w:rsid w:val="00ED4B2F"/>
    <w:rsid w:val="00ED4DC5"/>
    <w:rsid w:val="00EE0251"/>
    <w:rsid w:val="00EE08CB"/>
    <w:rsid w:val="00EE0B05"/>
    <w:rsid w:val="00EE2DFF"/>
    <w:rsid w:val="00EE4CF1"/>
    <w:rsid w:val="00EE5D2A"/>
    <w:rsid w:val="00EF2EE8"/>
    <w:rsid w:val="00EF3200"/>
    <w:rsid w:val="00EF39AF"/>
    <w:rsid w:val="00EF3F33"/>
    <w:rsid w:val="00EF6B61"/>
    <w:rsid w:val="00F04015"/>
    <w:rsid w:val="00F047A0"/>
    <w:rsid w:val="00F04DCC"/>
    <w:rsid w:val="00F07E5A"/>
    <w:rsid w:val="00F1112B"/>
    <w:rsid w:val="00F1132B"/>
    <w:rsid w:val="00F11424"/>
    <w:rsid w:val="00F11618"/>
    <w:rsid w:val="00F14275"/>
    <w:rsid w:val="00F1470D"/>
    <w:rsid w:val="00F15B2E"/>
    <w:rsid w:val="00F15B78"/>
    <w:rsid w:val="00F16B8E"/>
    <w:rsid w:val="00F1782C"/>
    <w:rsid w:val="00F22830"/>
    <w:rsid w:val="00F2517F"/>
    <w:rsid w:val="00F26164"/>
    <w:rsid w:val="00F26635"/>
    <w:rsid w:val="00F275DD"/>
    <w:rsid w:val="00F27F6B"/>
    <w:rsid w:val="00F31789"/>
    <w:rsid w:val="00F42F32"/>
    <w:rsid w:val="00F43659"/>
    <w:rsid w:val="00F4554A"/>
    <w:rsid w:val="00F45CE1"/>
    <w:rsid w:val="00F47F2B"/>
    <w:rsid w:val="00F50C30"/>
    <w:rsid w:val="00F52D69"/>
    <w:rsid w:val="00F5330E"/>
    <w:rsid w:val="00F5371D"/>
    <w:rsid w:val="00F53AE1"/>
    <w:rsid w:val="00F53D51"/>
    <w:rsid w:val="00F53DF3"/>
    <w:rsid w:val="00F54FF0"/>
    <w:rsid w:val="00F55B24"/>
    <w:rsid w:val="00F56C8A"/>
    <w:rsid w:val="00F64FE4"/>
    <w:rsid w:val="00F6668E"/>
    <w:rsid w:val="00F66A34"/>
    <w:rsid w:val="00F67501"/>
    <w:rsid w:val="00F678BC"/>
    <w:rsid w:val="00F72658"/>
    <w:rsid w:val="00F72ECC"/>
    <w:rsid w:val="00F744E5"/>
    <w:rsid w:val="00F74ADD"/>
    <w:rsid w:val="00F750B7"/>
    <w:rsid w:val="00F7645A"/>
    <w:rsid w:val="00F77489"/>
    <w:rsid w:val="00F80807"/>
    <w:rsid w:val="00F80B84"/>
    <w:rsid w:val="00F8343A"/>
    <w:rsid w:val="00F848E7"/>
    <w:rsid w:val="00F84B57"/>
    <w:rsid w:val="00F913D0"/>
    <w:rsid w:val="00F913E2"/>
    <w:rsid w:val="00F91810"/>
    <w:rsid w:val="00F933BC"/>
    <w:rsid w:val="00F93452"/>
    <w:rsid w:val="00F93585"/>
    <w:rsid w:val="00F93EE9"/>
    <w:rsid w:val="00F9463B"/>
    <w:rsid w:val="00F94818"/>
    <w:rsid w:val="00F94F6C"/>
    <w:rsid w:val="00F962D1"/>
    <w:rsid w:val="00F97743"/>
    <w:rsid w:val="00FA64E7"/>
    <w:rsid w:val="00FA6B2D"/>
    <w:rsid w:val="00FA6EF4"/>
    <w:rsid w:val="00FA7CF1"/>
    <w:rsid w:val="00FB2D58"/>
    <w:rsid w:val="00FB2DC6"/>
    <w:rsid w:val="00FB52A6"/>
    <w:rsid w:val="00FB7214"/>
    <w:rsid w:val="00FC1BBA"/>
    <w:rsid w:val="00FC3340"/>
    <w:rsid w:val="00FC5D67"/>
    <w:rsid w:val="00FC6148"/>
    <w:rsid w:val="00FD039B"/>
    <w:rsid w:val="00FD1941"/>
    <w:rsid w:val="00FD4EBD"/>
    <w:rsid w:val="00FD584E"/>
    <w:rsid w:val="00FD7951"/>
    <w:rsid w:val="00FE1666"/>
    <w:rsid w:val="00FE187C"/>
    <w:rsid w:val="00FE6A55"/>
    <w:rsid w:val="00FE6DF1"/>
    <w:rsid w:val="00FF03D2"/>
    <w:rsid w:val="00FF16E5"/>
    <w:rsid w:val="00FF1CC0"/>
    <w:rsid w:val="00FF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7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s>
</file>

<file path=word/webSettings.xml><?xml version="1.0" encoding="utf-8"?>
<w:webSettings xmlns:r="http://schemas.openxmlformats.org/officeDocument/2006/relationships" xmlns:w="http://schemas.openxmlformats.org/wordprocessingml/2006/main">
  <w:divs>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lbi.nih.gov/guidelines/asthma/index.htm" TargetMode="External"/><Relationship Id="rId13" Type="http://schemas.openxmlformats.org/officeDocument/2006/relationships/hyperlink" Target="http://www.cdc.gov/nchs/data/ad/ad393.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nchs/data/series/sr_13/sr13_16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data/nhsr/nhsr00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dc.gov/nchs/data/databriefs/db4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A160-7F74-4B96-B27F-294D8C42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27</Pages>
  <Words>10881</Words>
  <Characters>62024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NCHS</Company>
  <LinksUpToDate>false</LinksUpToDate>
  <CharactersWithSpaces>72760</CharactersWithSpaces>
  <SharedDoc>false</SharedDoc>
  <HLinks>
    <vt:vector size="36" baseType="variant">
      <vt:variant>
        <vt:i4>4849664</vt:i4>
      </vt:variant>
      <vt:variant>
        <vt:i4>15</vt:i4>
      </vt:variant>
      <vt:variant>
        <vt:i4>0</vt:i4>
      </vt:variant>
      <vt:variant>
        <vt:i4>5</vt:i4>
      </vt:variant>
      <vt:variant>
        <vt:lpwstr>http://www.cdc.gov/nchs/data/ad/ad393.pdf</vt:lpwstr>
      </vt:variant>
      <vt:variant>
        <vt:lpwstr/>
      </vt:variant>
      <vt:variant>
        <vt:i4>6553716</vt:i4>
      </vt:variant>
      <vt:variant>
        <vt:i4>12</vt:i4>
      </vt:variant>
      <vt:variant>
        <vt:i4>0</vt:i4>
      </vt:variant>
      <vt:variant>
        <vt:i4>5</vt:i4>
      </vt:variant>
      <vt:variant>
        <vt:lpwstr>http://www.cdc.gov/nchs/data/series/sr_13/sr13_166.pdf</vt:lpwstr>
      </vt:variant>
      <vt:variant>
        <vt:lpwstr/>
      </vt:variant>
      <vt:variant>
        <vt:i4>4259850</vt:i4>
      </vt:variant>
      <vt:variant>
        <vt:i4>9</vt:i4>
      </vt:variant>
      <vt:variant>
        <vt:i4>0</vt:i4>
      </vt:variant>
      <vt:variant>
        <vt:i4>5</vt:i4>
      </vt:variant>
      <vt:variant>
        <vt:lpwstr>http://www.cdc.gov/nchs/data/nhsr/nhsr008.pdf</vt:lpwstr>
      </vt:variant>
      <vt:variant>
        <vt:lpwstr/>
      </vt: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Donald Cherry</dc:creator>
  <cp:keywords/>
  <dc:description/>
  <cp:lastModifiedBy>zgl7</cp:lastModifiedBy>
  <cp:revision>244</cp:revision>
  <cp:lastPrinted>2011-01-21T20:24:00Z</cp:lastPrinted>
  <dcterms:created xsi:type="dcterms:W3CDTF">2010-12-01T14:10:00Z</dcterms:created>
  <dcterms:modified xsi:type="dcterms:W3CDTF">2011-01-21T20:42:00Z</dcterms:modified>
</cp:coreProperties>
</file>