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E8" w:rsidRPr="00EC74C2" w:rsidRDefault="007111E8" w:rsidP="00635F01">
      <w:pPr>
        <w:pStyle w:val="Header1"/>
        <w:rPr>
          <w:b/>
        </w:rPr>
      </w:pPr>
      <w:r w:rsidRPr="00EC74C2">
        <w:rPr>
          <w:b/>
        </w:rPr>
        <w:t xml:space="preserve">Supporting Statement for the </w:t>
      </w:r>
    </w:p>
    <w:p w:rsidR="007111E8" w:rsidRPr="00EC74C2" w:rsidRDefault="00A428AB" w:rsidP="00635F01">
      <w:pPr>
        <w:pStyle w:val="Header1"/>
        <w:rPr>
          <w:b/>
        </w:rPr>
      </w:pPr>
      <w:r w:rsidRPr="00EC74C2">
        <w:rPr>
          <w:b/>
        </w:rPr>
        <w:t xml:space="preserve">Advance Beneficiary Notice </w:t>
      </w:r>
      <w:r w:rsidR="00CE41EB" w:rsidRPr="00EC74C2">
        <w:rPr>
          <w:b/>
        </w:rPr>
        <w:t xml:space="preserve">of </w:t>
      </w:r>
      <w:proofErr w:type="spellStart"/>
      <w:r w:rsidR="00CE41EB" w:rsidRPr="00EC74C2">
        <w:rPr>
          <w:rFonts w:ascii="AvantGarde" w:hAnsi="AvantGarde"/>
          <w:b/>
        </w:rPr>
        <w:t>Noncoverage</w:t>
      </w:r>
      <w:proofErr w:type="spellEnd"/>
      <w:r w:rsidR="00CE41EB" w:rsidRPr="00EC74C2">
        <w:rPr>
          <w:b/>
        </w:rPr>
        <w:t xml:space="preserve"> </w:t>
      </w:r>
      <w:r w:rsidRPr="00EC74C2">
        <w:rPr>
          <w:b/>
        </w:rPr>
        <w:t>(ABN)</w:t>
      </w:r>
    </w:p>
    <w:p w:rsidR="007111E8" w:rsidRPr="00C363BA" w:rsidRDefault="00B632E9" w:rsidP="00635F01">
      <w:pPr>
        <w:pStyle w:val="Header1"/>
      </w:pPr>
      <w:proofErr w:type="gramStart"/>
      <w:r>
        <w:rPr>
          <w:b/>
        </w:rPr>
        <w:t>c</w:t>
      </w:r>
      <w:r w:rsidR="00665103" w:rsidRPr="00EC74C2">
        <w:rPr>
          <w:b/>
        </w:rPr>
        <w:t>ontained</w:t>
      </w:r>
      <w:proofErr w:type="gramEnd"/>
      <w:r w:rsidR="00665103" w:rsidRPr="00EC74C2">
        <w:rPr>
          <w:b/>
        </w:rPr>
        <w:t xml:space="preserve"> in 42 CFR</w:t>
      </w:r>
      <w:r w:rsidR="00CB3F9D" w:rsidRPr="00EC74C2">
        <w:rPr>
          <w:b/>
        </w:rPr>
        <w:t xml:space="preserve"> </w:t>
      </w:r>
      <w:r w:rsidR="00665103" w:rsidRPr="00EC74C2">
        <w:rPr>
          <w:b/>
        </w:rPr>
        <w:t>§</w:t>
      </w:r>
      <w:r w:rsidR="00D525E1" w:rsidRPr="00EC74C2">
        <w:rPr>
          <w:b/>
        </w:rPr>
        <w:t>4</w:t>
      </w:r>
      <w:r w:rsidR="00A428AB" w:rsidRPr="00EC74C2">
        <w:rPr>
          <w:b/>
        </w:rPr>
        <w:t>11</w:t>
      </w:r>
      <w:r w:rsidR="00CB3F9D" w:rsidRPr="00EC74C2">
        <w:rPr>
          <w:b/>
        </w:rPr>
        <w:t>.</w:t>
      </w:r>
      <w:r w:rsidR="00A428AB" w:rsidRPr="00EC74C2">
        <w:rPr>
          <w:b/>
        </w:rPr>
        <w:t>404</w:t>
      </w:r>
      <w:r w:rsidR="00CB3F9D" w:rsidRPr="00EC74C2">
        <w:rPr>
          <w:b/>
        </w:rPr>
        <w:t xml:space="preserve"> </w:t>
      </w:r>
      <w:r w:rsidR="003E0EE2" w:rsidRPr="00EC74C2">
        <w:rPr>
          <w:b/>
        </w:rPr>
        <w:t xml:space="preserve">and </w:t>
      </w:r>
      <w:r w:rsidR="00CB3F9D" w:rsidRPr="00EC74C2">
        <w:rPr>
          <w:b/>
        </w:rPr>
        <w:t>§4</w:t>
      </w:r>
      <w:r w:rsidR="00A428AB" w:rsidRPr="00EC74C2">
        <w:rPr>
          <w:b/>
        </w:rPr>
        <w:t>11.408</w:t>
      </w:r>
      <w:r w:rsidR="007111E8" w:rsidRPr="00C363BA">
        <w:t xml:space="preserve"> </w:t>
      </w:r>
    </w:p>
    <w:p w:rsidR="007111E8" w:rsidRPr="00C363BA" w:rsidRDefault="007111E8">
      <w:pPr>
        <w:rPr>
          <w:rFonts w:ascii="Century Gothic" w:hAnsi="Century Gothic" w:cs="Arial"/>
          <w:u w:val="single"/>
        </w:rPr>
      </w:pPr>
    </w:p>
    <w:p w:rsidR="007111E8" w:rsidRPr="00DD1060" w:rsidRDefault="00635F01" w:rsidP="00635F01">
      <w:pPr>
        <w:pStyle w:val="Header2"/>
        <w:rPr>
          <w:b/>
          <w:u w:val="none"/>
        </w:rPr>
      </w:pPr>
      <w:r w:rsidRPr="00DD1060">
        <w:rPr>
          <w:b/>
          <w:u w:val="none"/>
        </w:rPr>
        <w:t>Introduction</w:t>
      </w:r>
    </w:p>
    <w:p w:rsidR="007111E8" w:rsidRPr="00E84BB9" w:rsidRDefault="007111E8" w:rsidP="00635F01">
      <w:pPr>
        <w:pStyle w:val="Body1"/>
        <w:rPr>
          <w:u w:val="none"/>
        </w:rPr>
      </w:pPr>
    </w:p>
    <w:p w:rsidR="00FD3C52" w:rsidRPr="00E84BB9" w:rsidRDefault="00CE41EB" w:rsidP="00635F01">
      <w:pPr>
        <w:pStyle w:val="Body1"/>
        <w:rPr>
          <w:u w:val="none"/>
        </w:rPr>
      </w:pPr>
      <w:proofErr w:type="gramStart"/>
      <w:r w:rsidRPr="00E84BB9">
        <w:rPr>
          <w:u w:val="none"/>
        </w:rPr>
        <w:t>The Centers for Medicare and Medicaid Services (CMS) requests a</w:t>
      </w:r>
      <w:r w:rsidR="00F955E9" w:rsidRPr="00E84BB9">
        <w:rPr>
          <w:u w:val="none"/>
        </w:rPr>
        <w:t>n extension</w:t>
      </w:r>
      <w:r w:rsidR="00797E0E" w:rsidRPr="00E84BB9">
        <w:rPr>
          <w:u w:val="none"/>
        </w:rPr>
        <w:t xml:space="preserve"> </w:t>
      </w:r>
      <w:r w:rsidRPr="00E84BB9">
        <w:rPr>
          <w:u w:val="none"/>
        </w:rPr>
        <w:t xml:space="preserve">of a previously approved Office and Management and Budget (OMB) notice, the Advance Beneficiary Notice </w:t>
      </w:r>
      <w:r w:rsidR="00797E0E" w:rsidRPr="00E84BB9">
        <w:rPr>
          <w:u w:val="none"/>
        </w:rPr>
        <w:t xml:space="preserve">of </w:t>
      </w:r>
      <w:proofErr w:type="spellStart"/>
      <w:r w:rsidR="00797E0E" w:rsidRPr="00E84BB9">
        <w:rPr>
          <w:u w:val="none"/>
        </w:rPr>
        <w:t>Noncoverage</w:t>
      </w:r>
      <w:proofErr w:type="spellEnd"/>
      <w:r w:rsidR="00797E0E" w:rsidRPr="00E84BB9">
        <w:rPr>
          <w:u w:val="none"/>
        </w:rPr>
        <w:t xml:space="preserve"> </w:t>
      </w:r>
      <w:r w:rsidRPr="00E84BB9">
        <w:rPr>
          <w:u w:val="none"/>
        </w:rPr>
        <w:t>(ABN)</w:t>
      </w:r>
      <w:r w:rsidR="00797E0E" w:rsidRPr="00E84BB9">
        <w:rPr>
          <w:u w:val="none"/>
        </w:rPr>
        <w:t>, Form CMS-R-131</w:t>
      </w:r>
      <w:r w:rsidRPr="00E84BB9">
        <w:rPr>
          <w:u w:val="none"/>
        </w:rPr>
        <w:t>.</w:t>
      </w:r>
      <w:proofErr w:type="gramEnd"/>
      <w:r w:rsidR="00FD3C52" w:rsidRPr="00E84BB9">
        <w:rPr>
          <w:u w:val="none"/>
        </w:rPr>
        <w:t xml:space="preserve">  </w:t>
      </w:r>
      <w:r w:rsidR="00CC214F" w:rsidRPr="00E84BB9">
        <w:rPr>
          <w:u w:val="none"/>
        </w:rPr>
        <w:t xml:space="preserve">OMB approval for the ABN expires on February 28, 2011. </w:t>
      </w:r>
    </w:p>
    <w:p w:rsidR="007111E8" w:rsidRDefault="007111E8" w:rsidP="00BF50D3">
      <w:pPr>
        <w:rPr>
          <w:rFonts w:ascii="Century Gothic" w:hAnsi="Century Gothic" w:cs="Arial"/>
        </w:rPr>
      </w:pPr>
    </w:p>
    <w:p w:rsidR="007D42AE" w:rsidRPr="00C363BA" w:rsidRDefault="007D42AE" w:rsidP="00BF50D3">
      <w:pPr>
        <w:rPr>
          <w:rFonts w:ascii="Century Gothic" w:hAnsi="Century Gothic" w:cs="Arial"/>
        </w:rPr>
      </w:pPr>
    </w:p>
    <w:p w:rsidR="007111E8" w:rsidRPr="00DD1060" w:rsidRDefault="00635F01" w:rsidP="007D42AE">
      <w:pPr>
        <w:pStyle w:val="Header3"/>
        <w:numPr>
          <w:ilvl w:val="0"/>
          <w:numId w:val="15"/>
        </w:numPr>
        <w:ind w:left="720" w:hanging="720"/>
        <w:rPr>
          <w:b/>
        </w:rPr>
      </w:pPr>
      <w:r w:rsidRPr="00DD1060">
        <w:rPr>
          <w:b/>
        </w:rPr>
        <w:t>Background</w:t>
      </w:r>
    </w:p>
    <w:p w:rsidR="007111E8" w:rsidRPr="00C363BA" w:rsidRDefault="007111E8" w:rsidP="00BF50D3">
      <w:pPr>
        <w:rPr>
          <w:rFonts w:ascii="Century Gothic" w:hAnsi="Century Gothic" w:cs="Arial"/>
        </w:rPr>
      </w:pPr>
    </w:p>
    <w:p w:rsidR="00456FCB" w:rsidRPr="00C363BA" w:rsidRDefault="00456FCB" w:rsidP="00635F01">
      <w:pPr>
        <w:pStyle w:val="Body2"/>
      </w:pPr>
      <w:r w:rsidRPr="00C363BA">
        <w:t xml:space="preserve">The use of written notices to inform </w:t>
      </w:r>
      <w:r w:rsidR="00083AB8">
        <w:t xml:space="preserve">Medicare </w:t>
      </w:r>
      <w:r w:rsidRPr="00C363BA">
        <w:t>beneficiaries of their liability under specific conditions has been available since</w:t>
      </w:r>
      <w:r w:rsidR="00747081" w:rsidRPr="00C363BA">
        <w:t xml:space="preserve"> the “limitation on liability” provisions in section 1879 of the Social Security Act</w:t>
      </w:r>
      <w:r w:rsidR="00083AB8">
        <w:t xml:space="preserve"> (the Act)</w:t>
      </w:r>
      <w:r w:rsidR="00747081" w:rsidRPr="00C363BA">
        <w:t xml:space="preserve"> were</w:t>
      </w:r>
      <w:r w:rsidRPr="00C363BA">
        <w:t xml:space="preserve"> enacted in 1972 (P.L. 92-603).  The standard </w:t>
      </w:r>
      <w:r w:rsidR="00747081" w:rsidRPr="00C363BA">
        <w:t>notice for conveying information on beneficiary liability</w:t>
      </w:r>
      <w:r w:rsidR="00797E0E">
        <w:t xml:space="preserve"> </w:t>
      </w:r>
      <w:r w:rsidR="00F847A6">
        <w:t>is the</w:t>
      </w:r>
      <w:r w:rsidR="002F3EA7">
        <w:t xml:space="preserve"> Advanced Beneficiary Notice of </w:t>
      </w:r>
      <w:proofErr w:type="spellStart"/>
      <w:r w:rsidR="002F3EA7">
        <w:t>Noncoverage</w:t>
      </w:r>
      <w:proofErr w:type="spellEnd"/>
      <w:r w:rsidR="002F3EA7">
        <w:t xml:space="preserve"> (ABN)</w:t>
      </w:r>
      <w:r w:rsidR="00797E0E">
        <w:t xml:space="preserve"> and </w:t>
      </w:r>
      <w:r w:rsidR="00083AB8">
        <w:t>has been</w:t>
      </w:r>
      <w:r w:rsidR="002F3EA7">
        <w:t xml:space="preserve"> </w:t>
      </w:r>
      <w:r w:rsidR="00747081" w:rsidRPr="00C363BA">
        <w:t xml:space="preserve">approved by </w:t>
      </w:r>
      <w:r w:rsidRPr="00C363BA">
        <w:t>OMB</w:t>
      </w:r>
      <w:r w:rsidR="00083AB8">
        <w:t xml:space="preserve"> (collection 0938-0566)</w:t>
      </w:r>
      <w:r w:rsidR="00747081" w:rsidRPr="00C363BA">
        <w:t xml:space="preserve">, consistent with the </w:t>
      </w:r>
      <w:r w:rsidRPr="00C363BA">
        <w:t xml:space="preserve">Paperwork Reduction Act of 1995 (PRA).  </w:t>
      </w:r>
    </w:p>
    <w:p w:rsidR="00747081" w:rsidRPr="00C363BA" w:rsidRDefault="00F847A6" w:rsidP="00635F01">
      <w:pPr>
        <w:pStyle w:val="Body2"/>
      </w:pPr>
      <w:r>
        <w:t xml:space="preserve">The currently approved </w:t>
      </w:r>
      <w:r w:rsidR="00747081" w:rsidRPr="00C363BA">
        <w:t>ABN</w:t>
      </w:r>
      <w:r>
        <w:t xml:space="preserve"> was revised in 2008 to </w:t>
      </w:r>
      <w:r w:rsidR="00747081" w:rsidRPr="00C363BA">
        <w:t xml:space="preserve">include: suggestions for changes made by users of the ABN and by beneficiary advocates based on experience with the </w:t>
      </w:r>
      <w:r w:rsidR="002F3EA7">
        <w:t>former notice</w:t>
      </w:r>
      <w:r w:rsidR="00E62631">
        <w:t>s</w:t>
      </w:r>
      <w:r w:rsidR="00E84BB9">
        <w:t>;</w:t>
      </w:r>
      <w:r w:rsidR="00747081" w:rsidRPr="00C363BA">
        <w:t xml:space="preserve"> refinements made to similar liability notices in the same period through consumer testing and other means</w:t>
      </w:r>
      <w:r w:rsidR="00E84BB9">
        <w:t>;</w:t>
      </w:r>
      <w:r w:rsidR="00747081" w:rsidRPr="00C363BA">
        <w:t xml:space="preserve"> as well as related Medicare policy changes and clarifications occurring in the same interval. </w:t>
      </w:r>
      <w:r w:rsidR="002F3EA7">
        <w:t>A</w:t>
      </w:r>
      <w:r w:rsidR="00747081" w:rsidRPr="00C363BA">
        <w:t xml:space="preserve">dditional changes </w:t>
      </w:r>
      <w:r w:rsidR="00083AB8">
        <w:t xml:space="preserve">were made </w:t>
      </w:r>
      <w:r w:rsidR="00747081" w:rsidRPr="00C363BA">
        <w:t>based on suggestions received during the public comment period</w:t>
      </w:r>
      <w:r w:rsidR="00083AB8">
        <w:t xml:space="preserve">. </w:t>
      </w:r>
    </w:p>
    <w:p w:rsidR="00DD1060" w:rsidRDefault="00DD1060" w:rsidP="00635F01">
      <w:pPr>
        <w:pStyle w:val="Body2"/>
      </w:pPr>
    </w:p>
    <w:p w:rsidR="00456FCB" w:rsidRPr="00C363BA" w:rsidRDefault="002F3EA7" w:rsidP="00635F01">
      <w:pPr>
        <w:pStyle w:val="Body2"/>
      </w:pPr>
      <w:r>
        <w:t xml:space="preserve">Prior to this revision, </w:t>
      </w:r>
      <w:r w:rsidR="00456FCB" w:rsidRPr="00C363BA">
        <w:t xml:space="preserve">PRA approval </w:t>
      </w:r>
      <w:r w:rsidR="00CE41EB" w:rsidRPr="00C363BA">
        <w:t xml:space="preserve">for </w:t>
      </w:r>
      <w:r w:rsidR="00083AB8">
        <w:t>c</w:t>
      </w:r>
      <w:r w:rsidR="00CE41EB" w:rsidRPr="00C363BA">
        <w:t>ollection 0938-</w:t>
      </w:r>
      <w:r w:rsidR="00EF27DD" w:rsidRPr="00C363BA">
        <w:t>0</w:t>
      </w:r>
      <w:r w:rsidR="00CE41EB" w:rsidRPr="00C363BA">
        <w:t xml:space="preserve">566 </w:t>
      </w:r>
      <w:r w:rsidR="00456FCB" w:rsidRPr="00C363BA">
        <w:t>was for two versions o</w:t>
      </w:r>
      <w:r w:rsidR="00B61BA5">
        <w:t>f the ABN, the General Use ABN (F</w:t>
      </w:r>
      <w:r w:rsidR="00456FCB" w:rsidRPr="00C363BA">
        <w:t>orm CMS-R-131-G</w:t>
      </w:r>
      <w:r w:rsidR="00B61BA5">
        <w:t xml:space="preserve">) </w:t>
      </w:r>
      <w:r w:rsidR="00456FCB" w:rsidRPr="00C363BA">
        <w:t xml:space="preserve">and </w:t>
      </w:r>
      <w:r w:rsidR="00E718E9">
        <w:t xml:space="preserve">an ABN </w:t>
      </w:r>
      <w:r w:rsidR="00456FCB" w:rsidRPr="00C363BA">
        <w:t>specifically for physician-ordered laboratory tests</w:t>
      </w:r>
      <w:r w:rsidR="00E718E9">
        <w:t xml:space="preserve"> (Form CMS-R-131-L)</w:t>
      </w:r>
      <w:r w:rsidR="00456FCB" w:rsidRPr="00C363BA">
        <w:t xml:space="preserve">.  </w:t>
      </w:r>
      <w:r w:rsidR="00083AB8">
        <w:t>In 2008, t</w:t>
      </w:r>
      <w:r w:rsidR="00456FCB" w:rsidRPr="00C363BA">
        <w:t xml:space="preserve">hese </w:t>
      </w:r>
      <w:r w:rsidR="00CE41EB" w:rsidRPr="00C363BA">
        <w:t>tw</w:t>
      </w:r>
      <w:r w:rsidR="008A1816" w:rsidRPr="00C363BA">
        <w:t>o</w:t>
      </w:r>
      <w:r w:rsidR="00CE41EB" w:rsidRPr="00C363BA">
        <w:t xml:space="preserve"> notices </w:t>
      </w:r>
      <w:r w:rsidR="00083AB8">
        <w:t xml:space="preserve">were </w:t>
      </w:r>
      <w:r w:rsidR="00CE41EB" w:rsidRPr="00C363BA">
        <w:t>combined into a single notice</w:t>
      </w:r>
      <w:r>
        <w:t xml:space="preserve"> </w:t>
      </w:r>
      <w:r w:rsidR="00E718E9">
        <w:t xml:space="preserve">with an identical OMB number </w:t>
      </w:r>
      <w:r>
        <w:t>which is the currently approved ABN</w:t>
      </w:r>
      <w:r w:rsidR="00F35237" w:rsidRPr="00C363BA">
        <w:t xml:space="preserve">.  </w:t>
      </w:r>
      <w:r>
        <w:t>T</w:t>
      </w:r>
      <w:r w:rsidR="00F35237" w:rsidRPr="00C363BA">
        <w:t xml:space="preserve">he </w:t>
      </w:r>
      <w:r>
        <w:t xml:space="preserve">revised </w:t>
      </w:r>
      <w:r w:rsidR="00F35237" w:rsidRPr="00C363BA">
        <w:t xml:space="preserve">notice </w:t>
      </w:r>
      <w:r w:rsidR="00E84BB9">
        <w:t>has</w:t>
      </w:r>
      <w:r w:rsidR="00F35237" w:rsidRPr="00C363BA">
        <w:t xml:space="preserve"> enable</w:t>
      </w:r>
      <w:r>
        <w:t>d</w:t>
      </w:r>
      <w:r w:rsidR="00F35237" w:rsidRPr="00C363BA">
        <w:t xml:space="preserve"> us to capture the overall improvements incorporated into the ABN while still permitting pre-printing of key laboratory-specific information, such as the denial reasons</w:t>
      </w:r>
      <w:r w:rsidR="00F847A6">
        <w:t xml:space="preserve"> which were used in the past with the ABN-L. </w:t>
      </w:r>
    </w:p>
    <w:p w:rsidR="00456FCB" w:rsidRDefault="00456FCB" w:rsidP="00635F01">
      <w:pPr>
        <w:pStyle w:val="Body2"/>
      </w:pPr>
    </w:p>
    <w:p w:rsidR="004C3A30" w:rsidRDefault="004C3A30" w:rsidP="00635F01">
      <w:pPr>
        <w:pStyle w:val="Body2"/>
      </w:pPr>
      <w:r>
        <w:t xml:space="preserve">The ABN </w:t>
      </w:r>
      <w:r w:rsidR="00083AB8">
        <w:t>is</w:t>
      </w:r>
      <w:r>
        <w:t xml:space="preserve"> used to notify Medicare beneficiaries of liability under the following statutory provisions:</w:t>
      </w:r>
    </w:p>
    <w:p w:rsidR="004C3A30" w:rsidRPr="00C363BA" w:rsidRDefault="004C3A30" w:rsidP="00635F01">
      <w:pPr>
        <w:pStyle w:val="Bullet1"/>
        <w:numPr>
          <w:ilvl w:val="0"/>
          <w:numId w:val="0"/>
        </w:numPr>
        <w:ind w:left="720"/>
      </w:pPr>
    </w:p>
    <w:p w:rsidR="00456FCB" w:rsidRPr="00E84BB9" w:rsidRDefault="00456FCB" w:rsidP="00E84BB9">
      <w:pPr>
        <w:pStyle w:val="Bullet1"/>
        <w:rPr>
          <w:rStyle w:val="a"/>
        </w:rPr>
      </w:pPr>
      <w:r w:rsidRPr="00E84BB9">
        <w:rPr>
          <w:rStyle w:val="a"/>
        </w:rPr>
        <w:t xml:space="preserve">Section 1879 of the Act, the “limitation on liability” provision, </w:t>
      </w:r>
      <w:r w:rsidR="00CE41EB" w:rsidRPr="00E84BB9">
        <w:rPr>
          <w:rStyle w:val="a"/>
        </w:rPr>
        <w:t xml:space="preserve">is </w:t>
      </w:r>
      <w:r w:rsidRPr="00E84BB9">
        <w:rPr>
          <w:rStyle w:val="a"/>
        </w:rPr>
        <w:t>applicable to all providers, physicians, practitioners</w:t>
      </w:r>
      <w:r w:rsidR="00B632E9">
        <w:rPr>
          <w:rStyle w:val="a"/>
        </w:rPr>
        <w:t>,</w:t>
      </w:r>
      <w:r w:rsidRPr="00E84BB9">
        <w:rPr>
          <w:rStyle w:val="a"/>
        </w:rPr>
        <w:t xml:space="preserve"> and suppliers participating in the Medicare </w:t>
      </w:r>
      <w:r w:rsidR="00E718E9">
        <w:rPr>
          <w:rStyle w:val="a"/>
        </w:rPr>
        <w:t>p</w:t>
      </w:r>
      <w:r w:rsidRPr="00E84BB9">
        <w:rPr>
          <w:rStyle w:val="a"/>
        </w:rPr>
        <w:t xml:space="preserve">rogram, on an assigned or </w:t>
      </w:r>
      <w:r w:rsidRPr="00E84BB9">
        <w:rPr>
          <w:rStyle w:val="a"/>
        </w:rPr>
        <w:lastRenderedPageBreak/>
        <w:t>unassigned basis, for items or services denied under section 1862(a)(1)</w:t>
      </w:r>
      <w:r w:rsidR="00CE41EB" w:rsidRPr="00E84BB9">
        <w:rPr>
          <w:rStyle w:val="a"/>
        </w:rPr>
        <w:t>.  M</w:t>
      </w:r>
      <w:r w:rsidRPr="00E84BB9">
        <w:rPr>
          <w:rStyle w:val="a"/>
        </w:rPr>
        <w:t>ost commonly</w:t>
      </w:r>
      <w:r w:rsidR="00CE41EB" w:rsidRPr="00E84BB9">
        <w:rPr>
          <w:rStyle w:val="a"/>
        </w:rPr>
        <w:t>, these</w:t>
      </w:r>
      <w:r w:rsidRPr="00E84BB9">
        <w:rPr>
          <w:rStyle w:val="a"/>
        </w:rPr>
        <w:t xml:space="preserve"> are denials </w:t>
      </w:r>
      <w:r w:rsidR="00CE41EB" w:rsidRPr="00E84BB9">
        <w:rPr>
          <w:rStyle w:val="a"/>
        </w:rPr>
        <w:t xml:space="preserve">of items and services </w:t>
      </w:r>
      <w:r w:rsidR="00954933">
        <w:rPr>
          <w:rStyle w:val="a"/>
        </w:rPr>
        <w:t>determined</w:t>
      </w:r>
      <w:r w:rsidR="00CE41EB" w:rsidRPr="00E84BB9">
        <w:rPr>
          <w:rStyle w:val="a"/>
        </w:rPr>
        <w:t xml:space="preserve"> </w:t>
      </w:r>
      <w:r w:rsidRPr="00E84BB9">
        <w:rPr>
          <w:rStyle w:val="a"/>
        </w:rPr>
        <w:t>“not reasonable and necessary for the treatment of illness or injury or to improve the functioning of a malformed body member</w:t>
      </w:r>
      <w:r w:rsidR="002C2E22" w:rsidRPr="00E84BB9">
        <w:rPr>
          <w:rStyle w:val="a"/>
        </w:rPr>
        <w:t>,”</w:t>
      </w:r>
      <w:r w:rsidRPr="00E84BB9">
        <w:rPr>
          <w:rStyle w:val="a"/>
        </w:rPr>
        <w:t xml:space="preserve"> </w:t>
      </w:r>
      <w:r w:rsidR="00CE41EB" w:rsidRPr="00E84BB9">
        <w:rPr>
          <w:rStyle w:val="a"/>
        </w:rPr>
        <w:t xml:space="preserve">and </w:t>
      </w:r>
      <w:r w:rsidRPr="00E84BB9">
        <w:rPr>
          <w:rStyle w:val="a"/>
        </w:rPr>
        <w:t>specific denials under section 1879(g)(2)</w:t>
      </w:r>
      <w:r w:rsidR="004E0390" w:rsidRPr="00E84BB9">
        <w:rPr>
          <w:rStyle w:val="a"/>
        </w:rPr>
        <w:t>, which occur when</w:t>
      </w:r>
      <w:r w:rsidRPr="00E84BB9">
        <w:rPr>
          <w:rStyle w:val="a"/>
        </w:rPr>
        <w:t xml:space="preserve"> a hospice patient </w:t>
      </w:r>
      <w:r w:rsidR="004E0390" w:rsidRPr="00E84BB9">
        <w:rPr>
          <w:rStyle w:val="a"/>
        </w:rPr>
        <w:t>i</w:t>
      </w:r>
      <w:r w:rsidRPr="00E84BB9">
        <w:rPr>
          <w:rStyle w:val="a"/>
        </w:rPr>
        <w:t xml:space="preserve">s found not </w:t>
      </w:r>
      <w:r w:rsidR="004E0390" w:rsidRPr="00E84BB9">
        <w:rPr>
          <w:rStyle w:val="a"/>
        </w:rPr>
        <w:t xml:space="preserve">to be </w:t>
      </w:r>
      <w:r w:rsidRPr="00E84BB9">
        <w:rPr>
          <w:rStyle w:val="a"/>
        </w:rPr>
        <w:t xml:space="preserve">terminally ill; </w:t>
      </w:r>
    </w:p>
    <w:p w:rsidR="00456FCB" w:rsidRPr="00E84BB9" w:rsidRDefault="00456FCB" w:rsidP="00E84BB9">
      <w:pPr>
        <w:pStyle w:val="Bullet1"/>
        <w:numPr>
          <w:ilvl w:val="0"/>
          <w:numId w:val="0"/>
        </w:numPr>
        <w:ind w:left="720"/>
        <w:rPr>
          <w:rStyle w:val="a"/>
        </w:rPr>
      </w:pPr>
    </w:p>
    <w:p w:rsidR="00BC4871" w:rsidRPr="00E84BB9" w:rsidRDefault="00456FCB" w:rsidP="00E84BB9">
      <w:pPr>
        <w:pStyle w:val="Bullet1"/>
        <w:rPr>
          <w:rStyle w:val="a"/>
        </w:rPr>
      </w:pPr>
      <w:r w:rsidRPr="00E84BB9">
        <w:rPr>
          <w:rStyle w:val="a"/>
        </w:rPr>
        <w:t xml:space="preserve">Section 1834(a)(18) of the Act </w:t>
      </w:r>
      <w:r w:rsidR="00CE41EB" w:rsidRPr="00E84BB9">
        <w:rPr>
          <w:rStyle w:val="a"/>
        </w:rPr>
        <w:t xml:space="preserve">is </w:t>
      </w:r>
      <w:r w:rsidRPr="00E84BB9">
        <w:rPr>
          <w:rStyle w:val="a"/>
        </w:rPr>
        <w:t xml:space="preserve">applicable to suppliers of durable medical equipment </w:t>
      </w:r>
      <w:r w:rsidR="00B632E9" w:rsidRPr="00E84BB9">
        <w:rPr>
          <w:rStyle w:val="a"/>
        </w:rPr>
        <w:t xml:space="preserve">(DME) </w:t>
      </w:r>
      <w:r w:rsidRPr="00E84BB9">
        <w:rPr>
          <w:rStyle w:val="a"/>
        </w:rPr>
        <w:t>and medical supplies, for items furnished on an unassigned basis and denied with refund requirements</w:t>
      </w:r>
      <w:r w:rsidR="00BC4871" w:rsidRPr="00E84BB9">
        <w:rPr>
          <w:rStyle w:val="a"/>
        </w:rPr>
        <w:t xml:space="preserve"> under section 1834(a)(17</w:t>
      </w:r>
      <w:r w:rsidR="00AF241B">
        <w:rPr>
          <w:rStyle w:val="a"/>
        </w:rPr>
        <w:t>)</w:t>
      </w:r>
      <w:r w:rsidR="00BC4871" w:rsidRPr="00E84BB9">
        <w:rPr>
          <w:rStyle w:val="a"/>
        </w:rPr>
        <w:t>(B) due to an unsolicited telephone contact, unless: (1) a supplier informs the beneficiary, prior to furnishing the item, that Medicare is unlikely to pay for the item and the beneficiary, after being so informed, agrees to pay out of pocket (i.e., the supplier uses the ABN for advance notification)</w:t>
      </w:r>
      <w:r w:rsidR="00E158CA">
        <w:rPr>
          <w:rStyle w:val="a"/>
        </w:rPr>
        <w:t>;</w:t>
      </w:r>
      <w:r w:rsidR="00E718E9">
        <w:rPr>
          <w:rStyle w:val="a"/>
        </w:rPr>
        <w:t xml:space="preserve"> or (2) a supplier did not know</w:t>
      </w:r>
      <w:r w:rsidR="00BC4871" w:rsidRPr="00E84BB9">
        <w:rPr>
          <w:rStyle w:val="a"/>
        </w:rPr>
        <w:t xml:space="preserve">, or could not reasonably have been expected to know, that Medicare would not pay for the item; </w:t>
      </w:r>
    </w:p>
    <w:p w:rsidR="00BC4871" w:rsidRPr="00E84BB9" w:rsidRDefault="00BC4871" w:rsidP="00E84BB9">
      <w:pPr>
        <w:pStyle w:val="Bullet1"/>
        <w:numPr>
          <w:ilvl w:val="0"/>
          <w:numId w:val="0"/>
        </w:numPr>
        <w:ind w:left="720"/>
        <w:rPr>
          <w:rStyle w:val="a"/>
        </w:rPr>
      </w:pPr>
    </w:p>
    <w:p w:rsidR="00456FCB" w:rsidRPr="00E84BB9" w:rsidRDefault="00BC4871" w:rsidP="00E84BB9">
      <w:pPr>
        <w:pStyle w:val="Bullet1"/>
        <w:rPr>
          <w:rStyle w:val="a"/>
        </w:rPr>
      </w:pPr>
      <w:r w:rsidRPr="00E84BB9">
        <w:rPr>
          <w:rStyle w:val="a"/>
        </w:rPr>
        <w:t xml:space="preserve">Section 1834(j)(4) of the </w:t>
      </w:r>
      <w:r w:rsidR="00083AB8" w:rsidRPr="00E84BB9">
        <w:rPr>
          <w:rStyle w:val="a"/>
        </w:rPr>
        <w:t>A</w:t>
      </w:r>
      <w:r w:rsidRPr="00E84BB9">
        <w:rPr>
          <w:rStyle w:val="a"/>
        </w:rPr>
        <w:t xml:space="preserve">ct is applicable to suppliers of </w:t>
      </w:r>
      <w:r w:rsidR="00B632E9">
        <w:rPr>
          <w:rStyle w:val="a"/>
        </w:rPr>
        <w:t>DME</w:t>
      </w:r>
      <w:r w:rsidRPr="00E84BB9">
        <w:rPr>
          <w:rStyle w:val="a"/>
        </w:rPr>
        <w:t xml:space="preserve"> and other medical supplies for items and services furnished on an unassigned basis and denied with refund requirements when: </w:t>
      </w:r>
      <w:r w:rsidR="00CE41EB" w:rsidRPr="00E84BB9">
        <w:rPr>
          <w:rStyle w:val="a"/>
        </w:rPr>
        <w:t xml:space="preserve">(1) under section 1834(a)(15), there is failure to obtain an advance coverage determination; or (2) </w:t>
      </w:r>
      <w:r w:rsidR="00456FCB" w:rsidRPr="00E84BB9">
        <w:rPr>
          <w:rStyle w:val="a"/>
        </w:rPr>
        <w:t>under section</w:t>
      </w:r>
      <w:r w:rsidR="00CE41EB" w:rsidRPr="00E84BB9">
        <w:rPr>
          <w:rStyle w:val="a"/>
        </w:rPr>
        <w:t xml:space="preserve"> 1834(j)(1), there is a lack of a supplier number</w:t>
      </w:r>
      <w:r w:rsidR="00F955E9" w:rsidRPr="00E84BB9">
        <w:rPr>
          <w:rStyle w:val="a"/>
        </w:rPr>
        <w:t>;</w:t>
      </w:r>
      <w:r w:rsidR="00954933">
        <w:rPr>
          <w:rStyle w:val="a"/>
        </w:rPr>
        <w:t xml:space="preserve"> or (3) denials under section </w:t>
      </w:r>
      <w:r w:rsidR="00CE41EB" w:rsidRPr="00E84BB9">
        <w:rPr>
          <w:rStyle w:val="a"/>
        </w:rPr>
        <w:t>1862(a)(1)</w:t>
      </w:r>
      <w:r w:rsidR="00893849" w:rsidRPr="00E84BB9">
        <w:rPr>
          <w:rStyle w:val="a"/>
        </w:rPr>
        <w:t xml:space="preserve"> </w:t>
      </w:r>
      <w:r w:rsidR="00CE41EB" w:rsidRPr="00E84BB9">
        <w:rPr>
          <w:rStyle w:val="a"/>
        </w:rPr>
        <w:t>of the Act (“not reasonable and necessary…”);</w:t>
      </w:r>
      <w:r w:rsidRPr="00E84BB9">
        <w:rPr>
          <w:rStyle w:val="a"/>
        </w:rPr>
        <w:t xml:space="preserve"> and</w:t>
      </w:r>
      <w:r w:rsidR="00CE41EB" w:rsidRPr="00E84BB9">
        <w:rPr>
          <w:rStyle w:val="a"/>
        </w:rPr>
        <w:t xml:space="preserve"> </w:t>
      </w:r>
    </w:p>
    <w:p w:rsidR="00456FCB" w:rsidRPr="00E84BB9" w:rsidRDefault="00456FCB" w:rsidP="00E84BB9">
      <w:pPr>
        <w:pStyle w:val="Bullet1"/>
        <w:numPr>
          <w:ilvl w:val="0"/>
          <w:numId w:val="0"/>
        </w:numPr>
        <w:ind w:left="720"/>
      </w:pPr>
    </w:p>
    <w:p w:rsidR="00456FCB" w:rsidRPr="00E84BB9" w:rsidRDefault="00456FCB" w:rsidP="00E84BB9">
      <w:pPr>
        <w:pStyle w:val="Bullet1"/>
      </w:pPr>
      <w:r w:rsidRPr="00E84BB9">
        <w:t xml:space="preserve">Section 1842(l) of the Act </w:t>
      </w:r>
      <w:r w:rsidR="00CE41EB" w:rsidRPr="00E84BB9">
        <w:t xml:space="preserve">is </w:t>
      </w:r>
      <w:r w:rsidRPr="00E84BB9">
        <w:t>applicable to physicians “who do not accept payment on an assignment-related basis</w:t>
      </w:r>
      <w:r w:rsidR="00083AB8" w:rsidRPr="00E84BB9">
        <w:t>,”</w:t>
      </w:r>
      <w:r w:rsidRPr="00E84BB9">
        <w:t xml:space="preserve"> requiring refunds to beneficiaries of any amounts collected for denials with refund requirements under section 1862(a</w:t>
      </w:r>
      <w:proofErr w:type="gramStart"/>
      <w:r w:rsidRPr="00E84BB9">
        <w:t>)(</w:t>
      </w:r>
      <w:proofErr w:type="gramEnd"/>
      <w:r w:rsidRPr="00E84BB9">
        <w:t>1)</w:t>
      </w:r>
      <w:r w:rsidR="00CE41EB" w:rsidRPr="00E84BB9">
        <w:t xml:space="preserve"> </w:t>
      </w:r>
      <w:r w:rsidRPr="00E84BB9">
        <w:t xml:space="preserve">of the Act.  Note </w:t>
      </w:r>
      <w:r w:rsidR="007D42AE">
        <w:t xml:space="preserve">that </w:t>
      </w:r>
      <w:r w:rsidRPr="00E84BB9">
        <w:t>refunds are specified as not required in either of two circumstances: (1) when a physician informs the beneficiary, prior to furnishing the service, that Medicare is unlikely to pay for the service and the beneficiary, after being so informed, agrees to pay out of pocket</w:t>
      </w:r>
      <w:r w:rsidR="004E0390" w:rsidRPr="00E84BB9">
        <w:t xml:space="preserve"> (i.e., </w:t>
      </w:r>
      <w:r w:rsidR="00893849" w:rsidRPr="00E84BB9">
        <w:t xml:space="preserve">the physician </w:t>
      </w:r>
      <w:r w:rsidR="004E0390" w:rsidRPr="00E84BB9">
        <w:t>uses the ABN for advance notification)</w:t>
      </w:r>
      <w:r w:rsidR="00F955E9" w:rsidRPr="00E84BB9">
        <w:t>;</w:t>
      </w:r>
      <w:r w:rsidRPr="00E84BB9">
        <w:t xml:space="preserve"> or (2) when a physician did not know, and could not reasonably have been expected to know, that Medicare would not pay for the service.    </w:t>
      </w:r>
    </w:p>
    <w:p w:rsidR="00456FCB" w:rsidRPr="00C363BA" w:rsidRDefault="00456FCB" w:rsidP="00635F01">
      <w:pPr>
        <w:pStyle w:val="Body3"/>
      </w:pPr>
    </w:p>
    <w:p w:rsidR="00456FCB" w:rsidRPr="00C363BA" w:rsidRDefault="00456FCB" w:rsidP="00635F01">
      <w:pPr>
        <w:pStyle w:val="Body3"/>
        <w:rPr>
          <w:rFonts w:cs="Arial"/>
        </w:rPr>
      </w:pPr>
      <w:r w:rsidRPr="00C363BA">
        <w:t>Implementing regulations are found at 42 CFR 411.404(b) and (c), and 411.408(d</w:t>
      </w:r>
      <w:proofErr w:type="gramStart"/>
      <w:r w:rsidRPr="00C363BA">
        <w:t>)(</w:t>
      </w:r>
      <w:proofErr w:type="gramEnd"/>
      <w:r w:rsidRPr="00C363BA">
        <w:t xml:space="preserve">2) and (f), </w:t>
      </w:r>
      <w:r w:rsidR="004E0390" w:rsidRPr="00C363BA">
        <w:t>which specify</w:t>
      </w:r>
      <w:r w:rsidRPr="00C363BA">
        <w:t xml:space="preserve"> written notice requirements.  These requirements are fulfilled by the ABN and subject to PRA.  </w:t>
      </w:r>
    </w:p>
    <w:p w:rsidR="007111E8" w:rsidRDefault="007111E8" w:rsidP="00BF50D3">
      <w:pPr>
        <w:rPr>
          <w:rFonts w:ascii="Century Gothic" w:hAnsi="Century Gothic" w:cs="Arial"/>
        </w:rPr>
      </w:pPr>
    </w:p>
    <w:p w:rsidR="007D42AE" w:rsidRPr="00C363BA" w:rsidRDefault="007D42AE" w:rsidP="00BF50D3">
      <w:pPr>
        <w:rPr>
          <w:rFonts w:ascii="Century Gothic" w:hAnsi="Century Gothic" w:cs="Arial"/>
        </w:rPr>
      </w:pPr>
    </w:p>
    <w:p w:rsidR="007C7EF4" w:rsidRDefault="00635F01" w:rsidP="007D42AE">
      <w:pPr>
        <w:pStyle w:val="Header4"/>
        <w:numPr>
          <w:ilvl w:val="0"/>
          <w:numId w:val="15"/>
        </w:numPr>
        <w:ind w:left="720" w:hanging="720"/>
        <w:rPr>
          <w:b/>
        </w:rPr>
      </w:pPr>
      <w:r w:rsidRPr="007D42AE">
        <w:rPr>
          <w:b/>
        </w:rPr>
        <w:t>Justification</w:t>
      </w:r>
    </w:p>
    <w:p w:rsidR="007D42AE" w:rsidRPr="007D42AE" w:rsidRDefault="007D42AE" w:rsidP="007D42AE">
      <w:pPr>
        <w:pStyle w:val="Header4"/>
        <w:ind w:left="720"/>
        <w:rPr>
          <w:b/>
        </w:rPr>
      </w:pPr>
    </w:p>
    <w:p w:rsidR="007111E8" w:rsidRPr="007D42AE" w:rsidRDefault="007111E8" w:rsidP="00635F01">
      <w:pPr>
        <w:pStyle w:val="Header4"/>
        <w:rPr>
          <w:b/>
        </w:rPr>
      </w:pPr>
      <w:r w:rsidRPr="007D42AE">
        <w:rPr>
          <w:b/>
        </w:rPr>
        <w:t>1.</w:t>
      </w:r>
      <w:r w:rsidRPr="007D42AE">
        <w:rPr>
          <w:b/>
        </w:rPr>
        <w:tab/>
      </w:r>
      <w:r w:rsidR="00635F01" w:rsidRPr="007D42AE">
        <w:rPr>
          <w:b/>
        </w:rPr>
        <w:t xml:space="preserve"> Need and Legal Basis</w:t>
      </w:r>
    </w:p>
    <w:p w:rsidR="007C7EF4" w:rsidRPr="00C363BA" w:rsidRDefault="007C7EF4" w:rsidP="00BF50D3">
      <w:pPr>
        <w:rPr>
          <w:rFonts w:ascii="Century Gothic" w:hAnsi="Century Gothic" w:cs="Courier New"/>
          <w:szCs w:val="20"/>
        </w:rPr>
      </w:pPr>
    </w:p>
    <w:p w:rsidR="007C7EF4" w:rsidRPr="00C363BA" w:rsidRDefault="007C7EF4" w:rsidP="00635F01">
      <w:pPr>
        <w:pStyle w:val="Body4"/>
      </w:pPr>
      <w:r w:rsidRPr="00C363BA">
        <w:t>Under section 1879 of the Act, a physician, provider, practitioner</w:t>
      </w:r>
      <w:r w:rsidR="00B632E9">
        <w:t>,</w:t>
      </w:r>
      <w:r w:rsidRPr="00C363BA">
        <w:t xml:space="preserve"> or supplier of items or services participating in the Medicare </w:t>
      </w:r>
      <w:r w:rsidR="00F955E9">
        <w:t>p</w:t>
      </w:r>
      <w:r w:rsidRPr="00C363BA">
        <w:t>rogram</w:t>
      </w:r>
      <w:r w:rsidR="00893849" w:rsidRPr="00C363BA">
        <w:t>,</w:t>
      </w:r>
      <w:r w:rsidR="004E0390" w:rsidRPr="00C363BA">
        <w:t xml:space="preserve"> </w:t>
      </w:r>
      <w:r w:rsidR="00893849" w:rsidRPr="00C363BA">
        <w:t>or taking a claim on assignment,</w:t>
      </w:r>
      <w:r w:rsidRPr="00C363BA">
        <w:t xml:space="preserve"> may bill a Medicare beneficiary for items or services </w:t>
      </w:r>
      <w:r w:rsidR="004E0390" w:rsidRPr="00C363BA">
        <w:t xml:space="preserve">usually covered under Medicare, but </w:t>
      </w:r>
      <w:r w:rsidRPr="00C363BA">
        <w:t xml:space="preserve">denied </w:t>
      </w:r>
      <w:r w:rsidR="004E0390" w:rsidRPr="00C363BA">
        <w:t xml:space="preserve">in an individual case </w:t>
      </w:r>
      <w:r w:rsidRPr="00C363BA">
        <w:t>under one of the several statutory exclusions (specified in A</w:t>
      </w:r>
      <w:r w:rsidR="00AF241B">
        <w:t>.</w:t>
      </w:r>
      <w:r w:rsidRPr="00C363BA">
        <w:t xml:space="preserve"> above), if they inform the beneficiary, prior to furnishing the service, that Medicare </w:t>
      </w:r>
      <w:r w:rsidR="00893849" w:rsidRPr="00C363BA">
        <w:t>i</w:t>
      </w:r>
      <w:r w:rsidRPr="00C363BA">
        <w:t xml:space="preserve">s likely to deny payment.  </w:t>
      </w:r>
      <w:r w:rsidR="00E718E9">
        <w:t>Sections</w:t>
      </w:r>
      <w:r w:rsidR="00893849" w:rsidRPr="00C363BA">
        <w:t xml:space="preserve"> </w:t>
      </w:r>
      <w:r w:rsidR="00893849" w:rsidRPr="00C363BA">
        <w:rPr>
          <w:rFonts w:cs="Shruti"/>
        </w:rPr>
        <w:t>411.404(b) and (c), and 411.408(d</w:t>
      </w:r>
      <w:proofErr w:type="gramStart"/>
      <w:r w:rsidR="00893849" w:rsidRPr="00C363BA">
        <w:rPr>
          <w:rFonts w:cs="Shruti"/>
        </w:rPr>
        <w:t>)(</w:t>
      </w:r>
      <w:proofErr w:type="gramEnd"/>
      <w:r w:rsidR="00893849" w:rsidRPr="00C363BA">
        <w:rPr>
          <w:rFonts w:cs="Shruti"/>
        </w:rPr>
        <w:t>2) and (f), r</w:t>
      </w:r>
      <w:r w:rsidRPr="00C363BA">
        <w:t xml:space="preserve">equire written notice be provided to inform beneficiaries </w:t>
      </w:r>
      <w:r w:rsidR="00A428AB" w:rsidRPr="00C363BA">
        <w:t xml:space="preserve">in advance </w:t>
      </w:r>
      <w:r w:rsidRPr="00C363BA">
        <w:t>of potential liability for payment</w:t>
      </w:r>
      <w:r w:rsidR="00893849" w:rsidRPr="00C363BA">
        <w:t xml:space="preserve"> and</w:t>
      </w:r>
      <w:r w:rsidR="002C2E22">
        <w:t>,</w:t>
      </w:r>
      <w:r w:rsidR="00E158CA">
        <w:t xml:space="preserve"> </w:t>
      </w:r>
      <w:r w:rsidR="00893849" w:rsidRPr="00C363BA">
        <w:t>thus</w:t>
      </w:r>
      <w:r w:rsidR="002C2E22">
        <w:t>,</w:t>
      </w:r>
      <w:r w:rsidR="00893849" w:rsidRPr="00C363BA">
        <w:t xml:space="preserve"> contain a paperwork burden</w:t>
      </w:r>
      <w:r w:rsidRPr="00C363BA">
        <w:t>.</w:t>
      </w:r>
      <w:r w:rsidR="00893849" w:rsidRPr="00C363BA">
        <w:t xml:space="preserve">  </w:t>
      </w:r>
      <w:r w:rsidRPr="00C363BA">
        <w:t xml:space="preserve">  Therefore, these requirements comply with all general information collection guidelines in 5 CFR 1320.6.  </w:t>
      </w:r>
    </w:p>
    <w:p w:rsidR="007111E8" w:rsidRPr="00C363BA" w:rsidRDefault="007111E8" w:rsidP="00BF50D3">
      <w:pPr>
        <w:ind w:firstLine="720"/>
        <w:rPr>
          <w:rFonts w:ascii="Century Gothic" w:hAnsi="Century Gothic" w:cs="Arial"/>
        </w:rPr>
      </w:pPr>
    </w:p>
    <w:p w:rsidR="007111E8" w:rsidRPr="007D42AE" w:rsidRDefault="007111E8" w:rsidP="00635F01">
      <w:pPr>
        <w:pStyle w:val="Header5"/>
        <w:rPr>
          <w:b/>
        </w:rPr>
      </w:pPr>
      <w:r w:rsidRPr="007D42AE">
        <w:rPr>
          <w:b/>
        </w:rPr>
        <w:t>2.</w:t>
      </w:r>
      <w:r w:rsidRPr="007D42AE">
        <w:rPr>
          <w:b/>
        </w:rPr>
        <w:tab/>
      </w:r>
      <w:r w:rsidR="00635F01" w:rsidRPr="007D42AE">
        <w:rPr>
          <w:b/>
        </w:rPr>
        <w:t xml:space="preserve"> Information Users</w:t>
      </w:r>
    </w:p>
    <w:p w:rsidR="00971AD0" w:rsidRPr="00C363BA" w:rsidRDefault="00971AD0" w:rsidP="00BF50D3">
      <w:pPr>
        <w:rPr>
          <w:rFonts w:ascii="Century Gothic" w:hAnsi="Century Gothic" w:cs="Arial"/>
        </w:rPr>
      </w:pPr>
    </w:p>
    <w:p w:rsidR="00893849" w:rsidRPr="00C363BA" w:rsidRDefault="00B04B0F" w:rsidP="00635F01">
      <w:pPr>
        <w:pStyle w:val="Body5"/>
      </w:pPr>
      <w:r w:rsidRPr="00C363BA">
        <w:t>B</w:t>
      </w:r>
      <w:r w:rsidR="00A428AB" w:rsidRPr="00C363BA">
        <w:t xml:space="preserve">ased on </w:t>
      </w:r>
      <w:r w:rsidR="00C64389">
        <w:t xml:space="preserve">the most recent </w:t>
      </w:r>
      <w:r w:rsidR="00A428AB" w:rsidRPr="00C363BA">
        <w:t>CMS statistics</w:t>
      </w:r>
      <w:r w:rsidR="00B901D1" w:rsidRPr="00C363BA">
        <w:t xml:space="preserve"> </w:t>
      </w:r>
      <w:r w:rsidR="00C64389">
        <w:t xml:space="preserve">published in Tables II.3, II.5, and II.8 of </w:t>
      </w:r>
      <w:r w:rsidR="00C64389" w:rsidRPr="00E158CA">
        <w:rPr>
          <w:u w:val="single"/>
        </w:rPr>
        <w:t>2009 CMS Statistics</w:t>
      </w:r>
      <w:r w:rsidR="00A428AB" w:rsidRPr="00C363BA">
        <w:t>, we estimate the number of physicians, providers, practitioners</w:t>
      </w:r>
      <w:r w:rsidR="00E718E9">
        <w:t>,</w:t>
      </w:r>
      <w:r w:rsidR="00A428AB" w:rsidRPr="00C363BA">
        <w:t xml:space="preserve"> and suppliers </w:t>
      </w:r>
      <w:r w:rsidR="00556CAA" w:rsidRPr="00C363BA">
        <w:t>potentially delivering</w:t>
      </w:r>
      <w:r w:rsidR="004E0390" w:rsidRPr="00C363BA">
        <w:t xml:space="preserve"> </w:t>
      </w:r>
      <w:r w:rsidR="00A428AB" w:rsidRPr="00C363BA">
        <w:t>ABN</w:t>
      </w:r>
      <w:r w:rsidR="00556CAA" w:rsidRPr="00C363BA">
        <w:t>s</w:t>
      </w:r>
      <w:r w:rsidR="00A428AB" w:rsidRPr="00C363BA">
        <w:t xml:space="preserve"> as</w:t>
      </w:r>
      <w:r w:rsidR="00893849" w:rsidRPr="00C363BA">
        <w:t xml:space="preserve"> </w:t>
      </w:r>
      <w:r w:rsidR="00C64389">
        <w:t xml:space="preserve">approximately 1,326,282. </w:t>
      </w:r>
    </w:p>
    <w:p w:rsidR="007D42AE" w:rsidRDefault="007D42AE" w:rsidP="00635F01">
      <w:pPr>
        <w:pStyle w:val="Body5"/>
      </w:pPr>
    </w:p>
    <w:p w:rsidR="00B901D1" w:rsidRPr="00C363BA" w:rsidRDefault="00220DD6" w:rsidP="00635F01">
      <w:pPr>
        <w:pStyle w:val="Body5"/>
      </w:pPr>
      <w:r w:rsidRPr="00C363BA">
        <w:t xml:space="preserve">ABNs are not given every </w:t>
      </w:r>
      <w:r w:rsidR="007A74B9" w:rsidRPr="00C363BA">
        <w:t xml:space="preserve">time </w:t>
      </w:r>
      <w:r w:rsidRPr="00C363BA">
        <w:t>items and services are delivered</w:t>
      </w:r>
      <w:r w:rsidR="00F35237" w:rsidRPr="00C363BA">
        <w:t>.</w:t>
      </w:r>
      <w:r w:rsidR="001F0414" w:rsidRPr="00C363BA">
        <w:t xml:space="preserve">  </w:t>
      </w:r>
      <w:r w:rsidR="00F35237" w:rsidRPr="00C363BA">
        <w:t xml:space="preserve">Rather, </w:t>
      </w:r>
      <w:r w:rsidR="001F0414" w:rsidRPr="00C363BA">
        <w:t xml:space="preserve">ABNs are given only when </w:t>
      </w:r>
      <w:r w:rsidRPr="00C363BA">
        <w:t>a physician, provider</w:t>
      </w:r>
      <w:r w:rsidR="00BF50D3">
        <w:t>,</w:t>
      </w:r>
      <w:r w:rsidRPr="00C363BA">
        <w:t xml:space="preserve"> practitioner</w:t>
      </w:r>
      <w:r w:rsidR="002C2E22">
        <w:t>,</w:t>
      </w:r>
      <w:r w:rsidRPr="00C363BA">
        <w:t xml:space="preserve"> or supplier anticipates that Medicare will not provide payment in specific cases. </w:t>
      </w:r>
    </w:p>
    <w:p w:rsidR="00B034EF" w:rsidRDefault="002C2E22" w:rsidP="00635F01">
      <w:pPr>
        <w:pStyle w:val="Body5"/>
      </w:pPr>
      <w:r>
        <w:t>A</w:t>
      </w:r>
      <w:r w:rsidR="00FE6A6E" w:rsidRPr="00FE6A6E">
        <w:t>n ABN may be given, and the beneficiary may subsequently choose not to receive the item or service</w:t>
      </w:r>
      <w:r>
        <w:t>. A</w:t>
      </w:r>
      <w:r w:rsidR="00547802">
        <w:t xml:space="preserve">n ABN </w:t>
      </w:r>
      <w:r w:rsidR="00A21D47">
        <w:t xml:space="preserve">may </w:t>
      </w:r>
      <w:r>
        <w:t xml:space="preserve">also </w:t>
      </w:r>
      <w:r w:rsidR="00A21D47">
        <w:t xml:space="preserve">be issued because of other applicable statutory requirements </w:t>
      </w:r>
      <w:r w:rsidR="00547802">
        <w:t>other than</w:t>
      </w:r>
      <w:r w:rsidR="00A21D47">
        <w:t xml:space="preserve"> 1862(a)(1)</w:t>
      </w:r>
      <w:r>
        <w:t xml:space="preserve"> such as when</w:t>
      </w:r>
      <w:r w:rsidR="00F955E9">
        <w:t xml:space="preserve"> a</w:t>
      </w:r>
      <w:r>
        <w:t xml:space="preserve"> </w:t>
      </w:r>
      <w:r w:rsidR="00F955E9">
        <w:t>beneficiary wants to obtain an item from a supplie</w:t>
      </w:r>
      <w:r>
        <w:t xml:space="preserve">r </w:t>
      </w:r>
      <w:r w:rsidR="00F955E9">
        <w:t xml:space="preserve">who </w:t>
      </w:r>
      <w:r>
        <w:t>has not met Medica</w:t>
      </w:r>
      <w:r w:rsidR="00F955E9">
        <w:t xml:space="preserve">re supplier number requirements, </w:t>
      </w:r>
      <w:r>
        <w:t xml:space="preserve">as listed in </w:t>
      </w:r>
      <w:r w:rsidR="00E718E9">
        <w:t>s</w:t>
      </w:r>
      <w:r>
        <w:t>ection 1834(j) (1) of the Act</w:t>
      </w:r>
      <w:r w:rsidR="00A21D47">
        <w:t xml:space="preserve">. </w:t>
      </w:r>
      <w:r w:rsidR="00547802">
        <w:t>Since t</w:t>
      </w:r>
      <w:r w:rsidR="00FE6A6E">
        <w:t xml:space="preserve">here is no quantifiable data </w:t>
      </w:r>
      <w:r w:rsidR="00547802">
        <w:t xml:space="preserve">on these occurrences, with our prior PRA submission, </w:t>
      </w:r>
      <w:r w:rsidR="006F3EAA">
        <w:t>we estimated</w:t>
      </w:r>
      <w:r w:rsidR="00547802">
        <w:t xml:space="preserve"> that an ABN was probably delivered in about one third of the situations in which an ABN could be issued.</w:t>
      </w:r>
      <w:r w:rsidR="00547802" w:rsidRPr="00547802">
        <w:t xml:space="preserve"> </w:t>
      </w:r>
      <w:r w:rsidR="00547802" w:rsidRPr="00C363BA">
        <w:t xml:space="preserve">We </w:t>
      </w:r>
      <w:r w:rsidR="00547802">
        <w:t xml:space="preserve">had </w:t>
      </w:r>
      <w:r w:rsidR="00547802" w:rsidRPr="00C363BA">
        <w:t xml:space="preserve">invited the public to comment on this </w:t>
      </w:r>
      <w:r w:rsidR="00E158CA">
        <w:t>approach and the resulting estimate</w:t>
      </w:r>
      <w:r w:rsidR="00547802">
        <w:t xml:space="preserve">; </w:t>
      </w:r>
      <w:r w:rsidR="00547802" w:rsidRPr="00C363BA">
        <w:t xml:space="preserve">however, </w:t>
      </w:r>
      <w:r w:rsidR="00E158CA">
        <w:t xml:space="preserve">no comments were received on the assumption, and </w:t>
      </w:r>
      <w:r w:rsidR="00547802" w:rsidRPr="00C363BA">
        <w:t xml:space="preserve">we </w:t>
      </w:r>
      <w:r w:rsidR="00547802">
        <w:t xml:space="preserve">have never </w:t>
      </w:r>
      <w:r w:rsidR="00547802" w:rsidRPr="00C363BA">
        <w:t>receive</w:t>
      </w:r>
      <w:r w:rsidR="00547802">
        <w:t>d</w:t>
      </w:r>
      <w:r w:rsidR="00E158CA">
        <w:t xml:space="preserve"> any alternative estimates. </w:t>
      </w:r>
      <w:r w:rsidR="00547802">
        <w:t xml:space="preserve">Thus, we will </w:t>
      </w:r>
      <w:r w:rsidR="00E158CA">
        <w:t xml:space="preserve">continue to </w:t>
      </w:r>
      <w:r w:rsidR="000E2D72">
        <w:t xml:space="preserve">use </w:t>
      </w:r>
      <w:r w:rsidR="00547802">
        <w:t>this</w:t>
      </w:r>
      <w:r w:rsidR="00B034EF">
        <w:t xml:space="preserve"> methodology w</w:t>
      </w:r>
      <w:r w:rsidR="00547802">
        <w:t xml:space="preserve">ith this package submission. </w:t>
      </w:r>
    </w:p>
    <w:p w:rsidR="00E718E9" w:rsidRDefault="00E718E9" w:rsidP="00635F01">
      <w:pPr>
        <w:pStyle w:val="Body5"/>
      </w:pPr>
    </w:p>
    <w:p w:rsidR="00E57B44" w:rsidRDefault="00E57B44" w:rsidP="00635F01">
      <w:pPr>
        <w:pStyle w:val="Body5"/>
      </w:pPr>
      <w:r>
        <w:t xml:space="preserve">According to claims data from Table V.6 of the </w:t>
      </w:r>
      <w:r w:rsidRPr="00B632E9">
        <w:rPr>
          <w:u w:val="single"/>
        </w:rPr>
        <w:t>2009 CMS Statistics</w:t>
      </w:r>
      <w:r>
        <w:t>, approximately 131,177,550 claims were filed for care which could have necessitated ABN delivery. We estimate that 43,725,8</w:t>
      </w:r>
      <w:r w:rsidR="00B034EF">
        <w:t>50</w:t>
      </w:r>
      <w:r>
        <w:t>, or one third of these encounters, were associated with ABN issuance.</w:t>
      </w:r>
    </w:p>
    <w:p w:rsidR="00D243D7" w:rsidRDefault="00B034EF" w:rsidP="00635F01">
      <w:pPr>
        <w:pStyle w:val="Body5"/>
      </w:pPr>
      <w:r>
        <w:t xml:space="preserve"> As stated above, there are an </w:t>
      </w:r>
      <w:r w:rsidR="00F35237" w:rsidRPr="00C363BA">
        <w:t>estimated</w:t>
      </w:r>
      <w:r w:rsidR="00C349F5">
        <w:t xml:space="preserve"> </w:t>
      </w:r>
      <w:r w:rsidR="00D243D7" w:rsidRPr="00C363BA">
        <w:t>1</w:t>
      </w:r>
      <w:r>
        <w:t>,326,282</w:t>
      </w:r>
      <w:r w:rsidR="00D243D7" w:rsidRPr="00C363BA">
        <w:t xml:space="preserve"> </w:t>
      </w:r>
      <w:r>
        <w:t>providers or suppliers who could issue an ABN</w:t>
      </w:r>
      <w:r w:rsidR="00C349F5">
        <w:t>,</w:t>
      </w:r>
      <w:r>
        <w:t xml:space="preserve"> or</w:t>
      </w:r>
      <w:r w:rsidR="00F35237" w:rsidRPr="00C363BA">
        <w:t xml:space="preserve"> </w:t>
      </w:r>
      <w:r w:rsidR="00D243D7" w:rsidRPr="00C363BA">
        <w:t>on average</w:t>
      </w:r>
      <w:r w:rsidR="00C64389">
        <w:t>,</w:t>
      </w:r>
      <w:r w:rsidR="00D243D7" w:rsidRPr="00C363BA">
        <w:t xml:space="preserve"> each </w:t>
      </w:r>
      <w:proofErr w:type="spellStart"/>
      <w:r w:rsidR="004C4604" w:rsidRPr="00C363BA">
        <w:t>notifier</w:t>
      </w:r>
      <w:proofErr w:type="spellEnd"/>
      <w:r w:rsidR="004C4604" w:rsidRPr="00C363BA">
        <w:t xml:space="preserve"> </w:t>
      </w:r>
      <w:r w:rsidR="00D243D7" w:rsidRPr="00C363BA">
        <w:t xml:space="preserve">will deliver </w:t>
      </w:r>
      <w:r w:rsidR="00BC4871" w:rsidRPr="00C363BA">
        <w:t xml:space="preserve">about </w:t>
      </w:r>
      <w:r w:rsidR="00C64389">
        <w:t>33</w:t>
      </w:r>
      <w:r w:rsidR="00D243D7" w:rsidRPr="00C363BA">
        <w:t xml:space="preserve"> ABNs a year.</w:t>
      </w:r>
    </w:p>
    <w:p w:rsidR="007D42AE" w:rsidRDefault="007D42AE" w:rsidP="00635F01">
      <w:pPr>
        <w:pStyle w:val="Body5"/>
      </w:pPr>
    </w:p>
    <w:tbl>
      <w:tblPr>
        <w:tblW w:w="0" w:type="auto"/>
        <w:tblLook w:val="04A0"/>
      </w:tblPr>
      <w:tblGrid>
        <w:gridCol w:w="2358"/>
        <w:gridCol w:w="630"/>
        <w:gridCol w:w="2970"/>
        <w:gridCol w:w="362"/>
        <w:gridCol w:w="448"/>
        <w:gridCol w:w="2088"/>
      </w:tblGrid>
      <w:tr w:rsidR="007C4CCB" w:rsidTr="00CD3A49">
        <w:tc>
          <w:tcPr>
            <w:tcW w:w="2358" w:type="dxa"/>
          </w:tcPr>
          <w:p w:rsidR="007C4CCB" w:rsidRDefault="007C4CCB" w:rsidP="007D42AE">
            <w:pPr>
              <w:pStyle w:val="Table1"/>
            </w:pPr>
            <w:r>
              <w:t>43,725,850</w:t>
            </w:r>
          </w:p>
        </w:tc>
        <w:tc>
          <w:tcPr>
            <w:tcW w:w="630" w:type="dxa"/>
          </w:tcPr>
          <w:p w:rsidR="007C4CCB" w:rsidRDefault="007C4CCB" w:rsidP="007D42AE">
            <w:pPr>
              <w:pStyle w:val="Table1"/>
            </w:pPr>
            <w:r>
              <w:t>∕</w:t>
            </w:r>
          </w:p>
        </w:tc>
        <w:tc>
          <w:tcPr>
            <w:tcW w:w="2970" w:type="dxa"/>
          </w:tcPr>
          <w:p w:rsidR="007C4CCB" w:rsidRDefault="007C4CCB" w:rsidP="007D42AE">
            <w:pPr>
              <w:pStyle w:val="Table1"/>
            </w:pPr>
            <w:r>
              <w:t>1,326,282</w:t>
            </w:r>
          </w:p>
        </w:tc>
        <w:tc>
          <w:tcPr>
            <w:tcW w:w="362" w:type="dxa"/>
          </w:tcPr>
          <w:p w:rsidR="007C4CCB" w:rsidRDefault="007C4CCB" w:rsidP="007D42AE">
            <w:pPr>
              <w:pStyle w:val="Table1"/>
            </w:pPr>
            <w:r>
              <w:t>=</w:t>
            </w:r>
          </w:p>
        </w:tc>
        <w:tc>
          <w:tcPr>
            <w:tcW w:w="448" w:type="dxa"/>
          </w:tcPr>
          <w:p w:rsidR="007C4CCB" w:rsidRDefault="007C4CCB" w:rsidP="007D42AE">
            <w:pPr>
              <w:pStyle w:val="Table1"/>
            </w:pPr>
          </w:p>
        </w:tc>
        <w:tc>
          <w:tcPr>
            <w:tcW w:w="2088" w:type="dxa"/>
          </w:tcPr>
          <w:p w:rsidR="007C4CCB" w:rsidRDefault="007C4CCB" w:rsidP="007D42AE">
            <w:pPr>
              <w:pStyle w:val="Table1"/>
            </w:pPr>
            <w:r>
              <w:t>32.9687 ≈ 33</w:t>
            </w:r>
          </w:p>
        </w:tc>
      </w:tr>
      <w:tr w:rsidR="007C4CCB" w:rsidTr="00CD3A49">
        <w:tc>
          <w:tcPr>
            <w:tcW w:w="2358" w:type="dxa"/>
          </w:tcPr>
          <w:p w:rsidR="007C4CCB" w:rsidRDefault="00C349F5" w:rsidP="007D42AE">
            <w:pPr>
              <w:pStyle w:val="Table1"/>
            </w:pPr>
            <w:r>
              <w:t>E</w:t>
            </w:r>
            <w:r w:rsidR="007C4CCB">
              <w:t>stimated ABNs delivered annually</w:t>
            </w:r>
          </w:p>
        </w:tc>
        <w:tc>
          <w:tcPr>
            <w:tcW w:w="630" w:type="dxa"/>
          </w:tcPr>
          <w:p w:rsidR="007C4CCB" w:rsidRDefault="007C4CCB" w:rsidP="007D42AE">
            <w:pPr>
              <w:pStyle w:val="Table1"/>
            </w:pPr>
          </w:p>
        </w:tc>
        <w:tc>
          <w:tcPr>
            <w:tcW w:w="2970" w:type="dxa"/>
          </w:tcPr>
          <w:p w:rsidR="007C4CCB" w:rsidRDefault="00C349F5" w:rsidP="007D42AE">
            <w:pPr>
              <w:pStyle w:val="Table1"/>
            </w:pPr>
            <w:r>
              <w:t>P</w:t>
            </w:r>
            <w:r w:rsidR="007C4CCB">
              <w:t>roviders and  suppliers  who might issue the ABN</w:t>
            </w:r>
          </w:p>
        </w:tc>
        <w:tc>
          <w:tcPr>
            <w:tcW w:w="362" w:type="dxa"/>
          </w:tcPr>
          <w:p w:rsidR="007C4CCB" w:rsidRDefault="007C4CCB" w:rsidP="007D42AE">
            <w:pPr>
              <w:pStyle w:val="Table1"/>
            </w:pPr>
          </w:p>
        </w:tc>
        <w:tc>
          <w:tcPr>
            <w:tcW w:w="448" w:type="dxa"/>
          </w:tcPr>
          <w:p w:rsidR="007C4CCB" w:rsidRDefault="007C4CCB" w:rsidP="007D42AE">
            <w:pPr>
              <w:pStyle w:val="Table1"/>
            </w:pPr>
          </w:p>
        </w:tc>
        <w:tc>
          <w:tcPr>
            <w:tcW w:w="2088" w:type="dxa"/>
          </w:tcPr>
          <w:p w:rsidR="007C4CCB" w:rsidRDefault="007C4CCB" w:rsidP="007D42AE">
            <w:pPr>
              <w:pStyle w:val="Table1"/>
            </w:pPr>
            <w:r>
              <w:t xml:space="preserve">ABNs delivered </w:t>
            </w:r>
            <w:r w:rsidR="00C349F5">
              <w:t xml:space="preserve">annually </w:t>
            </w:r>
            <w:r>
              <w:t xml:space="preserve">per  </w:t>
            </w:r>
            <w:proofErr w:type="spellStart"/>
            <w:r>
              <w:t>notifier</w:t>
            </w:r>
            <w:proofErr w:type="spellEnd"/>
            <w:r>
              <w:t xml:space="preserve"> </w:t>
            </w:r>
          </w:p>
        </w:tc>
      </w:tr>
    </w:tbl>
    <w:p w:rsidR="00C349F5" w:rsidRPr="00C363BA" w:rsidRDefault="007C4CCB" w:rsidP="00635F01">
      <w:pPr>
        <w:pStyle w:val="Body5"/>
        <w:rPr>
          <w:rFonts w:cs="Arial"/>
        </w:rPr>
      </w:pPr>
      <w:r>
        <w:rPr>
          <w:vanish/>
        </w:rPr>
        <w:cr/>
        <w:t>BNs delivered per    tifier annually.t burden was given as $326,255,502 instead of $126,255,502esponses and the increase in ann</w:t>
      </w:r>
    </w:p>
    <w:p w:rsidR="00EC74C2" w:rsidRDefault="00EC74C2" w:rsidP="00635F01">
      <w:pPr>
        <w:pStyle w:val="Body5"/>
        <w:rPr>
          <w:rFonts w:cs="Arial"/>
          <w:b/>
        </w:rPr>
      </w:pPr>
    </w:p>
    <w:p w:rsidR="00414733" w:rsidRPr="007D42AE" w:rsidRDefault="007111E8" w:rsidP="00635F01">
      <w:pPr>
        <w:pStyle w:val="Body5"/>
        <w:rPr>
          <w:rFonts w:cs="Arial"/>
          <w:b/>
        </w:rPr>
      </w:pPr>
      <w:r w:rsidRPr="007D42AE">
        <w:rPr>
          <w:rFonts w:cs="Arial"/>
          <w:b/>
        </w:rPr>
        <w:t>3.</w:t>
      </w:r>
      <w:r w:rsidRPr="007D42AE">
        <w:rPr>
          <w:rFonts w:cs="Arial"/>
          <w:b/>
        </w:rPr>
        <w:tab/>
        <w:t>I</w:t>
      </w:r>
      <w:r w:rsidR="00635F01" w:rsidRPr="007D42AE">
        <w:rPr>
          <w:rFonts w:cs="Arial"/>
          <w:b/>
        </w:rPr>
        <w:t xml:space="preserve">mproved Information Technology </w:t>
      </w:r>
    </w:p>
    <w:p w:rsidR="007111E8" w:rsidRPr="00C363BA" w:rsidRDefault="007111E8" w:rsidP="00635F01">
      <w:pPr>
        <w:pStyle w:val="Body5"/>
        <w:rPr>
          <w:rFonts w:cs="Arial"/>
        </w:rPr>
      </w:pPr>
      <w:r w:rsidRPr="00C363BA">
        <w:rPr>
          <w:rFonts w:cs="Arial"/>
        </w:rPr>
        <w:tab/>
      </w:r>
    </w:p>
    <w:p w:rsidR="007111E8" w:rsidRPr="00C363BA" w:rsidRDefault="00414733" w:rsidP="00635F01">
      <w:pPr>
        <w:pStyle w:val="Body5"/>
        <w:rPr>
          <w:rFonts w:cs="Arial"/>
        </w:rPr>
      </w:pPr>
      <w:r w:rsidRPr="00C363BA">
        <w:rPr>
          <w:rFonts w:cs="Arial"/>
        </w:rPr>
        <w:t xml:space="preserve">ABNs are usually given </w:t>
      </w:r>
      <w:r w:rsidR="00211CE8" w:rsidRPr="00C363BA">
        <w:rPr>
          <w:rFonts w:cs="Arial"/>
        </w:rPr>
        <w:t>a</w:t>
      </w:r>
      <w:r w:rsidRPr="00C363BA">
        <w:rPr>
          <w:rFonts w:cs="Arial"/>
        </w:rPr>
        <w:t>s</w:t>
      </w:r>
      <w:r w:rsidR="00211CE8" w:rsidRPr="00C363BA">
        <w:rPr>
          <w:rFonts w:cs="Arial"/>
        </w:rPr>
        <w:t xml:space="preserve"> </w:t>
      </w:r>
      <w:r w:rsidR="001667D4" w:rsidRPr="00C363BA">
        <w:rPr>
          <w:rFonts w:cs="Arial"/>
        </w:rPr>
        <w:t>hard copy</w:t>
      </w:r>
      <w:r w:rsidR="00211CE8" w:rsidRPr="00C363BA">
        <w:rPr>
          <w:rFonts w:cs="Arial"/>
        </w:rPr>
        <w:t xml:space="preserve"> </w:t>
      </w:r>
      <w:r w:rsidRPr="00C363BA">
        <w:rPr>
          <w:rFonts w:cs="Arial"/>
        </w:rPr>
        <w:t xml:space="preserve">notices during </w:t>
      </w:r>
      <w:r w:rsidR="00EA5135" w:rsidRPr="00C363BA">
        <w:rPr>
          <w:rFonts w:cs="Arial"/>
        </w:rPr>
        <w:t xml:space="preserve">in-person </w:t>
      </w:r>
      <w:r w:rsidRPr="00C363BA">
        <w:rPr>
          <w:rFonts w:cs="Arial"/>
        </w:rPr>
        <w:t xml:space="preserve">patient encounters.  In some cases, notification may be done by telephone with a follow-up notice mailed. </w:t>
      </w:r>
      <w:r w:rsidR="007111E8" w:rsidRPr="00C363BA">
        <w:rPr>
          <w:rFonts w:cs="Arial"/>
        </w:rPr>
        <w:t>There is no provision for alternative uses of informa</w:t>
      </w:r>
      <w:r w:rsidR="00FE4680" w:rsidRPr="00C363BA">
        <w:rPr>
          <w:rFonts w:cs="Arial"/>
        </w:rPr>
        <w:t xml:space="preserve">tion technology </w:t>
      </w:r>
      <w:r w:rsidRPr="00C363BA">
        <w:rPr>
          <w:rFonts w:cs="Arial"/>
        </w:rPr>
        <w:t>to deliver ABNs</w:t>
      </w:r>
      <w:r w:rsidR="004C4604" w:rsidRPr="00C363BA">
        <w:rPr>
          <w:rFonts w:cs="Arial"/>
        </w:rPr>
        <w:t>, though incorporation of ABNs into other automated business processes is permitted</w:t>
      </w:r>
      <w:r w:rsidR="00E41E7D" w:rsidRPr="00C363BA">
        <w:rPr>
          <w:rFonts w:cs="Arial"/>
        </w:rPr>
        <w:t>,</w:t>
      </w:r>
      <w:r w:rsidR="004C4604" w:rsidRPr="00C363BA">
        <w:rPr>
          <w:rFonts w:cs="Arial"/>
        </w:rPr>
        <w:t xml:space="preserve"> and some </w:t>
      </w:r>
      <w:r w:rsidR="00F35237" w:rsidRPr="00C363BA">
        <w:rPr>
          <w:rFonts w:cs="Arial"/>
        </w:rPr>
        <w:t xml:space="preserve">limited </w:t>
      </w:r>
      <w:r w:rsidR="004C4604" w:rsidRPr="00C363BA">
        <w:rPr>
          <w:rFonts w:cs="Arial"/>
        </w:rPr>
        <w:t>flexibility in formatting the notice in such cases is allowed</w:t>
      </w:r>
      <w:r w:rsidR="00F35237" w:rsidRPr="00C363BA">
        <w:rPr>
          <w:rFonts w:cs="Arial"/>
        </w:rPr>
        <w:t xml:space="preserve"> as discussed in the form instructions</w:t>
      </w:r>
      <w:r w:rsidR="00223114" w:rsidRPr="00C363BA">
        <w:rPr>
          <w:rFonts w:cs="Arial"/>
        </w:rPr>
        <w:t xml:space="preserve">.  </w:t>
      </w:r>
      <w:proofErr w:type="spellStart"/>
      <w:r w:rsidR="00F35237" w:rsidRPr="00C363BA">
        <w:rPr>
          <w:rFonts w:cs="Arial"/>
        </w:rPr>
        <w:t>Notifiers</w:t>
      </w:r>
      <w:proofErr w:type="spellEnd"/>
      <w:r w:rsidRPr="00C363BA">
        <w:rPr>
          <w:rFonts w:cs="Arial"/>
        </w:rPr>
        <w:t xml:space="preserve"> </w:t>
      </w:r>
      <w:r w:rsidR="008F4E1F" w:rsidRPr="00C363BA">
        <w:rPr>
          <w:rFonts w:cs="Arial"/>
        </w:rPr>
        <w:t xml:space="preserve">may choose to store the </w:t>
      </w:r>
      <w:r w:rsidR="00F35237" w:rsidRPr="00C363BA">
        <w:rPr>
          <w:rFonts w:cs="Arial"/>
        </w:rPr>
        <w:t xml:space="preserve">required </w:t>
      </w:r>
      <w:r w:rsidR="008F4E1F" w:rsidRPr="00C363BA">
        <w:rPr>
          <w:rFonts w:cs="Arial"/>
        </w:rPr>
        <w:t xml:space="preserve">signed copy of the </w:t>
      </w:r>
      <w:r w:rsidRPr="00C363BA">
        <w:rPr>
          <w:rFonts w:cs="Arial"/>
        </w:rPr>
        <w:t xml:space="preserve">ABN </w:t>
      </w:r>
      <w:r w:rsidR="008F4E1F" w:rsidRPr="00C363BA">
        <w:rPr>
          <w:rFonts w:cs="Arial"/>
        </w:rPr>
        <w:t xml:space="preserve">electronically. </w:t>
      </w:r>
    </w:p>
    <w:p w:rsidR="007111E8" w:rsidRPr="007D42AE" w:rsidRDefault="007111E8" w:rsidP="00635F01">
      <w:pPr>
        <w:pStyle w:val="Body5"/>
        <w:rPr>
          <w:rFonts w:cs="Arial"/>
          <w:b/>
        </w:rPr>
      </w:pPr>
    </w:p>
    <w:p w:rsidR="007111E8" w:rsidRPr="007D42AE" w:rsidRDefault="007111E8" w:rsidP="00635F01">
      <w:pPr>
        <w:pStyle w:val="Body5"/>
        <w:rPr>
          <w:rFonts w:cs="Arial"/>
          <w:b/>
        </w:rPr>
      </w:pPr>
      <w:r w:rsidRPr="007D42AE">
        <w:rPr>
          <w:rFonts w:cs="Arial"/>
          <w:b/>
        </w:rPr>
        <w:t>4.</w:t>
      </w:r>
      <w:r w:rsidRPr="007D42AE">
        <w:rPr>
          <w:rFonts w:cs="Arial"/>
          <w:b/>
        </w:rPr>
        <w:tab/>
        <w:t>D</w:t>
      </w:r>
      <w:r w:rsidR="00635F01" w:rsidRPr="007D42AE">
        <w:rPr>
          <w:rFonts w:cs="Arial"/>
          <w:b/>
        </w:rPr>
        <w:t>uplication of Similar Information</w:t>
      </w:r>
    </w:p>
    <w:p w:rsidR="007111E8" w:rsidRPr="00C363BA" w:rsidRDefault="007111E8" w:rsidP="00635F01">
      <w:pPr>
        <w:pStyle w:val="Body5"/>
        <w:rPr>
          <w:rFonts w:cs="Arial"/>
          <w:u w:val="single"/>
        </w:rPr>
      </w:pPr>
    </w:p>
    <w:p w:rsidR="00FE4680" w:rsidRPr="00C363BA" w:rsidRDefault="00EA5135" w:rsidP="00635F01">
      <w:pPr>
        <w:pStyle w:val="Body5"/>
        <w:rPr>
          <w:rFonts w:cs="Arial"/>
        </w:rPr>
      </w:pPr>
      <w:r w:rsidRPr="00C363BA">
        <w:rPr>
          <w:rFonts w:cs="Arial"/>
        </w:rPr>
        <w:t>Th</w:t>
      </w:r>
      <w:r w:rsidR="00650138" w:rsidRPr="00C363BA">
        <w:rPr>
          <w:rFonts w:cs="Arial"/>
        </w:rPr>
        <w:t>e</w:t>
      </w:r>
      <w:r w:rsidRPr="00C363BA">
        <w:rPr>
          <w:rFonts w:cs="Arial"/>
        </w:rPr>
        <w:t xml:space="preserve"> information </w:t>
      </w:r>
      <w:r w:rsidR="00650138" w:rsidRPr="00C363BA">
        <w:rPr>
          <w:rFonts w:cs="Arial"/>
        </w:rPr>
        <w:t xml:space="preserve">we are </w:t>
      </w:r>
      <w:r w:rsidRPr="00C363BA">
        <w:rPr>
          <w:rFonts w:cs="Arial"/>
        </w:rPr>
        <w:t>request</w:t>
      </w:r>
      <w:r w:rsidR="00650138" w:rsidRPr="00C363BA">
        <w:rPr>
          <w:rFonts w:cs="Arial"/>
        </w:rPr>
        <w:t xml:space="preserve">ing is unique and </w:t>
      </w:r>
      <w:r w:rsidRPr="00C363BA">
        <w:rPr>
          <w:rFonts w:cs="Arial"/>
        </w:rPr>
        <w:t>does not duplicate any other effort.</w:t>
      </w:r>
    </w:p>
    <w:p w:rsidR="00EA5135" w:rsidRPr="00C363BA" w:rsidRDefault="00EA5135" w:rsidP="00635F01">
      <w:pPr>
        <w:pStyle w:val="Body5"/>
        <w:rPr>
          <w:rFonts w:cs="Arial"/>
        </w:rPr>
      </w:pPr>
    </w:p>
    <w:p w:rsidR="007111E8" w:rsidRPr="007D42AE" w:rsidRDefault="007111E8" w:rsidP="00635F01">
      <w:pPr>
        <w:pStyle w:val="Body5"/>
        <w:rPr>
          <w:rFonts w:cs="Arial"/>
          <w:b/>
        </w:rPr>
      </w:pPr>
      <w:r w:rsidRPr="007D42AE">
        <w:rPr>
          <w:rFonts w:cs="Arial"/>
          <w:b/>
        </w:rPr>
        <w:t>5.</w:t>
      </w:r>
      <w:r w:rsidRPr="007D42AE">
        <w:rPr>
          <w:rFonts w:cs="Arial"/>
          <w:b/>
        </w:rPr>
        <w:tab/>
        <w:t>S</w:t>
      </w:r>
      <w:r w:rsidR="0057164B" w:rsidRPr="007D42AE">
        <w:rPr>
          <w:rFonts w:cs="Arial"/>
          <w:b/>
        </w:rPr>
        <w:t>mall Business</w:t>
      </w:r>
      <w:r w:rsidRPr="007D42AE">
        <w:rPr>
          <w:rFonts w:cs="Arial"/>
          <w:b/>
        </w:rPr>
        <w:t xml:space="preserve"> </w:t>
      </w:r>
    </w:p>
    <w:p w:rsidR="007111E8" w:rsidRPr="00C363BA" w:rsidRDefault="007111E8" w:rsidP="00635F01">
      <w:pPr>
        <w:pStyle w:val="Body5"/>
        <w:rPr>
          <w:rFonts w:cs="Arial"/>
        </w:rPr>
      </w:pPr>
    </w:p>
    <w:p w:rsidR="00EA5135" w:rsidRPr="00C363BA" w:rsidRDefault="00EA5135" w:rsidP="00635F01">
      <w:pPr>
        <w:pStyle w:val="Body5"/>
      </w:pPr>
      <w:r w:rsidRPr="00C363BA">
        <w:t>The more relevant information th</w:t>
      </w:r>
      <w:r w:rsidR="005C5B8F" w:rsidRPr="00C363BA">
        <w:t xml:space="preserve">at a </w:t>
      </w:r>
      <w:r w:rsidRPr="00C363BA">
        <w:t>beneficiary receives in an ABN, the greater his or her ability is to make an informed decision about receiving the service and assuming responsibility</w:t>
      </w:r>
      <w:r w:rsidR="00BF50D3">
        <w:t xml:space="preserve"> </w:t>
      </w:r>
      <w:r w:rsidRPr="00C363BA">
        <w:t>for payment.  Th</w:t>
      </w:r>
      <w:r w:rsidR="005C5B8F" w:rsidRPr="00C363BA">
        <w:t xml:space="preserve">us, a clear and understandable ABN </w:t>
      </w:r>
      <w:r w:rsidRPr="00C363BA">
        <w:t>should reduce the burden on small businesses</w:t>
      </w:r>
      <w:r w:rsidR="005C5B8F" w:rsidRPr="00C363BA">
        <w:t xml:space="preserve"> that would otherwise be associated with providing services and pursuing Medicare billing for services for which they potentially would not be reimbursed.</w:t>
      </w:r>
    </w:p>
    <w:p w:rsidR="00EA5135" w:rsidRPr="00C363BA" w:rsidRDefault="00EA5135" w:rsidP="00635F01">
      <w:pPr>
        <w:pStyle w:val="Body5"/>
        <w:rPr>
          <w:rFonts w:cs="Arial"/>
        </w:rPr>
      </w:pPr>
    </w:p>
    <w:p w:rsidR="007111E8" w:rsidRPr="007D42AE" w:rsidRDefault="007111E8" w:rsidP="00635F01">
      <w:pPr>
        <w:pStyle w:val="Body5"/>
        <w:rPr>
          <w:rFonts w:cs="Arial"/>
          <w:b/>
        </w:rPr>
      </w:pPr>
      <w:r w:rsidRPr="007D42AE">
        <w:rPr>
          <w:rFonts w:cs="Arial"/>
          <w:b/>
        </w:rPr>
        <w:t>6.</w:t>
      </w:r>
      <w:r w:rsidRPr="007D42AE">
        <w:rPr>
          <w:rFonts w:cs="Arial"/>
          <w:b/>
        </w:rPr>
        <w:tab/>
        <w:t>L</w:t>
      </w:r>
      <w:r w:rsidR="0057164B" w:rsidRPr="007D42AE">
        <w:rPr>
          <w:rFonts w:cs="Arial"/>
          <w:b/>
        </w:rPr>
        <w:t>ess Frequent Collection</w:t>
      </w:r>
    </w:p>
    <w:p w:rsidR="007111E8" w:rsidRPr="00C363BA" w:rsidRDefault="007111E8" w:rsidP="00635F01">
      <w:pPr>
        <w:pStyle w:val="Body5"/>
        <w:rPr>
          <w:rFonts w:cs="Arial"/>
          <w:u w:val="single"/>
        </w:rPr>
      </w:pPr>
    </w:p>
    <w:p w:rsidR="00535A06" w:rsidRPr="00C363BA" w:rsidRDefault="00EA5135" w:rsidP="00635F01">
      <w:pPr>
        <w:pStyle w:val="Body5"/>
        <w:rPr>
          <w:rFonts w:cs="Arial"/>
        </w:rPr>
      </w:pPr>
      <w:r w:rsidRPr="00C363BA">
        <w:rPr>
          <w:rFonts w:cs="Arial"/>
        </w:rPr>
        <w:t xml:space="preserve">ABNs are given on an as-needed basis as described under </w:t>
      </w:r>
      <w:proofErr w:type="gramStart"/>
      <w:r w:rsidRPr="00C363BA">
        <w:rPr>
          <w:rFonts w:cs="Arial"/>
        </w:rPr>
        <w:t>2.</w:t>
      </w:r>
      <w:r w:rsidR="00BC4871" w:rsidRPr="00C363BA">
        <w:rPr>
          <w:rFonts w:cs="Arial"/>
        </w:rPr>
        <w:t>,</w:t>
      </w:r>
      <w:proofErr w:type="gramEnd"/>
      <w:r w:rsidRPr="00C363BA">
        <w:rPr>
          <w:rFonts w:cs="Arial"/>
        </w:rPr>
        <w:t xml:space="preserve"> above.</w:t>
      </w:r>
      <w:r w:rsidR="005C5B8F" w:rsidRPr="00C363BA">
        <w:rPr>
          <w:rFonts w:cs="Arial"/>
        </w:rPr>
        <w:t xml:space="preserve">  </w:t>
      </w:r>
    </w:p>
    <w:p w:rsidR="00EA5135" w:rsidRPr="00C363BA" w:rsidRDefault="00EA5135" w:rsidP="00635F01">
      <w:pPr>
        <w:pStyle w:val="Body5"/>
        <w:rPr>
          <w:rFonts w:cs="Arial"/>
        </w:rPr>
      </w:pPr>
    </w:p>
    <w:p w:rsidR="007111E8" w:rsidRPr="007D42AE" w:rsidRDefault="007111E8" w:rsidP="00635F01">
      <w:pPr>
        <w:pStyle w:val="Body5"/>
        <w:rPr>
          <w:rFonts w:cs="Arial"/>
          <w:b/>
        </w:rPr>
      </w:pPr>
      <w:r w:rsidRPr="007D42AE">
        <w:rPr>
          <w:rFonts w:cs="Arial"/>
          <w:b/>
        </w:rPr>
        <w:t>7.</w:t>
      </w:r>
      <w:r w:rsidRPr="007D42AE">
        <w:rPr>
          <w:rFonts w:cs="Arial"/>
          <w:b/>
        </w:rPr>
        <w:tab/>
        <w:t>S</w:t>
      </w:r>
      <w:r w:rsidR="0057164B" w:rsidRPr="007D42AE">
        <w:rPr>
          <w:rFonts w:cs="Arial"/>
          <w:b/>
        </w:rPr>
        <w:t>pecial Circumstances</w:t>
      </w:r>
    </w:p>
    <w:p w:rsidR="007111E8" w:rsidRPr="00C363BA" w:rsidRDefault="007111E8" w:rsidP="00635F01">
      <w:pPr>
        <w:pStyle w:val="Body5"/>
        <w:rPr>
          <w:rFonts w:cs="Arial"/>
          <w:u w:val="single"/>
        </w:rPr>
      </w:pPr>
    </w:p>
    <w:p w:rsidR="007111E8" w:rsidRDefault="00EA5135" w:rsidP="00635F01">
      <w:pPr>
        <w:pStyle w:val="Body5"/>
        <w:rPr>
          <w:rFonts w:cs="Arial"/>
        </w:rPr>
      </w:pPr>
      <w:r w:rsidRPr="00C363BA">
        <w:rPr>
          <w:rFonts w:cs="Arial"/>
        </w:rPr>
        <w:t>There are no special circumstances.</w:t>
      </w:r>
    </w:p>
    <w:p w:rsidR="007D42AE" w:rsidRPr="00C363BA" w:rsidRDefault="007D42AE" w:rsidP="00635F01">
      <w:pPr>
        <w:pStyle w:val="Body5"/>
        <w:rPr>
          <w:rFonts w:cs="Arial"/>
        </w:rPr>
      </w:pPr>
    </w:p>
    <w:p w:rsidR="00EA5135" w:rsidRPr="00C363BA" w:rsidRDefault="00EA5135" w:rsidP="00635F01">
      <w:pPr>
        <w:pStyle w:val="Body5"/>
        <w:rPr>
          <w:rFonts w:cs="Arial"/>
        </w:rPr>
      </w:pPr>
    </w:p>
    <w:p w:rsidR="007111E8" w:rsidRPr="007D42AE" w:rsidRDefault="007111E8" w:rsidP="00635F01">
      <w:pPr>
        <w:pStyle w:val="Body5"/>
        <w:rPr>
          <w:rFonts w:cs="Arial"/>
          <w:b/>
        </w:rPr>
      </w:pPr>
      <w:r w:rsidRPr="007D42AE">
        <w:rPr>
          <w:rFonts w:cs="Arial"/>
          <w:b/>
        </w:rPr>
        <w:t>8.</w:t>
      </w:r>
      <w:r w:rsidRPr="007D42AE">
        <w:rPr>
          <w:rFonts w:cs="Arial"/>
          <w:b/>
        </w:rPr>
        <w:tab/>
        <w:t>F</w:t>
      </w:r>
      <w:r w:rsidR="0057164B" w:rsidRPr="007D42AE">
        <w:rPr>
          <w:rFonts w:cs="Arial"/>
          <w:b/>
        </w:rPr>
        <w:t>ederal Register Notice/ Outside Consultation</w:t>
      </w:r>
    </w:p>
    <w:p w:rsidR="007111E8" w:rsidRPr="00C363BA" w:rsidRDefault="007111E8" w:rsidP="00635F01">
      <w:pPr>
        <w:pStyle w:val="Body5"/>
        <w:rPr>
          <w:rFonts w:cs="Arial"/>
          <w:u w:val="single"/>
        </w:rPr>
      </w:pPr>
    </w:p>
    <w:p w:rsidR="000E2D72" w:rsidRDefault="00EA5135" w:rsidP="00635F01">
      <w:pPr>
        <w:pStyle w:val="Body5"/>
        <w:rPr>
          <w:rFonts w:cs="Arial"/>
        </w:rPr>
      </w:pPr>
      <w:r w:rsidRPr="000E2D72">
        <w:rPr>
          <w:rFonts w:cs="Arial"/>
        </w:rPr>
        <w:lastRenderedPageBreak/>
        <w:t xml:space="preserve">The ABN was </w:t>
      </w:r>
      <w:r w:rsidR="00D27EC9">
        <w:rPr>
          <w:rFonts w:cs="Arial"/>
        </w:rPr>
        <w:t xml:space="preserve">first </w:t>
      </w:r>
      <w:r w:rsidRPr="000E2D72">
        <w:rPr>
          <w:rFonts w:cs="Arial"/>
        </w:rPr>
        <w:t xml:space="preserve">published as a Federal </w:t>
      </w:r>
      <w:r w:rsidR="00613F3E" w:rsidRPr="000E2D72">
        <w:rPr>
          <w:rFonts w:cs="Arial"/>
        </w:rPr>
        <w:t>R</w:t>
      </w:r>
      <w:r w:rsidRPr="000E2D72">
        <w:rPr>
          <w:rFonts w:cs="Arial"/>
        </w:rPr>
        <w:t xml:space="preserve">egister </w:t>
      </w:r>
      <w:r w:rsidR="00D27EC9">
        <w:rPr>
          <w:rFonts w:cs="Arial"/>
        </w:rPr>
        <w:t>n</w:t>
      </w:r>
      <w:r w:rsidRPr="000E2D72">
        <w:rPr>
          <w:rFonts w:cs="Arial"/>
        </w:rPr>
        <w:t xml:space="preserve">otice and subject to public comment prior to </w:t>
      </w:r>
      <w:r w:rsidR="00650138" w:rsidRPr="000E2D72">
        <w:rPr>
          <w:rFonts w:cs="Arial"/>
        </w:rPr>
        <w:t xml:space="preserve">OMB’s </w:t>
      </w:r>
      <w:r w:rsidRPr="000E2D72">
        <w:rPr>
          <w:rFonts w:cs="Arial"/>
        </w:rPr>
        <w:t xml:space="preserve">approval in 2003. </w:t>
      </w:r>
      <w:r w:rsidR="005C5B8F" w:rsidRPr="000E2D72">
        <w:rPr>
          <w:rFonts w:cs="Arial"/>
        </w:rPr>
        <w:t xml:space="preserve"> Since that time, we have received many suggestions about ways to improve the ABN</w:t>
      </w:r>
      <w:r w:rsidR="00AF241B">
        <w:rPr>
          <w:rFonts w:cs="Arial"/>
        </w:rPr>
        <w:t>,</w:t>
      </w:r>
      <w:r w:rsidR="005C5B8F" w:rsidRPr="000E2D72">
        <w:rPr>
          <w:rFonts w:cs="Arial"/>
        </w:rPr>
        <w:t xml:space="preserve"> and</w:t>
      </w:r>
      <w:r w:rsidR="00C349F5">
        <w:rPr>
          <w:rFonts w:cs="Arial"/>
        </w:rPr>
        <w:t xml:space="preserve"> </w:t>
      </w:r>
      <w:r w:rsidR="005C5B8F" w:rsidRPr="000E2D72">
        <w:rPr>
          <w:rFonts w:cs="Arial"/>
        </w:rPr>
        <w:t xml:space="preserve">we have incorporated these suggestions into the </w:t>
      </w:r>
      <w:r w:rsidR="000E2D72">
        <w:rPr>
          <w:rFonts w:cs="Arial"/>
        </w:rPr>
        <w:t xml:space="preserve">revised </w:t>
      </w:r>
      <w:r w:rsidR="005C5B8F" w:rsidRPr="000E2D72">
        <w:rPr>
          <w:rFonts w:cs="Arial"/>
        </w:rPr>
        <w:t>notice</w:t>
      </w:r>
      <w:r w:rsidR="000E2D72">
        <w:rPr>
          <w:rFonts w:cs="Arial"/>
        </w:rPr>
        <w:t xml:space="preserve">. The </w:t>
      </w:r>
      <w:r w:rsidR="000E2D72" w:rsidRPr="000E2D72">
        <w:rPr>
          <w:rFonts w:cs="Arial"/>
        </w:rPr>
        <w:t xml:space="preserve">revised </w:t>
      </w:r>
      <w:r w:rsidR="000E2D72">
        <w:rPr>
          <w:rFonts w:cs="Arial"/>
        </w:rPr>
        <w:t>ABN was last published</w:t>
      </w:r>
      <w:r w:rsidR="000E2D72" w:rsidRPr="000E2D72">
        <w:rPr>
          <w:rFonts w:cs="Arial"/>
        </w:rPr>
        <w:t xml:space="preserve"> in the Federal Register on February 23, 2007</w:t>
      </w:r>
      <w:r w:rsidR="00D27EC9">
        <w:rPr>
          <w:rFonts w:cs="Arial"/>
        </w:rPr>
        <w:t xml:space="preserve"> and May 25, 2007 for public comment and </w:t>
      </w:r>
      <w:r w:rsidR="00C349F5">
        <w:rPr>
          <w:rFonts w:cs="Arial"/>
        </w:rPr>
        <w:t xml:space="preserve">received </w:t>
      </w:r>
      <w:r w:rsidR="00D27EC9">
        <w:rPr>
          <w:rFonts w:cs="Arial"/>
        </w:rPr>
        <w:t xml:space="preserve">OMB </w:t>
      </w:r>
      <w:r w:rsidR="00C349F5">
        <w:rPr>
          <w:rFonts w:cs="Arial"/>
        </w:rPr>
        <w:t xml:space="preserve">approval </w:t>
      </w:r>
      <w:r w:rsidR="00E718E9">
        <w:rPr>
          <w:rFonts w:cs="Arial"/>
        </w:rPr>
        <w:t xml:space="preserve">on February </w:t>
      </w:r>
      <w:r w:rsidR="00D27EC9">
        <w:rPr>
          <w:rFonts w:cs="Arial"/>
        </w:rPr>
        <w:t>1, 2008.</w:t>
      </w:r>
    </w:p>
    <w:p w:rsidR="007D42AE" w:rsidRDefault="007D42AE" w:rsidP="00635F01">
      <w:pPr>
        <w:pStyle w:val="Body5"/>
        <w:rPr>
          <w:rFonts w:cs="Arial"/>
        </w:rPr>
      </w:pPr>
    </w:p>
    <w:p w:rsidR="00606D46" w:rsidRDefault="000E2D72" w:rsidP="00606D46">
      <w:pPr>
        <w:pStyle w:val="Body5"/>
        <w:rPr>
          <w:rFonts w:cs="Arial"/>
        </w:rPr>
      </w:pPr>
      <w:r>
        <w:rPr>
          <w:rFonts w:cs="Arial"/>
        </w:rPr>
        <w:t>A</w:t>
      </w:r>
      <w:r w:rsidR="00D27EC9">
        <w:rPr>
          <w:rFonts w:cs="Arial"/>
        </w:rPr>
        <w:t xml:space="preserve">s part of the PRA renewal process, </w:t>
      </w:r>
      <w:r w:rsidR="00606D46">
        <w:rPr>
          <w:rFonts w:cs="Arial"/>
        </w:rPr>
        <w:t>a</w:t>
      </w:r>
      <w:r w:rsidR="00606D46" w:rsidRPr="00B101FD">
        <w:rPr>
          <w:rFonts w:cs="Arial"/>
        </w:rPr>
        <w:t xml:space="preserve"> 60-day Federal Register notice was published in Vol</w:t>
      </w:r>
      <w:r w:rsidR="00606D46">
        <w:rPr>
          <w:rFonts w:cs="Arial"/>
        </w:rPr>
        <w:t>. 75</w:t>
      </w:r>
      <w:r w:rsidR="00606D46" w:rsidRPr="00B101FD">
        <w:rPr>
          <w:rFonts w:cs="Arial"/>
        </w:rPr>
        <w:t>, No. 1</w:t>
      </w:r>
      <w:r w:rsidR="00606D46">
        <w:rPr>
          <w:rFonts w:cs="Arial"/>
        </w:rPr>
        <w:t>75</w:t>
      </w:r>
      <w:r w:rsidR="00606D46" w:rsidRPr="00B101FD">
        <w:rPr>
          <w:rFonts w:cs="Arial"/>
        </w:rPr>
        <w:t>,</w:t>
      </w:r>
      <w:r w:rsidR="00606D46">
        <w:rPr>
          <w:rFonts w:cs="Arial"/>
        </w:rPr>
        <w:t xml:space="preserve"> pg 55330, on September 10, 2010. </w:t>
      </w:r>
      <w:r w:rsidR="00606D46" w:rsidRPr="00B101FD">
        <w:rPr>
          <w:rFonts w:cs="Arial"/>
        </w:rPr>
        <w:t>No public comments were received.</w:t>
      </w:r>
    </w:p>
    <w:p w:rsidR="00B40C42" w:rsidRDefault="00B40C42" w:rsidP="00635F01">
      <w:pPr>
        <w:pStyle w:val="Body5"/>
        <w:rPr>
          <w:rFonts w:cs="Arial"/>
        </w:rPr>
      </w:pPr>
    </w:p>
    <w:p w:rsidR="007111E8" w:rsidRPr="007D42AE" w:rsidRDefault="007111E8" w:rsidP="00635F01">
      <w:pPr>
        <w:pStyle w:val="Body5"/>
        <w:rPr>
          <w:rFonts w:cs="Arial"/>
          <w:b/>
          <w:u w:val="single"/>
        </w:rPr>
      </w:pPr>
      <w:r w:rsidRPr="007D42AE">
        <w:rPr>
          <w:rFonts w:cs="Arial"/>
          <w:b/>
        </w:rPr>
        <w:t>9.</w:t>
      </w:r>
      <w:r w:rsidRPr="007D42AE">
        <w:rPr>
          <w:rFonts w:cs="Arial"/>
          <w:b/>
        </w:rPr>
        <w:tab/>
      </w:r>
      <w:r w:rsidR="0057164B" w:rsidRPr="007D42AE">
        <w:rPr>
          <w:rFonts w:cs="Arial"/>
          <w:b/>
        </w:rPr>
        <w:t xml:space="preserve">Payment/Gift to Respondent </w:t>
      </w:r>
    </w:p>
    <w:p w:rsidR="007111E8" w:rsidRPr="00C363BA" w:rsidRDefault="007111E8" w:rsidP="00635F01">
      <w:pPr>
        <w:pStyle w:val="Body5"/>
        <w:rPr>
          <w:rFonts w:cs="Arial"/>
          <w:u w:val="single"/>
        </w:rPr>
      </w:pPr>
    </w:p>
    <w:p w:rsidR="007111E8" w:rsidRPr="00C363BA" w:rsidRDefault="007111E8" w:rsidP="00635F01">
      <w:pPr>
        <w:pStyle w:val="Body5"/>
        <w:rPr>
          <w:rFonts w:cs="Arial"/>
        </w:rPr>
      </w:pPr>
      <w:r w:rsidRPr="00C363BA">
        <w:rPr>
          <w:rFonts w:cs="Arial"/>
        </w:rPr>
        <w:t>We do not plan to provide any payment or gifts to respondents.</w:t>
      </w:r>
    </w:p>
    <w:p w:rsidR="007111E8" w:rsidRPr="00C363BA" w:rsidRDefault="007111E8" w:rsidP="00635F01">
      <w:pPr>
        <w:pStyle w:val="Body5"/>
        <w:rPr>
          <w:rFonts w:cs="Arial"/>
        </w:rPr>
      </w:pPr>
    </w:p>
    <w:p w:rsidR="007111E8" w:rsidRPr="007D42AE" w:rsidRDefault="007111E8" w:rsidP="00635F01">
      <w:pPr>
        <w:pStyle w:val="Body5"/>
        <w:rPr>
          <w:rFonts w:cs="Arial"/>
          <w:b/>
        </w:rPr>
      </w:pPr>
      <w:r w:rsidRPr="007D42AE">
        <w:rPr>
          <w:rFonts w:cs="Arial"/>
          <w:b/>
        </w:rPr>
        <w:t>10.</w:t>
      </w:r>
      <w:r w:rsidRPr="007D42AE">
        <w:rPr>
          <w:rFonts w:cs="Arial"/>
          <w:b/>
        </w:rPr>
        <w:tab/>
        <w:t>C</w:t>
      </w:r>
      <w:r w:rsidR="0057164B" w:rsidRPr="007D42AE">
        <w:rPr>
          <w:rFonts w:cs="Arial"/>
          <w:b/>
        </w:rPr>
        <w:t>onfidentiality</w:t>
      </w:r>
    </w:p>
    <w:p w:rsidR="007111E8" w:rsidRPr="00C363BA" w:rsidRDefault="007111E8" w:rsidP="00635F01">
      <w:pPr>
        <w:pStyle w:val="Body5"/>
        <w:rPr>
          <w:rFonts w:cs="Arial"/>
          <w:u w:val="single"/>
        </w:rPr>
      </w:pPr>
    </w:p>
    <w:p w:rsidR="00650138" w:rsidRPr="00C363BA" w:rsidRDefault="00650138" w:rsidP="00635F01">
      <w:pPr>
        <w:pStyle w:val="Body5"/>
        <w:rPr>
          <w:rFonts w:cs="Arial"/>
        </w:rPr>
      </w:pPr>
      <w:r w:rsidRPr="00C363BA">
        <w:rPr>
          <w:rFonts w:cs="Arial"/>
        </w:rPr>
        <w:t>According to the applicable definition of confidentiality, this item does not apply.</w:t>
      </w:r>
    </w:p>
    <w:p w:rsidR="007111E8" w:rsidRPr="00C363BA" w:rsidRDefault="00650138" w:rsidP="00635F01">
      <w:pPr>
        <w:pStyle w:val="Body5"/>
        <w:rPr>
          <w:rFonts w:cs="Arial"/>
        </w:rPr>
      </w:pPr>
      <w:r w:rsidRPr="00C363BA">
        <w:rPr>
          <w:rFonts w:cs="Arial"/>
        </w:rPr>
        <w:t xml:space="preserve"> </w:t>
      </w:r>
    </w:p>
    <w:p w:rsidR="007D42AE" w:rsidRDefault="007111E8" w:rsidP="00635F01">
      <w:pPr>
        <w:pStyle w:val="Body5"/>
        <w:rPr>
          <w:rFonts w:cs="Arial"/>
        </w:rPr>
      </w:pPr>
      <w:r w:rsidRPr="007D42AE">
        <w:rPr>
          <w:rFonts w:cs="Arial"/>
          <w:b/>
        </w:rPr>
        <w:t>11.</w:t>
      </w:r>
      <w:r w:rsidRPr="007D42AE">
        <w:rPr>
          <w:rFonts w:cs="Arial"/>
          <w:b/>
        </w:rPr>
        <w:tab/>
        <w:t>S</w:t>
      </w:r>
      <w:r w:rsidR="007D42AE">
        <w:rPr>
          <w:rFonts w:cs="Arial"/>
          <w:b/>
        </w:rPr>
        <w:t xml:space="preserve">ensitive </w:t>
      </w:r>
      <w:r w:rsidRPr="007D42AE">
        <w:rPr>
          <w:rFonts w:cs="Arial"/>
          <w:b/>
        </w:rPr>
        <w:t>Q</w:t>
      </w:r>
      <w:r w:rsidR="0057164B" w:rsidRPr="007D42AE">
        <w:rPr>
          <w:rFonts w:cs="Arial"/>
          <w:b/>
        </w:rPr>
        <w:t>uestions</w:t>
      </w:r>
      <w:r w:rsidR="00C349F5">
        <w:rPr>
          <w:rFonts w:cs="Arial"/>
        </w:rPr>
        <w:t xml:space="preserve"> </w:t>
      </w:r>
    </w:p>
    <w:p w:rsidR="007111E8" w:rsidRPr="00C363BA" w:rsidRDefault="007D42AE" w:rsidP="00635F01">
      <w:pPr>
        <w:pStyle w:val="Body5"/>
        <w:rPr>
          <w:rFonts w:cs="Arial"/>
        </w:rPr>
      </w:pPr>
      <w:r>
        <w:rPr>
          <w:rFonts w:cs="Arial"/>
        </w:rPr>
        <w:br/>
      </w:r>
      <w:r w:rsidR="00650138" w:rsidRPr="00C363BA">
        <w:rPr>
          <w:rFonts w:cs="Arial"/>
        </w:rPr>
        <w:t>There are no questions of a sensitive nature associated with this notice.</w:t>
      </w:r>
    </w:p>
    <w:p w:rsidR="007111E8" w:rsidRPr="00C363BA" w:rsidRDefault="007111E8" w:rsidP="00635F01">
      <w:pPr>
        <w:pStyle w:val="Body5"/>
        <w:rPr>
          <w:rFonts w:cs="Arial"/>
        </w:rPr>
      </w:pPr>
    </w:p>
    <w:p w:rsidR="00613F3E" w:rsidRDefault="007D42AE" w:rsidP="00635F01">
      <w:pPr>
        <w:pStyle w:val="Body5"/>
        <w:rPr>
          <w:rFonts w:cs="Arial"/>
          <w:b/>
        </w:rPr>
      </w:pPr>
      <w:r w:rsidRPr="007D42AE">
        <w:rPr>
          <w:rFonts w:cs="Arial"/>
          <w:b/>
        </w:rPr>
        <w:t xml:space="preserve">12. </w:t>
      </w:r>
      <w:r>
        <w:rPr>
          <w:rFonts w:cs="Arial"/>
          <w:b/>
        </w:rPr>
        <w:t xml:space="preserve">     </w:t>
      </w:r>
      <w:r w:rsidR="007111E8" w:rsidRPr="007D42AE">
        <w:rPr>
          <w:rFonts w:cs="Arial"/>
          <w:b/>
        </w:rPr>
        <w:t>B</w:t>
      </w:r>
      <w:r w:rsidR="0057164B" w:rsidRPr="007D42AE">
        <w:rPr>
          <w:rFonts w:cs="Arial"/>
          <w:b/>
        </w:rPr>
        <w:t>urden Estimate</w:t>
      </w:r>
    </w:p>
    <w:p w:rsidR="007D42AE" w:rsidRPr="007D42AE" w:rsidRDefault="007D42AE" w:rsidP="00635F01">
      <w:pPr>
        <w:pStyle w:val="Body5"/>
        <w:rPr>
          <w:rFonts w:cs="Arial"/>
          <w:b/>
        </w:rPr>
      </w:pPr>
    </w:p>
    <w:p w:rsidR="00650138" w:rsidRPr="00C363BA" w:rsidRDefault="00613F3E" w:rsidP="00635F01">
      <w:pPr>
        <w:pStyle w:val="Body5"/>
        <w:rPr>
          <w:rFonts w:cs="Arial"/>
        </w:rPr>
      </w:pPr>
      <w:r w:rsidRPr="00C363BA">
        <w:rPr>
          <w:rFonts w:cs="Arial"/>
        </w:rPr>
        <w:t xml:space="preserve">The number of affected </w:t>
      </w:r>
      <w:proofErr w:type="spellStart"/>
      <w:r w:rsidRPr="00C363BA">
        <w:rPr>
          <w:rFonts w:cs="Arial"/>
        </w:rPr>
        <w:t>notifiers</w:t>
      </w:r>
      <w:proofErr w:type="spellEnd"/>
      <w:r w:rsidRPr="00C363BA">
        <w:rPr>
          <w:rFonts w:cs="Arial"/>
        </w:rPr>
        <w:t xml:space="preserve"> (physician, provider, practitioners</w:t>
      </w:r>
      <w:r w:rsidR="008D2A2E">
        <w:rPr>
          <w:rFonts w:cs="Arial"/>
        </w:rPr>
        <w:t>,</w:t>
      </w:r>
      <w:r w:rsidRPr="00C363BA">
        <w:rPr>
          <w:rFonts w:cs="Arial"/>
        </w:rPr>
        <w:t xml:space="preserve"> and suppliers)</w:t>
      </w:r>
      <w:r w:rsidR="00590599">
        <w:rPr>
          <w:rFonts w:cs="Arial"/>
        </w:rPr>
        <w:t xml:space="preserve"> and the number of ABNs issued</w:t>
      </w:r>
      <w:r w:rsidRPr="00C363BA">
        <w:rPr>
          <w:rFonts w:cs="Arial"/>
        </w:rPr>
        <w:t xml:space="preserve"> </w:t>
      </w:r>
      <w:r w:rsidR="00650138" w:rsidRPr="00C363BA">
        <w:rPr>
          <w:rFonts w:cs="Arial"/>
        </w:rPr>
        <w:t xml:space="preserve">is </w:t>
      </w:r>
      <w:r w:rsidRPr="00C363BA">
        <w:rPr>
          <w:rFonts w:cs="Arial"/>
        </w:rPr>
        <w:t xml:space="preserve">based on </w:t>
      </w:r>
      <w:r w:rsidR="0063364B">
        <w:rPr>
          <w:rFonts w:cs="Arial"/>
        </w:rPr>
        <w:t>2009 published data</w:t>
      </w:r>
      <w:r w:rsidR="00590599">
        <w:rPr>
          <w:rFonts w:cs="Arial"/>
        </w:rPr>
        <w:t xml:space="preserve"> (see #2. above)</w:t>
      </w:r>
      <w:r w:rsidR="0063364B">
        <w:rPr>
          <w:rFonts w:cs="Arial"/>
        </w:rPr>
        <w:t xml:space="preserve">. </w:t>
      </w:r>
    </w:p>
    <w:p w:rsidR="00C349F5" w:rsidRDefault="00C349F5" w:rsidP="00635F01">
      <w:pPr>
        <w:pStyle w:val="Body5"/>
        <w:rPr>
          <w:rFonts w:cs="Arial"/>
        </w:rPr>
      </w:pPr>
    </w:p>
    <w:p w:rsidR="00045982" w:rsidRDefault="00650138" w:rsidP="00635F01">
      <w:pPr>
        <w:pStyle w:val="Body5"/>
        <w:rPr>
          <w:rFonts w:cs="Arial"/>
        </w:rPr>
      </w:pPr>
      <w:r w:rsidRPr="00C363BA">
        <w:rPr>
          <w:rFonts w:cs="Arial"/>
        </w:rPr>
        <w:t xml:space="preserve">With an annual estimate of </w:t>
      </w:r>
      <w:r w:rsidR="0063364B">
        <w:rPr>
          <w:rFonts w:cs="Arial"/>
        </w:rPr>
        <w:t>43,725,8</w:t>
      </w:r>
      <w:r w:rsidR="00D27EC9">
        <w:rPr>
          <w:rFonts w:cs="Arial"/>
        </w:rPr>
        <w:t>50</w:t>
      </w:r>
      <w:r w:rsidR="0063364B">
        <w:rPr>
          <w:rFonts w:cs="Arial"/>
        </w:rPr>
        <w:t xml:space="preserve"> </w:t>
      </w:r>
      <w:r w:rsidR="00B632E9">
        <w:rPr>
          <w:rFonts w:cs="Arial"/>
        </w:rPr>
        <w:t>ABNs</w:t>
      </w:r>
      <w:r w:rsidRPr="00C363BA">
        <w:rPr>
          <w:rFonts w:cs="Arial"/>
        </w:rPr>
        <w:t xml:space="preserve"> and </w:t>
      </w:r>
      <w:r w:rsidR="00EB5F58" w:rsidRPr="00C363BA">
        <w:rPr>
          <w:rFonts w:cs="Arial"/>
        </w:rPr>
        <w:t>7</w:t>
      </w:r>
      <w:r w:rsidRPr="00C363BA">
        <w:rPr>
          <w:rFonts w:cs="Arial"/>
        </w:rPr>
        <w:t xml:space="preserve"> minu</w:t>
      </w:r>
      <w:r w:rsidR="00BC4871" w:rsidRPr="00C363BA">
        <w:rPr>
          <w:rFonts w:cs="Arial"/>
        </w:rPr>
        <w:t>t</w:t>
      </w:r>
      <w:r w:rsidRPr="00C363BA">
        <w:rPr>
          <w:rFonts w:cs="Arial"/>
        </w:rPr>
        <w:t xml:space="preserve">es </w:t>
      </w:r>
      <w:r w:rsidR="00045982">
        <w:rPr>
          <w:rFonts w:cs="Arial"/>
        </w:rPr>
        <w:t>(</w:t>
      </w:r>
      <w:r w:rsidR="00DD4EE8">
        <w:rPr>
          <w:rFonts w:cs="Arial"/>
        </w:rPr>
        <w:t>0</w:t>
      </w:r>
      <w:r w:rsidR="00045982">
        <w:rPr>
          <w:rFonts w:cs="Arial"/>
        </w:rPr>
        <w:t>.11662</w:t>
      </w:r>
      <w:r w:rsidR="00DD4EE8">
        <w:rPr>
          <w:rFonts w:cs="Arial"/>
        </w:rPr>
        <w:t xml:space="preserve"> hours)</w:t>
      </w:r>
      <w:r w:rsidR="00B632E9">
        <w:rPr>
          <w:rFonts w:cs="Arial"/>
        </w:rPr>
        <w:t>,</w:t>
      </w:r>
      <w:r w:rsidR="00DD4EE8">
        <w:rPr>
          <w:rFonts w:cs="Arial"/>
        </w:rPr>
        <w:t xml:space="preserve"> </w:t>
      </w:r>
      <w:r w:rsidRPr="00C363BA">
        <w:rPr>
          <w:rFonts w:cs="Arial"/>
        </w:rPr>
        <w:t>on average</w:t>
      </w:r>
      <w:r w:rsidR="00B632E9">
        <w:rPr>
          <w:rFonts w:cs="Arial"/>
        </w:rPr>
        <w:t>,</w:t>
      </w:r>
      <w:r w:rsidRPr="00C363BA">
        <w:rPr>
          <w:rFonts w:cs="Arial"/>
        </w:rPr>
        <w:t xml:space="preserve"> needed to deliver each notice, we estimate</w:t>
      </w:r>
      <w:r w:rsidR="009213D7" w:rsidRPr="00C363BA">
        <w:rPr>
          <w:rFonts w:cs="Arial"/>
        </w:rPr>
        <w:t xml:space="preserve"> </w:t>
      </w:r>
      <w:r w:rsidRPr="00C363BA">
        <w:rPr>
          <w:rFonts w:cs="Arial"/>
        </w:rPr>
        <w:t xml:space="preserve">the </w:t>
      </w:r>
      <w:r w:rsidR="00753C38">
        <w:rPr>
          <w:rFonts w:cs="Arial"/>
        </w:rPr>
        <w:t xml:space="preserve">annual </w:t>
      </w:r>
      <w:r w:rsidRPr="00C363BA">
        <w:rPr>
          <w:rFonts w:cs="Arial"/>
        </w:rPr>
        <w:t>hour</w:t>
      </w:r>
      <w:r w:rsidR="007D42AE">
        <w:rPr>
          <w:rFonts w:cs="Arial"/>
        </w:rPr>
        <w:t xml:space="preserve"> </w:t>
      </w:r>
      <w:r w:rsidRPr="00C363BA">
        <w:rPr>
          <w:rFonts w:cs="Arial"/>
        </w:rPr>
        <w:t xml:space="preserve">burden to be </w:t>
      </w:r>
      <w:r w:rsidR="0063364B">
        <w:rPr>
          <w:rFonts w:cs="Arial"/>
        </w:rPr>
        <w:t>5,</w:t>
      </w:r>
      <w:r w:rsidR="00D27EC9">
        <w:rPr>
          <w:rFonts w:cs="Arial"/>
        </w:rPr>
        <w:t>099,309</w:t>
      </w:r>
      <w:r w:rsidR="0063364B">
        <w:rPr>
          <w:rFonts w:cs="Arial"/>
        </w:rPr>
        <w:t xml:space="preserve"> </w:t>
      </w:r>
      <w:r w:rsidRPr="00C363BA">
        <w:rPr>
          <w:rFonts w:cs="Arial"/>
        </w:rPr>
        <w:t xml:space="preserve">hours or </w:t>
      </w:r>
      <w:r w:rsidR="0063364B">
        <w:rPr>
          <w:rFonts w:cs="Arial"/>
        </w:rPr>
        <w:t>3.85</w:t>
      </w:r>
      <w:r w:rsidR="00EB5F58" w:rsidRPr="00C363BA">
        <w:rPr>
          <w:rFonts w:cs="Arial"/>
        </w:rPr>
        <w:t xml:space="preserve"> </w:t>
      </w:r>
      <w:r w:rsidRPr="00C363BA">
        <w:rPr>
          <w:rFonts w:cs="Arial"/>
        </w:rPr>
        <w:t xml:space="preserve">hours per </w:t>
      </w:r>
      <w:proofErr w:type="spellStart"/>
      <w:r w:rsidRPr="00C363BA">
        <w:rPr>
          <w:rFonts w:cs="Arial"/>
        </w:rPr>
        <w:t>notif</w:t>
      </w:r>
      <w:r w:rsidR="00BC4871" w:rsidRPr="00C363BA">
        <w:rPr>
          <w:rFonts w:cs="Arial"/>
        </w:rPr>
        <w:t>i</w:t>
      </w:r>
      <w:r w:rsidRPr="00C363BA">
        <w:rPr>
          <w:rFonts w:cs="Arial"/>
        </w:rPr>
        <w:t>er</w:t>
      </w:r>
      <w:proofErr w:type="spellEnd"/>
      <w:r w:rsidR="00716FD8">
        <w:rPr>
          <w:rFonts w:cs="Arial"/>
        </w:rPr>
        <w:t xml:space="preserve">. These estimates are only slightly higher than our previously published burdens of 4,701,959 hours annually and 3.7 hours per </w:t>
      </w:r>
      <w:proofErr w:type="spellStart"/>
      <w:r w:rsidR="00716FD8">
        <w:rPr>
          <w:rFonts w:cs="Arial"/>
        </w:rPr>
        <w:t>notifier</w:t>
      </w:r>
      <w:proofErr w:type="spellEnd"/>
      <w:r w:rsidR="00716FD8">
        <w:rPr>
          <w:rFonts w:cs="Arial"/>
        </w:rPr>
        <w:t>.</w:t>
      </w:r>
    </w:p>
    <w:p w:rsidR="00C349F5" w:rsidRDefault="00C349F5" w:rsidP="00635F01">
      <w:pPr>
        <w:pStyle w:val="Body5"/>
        <w:rPr>
          <w:rFonts w:cs="Arial"/>
        </w:rPr>
      </w:pPr>
    </w:p>
    <w:tbl>
      <w:tblPr>
        <w:tblW w:w="0" w:type="auto"/>
        <w:tblLook w:val="04A0"/>
      </w:tblPr>
      <w:tblGrid>
        <w:gridCol w:w="2538"/>
        <w:gridCol w:w="414"/>
        <w:gridCol w:w="2376"/>
        <w:gridCol w:w="576"/>
        <w:gridCol w:w="2952"/>
      </w:tblGrid>
      <w:tr w:rsidR="00045982" w:rsidRPr="00453C7A" w:rsidTr="00453C7A">
        <w:tc>
          <w:tcPr>
            <w:tcW w:w="2538" w:type="dxa"/>
          </w:tcPr>
          <w:p w:rsidR="00045982" w:rsidRPr="00453C7A" w:rsidRDefault="00045982" w:rsidP="007D42AE">
            <w:pPr>
              <w:pStyle w:val="Table2"/>
            </w:pPr>
            <w:r w:rsidRPr="00453C7A">
              <w:t>5,099,309</w:t>
            </w:r>
          </w:p>
        </w:tc>
        <w:tc>
          <w:tcPr>
            <w:tcW w:w="414" w:type="dxa"/>
          </w:tcPr>
          <w:p w:rsidR="00045982" w:rsidRPr="00453C7A" w:rsidRDefault="00045982" w:rsidP="007D42AE">
            <w:pPr>
              <w:pStyle w:val="Table2"/>
            </w:pPr>
            <w:r w:rsidRPr="00453C7A">
              <w:t>∕</w:t>
            </w:r>
          </w:p>
        </w:tc>
        <w:tc>
          <w:tcPr>
            <w:tcW w:w="2376" w:type="dxa"/>
          </w:tcPr>
          <w:p w:rsidR="00045982" w:rsidRPr="00453C7A" w:rsidRDefault="00045982" w:rsidP="007D42AE">
            <w:pPr>
              <w:pStyle w:val="Table2"/>
            </w:pPr>
            <w:r w:rsidRPr="00453C7A">
              <w:t>1,326,282</w:t>
            </w:r>
          </w:p>
        </w:tc>
        <w:tc>
          <w:tcPr>
            <w:tcW w:w="576" w:type="dxa"/>
          </w:tcPr>
          <w:p w:rsidR="00045982" w:rsidRPr="00453C7A" w:rsidRDefault="00045982" w:rsidP="007D42AE">
            <w:pPr>
              <w:pStyle w:val="Table2"/>
            </w:pPr>
            <w:r w:rsidRPr="00453C7A">
              <w:t>=</w:t>
            </w:r>
          </w:p>
        </w:tc>
        <w:tc>
          <w:tcPr>
            <w:tcW w:w="2952" w:type="dxa"/>
          </w:tcPr>
          <w:p w:rsidR="00045982" w:rsidRPr="00453C7A" w:rsidRDefault="00045982" w:rsidP="007D42AE">
            <w:pPr>
              <w:pStyle w:val="Table2"/>
            </w:pPr>
            <w:r w:rsidRPr="00453C7A">
              <w:t>3.84815  ≈  3.85</w:t>
            </w:r>
          </w:p>
        </w:tc>
      </w:tr>
      <w:tr w:rsidR="00045982" w:rsidRPr="00453C7A" w:rsidTr="00453C7A">
        <w:tc>
          <w:tcPr>
            <w:tcW w:w="2538" w:type="dxa"/>
          </w:tcPr>
          <w:p w:rsidR="00045982" w:rsidRPr="00453C7A" w:rsidRDefault="00045982" w:rsidP="007D42AE">
            <w:pPr>
              <w:pStyle w:val="Table2"/>
            </w:pPr>
            <w:r w:rsidRPr="00453C7A">
              <w:t>Annual hour burden</w:t>
            </w:r>
          </w:p>
        </w:tc>
        <w:tc>
          <w:tcPr>
            <w:tcW w:w="414" w:type="dxa"/>
          </w:tcPr>
          <w:p w:rsidR="00045982" w:rsidRPr="00453C7A" w:rsidRDefault="00045982" w:rsidP="007D42AE">
            <w:pPr>
              <w:pStyle w:val="Table2"/>
            </w:pPr>
          </w:p>
        </w:tc>
        <w:tc>
          <w:tcPr>
            <w:tcW w:w="2376" w:type="dxa"/>
          </w:tcPr>
          <w:p w:rsidR="00045982" w:rsidRPr="00453C7A" w:rsidRDefault="00045982" w:rsidP="007D42AE">
            <w:pPr>
              <w:pStyle w:val="Table2"/>
            </w:pPr>
            <w:r w:rsidRPr="00453C7A">
              <w:t xml:space="preserve">Provider and supplier </w:t>
            </w:r>
            <w:proofErr w:type="spellStart"/>
            <w:r w:rsidRPr="00453C7A">
              <w:t>notifiers</w:t>
            </w:r>
            <w:proofErr w:type="spellEnd"/>
          </w:p>
        </w:tc>
        <w:tc>
          <w:tcPr>
            <w:tcW w:w="576" w:type="dxa"/>
          </w:tcPr>
          <w:p w:rsidR="00045982" w:rsidRPr="00453C7A" w:rsidRDefault="00045982" w:rsidP="007D42AE">
            <w:pPr>
              <w:pStyle w:val="Table2"/>
            </w:pPr>
          </w:p>
        </w:tc>
        <w:tc>
          <w:tcPr>
            <w:tcW w:w="2952" w:type="dxa"/>
          </w:tcPr>
          <w:p w:rsidR="00045982" w:rsidRPr="00453C7A" w:rsidRDefault="00045982" w:rsidP="007D42AE">
            <w:pPr>
              <w:pStyle w:val="Table2"/>
            </w:pPr>
            <w:r w:rsidRPr="00453C7A">
              <w:t xml:space="preserve">Hourly burden per </w:t>
            </w:r>
            <w:proofErr w:type="spellStart"/>
            <w:r w:rsidRPr="00453C7A">
              <w:t>notifier</w:t>
            </w:r>
            <w:proofErr w:type="spellEnd"/>
          </w:p>
        </w:tc>
      </w:tr>
    </w:tbl>
    <w:p w:rsidR="00753C38" w:rsidRDefault="00753C38" w:rsidP="00635F01">
      <w:pPr>
        <w:pStyle w:val="Body5"/>
        <w:rPr>
          <w:rFonts w:cs="Arial"/>
        </w:rPr>
      </w:pPr>
    </w:p>
    <w:p w:rsidR="00753C38" w:rsidRDefault="00DD4EE8" w:rsidP="00635F01">
      <w:pPr>
        <w:pStyle w:val="Body5"/>
        <w:rPr>
          <w:rFonts w:cs="Arial"/>
        </w:rPr>
      </w:pPr>
      <w:r w:rsidRPr="00C363BA">
        <w:rPr>
          <w:rFonts w:cs="Arial"/>
        </w:rPr>
        <w:t xml:space="preserve">The cost per </w:t>
      </w:r>
      <w:r>
        <w:rPr>
          <w:rFonts w:cs="Arial"/>
        </w:rPr>
        <w:t>notice i</w:t>
      </w:r>
      <w:r w:rsidRPr="00C363BA">
        <w:rPr>
          <w:rFonts w:cs="Arial"/>
        </w:rPr>
        <w:t xml:space="preserve">s </w:t>
      </w:r>
      <w:r>
        <w:rPr>
          <w:rFonts w:cs="Arial"/>
        </w:rPr>
        <w:t xml:space="preserve">$3.33 </w:t>
      </w:r>
      <w:r w:rsidRPr="00C363BA">
        <w:rPr>
          <w:rFonts w:cs="Arial"/>
        </w:rPr>
        <w:t xml:space="preserve">based on our expectation that these notices would be prepared by a staff person with professional skills at the </w:t>
      </w:r>
      <w:r>
        <w:rPr>
          <w:rFonts w:cs="Arial"/>
        </w:rPr>
        <w:t xml:space="preserve">2009 </w:t>
      </w:r>
      <w:r w:rsidRPr="00C363BA">
        <w:rPr>
          <w:rFonts w:cs="Arial"/>
        </w:rPr>
        <w:t>GS-12</w:t>
      </w:r>
      <w:r>
        <w:rPr>
          <w:rFonts w:cs="Arial"/>
        </w:rPr>
        <w:t>,</w:t>
      </w:r>
      <w:r w:rsidRPr="00C363BA">
        <w:rPr>
          <w:rFonts w:cs="Arial"/>
        </w:rPr>
        <w:t xml:space="preserve"> </w:t>
      </w:r>
      <w:r>
        <w:rPr>
          <w:rFonts w:cs="Arial"/>
        </w:rPr>
        <w:t>s</w:t>
      </w:r>
      <w:r w:rsidRPr="00C363BA">
        <w:rPr>
          <w:rFonts w:cs="Arial"/>
        </w:rPr>
        <w:t>tep 1 hourly salary of $</w:t>
      </w:r>
      <w:r>
        <w:rPr>
          <w:rFonts w:cs="Arial"/>
        </w:rPr>
        <w:t>28.55</w:t>
      </w:r>
      <w:r w:rsidRPr="00C363BA">
        <w:rPr>
          <w:rFonts w:cs="Arial"/>
        </w:rPr>
        <w:t xml:space="preserve">.   </w:t>
      </w:r>
    </w:p>
    <w:p w:rsidR="00DD4EE8" w:rsidRDefault="00DD4EE8" w:rsidP="00635F01">
      <w:pPr>
        <w:pStyle w:val="Body5"/>
        <w:rPr>
          <w:rFonts w:cs="Arial"/>
        </w:rPr>
      </w:pPr>
    </w:p>
    <w:tbl>
      <w:tblPr>
        <w:tblW w:w="0" w:type="auto"/>
        <w:tblLook w:val="04A0"/>
      </w:tblPr>
      <w:tblGrid>
        <w:gridCol w:w="2620"/>
        <w:gridCol w:w="332"/>
        <w:gridCol w:w="2466"/>
        <w:gridCol w:w="486"/>
        <w:gridCol w:w="2952"/>
      </w:tblGrid>
      <w:tr w:rsidR="00300C7D" w:rsidRPr="00453C7A" w:rsidTr="00453C7A">
        <w:tc>
          <w:tcPr>
            <w:tcW w:w="2620" w:type="dxa"/>
          </w:tcPr>
          <w:p w:rsidR="00300C7D" w:rsidRPr="00453C7A" w:rsidRDefault="00300C7D" w:rsidP="007D42AE">
            <w:pPr>
              <w:pStyle w:val="Table3"/>
            </w:pPr>
            <w:r w:rsidRPr="00453C7A">
              <w:lastRenderedPageBreak/>
              <w:t>3.85</w:t>
            </w:r>
          </w:p>
        </w:tc>
        <w:tc>
          <w:tcPr>
            <w:tcW w:w="332" w:type="dxa"/>
          </w:tcPr>
          <w:p w:rsidR="00300C7D" w:rsidRPr="00453C7A" w:rsidRDefault="00300C7D" w:rsidP="007D42AE">
            <w:pPr>
              <w:pStyle w:val="Table3"/>
            </w:pPr>
            <w:r w:rsidRPr="00453C7A">
              <w:t>x</w:t>
            </w:r>
          </w:p>
        </w:tc>
        <w:tc>
          <w:tcPr>
            <w:tcW w:w="2466" w:type="dxa"/>
          </w:tcPr>
          <w:p w:rsidR="00300C7D" w:rsidRPr="00453C7A" w:rsidRDefault="00300C7D" w:rsidP="007D42AE">
            <w:pPr>
              <w:pStyle w:val="Table3"/>
            </w:pPr>
            <w:r w:rsidRPr="00453C7A">
              <w:t>$28.55</w:t>
            </w:r>
          </w:p>
        </w:tc>
        <w:tc>
          <w:tcPr>
            <w:tcW w:w="486" w:type="dxa"/>
          </w:tcPr>
          <w:p w:rsidR="00300C7D" w:rsidRPr="00453C7A" w:rsidRDefault="00300C7D" w:rsidP="007D42AE">
            <w:pPr>
              <w:pStyle w:val="Table3"/>
            </w:pPr>
            <w:r w:rsidRPr="00453C7A">
              <w:t>=</w:t>
            </w:r>
          </w:p>
        </w:tc>
        <w:tc>
          <w:tcPr>
            <w:tcW w:w="2952" w:type="dxa"/>
          </w:tcPr>
          <w:p w:rsidR="00300C7D" w:rsidRPr="00453C7A" w:rsidRDefault="00300C7D" w:rsidP="007D42AE">
            <w:pPr>
              <w:pStyle w:val="Table3"/>
            </w:pPr>
            <w:r w:rsidRPr="00453C7A">
              <w:t>$109.9175  ≈ $109.92</w:t>
            </w:r>
          </w:p>
        </w:tc>
      </w:tr>
      <w:tr w:rsidR="00300C7D" w:rsidRPr="00453C7A" w:rsidTr="00453C7A">
        <w:tc>
          <w:tcPr>
            <w:tcW w:w="2620" w:type="dxa"/>
          </w:tcPr>
          <w:p w:rsidR="00300C7D" w:rsidRPr="00453C7A" w:rsidRDefault="00300C7D" w:rsidP="007D42AE">
            <w:pPr>
              <w:pStyle w:val="Table3"/>
            </w:pPr>
            <w:r w:rsidRPr="00453C7A">
              <w:t xml:space="preserve">Hourly burden per </w:t>
            </w:r>
            <w:proofErr w:type="spellStart"/>
            <w:r w:rsidRPr="00453C7A">
              <w:t>notifier</w:t>
            </w:r>
            <w:proofErr w:type="spellEnd"/>
          </w:p>
        </w:tc>
        <w:tc>
          <w:tcPr>
            <w:tcW w:w="332" w:type="dxa"/>
          </w:tcPr>
          <w:p w:rsidR="00300C7D" w:rsidRPr="00453C7A" w:rsidRDefault="00300C7D" w:rsidP="007D42AE">
            <w:pPr>
              <w:pStyle w:val="Table3"/>
            </w:pPr>
          </w:p>
        </w:tc>
        <w:tc>
          <w:tcPr>
            <w:tcW w:w="2466" w:type="dxa"/>
          </w:tcPr>
          <w:p w:rsidR="00300C7D" w:rsidRPr="00453C7A" w:rsidRDefault="00300C7D" w:rsidP="007D42AE">
            <w:pPr>
              <w:pStyle w:val="Table3"/>
            </w:pPr>
            <w:r w:rsidRPr="00453C7A">
              <w:t>2009 GS-12, step 1 hourly salary</w:t>
            </w:r>
          </w:p>
        </w:tc>
        <w:tc>
          <w:tcPr>
            <w:tcW w:w="486" w:type="dxa"/>
          </w:tcPr>
          <w:p w:rsidR="00300C7D" w:rsidRPr="00453C7A" w:rsidRDefault="00300C7D" w:rsidP="007D42AE">
            <w:pPr>
              <w:pStyle w:val="Table3"/>
            </w:pPr>
          </w:p>
        </w:tc>
        <w:tc>
          <w:tcPr>
            <w:tcW w:w="2952" w:type="dxa"/>
          </w:tcPr>
          <w:p w:rsidR="00300C7D" w:rsidRPr="00453C7A" w:rsidRDefault="00300C7D" w:rsidP="007D42AE">
            <w:pPr>
              <w:pStyle w:val="Table3"/>
            </w:pPr>
            <w:r w:rsidRPr="00453C7A">
              <w:t xml:space="preserve">Annual cost per </w:t>
            </w:r>
            <w:proofErr w:type="spellStart"/>
            <w:r w:rsidRPr="00453C7A">
              <w:t>notifier</w:t>
            </w:r>
            <w:proofErr w:type="spellEnd"/>
          </w:p>
        </w:tc>
      </w:tr>
    </w:tbl>
    <w:p w:rsidR="00DD4EE8" w:rsidRDefault="00DD4EE8" w:rsidP="00635F01">
      <w:pPr>
        <w:pStyle w:val="Body5"/>
        <w:rPr>
          <w:rFonts w:cs="Arial"/>
        </w:rPr>
      </w:pPr>
    </w:p>
    <w:p w:rsidR="00300C7D" w:rsidRDefault="00300C7D" w:rsidP="00635F01">
      <w:pPr>
        <w:pStyle w:val="Body5"/>
        <w:rPr>
          <w:rFonts w:cs="Arial"/>
        </w:rPr>
      </w:pPr>
    </w:p>
    <w:tbl>
      <w:tblPr>
        <w:tblW w:w="0" w:type="auto"/>
        <w:tblLook w:val="04A0"/>
      </w:tblPr>
      <w:tblGrid>
        <w:gridCol w:w="2620"/>
        <w:gridCol w:w="332"/>
        <w:gridCol w:w="2466"/>
        <w:gridCol w:w="486"/>
        <w:gridCol w:w="2952"/>
      </w:tblGrid>
      <w:tr w:rsidR="00300C7D" w:rsidRPr="00453C7A" w:rsidTr="00453C7A">
        <w:tc>
          <w:tcPr>
            <w:tcW w:w="2620" w:type="dxa"/>
          </w:tcPr>
          <w:p w:rsidR="00300C7D" w:rsidRPr="00453C7A" w:rsidRDefault="00300C7D" w:rsidP="007D42AE">
            <w:pPr>
              <w:pStyle w:val="Table4"/>
            </w:pPr>
            <w:r w:rsidRPr="00453C7A">
              <w:t>$109.92</w:t>
            </w:r>
          </w:p>
        </w:tc>
        <w:tc>
          <w:tcPr>
            <w:tcW w:w="332" w:type="dxa"/>
          </w:tcPr>
          <w:p w:rsidR="00300C7D" w:rsidRPr="00453C7A" w:rsidRDefault="00300C7D" w:rsidP="007D42AE">
            <w:pPr>
              <w:pStyle w:val="Table4"/>
            </w:pPr>
            <w:r w:rsidRPr="00453C7A">
              <w:t>∕</w:t>
            </w:r>
          </w:p>
        </w:tc>
        <w:tc>
          <w:tcPr>
            <w:tcW w:w="2466" w:type="dxa"/>
          </w:tcPr>
          <w:p w:rsidR="00300C7D" w:rsidRPr="00453C7A" w:rsidRDefault="00300C7D" w:rsidP="007D42AE">
            <w:pPr>
              <w:pStyle w:val="Table4"/>
            </w:pPr>
            <w:r w:rsidRPr="00453C7A">
              <w:t>32.968709</w:t>
            </w:r>
          </w:p>
        </w:tc>
        <w:tc>
          <w:tcPr>
            <w:tcW w:w="486" w:type="dxa"/>
          </w:tcPr>
          <w:p w:rsidR="00300C7D" w:rsidRPr="00453C7A" w:rsidRDefault="00300C7D" w:rsidP="007D42AE">
            <w:pPr>
              <w:pStyle w:val="Table4"/>
            </w:pPr>
            <w:r w:rsidRPr="00453C7A">
              <w:t>=</w:t>
            </w:r>
          </w:p>
        </w:tc>
        <w:tc>
          <w:tcPr>
            <w:tcW w:w="2952" w:type="dxa"/>
          </w:tcPr>
          <w:p w:rsidR="00300C7D" w:rsidRPr="00453C7A" w:rsidRDefault="00300C7D" w:rsidP="007D42AE">
            <w:pPr>
              <w:pStyle w:val="Table4"/>
            </w:pPr>
            <w:r w:rsidRPr="00453C7A">
              <w:t>$3.33407 ≈ $3.33</w:t>
            </w:r>
          </w:p>
        </w:tc>
      </w:tr>
      <w:tr w:rsidR="00300C7D" w:rsidRPr="00453C7A" w:rsidTr="00453C7A">
        <w:tc>
          <w:tcPr>
            <w:tcW w:w="2620" w:type="dxa"/>
          </w:tcPr>
          <w:p w:rsidR="00300C7D" w:rsidRPr="00453C7A" w:rsidRDefault="00300C7D" w:rsidP="007D42AE">
            <w:pPr>
              <w:pStyle w:val="Table4"/>
            </w:pPr>
            <w:r w:rsidRPr="00453C7A">
              <w:t xml:space="preserve">Annual cost per </w:t>
            </w:r>
            <w:proofErr w:type="spellStart"/>
            <w:r w:rsidRPr="00453C7A">
              <w:t>notifier</w:t>
            </w:r>
            <w:proofErr w:type="spellEnd"/>
          </w:p>
        </w:tc>
        <w:tc>
          <w:tcPr>
            <w:tcW w:w="332" w:type="dxa"/>
          </w:tcPr>
          <w:p w:rsidR="00300C7D" w:rsidRPr="00453C7A" w:rsidRDefault="00300C7D" w:rsidP="007D42AE">
            <w:pPr>
              <w:pStyle w:val="Table4"/>
            </w:pPr>
          </w:p>
        </w:tc>
        <w:tc>
          <w:tcPr>
            <w:tcW w:w="2466" w:type="dxa"/>
          </w:tcPr>
          <w:p w:rsidR="00300C7D" w:rsidRPr="00453C7A" w:rsidRDefault="00300C7D" w:rsidP="007D42AE">
            <w:pPr>
              <w:pStyle w:val="Table4"/>
            </w:pPr>
            <w:r w:rsidRPr="00453C7A">
              <w:t xml:space="preserve">Annual notices per </w:t>
            </w:r>
            <w:proofErr w:type="spellStart"/>
            <w:r w:rsidRPr="00453C7A">
              <w:t>notifier</w:t>
            </w:r>
            <w:proofErr w:type="spellEnd"/>
          </w:p>
        </w:tc>
        <w:tc>
          <w:tcPr>
            <w:tcW w:w="486" w:type="dxa"/>
          </w:tcPr>
          <w:p w:rsidR="00300C7D" w:rsidRPr="00453C7A" w:rsidRDefault="00300C7D" w:rsidP="007D42AE">
            <w:pPr>
              <w:pStyle w:val="Table4"/>
            </w:pPr>
          </w:p>
        </w:tc>
        <w:tc>
          <w:tcPr>
            <w:tcW w:w="2952" w:type="dxa"/>
          </w:tcPr>
          <w:p w:rsidR="00300C7D" w:rsidRPr="00453C7A" w:rsidRDefault="00300C7D" w:rsidP="007D42AE">
            <w:pPr>
              <w:pStyle w:val="Table4"/>
            </w:pPr>
            <w:r w:rsidRPr="00453C7A">
              <w:t xml:space="preserve">Cost per notice </w:t>
            </w:r>
          </w:p>
        </w:tc>
      </w:tr>
    </w:tbl>
    <w:p w:rsidR="00300C7D" w:rsidRDefault="00300C7D" w:rsidP="00635F01">
      <w:pPr>
        <w:pStyle w:val="Body5"/>
        <w:rPr>
          <w:rFonts w:cs="Arial"/>
        </w:rPr>
      </w:pPr>
    </w:p>
    <w:p w:rsidR="00EC74C2" w:rsidRDefault="00EC74C2" w:rsidP="00635F01">
      <w:pPr>
        <w:pStyle w:val="Body5"/>
        <w:rPr>
          <w:rFonts w:cs="Arial"/>
        </w:rPr>
      </w:pPr>
    </w:p>
    <w:p w:rsidR="00C20406" w:rsidRDefault="00880020" w:rsidP="00635F01">
      <w:pPr>
        <w:pStyle w:val="Body5"/>
        <w:rPr>
          <w:rFonts w:cs="Arial"/>
        </w:rPr>
      </w:pPr>
      <w:r w:rsidRPr="00C363BA">
        <w:rPr>
          <w:rFonts w:cs="Arial"/>
        </w:rPr>
        <w:t xml:space="preserve">We estimate the </w:t>
      </w:r>
      <w:r w:rsidR="00C20406" w:rsidRPr="00C363BA">
        <w:rPr>
          <w:rFonts w:cs="Arial"/>
        </w:rPr>
        <w:t xml:space="preserve">annual cost </w:t>
      </w:r>
      <w:r w:rsidRPr="00C363BA">
        <w:rPr>
          <w:rFonts w:cs="Arial"/>
        </w:rPr>
        <w:t xml:space="preserve">of delivering </w:t>
      </w:r>
      <w:r w:rsidR="009F2503">
        <w:rPr>
          <w:rFonts w:cs="Arial"/>
        </w:rPr>
        <w:t>43,725,8</w:t>
      </w:r>
      <w:r w:rsidR="00D27EC9">
        <w:rPr>
          <w:rFonts w:cs="Arial"/>
        </w:rPr>
        <w:t>50</w:t>
      </w:r>
      <w:r w:rsidR="009F2503">
        <w:rPr>
          <w:rFonts w:cs="Arial"/>
        </w:rPr>
        <w:t xml:space="preserve"> </w:t>
      </w:r>
      <w:r w:rsidRPr="00C363BA">
        <w:rPr>
          <w:rFonts w:cs="Arial"/>
        </w:rPr>
        <w:t>ABNs</w:t>
      </w:r>
      <w:r w:rsidR="00EC74C2">
        <w:rPr>
          <w:rFonts w:cs="Arial"/>
        </w:rPr>
        <w:t xml:space="preserve"> at $3.33 per notice</w:t>
      </w:r>
      <w:r w:rsidRPr="00C363BA">
        <w:rPr>
          <w:rFonts w:cs="Arial"/>
        </w:rPr>
        <w:t xml:space="preserve"> to be $</w:t>
      </w:r>
      <w:r w:rsidR="009F2503">
        <w:rPr>
          <w:rFonts w:cs="Arial"/>
        </w:rPr>
        <w:t>145,60</w:t>
      </w:r>
      <w:r w:rsidR="00D27EC9">
        <w:rPr>
          <w:rFonts w:cs="Arial"/>
        </w:rPr>
        <w:t>7,081</w:t>
      </w:r>
      <w:r w:rsidRPr="00C363BA">
        <w:rPr>
          <w:rFonts w:cs="Arial"/>
        </w:rPr>
        <w:t xml:space="preserve">. </w:t>
      </w:r>
    </w:p>
    <w:p w:rsidR="007D42AE" w:rsidRDefault="007D42AE" w:rsidP="00635F01">
      <w:pPr>
        <w:pStyle w:val="Body5"/>
        <w:rPr>
          <w:rFonts w:cs="Arial"/>
        </w:rPr>
      </w:pPr>
    </w:p>
    <w:tbl>
      <w:tblPr>
        <w:tblW w:w="0" w:type="auto"/>
        <w:tblLayout w:type="fixed"/>
        <w:tblLook w:val="04A0"/>
      </w:tblPr>
      <w:tblGrid>
        <w:gridCol w:w="2088"/>
        <w:gridCol w:w="360"/>
        <w:gridCol w:w="1980"/>
        <w:gridCol w:w="90"/>
        <w:gridCol w:w="270"/>
        <w:gridCol w:w="180"/>
        <w:gridCol w:w="3888"/>
      </w:tblGrid>
      <w:tr w:rsidR="00C349F5" w:rsidRPr="00C349F5" w:rsidTr="00C349F5">
        <w:tc>
          <w:tcPr>
            <w:tcW w:w="2088" w:type="dxa"/>
          </w:tcPr>
          <w:p w:rsidR="00C349F5" w:rsidRPr="00C349F5" w:rsidRDefault="00C349F5" w:rsidP="00EC74C2">
            <w:pPr>
              <w:pStyle w:val="table5"/>
            </w:pPr>
            <w:r w:rsidRPr="00C349F5">
              <w:t>$3.33</w:t>
            </w:r>
          </w:p>
        </w:tc>
        <w:tc>
          <w:tcPr>
            <w:tcW w:w="360" w:type="dxa"/>
          </w:tcPr>
          <w:p w:rsidR="00C349F5" w:rsidRPr="00C349F5" w:rsidRDefault="00C349F5" w:rsidP="00EC74C2">
            <w:pPr>
              <w:pStyle w:val="table5"/>
            </w:pPr>
            <w:r w:rsidRPr="00C349F5">
              <w:t>X</w:t>
            </w:r>
          </w:p>
        </w:tc>
        <w:tc>
          <w:tcPr>
            <w:tcW w:w="1980" w:type="dxa"/>
          </w:tcPr>
          <w:p w:rsidR="00C349F5" w:rsidRPr="00C349F5" w:rsidRDefault="00C349F5" w:rsidP="00EC74C2">
            <w:pPr>
              <w:pStyle w:val="table5"/>
            </w:pPr>
            <w:r w:rsidRPr="00C349F5">
              <w:t>43,725,850</w:t>
            </w:r>
          </w:p>
        </w:tc>
        <w:tc>
          <w:tcPr>
            <w:tcW w:w="360" w:type="dxa"/>
            <w:gridSpan w:val="2"/>
          </w:tcPr>
          <w:p w:rsidR="00C349F5" w:rsidRPr="00C349F5" w:rsidRDefault="00C349F5" w:rsidP="00EC74C2">
            <w:pPr>
              <w:pStyle w:val="table5"/>
            </w:pPr>
            <w:r w:rsidRPr="00C349F5">
              <w:t>=</w:t>
            </w:r>
          </w:p>
        </w:tc>
        <w:tc>
          <w:tcPr>
            <w:tcW w:w="4068" w:type="dxa"/>
            <w:gridSpan w:val="2"/>
          </w:tcPr>
          <w:p w:rsidR="00C349F5" w:rsidRPr="00C349F5" w:rsidRDefault="00C349F5" w:rsidP="00EC74C2">
            <w:pPr>
              <w:pStyle w:val="table5"/>
            </w:pPr>
            <w:r w:rsidRPr="00C349F5">
              <w:t>$145,607,080.50 (≈  $145,607,081)</w:t>
            </w:r>
          </w:p>
        </w:tc>
      </w:tr>
      <w:tr w:rsidR="00C349F5" w:rsidRPr="00C349F5" w:rsidTr="00C349F5">
        <w:tc>
          <w:tcPr>
            <w:tcW w:w="2088" w:type="dxa"/>
          </w:tcPr>
          <w:p w:rsidR="00C349F5" w:rsidRPr="00C349F5" w:rsidRDefault="00C349F5" w:rsidP="00EC74C2">
            <w:pPr>
              <w:pStyle w:val="table5"/>
            </w:pPr>
            <w:r w:rsidRPr="00C349F5">
              <w:t>Cost per notice</w:t>
            </w:r>
          </w:p>
        </w:tc>
        <w:tc>
          <w:tcPr>
            <w:tcW w:w="360" w:type="dxa"/>
          </w:tcPr>
          <w:p w:rsidR="00C349F5" w:rsidRPr="00C349F5" w:rsidRDefault="00C349F5" w:rsidP="00EC74C2">
            <w:pPr>
              <w:pStyle w:val="table5"/>
            </w:pPr>
          </w:p>
        </w:tc>
        <w:tc>
          <w:tcPr>
            <w:tcW w:w="2070" w:type="dxa"/>
            <w:gridSpan w:val="2"/>
          </w:tcPr>
          <w:p w:rsidR="00C349F5" w:rsidRPr="00C349F5" w:rsidRDefault="00C349F5" w:rsidP="00EC74C2">
            <w:pPr>
              <w:pStyle w:val="table5"/>
            </w:pPr>
            <w:r w:rsidRPr="00C349F5">
              <w:t>Annual number of responses</w:t>
            </w:r>
          </w:p>
        </w:tc>
        <w:tc>
          <w:tcPr>
            <w:tcW w:w="450" w:type="dxa"/>
            <w:gridSpan w:val="2"/>
          </w:tcPr>
          <w:p w:rsidR="00C349F5" w:rsidRPr="00C349F5" w:rsidRDefault="00C349F5" w:rsidP="00EC74C2">
            <w:pPr>
              <w:pStyle w:val="table5"/>
            </w:pPr>
          </w:p>
        </w:tc>
        <w:tc>
          <w:tcPr>
            <w:tcW w:w="3888" w:type="dxa"/>
          </w:tcPr>
          <w:p w:rsidR="00C349F5" w:rsidRPr="00C349F5" w:rsidRDefault="00C349F5" w:rsidP="00EC74C2">
            <w:pPr>
              <w:pStyle w:val="table5"/>
            </w:pPr>
            <w:r w:rsidRPr="00C349F5">
              <w:t>Annual cost burden</w:t>
            </w:r>
          </w:p>
        </w:tc>
      </w:tr>
    </w:tbl>
    <w:p w:rsidR="000301CD" w:rsidRDefault="000301CD" w:rsidP="00635F01">
      <w:pPr>
        <w:pStyle w:val="Body5"/>
        <w:rPr>
          <w:rFonts w:cs="Courier New"/>
          <w:b/>
          <w:u w:val="single"/>
        </w:rPr>
      </w:pPr>
    </w:p>
    <w:p w:rsidR="00EC74C2" w:rsidRPr="00C363BA" w:rsidRDefault="00EC74C2" w:rsidP="00635F01">
      <w:pPr>
        <w:pStyle w:val="Body5"/>
        <w:rPr>
          <w:rFonts w:cs="Courier New"/>
          <w:b/>
          <w:u w:val="single"/>
        </w:rPr>
      </w:pPr>
    </w:p>
    <w:p w:rsidR="007111E8" w:rsidRPr="00EC74C2" w:rsidRDefault="007111E8" w:rsidP="00635F01">
      <w:pPr>
        <w:pStyle w:val="Body5"/>
        <w:rPr>
          <w:b/>
        </w:rPr>
      </w:pPr>
      <w:r w:rsidRPr="00EC74C2">
        <w:rPr>
          <w:b/>
        </w:rPr>
        <w:t>13.</w:t>
      </w:r>
      <w:r w:rsidRPr="00EC74C2">
        <w:rPr>
          <w:b/>
        </w:rPr>
        <w:tab/>
        <w:t>C</w:t>
      </w:r>
      <w:r w:rsidR="0057164B" w:rsidRPr="00EC74C2">
        <w:rPr>
          <w:b/>
        </w:rPr>
        <w:t>apital Costs</w:t>
      </w:r>
    </w:p>
    <w:p w:rsidR="007111E8" w:rsidRPr="00C363BA" w:rsidRDefault="007111E8" w:rsidP="00635F01">
      <w:pPr>
        <w:pStyle w:val="Body5"/>
      </w:pPr>
    </w:p>
    <w:p w:rsidR="007111E8" w:rsidRDefault="000F1712" w:rsidP="00635F01">
      <w:pPr>
        <w:pStyle w:val="Body5"/>
      </w:pPr>
      <w:r w:rsidRPr="00C363BA">
        <w:t xml:space="preserve">Since all affected </w:t>
      </w:r>
      <w:proofErr w:type="spellStart"/>
      <w:r w:rsidRPr="00C363BA">
        <w:t>notifiers</w:t>
      </w:r>
      <w:proofErr w:type="spellEnd"/>
      <w:r w:rsidRPr="00C363BA">
        <w:t xml:space="preserve"> are expected to already have the capacity to reproduce ABNs based on CMS guidance, t</w:t>
      </w:r>
      <w:r w:rsidR="007111E8" w:rsidRPr="00C363BA">
        <w:t xml:space="preserve">here </w:t>
      </w:r>
      <w:proofErr w:type="gramStart"/>
      <w:r w:rsidR="007111E8" w:rsidRPr="00C363BA">
        <w:t>are</w:t>
      </w:r>
      <w:proofErr w:type="gramEnd"/>
      <w:r w:rsidR="007111E8" w:rsidRPr="00C363BA">
        <w:t xml:space="preserve"> no capital costs associated with this collection.</w:t>
      </w:r>
      <w:r w:rsidRPr="00C363BA">
        <w:t xml:space="preserve"> </w:t>
      </w:r>
    </w:p>
    <w:p w:rsidR="00EC74C2" w:rsidRPr="00C363BA" w:rsidRDefault="00EC74C2" w:rsidP="00635F01">
      <w:pPr>
        <w:pStyle w:val="Body5"/>
      </w:pPr>
    </w:p>
    <w:p w:rsidR="007111E8" w:rsidRPr="00EC74C2" w:rsidRDefault="007111E8" w:rsidP="00635F01">
      <w:pPr>
        <w:pStyle w:val="Body5"/>
        <w:rPr>
          <w:b/>
        </w:rPr>
      </w:pPr>
      <w:r w:rsidRPr="00EC74C2">
        <w:rPr>
          <w:b/>
        </w:rPr>
        <w:t xml:space="preserve">14. </w:t>
      </w:r>
      <w:r w:rsidR="007E08AB" w:rsidRPr="00EC74C2">
        <w:rPr>
          <w:b/>
        </w:rPr>
        <w:tab/>
      </w:r>
      <w:r w:rsidRPr="00EC74C2">
        <w:rPr>
          <w:b/>
        </w:rPr>
        <w:t>C</w:t>
      </w:r>
      <w:r w:rsidR="0057164B" w:rsidRPr="00EC74C2">
        <w:rPr>
          <w:b/>
        </w:rPr>
        <w:t>osts to Federal Government</w:t>
      </w:r>
    </w:p>
    <w:p w:rsidR="007111E8" w:rsidRPr="00C363BA" w:rsidRDefault="007111E8" w:rsidP="00635F01">
      <w:pPr>
        <w:pStyle w:val="Body5"/>
        <w:rPr>
          <w:u w:val="single"/>
        </w:rPr>
      </w:pPr>
    </w:p>
    <w:p w:rsidR="006C6A47" w:rsidRPr="00C363BA" w:rsidRDefault="007111E8" w:rsidP="00635F01">
      <w:pPr>
        <w:pStyle w:val="Body5"/>
      </w:pPr>
      <w:r w:rsidRPr="00C363BA">
        <w:t>There is no cost to the Federal Government for this collection</w:t>
      </w:r>
      <w:r w:rsidR="006C6A47" w:rsidRPr="00C363BA">
        <w:t>.</w:t>
      </w:r>
    </w:p>
    <w:p w:rsidR="006C6A47" w:rsidRPr="00C363BA" w:rsidRDefault="006C6A47" w:rsidP="00635F01">
      <w:pPr>
        <w:pStyle w:val="Body5"/>
      </w:pPr>
    </w:p>
    <w:p w:rsidR="007111E8" w:rsidRPr="00EC74C2" w:rsidRDefault="007111E8" w:rsidP="00635F01">
      <w:pPr>
        <w:pStyle w:val="Body5"/>
        <w:rPr>
          <w:b/>
        </w:rPr>
      </w:pPr>
      <w:r w:rsidRPr="00EC74C2">
        <w:rPr>
          <w:b/>
        </w:rPr>
        <w:t>15.</w:t>
      </w:r>
      <w:r w:rsidRPr="00EC74C2">
        <w:rPr>
          <w:b/>
        </w:rPr>
        <w:tab/>
        <w:t>P</w:t>
      </w:r>
      <w:r w:rsidR="0057164B" w:rsidRPr="00EC74C2">
        <w:rPr>
          <w:b/>
        </w:rPr>
        <w:t xml:space="preserve">rogram or Burden Changes </w:t>
      </w:r>
    </w:p>
    <w:p w:rsidR="0099650E" w:rsidRPr="00C363BA" w:rsidRDefault="0099650E" w:rsidP="00635F01">
      <w:pPr>
        <w:pStyle w:val="Body5"/>
      </w:pPr>
    </w:p>
    <w:p w:rsidR="00307B75" w:rsidRPr="00C363BA" w:rsidRDefault="0099650E" w:rsidP="00635F01">
      <w:pPr>
        <w:pStyle w:val="Body5"/>
      </w:pPr>
      <w:r w:rsidRPr="00C363BA">
        <w:t xml:space="preserve">Issuance of the ABN is an existing collection.  The </w:t>
      </w:r>
      <w:r w:rsidR="002C6B35">
        <w:t xml:space="preserve">hourly </w:t>
      </w:r>
      <w:r w:rsidRPr="00C363BA">
        <w:t xml:space="preserve">burden estimate </w:t>
      </w:r>
      <w:r w:rsidR="002C6B35">
        <w:t xml:space="preserve">is slightly higher than </w:t>
      </w:r>
      <w:r w:rsidR="002C6B35">
        <w:rPr>
          <w:rFonts w:cs="Arial"/>
        </w:rPr>
        <w:t xml:space="preserve">our currently approved burden </w:t>
      </w:r>
      <w:r w:rsidR="00C327D7">
        <w:rPr>
          <w:rFonts w:cs="Arial"/>
        </w:rPr>
        <w:t xml:space="preserve">amount </w:t>
      </w:r>
      <w:r w:rsidRPr="00C363BA">
        <w:t>due to growth in the Medicare program</w:t>
      </w:r>
      <w:r w:rsidR="0010455A">
        <w:t>.</w:t>
      </w:r>
      <w:r w:rsidR="00024337">
        <w:t xml:space="preserve">  </w:t>
      </w:r>
      <w:r w:rsidR="002C6B35">
        <w:rPr>
          <w:rFonts w:cs="Arial"/>
        </w:rPr>
        <w:t xml:space="preserve">Since the number of items and services provided </w:t>
      </w:r>
      <w:r w:rsidR="00C327D7">
        <w:rPr>
          <w:rFonts w:cs="Arial"/>
        </w:rPr>
        <w:t xml:space="preserve">annually </w:t>
      </w:r>
      <w:r w:rsidR="002C6B35">
        <w:rPr>
          <w:rFonts w:cs="Arial"/>
        </w:rPr>
        <w:t>to Medicare beneficiaries has increased</w:t>
      </w:r>
      <w:r w:rsidR="00307B75">
        <w:rPr>
          <w:rFonts w:cs="Arial"/>
        </w:rPr>
        <w:t>,</w:t>
      </w:r>
      <w:r w:rsidR="00307B75">
        <w:rPr>
          <w:rStyle w:val="FootnoteReference"/>
          <w:rFonts w:cs="Arial"/>
        </w:rPr>
        <w:footnoteReference w:id="1"/>
      </w:r>
      <w:r w:rsidR="00307B75">
        <w:rPr>
          <w:rFonts w:cs="Arial"/>
        </w:rPr>
        <w:t xml:space="preserve"> </w:t>
      </w:r>
      <w:r w:rsidR="00C327D7">
        <w:rPr>
          <w:rFonts w:cs="Arial"/>
        </w:rPr>
        <w:t>our calculation</w:t>
      </w:r>
      <w:r w:rsidR="002C6B35">
        <w:rPr>
          <w:rFonts w:cs="Arial"/>
        </w:rPr>
        <w:t xml:space="preserve"> </w:t>
      </w:r>
      <w:r w:rsidR="00E24649">
        <w:rPr>
          <w:rFonts w:cs="Arial"/>
        </w:rPr>
        <w:t>of</w:t>
      </w:r>
      <w:r w:rsidR="002C6B35">
        <w:rPr>
          <w:rFonts w:cs="Arial"/>
        </w:rPr>
        <w:t xml:space="preserve"> the number of ABNs issued </w:t>
      </w:r>
      <w:r w:rsidR="0010455A">
        <w:rPr>
          <w:rFonts w:cs="Arial"/>
        </w:rPr>
        <w:t xml:space="preserve">annually is </w:t>
      </w:r>
      <w:r w:rsidR="000F058C">
        <w:rPr>
          <w:rFonts w:cs="Arial"/>
        </w:rPr>
        <w:t xml:space="preserve">predictably </w:t>
      </w:r>
      <w:r w:rsidR="0010455A">
        <w:rPr>
          <w:rFonts w:cs="Arial"/>
        </w:rPr>
        <w:t xml:space="preserve">higher. </w:t>
      </w:r>
      <w:r w:rsidR="002C6B35">
        <w:rPr>
          <w:rFonts w:cs="Arial"/>
        </w:rPr>
        <w:t xml:space="preserve"> </w:t>
      </w:r>
      <w:r w:rsidR="0041293E">
        <w:rPr>
          <w:rFonts w:cs="Arial"/>
        </w:rPr>
        <w:t>However, because the</w:t>
      </w:r>
      <w:r w:rsidR="0010455A">
        <w:rPr>
          <w:rFonts w:cs="Arial"/>
        </w:rPr>
        <w:t xml:space="preserve"> </w:t>
      </w:r>
      <w:r w:rsidR="000006F3">
        <w:rPr>
          <w:rFonts w:cs="Arial"/>
        </w:rPr>
        <w:t xml:space="preserve">number of </w:t>
      </w:r>
      <w:r w:rsidR="0041293E">
        <w:rPr>
          <w:rFonts w:cs="Arial"/>
        </w:rPr>
        <w:t>Medicare providers</w:t>
      </w:r>
      <w:r w:rsidR="000006F3">
        <w:rPr>
          <w:rFonts w:cs="Arial"/>
        </w:rPr>
        <w:t xml:space="preserve"> </w:t>
      </w:r>
      <w:r w:rsidR="000F058C">
        <w:rPr>
          <w:rFonts w:cs="Arial"/>
        </w:rPr>
        <w:t xml:space="preserve">responsible for ABN delivery </w:t>
      </w:r>
      <w:r w:rsidR="0010455A">
        <w:rPr>
          <w:rFonts w:cs="Arial"/>
        </w:rPr>
        <w:t>has also increased,</w:t>
      </w:r>
      <w:r w:rsidR="000006F3">
        <w:rPr>
          <w:rFonts w:cs="Arial"/>
        </w:rPr>
        <w:t xml:space="preserve"> </w:t>
      </w:r>
      <w:r w:rsidR="0041293E">
        <w:rPr>
          <w:rFonts w:cs="Arial"/>
        </w:rPr>
        <w:t xml:space="preserve">the change in hourly burden per </w:t>
      </w:r>
      <w:proofErr w:type="spellStart"/>
      <w:r w:rsidR="0041293E">
        <w:rPr>
          <w:rFonts w:cs="Arial"/>
        </w:rPr>
        <w:t>notifier</w:t>
      </w:r>
      <w:proofErr w:type="spellEnd"/>
      <w:r w:rsidR="0041293E">
        <w:rPr>
          <w:rFonts w:cs="Arial"/>
        </w:rPr>
        <w:t xml:space="preserve"> is</w:t>
      </w:r>
      <w:r w:rsidR="00716FD8">
        <w:rPr>
          <w:rFonts w:cs="Arial"/>
        </w:rPr>
        <w:t xml:space="preserve"> minimized. </w:t>
      </w:r>
    </w:p>
    <w:p w:rsidR="00EC74C2" w:rsidRDefault="00EC74C2" w:rsidP="00635F01">
      <w:pPr>
        <w:pStyle w:val="Body5"/>
        <w:rPr>
          <w:rFonts w:cs="Arial"/>
        </w:rPr>
      </w:pPr>
    </w:p>
    <w:p w:rsidR="007607DB" w:rsidRDefault="0099650E" w:rsidP="00635F01">
      <w:pPr>
        <w:pStyle w:val="Body5"/>
        <w:rPr>
          <w:rFonts w:cs="Arial"/>
        </w:rPr>
      </w:pPr>
      <w:r>
        <w:rPr>
          <w:rFonts w:cs="Arial"/>
        </w:rPr>
        <w:t xml:space="preserve">Although our annual hour burden estimate is higher than the currently approved amount, our annual cost burden </w:t>
      </w:r>
      <w:r w:rsidR="0041293E">
        <w:rPr>
          <w:rFonts w:cs="Arial"/>
        </w:rPr>
        <w:t xml:space="preserve">is </w:t>
      </w:r>
      <w:r>
        <w:rPr>
          <w:rFonts w:cs="Arial"/>
        </w:rPr>
        <w:t>$180,648,</w:t>
      </w:r>
      <w:r w:rsidR="000006F3">
        <w:rPr>
          <w:rFonts w:cs="Arial"/>
        </w:rPr>
        <w:t>421</w:t>
      </w:r>
      <w:r w:rsidR="00C25CDC">
        <w:rPr>
          <w:rFonts w:cs="Arial"/>
        </w:rPr>
        <w:t xml:space="preserve"> </w:t>
      </w:r>
      <w:r w:rsidR="0041293E">
        <w:rPr>
          <w:rFonts w:cs="Arial"/>
        </w:rPr>
        <w:t xml:space="preserve">less than the </w:t>
      </w:r>
      <w:r w:rsidR="00C25CDC">
        <w:rPr>
          <w:rFonts w:cs="Arial"/>
        </w:rPr>
        <w:t>currently approved cost burden</w:t>
      </w:r>
      <w:r w:rsidR="007607DB">
        <w:rPr>
          <w:rFonts w:cs="Arial"/>
        </w:rPr>
        <w:t xml:space="preserve"> of $326,255,502</w:t>
      </w:r>
      <w:r>
        <w:rPr>
          <w:rFonts w:cs="Arial"/>
        </w:rPr>
        <w:t>.</w:t>
      </w:r>
      <w:r w:rsidR="007607DB">
        <w:rPr>
          <w:rFonts w:cs="Arial"/>
        </w:rPr>
        <w:t xml:space="preserve"> We determined that this </w:t>
      </w:r>
      <w:r w:rsidR="007607DB">
        <w:rPr>
          <w:rFonts w:cs="Arial"/>
        </w:rPr>
        <w:lastRenderedPageBreak/>
        <w:t xml:space="preserve">decrease is the result of </w:t>
      </w:r>
      <w:r w:rsidRPr="006433B3">
        <w:rPr>
          <w:rFonts w:cs="Arial"/>
        </w:rPr>
        <w:t>a clerical error in our last PRA submission</w:t>
      </w:r>
      <w:r w:rsidR="007607DB">
        <w:rPr>
          <w:rFonts w:cs="Arial"/>
        </w:rPr>
        <w:t xml:space="preserve">. </w:t>
      </w:r>
      <w:r w:rsidR="000658A8">
        <w:rPr>
          <w:rFonts w:cs="Arial"/>
        </w:rPr>
        <w:t xml:space="preserve">In our 2007 submission, the annual cost burden was given as $326,255,502 instead of $126,255,502. </w:t>
      </w:r>
      <w:r w:rsidR="00024337">
        <w:rPr>
          <w:rFonts w:cs="Arial"/>
        </w:rPr>
        <w:t>Thus, if</w:t>
      </w:r>
      <w:r w:rsidR="007607DB">
        <w:rPr>
          <w:rFonts w:cs="Arial"/>
        </w:rPr>
        <w:t xml:space="preserve"> we compare the current cost estimate of $145,607,081 with the cost estimate of $126,522,502, there is a $19</w:t>
      </w:r>
      <w:r w:rsidR="007607DB" w:rsidRPr="000F058C">
        <w:rPr>
          <w:rFonts w:cs="Arial"/>
        </w:rPr>
        <w:t>,351,579</w:t>
      </w:r>
      <w:r w:rsidR="007607DB">
        <w:rPr>
          <w:rFonts w:cs="Arial"/>
        </w:rPr>
        <w:t xml:space="preserve"> increase in the annual cost burden which is more consistent with the 3,423,344 in</w:t>
      </w:r>
      <w:r w:rsidR="00F37074">
        <w:rPr>
          <w:rFonts w:cs="Arial"/>
        </w:rPr>
        <w:t xml:space="preserve">crease in annual responses and 397,350 </w:t>
      </w:r>
      <w:proofErr w:type="gramStart"/>
      <w:r w:rsidR="007607DB">
        <w:rPr>
          <w:rFonts w:cs="Arial"/>
        </w:rPr>
        <w:t>increase</w:t>
      </w:r>
      <w:proofErr w:type="gramEnd"/>
      <w:r w:rsidR="007607DB">
        <w:rPr>
          <w:rFonts w:cs="Arial"/>
        </w:rPr>
        <w:t xml:space="preserve"> in annual hour burden that we have projected. </w:t>
      </w:r>
      <w:r w:rsidRPr="006433B3">
        <w:rPr>
          <w:rFonts w:cs="Arial"/>
        </w:rPr>
        <w:t xml:space="preserve"> </w:t>
      </w:r>
    </w:p>
    <w:p w:rsidR="0083624B" w:rsidRPr="00C363BA" w:rsidRDefault="0083624B" w:rsidP="00635F01">
      <w:pPr>
        <w:pStyle w:val="Body5"/>
      </w:pPr>
    </w:p>
    <w:p w:rsidR="007111E8" w:rsidRPr="00EC74C2" w:rsidRDefault="007111E8" w:rsidP="00635F01">
      <w:pPr>
        <w:pStyle w:val="Body5"/>
        <w:rPr>
          <w:b/>
        </w:rPr>
      </w:pPr>
      <w:r w:rsidRPr="00EC74C2">
        <w:rPr>
          <w:b/>
        </w:rPr>
        <w:t>16.</w:t>
      </w:r>
      <w:r w:rsidRPr="00EC74C2">
        <w:rPr>
          <w:b/>
        </w:rPr>
        <w:tab/>
        <w:t>P</w:t>
      </w:r>
      <w:r w:rsidR="0057164B" w:rsidRPr="00EC74C2">
        <w:rPr>
          <w:b/>
        </w:rPr>
        <w:t>ublication and Tabulation Dates</w:t>
      </w:r>
    </w:p>
    <w:p w:rsidR="007111E8" w:rsidRPr="00C363BA" w:rsidRDefault="007111E8" w:rsidP="00635F01">
      <w:pPr>
        <w:pStyle w:val="Body5"/>
        <w:rPr>
          <w:u w:val="single"/>
        </w:rPr>
      </w:pPr>
    </w:p>
    <w:p w:rsidR="007111E8" w:rsidRPr="00C363BA" w:rsidRDefault="007111E8" w:rsidP="00635F01">
      <w:pPr>
        <w:pStyle w:val="Body5"/>
      </w:pPr>
      <w:r w:rsidRPr="00C363BA">
        <w:t>These no</w:t>
      </w:r>
      <w:r w:rsidR="00F76664">
        <w:t>tices will be published on the i</w:t>
      </w:r>
      <w:r w:rsidRPr="00C363BA">
        <w:t>nternet; however, no aggregate or individual data will be tabulated from them.</w:t>
      </w:r>
    </w:p>
    <w:p w:rsidR="007111E8" w:rsidRPr="00C363BA" w:rsidRDefault="007111E8" w:rsidP="00635F01">
      <w:pPr>
        <w:pStyle w:val="Body5"/>
      </w:pPr>
    </w:p>
    <w:p w:rsidR="007111E8" w:rsidRPr="00EC74C2" w:rsidRDefault="007111E8" w:rsidP="00635F01">
      <w:pPr>
        <w:pStyle w:val="Body5"/>
        <w:rPr>
          <w:b/>
        </w:rPr>
      </w:pPr>
      <w:r w:rsidRPr="00EC74C2">
        <w:rPr>
          <w:b/>
        </w:rPr>
        <w:t>17.</w:t>
      </w:r>
      <w:r w:rsidRPr="00EC74C2">
        <w:rPr>
          <w:b/>
        </w:rPr>
        <w:tab/>
        <w:t>E</w:t>
      </w:r>
      <w:r w:rsidR="0057164B" w:rsidRPr="00EC74C2">
        <w:rPr>
          <w:b/>
        </w:rPr>
        <w:t>xpiration Date</w:t>
      </w:r>
    </w:p>
    <w:p w:rsidR="007111E8" w:rsidRPr="00C363BA" w:rsidRDefault="007111E8" w:rsidP="00635F01">
      <w:pPr>
        <w:pStyle w:val="Body5"/>
        <w:rPr>
          <w:rFonts w:cs="Arial"/>
          <w:u w:val="single"/>
        </w:rPr>
      </w:pPr>
    </w:p>
    <w:p w:rsidR="007111E8" w:rsidRPr="00C363BA" w:rsidRDefault="007111E8" w:rsidP="00635F01">
      <w:pPr>
        <w:pStyle w:val="Body5"/>
        <w:rPr>
          <w:rFonts w:cs="Arial"/>
        </w:rPr>
      </w:pPr>
      <w:r w:rsidRPr="00C363BA">
        <w:rPr>
          <w:rFonts w:cs="Arial"/>
        </w:rPr>
        <w:t>We are not requesting exemption.</w:t>
      </w:r>
    </w:p>
    <w:p w:rsidR="007111E8" w:rsidRPr="00C363BA" w:rsidRDefault="007111E8" w:rsidP="00635F01">
      <w:pPr>
        <w:pStyle w:val="Body5"/>
        <w:rPr>
          <w:rFonts w:cs="Arial"/>
        </w:rPr>
      </w:pPr>
    </w:p>
    <w:p w:rsidR="007111E8" w:rsidRPr="00EC74C2" w:rsidRDefault="007111E8" w:rsidP="00635F01">
      <w:pPr>
        <w:pStyle w:val="Body5"/>
        <w:rPr>
          <w:rFonts w:cs="Arial"/>
          <w:b/>
        </w:rPr>
      </w:pPr>
      <w:r w:rsidRPr="00EC74C2">
        <w:rPr>
          <w:rFonts w:cs="Arial"/>
          <w:b/>
        </w:rPr>
        <w:t>18.</w:t>
      </w:r>
      <w:r w:rsidRPr="00EC74C2">
        <w:rPr>
          <w:rFonts w:cs="Arial"/>
          <w:b/>
        </w:rPr>
        <w:tab/>
        <w:t>C</w:t>
      </w:r>
      <w:r w:rsidR="0057164B" w:rsidRPr="00EC74C2">
        <w:rPr>
          <w:rFonts w:cs="Arial"/>
          <w:b/>
        </w:rPr>
        <w:t>ertification Statement</w:t>
      </w:r>
    </w:p>
    <w:p w:rsidR="007111E8" w:rsidRPr="00C363BA" w:rsidRDefault="007111E8" w:rsidP="00635F01">
      <w:pPr>
        <w:pStyle w:val="Body5"/>
        <w:rPr>
          <w:rFonts w:cs="Arial"/>
        </w:rPr>
      </w:pPr>
    </w:p>
    <w:p w:rsidR="007111E8" w:rsidRPr="00C363BA" w:rsidRDefault="007111E8" w:rsidP="00635F01">
      <w:pPr>
        <w:pStyle w:val="Body5"/>
        <w:rPr>
          <w:rFonts w:cs="Arial"/>
        </w:rPr>
      </w:pPr>
      <w:r w:rsidRPr="00C363BA">
        <w:rPr>
          <w:rFonts w:cs="Arial"/>
        </w:rPr>
        <w:t>There are no exceptions to the certification statement.</w:t>
      </w:r>
    </w:p>
    <w:p w:rsidR="007111E8" w:rsidRPr="00C363BA" w:rsidRDefault="007111E8" w:rsidP="00635F01">
      <w:pPr>
        <w:pStyle w:val="Body5"/>
        <w:rPr>
          <w:rFonts w:cs="Arial"/>
        </w:rPr>
      </w:pPr>
    </w:p>
    <w:p w:rsidR="007111E8" w:rsidRPr="00EC74C2" w:rsidRDefault="007111E8" w:rsidP="00635F01">
      <w:pPr>
        <w:pStyle w:val="Body5"/>
        <w:rPr>
          <w:rFonts w:cs="Arial"/>
          <w:b/>
        </w:rPr>
      </w:pPr>
      <w:r w:rsidRPr="00EC74C2">
        <w:rPr>
          <w:rFonts w:cs="Arial"/>
          <w:b/>
        </w:rPr>
        <w:t>C.</w:t>
      </w:r>
      <w:r w:rsidRPr="00EC74C2">
        <w:rPr>
          <w:rFonts w:cs="Arial"/>
          <w:b/>
        </w:rPr>
        <w:tab/>
        <w:t>C</w:t>
      </w:r>
      <w:r w:rsidR="0057164B" w:rsidRPr="00EC74C2">
        <w:rPr>
          <w:rFonts w:cs="Arial"/>
          <w:b/>
        </w:rPr>
        <w:t>ollection of Information Employing Statistical Methods</w:t>
      </w:r>
      <w:r w:rsidRPr="00EC74C2">
        <w:rPr>
          <w:rFonts w:cs="Arial"/>
          <w:b/>
        </w:rPr>
        <w:tab/>
      </w:r>
    </w:p>
    <w:p w:rsidR="007111E8" w:rsidRPr="00C363BA" w:rsidRDefault="007111E8" w:rsidP="00635F01">
      <w:pPr>
        <w:pStyle w:val="Body5"/>
        <w:rPr>
          <w:rFonts w:cs="Arial"/>
        </w:rPr>
      </w:pPr>
    </w:p>
    <w:p w:rsidR="007111E8" w:rsidRPr="00C363BA" w:rsidRDefault="007111E8" w:rsidP="00635F01">
      <w:pPr>
        <w:pStyle w:val="Body5"/>
        <w:rPr>
          <w:rFonts w:cs="Arial"/>
        </w:rPr>
      </w:pPr>
      <w:r w:rsidRPr="00C363BA">
        <w:rPr>
          <w:rFonts w:cs="Arial"/>
        </w:rPr>
        <w:t>There are no statistical methods associated with this collection.</w:t>
      </w:r>
    </w:p>
    <w:sectPr w:rsidR="007111E8" w:rsidRPr="00C363BA" w:rsidSect="006F3EAA">
      <w:pgSz w:w="12240" w:h="15840"/>
      <w:pgMar w:top="144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8E9" w:rsidRDefault="00E718E9">
      <w:r>
        <w:separator/>
      </w:r>
    </w:p>
  </w:endnote>
  <w:endnote w:type="continuationSeparator" w:id="0">
    <w:p w:rsidR="00E718E9" w:rsidRDefault="00E718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8E9" w:rsidRDefault="00E718E9">
      <w:r>
        <w:separator/>
      </w:r>
    </w:p>
  </w:footnote>
  <w:footnote w:type="continuationSeparator" w:id="0">
    <w:p w:rsidR="00E718E9" w:rsidRDefault="00E718E9">
      <w:r>
        <w:continuationSeparator/>
      </w:r>
    </w:p>
  </w:footnote>
  <w:footnote w:id="1">
    <w:p w:rsidR="00E718E9" w:rsidRDefault="00E718E9">
      <w:pPr>
        <w:pStyle w:val="FootnoteText"/>
      </w:pPr>
      <w:r>
        <w:rPr>
          <w:rStyle w:val="FootnoteReference"/>
        </w:rPr>
        <w:footnoteRef/>
      </w:r>
      <w:r>
        <w:t xml:space="preserve"> Number of claims submitted for items and services that might receive an ABN has increased by more than 10 million annually. </w:t>
      </w:r>
      <w:proofErr w:type="gramStart"/>
      <w:r>
        <w:t>From Table V.6 of the 2009 CMS Statistics and Table 52 of the 2006 CMS Statistics.</w:t>
      </w:r>
      <w:proofErr w:type="gram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4FE6"/>
    <w:multiLevelType w:val="hybridMultilevel"/>
    <w:tmpl w:val="CF84909E"/>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54D6929"/>
    <w:multiLevelType w:val="hybridMultilevel"/>
    <w:tmpl w:val="3D82FBA0"/>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C5B770E"/>
    <w:multiLevelType w:val="hybridMultilevel"/>
    <w:tmpl w:val="ED382702"/>
    <w:lvl w:ilvl="0" w:tplc="F19453F4">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5269A4"/>
    <w:multiLevelType w:val="hybridMultilevel"/>
    <w:tmpl w:val="22382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986E32"/>
    <w:multiLevelType w:val="hybridMultilevel"/>
    <w:tmpl w:val="D8863E1E"/>
    <w:lvl w:ilvl="0" w:tplc="EEEEE06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C34422"/>
    <w:multiLevelType w:val="hybridMultilevel"/>
    <w:tmpl w:val="07DE1A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30E2C9D"/>
    <w:multiLevelType w:val="hybridMultilevel"/>
    <w:tmpl w:val="778E0EC6"/>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86635F5"/>
    <w:multiLevelType w:val="hybridMultilevel"/>
    <w:tmpl w:val="4118B82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674BE"/>
    <w:multiLevelType w:val="hybridMultilevel"/>
    <w:tmpl w:val="CA220E62"/>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112455"/>
    <w:multiLevelType w:val="hybridMultilevel"/>
    <w:tmpl w:val="2D7C6938"/>
    <w:lvl w:ilvl="0" w:tplc="598251F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0">
    <w:nsid w:val="5A39118D"/>
    <w:multiLevelType w:val="hybridMultilevel"/>
    <w:tmpl w:val="F1EEE9BE"/>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954C6A"/>
    <w:multiLevelType w:val="hybridMultilevel"/>
    <w:tmpl w:val="87486E94"/>
    <w:lvl w:ilvl="0" w:tplc="81DC6C2E">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BC786F"/>
    <w:multiLevelType w:val="hybridMultilevel"/>
    <w:tmpl w:val="00D4410C"/>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050871"/>
    <w:multiLevelType w:val="hybridMultilevel"/>
    <w:tmpl w:val="F8AA2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3DF0D92"/>
    <w:multiLevelType w:val="hybridMultilevel"/>
    <w:tmpl w:val="75D256DE"/>
    <w:lvl w:ilvl="0" w:tplc="F1A60392">
      <w:start w:val="1"/>
      <w:numFmt w:val="bullet"/>
      <w:lvlText w:val=""/>
      <w:lvlJc w:val="left"/>
      <w:pPr>
        <w:tabs>
          <w:tab w:val="num" w:pos="720"/>
        </w:tabs>
        <w:ind w:left="720" w:hanging="360"/>
      </w:pPr>
      <w:rPr>
        <w:rFonts w:ascii="Symbol" w:hAnsi="Symbol" w:hint="default"/>
        <w:sz w:val="20"/>
      </w:rPr>
    </w:lvl>
    <w:lvl w:ilvl="1" w:tplc="56789A42" w:tentative="1">
      <w:start w:val="1"/>
      <w:numFmt w:val="bullet"/>
      <w:lvlText w:val="o"/>
      <w:lvlJc w:val="left"/>
      <w:pPr>
        <w:tabs>
          <w:tab w:val="num" w:pos="1440"/>
        </w:tabs>
        <w:ind w:left="1440" w:hanging="360"/>
      </w:pPr>
      <w:rPr>
        <w:rFonts w:ascii="Courier New" w:hAnsi="Courier New" w:hint="default"/>
        <w:sz w:val="20"/>
      </w:rPr>
    </w:lvl>
    <w:lvl w:ilvl="2" w:tplc="5DF88A16" w:tentative="1">
      <w:start w:val="1"/>
      <w:numFmt w:val="bullet"/>
      <w:lvlText w:val=""/>
      <w:lvlJc w:val="left"/>
      <w:pPr>
        <w:tabs>
          <w:tab w:val="num" w:pos="2160"/>
        </w:tabs>
        <w:ind w:left="2160" w:hanging="360"/>
      </w:pPr>
      <w:rPr>
        <w:rFonts w:ascii="Wingdings" w:hAnsi="Wingdings" w:hint="default"/>
        <w:sz w:val="20"/>
      </w:rPr>
    </w:lvl>
    <w:lvl w:ilvl="3" w:tplc="EB12CBC2" w:tentative="1">
      <w:start w:val="1"/>
      <w:numFmt w:val="bullet"/>
      <w:lvlText w:val=""/>
      <w:lvlJc w:val="left"/>
      <w:pPr>
        <w:tabs>
          <w:tab w:val="num" w:pos="2880"/>
        </w:tabs>
        <w:ind w:left="2880" w:hanging="360"/>
      </w:pPr>
      <w:rPr>
        <w:rFonts w:ascii="Wingdings" w:hAnsi="Wingdings" w:hint="default"/>
        <w:sz w:val="20"/>
      </w:rPr>
    </w:lvl>
    <w:lvl w:ilvl="4" w:tplc="5BD6898A" w:tentative="1">
      <w:start w:val="1"/>
      <w:numFmt w:val="bullet"/>
      <w:lvlText w:val=""/>
      <w:lvlJc w:val="left"/>
      <w:pPr>
        <w:tabs>
          <w:tab w:val="num" w:pos="3600"/>
        </w:tabs>
        <w:ind w:left="3600" w:hanging="360"/>
      </w:pPr>
      <w:rPr>
        <w:rFonts w:ascii="Wingdings" w:hAnsi="Wingdings" w:hint="default"/>
        <w:sz w:val="20"/>
      </w:rPr>
    </w:lvl>
    <w:lvl w:ilvl="5" w:tplc="11CADA84" w:tentative="1">
      <w:start w:val="1"/>
      <w:numFmt w:val="bullet"/>
      <w:lvlText w:val=""/>
      <w:lvlJc w:val="left"/>
      <w:pPr>
        <w:tabs>
          <w:tab w:val="num" w:pos="4320"/>
        </w:tabs>
        <w:ind w:left="4320" w:hanging="360"/>
      </w:pPr>
      <w:rPr>
        <w:rFonts w:ascii="Wingdings" w:hAnsi="Wingdings" w:hint="default"/>
        <w:sz w:val="20"/>
      </w:rPr>
    </w:lvl>
    <w:lvl w:ilvl="6" w:tplc="7C287A50" w:tentative="1">
      <w:start w:val="1"/>
      <w:numFmt w:val="bullet"/>
      <w:lvlText w:val=""/>
      <w:lvlJc w:val="left"/>
      <w:pPr>
        <w:tabs>
          <w:tab w:val="num" w:pos="5040"/>
        </w:tabs>
        <w:ind w:left="5040" w:hanging="360"/>
      </w:pPr>
      <w:rPr>
        <w:rFonts w:ascii="Wingdings" w:hAnsi="Wingdings" w:hint="default"/>
        <w:sz w:val="20"/>
      </w:rPr>
    </w:lvl>
    <w:lvl w:ilvl="7" w:tplc="B6A8DF2E" w:tentative="1">
      <w:start w:val="1"/>
      <w:numFmt w:val="bullet"/>
      <w:lvlText w:val=""/>
      <w:lvlJc w:val="left"/>
      <w:pPr>
        <w:tabs>
          <w:tab w:val="num" w:pos="5760"/>
        </w:tabs>
        <w:ind w:left="5760" w:hanging="360"/>
      </w:pPr>
      <w:rPr>
        <w:rFonts w:ascii="Wingdings" w:hAnsi="Wingdings" w:hint="default"/>
        <w:sz w:val="20"/>
      </w:rPr>
    </w:lvl>
    <w:lvl w:ilvl="8" w:tplc="9F9A3FCC"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2"/>
  </w:num>
  <w:num w:numId="4">
    <w:abstractNumId w:val="10"/>
  </w:num>
  <w:num w:numId="5">
    <w:abstractNumId w:val="9"/>
  </w:num>
  <w:num w:numId="6">
    <w:abstractNumId w:val="14"/>
  </w:num>
  <w:num w:numId="7">
    <w:abstractNumId w:val="13"/>
  </w:num>
  <w:num w:numId="8">
    <w:abstractNumId w:val="6"/>
  </w:num>
  <w:num w:numId="9">
    <w:abstractNumId w:val="0"/>
  </w:num>
  <w:num w:numId="10">
    <w:abstractNumId w:val="8"/>
  </w:num>
  <w:num w:numId="11">
    <w:abstractNumId w:val="1"/>
  </w:num>
  <w:num w:numId="12">
    <w:abstractNumId w:val="4"/>
  </w:num>
  <w:num w:numId="13">
    <w:abstractNumId w:val="11"/>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25E1"/>
    <w:rsid w:val="000006F3"/>
    <w:rsid w:val="000014A5"/>
    <w:rsid w:val="000015D7"/>
    <w:rsid w:val="00011D92"/>
    <w:rsid w:val="00013538"/>
    <w:rsid w:val="00023130"/>
    <w:rsid w:val="00024337"/>
    <w:rsid w:val="000301CD"/>
    <w:rsid w:val="00045982"/>
    <w:rsid w:val="000642D4"/>
    <w:rsid w:val="000658A8"/>
    <w:rsid w:val="000662E6"/>
    <w:rsid w:val="00083AB8"/>
    <w:rsid w:val="000859C8"/>
    <w:rsid w:val="00094AA6"/>
    <w:rsid w:val="000B5CFB"/>
    <w:rsid w:val="000D171A"/>
    <w:rsid w:val="000E2D72"/>
    <w:rsid w:val="000F058C"/>
    <w:rsid w:val="000F1712"/>
    <w:rsid w:val="000F1E9C"/>
    <w:rsid w:val="000F3B02"/>
    <w:rsid w:val="0010455A"/>
    <w:rsid w:val="00117AAF"/>
    <w:rsid w:val="00122435"/>
    <w:rsid w:val="00126AEA"/>
    <w:rsid w:val="00147275"/>
    <w:rsid w:val="00160268"/>
    <w:rsid w:val="0016111F"/>
    <w:rsid w:val="001667D4"/>
    <w:rsid w:val="00170378"/>
    <w:rsid w:val="001A014F"/>
    <w:rsid w:val="001C17E9"/>
    <w:rsid w:val="001C4188"/>
    <w:rsid w:val="001D4086"/>
    <w:rsid w:val="001E1AEB"/>
    <w:rsid w:val="001E3833"/>
    <w:rsid w:val="001F0414"/>
    <w:rsid w:val="001F1732"/>
    <w:rsid w:val="001F2A30"/>
    <w:rsid w:val="00207B45"/>
    <w:rsid w:val="00211CE8"/>
    <w:rsid w:val="00213F22"/>
    <w:rsid w:val="00220DD6"/>
    <w:rsid w:val="00223114"/>
    <w:rsid w:val="002362D4"/>
    <w:rsid w:val="00244AE6"/>
    <w:rsid w:val="00245880"/>
    <w:rsid w:val="0024739B"/>
    <w:rsid w:val="00252B83"/>
    <w:rsid w:val="00274D98"/>
    <w:rsid w:val="0028124E"/>
    <w:rsid w:val="0028273B"/>
    <w:rsid w:val="002831E4"/>
    <w:rsid w:val="0028671E"/>
    <w:rsid w:val="00287FDA"/>
    <w:rsid w:val="002956B0"/>
    <w:rsid w:val="002A6C89"/>
    <w:rsid w:val="002C2E22"/>
    <w:rsid w:val="002C6B35"/>
    <w:rsid w:val="002D4441"/>
    <w:rsid w:val="002D6741"/>
    <w:rsid w:val="002D6BBB"/>
    <w:rsid w:val="002F3EA7"/>
    <w:rsid w:val="00300C7D"/>
    <w:rsid w:val="003014BA"/>
    <w:rsid w:val="00303154"/>
    <w:rsid w:val="00304E40"/>
    <w:rsid w:val="00307B75"/>
    <w:rsid w:val="00317428"/>
    <w:rsid w:val="00323EC8"/>
    <w:rsid w:val="003315BD"/>
    <w:rsid w:val="0034307C"/>
    <w:rsid w:val="00352566"/>
    <w:rsid w:val="0035734F"/>
    <w:rsid w:val="00377079"/>
    <w:rsid w:val="00381342"/>
    <w:rsid w:val="003878A8"/>
    <w:rsid w:val="003A7C36"/>
    <w:rsid w:val="003D4393"/>
    <w:rsid w:val="003E0EE2"/>
    <w:rsid w:val="003E1F57"/>
    <w:rsid w:val="003E4A88"/>
    <w:rsid w:val="003F33D5"/>
    <w:rsid w:val="0041293E"/>
    <w:rsid w:val="00414733"/>
    <w:rsid w:val="00417461"/>
    <w:rsid w:val="00443B18"/>
    <w:rsid w:val="00453A37"/>
    <w:rsid w:val="00453C7A"/>
    <w:rsid w:val="004540A2"/>
    <w:rsid w:val="00456FCB"/>
    <w:rsid w:val="0046032A"/>
    <w:rsid w:val="004719BB"/>
    <w:rsid w:val="00491615"/>
    <w:rsid w:val="004945D9"/>
    <w:rsid w:val="004C0065"/>
    <w:rsid w:val="004C3A30"/>
    <w:rsid w:val="004C4604"/>
    <w:rsid w:val="004C4788"/>
    <w:rsid w:val="004C4E19"/>
    <w:rsid w:val="004E0390"/>
    <w:rsid w:val="004E697C"/>
    <w:rsid w:val="004F410D"/>
    <w:rsid w:val="0050065F"/>
    <w:rsid w:val="005028EA"/>
    <w:rsid w:val="00507097"/>
    <w:rsid w:val="00520F03"/>
    <w:rsid w:val="0052348F"/>
    <w:rsid w:val="00535A06"/>
    <w:rsid w:val="00543726"/>
    <w:rsid w:val="00546E2F"/>
    <w:rsid w:val="00547802"/>
    <w:rsid w:val="00556CAA"/>
    <w:rsid w:val="0056593A"/>
    <w:rsid w:val="00566CB3"/>
    <w:rsid w:val="00567C2A"/>
    <w:rsid w:val="0057164B"/>
    <w:rsid w:val="00590599"/>
    <w:rsid w:val="00596ED8"/>
    <w:rsid w:val="005A4564"/>
    <w:rsid w:val="005A70B1"/>
    <w:rsid w:val="005B139B"/>
    <w:rsid w:val="005B557B"/>
    <w:rsid w:val="005C5B8F"/>
    <w:rsid w:val="005D2BC9"/>
    <w:rsid w:val="005E1529"/>
    <w:rsid w:val="005E2756"/>
    <w:rsid w:val="005F08A5"/>
    <w:rsid w:val="006069C6"/>
    <w:rsid w:val="00606D46"/>
    <w:rsid w:val="00607026"/>
    <w:rsid w:val="00613F3E"/>
    <w:rsid w:val="0061438F"/>
    <w:rsid w:val="00617EEC"/>
    <w:rsid w:val="0063364B"/>
    <w:rsid w:val="00634F66"/>
    <w:rsid w:val="006357FD"/>
    <w:rsid w:val="00635F01"/>
    <w:rsid w:val="00641E84"/>
    <w:rsid w:val="006433B3"/>
    <w:rsid w:val="00650138"/>
    <w:rsid w:val="00651A12"/>
    <w:rsid w:val="00665103"/>
    <w:rsid w:val="006672D1"/>
    <w:rsid w:val="0066797A"/>
    <w:rsid w:val="006805FE"/>
    <w:rsid w:val="00682920"/>
    <w:rsid w:val="00683D89"/>
    <w:rsid w:val="006927B4"/>
    <w:rsid w:val="00696546"/>
    <w:rsid w:val="006A43ED"/>
    <w:rsid w:val="006A62C0"/>
    <w:rsid w:val="006B4304"/>
    <w:rsid w:val="006C054B"/>
    <w:rsid w:val="006C6A47"/>
    <w:rsid w:val="006E13C9"/>
    <w:rsid w:val="006E4FA2"/>
    <w:rsid w:val="006F0546"/>
    <w:rsid w:val="006F3EAA"/>
    <w:rsid w:val="00701D1F"/>
    <w:rsid w:val="007038C3"/>
    <w:rsid w:val="007111E8"/>
    <w:rsid w:val="00716A18"/>
    <w:rsid w:val="00716FD8"/>
    <w:rsid w:val="0073787B"/>
    <w:rsid w:val="00747081"/>
    <w:rsid w:val="00747F57"/>
    <w:rsid w:val="0075118D"/>
    <w:rsid w:val="00753C38"/>
    <w:rsid w:val="00755734"/>
    <w:rsid w:val="007607DB"/>
    <w:rsid w:val="00782C03"/>
    <w:rsid w:val="007834CA"/>
    <w:rsid w:val="00790665"/>
    <w:rsid w:val="00797E0E"/>
    <w:rsid w:val="007A136C"/>
    <w:rsid w:val="007A2360"/>
    <w:rsid w:val="007A74B9"/>
    <w:rsid w:val="007C4CCB"/>
    <w:rsid w:val="007C7EF4"/>
    <w:rsid w:val="007D42AE"/>
    <w:rsid w:val="007E01BD"/>
    <w:rsid w:val="007E08AB"/>
    <w:rsid w:val="00806527"/>
    <w:rsid w:val="0083624B"/>
    <w:rsid w:val="00850EF2"/>
    <w:rsid w:val="00854948"/>
    <w:rsid w:val="00857A1A"/>
    <w:rsid w:val="0086041D"/>
    <w:rsid w:val="00880020"/>
    <w:rsid w:val="00887834"/>
    <w:rsid w:val="00893849"/>
    <w:rsid w:val="00895288"/>
    <w:rsid w:val="008A1816"/>
    <w:rsid w:val="008A686A"/>
    <w:rsid w:val="008D2589"/>
    <w:rsid w:val="008D2A2E"/>
    <w:rsid w:val="008F4E1F"/>
    <w:rsid w:val="009017EB"/>
    <w:rsid w:val="00914C08"/>
    <w:rsid w:val="009213D7"/>
    <w:rsid w:val="009456EC"/>
    <w:rsid w:val="00950E6E"/>
    <w:rsid w:val="00953B72"/>
    <w:rsid w:val="00954933"/>
    <w:rsid w:val="0096775E"/>
    <w:rsid w:val="00970716"/>
    <w:rsid w:val="00971AD0"/>
    <w:rsid w:val="00972521"/>
    <w:rsid w:val="0098465C"/>
    <w:rsid w:val="009848A0"/>
    <w:rsid w:val="00986348"/>
    <w:rsid w:val="0099650E"/>
    <w:rsid w:val="009A3141"/>
    <w:rsid w:val="009B44E7"/>
    <w:rsid w:val="009C6A98"/>
    <w:rsid w:val="009E0E5D"/>
    <w:rsid w:val="009F2503"/>
    <w:rsid w:val="009F4348"/>
    <w:rsid w:val="00A05657"/>
    <w:rsid w:val="00A11C45"/>
    <w:rsid w:val="00A1691B"/>
    <w:rsid w:val="00A16A32"/>
    <w:rsid w:val="00A21D47"/>
    <w:rsid w:val="00A267AC"/>
    <w:rsid w:val="00A31969"/>
    <w:rsid w:val="00A3345C"/>
    <w:rsid w:val="00A428AB"/>
    <w:rsid w:val="00A52120"/>
    <w:rsid w:val="00A64164"/>
    <w:rsid w:val="00A76057"/>
    <w:rsid w:val="00A86AE0"/>
    <w:rsid w:val="00AC0298"/>
    <w:rsid w:val="00AC70AC"/>
    <w:rsid w:val="00AD7413"/>
    <w:rsid w:val="00AE4581"/>
    <w:rsid w:val="00AF241B"/>
    <w:rsid w:val="00AF307A"/>
    <w:rsid w:val="00B02DE4"/>
    <w:rsid w:val="00B034EF"/>
    <w:rsid w:val="00B04B0F"/>
    <w:rsid w:val="00B101FD"/>
    <w:rsid w:val="00B1761B"/>
    <w:rsid w:val="00B21D9D"/>
    <w:rsid w:val="00B30B5B"/>
    <w:rsid w:val="00B40C42"/>
    <w:rsid w:val="00B61BA5"/>
    <w:rsid w:val="00B632E9"/>
    <w:rsid w:val="00B901D1"/>
    <w:rsid w:val="00B91D83"/>
    <w:rsid w:val="00BA0B8B"/>
    <w:rsid w:val="00BA17F0"/>
    <w:rsid w:val="00BA223D"/>
    <w:rsid w:val="00BA4F29"/>
    <w:rsid w:val="00BA4F59"/>
    <w:rsid w:val="00BC4871"/>
    <w:rsid w:val="00BE0169"/>
    <w:rsid w:val="00BE36BA"/>
    <w:rsid w:val="00BF0CF9"/>
    <w:rsid w:val="00BF50D3"/>
    <w:rsid w:val="00C02390"/>
    <w:rsid w:val="00C05386"/>
    <w:rsid w:val="00C114CB"/>
    <w:rsid w:val="00C15C7D"/>
    <w:rsid w:val="00C20406"/>
    <w:rsid w:val="00C211AC"/>
    <w:rsid w:val="00C23C4A"/>
    <w:rsid w:val="00C252E5"/>
    <w:rsid w:val="00C25CDC"/>
    <w:rsid w:val="00C327D7"/>
    <w:rsid w:val="00C33156"/>
    <w:rsid w:val="00C349F5"/>
    <w:rsid w:val="00C35768"/>
    <w:rsid w:val="00C363BA"/>
    <w:rsid w:val="00C41334"/>
    <w:rsid w:val="00C542A7"/>
    <w:rsid w:val="00C54AC1"/>
    <w:rsid w:val="00C56C3B"/>
    <w:rsid w:val="00C64389"/>
    <w:rsid w:val="00C83B10"/>
    <w:rsid w:val="00C96C95"/>
    <w:rsid w:val="00CA4821"/>
    <w:rsid w:val="00CA4FDE"/>
    <w:rsid w:val="00CB20BC"/>
    <w:rsid w:val="00CB3F9D"/>
    <w:rsid w:val="00CC214F"/>
    <w:rsid w:val="00CD3A49"/>
    <w:rsid w:val="00CE14CF"/>
    <w:rsid w:val="00CE41EB"/>
    <w:rsid w:val="00CF2595"/>
    <w:rsid w:val="00D21FE6"/>
    <w:rsid w:val="00D243D7"/>
    <w:rsid w:val="00D27EC9"/>
    <w:rsid w:val="00D361AD"/>
    <w:rsid w:val="00D52200"/>
    <w:rsid w:val="00D525E1"/>
    <w:rsid w:val="00D63788"/>
    <w:rsid w:val="00D644BF"/>
    <w:rsid w:val="00D654FA"/>
    <w:rsid w:val="00D77F33"/>
    <w:rsid w:val="00D8777A"/>
    <w:rsid w:val="00DA4224"/>
    <w:rsid w:val="00DB2F51"/>
    <w:rsid w:val="00DC6D94"/>
    <w:rsid w:val="00DD1060"/>
    <w:rsid w:val="00DD143A"/>
    <w:rsid w:val="00DD4EE8"/>
    <w:rsid w:val="00DD6217"/>
    <w:rsid w:val="00DD6DD4"/>
    <w:rsid w:val="00DE7074"/>
    <w:rsid w:val="00E158CA"/>
    <w:rsid w:val="00E24649"/>
    <w:rsid w:val="00E24A71"/>
    <w:rsid w:val="00E41E7D"/>
    <w:rsid w:val="00E43160"/>
    <w:rsid w:val="00E44FD3"/>
    <w:rsid w:val="00E57B44"/>
    <w:rsid w:val="00E62631"/>
    <w:rsid w:val="00E718E9"/>
    <w:rsid w:val="00E8449C"/>
    <w:rsid w:val="00E84BB9"/>
    <w:rsid w:val="00E9528A"/>
    <w:rsid w:val="00EA5135"/>
    <w:rsid w:val="00EB41A4"/>
    <w:rsid w:val="00EB4563"/>
    <w:rsid w:val="00EB5F58"/>
    <w:rsid w:val="00EB7247"/>
    <w:rsid w:val="00EC6204"/>
    <w:rsid w:val="00EC74C2"/>
    <w:rsid w:val="00ED6739"/>
    <w:rsid w:val="00EE2C07"/>
    <w:rsid w:val="00EF27DD"/>
    <w:rsid w:val="00F34F48"/>
    <w:rsid w:val="00F35237"/>
    <w:rsid w:val="00F37074"/>
    <w:rsid w:val="00F37C34"/>
    <w:rsid w:val="00F43716"/>
    <w:rsid w:val="00F466E0"/>
    <w:rsid w:val="00F47322"/>
    <w:rsid w:val="00F53CB9"/>
    <w:rsid w:val="00F550F3"/>
    <w:rsid w:val="00F601E6"/>
    <w:rsid w:val="00F60CDA"/>
    <w:rsid w:val="00F64CFB"/>
    <w:rsid w:val="00F662A3"/>
    <w:rsid w:val="00F706F9"/>
    <w:rsid w:val="00F73CC3"/>
    <w:rsid w:val="00F76664"/>
    <w:rsid w:val="00F847A6"/>
    <w:rsid w:val="00F9094A"/>
    <w:rsid w:val="00F91C4B"/>
    <w:rsid w:val="00F955E9"/>
    <w:rsid w:val="00F959B2"/>
    <w:rsid w:val="00FA28AE"/>
    <w:rsid w:val="00FB3D54"/>
    <w:rsid w:val="00FB6FA1"/>
    <w:rsid w:val="00FC0856"/>
    <w:rsid w:val="00FD3C52"/>
    <w:rsid w:val="00FE4680"/>
    <w:rsid w:val="00FE4B21"/>
    <w:rsid w:val="00FE6A6E"/>
    <w:rsid w:val="00FE6C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4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2435"/>
    <w:pPr>
      <w:spacing w:after="48"/>
    </w:pPr>
    <w:rPr>
      <w:rFonts w:ascii="Verdana" w:hAnsi="Verdana"/>
      <w:sz w:val="20"/>
      <w:szCs w:val="20"/>
    </w:rPr>
  </w:style>
  <w:style w:type="paragraph" w:styleId="PlainText">
    <w:name w:val="Plain Text"/>
    <w:basedOn w:val="Normal"/>
    <w:rsid w:val="00122435"/>
    <w:rPr>
      <w:rFonts w:ascii="Courier New" w:hAnsi="Courier New" w:cs="Courier New"/>
      <w:sz w:val="20"/>
      <w:szCs w:val="20"/>
    </w:rPr>
  </w:style>
  <w:style w:type="paragraph" w:styleId="HTMLPreformatted">
    <w:name w:val="HTML Preformatted"/>
    <w:basedOn w:val="Normal"/>
    <w:rsid w:val="0012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3">
    <w:name w:val="Body Text Indent 3"/>
    <w:basedOn w:val="Normal"/>
    <w:rsid w:val="00F550F3"/>
    <w:pPr>
      <w:spacing w:line="480" w:lineRule="auto"/>
      <w:ind w:firstLine="720"/>
    </w:pPr>
    <w:rPr>
      <w:rFonts w:ascii="Courier New" w:hAnsi="Courier New"/>
      <w:b/>
      <w:bCs/>
      <w:color w:val="000000"/>
      <w:u w:val="single"/>
    </w:rPr>
  </w:style>
  <w:style w:type="paragraph" w:styleId="BodyText2">
    <w:name w:val="Body Text 2"/>
    <w:basedOn w:val="Normal"/>
    <w:rsid w:val="0024739B"/>
    <w:pPr>
      <w:spacing w:after="120" w:line="480" w:lineRule="auto"/>
    </w:pPr>
  </w:style>
  <w:style w:type="character" w:styleId="Strong">
    <w:name w:val="Strong"/>
    <w:basedOn w:val="DefaultParagraphFont"/>
    <w:qFormat/>
    <w:rsid w:val="0024739B"/>
    <w:rPr>
      <w:b/>
      <w:bCs/>
    </w:rPr>
  </w:style>
  <w:style w:type="paragraph" w:styleId="BalloonText">
    <w:name w:val="Balloon Text"/>
    <w:basedOn w:val="Normal"/>
    <w:semiHidden/>
    <w:rsid w:val="00AE4581"/>
    <w:rPr>
      <w:rFonts w:ascii="Tahoma" w:hAnsi="Tahoma" w:cs="Tahoma"/>
      <w:sz w:val="16"/>
      <w:szCs w:val="16"/>
    </w:rPr>
  </w:style>
  <w:style w:type="paragraph" w:styleId="BodyTextIndent">
    <w:name w:val="Body Text Indent"/>
    <w:basedOn w:val="Normal"/>
    <w:rsid w:val="00456FCB"/>
    <w:pPr>
      <w:spacing w:after="120"/>
      <w:ind w:left="360"/>
    </w:pPr>
  </w:style>
  <w:style w:type="character" w:customStyle="1" w:styleId="a">
    <w:name w:val="_"/>
    <w:rsid w:val="00456FCB"/>
  </w:style>
  <w:style w:type="paragraph" w:styleId="FootnoteText">
    <w:name w:val="footnote text"/>
    <w:basedOn w:val="Normal"/>
    <w:semiHidden/>
    <w:rsid w:val="005E1529"/>
    <w:rPr>
      <w:sz w:val="20"/>
      <w:szCs w:val="20"/>
    </w:rPr>
  </w:style>
  <w:style w:type="character" w:styleId="FootnoteReference">
    <w:name w:val="footnote reference"/>
    <w:basedOn w:val="DefaultParagraphFont"/>
    <w:semiHidden/>
    <w:rsid w:val="005E1529"/>
    <w:rPr>
      <w:vertAlign w:val="superscript"/>
    </w:rPr>
  </w:style>
  <w:style w:type="character" w:styleId="CommentReference">
    <w:name w:val="annotation reference"/>
    <w:basedOn w:val="DefaultParagraphFont"/>
    <w:semiHidden/>
    <w:rsid w:val="00B91D83"/>
    <w:rPr>
      <w:sz w:val="16"/>
      <w:szCs w:val="16"/>
    </w:rPr>
  </w:style>
  <w:style w:type="paragraph" w:styleId="CommentText">
    <w:name w:val="annotation text"/>
    <w:basedOn w:val="Normal"/>
    <w:semiHidden/>
    <w:rsid w:val="00B91D83"/>
    <w:rPr>
      <w:sz w:val="20"/>
      <w:szCs w:val="20"/>
    </w:rPr>
  </w:style>
  <w:style w:type="paragraph" w:styleId="CommentSubject">
    <w:name w:val="annotation subject"/>
    <w:basedOn w:val="CommentText"/>
    <w:next w:val="CommentText"/>
    <w:semiHidden/>
    <w:rsid w:val="00B91D83"/>
    <w:rPr>
      <w:b/>
      <w:bCs/>
    </w:rPr>
  </w:style>
  <w:style w:type="paragraph" w:customStyle="1" w:styleId="Default">
    <w:name w:val="Default"/>
    <w:rsid w:val="00747081"/>
    <w:pPr>
      <w:autoSpaceDE w:val="0"/>
      <w:autoSpaceDN w:val="0"/>
      <w:adjustRightInd w:val="0"/>
    </w:pPr>
    <w:rPr>
      <w:color w:val="000000"/>
      <w:sz w:val="24"/>
      <w:szCs w:val="24"/>
    </w:rPr>
  </w:style>
  <w:style w:type="paragraph" w:customStyle="1" w:styleId="Header1">
    <w:name w:val="Header1"/>
    <w:basedOn w:val="Normal"/>
    <w:qFormat/>
    <w:rsid w:val="00635F01"/>
    <w:pPr>
      <w:jc w:val="center"/>
    </w:pPr>
    <w:rPr>
      <w:rFonts w:ascii="Century Gothic" w:hAnsi="Century Gothic" w:cs="Arial"/>
    </w:rPr>
  </w:style>
  <w:style w:type="paragraph" w:customStyle="1" w:styleId="Header2">
    <w:name w:val="Header2"/>
    <w:basedOn w:val="Normal"/>
    <w:qFormat/>
    <w:rsid w:val="00635F01"/>
    <w:rPr>
      <w:rFonts w:ascii="Century Gothic" w:hAnsi="Century Gothic" w:cs="Arial"/>
      <w:u w:val="single"/>
    </w:rPr>
  </w:style>
  <w:style w:type="paragraph" w:customStyle="1" w:styleId="Body1">
    <w:name w:val="Body1"/>
    <w:basedOn w:val="Normal"/>
    <w:qFormat/>
    <w:rsid w:val="00635F01"/>
    <w:rPr>
      <w:rFonts w:ascii="Century Gothic" w:hAnsi="Century Gothic" w:cs="Arial"/>
      <w:u w:val="single"/>
    </w:rPr>
  </w:style>
  <w:style w:type="paragraph" w:customStyle="1" w:styleId="Header3">
    <w:name w:val="Header3"/>
    <w:basedOn w:val="Normal"/>
    <w:qFormat/>
    <w:rsid w:val="00635F01"/>
    <w:rPr>
      <w:rFonts w:ascii="Century Gothic" w:hAnsi="Century Gothic" w:cs="Arial"/>
    </w:rPr>
  </w:style>
  <w:style w:type="paragraph" w:customStyle="1" w:styleId="Body2">
    <w:name w:val="Body2"/>
    <w:basedOn w:val="Normal"/>
    <w:qFormat/>
    <w:rsid w:val="00635F01"/>
    <w:rPr>
      <w:rFonts w:ascii="Century Gothic" w:hAnsi="Century Gothic" w:cs="Shruti"/>
    </w:rPr>
  </w:style>
  <w:style w:type="paragraph" w:customStyle="1" w:styleId="Bullet1">
    <w:name w:val="Bullet1"/>
    <w:basedOn w:val="BodyTextIndent"/>
    <w:qFormat/>
    <w:rsid w:val="00635F01"/>
    <w:pPr>
      <w:widowControl w:val="0"/>
      <w:numPr>
        <w:numId w:val="14"/>
      </w:numPr>
      <w:spacing w:after="0"/>
    </w:pPr>
    <w:rPr>
      <w:rFonts w:ascii="Century Gothic" w:hAnsi="Century Gothic" w:cs="Shruti"/>
    </w:rPr>
  </w:style>
  <w:style w:type="paragraph" w:customStyle="1" w:styleId="Bullets">
    <w:name w:val="Bullets"/>
    <w:basedOn w:val="Normal"/>
    <w:qFormat/>
    <w:rsid w:val="00635F01"/>
    <w:rPr>
      <w:rFonts w:ascii="Century Gothic" w:hAnsi="Century Gothic" w:cs="Shruti"/>
    </w:rPr>
  </w:style>
  <w:style w:type="paragraph" w:customStyle="1" w:styleId="Body3">
    <w:name w:val="Body3"/>
    <w:basedOn w:val="Bullet1"/>
    <w:qFormat/>
    <w:rsid w:val="00635F01"/>
    <w:pPr>
      <w:numPr>
        <w:numId w:val="0"/>
      </w:numPr>
    </w:pPr>
  </w:style>
  <w:style w:type="paragraph" w:customStyle="1" w:styleId="Header4">
    <w:name w:val="Header4"/>
    <w:basedOn w:val="Normal"/>
    <w:qFormat/>
    <w:rsid w:val="00635F01"/>
    <w:rPr>
      <w:rFonts w:ascii="Century Gothic" w:hAnsi="Century Gothic" w:cs="Arial"/>
    </w:rPr>
  </w:style>
  <w:style w:type="paragraph" w:customStyle="1" w:styleId="Body4">
    <w:name w:val="Body4"/>
    <w:basedOn w:val="Normal"/>
    <w:qFormat/>
    <w:rsid w:val="00635F01"/>
    <w:rPr>
      <w:rFonts w:ascii="Century Gothic" w:hAnsi="Century Gothic"/>
    </w:rPr>
  </w:style>
  <w:style w:type="paragraph" w:customStyle="1" w:styleId="Header5">
    <w:name w:val="Header5"/>
    <w:basedOn w:val="Normal"/>
    <w:qFormat/>
    <w:rsid w:val="00635F01"/>
    <w:rPr>
      <w:rFonts w:ascii="Century Gothic" w:hAnsi="Century Gothic" w:cs="Arial"/>
    </w:rPr>
  </w:style>
  <w:style w:type="paragraph" w:customStyle="1" w:styleId="Body5">
    <w:name w:val="Body5"/>
    <w:basedOn w:val="Normal"/>
    <w:qFormat/>
    <w:rsid w:val="00635F01"/>
    <w:rPr>
      <w:rFonts w:ascii="Century Gothic" w:hAnsi="Century Gothic" w:cs="Shruti"/>
    </w:rPr>
  </w:style>
  <w:style w:type="table" w:styleId="TableGrid">
    <w:name w:val="Table Grid"/>
    <w:basedOn w:val="TableNormal"/>
    <w:rsid w:val="006F3E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1">
    <w:name w:val="Table1"/>
    <w:basedOn w:val="Body5"/>
    <w:qFormat/>
    <w:rsid w:val="007D42AE"/>
    <w:pPr>
      <w:jc w:val="center"/>
    </w:pPr>
  </w:style>
  <w:style w:type="paragraph" w:customStyle="1" w:styleId="Table2">
    <w:name w:val="Table2"/>
    <w:basedOn w:val="Body5"/>
    <w:qFormat/>
    <w:rsid w:val="007D42AE"/>
    <w:pPr>
      <w:jc w:val="center"/>
    </w:pPr>
    <w:rPr>
      <w:rFonts w:cs="Arial"/>
    </w:rPr>
  </w:style>
  <w:style w:type="paragraph" w:customStyle="1" w:styleId="Table3">
    <w:name w:val="Table3"/>
    <w:basedOn w:val="Body5"/>
    <w:qFormat/>
    <w:rsid w:val="007D42AE"/>
    <w:pPr>
      <w:jc w:val="center"/>
    </w:pPr>
    <w:rPr>
      <w:rFonts w:cs="Arial"/>
    </w:rPr>
  </w:style>
  <w:style w:type="paragraph" w:customStyle="1" w:styleId="Table4">
    <w:name w:val="Table4"/>
    <w:basedOn w:val="Body5"/>
    <w:qFormat/>
    <w:rsid w:val="007D42AE"/>
    <w:pPr>
      <w:jc w:val="center"/>
    </w:pPr>
    <w:rPr>
      <w:rFonts w:cs="Arial"/>
    </w:rPr>
  </w:style>
  <w:style w:type="paragraph" w:customStyle="1" w:styleId="table5">
    <w:name w:val="table5"/>
    <w:basedOn w:val="Body5"/>
    <w:qFormat/>
    <w:rsid w:val="00EC74C2"/>
    <w:pPr>
      <w:jc w:val="center"/>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69076226">
      <w:bodyDiv w:val="1"/>
      <w:marLeft w:val="0"/>
      <w:marRight w:val="0"/>
      <w:marTop w:val="0"/>
      <w:marBottom w:val="0"/>
      <w:divBdr>
        <w:top w:val="none" w:sz="0" w:space="0" w:color="auto"/>
        <w:left w:val="none" w:sz="0" w:space="0" w:color="auto"/>
        <w:bottom w:val="none" w:sz="0" w:space="0" w:color="auto"/>
        <w:right w:val="none" w:sz="0" w:space="0" w:color="auto"/>
      </w:divBdr>
    </w:div>
    <w:div w:id="1291397792">
      <w:bodyDiv w:val="1"/>
      <w:marLeft w:val="0"/>
      <w:marRight w:val="0"/>
      <w:marTop w:val="0"/>
      <w:marBottom w:val="0"/>
      <w:divBdr>
        <w:top w:val="none" w:sz="0" w:space="0" w:color="auto"/>
        <w:left w:val="none" w:sz="0" w:space="0" w:color="auto"/>
        <w:bottom w:val="none" w:sz="0" w:space="0" w:color="auto"/>
        <w:right w:val="none" w:sz="0" w:space="0" w:color="auto"/>
      </w:divBdr>
    </w:div>
    <w:div w:id="164882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F62C-C31F-49FC-A2A1-44A03A85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2010</Words>
  <Characters>11114</Characters>
  <Application>Microsoft Office Word</Application>
  <DocSecurity>0</DocSecurity>
  <Lines>246</Lines>
  <Paragraphs>32</Paragraphs>
  <ScaleCrop>false</ScaleCrop>
  <HeadingPairs>
    <vt:vector size="2" baseType="variant">
      <vt:variant>
        <vt:lpstr>Title</vt:lpstr>
      </vt:variant>
      <vt:variant>
        <vt:i4>1</vt:i4>
      </vt:variant>
    </vt:vector>
  </HeadingPairs>
  <TitlesOfParts>
    <vt:vector size="1" baseType="lpstr">
      <vt:lpstr>Supporting Statement for ABN</vt:lpstr>
    </vt:vector>
  </TitlesOfParts>
  <Company>CMS</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ABN</dc:title>
  <dc:subject>ABN supporting statement</dc:subject>
  <dc:creator>CMS/CM/MEAG/DAP</dc:creator>
  <cp:keywords>ABN, CMS-R-131, supporting statement</cp:keywords>
  <dc:description/>
  <cp:lastModifiedBy>CMS</cp:lastModifiedBy>
  <cp:revision>4</cp:revision>
  <cp:lastPrinted>2010-08-19T20:36:00Z</cp:lastPrinted>
  <dcterms:created xsi:type="dcterms:W3CDTF">2010-08-24T18:18:00Z</dcterms:created>
  <dcterms:modified xsi:type="dcterms:W3CDTF">2011-01-05T17:59:00Z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-159747509</vt:i4>
  </property>
  <property fmtid="{D5CDD505-2E9C-101B-9397-08002B2CF9AE}" pid="4" name="_EmailSubject">
    <vt:lpwstr>Upcoming Information Collection Requirements for CMS-R-131</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-1734873735</vt:i4>
  </property>
  <property fmtid="{D5CDD505-2E9C-101B-9397-08002B2CF9AE}" pid="8" name="_ReviewingToolsShownOnce">
    <vt:lpwstr/>
  </property>
</Properties>
</file>