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2BD" w:rsidRPr="005D5681" w:rsidRDefault="00C6228B">
      <w:pPr>
        <w:jc w:val="center"/>
        <w:rPr>
          <w:rFonts w:ascii="Times New Roman" w:hAnsi="Times New Roman"/>
          <w:sz w:val="24"/>
          <w:szCs w:val="24"/>
        </w:rPr>
      </w:pPr>
      <w:r w:rsidRPr="005D5681">
        <w:rPr>
          <w:rFonts w:ascii="Times New Roman" w:hAnsi="Times New Roman"/>
          <w:sz w:val="24"/>
          <w:szCs w:val="24"/>
        </w:rPr>
        <w:t>Department of the Treasury</w:t>
      </w:r>
      <w:r w:rsidR="00E61524" w:rsidRPr="005D5681">
        <w:rPr>
          <w:rFonts w:ascii="Times New Roman" w:hAnsi="Times New Roman"/>
          <w:sz w:val="24"/>
          <w:szCs w:val="24"/>
        </w:rPr>
        <w:t xml:space="preserve">, Departmental Offices, </w:t>
      </w:r>
      <w:r w:rsidR="00A45E40" w:rsidRPr="005D5681">
        <w:rPr>
          <w:rFonts w:ascii="Times New Roman" w:hAnsi="Times New Roman"/>
          <w:sz w:val="24"/>
          <w:szCs w:val="24"/>
        </w:rPr>
        <w:br/>
      </w:r>
      <w:r w:rsidR="00E61524" w:rsidRPr="005D5681">
        <w:rPr>
          <w:rFonts w:ascii="Times New Roman" w:hAnsi="Times New Roman"/>
          <w:sz w:val="24"/>
          <w:szCs w:val="24"/>
        </w:rPr>
        <w:t>Consumer Financial</w:t>
      </w:r>
      <w:r w:rsidR="00A45E40" w:rsidRPr="005D5681">
        <w:rPr>
          <w:rFonts w:ascii="Times New Roman" w:hAnsi="Times New Roman"/>
          <w:sz w:val="24"/>
          <w:szCs w:val="24"/>
        </w:rPr>
        <w:t xml:space="preserve"> </w:t>
      </w:r>
      <w:r w:rsidR="00E61524" w:rsidRPr="005D5681">
        <w:rPr>
          <w:rFonts w:ascii="Times New Roman" w:hAnsi="Times New Roman"/>
          <w:sz w:val="24"/>
          <w:szCs w:val="24"/>
        </w:rPr>
        <w:t>Protection Bureau Implementation Team</w:t>
      </w:r>
    </w:p>
    <w:p w:rsidR="006202BD" w:rsidRPr="005D5681" w:rsidRDefault="00E61524">
      <w:pPr>
        <w:jc w:val="center"/>
        <w:rPr>
          <w:rFonts w:ascii="Times New Roman" w:hAnsi="Times New Roman"/>
          <w:sz w:val="24"/>
          <w:szCs w:val="24"/>
        </w:rPr>
      </w:pPr>
      <w:r w:rsidRPr="005D5681">
        <w:rPr>
          <w:rFonts w:ascii="Times New Roman" w:hAnsi="Times New Roman"/>
          <w:sz w:val="24"/>
          <w:szCs w:val="24"/>
        </w:rPr>
        <w:t>Request for Emergency Processing and Approval</w:t>
      </w:r>
    </w:p>
    <w:p w:rsidR="006202BD" w:rsidRPr="005D5681" w:rsidRDefault="00C90BE7">
      <w:pPr>
        <w:jc w:val="center"/>
        <w:rPr>
          <w:rFonts w:ascii="Times New Roman" w:hAnsi="Times New Roman"/>
          <w:sz w:val="24"/>
          <w:szCs w:val="24"/>
        </w:rPr>
      </w:pPr>
      <w:r w:rsidRPr="005D5681">
        <w:rPr>
          <w:rFonts w:ascii="Times New Roman" w:hAnsi="Times New Roman"/>
          <w:sz w:val="24"/>
          <w:szCs w:val="24"/>
        </w:rPr>
        <w:t>CFPB</w:t>
      </w:r>
      <w:r w:rsidR="00E61524" w:rsidRPr="005D5681">
        <w:rPr>
          <w:rFonts w:ascii="Times New Roman" w:hAnsi="Times New Roman"/>
          <w:sz w:val="24"/>
          <w:szCs w:val="24"/>
        </w:rPr>
        <w:t xml:space="preserve"> </w:t>
      </w:r>
      <w:r w:rsidR="005D5681" w:rsidRPr="005D5681">
        <w:rPr>
          <w:rFonts w:ascii="Times New Roman" w:hAnsi="Times New Roman"/>
          <w:sz w:val="24"/>
          <w:szCs w:val="24"/>
        </w:rPr>
        <w:t xml:space="preserve">CARD Act Research </w:t>
      </w:r>
    </w:p>
    <w:p w:rsidR="006202BD" w:rsidRPr="005D5681" w:rsidRDefault="006202BD">
      <w:pPr>
        <w:jc w:val="center"/>
        <w:rPr>
          <w:rFonts w:ascii="Times New Roman" w:hAnsi="Times New Roman"/>
          <w:sz w:val="24"/>
          <w:szCs w:val="24"/>
        </w:rPr>
      </w:pPr>
    </w:p>
    <w:p w:rsidR="001824C7" w:rsidRPr="005D5681" w:rsidRDefault="001824C7">
      <w:pPr>
        <w:jc w:val="center"/>
        <w:rPr>
          <w:rFonts w:ascii="Times New Roman" w:hAnsi="Times New Roman"/>
          <w:sz w:val="24"/>
          <w:szCs w:val="24"/>
        </w:rPr>
      </w:pPr>
    </w:p>
    <w:p w:rsidR="00E61524" w:rsidRPr="005D5681" w:rsidRDefault="001824C7" w:rsidP="00E61524">
      <w:pPr>
        <w:rPr>
          <w:rFonts w:ascii="Times New Roman" w:hAnsi="Times New Roman"/>
          <w:sz w:val="24"/>
          <w:szCs w:val="24"/>
          <w:u w:val="single"/>
        </w:rPr>
      </w:pPr>
      <w:r w:rsidRPr="005D5681">
        <w:rPr>
          <w:rFonts w:ascii="Times New Roman" w:hAnsi="Times New Roman"/>
          <w:sz w:val="24"/>
          <w:szCs w:val="24"/>
          <w:u w:val="single"/>
        </w:rPr>
        <w:t xml:space="preserve">EMERGENCY JUSTIFICATION </w:t>
      </w:r>
    </w:p>
    <w:p w:rsidR="00E61524" w:rsidRPr="005D5681" w:rsidRDefault="00E61524" w:rsidP="00E61524">
      <w:pPr>
        <w:rPr>
          <w:rFonts w:ascii="Times New Roman" w:hAnsi="Times New Roman"/>
          <w:sz w:val="24"/>
          <w:szCs w:val="24"/>
          <w:u w:val="single"/>
        </w:rPr>
      </w:pPr>
    </w:p>
    <w:p w:rsidR="002701BD" w:rsidRPr="005D5681" w:rsidRDefault="00E61524" w:rsidP="00D16D1F">
      <w:pPr>
        <w:rPr>
          <w:rFonts w:ascii="Times New Roman" w:hAnsi="Times New Roman"/>
          <w:sz w:val="24"/>
          <w:szCs w:val="24"/>
        </w:rPr>
      </w:pPr>
      <w:r w:rsidRPr="005D5681">
        <w:rPr>
          <w:rFonts w:ascii="Times New Roman" w:hAnsi="Times New Roman"/>
          <w:sz w:val="24"/>
          <w:szCs w:val="24"/>
        </w:rPr>
        <w:t>The Department of the Treasury</w:t>
      </w:r>
      <w:r w:rsidR="006D277A" w:rsidRPr="005D5681">
        <w:rPr>
          <w:rFonts w:ascii="Times New Roman" w:hAnsi="Times New Roman"/>
          <w:sz w:val="24"/>
          <w:szCs w:val="24"/>
        </w:rPr>
        <w:t xml:space="preserve"> (“Treasury”)</w:t>
      </w:r>
      <w:r w:rsidRPr="005D5681">
        <w:rPr>
          <w:rFonts w:ascii="Times New Roman" w:hAnsi="Times New Roman"/>
          <w:sz w:val="24"/>
          <w:szCs w:val="24"/>
        </w:rPr>
        <w:t xml:space="preserve"> respectfully requests emergency processing and approval of the collection of information contained in </w:t>
      </w:r>
      <w:r w:rsidR="003A1A22" w:rsidRPr="005D5681">
        <w:rPr>
          <w:rFonts w:ascii="Times New Roman" w:hAnsi="Times New Roman"/>
          <w:sz w:val="24"/>
          <w:szCs w:val="24"/>
        </w:rPr>
        <w:t>a</w:t>
      </w:r>
      <w:r w:rsidR="005D5681">
        <w:rPr>
          <w:rFonts w:ascii="Times New Roman" w:hAnsi="Times New Roman"/>
          <w:sz w:val="24"/>
          <w:szCs w:val="24"/>
        </w:rPr>
        <w:t xml:space="preserve"> telephone </w:t>
      </w:r>
      <w:r w:rsidR="006D277A" w:rsidRPr="005D5681">
        <w:rPr>
          <w:rFonts w:ascii="Times New Roman" w:hAnsi="Times New Roman"/>
          <w:sz w:val="24"/>
          <w:szCs w:val="24"/>
        </w:rPr>
        <w:t>survey</w:t>
      </w:r>
      <w:r w:rsidRPr="005D5681">
        <w:rPr>
          <w:rFonts w:ascii="Times New Roman" w:hAnsi="Times New Roman"/>
          <w:sz w:val="24"/>
          <w:szCs w:val="24"/>
        </w:rPr>
        <w:t xml:space="preserve"> </w:t>
      </w:r>
      <w:r w:rsidR="003A1A22" w:rsidRPr="005D5681">
        <w:rPr>
          <w:rFonts w:ascii="Times New Roman" w:hAnsi="Times New Roman"/>
          <w:sz w:val="24"/>
          <w:szCs w:val="24"/>
        </w:rPr>
        <w:t>that will be used</w:t>
      </w:r>
      <w:r w:rsidRPr="005D5681">
        <w:rPr>
          <w:rFonts w:ascii="Times New Roman" w:hAnsi="Times New Roman"/>
          <w:sz w:val="24"/>
          <w:szCs w:val="24"/>
        </w:rPr>
        <w:t xml:space="preserve"> by the Consumer Financial Protection Bureau</w:t>
      </w:r>
      <w:r w:rsidR="006D277A" w:rsidRPr="005D5681">
        <w:rPr>
          <w:rFonts w:ascii="Times New Roman" w:hAnsi="Times New Roman"/>
          <w:sz w:val="24"/>
          <w:szCs w:val="24"/>
        </w:rPr>
        <w:t xml:space="preserve"> </w:t>
      </w:r>
      <w:r w:rsidR="00CF61DF" w:rsidRPr="005D5681">
        <w:rPr>
          <w:rFonts w:ascii="Times New Roman" w:hAnsi="Times New Roman"/>
          <w:sz w:val="24"/>
          <w:szCs w:val="24"/>
        </w:rPr>
        <w:t>(</w:t>
      </w:r>
      <w:r w:rsidR="006D277A" w:rsidRPr="005D5681">
        <w:rPr>
          <w:rFonts w:ascii="Times New Roman" w:hAnsi="Times New Roman"/>
          <w:sz w:val="24"/>
          <w:szCs w:val="24"/>
        </w:rPr>
        <w:t>“</w:t>
      </w:r>
      <w:r w:rsidR="00AD4E9F" w:rsidRPr="005D5681">
        <w:rPr>
          <w:rFonts w:ascii="Times New Roman" w:hAnsi="Times New Roman"/>
          <w:sz w:val="24"/>
          <w:szCs w:val="24"/>
        </w:rPr>
        <w:t>CFPB</w:t>
      </w:r>
      <w:r w:rsidR="006D277A" w:rsidRPr="005D5681">
        <w:rPr>
          <w:rFonts w:ascii="Times New Roman" w:hAnsi="Times New Roman"/>
          <w:sz w:val="24"/>
          <w:szCs w:val="24"/>
        </w:rPr>
        <w:t xml:space="preserve">”).  The collection of information is needed prior to the </w:t>
      </w:r>
      <w:r w:rsidR="00CF61DF" w:rsidRPr="005D5681">
        <w:rPr>
          <w:rFonts w:ascii="Times New Roman" w:hAnsi="Times New Roman"/>
          <w:sz w:val="24"/>
          <w:szCs w:val="24"/>
        </w:rPr>
        <w:t>expiration</w:t>
      </w:r>
      <w:r w:rsidR="006D277A" w:rsidRPr="005D5681">
        <w:rPr>
          <w:rFonts w:ascii="Times New Roman" w:hAnsi="Times New Roman"/>
          <w:sz w:val="24"/>
          <w:szCs w:val="24"/>
        </w:rPr>
        <w:t xml:space="preserve"> of the time periods set out in 5 C.F.R</w:t>
      </w:r>
      <w:r w:rsidR="00CF61DF" w:rsidRPr="005D5681">
        <w:rPr>
          <w:rFonts w:ascii="Times New Roman" w:hAnsi="Times New Roman"/>
          <w:sz w:val="24"/>
          <w:szCs w:val="24"/>
        </w:rPr>
        <w:t xml:space="preserve">. Part 1320 </w:t>
      </w:r>
      <w:r w:rsidR="005D5681">
        <w:rPr>
          <w:rFonts w:ascii="Times New Roman" w:hAnsi="Times New Roman"/>
          <w:sz w:val="24"/>
          <w:szCs w:val="24"/>
        </w:rPr>
        <w:t xml:space="preserve">in connection with a conference the CFPB </w:t>
      </w:r>
      <w:r w:rsidR="00CA1CC3">
        <w:rPr>
          <w:rFonts w:ascii="Times New Roman" w:hAnsi="Times New Roman"/>
          <w:sz w:val="24"/>
          <w:szCs w:val="24"/>
        </w:rPr>
        <w:t>i</w:t>
      </w:r>
      <w:r w:rsidR="005D5681">
        <w:rPr>
          <w:rFonts w:ascii="Times New Roman" w:hAnsi="Times New Roman"/>
          <w:sz w:val="24"/>
          <w:szCs w:val="24"/>
        </w:rPr>
        <w:t xml:space="preserve">mplementation </w:t>
      </w:r>
      <w:r w:rsidR="00CA1CC3">
        <w:rPr>
          <w:rFonts w:ascii="Times New Roman" w:hAnsi="Times New Roman"/>
          <w:sz w:val="24"/>
          <w:szCs w:val="24"/>
        </w:rPr>
        <w:t>t</w:t>
      </w:r>
      <w:r w:rsidR="005D5681">
        <w:rPr>
          <w:rFonts w:ascii="Times New Roman" w:hAnsi="Times New Roman"/>
          <w:sz w:val="24"/>
          <w:szCs w:val="24"/>
        </w:rPr>
        <w:t xml:space="preserve">eam is sponsoring on the first anniversary of the effective date of the Credit Card Accountability, Responsibility and Disclosure Act (“CARD Act”).  </w:t>
      </w:r>
      <w:r w:rsidR="00CF61DF" w:rsidRPr="005D5681">
        <w:rPr>
          <w:rFonts w:ascii="Times New Roman" w:hAnsi="Times New Roman"/>
          <w:sz w:val="24"/>
          <w:szCs w:val="24"/>
        </w:rPr>
        <w:t xml:space="preserve"> </w:t>
      </w:r>
      <w:r w:rsidR="002701BD" w:rsidRPr="005D5681">
        <w:rPr>
          <w:rFonts w:ascii="Times New Roman" w:hAnsi="Times New Roman"/>
          <w:sz w:val="24"/>
          <w:szCs w:val="24"/>
        </w:rPr>
        <w:t xml:space="preserve"> </w:t>
      </w:r>
    </w:p>
    <w:p w:rsidR="002701BD" w:rsidRPr="005D5681" w:rsidRDefault="002701BD" w:rsidP="00D16D1F">
      <w:pPr>
        <w:rPr>
          <w:rFonts w:ascii="Times New Roman" w:hAnsi="Times New Roman"/>
          <w:sz w:val="24"/>
          <w:szCs w:val="24"/>
        </w:rPr>
      </w:pPr>
    </w:p>
    <w:p w:rsidR="00CF61DF" w:rsidRPr="005D5681" w:rsidRDefault="00A45E40" w:rsidP="00D16D1F">
      <w:pPr>
        <w:rPr>
          <w:rFonts w:ascii="Times New Roman" w:hAnsi="Times New Roman"/>
          <w:sz w:val="24"/>
          <w:szCs w:val="24"/>
        </w:rPr>
      </w:pPr>
      <w:r w:rsidRPr="005D5681">
        <w:rPr>
          <w:rFonts w:ascii="Times New Roman" w:hAnsi="Times New Roman"/>
          <w:sz w:val="24"/>
          <w:szCs w:val="24"/>
        </w:rPr>
        <w:t xml:space="preserve">The Dodd-Frank Wall Street Reform and Consumer Protection Act (the “Dodd-Frank Act”), Public Law No. 111-203, Title X, established the Consumer Financial Protection Bureau (“CFPB”).  Once fully operational, CFPB will administer, enforce and implement consumer financial protection laws, </w:t>
      </w:r>
      <w:r w:rsidR="005D5681">
        <w:rPr>
          <w:rFonts w:ascii="Times New Roman" w:hAnsi="Times New Roman"/>
          <w:sz w:val="24"/>
          <w:szCs w:val="24"/>
        </w:rPr>
        <w:t xml:space="preserve">including the CARD Act.  </w:t>
      </w:r>
      <w:r w:rsidR="00CF61DF" w:rsidRPr="005D5681">
        <w:rPr>
          <w:rFonts w:ascii="Times New Roman" w:hAnsi="Times New Roman"/>
          <w:sz w:val="24"/>
          <w:szCs w:val="24"/>
        </w:rPr>
        <w:t xml:space="preserve">  </w:t>
      </w:r>
    </w:p>
    <w:p w:rsidR="00CF61DF" w:rsidRPr="005D5681" w:rsidRDefault="00CF61DF" w:rsidP="00D16D1F">
      <w:pPr>
        <w:rPr>
          <w:rFonts w:ascii="Times New Roman" w:hAnsi="Times New Roman"/>
          <w:sz w:val="24"/>
          <w:szCs w:val="24"/>
        </w:rPr>
      </w:pPr>
    </w:p>
    <w:p w:rsidR="005D5681" w:rsidRDefault="002B5B8D" w:rsidP="00D16D1F">
      <w:pPr>
        <w:rPr>
          <w:rFonts w:ascii="Times New Roman" w:hAnsi="Times New Roman"/>
          <w:sz w:val="24"/>
          <w:szCs w:val="24"/>
        </w:rPr>
      </w:pPr>
      <w:r>
        <w:rPr>
          <w:rFonts w:ascii="Times New Roman" w:hAnsi="Times New Roman"/>
          <w:sz w:val="24"/>
          <w:szCs w:val="24"/>
        </w:rPr>
        <w:t xml:space="preserve">The bulk of the CARD Act took effect </w:t>
      </w:r>
      <w:r w:rsidR="005D5681">
        <w:rPr>
          <w:rFonts w:ascii="Times New Roman" w:hAnsi="Times New Roman"/>
          <w:sz w:val="24"/>
          <w:szCs w:val="24"/>
        </w:rPr>
        <w:t>on February 22, 201</w:t>
      </w:r>
      <w:r>
        <w:rPr>
          <w:rFonts w:ascii="Times New Roman" w:hAnsi="Times New Roman"/>
          <w:sz w:val="24"/>
          <w:szCs w:val="24"/>
        </w:rPr>
        <w:t xml:space="preserve">0.  In connection with its first anniversary, the CFPB </w:t>
      </w:r>
      <w:r w:rsidR="00CA1CC3">
        <w:rPr>
          <w:rFonts w:ascii="Times New Roman" w:hAnsi="Times New Roman"/>
          <w:sz w:val="24"/>
          <w:szCs w:val="24"/>
        </w:rPr>
        <w:t>i</w:t>
      </w:r>
      <w:r w:rsidR="00EE0A6C">
        <w:rPr>
          <w:rFonts w:ascii="Times New Roman" w:hAnsi="Times New Roman"/>
          <w:sz w:val="24"/>
          <w:szCs w:val="24"/>
        </w:rPr>
        <w:t>mplementation</w:t>
      </w:r>
      <w:r>
        <w:rPr>
          <w:rFonts w:ascii="Times New Roman" w:hAnsi="Times New Roman"/>
          <w:sz w:val="24"/>
          <w:szCs w:val="24"/>
        </w:rPr>
        <w:t xml:space="preserve"> </w:t>
      </w:r>
      <w:r w:rsidR="00CA1CC3">
        <w:rPr>
          <w:rFonts w:ascii="Times New Roman" w:hAnsi="Times New Roman"/>
          <w:sz w:val="24"/>
          <w:szCs w:val="24"/>
        </w:rPr>
        <w:t>t</w:t>
      </w:r>
      <w:r>
        <w:rPr>
          <w:rFonts w:ascii="Times New Roman" w:hAnsi="Times New Roman"/>
          <w:sz w:val="24"/>
          <w:szCs w:val="24"/>
        </w:rPr>
        <w:t xml:space="preserve">eam is planning </w:t>
      </w:r>
      <w:r w:rsidR="00CA1CC3">
        <w:rPr>
          <w:rFonts w:ascii="Times New Roman" w:hAnsi="Times New Roman"/>
          <w:sz w:val="24"/>
          <w:szCs w:val="24"/>
        </w:rPr>
        <w:t xml:space="preserve">a </w:t>
      </w:r>
      <w:r w:rsidR="005D5681">
        <w:rPr>
          <w:rFonts w:ascii="Times New Roman" w:hAnsi="Times New Roman"/>
          <w:sz w:val="24"/>
          <w:szCs w:val="24"/>
        </w:rPr>
        <w:t>conference to assess</w:t>
      </w:r>
      <w:r w:rsidR="00486858">
        <w:rPr>
          <w:rFonts w:ascii="Times New Roman" w:hAnsi="Times New Roman"/>
          <w:sz w:val="24"/>
          <w:szCs w:val="24"/>
        </w:rPr>
        <w:t xml:space="preserve">, based on the evidence available to date, </w:t>
      </w:r>
      <w:r w:rsidR="005D5681">
        <w:rPr>
          <w:rFonts w:ascii="Times New Roman" w:hAnsi="Times New Roman"/>
          <w:sz w:val="24"/>
          <w:szCs w:val="24"/>
        </w:rPr>
        <w:t>the impact that the Act has had on consumers</w:t>
      </w:r>
      <w:r>
        <w:rPr>
          <w:rFonts w:ascii="Times New Roman" w:hAnsi="Times New Roman"/>
          <w:sz w:val="24"/>
          <w:szCs w:val="24"/>
        </w:rPr>
        <w:t xml:space="preserve"> </w:t>
      </w:r>
      <w:r w:rsidR="005D5681">
        <w:rPr>
          <w:rFonts w:ascii="Times New Roman" w:hAnsi="Times New Roman"/>
          <w:sz w:val="24"/>
          <w:szCs w:val="24"/>
        </w:rPr>
        <w:t xml:space="preserve">and </w:t>
      </w:r>
      <w:r>
        <w:rPr>
          <w:rFonts w:ascii="Times New Roman" w:hAnsi="Times New Roman"/>
          <w:sz w:val="24"/>
          <w:szCs w:val="24"/>
        </w:rPr>
        <w:t xml:space="preserve">on </w:t>
      </w:r>
      <w:r w:rsidR="005D5681">
        <w:rPr>
          <w:rFonts w:ascii="Times New Roman" w:hAnsi="Times New Roman"/>
          <w:sz w:val="24"/>
          <w:szCs w:val="24"/>
        </w:rPr>
        <w:t xml:space="preserve">the </w:t>
      </w:r>
      <w:r>
        <w:rPr>
          <w:rFonts w:ascii="Times New Roman" w:hAnsi="Times New Roman"/>
          <w:sz w:val="24"/>
          <w:szCs w:val="24"/>
        </w:rPr>
        <w:t xml:space="preserve">card </w:t>
      </w:r>
      <w:r w:rsidR="005D5681">
        <w:rPr>
          <w:rFonts w:ascii="Times New Roman" w:hAnsi="Times New Roman"/>
          <w:sz w:val="24"/>
          <w:szCs w:val="24"/>
        </w:rPr>
        <w:t xml:space="preserve">marketplace.  The conference will bring together industry representatives, consumer and civil rights groups, government officials, and academics for </w:t>
      </w:r>
      <w:r>
        <w:rPr>
          <w:rFonts w:ascii="Times New Roman" w:hAnsi="Times New Roman"/>
          <w:sz w:val="24"/>
          <w:szCs w:val="24"/>
        </w:rPr>
        <w:t>a fact-based discussion</w:t>
      </w:r>
      <w:r w:rsidR="00486858">
        <w:rPr>
          <w:rFonts w:ascii="Times New Roman" w:hAnsi="Times New Roman"/>
          <w:sz w:val="24"/>
          <w:szCs w:val="24"/>
        </w:rPr>
        <w:t xml:space="preserve"> centered on a series of empirical presentations</w:t>
      </w:r>
      <w:r w:rsidR="001A7208">
        <w:rPr>
          <w:rFonts w:ascii="Times New Roman" w:hAnsi="Times New Roman"/>
          <w:sz w:val="24"/>
          <w:szCs w:val="24"/>
        </w:rPr>
        <w:t xml:space="preserve"> each to be followed by </w:t>
      </w:r>
      <w:r w:rsidR="00486858">
        <w:rPr>
          <w:rFonts w:ascii="Times New Roman" w:hAnsi="Times New Roman"/>
          <w:sz w:val="24"/>
          <w:szCs w:val="24"/>
        </w:rPr>
        <w:t>discussants drawn principally from academia and from the Federal Reserve Board</w:t>
      </w:r>
      <w:r>
        <w:rPr>
          <w:rFonts w:ascii="Times New Roman" w:hAnsi="Times New Roman"/>
          <w:sz w:val="24"/>
          <w:szCs w:val="24"/>
        </w:rPr>
        <w:t>.</w:t>
      </w:r>
      <w:r w:rsidR="00486858">
        <w:rPr>
          <w:rFonts w:ascii="Times New Roman" w:hAnsi="Times New Roman"/>
          <w:sz w:val="24"/>
          <w:szCs w:val="24"/>
        </w:rPr>
        <w:t xml:space="preserve">  A draft agenda is attached; please note that not every speaker has been confirmed.</w:t>
      </w:r>
    </w:p>
    <w:p w:rsidR="005D5681" w:rsidRDefault="005D5681" w:rsidP="00D16D1F">
      <w:pPr>
        <w:rPr>
          <w:rFonts w:ascii="Times New Roman" w:hAnsi="Times New Roman"/>
          <w:sz w:val="24"/>
          <w:szCs w:val="24"/>
        </w:rPr>
      </w:pPr>
    </w:p>
    <w:p w:rsidR="002B5B8D" w:rsidRDefault="00EE0A6C" w:rsidP="00D16D1F">
      <w:pPr>
        <w:rPr>
          <w:rFonts w:ascii="Times New Roman" w:hAnsi="Times New Roman"/>
          <w:sz w:val="24"/>
          <w:szCs w:val="24"/>
        </w:rPr>
      </w:pPr>
      <w:r>
        <w:rPr>
          <w:rFonts w:ascii="Times New Roman" w:hAnsi="Times New Roman"/>
          <w:sz w:val="24"/>
          <w:szCs w:val="24"/>
        </w:rPr>
        <w:t xml:space="preserve">In connection with this conference, </w:t>
      </w:r>
      <w:r w:rsidR="00CA1CC3">
        <w:rPr>
          <w:rFonts w:ascii="Times New Roman" w:hAnsi="Times New Roman"/>
          <w:sz w:val="24"/>
          <w:szCs w:val="24"/>
        </w:rPr>
        <w:t>Treasury’s</w:t>
      </w:r>
      <w:r>
        <w:rPr>
          <w:rFonts w:ascii="Times New Roman" w:hAnsi="Times New Roman"/>
          <w:sz w:val="24"/>
          <w:szCs w:val="24"/>
        </w:rPr>
        <w:t xml:space="preserve"> CFPB </w:t>
      </w:r>
      <w:r w:rsidR="00CA1CC3">
        <w:rPr>
          <w:rFonts w:ascii="Times New Roman" w:hAnsi="Times New Roman"/>
          <w:sz w:val="24"/>
          <w:szCs w:val="24"/>
        </w:rPr>
        <w:t>i</w:t>
      </w:r>
      <w:r>
        <w:rPr>
          <w:rFonts w:ascii="Times New Roman" w:hAnsi="Times New Roman"/>
          <w:sz w:val="24"/>
          <w:szCs w:val="24"/>
        </w:rPr>
        <w:t xml:space="preserve">mplementation </w:t>
      </w:r>
      <w:r w:rsidR="00CA1CC3">
        <w:rPr>
          <w:rFonts w:ascii="Times New Roman" w:hAnsi="Times New Roman"/>
          <w:sz w:val="24"/>
          <w:szCs w:val="24"/>
        </w:rPr>
        <w:t>t</w:t>
      </w:r>
      <w:r>
        <w:rPr>
          <w:rFonts w:ascii="Times New Roman" w:hAnsi="Times New Roman"/>
          <w:sz w:val="24"/>
          <w:szCs w:val="24"/>
        </w:rPr>
        <w:t xml:space="preserve">eam, supported by an outside research firm, has designed a phone survey whose purpose is to assess the extent to which consumers are aware of various of the changes affected by the CARD Act and are utilizing the information made available to them by the CARD Act to affect their behavior.  </w:t>
      </w:r>
      <w:r w:rsidR="005D5681">
        <w:rPr>
          <w:rFonts w:ascii="Times New Roman" w:hAnsi="Times New Roman"/>
          <w:sz w:val="24"/>
          <w:szCs w:val="24"/>
        </w:rPr>
        <w:t xml:space="preserve">The survey results will be presented </w:t>
      </w:r>
      <w:r w:rsidR="002B5B8D">
        <w:rPr>
          <w:rFonts w:ascii="Times New Roman" w:hAnsi="Times New Roman"/>
          <w:sz w:val="24"/>
          <w:szCs w:val="24"/>
        </w:rPr>
        <w:t xml:space="preserve">at the conference and will contribute to providing a strong empirical grounding for the conference.  </w:t>
      </w:r>
    </w:p>
    <w:p w:rsidR="002B5B8D" w:rsidRDefault="002B5B8D" w:rsidP="00D16D1F">
      <w:pPr>
        <w:rPr>
          <w:rFonts w:ascii="Times New Roman" w:hAnsi="Times New Roman"/>
          <w:sz w:val="24"/>
          <w:szCs w:val="24"/>
        </w:rPr>
      </w:pPr>
    </w:p>
    <w:p w:rsidR="006D277A" w:rsidRPr="005D5681" w:rsidRDefault="002B5B8D" w:rsidP="00D16D1F">
      <w:pPr>
        <w:rPr>
          <w:rFonts w:ascii="Times New Roman" w:hAnsi="Times New Roman"/>
          <w:sz w:val="24"/>
          <w:szCs w:val="24"/>
        </w:rPr>
      </w:pPr>
      <w:r>
        <w:rPr>
          <w:rFonts w:ascii="Times New Roman" w:hAnsi="Times New Roman"/>
          <w:sz w:val="24"/>
          <w:szCs w:val="24"/>
        </w:rPr>
        <w:lastRenderedPageBreak/>
        <w:t xml:space="preserve">The Conference will be held at the </w:t>
      </w:r>
      <w:r w:rsidR="003F415D" w:rsidRPr="005D5681">
        <w:rPr>
          <w:rFonts w:ascii="Times New Roman" w:hAnsi="Times New Roman"/>
          <w:sz w:val="24"/>
          <w:szCs w:val="24"/>
        </w:rPr>
        <w:t xml:space="preserve">Treasury </w:t>
      </w:r>
      <w:r>
        <w:rPr>
          <w:rFonts w:ascii="Times New Roman" w:hAnsi="Times New Roman"/>
          <w:sz w:val="24"/>
          <w:szCs w:val="24"/>
        </w:rPr>
        <w:t xml:space="preserve">Department on February 22, 2011, which, as noted, is the one-year anniversary of the effective date.  Given that timing, </w:t>
      </w:r>
      <w:r w:rsidR="00EE0A6C">
        <w:rPr>
          <w:rFonts w:ascii="Times New Roman" w:hAnsi="Times New Roman"/>
          <w:sz w:val="24"/>
          <w:szCs w:val="24"/>
        </w:rPr>
        <w:t>Treasury</w:t>
      </w:r>
      <w:r>
        <w:rPr>
          <w:rFonts w:ascii="Times New Roman" w:hAnsi="Times New Roman"/>
          <w:sz w:val="24"/>
          <w:szCs w:val="24"/>
        </w:rPr>
        <w:t xml:space="preserve"> </w:t>
      </w:r>
      <w:r w:rsidR="003F415D" w:rsidRPr="005D5681">
        <w:rPr>
          <w:rFonts w:ascii="Times New Roman" w:hAnsi="Times New Roman"/>
          <w:sz w:val="24"/>
          <w:szCs w:val="24"/>
        </w:rPr>
        <w:t>cannot reasonably comply with the normal clearance procedures under 5 C.F.R. Part 1320</w:t>
      </w:r>
      <w:r>
        <w:rPr>
          <w:rFonts w:ascii="Times New Roman" w:hAnsi="Times New Roman"/>
          <w:sz w:val="24"/>
          <w:szCs w:val="24"/>
        </w:rPr>
        <w:t xml:space="preserve"> with respect to this survey</w:t>
      </w:r>
      <w:r w:rsidR="004E08CD">
        <w:rPr>
          <w:rFonts w:ascii="Times New Roman" w:hAnsi="Times New Roman"/>
          <w:sz w:val="24"/>
          <w:szCs w:val="24"/>
        </w:rPr>
        <w:t>.</w:t>
      </w:r>
      <w:r w:rsidR="003F415D" w:rsidRPr="005D5681">
        <w:rPr>
          <w:rFonts w:ascii="Times New Roman" w:hAnsi="Times New Roman"/>
          <w:sz w:val="24"/>
          <w:szCs w:val="24"/>
        </w:rPr>
        <w:t xml:space="preserve"> </w:t>
      </w:r>
    </w:p>
    <w:p w:rsidR="006D277A" w:rsidRPr="005D5681" w:rsidRDefault="006D277A" w:rsidP="00D16D1F">
      <w:pPr>
        <w:rPr>
          <w:rFonts w:ascii="Times New Roman" w:hAnsi="Times New Roman"/>
          <w:sz w:val="24"/>
          <w:szCs w:val="24"/>
        </w:rPr>
      </w:pPr>
    </w:p>
    <w:p w:rsidR="00E61524" w:rsidRPr="005D5681" w:rsidRDefault="00E61524">
      <w:pPr>
        <w:rPr>
          <w:rFonts w:ascii="Times New Roman" w:hAnsi="Times New Roman"/>
          <w:sz w:val="24"/>
          <w:szCs w:val="24"/>
          <w:u w:val="single"/>
        </w:rPr>
      </w:pPr>
      <w:r w:rsidRPr="005D5681">
        <w:rPr>
          <w:rFonts w:ascii="Times New Roman" w:hAnsi="Times New Roman"/>
          <w:sz w:val="24"/>
          <w:szCs w:val="24"/>
          <w:u w:val="single"/>
        </w:rPr>
        <w:br w:type="page"/>
      </w:r>
    </w:p>
    <w:p w:rsidR="00E61524" w:rsidRPr="005D5681" w:rsidRDefault="00E61524" w:rsidP="00E61524">
      <w:pPr>
        <w:jc w:val="center"/>
        <w:rPr>
          <w:rFonts w:ascii="Times New Roman" w:hAnsi="Times New Roman"/>
          <w:sz w:val="24"/>
          <w:szCs w:val="24"/>
        </w:rPr>
      </w:pPr>
      <w:r w:rsidRPr="005D5681">
        <w:rPr>
          <w:rFonts w:ascii="Times New Roman" w:hAnsi="Times New Roman"/>
          <w:sz w:val="24"/>
          <w:szCs w:val="24"/>
        </w:rPr>
        <w:lastRenderedPageBreak/>
        <w:t xml:space="preserve">Department of the </w:t>
      </w:r>
      <w:r w:rsidR="00A45E40" w:rsidRPr="005D5681">
        <w:rPr>
          <w:rFonts w:ascii="Times New Roman" w:hAnsi="Times New Roman"/>
          <w:sz w:val="24"/>
          <w:szCs w:val="24"/>
        </w:rPr>
        <w:t>Treasury, Departmental Offices</w:t>
      </w:r>
      <w:r w:rsidR="00A45E40" w:rsidRPr="005D5681">
        <w:rPr>
          <w:rFonts w:ascii="Times New Roman" w:hAnsi="Times New Roman"/>
          <w:sz w:val="24"/>
          <w:szCs w:val="24"/>
        </w:rPr>
        <w:br/>
      </w:r>
      <w:r w:rsidRPr="005D5681">
        <w:rPr>
          <w:rFonts w:ascii="Times New Roman" w:hAnsi="Times New Roman"/>
          <w:sz w:val="24"/>
          <w:szCs w:val="24"/>
        </w:rPr>
        <w:t>Consumer Financial</w:t>
      </w:r>
      <w:r w:rsidR="00A45E40" w:rsidRPr="005D5681">
        <w:rPr>
          <w:rFonts w:ascii="Times New Roman" w:hAnsi="Times New Roman"/>
          <w:sz w:val="24"/>
          <w:szCs w:val="24"/>
        </w:rPr>
        <w:t xml:space="preserve"> </w:t>
      </w:r>
      <w:r w:rsidRPr="005D5681">
        <w:rPr>
          <w:rFonts w:ascii="Times New Roman" w:hAnsi="Times New Roman"/>
          <w:sz w:val="24"/>
          <w:szCs w:val="24"/>
        </w:rPr>
        <w:t>Protection Bureau Implementation Team</w:t>
      </w:r>
    </w:p>
    <w:p w:rsidR="00E61524" w:rsidRPr="005D5681" w:rsidRDefault="00E61524" w:rsidP="00E61524">
      <w:pPr>
        <w:jc w:val="center"/>
        <w:rPr>
          <w:rFonts w:ascii="Times New Roman" w:hAnsi="Times New Roman"/>
          <w:sz w:val="24"/>
          <w:szCs w:val="24"/>
        </w:rPr>
      </w:pPr>
      <w:r w:rsidRPr="005D5681">
        <w:rPr>
          <w:rFonts w:ascii="Times New Roman" w:hAnsi="Times New Roman"/>
          <w:sz w:val="24"/>
          <w:szCs w:val="24"/>
        </w:rPr>
        <w:t>Request for Emergency Processing and Approval</w:t>
      </w:r>
    </w:p>
    <w:p w:rsidR="00E61524" w:rsidRPr="005D5681" w:rsidRDefault="006E7ACF" w:rsidP="00E61524">
      <w:pPr>
        <w:jc w:val="center"/>
        <w:rPr>
          <w:rFonts w:ascii="Times New Roman" w:hAnsi="Times New Roman"/>
          <w:sz w:val="24"/>
          <w:szCs w:val="24"/>
        </w:rPr>
      </w:pPr>
      <w:r w:rsidRPr="005D5681">
        <w:rPr>
          <w:rFonts w:ascii="Times New Roman" w:hAnsi="Times New Roman"/>
          <w:sz w:val="24"/>
          <w:szCs w:val="24"/>
        </w:rPr>
        <w:t>CFPB Web Survey</w:t>
      </w:r>
    </w:p>
    <w:p w:rsidR="001824C7" w:rsidRPr="005D5681" w:rsidRDefault="001824C7" w:rsidP="00E61524">
      <w:pPr>
        <w:jc w:val="center"/>
        <w:rPr>
          <w:rFonts w:ascii="Times New Roman" w:hAnsi="Times New Roman"/>
          <w:sz w:val="24"/>
          <w:szCs w:val="24"/>
        </w:rPr>
      </w:pPr>
    </w:p>
    <w:p w:rsidR="00E61524" w:rsidRPr="005D5681" w:rsidRDefault="00E61524" w:rsidP="00D16D1F">
      <w:pPr>
        <w:rPr>
          <w:rFonts w:ascii="Times New Roman" w:hAnsi="Times New Roman"/>
          <w:sz w:val="24"/>
          <w:szCs w:val="24"/>
          <w:u w:val="single"/>
        </w:rPr>
      </w:pPr>
    </w:p>
    <w:p w:rsidR="00210607"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CIRCUMSTANCES NECESSITATING THE COLLECTION OF INFORMATION</w:t>
      </w:r>
      <w:r w:rsidRPr="005D5681">
        <w:rPr>
          <w:rFonts w:ascii="Times New Roman" w:hAnsi="Times New Roman"/>
          <w:sz w:val="24"/>
          <w:szCs w:val="24"/>
          <w:u w:val="single"/>
        </w:rPr>
        <w:br/>
      </w:r>
    </w:p>
    <w:p w:rsidR="00705DC8" w:rsidRDefault="003759FE" w:rsidP="003A1A22">
      <w:pPr>
        <w:ind w:left="720"/>
        <w:rPr>
          <w:rFonts w:ascii="Times New Roman" w:hAnsi="Times New Roman"/>
          <w:sz w:val="24"/>
          <w:szCs w:val="24"/>
        </w:rPr>
      </w:pPr>
      <w:r w:rsidRPr="005D5681">
        <w:rPr>
          <w:rFonts w:ascii="Times New Roman" w:hAnsi="Times New Roman"/>
          <w:sz w:val="24"/>
          <w:szCs w:val="24"/>
        </w:rPr>
        <w:t xml:space="preserve">The </w:t>
      </w:r>
      <w:r w:rsidR="002B5B8D">
        <w:rPr>
          <w:rFonts w:ascii="Times New Roman" w:hAnsi="Times New Roman"/>
          <w:sz w:val="24"/>
          <w:szCs w:val="24"/>
        </w:rPr>
        <w:t xml:space="preserve">CARD Act made substantial changes to the Truth in Lending Act, </w:t>
      </w:r>
      <w:r w:rsidR="00705DC8">
        <w:rPr>
          <w:rFonts w:ascii="Times New Roman" w:hAnsi="Times New Roman"/>
          <w:sz w:val="24"/>
          <w:szCs w:val="24"/>
        </w:rPr>
        <w:t xml:space="preserve">15 U.S.C. 1601 </w:t>
      </w:r>
      <w:r w:rsidR="00705DC8">
        <w:rPr>
          <w:rFonts w:ascii="Times New Roman" w:hAnsi="Times New Roman"/>
          <w:i/>
          <w:sz w:val="24"/>
          <w:szCs w:val="24"/>
        </w:rPr>
        <w:t xml:space="preserve">et seq. </w:t>
      </w:r>
      <w:r w:rsidR="00705DC8">
        <w:rPr>
          <w:rFonts w:ascii="Times New Roman" w:hAnsi="Times New Roman"/>
          <w:sz w:val="24"/>
          <w:szCs w:val="24"/>
        </w:rPr>
        <w:t xml:space="preserve">(“TILA”).  </w:t>
      </w:r>
      <w:r w:rsidR="00705DC8">
        <w:rPr>
          <w:rFonts w:ascii="Times New Roman" w:hAnsi="Times New Roman"/>
          <w:i/>
          <w:sz w:val="24"/>
          <w:szCs w:val="24"/>
        </w:rPr>
        <w:t xml:space="preserve"> </w:t>
      </w:r>
      <w:r w:rsidR="00705DC8">
        <w:rPr>
          <w:rFonts w:ascii="Times New Roman" w:hAnsi="Times New Roman"/>
          <w:sz w:val="24"/>
          <w:szCs w:val="24"/>
        </w:rPr>
        <w:t xml:space="preserve">Among the changes made by the Act were enhanced disclosures in monthly billing statements designed </w:t>
      </w:r>
      <w:r w:rsidR="001A7208">
        <w:rPr>
          <w:rFonts w:ascii="Times New Roman" w:hAnsi="Times New Roman"/>
          <w:sz w:val="24"/>
          <w:szCs w:val="24"/>
        </w:rPr>
        <w:t xml:space="preserve">both </w:t>
      </w:r>
      <w:r w:rsidR="00705DC8">
        <w:rPr>
          <w:rFonts w:ascii="Times New Roman" w:hAnsi="Times New Roman"/>
          <w:sz w:val="24"/>
          <w:szCs w:val="24"/>
        </w:rPr>
        <w:t xml:space="preserve">to increase the transparency to consumers of the cost they are paying for credit and, through a form of “choice architecture,” to guide consumers towards paying down their debt more rapidly to the extent they can afford to do so.  The implementing regulations adopted by the Federal Reserve Board also amended some pre-existing disclosure requirements in an effort to assure that the information consumers receiving when applying for a credit card is clearer to them.  </w:t>
      </w:r>
    </w:p>
    <w:p w:rsidR="00705DC8" w:rsidRDefault="00705DC8" w:rsidP="003A1A22">
      <w:pPr>
        <w:ind w:left="720"/>
        <w:rPr>
          <w:rFonts w:ascii="Times New Roman" w:hAnsi="Times New Roman"/>
          <w:sz w:val="24"/>
          <w:szCs w:val="24"/>
        </w:rPr>
      </w:pPr>
    </w:p>
    <w:p w:rsidR="00EB5765" w:rsidRDefault="00A45E40" w:rsidP="003A1A22">
      <w:pPr>
        <w:ind w:left="720"/>
        <w:rPr>
          <w:rFonts w:ascii="Times New Roman" w:hAnsi="Times New Roman"/>
          <w:sz w:val="24"/>
          <w:szCs w:val="24"/>
        </w:rPr>
      </w:pPr>
      <w:r w:rsidRPr="005D5681">
        <w:rPr>
          <w:rFonts w:ascii="Times New Roman" w:hAnsi="Times New Roman"/>
          <w:sz w:val="24"/>
          <w:szCs w:val="24"/>
        </w:rPr>
        <w:t xml:space="preserve">Once fully operational, CFPB will </w:t>
      </w:r>
      <w:r w:rsidR="00705DC8">
        <w:rPr>
          <w:rFonts w:ascii="Times New Roman" w:hAnsi="Times New Roman"/>
          <w:sz w:val="24"/>
          <w:szCs w:val="24"/>
        </w:rPr>
        <w:t xml:space="preserve">be responsible for </w:t>
      </w:r>
      <w:r w:rsidRPr="005D5681">
        <w:rPr>
          <w:rFonts w:ascii="Times New Roman" w:hAnsi="Times New Roman"/>
          <w:sz w:val="24"/>
          <w:szCs w:val="24"/>
        </w:rPr>
        <w:t>administer</w:t>
      </w:r>
      <w:r w:rsidR="00705DC8">
        <w:rPr>
          <w:rFonts w:ascii="Times New Roman" w:hAnsi="Times New Roman"/>
          <w:sz w:val="24"/>
          <w:szCs w:val="24"/>
        </w:rPr>
        <w:t xml:space="preserve">ing and enforcing TILA and the CARD Act along with a myriad of other consumer financial protection laws.  A core principle for CFPB, in exercising its regulatory powers, will be to assure that its decisions are </w:t>
      </w:r>
      <w:r w:rsidR="00EB5765">
        <w:rPr>
          <w:rFonts w:ascii="Times New Roman" w:hAnsi="Times New Roman"/>
          <w:sz w:val="24"/>
          <w:szCs w:val="24"/>
        </w:rPr>
        <w:t xml:space="preserve">grounded in a </w:t>
      </w:r>
      <w:r w:rsidR="00486858">
        <w:rPr>
          <w:rFonts w:ascii="Times New Roman" w:hAnsi="Times New Roman"/>
          <w:sz w:val="24"/>
          <w:szCs w:val="24"/>
        </w:rPr>
        <w:t xml:space="preserve">deep </w:t>
      </w:r>
      <w:r w:rsidR="00EB5765">
        <w:rPr>
          <w:rFonts w:ascii="Times New Roman" w:hAnsi="Times New Roman"/>
          <w:sz w:val="24"/>
          <w:szCs w:val="24"/>
        </w:rPr>
        <w:t xml:space="preserve">understanding of the consumer markets over which CFPB will have jurisdiction, including an understanding of how these laws are impacting consumers.  </w:t>
      </w:r>
      <w:r w:rsidR="00486858">
        <w:rPr>
          <w:rFonts w:ascii="Times New Roman" w:hAnsi="Times New Roman"/>
          <w:sz w:val="24"/>
          <w:szCs w:val="24"/>
        </w:rPr>
        <w:t xml:space="preserve">The first anniversary of the effective date of the CARD Act provides an appropriate occasion to examine how the credit card marketplace has changed over the past year as well as to reinforce the message contained by the President in his State of the Union address with respect to the important consumer protections brought about by the CARD Act.  The </w:t>
      </w:r>
      <w:r w:rsidR="00C152DA">
        <w:rPr>
          <w:rFonts w:ascii="Times New Roman" w:hAnsi="Times New Roman"/>
          <w:sz w:val="24"/>
          <w:szCs w:val="24"/>
        </w:rPr>
        <w:t xml:space="preserve">proposed survey will further both of these objective.  </w:t>
      </w:r>
    </w:p>
    <w:p w:rsidR="00EB5765" w:rsidRDefault="00EB5765" w:rsidP="003A1A22">
      <w:pPr>
        <w:ind w:left="720"/>
        <w:rPr>
          <w:rFonts w:ascii="Times New Roman" w:hAnsi="Times New Roman"/>
          <w:sz w:val="24"/>
          <w:szCs w:val="24"/>
        </w:rPr>
      </w:pPr>
    </w:p>
    <w:p w:rsidR="00042708" w:rsidRPr="005D5681" w:rsidRDefault="00EB5765" w:rsidP="00463B28">
      <w:pPr>
        <w:ind w:left="720"/>
        <w:rPr>
          <w:rFonts w:ascii="Times New Roman" w:hAnsi="Times New Roman"/>
          <w:sz w:val="24"/>
          <w:szCs w:val="24"/>
        </w:rPr>
      </w:pPr>
      <w:r>
        <w:rPr>
          <w:rFonts w:ascii="Times New Roman" w:hAnsi="Times New Roman"/>
          <w:sz w:val="24"/>
          <w:szCs w:val="24"/>
        </w:rPr>
        <w:t xml:space="preserve">In particular, the proposed survey will allow the CFPB </w:t>
      </w:r>
      <w:r w:rsidR="00CA1CC3">
        <w:rPr>
          <w:rFonts w:ascii="Times New Roman" w:hAnsi="Times New Roman"/>
          <w:sz w:val="24"/>
          <w:szCs w:val="24"/>
        </w:rPr>
        <w:t>i</w:t>
      </w:r>
      <w:r>
        <w:rPr>
          <w:rFonts w:ascii="Times New Roman" w:hAnsi="Times New Roman"/>
          <w:sz w:val="24"/>
          <w:szCs w:val="24"/>
        </w:rPr>
        <w:t xml:space="preserve">mplementation </w:t>
      </w:r>
      <w:r w:rsidR="00CA1CC3">
        <w:rPr>
          <w:rFonts w:ascii="Times New Roman" w:hAnsi="Times New Roman"/>
          <w:sz w:val="24"/>
          <w:szCs w:val="24"/>
        </w:rPr>
        <w:t>t</w:t>
      </w:r>
      <w:r>
        <w:rPr>
          <w:rFonts w:ascii="Times New Roman" w:hAnsi="Times New Roman"/>
          <w:sz w:val="24"/>
          <w:szCs w:val="24"/>
        </w:rPr>
        <w:t>eam to share with participants at the CARD Act Conference</w:t>
      </w:r>
      <w:r w:rsidR="00C152DA">
        <w:rPr>
          <w:rFonts w:ascii="Times New Roman" w:hAnsi="Times New Roman"/>
          <w:sz w:val="24"/>
          <w:szCs w:val="24"/>
        </w:rPr>
        <w:t xml:space="preserve"> data with respect </w:t>
      </w:r>
      <w:r w:rsidR="00120A26">
        <w:rPr>
          <w:rFonts w:ascii="Times New Roman" w:hAnsi="Times New Roman"/>
          <w:sz w:val="24"/>
          <w:szCs w:val="24"/>
        </w:rPr>
        <w:t>to</w:t>
      </w:r>
      <w:r>
        <w:rPr>
          <w:rFonts w:ascii="Times New Roman" w:hAnsi="Times New Roman"/>
          <w:sz w:val="24"/>
          <w:szCs w:val="24"/>
        </w:rPr>
        <w:t xml:space="preserve"> the extent to which the new information being provided to consumers is actually being absorbed by them, the value they place on that information, and the extent to which they report using the information to change their behavior in ways intended – or, potentially, in ways not intended – by the CARD Act.  The survey also will provide valuable insights into how consumers who have applied for a new credit card in the past year went about deciding to do so.  This information </w:t>
      </w:r>
      <w:r w:rsidR="00C152DA">
        <w:rPr>
          <w:rFonts w:ascii="Times New Roman" w:hAnsi="Times New Roman"/>
          <w:sz w:val="24"/>
          <w:szCs w:val="24"/>
        </w:rPr>
        <w:t xml:space="preserve">will </w:t>
      </w:r>
      <w:r w:rsidR="001A7208">
        <w:rPr>
          <w:rFonts w:ascii="Times New Roman" w:hAnsi="Times New Roman"/>
          <w:sz w:val="24"/>
          <w:szCs w:val="24"/>
        </w:rPr>
        <w:t xml:space="preserve">complement the other presentations planned for the conference by providing a consumer perspective.  </w:t>
      </w:r>
    </w:p>
    <w:p w:rsidR="00463B28" w:rsidRPr="005D5681" w:rsidRDefault="00463B28" w:rsidP="00D16D1F">
      <w:pPr>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USE OF THE DATA</w:t>
      </w:r>
      <w:r w:rsidRPr="005D5681">
        <w:rPr>
          <w:rFonts w:ascii="Times New Roman" w:hAnsi="Times New Roman"/>
          <w:sz w:val="24"/>
          <w:szCs w:val="24"/>
          <w:u w:val="single"/>
        </w:rPr>
        <w:br/>
      </w:r>
    </w:p>
    <w:p w:rsidR="00355E2C" w:rsidRPr="005D5681" w:rsidRDefault="00463B28" w:rsidP="00355E2C">
      <w:pPr>
        <w:ind w:left="720"/>
        <w:rPr>
          <w:rFonts w:ascii="Times New Roman" w:hAnsi="Times New Roman"/>
          <w:sz w:val="24"/>
          <w:szCs w:val="24"/>
        </w:rPr>
      </w:pPr>
      <w:r w:rsidRPr="005D5681">
        <w:rPr>
          <w:rFonts w:ascii="Times New Roman" w:hAnsi="Times New Roman"/>
          <w:sz w:val="24"/>
          <w:szCs w:val="24"/>
        </w:rPr>
        <w:t xml:space="preserve">The aggregate results of the </w:t>
      </w:r>
      <w:r w:rsidR="00C152DA">
        <w:rPr>
          <w:rFonts w:ascii="Times New Roman" w:hAnsi="Times New Roman"/>
          <w:sz w:val="24"/>
          <w:szCs w:val="24"/>
        </w:rPr>
        <w:t xml:space="preserve">survey (weighted as explained in Part B) – along with cross-tabulations where there are statistically significant differences among relevant sub-populations -- </w:t>
      </w:r>
      <w:r w:rsidRPr="005D5681">
        <w:rPr>
          <w:rFonts w:ascii="Times New Roman" w:hAnsi="Times New Roman"/>
          <w:sz w:val="24"/>
          <w:szCs w:val="24"/>
        </w:rPr>
        <w:t xml:space="preserve">will </w:t>
      </w:r>
      <w:r w:rsidR="00355E2C">
        <w:rPr>
          <w:rFonts w:ascii="Times New Roman" w:hAnsi="Times New Roman"/>
          <w:sz w:val="24"/>
          <w:szCs w:val="24"/>
        </w:rPr>
        <w:t xml:space="preserve">be presented at the CARD Act Conference.  </w:t>
      </w:r>
      <w:r w:rsidR="00736050">
        <w:rPr>
          <w:rFonts w:ascii="Times New Roman" w:hAnsi="Times New Roman"/>
          <w:sz w:val="24"/>
          <w:szCs w:val="24"/>
        </w:rPr>
        <w:t xml:space="preserve">This survey is being conducted to provide formative information for CFPB to share at this conference.  </w:t>
      </w:r>
      <w:r w:rsidR="00EE0A6C">
        <w:rPr>
          <w:rFonts w:ascii="Times New Roman" w:hAnsi="Times New Roman"/>
          <w:sz w:val="24"/>
          <w:szCs w:val="24"/>
        </w:rPr>
        <w:t xml:space="preserve">Participants in the conference – including representatives of industry and consumer groups -- will have an opportunity to share with the CFPB </w:t>
      </w:r>
      <w:r w:rsidR="00CA1CC3">
        <w:rPr>
          <w:rFonts w:ascii="Times New Roman" w:hAnsi="Times New Roman"/>
          <w:sz w:val="24"/>
          <w:szCs w:val="24"/>
        </w:rPr>
        <w:t>i</w:t>
      </w:r>
      <w:r w:rsidR="00EE0A6C">
        <w:rPr>
          <w:rFonts w:ascii="Times New Roman" w:hAnsi="Times New Roman"/>
          <w:sz w:val="24"/>
          <w:szCs w:val="24"/>
        </w:rPr>
        <w:t xml:space="preserve">mplementation </w:t>
      </w:r>
      <w:r w:rsidR="00CA1CC3">
        <w:rPr>
          <w:rFonts w:ascii="Times New Roman" w:hAnsi="Times New Roman"/>
          <w:sz w:val="24"/>
          <w:szCs w:val="24"/>
        </w:rPr>
        <w:t>t</w:t>
      </w:r>
      <w:r w:rsidR="00EE0A6C">
        <w:rPr>
          <w:rFonts w:ascii="Times New Roman" w:hAnsi="Times New Roman"/>
          <w:sz w:val="24"/>
          <w:szCs w:val="24"/>
        </w:rPr>
        <w:t xml:space="preserve">eam and the other government officials in attendance their views as to the significance </w:t>
      </w:r>
      <w:r w:rsidR="00C152DA">
        <w:rPr>
          <w:rFonts w:ascii="Times New Roman" w:hAnsi="Times New Roman"/>
          <w:sz w:val="24"/>
          <w:szCs w:val="24"/>
        </w:rPr>
        <w:t>of these results, further questions the</w:t>
      </w:r>
      <w:r w:rsidR="001A7208">
        <w:rPr>
          <w:rFonts w:ascii="Times New Roman" w:hAnsi="Times New Roman"/>
          <w:sz w:val="24"/>
          <w:szCs w:val="24"/>
        </w:rPr>
        <w:t xml:space="preserve"> results may </w:t>
      </w:r>
      <w:r w:rsidR="00C152DA">
        <w:rPr>
          <w:rFonts w:ascii="Times New Roman" w:hAnsi="Times New Roman"/>
          <w:sz w:val="24"/>
          <w:szCs w:val="24"/>
        </w:rPr>
        <w:t xml:space="preserve">raise, </w:t>
      </w:r>
      <w:r w:rsidR="00EE0A6C">
        <w:rPr>
          <w:rFonts w:ascii="Times New Roman" w:hAnsi="Times New Roman"/>
          <w:sz w:val="24"/>
          <w:szCs w:val="24"/>
        </w:rPr>
        <w:t xml:space="preserve">and </w:t>
      </w:r>
      <w:r w:rsidR="00C152DA">
        <w:rPr>
          <w:rFonts w:ascii="Times New Roman" w:hAnsi="Times New Roman"/>
          <w:sz w:val="24"/>
          <w:szCs w:val="24"/>
        </w:rPr>
        <w:t xml:space="preserve">any </w:t>
      </w:r>
      <w:r w:rsidR="00EE0A6C">
        <w:rPr>
          <w:rFonts w:ascii="Times New Roman" w:hAnsi="Times New Roman"/>
          <w:sz w:val="24"/>
          <w:szCs w:val="24"/>
        </w:rPr>
        <w:t xml:space="preserve">implications </w:t>
      </w:r>
      <w:r w:rsidR="00736050">
        <w:rPr>
          <w:rFonts w:ascii="Times New Roman" w:hAnsi="Times New Roman"/>
          <w:sz w:val="24"/>
          <w:szCs w:val="24"/>
        </w:rPr>
        <w:t xml:space="preserve">for further examination and research.  </w:t>
      </w:r>
      <w:r w:rsidR="00355E2C">
        <w:rPr>
          <w:rFonts w:ascii="Times New Roman" w:hAnsi="Times New Roman"/>
          <w:sz w:val="24"/>
          <w:szCs w:val="24"/>
        </w:rPr>
        <w:t xml:space="preserve">The results, and the feedback received from the various stakeholders, will contribute to informing CFPB’s views with respect to policy priorities and approaches.  </w:t>
      </w:r>
      <w:r w:rsidR="00736050">
        <w:rPr>
          <w:rFonts w:ascii="Times New Roman" w:hAnsi="Times New Roman"/>
          <w:sz w:val="24"/>
          <w:szCs w:val="24"/>
        </w:rPr>
        <w:t xml:space="preserve">The presentation will make clear, orally and on any handout, that this survey is formative in nature.  </w:t>
      </w:r>
    </w:p>
    <w:p w:rsidR="00463B28" w:rsidRPr="005D5681" w:rsidRDefault="00463B28" w:rsidP="00D83883">
      <w:pPr>
        <w:ind w:left="720"/>
        <w:rPr>
          <w:rFonts w:ascii="Times New Roman" w:hAnsi="Times New Roman"/>
          <w:sz w:val="24"/>
          <w:szCs w:val="24"/>
        </w:rPr>
      </w:pPr>
    </w:p>
    <w:p w:rsidR="00463B28" w:rsidRPr="005D5681" w:rsidRDefault="00463B28" w:rsidP="00D83883">
      <w:pPr>
        <w:ind w:left="720"/>
        <w:rPr>
          <w:rFonts w:ascii="Times New Roman" w:hAnsi="Times New Roman"/>
          <w:sz w:val="24"/>
          <w:szCs w:val="24"/>
        </w:rPr>
      </w:pPr>
      <w:r w:rsidRPr="005D5681">
        <w:rPr>
          <w:rFonts w:ascii="Times New Roman" w:hAnsi="Times New Roman"/>
          <w:sz w:val="24"/>
          <w:szCs w:val="24"/>
        </w:rPr>
        <w:t xml:space="preserve">Aggregate results of the information </w:t>
      </w:r>
      <w:r w:rsidR="00BC64D7" w:rsidRPr="005D5681">
        <w:rPr>
          <w:rFonts w:ascii="Times New Roman" w:hAnsi="Times New Roman"/>
          <w:sz w:val="24"/>
          <w:szCs w:val="24"/>
        </w:rPr>
        <w:t xml:space="preserve">eventually </w:t>
      </w:r>
      <w:r w:rsidRPr="005D5681">
        <w:rPr>
          <w:rFonts w:ascii="Times New Roman" w:hAnsi="Times New Roman"/>
          <w:sz w:val="24"/>
          <w:szCs w:val="24"/>
        </w:rPr>
        <w:t>will be made available as downloadable data. It has not yet been determined whether this will be in a text format (like .csv) or a more instruction-heavy format (like XML).</w:t>
      </w:r>
    </w:p>
    <w:p w:rsidR="007E66E1" w:rsidRPr="005D5681" w:rsidRDefault="007E66E1"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USE OF INFORMATION TECHNOLOGY</w:t>
      </w:r>
      <w:r w:rsidRPr="005D5681">
        <w:rPr>
          <w:rFonts w:ascii="Times New Roman" w:hAnsi="Times New Roman"/>
          <w:sz w:val="24"/>
          <w:szCs w:val="24"/>
          <w:u w:val="single"/>
        </w:rPr>
        <w:br/>
      </w:r>
    </w:p>
    <w:p w:rsidR="00D16D1F" w:rsidRPr="005D5681" w:rsidRDefault="00355E2C" w:rsidP="00D16D1F">
      <w:pPr>
        <w:pStyle w:val="ListParagraph"/>
        <w:rPr>
          <w:rFonts w:ascii="Times New Roman" w:hAnsi="Times New Roman"/>
          <w:sz w:val="24"/>
          <w:szCs w:val="24"/>
        </w:rPr>
      </w:pPr>
      <w:r>
        <w:rPr>
          <w:rFonts w:ascii="Times New Roman" w:hAnsi="Times New Roman"/>
          <w:sz w:val="24"/>
          <w:szCs w:val="24"/>
        </w:rPr>
        <w:t>To assure results that are representative of the population as a whole, the survey will be administered via phone rather than using the Internet.  Web-based research by definition excludes from the sample those without Internet access.  In addition, web-based research is typically limited to an opt-in panel and the results cannot be reli</w:t>
      </w:r>
      <w:r w:rsidR="001A7208">
        <w:rPr>
          <w:rFonts w:ascii="Times New Roman" w:hAnsi="Times New Roman"/>
          <w:sz w:val="24"/>
          <w:szCs w:val="24"/>
        </w:rPr>
        <w:t>ably</w:t>
      </w:r>
      <w:r>
        <w:rPr>
          <w:rFonts w:ascii="Times New Roman" w:hAnsi="Times New Roman"/>
          <w:sz w:val="24"/>
          <w:szCs w:val="24"/>
        </w:rPr>
        <w:t xml:space="preserve"> extrapolated to the population as a whole.  Participating in the survey will be entirely voluntary and will not take more than 15 minutes</w:t>
      </w:r>
      <w:r w:rsidR="004E08CD">
        <w:rPr>
          <w:rFonts w:ascii="Times New Roman" w:hAnsi="Times New Roman"/>
          <w:sz w:val="24"/>
          <w:szCs w:val="24"/>
        </w:rPr>
        <w:t xml:space="preserve"> on average</w:t>
      </w:r>
      <w:r>
        <w:rPr>
          <w:rFonts w:ascii="Times New Roman" w:hAnsi="Times New Roman"/>
          <w:sz w:val="24"/>
          <w:szCs w:val="24"/>
        </w:rPr>
        <w:t>.</w:t>
      </w:r>
    </w:p>
    <w:p w:rsidR="007E66E1" w:rsidRPr="005D5681" w:rsidRDefault="007E66E1"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EFFORTS TO IDENTIFY DUPLICATION</w:t>
      </w:r>
      <w:r w:rsidRPr="005D5681">
        <w:rPr>
          <w:rFonts w:ascii="Times New Roman" w:hAnsi="Times New Roman"/>
          <w:sz w:val="24"/>
          <w:szCs w:val="24"/>
          <w:u w:val="single"/>
        </w:rPr>
        <w:br/>
      </w:r>
    </w:p>
    <w:p w:rsidR="00D83883" w:rsidRPr="005D5681" w:rsidRDefault="00D83883" w:rsidP="00D16D1F">
      <w:pPr>
        <w:pStyle w:val="ListParagraph"/>
        <w:rPr>
          <w:rFonts w:ascii="Times New Roman" w:hAnsi="Times New Roman"/>
          <w:sz w:val="24"/>
          <w:szCs w:val="24"/>
        </w:rPr>
      </w:pPr>
      <w:r w:rsidRPr="005D5681">
        <w:rPr>
          <w:rFonts w:ascii="Times New Roman" w:hAnsi="Times New Roman"/>
          <w:sz w:val="24"/>
          <w:szCs w:val="24"/>
        </w:rPr>
        <w:t xml:space="preserve">This will be </w:t>
      </w:r>
      <w:r w:rsidR="00CF61DF" w:rsidRPr="005D5681">
        <w:rPr>
          <w:rFonts w:ascii="Times New Roman" w:hAnsi="Times New Roman"/>
          <w:sz w:val="24"/>
          <w:szCs w:val="24"/>
        </w:rPr>
        <w:t xml:space="preserve">the </w:t>
      </w:r>
      <w:r w:rsidRPr="005D5681">
        <w:rPr>
          <w:rFonts w:ascii="Times New Roman" w:hAnsi="Times New Roman"/>
          <w:sz w:val="24"/>
          <w:szCs w:val="24"/>
        </w:rPr>
        <w:t>CFPB implementation team’s first attempt to collect the information sought in this survey.</w:t>
      </w:r>
      <w:r w:rsidR="00355E2C">
        <w:rPr>
          <w:rFonts w:ascii="Times New Roman" w:hAnsi="Times New Roman"/>
          <w:sz w:val="24"/>
          <w:szCs w:val="24"/>
        </w:rPr>
        <w:t xml:space="preserve">  We have identified and obtained results from four surveys with respect to the CARD Act that have been conducted either by advocacy groups or research firms</w:t>
      </w:r>
      <w:r w:rsidR="004E08CD">
        <w:rPr>
          <w:rFonts w:ascii="Times New Roman" w:hAnsi="Times New Roman"/>
          <w:sz w:val="24"/>
          <w:szCs w:val="24"/>
        </w:rPr>
        <w:t xml:space="preserve"> over the past year</w:t>
      </w:r>
      <w:r w:rsidR="00355E2C">
        <w:rPr>
          <w:rFonts w:ascii="Times New Roman" w:hAnsi="Times New Roman"/>
          <w:sz w:val="24"/>
          <w:szCs w:val="24"/>
        </w:rPr>
        <w:t>. For the most part, the results of those surveys are dated, as they were conducted shortly after the effective date of the Act</w:t>
      </w:r>
      <w:r w:rsidR="001A7208">
        <w:rPr>
          <w:rFonts w:ascii="Times New Roman" w:hAnsi="Times New Roman"/>
          <w:sz w:val="24"/>
          <w:szCs w:val="24"/>
        </w:rPr>
        <w:t xml:space="preserve">.  </w:t>
      </w:r>
      <w:r w:rsidR="00EE0A6C">
        <w:rPr>
          <w:rFonts w:ascii="Times New Roman" w:hAnsi="Times New Roman"/>
          <w:sz w:val="24"/>
          <w:szCs w:val="24"/>
        </w:rPr>
        <w:t>Additionally</w:t>
      </w:r>
      <w:r w:rsidR="00355E2C">
        <w:rPr>
          <w:rFonts w:ascii="Times New Roman" w:hAnsi="Times New Roman"/>
          <w:sz w:val="24"/>
          <w:szCs w:val="24"/>
        </w:rPr>
        <w:t xml:space="preserve">, some of those surveys were administered to a non-representative sample while others did not ask questions relevant to assessing the </w:t>
      </w:r>
      <w:r w:rsidR="001A7208">
        <w:rPr>
          <w:rFonts w:ascii="Times New Roman" w:hAnsi="Times New Roman"/>
          <w:sz w:val="24"/>
          <w:szCs w:val="24"/>
        </w:rPr>
        <w:t xml:space="preserve">consumer perspective on the </w:t>
      </w:r>
      <w:r w:rsidR="00355E2C">
        <w:rPr>
          <w:rFonts w:ascii="Times New Roman" w:hAnsi="Times New Roman"/>
          <w:sz w:val="24"/>
          <w:szCs w:val="24"/>
        </w:rPr>
        <w:t>law’s impact.  Accordingly, the only way to obtain the information we seek is by conducting this survey.</w:t>
      </w:r>
      <w:r w:rsidR="00C152DA">
        <w:rPr>
          <w:rFonts w:ascii="Times New Roman" w:hAnsi="Times New Roman"/>
          <w:sz w:val="24"/>
          <w:szCs w:val="24"/>
        </w:rPr>
        <w:t xml:space="preserve">  We will, however, utilize certain questions asked in prior surveys in order to provide some points of comparison as well as to benchmark the results obtained.</w:t>
      </w:r>
    </w:p>
    <w:p w:rsidR="00A45E40" w:rsidRPr="005D5681" w:rsidRDefault="00A45E40"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IMPACT ON SMALL ENTITIES</w:t>
      </w:r>
      <w:r w:rsidRPr="005D5681">
        <w:rPr>
          <w:rFonts w:ascii="Times New Roman" w:hAnsi="Times New Roman"/>
          <w:sz w:val="24"/>
          <w:szCs w:val="24"/>
          <w:u w:val="single"/>
        </w:rPr>
        <w:br/>
      </w:r>
    </w:p>
    <w:p w:rsidR="00F945B7" w:rsidRDefault="006B667F" w:rsidP="00D16D1F">
      <w:pPr>
        <w:pStyle w:val="ListParagraph"/>
        <w:rPr>
          <w:rFonts w:ascii="Times New Roman" w:hAnsi="Times New Roman"/>
          <w:sz w:val="24"/>
          <w:szCs w:val="24"/>
        </w:rPr>
      </w:pPr>
      <w:r w:rsidRPr="005D5681">
        <w:rPr>
          <w:rFonts w:ascii="Times New Roman" w:hAnsi="Times New Roman"/>
          <w:sz w:val="24"/>
          <w:szCs w:val="24"/>
        </w:rPr>
        <w:t xml:space="preserve">Not applicable.  </w:t>
      </w:r>
      <w:r w:rsidR="00D83883" w:rsidRPr="005D5681">
        <w:rPr>
          <w:rFonts w:ascii="Times New Roman" w:hAnsi="Times New Roman"/>
          <w:sz w:val="24"/>
          <w:szCs w:val="24"/>
        </w:rPr>
        <w:t xml:space="preserve">The reported results of the survey will have no direct impact on any small entity.  </w:t>
      </w:r>
      <w:r w:rsidR="00A4789E" w:rsidRPr="005D5681">
        <w:rPr>
          <w:rFonts w:ascii="Times New Roman" w:hAnsi="Times New Roman"/>
          <w:sz w:val="24"/>
          <w:szCs w:val="24"/>
        </w:rPr>
        <w:t xml:space="preserve">The </w:t>
      </w:r>
      <w:r w:rsidR="00C90BE7" w:rsidRPr="005D5681">
        <w:rPr>
          <w:rFonts w:ascii="Times New Roman" w:hAnsi="Times New Roman"/>
          <w:sz w:val="24"/>
          <w:szCs w:val="24"/>
        </w:rPr>
        <w:t>survey</w:t>
      </w:r>
      <w:r w:rsidR="00A4789E" w:rsidRPr="005D5681">
        <w:rPr>
          <w:rFonts w:ascii="Times New Roman" w:hAnsi="Times New Roman"/>
          <w:sz w:val="24"/>
          <w:szCs w:val="24"/>
        </w:rPr>
        <w:t xml:space="preserve"> </w:t>
      </w:r>
      <w:r w:rsidR="00464B62" w:rsidRPr="005D5681">
        <w:rPr>
          <w:rFonts w:ascii="Times New Roman" w:hAnsi="Times New Roman"/>
          <w:sz w:val="24"/>
          <w:szCs w:val="24"/>
        </w:rPr>
        <w:t>is designed to elicit responses from individuals, not entities</w:t>
      </w:r>
      <w:r w:rsidR="00A4789E" w:rsidRPr="005D5681">
        <w:rPr>
          <w:rFonts w:ascii="Times New Roman" w:hAnsi="Times New Roman"/>
          <w:sz w:val="24"/>
          <w:szCs w:val="24"/>
        </w:rPr>
        <w:t>.</w:t>
      </w:r>
      <w:r w:rsidR="00D83883" w:rsidRPr="005D5681">
        <w:rPr>
          <w:rFonts w:ascii="Times New Roman" w:hAnsi="Times New Roman"/>
          <w:sz w:val="24"/>
          <w:szCs w:val="24"/>
        </w:rPr>
        <w:t xml:space="preserve"> </w:t>
      </w:r>
      <w:r w:rsidR="00A4789E" w:rsidRPr="005D5681">
        <w:rPr>
          <w:rFonts w:ascii="Times New Roman" w:hAnsi="Times New Roman"/>
          <w:sz w:val="24"/>
          <w:szCs w:val="24"/>
        </w:rPr>
        <w:t xml:space="preserve"> It is assumed that individuals will not answer during</w:t>
      </w:r>
      <w:r w:rsidR="00EC19B5" w:rsidRPr="005D5681">
        <w:rPr>
          <w:rFonts w:ascii="Times New Roman" w:hAnsi="Times New Roman"/>
          <w:sz w:val="24"/>
          <w:szCs w:val="24"/>
        </w:rPr>
        <w:t xml:space="preserve"> </w:t>
      </w:r>
      <w:r w:rsidR="00A4789E" w:rsidRPr="005D5681">
        <w:rPr>
          <w:rFonts w:ascii="Times New Roman" w:hAnsi="Times New Roman"/>
          <w:sz w:val="24"/>
          <w:szCs w:val="24"/>
        </w:rPr>
        <w:t>time for which they are being compensated, or are responsible to or for someone else, to an</w:t>
      </w:r>
      <w:r w:rsidR="00EC19B5" w:rsidRPr="005D5681">
        <w:rPr>
          <w:rFonts w:ascii="Times New Roman" w:hAnsi="Times New Roman"/>
          <w:sz w:val="24"/>
          <w:szCs w:val="24"/>
        </w:rPr>
        <w:t>y</w:t>
      </w:r>
      <w:r w:rsidR="00A4789E" w:rsidRPr="005D5681">
        <w:rPr>
          <w:rFonts w:ascii="Times New Roman" w:hAnsi="Times New Roman"/>
          <w:sz w:val="24"/>
          <w:szCs w:val="24"/>
        </w:rPr>
        <w:t xml:space="preserve"> extent that </w:t>
      </w:r>
      <w:r w:rsidR="00EC19B5" w:rsidRPr="005D5681">
        <w:rPr>
          <w:rFonts w:ascii="Times New Roman" w:hAnsi="Times New Roman"/>
          <w:sz w:val="24"/>
          <w:szCs w:val="24"/>
        </w:rPr>
        <w:t xml:space="preserve">it </w:t>
      </w:r>
      <w:r w:rsidR="00A4789E" w:rsidRPr="005D5681">
        <w:rPr>
          <w:rFonts w:ascii="Times New Roman" w:hAnsi="Times New Roman"/>
          <w:sz w:val="24"/>
          <w:szCs w:val="24"/>
        </w:rPr>
        <w:t>would adversely affect</w:t>
      </w:r>
      <w:r w:rsidR="00EC19B5" w:rsidRPr="005D5681">
        <w:rPr>
          <w:rFonts w:ascii="Times New Roman" w:hAnsi="Times New Roman"/>
          <w:sz w:val="24"/>
          <w:szCs w:val="24"/>
        </w:rPr>
        <w:t xml:space="preserve"> another</w:t>
      </w:r>
      <w:r w:rsidR="00A4789E" w:rsidRPr="005D5681">
        <w:rPr>
          <w:rFonts w:ascii="Times New Roman" w:hAnsi="Times New Roman"/>
          <w:sz w:val="24"/>
          <w:szCs w:val="24"/>
        </w:rPr>
        <w:t xml:space="preserve"> party. </w:t>
      </w:r>
    </w:p>
    <w:p w:rsidR="00F945B7" w:rsidRDefault="00F945B7">
      <w:pPr>
        <w:rPr>
          <w:rFonts w:ascii="Times New Roman" w:hAnsi="Times New Roman"/>
          <w:sz w:val="24"/>
          <w:szCs w:val="24"/>
        </w:rPr>
      </w:pPr>
      <w:r>
        <w:rPr>
          <w:rFonts w:ascii="Times New Roman" w:hAnsi="Times New Roman"/>
          <w:sz w:val="24"/>
          <w:szCs w:val="24"/>
        </w:rPr>
        <w:br w:type="page"/>
      </w:r>
    </w:p>
    <w:p w:rsidR="00A4789E" w:rsidRPr="005D5681" w:rsidRDefault="00A4789E" w:rsidP="00D16D1F">
      <w:pPr>
        <w:pStyle w:val="ListParagraph"/>
        <w:rPr>
          <w:rFonts w:ascii="Times New Roman" w:hAnsi="Times New Roman"/>
          <w:sz w:val="24"/>
          <w:szCs w:val="24"/>
        </w:rPr>
      </w:pPr>
    </w:p>
    <w:p w:rsidR="00D83883" w:rsidRPr="005D5681" w:rsidRDefault="001824C7" w:rsidP="00D83883">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CONSEQUENCES OF LESS FREQUENT COLLECTION AND OBSTACLES TO BURDEN REDUCTION</w:t>
      </w:r>
      <w:r w:rsidRPr="005D5681">
        <w:rPr>
          <w:rFonts w:ascii="Times New Roman" w:hAnsi="Times New Roman"/>
          <w:sz w:val="24"/>
          <w:szCs w:val="24"/>
          <w:u w:val="single"/>
        </w:rPr>
        <w:br/>
      </w:r>
    </w:p>
    <w:p w:rsidR="00D83883" w:rsidRPr="005D5681" w:rsidRDefault="00D83883" w:rsidP="00D83883">
      <w:pPr>
        <w:pStyle w:val="ListParagraph"/>
        <w:rPr>
          <w:rFonts w:ascii="Times New Roman" w:hAnsi="Times New Roman"/>
          <w:sz w:val="24"/>
          <w:szCs w:val="24"/>
        </w:rPr>
      </w:pPr>
      <w:r w:rsidRPr="005D5681">
        <w:rPr>
          <w:rFonts w:ascii="Times New Roman" w:hAnsi="Times New Roman"/>
          <w:sz w:val="24"/>
          <w:szCs w:val="24"/>
        </w:rPr>
        <w:t xml:space="preserve">If this information is not collected, it will be </w:t>
      </w:r>
      <w:r w:rsidR="00C152DA">
        <w:rPr>
          <w:rFonts w:ascii="Times New Roman" w:hAnsi="Times New Roman"/>
          <w:sz w:val="24"/>
          <w:szCs w:val="24"/>
        </w:rPr>
        <w:t xml:space="preserve">not be possible to present to the CARD Act conference current data reflecting a consumer perspective with respect to the impact of the Act.  </w:t>
      </w:r>
      <w:r w:rsidR="00355E2C">
        <w:rPr>
          <w:rFonts w:ascii="Times New Roman" w:hAnsi="Times New Roman"/>
          <w:sz w:val="24"/>
          <w:szCs w:val="24"/>
        </w:rPr>
        <w:t xml:space="preserve">  </w:t>
      </w:r>
    </w:p>
    <w:p w:rsidR="00D83883" w:rsidRPr="005D5681" w:rsidRDefault="00D83883" w:rsidP="00D16D1F">
      <w:pPr>
        <w:pStyle w:val="ListParagraph"/>
        <w:rPr>
          <w:rFonts w:ascii="Times New Roman" w:hAnsi="Times New Roman"/>
          <w:sz w:val="24"/>
          <w:szCs w:val="24"/>
        </w:rPr>
      </w:pPr>
    </w:p>
    <w:p w:rsidR="00D83883" w:rsidRPr="005D5681" w:rsidRDefault="00464738" w:rsidP="00D16D1F">
      <w:pPr>
        <w:pStyle w:val="ListParagraph"/>
        <w:rPr>
          <w:rFonts w:ascii="Times New Roman" w:hAnsi="Times New Roman"/>
          <w:sz w:val="24"/>
          <w:szCs w:val="24"/>
        </w:rPr>
      </w:pPr>
      <w:r w:rsidRPr="005D5681">
        <w:rPr>
          <w:rFonts w:ascii="Times New Roman" w:hAnsi="Times New Roman"/>
          <w:sz w:val="24"/>
          <w:szCs w:val="24"/>
        </w:rPr>
        <w:t xml:space="preserve">The frequency of collection is not applicable because the </w:t>
      </w:r>
      <w:r w:rsidR="00C90BE7" w:rsidRPr="005D5681">
        <w:rPr>
          <w:rFonts w:ascii="Times New Roman" w:hAnsi="Times New Roman"/>
          <w:sz w:val="24"/>
          <w:szCs w:val="24"/>
        </w:rPr>
        <w:t>survey</w:t>
      </w:r>
      <w:r w:rsidRPr="005D5681">
        <w:rPr>
          <w:rFonts w:ascii="Times New Roman" w:hAnsi="Times New Roman"/>
          <w:sz w:val="24"/>
          <w:szCs w:val="24"/>
        </w:rPr>
        <w:t xml:space="preserve"> is </w:t>
      </w:r>
      <w:r w:rsidR="00355E2C">
        <w:rPr>
          <w:rFonts w:ascii="Times New Roman" w:hAnsi="Times New Roman"/>
          <w:sz w:val="24"/>
          <w:szCs w:val="24"/>
        </w:rPr>
        <w:t xml:space="preserve">a one-time event and participation is </w:t>
      </w:r>
      <w:r w:rsidRPr="005D5681">
        <w:rPr>
          <w:rFonts w:ascii="Times New Roman" w:hAnsi="Times New Roman"/>
          <w:sz w:val="24"/>
          <w:szCs w:val="24"/>
        </w:rPr>
        <w:t>entirely voluntary</w:t>
      </w:r>
      <w:r w:rsidR="00355E2C">
        <w:rPr>
          <w:rFonts w:ascii="Times New Roman" w:hAnsi="Times New Roman"/>
          <w:sz w:val="24"/>
          <w:szCs w:val="24"/>
        </w:rPr>
        <w:t>.</w:t>
      </w:r>
      <w:r w:rsidRPr="005D5681">
        <w:rPr>
          <w:rFonts w:ascii="Times New Roman" w:hAnsi="Times New Roman"/>
          <w:sz w:val="24"/>
          <w:szCs w:val="24"/>
        </w:rPr>
        <w:t xml:space="preserve"> </w:t>
      </w:r>
      <w:r w:rsidR="009568E8" w:rsidRPr="005D5681">
        <w:rPr>
          <w:rFonts w:ascii="Times New Roman" w:hAnsi="Times New Roman"/>
          <w:sz w:val="24"/>
          <w:szCs w:val="24"/>
        </w:rPr>
        <w:t>There is no need to collect information from an individual more than once.</w:t>
      </w:r>
      <w:r w:rsidRPr="005D5681">
        <w:rPr>
          <w:rFonts w:ascii="Times New Roman" w:hAnsi="Times New Roman"/>
          <w:sz w:val="24"/>
          <w:szCs w:val="24"/>
        </w:rPr>
        <w:t xml:space="preserve"> </w:t>
      </w:r>
    </w:p>
    <w:p w:rsidR="00464738" w:rsidRPr="005D5681" w:rsidRDefault="0046473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CIRCUMSTANCES REQUIRING SPECIAL INFORMATION COLLECTION</w:t>
      </w:r>
      <w:r w:rsidRPr="005D5681">
        <w:rPr>
          <w:rFonts w:ascii="Times New Roman" w:hAnsi="Times New Roman"/>
          <w:sz w:val="24"/>
          <w:szCs w:val="24"/>
          <w:u w:val="single"/>
        </w:rPr>
        <w:br/>
      </w:r>
    </w:p>
    <w:p w:rsidR="00D16D1F" w:rsidRPr="005D5681" w:rsidRDefault="00464738" w:rsidP="00D16D1F">
      <w:pPr>
        <w:pStyle w:val="ListParagraph"/>
        <w:rPr>
          <w:rFonts w:ascii="Times New Roman" w:hAnsi="Times New Roman"/>
          <w:sz w:val="24"/>
          <w:szCs w:val="24"/>
        </w:rPr>
      </w:pPr>
      <w:r w:rsidRPr="005D5681">
        <w:rPr>
          <w:rFonts w:ascii="Times New Roman" w:hAnsi="Times New Roman"/>
          <w:sz w:val="24"/>
          <w:szCs w:val="24"/>
        </w:rPr>
        <w:t>Not applicable.</w:t>
      </w:r>
      <w:r w:rsidR="00355E2C">
        <w:rPr>
          <w:rFonts w:ascii="Times New Roman" w:hAnsi="Times New Roman"/>
          <w:sz w:val="24"/>
          <w:szCs w:val="24"/>
        </w:rPr>
        <w:t xml:space="preserve">  The methodology to be utilized will allow the results to be generalized to the universe of the study.</w:t>
      </w:r>
    </w:p>
    <w:p w:rsidR="00464738" w:rsidRPr="005D5681" w:rsidRDefault="00464738" w:rsidP="00464738">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SOLICITATION OF COMMENTS ON INFORMATION COLLECTION</w:t>
      </w:r>
      <w:r w:rsidRPr="005D5681">
        <w:rPr>
          <w:rFonts w:ascii="Times New Roman" w:hAnsi="Times New Roman"/>
          <w:sz w:val="24"/>
          <w:szCs w:val="24"/>
          <w:u w:val="single"/>
        </w:rPr>
        <w:br/>
      </w:r>
    </w:p>
    <w:p w:rsidR="00AF32D8" w:rsidRPr="005D5681" w:rsidRDefault="0047113C" w:rsidP="007A1915">
      <w:pPr>
        <w:ind w:left="720"/>
        <w:rPr>
          <w:rFonts w:ascii="Times New Roman" w:hAnsi="Times New Roman"/>
          <w:sz w:val="24"/>
          <w:szCs w:val="24"/>
        </w:rPr>
      </w:pPr>
      <w:r>
        <w:rPr>
          <w:rFonts w:ascii="Times New Roman" w:hAnsi="Times New Roman"/>
          <w:sz w:val="24"/>
          <w:szCs w:val="24"/>
        </w:rPr>
        <w:t xml:space="preserve">The CFPB </w:t>
      </w:r>
      <w:r w:rsidR="00CA1CC3">
        <w:rPr>
          <w:rFonts w:ascii="Times New Roman" w:hAnsi="Times New Roman"/>
          <w:sz w:val="24"/>
          <w:szCs w:val="24"/>
        </w:rPr>
        <w:t>i</w:t>
      </w:r>
      <w:r w:rsidR="00EE0A6C">
        <w:rPr>
          <w:rFonts w:ascii="Times New Roman" w:hAnsi="Times New Roman"/>
          <w:sz w:val="24"/>
          <w:szCs w:val="24"/>
        </w:rPr>
        <w:t>mplementation</w:t>
      </w:r>
      <w:r>
        <w:rPr>
          <w:rFonts w:ascii="Times New Roman" w:hAnsi="Times New Roman"/>
          <w:sz w:val="24"/>
          <w:szCs w:val="24"/>
        </w:rPr>
        <w:t xml:space="preserve"> </w:t>
      </w:r>
      <w:r w:rsidR="00CA1CC3">
        <w:rPr>
          <w:rFonts w:ascii="Times New Roman" w:hAnsi="Times New Roman"/>
          <w:sz w:val="24"/>
          <w:szCs w:val="24"/>
        </w:rPr>
        <w:t>t</w:t>
      </w:r>
      <w:r>
        <w:rPr>
          <w:rFonts w:ascii="Times New Roman" w:hAnsi="Times New Roman"/>
          <w:sz w:val="24"/>
          <w:szCs w:val="24"/>
        </w:rPr>
        <w:t>eam developed the initial draft of the questionnaire to be used in the study</w:t>
      </w:r>
      <w:r w:rsidR="00C152DA">
        <w:rPr>
          <w:rFonts w:ascii="Times New Roman" w:hAnsi="Times New Roman"/>
          <w:sz w:val="24"/>
          <w:szCs w:val="24"/>
        </w:rPr>
        <w:t xml:space="preserve">.  The survey instrument was reviewed by Dr. Jeanne Hogarth, Program Manager of the </w:t>
      </w:r>
      <w:r w:rsidR="00C152DA" w:rsidRPr="00C152DA">
        <w:rPr>
          <w:rFonts w:ascii="Times New Roman" w:eastAsia="Times New Roman" w:hAnsi="Times New Roman"/>
          <w:color w:val="000000"/>
          <w:sz w:val="23"/>
        </w:rPr>
        <w:t>Consumer Education and Research Section</w:t>
      </w:r>
      <w:r w:rsidR="00C152DA">
        <w:rPr>
          <w:rFonts w:ascii="Times New Roman" w:eastAsia="Times New Roman" w:hAnsi="Times New Roman"/>
          <w:color w:val="000000"/>
          <w:sz w:val="23"/>
        </w:rPr>
        <w:t xml:space="preserve">, </w:t>
      </w:r>
      <w:r w:rsidR="00C152DA" w:rsidRPr="00C152DA">
        <w:rPr>
          <w:rFonts w:ascii="Times New Roman" w:eastAsia="Times New Roman" w:hAnsi="Times New Roman"/>
          <w:color w:val="000000"/>
          <w:sz w:val="23"/>
        </w:rPr>
        <w:t>Division of Consumer and Community Affairs</w:t>
      </w:r>
      <w:r w:rsidR="00C152DA">
        <w:rPr>
          <w:rFonts w:ascii="Times New Roman" w:eastAsia="Times New Roman" w:hAnsi="Times New Roman"/>
          <w:color w:val="000000"/>
          <w:sz w:val="23"/>
        </w:rPr>
        <w:t xml:space="preserve">, at the Federal Reserve Board; </w:t>
      </w:r>
      <w:r w:rsidR="007A1915">
        <w:rPr>
          <w:rFonts w:ascii="Times New Roman" w:eastAsia="Times New Roman" w:hAnsi="Times New Roman"/>
          <w:color w:val="000000"/>
          <w:sz w:val="23"/>
        </w:rPr>
        <w:t xml:space="preserve">and by </w:t>
      </w:r>
      <w:r w:rsidR="00C152DA">
        <w:rPr>
          <w:rFonts w:ascii="Times New Roman" w:eastAsia="Times New Roman" w:hAnsi="Times New Roman"/>
          <w:color w:val="000000"/>
          <w:sz w:val="23"/>
        </w:rPr>
        <w:t>Dr. Patricia Sahm, Research Director, Auriemma Consulting Group</w:t>
      </w:r>
      <w:r w:rsidR="007A1915">
        <w:rPr>
          <w:rFonts w:ascii="Times New Roman" w:eastAsia="Times New Roman" w:hAnsi="Times New Roman"/>
          <w:color w:val="000000"/>
          <w:sz w:val="23"/>
        </w:rPr>
        <w:t xml:space="preserve">.  </w:t>
      </w:r>
      <w:r>
        <w:rPr>
          <w:rFonts w:ascii="Times New Roman" w:hAnsi="Times New Roman"/>
          <w:sz w:val="24"/>
          <w:szCs w:val="24"/>
        </w:rPr>
        <w:t xml:space="preserve">Following a competitive bidding process, Synovate has been retained to finalize the questionnaire, develop the research methodology to be utilized, administer the survey, and tabulate and present the results.  Synovate is the world’s </w:t>
      </w:r>
      <w:r w:rsidR="00EE0A6C">
        <w:rPr>
          <w:rFonts w:ascii="Times New Roman" w:hAnsi="Times New Roman"/>
          <w:sz w:val="24"/>
          <w:szCs w:val="24"/>
        </w:rPr>
        <w:t>seventh</w:t>
      </w:r>
      <w:r>
        <w:rPr>
          <w:rFonts w:ascii="Times New Roman" w:hAnsi="Times New Roman"/>
          <w:sz w:val="24"/>
          <w:szCs w:val="24"/>
        </w:rPr>
        <w:t xml:space="preserve"> largest research firm, with a more than fifty-year history in market research and a long track record of preparing studies of this type both for governmental agencies and for private sector clients.</w:t>
      </w:r>
      <w:r w:rsidRPr="005D5681">
        <w:rPr>
          <w:rFonts w:ascii="Times New Roman" w:hAnsi="Times New Roman"/>
          <w:sz w:val="24"/>
          <w:szCs w:val="24"/>
        </w:rPr>
        <w:t xml:space="preserve"> </w:t>
      </w:r>
      <w:r w:rsidR="007A1915">
        <w:rPr>
          <w:rFonts w:ascii="Times New Roman" w:hAnsi="Times New Roman"/>
          <w:sz w:val="24"/>
          <w:szCs w:val="24"/>
        </w:rPr>
        <w:t xml:space="preserve"> Synovate’s Demonstration of Expertise is attached to this document.</w:t>
      </w:r>
      <w:r w:rsidR="001824C7" w:rsidRPr="005D5681">
        <w:rPr>
          <w:rFonts w:ascii="Times New Roman" w:hAnsi="Times New Roman"/>
          <w:sz w:val="24"/>
          <w:szCs w:val="24"/>
        </w:rPr>
        <w:br/>
      </w: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 xml:space="preserve">PROVISION OF PAYMENTS TO </w:t>
      </w:r>
      <w:r w:rsidR="00505CC2" w:rsidRPr="005D5681">
        <w:rPr>
          <w:rFonts w:ascii="Times New Roman" w:hAnsi="Times New Roman"/>
          <w:sz w:val="24"/>
          <w:szCs w:val="24"/>
          <w:u w:val="single"/>
        </w:rPr>
        <w:t>RESPONDENTS</w:t>
      </w:r>
      <w:r w:rsidRPr="005D5681">
        <w:rPr>
          <w:rFonts w:ascii="Times New Roman" w:hAnsi="Times New Roman"/>
          <w:sz w:val="24"/>
          <w:szCs w:val="24"/>
          <w:u w:val="single"/>
        </w:rPr>
        <w:br/>
      </w:r>
    </w:p>
    <w:p w:rsidR="00D16D1F" w:rsidRPr="005D5681" w:rsidRDefault="00505CC2" w:rsidP="00D16D1F">
      <w:pPr>
        <w:pStyle w:val="ListParagraph"/>
        <w:rPr>
          <w:rFonts w:ascii="Times New Roman" w:hAnsi="Times New Roman"/>
          <w:sz w:val="24"/>
          <w:szCs w:val="24"/>
        </w:rPr>
      </w:pPr>
      <w:r w:rsidRPr="005D5681">
        <w:rPr>
          <w:rFonts w:ascii="Times New Roman" w:hAnsi="Times New Roman"/>
          <w:sz w:val="24"/>
          <w:szCs w:val="24"/>
        </w:rPr>
        <w:t xml:space="preserve">The information collection does not provide for making payments or gifts to respondents. </w:t>
      </w:r>
    </w:p>
    <w:p w:rsidR="00AF32D8" w:rsidRPr="005D5681" w:rsidRDefault="00AF32D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ASSURANCE OF CONFIDENTIALITY</w:t>
      </w:r>
      <w:r w:rsidRPr="005D5681">
        <w:rPr>
          <w:rFonts w:ascii="Times New Roman" w:hAnsi="Times New Roman"/>
          <w:sz w:val="24"/>
          <w:szCs w:val="24"/>
          <w:u w:val="single"/>
        </w:rPr>
        <w:br/>
      </w:r>
    </w:p>
    <w:p w:rsidR="00AF32D8" w:rsidRPr="005D5681" w:rsidRDefault="00505CC2" w:rsidP="00AF32D8">
      <w:pPr>
        <w:pStyle w:val="ListParagraph"/>
        <w:rPr>
          <w:rFonts w:ascii="Times New Roman" w:hAnsi="Times New Roman"/>
          <w:sz w:val="24"/>
          <w:szCs w:val="24"/>
        </w:rPr>
      </w:pPr>
      <w:r w:rsidRPr="005D5681">
        <w:rPr>
          <w:rFonts w:ascii="Times New Roman" w:hAnsi="Times New Roman"/>
          <w:sz w:val="24"/>
          <w:szCs w:val="24"/>
        </w:rPr>
        <w:t xml:space="preserve">The survey will not </w:t>
      </w:r>
      <w:r w:rsidR="0047113C">
        <w:rPr>
          <w:rFonts w:ascii="Times New Roman" w:hAnsi="Times New Roman"/>
          <w:sz w:val="24"/>
          <w:szCs w:val="24"/>
        </w:rPr>
        <w:t xml:space="preserve">capture </w:t>
      </w:r>
      <w:r w:rsidRPr="005D5681">
        <w:rPr>
          <w:rFonts w:ascii="Times New Roman" w:hAnsi="Times New Roman"/>
          <w:sz w:val="24"/>
          <w:szCs w:val="24"/>
        </w:rPr>
        <w:t>names, email addresses or other personally identifiable information (PII)</w:t>
      </w:r>
      <w:r w:rsidR="001A7208">
        <w:rPr>
          <w:rFonts w:ascii="Times New Roman" w:hAnsi="Times New Roman"/>
          <w:sz w:val="24"/>
          <w:szCs w:val="24"/>
        </w:rPr>
        <w:t xml:space="preserve">.  Respondents will be assured that their answers will not be attributed to them individually.  </w:t>
      </w:r>
    </w:p>
    <w:p w:rsidR="00AF32D8" w:rsidRPr="005D5681" w:rsidRDefault="00AF32D8" w:rsidP="00AF32D8">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JUSTIFICATION OF SENSITIVE QUESTIONS</w:t>
      </w:r>
      <w:r w:rsidRPr="005D5681">
        <w:rPr>
          <w:rFonts w:ascii="Times New Roman" w:hAnsi="Times New Roman"/>
          <w:sz w:val="24"/>
          <w:szCs w:val="24"/>
          <w:u w:val="single"/>
        </w:rPr>
        <w:br/>
      </w:r>
    </w:p>
    <w:p w:rsidR="00D16D1F" w:rsidRPr="005D5681" w:rsidRDefault="00AF32D8" w:rsidP="00D16D1F">
      <w:pPr>
        <w:pStyle w:val="ListParagraph"/>
        <w:rPr>
          <w:rFonts w:ascii="Times New Roman" w:hAnsi="Times New Roman"/>
          <w:sz w:val="24"/>
          <w:szCs w:val="24"/>
        </w:rPr>
      </w:pPr>
      <w:r w:rsidRPr="005D5681">
        <w:rPr>
          <w:rFonts w:ascii="Times New Roman" w:hAnsi="Times New Roman"/>
          <w:sz w:val="24"/>
          <w:szCs w:val="24"/>
        </w:rPr>
        <w:t xml:space="preserve">The most sensitive information </w:t>
      </w:r>
      <w:r w:rsidR="00AD4E9F" w:rsidRPr="005D5681">
        <w:rPr>
          <w:rFonts w:ascii="Times New Roman" w:hAnsi="Times New Roman"/>
          <w:sz w:val="24"/>
          <w:szCs w:val="24"/>
        </w:rPr>
        <w:t xml:space="preserve">on the survey </w:t>
      </w:r>
      <w:r w:rsidRPr="005D5681">
        <w:rPr>
          <w:rFonts w:ascii="Times New Roman" w:hAnsi="Times New Roman"/>
          <w:sz w:val="24"/>
          <w:szCs w:val="24"/>
        </w:rPr>
        <w:t>is demographic data about the respondent</w:t>
      </w:r>
      <w:r w:rsidR="00EC19B5" w:rsidRPr="005D5681">
        <w:rPr>
          <w:rFonts w:ascii="Times New Roman" w:hAnsi="Times New Roman"/>
          <w:sz w:val="24"/>
          <w:szCs w:val="24"/>
        </w:rPr>
        <w:t>,</w:t>
      </w:r>
      <w:r w:rsidRPr="005D5681">
        <w:rPr>
          <w:rFonts w:ascii="Times New Roman" w:hAnsi="Times New Roman"/>
          <w:sz w:val="24"/>
          <w:szCs w:val="24"/>
        </w:rPr>
        <w:t xml:space="preserve"> such as age range</w:t>
      </w:r>
      <w:r w:rsidR="007A1915">
        <w:rPr>
          <w:rFonts w:ascii="Times New Roman" w:hAnsi="Times New Roman"/>
          <w:sz w:val="24"/>
          <w:szCs w:val="24"/>
        </w:rPr>
        <w:t xml:space="preserve">, race, </w:t>
      </w:r>
      <w:r w:rsidR="008D32D8">
        <w:rPr>
          <w:rFonts w:ascii="Times New Roman" w:hAnsi="Times New Roman"/>
          <w:sz w:val="24"/>
          <w:szCs w:val="24"/>
        </w:rPr>
        <w:t>income</w:t>
      </w:r>
      <w:r w:rsidR="004E08CD">
        <w:rPr>
          <w:rFonts w:ascii="Times New Roman" w:hAnsi="Times New Roman"/>
          <w:sz w:val="24"/>
          <w:szCs w:val="24"/>
        </w:rPr>
        <w:t>,</w:t>
      </w:r>
      <w:r w:rsidR="008D32D8">
        <w:rPr>
          <w:rFonts w:ascii="Times New Roman" w:hAnsi="Times New Roman"/>
          <w:sz w:val="24"/>
          <w:szCs w:val="24"/>
        </w:rPr>
        <w:t xml:space="preserve"> </w:t>
      </w:r>
      <w:r w:rsidR="007A1915">
        <w:rPr>
          <w:rFonts w:ascii="Times New Roman" w:hAnsi="Times New Roman"/>
          <w:sz w:val="24"/>
          <w:szCs w:val="24"/>
        </w:rPr>
        <w:t xml:space="preserve">and education level </w:t>
      </w:r>
      <w:r w:rsidR="008D32D8">
        <w:rPr>
          <w:rFonts w:ascii="Times New Roman" w:hAnsi="Times New Roman"/>
          <w:sz w:val="24"/>
          <w:szCs w:val="24"/>
        </w:rPr>
        <w:t>and card usage data such as current debt level</w:t>
      </w:r>
      <w:r w:rsidRPr="005D5681">
        <w:rPr>
          <w:rFonts w:ascii="Times New Roman" w:hAnsi="Times New Roman"/>
          <w:sz w:val="24"/>
          <w:szCs w:val="24"/>
        </w:rPr>
        <w:t>.</w:t>
      </w:r>
      <w:r w:rsidR="00505CC2" w:rsidRPr="005D5681">
        <w:rPr>
          <w:rFonts w:ascii="Times New Roman" w:hAnsi="Times New Roman"/>
          <w:sz w:val="24"/>
          <w:szCs w:val="24"/>
        </w:rPr>
        <w:t xml:space="preserve"> </w:t>
      </w:r>
      <w:r w:rsidRPr="005D5681">
        <w:rPr>
          <w:rFonts w:ascii="Times New Roman" w:hAnsi="Times New Roman"/>
          <w:sz w:val="24"/>
          <w:szCs w:val="24"/>
        </w:rPr>
        <w:t xml:space="preserve"> This will be </w:t>
      </w:r>
      <w:r w:rsidR="008D32D8">
        <w:rPr>
          <w:rFonts w:ascii="Times New Roman" w:hAnsi="Times New Roman"/>
          <w:sz w:val="24"/>
          <w:szCs w:val="24"/>
        </w:rPr>
        <w:t xml:space="preserve">collected </w:t>
      </w:r>
      <w:r w:rsidRPr="005D5681">
        <w:rPr>
          <w:rFonts w:ascii="Times New Roman" w:hAnsi="Times New Roman"/>
          <w:sz w:val="24"/>
          <w:szCs w:val="24"/>
        </w:rPr>
        <w:t>anonymous</w:t>
      </w:r>
      <w:r w:rsidR="008D32D8">
        <w:rPr>
          <w:rFonts w:ascii="Times New Roman" w:hAnsi="Times New Roman"/>
          <w:sz w:val="24"/>
          <w:szCs w:val="24"/>
        </w:rPr>
        <w:t>ly and</w:t>
      </w:r>
      <w:r w:rsidRPr="005D5681">
        <w:rPr>
          <w:rFonts w:ascii="Times New Roman" w:hAnsi="Times New Roman"/>
          <w:sz w:val="24"/>
          <w:szCs w:val="24"/>
        </w:rPr>
        <w:t xml:space="preserve"> voluntar</w:t>
      </w:r>
      <w:r w:rsidR="008D32D8">
        <w:rPr>
          <w:rFonts w:ascii="Times New Roman" w:hAnsi="Times New Roman"/>
          <w:sz w:val="24"/>
          <w:szCs w:val="24"/>
        </w:rPr>
        <w:t>il</w:t>
      </w:r>
      <w:r w:rsidRPr="005D5681">
        <w:rPr>
          <w:rFonts w:ascii="Times New Roman" w:hAnsi="Times New Roman"/>
          <w:sz w:val="24"/>
          <w:szCs w:val="24"/>
        </w:rPr>
        <w:t>y</w:t>
      </w:r>
      <w:r w:rsidR="008D32D8">
        <w:rPr>
          <w:rFonts w:ascii="Times New Roman" w:hAnsi="Times New Roman"/>
          <w:sz w:val="24"/>
          <w:szCs w:val="24"/>
        </w:rPr>
        <w:t xml:space="preserve">.  </w:t>
      </w:r>
      <w:r w:rsidRPr="005D5681">
        <w:rPr>
          <w:rFonts w:ascii="Times New Roman" w:hAnsi="Times New Roman"/>
          <w:sz w:val="24"/>
          <w:szCs w:val="24"/>
        </w:rPr>
        <w:t xml:space="preserve">The request is necessary to </w:t>
      </w:r>
      <w:r w:rsidR="007A1915">
        <w:rPr>
          <w:rFonts w:ascii="Times New Roman" w:hAnsi="Times New Roman"/>
          <w:sz w:val="24"/>
          <w:szCs w:val="24"/>
        </w:rPr>
        <w:t xml:space="preserve">appropriately balance the sample and also to explore </w:t>
      </w:r>
      <w:r w:rsidR="008D32D8">
        <w:rPr>
          <w:rFonts w:ascii="Times New Roman" w:hAnsi="Times New Roman"/>
          <w:sz w:val="24"/>
          <w:szCs w:val="24"/>
        </w:rPr>
        <w:t xml:space="preserve">whether different sub-populations </w:t>
      </w:r>
      <w:r w:rsidR="007A1915">
        <w:rPr>
          <w:rFonts w:ascii="Times New Roman" w:hAnsi="Times New Roman"/>
          <w:sz w:val="24"/>
          <w:szCs w:val="24"/>
        </w:rPr>
        <w:t xml:space="preserve">report different experiences under the CARD Act.  </w:t>
      </w:r>
      <w:r w:rsidR="001A7208">
        <w:rPr>
          <w:rFonts w:ascii="Times New Roman" w:hAnsi="Times New Roman"/>
          <w:sz w:val="24"/>
          <w:szCs w:val="24"/>
        </w:rPr>
        <w:t>Because no PII is being collected, none of this demographic or card usage information will be tied to any individual.</w:t>
      </w:r>
    </w:p>
    <w:p w:rsidR="00AF32D8" w:rsidRPr="005D5681" w:rsidRDefault="00AF32D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ESTIMATED BURDEN OF INFORMATION COLLECTION</w:t>
      </w:r>
      <w:r w:rsidRPr="005D5681">
        <w:rPr>
          <w:rFonts w:ascii="Times New Roman" w:hAnsi="Times New Roman"/>
          <w:sz w:val="24"/>
          <w:szCs w:val="24"/>
          <w:u w:val="single"/>
        </w:rPr>
        <w:br/>
      </w:r>
    </w:p>
    <w:p w:rsidR="008D32D8" w:rsidRPr="005D5681" w:rsidRDefault="00042708" w:rsidP="008D32D8">
      <w:pPr>
        <w:pStyle w:val="ListParagraph"/>
        <w:rPr>
          <w:rFonts w:ascii="Times New Roman" w:hAnsi="Times New Roman"/>
          <w:sz w:val="24"/>
          <w:szCs w:val="24"/>
        </w:rPr>
      </w:pPr>
      <w:r w:rsidRPr="005D5681">
        <w:rPr>
          <w:rFonts w:ascii="Times New Roman" w:hAnsi="Times New Roman"/>
          <w:sz w:val="24"/>
          <w:szCs w:val="24"/>
        </w:rPr>
        <w:t xml:space="preserve">The </w:t>
      </w:r>
      <w:r w:rsidR="008D32D8">
        <w:rPr>
          <w:rFonts w:ascii="Times New Roman" w:hAnsi="Times New Roman"/>
          <w:sz w:val="24"/>
          <w:szCs w:val="24"/>
        </w:rPr>
        <w:t xml:space="preserve">full </w:t>
      </w:r>
      <w:r w:rsidR="00C90BE7" w:rsidRPr="005D5681">
        <w:rPr>
          <w:rFonts w:ascii="Times New Roman" w:hAnsi="Times New Roman"/>
          <w:sz w:val="24"/>
          <w:szCs w:val="24"/>
        </w:rPr>
        <w:t>survey</w:t>
      </w:r>
      <w:r w:rsidRPr="005D5681">
        <w:rPr>
          <w:rFonts w:ascii="Times New Roman" w:hAnsi="Times New Roman"/>
          <w:sz w:val="24"/>
          <w:szCs w:val="24"/>
        </w:rPr>
        <w:t xml:space="preserve"> </w:t>
      </w:r>
      <w:r w:rsidR="008D32D8">
        <w:rPr>
          <w:rFonts w:ascii="Times New Roman" w:hAnsi="Times New Roman"/>
          <w:sz w:val="24"/>
          <w:szCs w:val="24"/>
        </w:rPr>
        <w:t xml:space="preserve">will be administered to </w:t>
      </w:r>
      <w:r w:rsidR="007A1915">
        <w:rPr>
          <w:rFonts w:ascii="Times New Roman" w:hAnsi="Times New Roman"/>
          <w:sz w:val="24"/>
          <w:szCs w:val="24"/>
        </w:rPr>
        <w:t xml:space="preserve">800 </w:t>
      </w:r>
      <w:r w:rsidR="00EE0A6C">
        <w:rPr>
          <w:rFonts w:ascii="Times New Roman" w:hAnsi="Times New Roman"/>
          <w:sz w:val="24"/>
          <w:szCs w:val="24"/>
        </w:rPr>
        <w:t>individuals</w:t>
      </w:r>
      <w:r w:rsidR="008D32D8">
        <w:rPr>
          <w:rFonts w:ascii="Times New Roman" w:hAnsi="Times New Roman"/>
          <w:sz w:val="24"/>
          <w:szCs w:val="24"/>
        </w:rPr>
        <w:t xml:space="preserve"> all of whom indicate that they currently use a accredit card.  To obtain </w:t>
      </w:r>
      <w:r w:rsidR="007A1915">
        <w:rPr>
          <w:rFonts w:ascii="Times New Roman" w:hAnsi="Times New Roman"/>
          <w:sz w:val="24"/>
          <w:szCs w:val="24"/>
        </w:rPr>
        <w:t xml:space="preserve">800 </w:t>
      </w:r>
      <w:r w:rsidR="008D32D8">
        <w:rPr>
          <w:rFonts w:ascii="Times New Roman" w:hAnsi="Times New Roman"/>
          <w:sz w:val="24"/>
          <w:szCs w:val="24"/>
        </w:rPr>
        <w:t>completed interviews it is estimated that the initial screening question</w:t>
      </w:r>
      <w:r w:rsidR="007A1915">
        <w:rPr>
          <w:rFonts w:ascii="Times New Roman" w:hAnsi="Times New Roman"/>
          <w:sz w:val="24"/>
          <w:szCs w:val="24"/>
        </w:rPr>
        <w:t xml:space="preserve">s to establish eligibility (i.e. current credit card ownership) </w:t>
      </w:r>
      <w:r w:rsidR="008D32D8">
        <w:rPr>
          <w:rFonts w:ascii="Times New Roman" w:hAnsi="Times New Roman"/>
          <w:sz w:val="24"/>
          <w:szCs w:val="24"/>
        </w:rPr>
        <w:t xml:space="preserve">will be asked of another </w:t>
      </w:r>
      <w:r w:rsidR="007A1915">
        <w:rPr>
          <w:rFonts w:ascii="Times New Roman" w:hAnsi="Times New Roman"/>
          <w:sz w:val="24"/>
          <w:szCs w:val="24"/>
        </w:rPr>
        <w:t xml:space="preserve">350 </w:t>
      </w:r>
      <w:r w:rsidR="008D32D8">
        <w:rPr>
          <w:rFonts w:ascii="Times New Roman" w:hAnsi="Times New Roman"/>
          <w:sz w:val="24"/>
          <w:szCs w:val="24"/>
        </w:rPr>
        <w:t>individuals</w:t>
      </w:r>
      <w:r w:rsidR="007A1915">
        <w:rPr>
          <w:rFonts w:ascii="Times New Roman" w:hAnsi="Times New Roman"/>
          <w:sz w:val="24"/>
          <w:szCs w:val="24"/>
        </w:rPr>
        <w:t>; ineligible respondents will be asked a few demographic questions as well for weighting purposes between land line and cell phone only segments</w:t>
      </w:r>
      <w:r w:rsidR="008D32D8">
        <w:rPr>
          <w:rFonts w:ascii="Times New Roman" w:hAnsi="Times New Roman"/>
          <w:sz w:val="24"/>
          <w:szCs w:val="24"/>
        </w:rPr>
        <w:t>.  The survey will take no more than 15 minutes on average to complete</w:t>
      </w:r>
      <w:r w:rsidR="007A1915">
        <w:rPr>
          <w:rFonts w:ascii="Times New Roman" w:hAnsi="Times New Roman"/>
          <w:sz w:val="24"/>
          <w:szCs w:val="24"/>
        </w:rPr>
        <w:t xml:space="preserve">; this will be validated by administering the survey to some employees of </w:t>
      </w:r>
      <w:r w:rsidR="006D4417">
        <w:rPr>
          <w:rFonts w:ascii="Times New Roman" w:hAnsi="Times New Roman"/>
          <w:sz w:val="24"/>
          <w:szCs w:val="24"/>
        </w:rPr>
        <w:t>Synovate</w:t>
      </w:r>
      <w:r w:rsidR="007A1915">
        <w:rPr>
          <w:rFonts w:ascii="Times New Roman" w:hAnsi="Times New Roman"/>
          <w:sz w:val="24"/>
          <w:szCs w:val="24"/>
        </w:rPr>
        <w:t xml:space="preserve"> who are not involved in the project before calling begins</w:t>
      </w:r>
      <w:r w:rsidR="008D32D8">
        <w:rPr>
          <w:rFonts w:ascii="Times New Roman" w:hAnsi="Times New Roman"/>
          <w:sz w:val="24"/>
          <w:szCs w:val="24"/>
        </w:rPr>
        <w:t xml:space="preserve">.  </w:t>
      </w:r>
    </w:p>
    <w:p w:rsidR="00042708" w:rsidRPr="005D5681" w:rsidRDefault="00042708" w:rsidP="00D16D1F">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ESTIMATED TOTAL ANNUAL COST BURDEN TO RESPONDENTS</w:t>
      </w:r>
      <w:r w:rsidRPr="005D5681">
        <w:rPr>
          <w:rFonts w:ascii="Times New Roman" w:hAnsi="Times New Roman"/>
          <w:sz w:val="24"/>
          <w:szCs w:val="24"/>
          <w:u w:val="single"/>
        </w:rPr>
        <w:br/>
      </w:r>
    </w:p>
    <w:p w:rsidR="00AF32D8" w:rsidRPr="005D5681" w:rsidRDefault="004B0678" w:rsidP="00AF32D8">
      <w:pPr>
        <w:pStyle w:val="ListParagraph"/>
        <w:rPr>
          <w:rFonts w:ascii="Times New Roman" w:hAnsi="Times New Roman"/>
          <w:sz w:val="24"/>
          <w:szCs w:val="24"/>
        </w:rPr>
      </w:pPr>
      <w:r w:rsidRPr="005D5681">
        <w:rPr>
          <w:rFonts w:ascii="Times New Roman" w:hAnsi="Times New Roman"/>
          <w:sz w:val="24"/>
          <w:szCs w:val="24"/>
        </w:rPr>
        <w:t>T</w:t>
      </w:r>
      <w:r w:rsidR="00AF32D8" w:rsidRPr="005D5681">
        <w:rPr>
          <w:rFonts w:ascii="Times New Roman" w:hAnsi="Times New Roman"/>
          <w:sz w:val="24"/>
          <w:szCs w:val="24"/>
        </w:rPr>
        <w:t>here will be no annualized capita</w:t>
      </w:r>
      <w:r w:rsidR="00AD4E9F" w:rsidRPr="005D5681">
        <w:rPr>
          <w:rFonts w:ascii="Times New Roman" w:hAnsi="Times New Roman"/>
          <w:sz w:val="24"/>
          <w:szCs w:val="24"/>
        </w:rPr>
        <w:t xml:space="preserve">l or </w:t>
      </w:r>
      <w:r w:rsidR="00AF32D8" w:rsidRPr="005D5681">
        <w:rPr>
          <w:rFonts w:ascii="Times New Roman" w:hAnsi="Times New Roman"/>
          <w:sz w:val="24"/>
          <w:szCs w:val="24"/>
        </w:rPr>
        <w:t>start-up costs for the respondents to collect and submit this information.</w:t>
      </w:r>
    </w:p>
    <w:p w:rsidR="00AF32D8" w:rsidRPr="005D5681" w:rsidRDefault="00AF32D8" w:rsidP="00D16D1F">
      <w:pPr>
        <w:pStyle w:val="ListParagraph"/>
        <w:rPr>
          <w:rFonts w:ascii="Times New Roman" w:hAnsi="Times New Roman"/>
          <w:sz w:val="24"/>
          <w:szCs w:val="24"/>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ESTIMATED COST TO THE FEDERAL GOVERNMENT</w:t>
      </w:r>
      <w:r w:rsidRPr="005D5681">
        <w:rPr>
          <w:rFonts w:ascii="Times New Roman" w:hAnsi="Times New Roman"/>
          <w:sz w:val="24"/>
          <w:szCs w:val="24"/>
          <w:u w:val="single"/>
        </w:rPr>
        <w:br/>
      </w:r>
    </w:p>
    <w:p w:rsidR="00D16D1F" w:rsidRPr="005D5681" w:rsidRDefault="007A1915" w:rsidP="00D16D1F">
      <w:pPr>
        <w:pStyle w:val="ListParagraph"/>
        <w:rPr>
          <w:rFonts w:ascii="Times New Roman" w:hAnsi="Times New Roman"/>
          <w:sz w:val="24"/>
          <w:szCs w:val="24"/>
        </w:rPr>
      </w:pPr>
      <w:r>
        <w:rPr>
          <w:rFonts w:ascii="Times New Roman" w:hAnsi="Times New Roman"/>
          <w:sz w:val="24"/>
          <w:szCs w:val="24"/>
        </w:rPr>
        <w:t xml:space="preserve">The cost of the project, including both the administration of the survey and the preparation and presentation of a report to the CARD Act conference, will be $58,879.87.  That price has been arrived at through a competitive bidding process.  </w:t>
      </w:r>
    </w:p>
    <w:p w:rsidR="00271287" w:rsidRPr="005D5681" w:rsidRDefault="00271287" w:rsidP="00271287">
      <w:pPr>
        <w:pStyle w:val="ListParagraph"/>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REASONS FOR CHANGE IN BURDEN</w:t>
      </w:r>
      <w:r w:rsidRPr="005D5681">
        <w:rPr>
          <w:rFonts w:ascii="Times New Roman" w:hAnsi="Times New Roman"/>
          <w:sz w:val="24"/>
          <w:szCs w:val="24"/>
          <w:u w:val="single"/>
        </w:rPr>
        <w:br/>
      </w:r>
    </w:p>
    <w:p w:rsidR="00D16D1F" w:rsidRPr="005D5681" w:rsidRDefault="004C5A5B" w:rsidP="00D16D1F">
      <w:pPr>
        <w:pStyle w:val="ListParagraph"/>
        <w:rPr>
          <w:rFonts w:ascii="Times New Roman" w:hAnsi="Times New Roman"/>
          <w:sz w:val="24"/>
          <w:szCs w:val="24"/>
        </w:rPr>
      </w:pPr>
      <w:r w:rsidRPr="005D5681">
        <w:rPr>
          <w:rFonts w:ascii="Times New Roman" w:hAnsi="Times New Roman"/>
          <w:sz w:val="24"/>
          <w:szCs w:val="24"/>
        </w:rPr>
        <w:t xml:space="preserve">Not applicable.  </w:t>
      </w:r>
      <w:r w:rsidR="00271287" w:rsidRPr="005D5681">
        <w:rPr>
          <w:rFonts w:ascii="Times New Roman" w:hAnsi="Times New Roman"/>
          <w:sz w:val="24"/>
          <w:szCs w:val="24"/>
        </w:rPr>
        <w:t>This is a new collection</w:t>
      </w:r>
      <w:r w:rsidR="00AF32D8" w:rsidRPr="005D5681">
        <w:rPr>
          <w:rFonts w:ascii="Times New Roman" w:hAnsi="Times New Roman"/>
          <w:sz w:val="24"/>
          <w:szCs w:val="24"/>
        </w:rPr>
        <w:t>.</w:t>
      </w:r>
    </w:p>
    <w:p w:rsidR="004B0678" w:rsidRPr="005D5681" w:rsidRDefault="004B0678" w:rsidP="001824C7">
      <w:pPr>
        <w:rPr>
          <w:rFonts w:ascii="Times New Roman" w:hAnsi="Times New Roman"/>
          <w:sz w:val="24"/>
          <w:szCs w:val="24"/>
          <w:u w:val="single"/>
        </w:rPr>
      </w:pPr>
    </w:p>
    <w:p w:rsidR="00D16D1F" w:rsidRPr="005D5681" w:rsidRDefault="001824C7" w:rsidP="00D16D1F">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PLANS FOR TABULATION, STATIS</w:t>
      </w:r>
      <w:r w:rsidR="00A45E40" w:rsidRPr="005D5681">
        <w:rPr>
          <w:rFonts w:ascii="Times New Roman" w:hAnsi="Times New Roman"/>
          <w:sz w:val="24"/>
          <w:szCs w:val="24"/>
          <w:u w:val="single"/>
        </w:rPr>
        <w:t>TICAL ANALYSIS, AND PUBLICATION</w:t>
      </w:r>
      <w:r w:rsidRPr="005D5681">
        <w:rPr>
          <w:rFonts w:ascii="Times New Roman" w:hAnsi="Times New Roman"/>
          <w:sz w:val="24"/>
          <w:szCs w:val="24"/>
          <w:u w:val="single"/>
        </w:rPr>
        <w:br/>
      </w:r>
    </w:p>
    <w:p w:rsidR="00DB1DC5" w:rsidRPr="005D5681" w:rsidRDefault="008D32D8" w:rsidP="00BC64D7">
      <w:pPr>
        <w:ind w:left="720"/>
        <w:rPr>
          <w:rFonts w:ascii="Times New Roman" w:hAnsi="Times New Roman"/>
          <w:sz w:val="24"/>
          <w:szCs w:val="24"/>
        </w:rPr>
      </w:pPr>
      <w:r>
        <w:rPr>
          <w:rFonts w:ascii="Times New Roman" w:hAnsi="Times New Roman"/>
          <w:sz w:val="24"/>
          <w:szCs w:val="24"/>
        </w:rPr>
        <w:t xml:space="preserve">The </w:t>
      </w:r>
      <w:r w:rsidR="00EE0A6C">
        <w:rPr>
          <w:rFonts w:ascii="Times New Roman" w:hAnsi="Times New Roman"/>
          <w:sz w:val="24"/>
          <w:szCs w:val="24"/>
        </w:rPr>
        <w:t>responses</w:t>
      </w:r>
      <w:r>
        <w:rPr>
          <w:rFonts w:ascii="Times New Roman" w:hAnsi="Times New Roman"/>
          <w:sz w:val="24"/>
          <w:szCs w:val="24"/>
        </w:rPr>
        <w:t xml:space="preserve"> to each </w:t>
      </w:r>
      <w:r w:rsidR="00EE0A6C">
        <w:rPr>
          <w:rFonts w:ascii="Times New Roman" w:hAnsi="Times New Roman"/>
          <w:sz w:val="24"/>
          <w:szCs w:val="24"/>
        </w:rPr>
        <w:t>question</w:t>
      </w:r>
      <w:r>
        <w:rPr>
          <w:rFonts w:ascii="Times New Roman" w:hAnsi="Times New Roman"/>
          <w:sz w:val="24"/>
          <w:szCs w:val="24"/>
        </w:rPr>
        <w:t xml:space="preserve"> will be tabulated on an aggregate basis</w:t>
      </w:r>
      <w:r w:rsidR="007A1915">
        <w:rPr>
          <w:rFonts w:ascii="Times New Roman" w:hAnsi="Times New Roman"/>
          <w:sz w:val="24"/>
          <w:szCs w:val="24"/>
        </w:rPr>
        <w:t xml:space="preserve"> with appropriate weightings as explained in Part B</w:t>
      </w:r>
      <w:r>
        <w:rPr>
          <w:rFonts w:ascii="Times New Roman" w:hAnsi="Times New Roman"/>
          <w:sz w:val="24"/>
          <w:szCs w:val="24"/>
        </w:rPr>
        <w:t xml:space="preserve">.  In addition, cross-tabulations will be prepared for </w:t>
      </w:r>
      <w:r w:rsidR="007A1915">
        <w:rPr>
          <w:rFonts w:ascii="Times New Roman" w:hAnsi="Times New Roman"/>
          <w:sz w:val="24"/>
          <w:szCs w:val="24"/>
        </w:rPr>
        <w:t xml:space="preserve">certain key </w:t>
      </w:r>
      <w:r>
        <w:rPr>
          <w:rFonts w:ascii="Times New Roman" w:hAnsi="Times New Roman"/>
          <w:sz w:val="24"/>
          <w:szCs w:val="24"/>
        </w:rPr>
        <w:t>question</w:t>
      </w:r>
      <w:r w:rsidR="006D4417">
        <w:rPr>
          <w:rFonts w:ascii="Times New Roman" w:hAnsi="Times New Roman"/>
          <w:sz w:val="24"/>
          <w:szCs w:val="24"/>
        </w:rPr>
        <w:t>s</w:t>
      </w:r>
      <w:r>
        <w:rPr>
          <w:rFonts w:ascii="Times New Roman" w:hAnsi="Times New Roman"/>
          <w:sz w:val="24"/>
          <w:szCs w:val="24"/>
        </w:rPr>
        <w:t xml:space="preserve"> showing the results across </w:t>
      </w:r>
      <w:r w:rsidR="004E08CD">
        <w:rPr>
          <w:rFonts w:ascii="Times New Roman" w:hAnsi="Times New Roman"/>
          <w:sz w:val="24"/>
          <w:szCs w:val="24"/>
        </w:rPr>
        <w:t xml:space="preserve">different </w:t>
      </w:r>
      <w:r>
        <w:rPr>
          <w:rFonts w:ascii="Times New Roman" w:hAnsi="Times New Roman"/>
          <w:sz w:val="24"/>
          <w:szCs w:val="24"/>
        </w:rPr>
        <w:t xml:space="preserve">age ranges, income ranges, educational levels, debt levels, and payment practices.  </w:t>
      </w:r>
      <w:r w:rsidR="003B5E9C">
        <w:rPr>
          <w:rFonts w:ascii="Times New Roman" w:hAnsi="Times New Roman"/>
          <w:sz w:val="24"/>
          <w:szCs w:val="24"/>
        </w:rPr>
        <w:t xml:space="preserve">Standard statistical techniques will be used to highlight variations that are of statistical significance at the 95% confidence level.  </w:t>
      </w:r>
    </w:p>
    <w:p w:rsidR="00BC64D7" w:rsidRPr="005D5681" w:rsidRDefault="00392A0A" w:rsidP="00BC64D7">
      <w:pPr>
        <w:rPr>
          <w:rFonts w:ascii="Times New Roman" w:hAnsi="Times New Roman"/>
          <w:sz w:val="24"/>
          <w:szCs w:val="24"/>
        </w:rPr>
      </w:pPr>
      <w:r w:rsidRPr="005D5681">
        <w:rPr>
          <w:rFonts w:ascii="Times New Roman" w:hAnsi="Times New Roman"/>
          <w:sz w:val="24"/>
          <w:szCs w:val="24"/>
        </w:rPr>
        <w:tab/>
      </w:r>
    </w:p>
    <w:p w:rsidR="003B5E9C" w:rsidRDefault="00DB1DC5" w:rsidP="003B5E9C">
      <w:pPr>
        <w:ind w:left="720"/>
        <w:rPr>
          <w:rFonts w:ascii="Times New Roman" w:hAnsi="Times New Roman"/>
          <w:sz w:val="24"/>
          <w:szCs w:val="24"/>
        </w:rPr>
      </w:pPr>
      <w:r w:rsidRPr="005D5681">
        <w:rPr>
          <w:rFonts w:ascii="Times New Roman" w:hAnsi="Times New Roman"/>
          <w:sz w:val="24"/>
          <w:szCs w:val="24"/>
        </w:rPr>
        <w:t xml:space="preserve">Aggregate results of the information </w:t>
      </w:r>
      <w:r w:rsidR="00BC64D7" w:rsidRPr="005D5681">
        <w:rPr>
          <w:rFonts w:ascii="Times New Roman" w:hAnsi="Times New Roman"/>
          <w:sz w:val="24"/>
          <w:szCs w:val="24"/>
        </w:rPr>
        <w:t xml:space="preserve">eventually </w:t>
      </w:r>
      <w:r w:rsidRPr="005D5681">
        <w:rPr>
          <w:rFonts w:ascii="Times New Roman" w:hAnsi="Times New Roman"/>
          <w:sz w:val="24"/>
          <w:szCs w:val="24"/>
        </w:rPr>
        <w:t xml:space="preserve">will be made available as </w:t>
      </w:r>
      <w:r w:rsidR="00C66805" w:rsidRPr="005D5681">
        <w:rPr>
          <w:rFonts w:ascii="Times New Roman" w:hAnsi="Times New Roman"/>
          <w:sz w:val="24"/>
          <w:szCs w:val="24"/>
        </w:rPr>
        <w:t xml:space="preserve">visible and/or </w:t>
      </w:r>
      <w:r w:rsidRPr="005D5681">
        <w:rPr>
          <w:rFonts w:ascii="Times New Roman" w:hAnsi="Times New Roman"/>
          <w:sz w:val="24"/>
          <w:szCs w:val="24"/>
        </w:rPr>
        <w:t>downloadable data. It has not yet been determined whether this will be in a text format (like .csv) or a more instruction-heavy format (like XML).</w:t>
      </w:r>
      <w:r w:rsidR="003B5E9C">
        <w:rPr>
          <w:rFonts w:ascii="Times New Roman" w:hAnsi="Times New Roman"/>
          <w:sz w:val="24"/>
          <w:szCs w:val="24"/>
        </w:rPr>
        <w:t xml:space="preserve">  T</w:t>
      </w:r>
      <w:r w:rsidR="00C66805" w:rsidRPr="005D5681">
        <w:rPr>
          <w:rFonts w:ascii="Times New Roman" w:hAnsi="Times New Roman"/>
          <w:sz w:val="24"/>
          <w:szCs w:val="24"/>
        </w:rPr>
        <w:t xml:space="preserve">he analysis will be </w:t>
      </w:r>
      <w:r w:rsidR="003B5E9C">
        <w:rPr>
          <w:rFonts w:ascii="Times New Roman" w:hAnsi="Times New Roman"/>
          <w:sz w:val="24"/>
          <w:szCs w:val="24"/>
        </w:rPr>
        <w:t xml:space="preserve">descriptive in nature, including </w:t>
      </w:r>
      <w:r w:rsidR="00FD4CAA" w:rsidRPr="005D5681">
        <w:rPr>
          <w:rFonts w:ascii="Times New Roman" w:hAnsi="Times New Roman"/>
          <w:sz w:val="24"/>
          <w:szCs w:val="24"/>
        </w:rPr>
        <w:t xml:space="preserve">graphical representations, </w:t>
      </w:r>
      <w:r w:rsidR="00C66805" w:rsidRPr="005D5681">
        <w:rPr>
          <w:rFonts w:ascii="Times New Roman" w:hAnsi="Times New Roman"/>
          <w:sz w:val="24"/>
          <w:szCs w:val="24"/>
        </w:rPr>
        <w:t>comparisons of different totals for different answers to a question, contextualizing with outside data not gathered from the survey, and other similar descriptions.</w:t>
      </w:r>
      <w:r w:rsidR="003B5E9C">
        <w:rPr>
          <w:rFonts w:ascii="Times New Roman" w:hAnsi="Times New Roman"/>
          <w:sz w:val="24"/>
          <w:szCs w:val="24"/>
        </w:rPr>
        <w:t xml:space="preserve"> </w:t>
      </w:r>
      <w:r w:rsidR="000D2D87" w:rsidRPr="005D5681">
        <w:rPr>
          <w:rFonts w:ascii="Times New Roman" w:hAnsi="Times New Roman"/>
          <w:sz w:val="24"/>
          <w:szCs w:val="24"/>
        </w:rPr>
        <w:t xml:space="preserve">Publication of information will be subject to our ability to draw findings that would be </w:t>
      </w:r>
      <w:r w:rsidR="00AB11E7" w:rsidRPr="005D5681">
        <w:rPr>
          <w:rFonts w:ascii="Times New Roman" w:hAnsi="Times New Roman"/>
          <w:sz w:val="24"/>
          <w:szCs w:val="24"/>
        </w:rPr>
        <w:t>of interest</w:t>
      </w:r>
      <w:r w:rsidR="000D2D87" w:rsidRPr="005D5681">
        <w:rPr>
          <w:rFonts w:ascii="Times New Roman" w:hAnsi="Times New Roman"/>
          <w:sz w:val="24"/>
          <w:szCs w:val="24"/>
        </w:rPr>
        <w:t xml:space="preserve"> to a general public audience.</w:t>
      </w:r>
      <w:r w:rsidR="003B5E9C">
        <w:rPr>
          <w:rFonts w:ascii="Times New Roman" w:hAnsi="Times New Roman"/>
          <w:sz w:val="24"/>
          <w:szCs w:val="24"/>
        </w:rPr>
        <w:t xml:space="preserve">  Results will be presented at the CARD Act Conference on February 22, 2011.</w:t>
      </w:r>
    </w:p>
    <w:p w:rsidR="003B5E9C" w:rsidRDefault="003B5E9C" w:rsidP="003B5E9C">
      <w:pPr>
        <w:ind w:left="720"/>
        <w:rPr>
          <w:rFonts w:ascii="Times New Roman" w:hAnsi="Times New Roman"/>
          <w:sz w:val="24"/>
          <w:szCs w:val="24"/>
        </w:rPr>
      </w:pPr>
    </w:p>
    <w:p w:rsidR="00DB1DC5" w:rsidRPr="005D5681" w:rsidRDefault="003B5E9C" w:rsidP="003B5E9C">
      <w:pPr>
        <w:ind w:left="720"/>
        <w:rPr>
          <w:rFonts w:ascii="Times New Roman" w:hAnsi="Times New Roman"/>
          <w:sz w:val="24"/>
          <w:szCs w:val="24"/>
        </w:rPr>
      </w:pPr>
      <w:r>
        <w:rPr>
          <w:rFonts w:ascii="Times New Roman" w:hAnsi="Times New Roman"/>
          <w:sz w:val="24"/>
          <w:szCs w:val="24"/>
        </w:rPr>
        <w:t xml:space="preserve">The survey will be conducted </w:t>
      </w:r>
      <w:r w:rsidR="00120A26">
        <w:rPr>
          <w:rFonts w:ascii="Times New Roman" w:hAnsi="Times New Roman"/>
          <w:sz w:val="24"/>
          <w:szCs w:val="24"/>
        </w:rPr>
        <w:t>between February 3</w:t>
      </w:r>
      <w:r w:rsidR="006D4417" w:rsidRPr="006D4417">
        <w:rPr>
          <w:rFonts w:ascii="Times New Roman" w:hAnsi="Times New Roman"/>
          <w:sz w:val="24"/>
          <w:szCs w:val="24"/>
          <w:vertAlign w:val="superscript"/>
        </w:rPr>
        <w:t>rd</w:t>
      </w:r>
      <w:r w:rsidR="006D4417">
        <w:rPr>
          <w:rFonts w:ascii="Times New Roman" w:hAnsi="Times New Roman"/>
          <w:sz w:val="24"/>
          <w:szCs w:val="24"/>
        </w:rPr>
        <w:t xml:space="preserve"> and February </w:t>
      </w:r>
      <w:r w:rsidR="008B57FE">
        <w:rPr>
          <w:rFonts w:ascii="Times New Roman" w:hAnsi="Times New Roman"/>
          <w:sz w:val="24"/>
          <w:szCs w:val="24"/>
        </w:rPr>
        <w:t>7</w:t>
      </w:r>
      <w:r w:rsidR="006D4417" w:rsidRPr="006D4417">
        <w:rPr>
          <w:rFonts w:ascii="Times New Roman" w:hAnsi="Times New Roman"/>
          <w:sz w:val="24"/>
          <w:szCs w:val="24"/>
          <w:vertAlign w:val="superscript"/>
        </w:rPr>
        <w:t>th</w:t>
      </w:r>
      <w:r w:rsidR="006D4417">
        <w:rPr>
          <w:rFonts w:ascii="Times New Roman" w:hAnsi="Times New Roman"/>
          <w:sz w:val="24"/>
          <w:szCs w:val="24"/>
        </w:rPr>
        <w:t xml:space="preserve">, </w:t>
      </w:r>
      <w:r w:rsidR="00120A26">
        <w:rPr>
          <w:rFonts w:ascii="Times New Roman" w:hAnsi="Times New Roman"/>
          <w:sz w:val="24"/>
          <w:szCs w:val="24"/>
        </w:rPr>
        <w:t xml:space="preserve">2011.  </w:t>
      </w:r>
    </w:p>
    <w:p w:rsidR="00F945B7" w:rsidRDefault="00F945B7">
      <w:pPr>
        <w:rPr>
          <w:rFonts w:ascii="Times New Roman" w:hAnsi="Times New Roman"/>
          <w:sz w:val="24"/>
          <w:szCs w:val="24"/>
        </w:rPr>
      </w:pPr>
    </w:p>
    <w:p w:rsidR="00271287" w:rsidRPr="005D5681" w:rsidRDefault="00271287" w:rsidP="00BC64D7">
      <w:pPr>
        <w:rPr>
          <w:rFonts w:ascii="Times New Roman" w:hAnsi="Times New Roman"/>
          <w:sz w:val="24"/>
          <w:szCs w:val="24"/>
        </w:rPr>
      </w:pPr>
    </w:p>
    <w:p w:rsidR="00D16D1F" w:rsidRPr="005D5681" w:rsidRDefault="001824C7" w:rsidP="008E099B">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REASONS WHY DISPLAYING THE OMB EXPIRATION DATE IS INAPPROPRIATE</w:t>
      </w:r>
      <w:r w:rsidRPr="005D5681">
        <w:rPr>
          <w:rFonts w:ascii="Times New Roman" w:hAnsi="Times New Roman"/>
          <w:sz w:val="24"/>
          <w:szCs w:val="24"/>
          <w:u w:val="single"/>
        </w:rPr>
        <w:br/>
      </w:r>
    </w:p>
    <w:p w:rsidR="008E099B" w:rsidRPr="005D5681" w:rsidRDefault="003B5E9C" w:rsidP="003B5E9C">
      <w:pPr>
        <w:ind w:left="720"/>
        <w:rPr>
          <w:rFonts w:ascii="Times New Roman" w:hAnsi="Times New Roman"/>
          <w:sz w:val="24"/>
          <w:szCs w:val="24"/>
        </w:rPr>
      </w:pPr>
      <w:r>
        <w:rPr>
          <w:rFonts w:ascii="Times New Roman" w:hAnsi="Times New Roman"/>
          <w:sz w:val="24"/>
          <w:szCs w:val="24"/>
        </w:rPr>
        <w:t xml:space="preserve">Because the survey will be conducted by phone, </w:t>
      </w:r>
      <w:r w:rsidR="00E74EBC">
        <w:rPr>
          <w:rFonts w:ascii="Times New Roman" w:hAnsi="Times New Roman"/>
          <w:sz w:val="24"/>
          <w:szCs w:val="24"/>
        </w:rPr>
        <w:t>t</w:t>
      </w:r>
      <w:r w:rsidR="004C5A5B" w:rsidRPr="005D5681">
        <w:rPr>
          <w:rFonts w:ascii="Times New Roman" w:hAnsi="Times New Roman"/>
          <w:sz w:val="24"/>
          <w:szCs w:val="24"/>
        </w:rPr>
        <w:t xml:space="preserve">he OMB control number and the OMB expiration date </w:t>
      </w:r>
      <w:r>
        <w:rPr>
          <w:rFonts w:ascii="Times New Roman" w:hAnsi="Times New Roman"/>
          <w:sz w:val="24"/>
          <w:szCs w:val="24"/>
        </w:rPr>
        <w:t xml:space="preserve">cannot be visibly displayed.  Synovate will be notified of and required to adhere to the OMB expiration date.  </w:t>
      </w:r>
      <w:r w:rsidR="00736050">
        <w:rPr>
          <w:rFonts w:ascii="Times New Roman" w:hAnsi="Times New Roman"/>
          <w:sz w:val="24"/>
          <w:szCs w:val="24"/>
        </w:rPr>
        <w:t xml:space="preserve">The </w:t>
      </w:r>
      <w:r w:rsidR="001F3DC5">
        <w:rPr>
          <w:rFonts w:ascii="Times New Roman" w:hAnsi="Times New Roman"/>
          <w:sz w:val="24"/>
          <w:szCs w:val="24"/>
        </w:rPr>
        <w:t xml:space="preserve">OMB control number and </w:t>
      </w:r>
      <w:r w:rsidR="00736050">
        <w:rPr>
          <w:rFonts w:ascii="Times New Roman" w:hAnsi="Times New Roman"/>
          <w:sz w:val="24"/>
          <w:szCs w:val="24"/>
        </w:rPr>
        <w:t>expiration date will be provided to the interviewers and will be made available to a respondent on request.</w:t>
      </w:r>
    </w:p>
    <w:p w:rsidR="008E099B" w:rsidRPr="005D5681" w:rsidRDefault="008E099B" w:rsidP="008E099B">
      <w:pPr>
        <w:ind w:firstLine="720"/>
        <w:rPr>
          <w:rFonts w:ascii="Times New Roman" w:hAnsi="Times New Roman"/>
          <w:sz w:val="24"/>
          <w:szCs w:val="24"/>
        </w:rPr>
      </w:pPr>
    </w:p>
    <w:p w:rsidR="004C5A5B" w:rsidRPr="005D5681" w:rsidRDefault="001824C7" w:rsidP="004C5A5B">
      <w:pPr>
        <w:pStyle w:val="ListParagraph"/>
        <w:numPr>
          <w:ilvl w:val="0"/>
          <w:numId w:val="1"/>
        </w:numPr>
        <w:rPr>
          <w:rFonts w:ascii="Times New Roman" w:hAnsi="Times New Roman"/>
          <w:sz w:val="24"/>
          <w:szCs w:val="24"/>
          <w:u w:val="single"/>
        </w:rPr>
      </w:pPr>
      <w:r w:rsidRPr="005D5681">
        <w:rPr>
          <w:rFonts w:ascii="Times New Roman" w:hAnsi="Times New Roman"/>
          <w:sz w:val="24"/>
          <w:szCs w:val="24"/>
          <w:u w:val="single"/>
        </w:rPr>
        <w:t>EXCEPTIONS TO CERTIFICATION REQUIREMENT OF OMB FORM 83-I</w:t>
      </w:r>
      <w:r w:rsidRPr="005D5681">
        <w:rPr>
          <w:rFonts w:ascii="Times New Roman" w:hAnsi="Times New Roman"/>
          <w:sz w:val="24"/>
          <w:szCs w:val="24"/>
          <w:u w:val="single"/>
        </w:rPr>
        <w:br/>
      </w:r>
    </w:p>
    <w:p w:rsidR="004C5A5B" w:rsidRPr="005D5681" w:rsidRDefault="006D4417" w:rsidP="004C5A5B">
      <w:pPr>
        <w:pStyle w:val="ListParagraph"/>
        <w:rPr>
          <w:rFonts w:ascii="Times New Roman" w:hAnsi="Times New Roman"/>
          <w:sz w:val="24"/>
          <w:szCs w:val="24"/>
        </w:rPr>
      </w:pPr>
      <w:r>
        <w:rPr>
          <w:rFonts w:ascii="Times New Roman" w:hAnsi="Times New Roman"/>
          <w:sz w:val="24"/>
          <w:szCs w:val="24"/>
        </w:rPr>
        <w:t>T</w:t>
      </w:r>
      <w:r w:rsidR="004C5A5B" w:rsidRPr="005D5681">
        <w:rPr>
          <w:rFonts w:ascii="Times New Roman" w:hAnsi="Times New Roman"/>
          <w:sz w:val="24"/>
          <w:szCs w:val="24"/>
        </w:rPr>
        <w:t>here are no exceptions to the certification statement in item 19 of Form 83-I.</w:t>
      </w:r>
    </w:p>
    <w:p w:rsidR="004B0678" w:rsidRPr="005D5681" w:rsidRDefault="004B0678" w:rsidP="004C5A5B">
      <w:pPr>
        <w:pStyle w:val="ListParagraph"/>
        <w:rPr>
          <w:rFonts w:ascii="Times New Roman" w:hAnsi="Times New Roman"/>
          <w:sz w:val="24"/>
          <w:szCs w:val="24"/>
        </w:rPr>
      </w:pPr>
    </w:p>
    <w:p w:rsidR="004B0678" w:rsidRPr="005D5681" w:rsidRDefault="001824C7" w:rsidP="004B0678">
      <w:pPr>
        <w:rPr>
          <w:rFonts w:ascii="Times New Roman" w:hAnsi="Times New Roman"/>
          <w:sz w:val="24"/>
          <w:szCs w:val="24"/>
        </w:rPr>
      </w:pPr>
      <w:r w:rsidRPr="005D5681">
        <w:rPr>
          <w:rFonts w:ascii="Times New Roman" w:hAnsi="Times New Roman"/>
          <w:sz w:val="24"/>
          <w:szCs w:val="24"/>
        </w:rPr>
        <w:t>B.</w:t>
      </w:r>
      <w:r w:rsidRPr="005D5681">
        <w:rPr>
          <w:rFonts w:ascii="Times New Roman" w:hAnsi="Times New Roman"/>
          <w:sz w:val="24"/>
          <w:szCs w:val="24"/>
        </w:rPr>
        <w:tab/>
      </w:r>
      <w:r w:rsidRPr="005D5681">
        <w:rPr>
          <w:rFonts w:ascii="Times New Roman" w:hAnsi="Times New Roman"/>
          <w:sz w:val="24"/>
          <w:szCs w:val="24"/>
          <w:u w:val="single"/>
        </w:rPr>
        <w:t>COLLE</w:t>
      </w:r>
      <w:r w:rsidR="000A16DE" w:rsidRPr="005D5681">
        <w:rPr>
          <w:rFonts w:ascii="Times New Roman" w:hAnsi="Times New Roman"/>
          <w:sz w:val="24"/>
          <w:szCs w:val="24"/>
          <w:u w:val="single"/>
        </w:rPr>
        <w:t>CTIONS OF INFORMATION EMPLOYING</w:t>
      </w:r>
      <w:r w:rsidRPr="005D5681">
        <w:rPr>
          <w:rFonts w:ascii="Times New Roman" w:hAnsi="Times New Roman"/>
          <w:sz w:val="24"/>
          <w:szCs w:val="24"/>
          <w:u w:val="single"/>
        </w:rPr>
        <w:t xml:space="preserve"> STATISTICAL METHODS</w:t>
      </w:r>
      <w:r w:rsidRPr="005D5681">
        <w:rPr>
          <w:rFonts w:ascii="Times New Roman" w:hAnsi="Times New Roman"/>
          <w:sz w:val="24"/>
          <w:szCs w:val="24"/>
          <w:u w:val="single"/>
        </w:rPr>
        <w:br/>
      </w:r>
    </w:p>
    <w:p w:rsidR="00F503A0" w:rsidRDefault="00344E3C" w:rsidP="00344E3C">
      <w:pPr>
        <w:pStyle w:val="ListParagraph"/>
        <w:ind w:left="144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3B5E9C" w:rsidRPr="00344E3C">
        <w:rPr>
          <w:rFonts w:ascii="Times New Roman" w:hAnsi="Times New Roman"/>
          <w:sz w:val="24"/>
          <w:szCs w:val="24"/>
        </w:rPr>
        <w:t xml:space="preserve">The universe from which the sample for this research will be drawn consists of every adult </w:t>
      </w:r>
      <w:r w:rsidR="00F503A0">
        <w:rPr>
          <w:rFonts w:ascii="Times New Roman" w:hAnsi="Times New Roman"/>
          <w:sz w:val="24"/>
          <w:szCs w:val="24"/>
        </w:rPr>
        <w:t>over the age of 18.  Participants in the survey will fall within a subgroup consisting of adults with</w:t>
      </w:r>
      <w:r w:rsidR="003B5E9C" w:rsidRPr="00344E3C">
        <w:rPr>
          <w:rFonts w:ascii="Times New Roman" w:hAnsi="Times New Roman"/>
          <w:sz w:val="24"/>
          <w:szCs w:val="24"/>
        </w:rPr>
        <w:t xml:space="preserve"> a credit card</w:t>
      </w:r>
      <w:r w:rsidR="00E74EBC">
        <w:rPr>
          <w:rFonts w:ascii="Times New Roman" w:hAnsi="Times New Roman"/>
          <w:sz w:val="24"/>
          <w:szCs w:val="24"/>
        </w:rPr>
        <w:t xml:space="preserve"> and a phone number</w:t>
      </w:r>
      <w:r w:rsidR="003B5E9C" w:rsidRPr="00344E3C">
        <w:rPr>
          <w:rFonts w:ascii="Times New Roman" w:hAnsi="Times New Roman"/>
          <w:sz w:val="24"/>
          <w:szCs w:val="24"/>
        </w:rPr>
        <w:t xml:space="preserve">.  </w:t>
      </w:r>
      <w:r w:rsidR="00EE0A6C" w:rsidRPr="00344E3C">
        <w:rPr>
          <w:rFonts w:ascii="Times New Roman" w:hAnsi="Times New Roman"/>
          <w:sz w:val="24"/>
          <w:szCs w:val="24"/>
        </w:rPr>
        <w:t>It is estimated that approximately 70% of adults, or approximately 1</w:t>
      </w:r>
      <w:r w:rsidR="00623942">
        <w:rPr>
          <w:rFonts w:ascii="Times New Roman" w:hAnsi="Times New Roman"/>
          <w:sz w:val="24"/>
          <w:szCs w:val="24"/>
        </w:rPr>
        <w:t>6</w:t>
      </w:r>
      <w:r w:rsidR="00EE0A6C" w:rsidRPr="00344E3C">
        <w:rPr>
          <w:rFonts w:ascii="Times New Roman" w:hAnsi="Times New Roman"/>
          <w:sz w:val="24"/>
          <w:szCs w:val="24"/>
        </w:rPr>
        <w:t>0,000,000 Americans</w:t>
      </w:r>
      <w:r w:rsidR="00EE0A6C">
        <w:rPr>
          <w:rFonts w:ascii="Times New Roman" w:hAnsi="Times New Roman"/>
          <w:sz w:val="24"/>
          <w:szCs w:val="24"/>
        </w:rPr>
        <w:t>,</w:t>
      </w:r>
      <w:r w:rsidR="00EE0A6C" w:rsidRPr="00344E3C">
        <w:rPr>
          <w:rFonts w:ascii="Times New Roman" w:hAnsi="Times New Roman"/>
          <w:sz w:val="24"/>
          <w:szCs w:val="24"/>
        </w:rPr>
        <w:t xml:space="preserve"> fall within the universe.</w:t>
      </w:r>
      <w:r w:rsidR="00EE0A6C">
        <w:rPr>
          <w:rFonts w:ascii="Times New Roman" w:hAnsi="Times New Roman"/>
          <w:sz w:val="24"/>
          <w:szCs w:val="24"/>
        </w:rPr>
        <w:t xml:space="preserve">  </w:t>
      </w:r>
    </w:p>
    <w:p w:rsidR="00F503A0" w:rsidRDefault="00F503A0" w:rsidP="00344E3C">
      <w:pPr>
        <w:pStyle w:val="ListParagraph"/>
        <w:ind w:left="1440" w:hanging="720"/>
        <w:rPr>
          <w:rFonts w:ascii="Times New Roman" w:hAnsi="Times New Roman"/>
          <w:sz w:val="24"/>
          <w:szCs w:val="24"/>
        </w:rPr>
      </w:pPr>
    </w:p>
    <w:p w:rsidR="00522BB8" w:rsidRDefault="006D4417" w:rsidP="00F503A0">
      <w:pPr>
        <w:pStyle w:val="ListParagraph"/>
        <w:ind w:left="1440"/>
        <w:rPr>
          <w:rFonts w:ascii="Times New Roman" w:hAnsi="Times New Roman"/>
          <w:sz w:val="24"/>
          <w:szCs w:val="24"/>
        </w:rPr>
      </w:pPr>
      <w:r>
        <w:rPr>
          <w:rFonts w:ascii="Times New Roman" w:hAnsi="Times New Roman"/>
          <w:sz w:val="24"/>
          <w:szCs w:val="24"/>
        </w:rPr>
        <w:t>Synovate</w:t>
      </w:r>
      <w:r w:rsidR="00F503A0">
        <w:rPr>
          <w:rFonts w:ascii="Times New Roman" w:hAnsi="Times New Roman"/>
          <w:sz w:val="24"/>
          <w:szCs w:val="24"/>
        </w:rPr>
        <w:t xml:space="preserve"> will select random samples of households from the universe using the GENESYS Sampling System developing by Marketing Systems Group to generate random digital dialing lists.  Two lists will be procured, one for cell phones and one for land lines.  These lists will then be stratified into </w:t>
      </w:r>
      <w:r w:rsidR="00623942">
        <w:rPr>
          <w:rFonts w:ascii="Times New Roman" w:hAnsi="Times New Roman"/>
          <w:sz w:val="24"/>
          <w:szCs w:val="24"/>
        </w:rPr>
        <w:t xml:space="preserve">the </w:t>
      </w:r>
      <w:r w:rsidR="00F503A0">
        <w:rPr>
          <w:rFonts w:ascii="Times New Roman" w:hAnsi="Times New Roman"/>
          <w:sz w:val="24"/>
          <w:szCs w:val="24"/>
        </w:rPr>
        <w:t xml:space="preserve">four </w:t>
      </w:r>
      <w:r w:rsidR="00623942">
        <w:rPr>
          <w:rFonts w:ascii="Times New Roman" w:hAnsi="Times New Roman"/>
          <w:sz w:val="24"/>
          <w:szCs w:val="24"/>
        </w:rPr>
        <w:t xml:space="preserve">census </w:t>
      </w:r>
      <w:r w:rsidR="00F503A0">
        <w:rPr>
          <w:rFonts w:ascii="Times New Roman" w:hAnsi="Times New Roman"/>
          <w:sz w:val="24"/>
          <w:szCs w:val="24"/>
        </w:rPr>
        <w:t>regions and, within each region, into a cel</w:t>
      </w:r>
      <w:r w:rsidR="00623942">
        <w:rPr>
          <w:rFonts w:ascii="Times New Roman" w:hAnsi="Times New Roman"/>
          <w:sz w:val="24"/>
          <w:szCs w:val="24"/>
        </w:rPr>
        <w:t>l phone-only segment and a land</w:t>
      </w:r>
      <w:r w:rsidR="00F503A0">
        <w:rPr>
          <w:rFonts w:ascii="Times New Roman" w:hAnsi="Times New Roman"/>
          <w:sz w:val="24"/>
          <w:szCs w:val="24"/>
        </w:rPr>
        <w:t>line segment</w:t>
      </w:r>
      <w:r w:rsidR="00700A51">
        <w:rPr>
          <w:rFonts w:ascii="Times New Roman" w:hAnsi="Times New Roman"/>
          <w:sz w:val="24"/>
          <w:szCs w:val="24"/>
        </w:rPr>
        <w:t xml:space="preserve"> using </w:t>
      </w:r>
      <w:r w:rsidR="00F503A0">
        <w:rPr>
          <w:rFonts w:ascii="Times New Roman" w:hAnsi="Times New Roman"/>
          <w:sz w:val="24"/>
          <w:szCs w:val="24"/>
        </w:rPr>
        <w:t xml:space="preserve">the most current data from the National </w:t>
      </w:r>
      <w:r w:rsidR="00522BB8">
        <w:rPr>
          <w:rFonts w:ascii="Times New Roman" w:hAnsi="Times New Roman"/>
          <w:sz w:val="24"/>
          <w:szCs w:val="24"/>
        </w:rPr>
        <w:t xml:space="preserve">Health </w:t>
      </w:r>
      <w:r w:rsidR="00736050">
        <w:rPr>
          <w:rFonts w:ascii="Times New Roman" w:hAnsi="Times New Roman"/>
          <w:sz w:val="24"/>
          <w:szCs w:val="24"/>
        </w:rPr>
        <w:t xml:space="preserve">Interview </w:t>
      </w:r>
      <w:r w:rsidR="00522BB8">
        <w:rPr>
          <w:rFonts w:ascii="Times New Roman" w:hAnsi="Times New Roman"/>
          <w:sz w:val="24"/>
          <w:szCs w:val="24"/>
        </w:rPr>
        <w:t xml:space="preserve">Survey; the incidence of credit card ownership within each sub-group is unknown and may vary from the incidence in the population as a whole.  </w:t>
      </w:r>
      <w:r w:rsidR="00F503A0">
        <w:rPr>
          <w:rFonts w:ascii="Times New Roman" w:hAnsi="Times New Roman"/>
          <w:sz w:val="24"/>
          <w:szCs w:val="24"/>
        </w:rPr>
        <w:t xml:space="preserve">  </w:t>
      </w:r>
      <w:r w:rsidR="00700A51">
        <w:rPr>
          <w:rFonts w:ascii="Times New Roman" w:hAnsi="Times New Roman"/>
          <w:sz w:val="24"/>
          <w:szCs w:val="24"/>
        </w:rPr>
        <w:t>Appendix A shows the universe and sample targets for each strata.</w:t>
      </w:r>
    </w:p>
    <w:p w:rsidR="00522BB8" w:rsidRDefault="00522BB8" w:rsidP="00F503A0">
      <w:pPr>
        <w:pStyle w:val="ListParagraph"/>
        <w:ind w:left="1440"/>
        <w:rPr>
          <w:rFonts w:ascii="Times New Roman" w:hAnsi="Times New Roman"/>
          <w:sz w:val="24"/>
          <w:szCs w:val="24"/>
        </w:rPr>
      </w:pPr>
    </w:p>
    <w:p w:rsidR="00344E3C" w:rsidRDefault="006D4417" w:rsidP="00F503A0">
      <w:pPr>
        <w:pStyle w:val="ListParagraph"/>
        <w:ind w:left="1440"/>
        <w:rPr>
          <w:rFonts w:ascii="Times New Roman" w:hAnsi="Times New Roman"/>
          <w:sz w:val="24"/>
          <w:szCs w:val="24"/>
        </w:rPr>
      </w:pPr>
      <w:r>
        <w:rPr>
          <w:rFonts w:ascii="Times New Roman" w:hAnsi="Times New Roman"/>
          <w:sz w:val="24"/>
          <w:szCs w:val="24"/>
        </w:rPr>
        <w:t>Synovate</w:t>
      </w:r>
      <w:r w:rsidR="00522BB8">
        <w:rPr>
          <w:rFonts w:ascii="Times New Roman" w:hAnsi="Times New Roman"/>
          <w:sz w:val="24"/>
          <w:szCs w:val="24"/>
        </w:rPr>
        <w:t xml:space="preserve"> expects a response rate in the 15% to 20% range.  </w:t>
      </w:r>
      <w:r w:rsidR="00344E3C">
        <w:rPr>
          <w:rFonts w:ascii="Times New Roman" w:hAnsi="Times New Roman"/>
          <w:sz w:val="24"/>
          <w:szCs w:val="24"/>
        </w:rPr>
        <w:t xml:space="preserve">  </w:t>
      </w:r>
    </w:p>
    <w:p w:rsidR="00344E3C" w:rsidRDefault="00344E3C" w:rsidP="00344E3C">
      <w:pPr>
        <w:pStyle w:val="ListParagraph"/>
        <w:ind w:left="1440" w:hanging="720"/>
        <w:rPr>
          <w:rFonts w:ascii="Times New Roman" w:hAnsi="Times New Roman"/>
          <w:sz w:val="24"/>
          <w:szCs w:val="24"/>
        </w:rPr>
      </w:pPr>
    </w:p>
    <w:p w:rsidR="00EB25CD" w:rsidRDefault="00344E3C" w:rsidP="00344E3C">
      <w:pPr>
        <w:pStyle w:val="ListParagraph"/>
        <w:ind w:left="144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D4417">
        <w:rPr>
          <w:rFonts w:ascii="Times New Roman" w:hAnsi="Times New Roman"/>
          <w:sz w:val="24"/>
          <w:szCs w:val="24"/>
        </w:rPr>
        <w:t>Synovate</w:t>
      </w:r>
      <w:r w:rsidR="00522BB8">
        <w:rPr>
          <w:rFonts w:ascii="Times New Roman" w:hAnsi="Times New Roman"/>
          <w:sz w:val="24"/>
          <w:szCs w:val="24"/>
        </w:rPr>
        <w:t xml:space="preserve"> will conduct the calling using the RDD lists </w:t>
      </w:r>
      <w:r w:rsidR="00120A26">
        <w:rPr>
          <w:rFonts w:ascii="Times New Roman" w:hAnsi="Times New Roman"/>
          <w:sz w:val="24"/>
          <w:szCs w:val="24"/>
        </w:rPr>
        <w:t>procured</w:t>
      </w:r>
      <w:r w:rsidR="00522BB8">
        <w:rPr>
          <w:rFonts w:ascii="Times New Roman" w:hAnsi="Times New Roman"/>
          <w:sz w:val="24"/>
          <w:szCs w:val="24"/>
        </w:rPr>
        <w:t xml:space="preserve"> from GENESYS.  Individuals willing to participate will be asked a few screening questions to </w:t>
      </w:r>
      <w:r w:rsidR="00120A26">
        <w:rPr>
          <w:rFonts w:ascii="Times New Roman" w:hAnsi="Times New Roman"/>
          <w:sz w:val="24"/>
          <w:szCs w:val="24"/>
        </w:rPr>
        <w:t>determine</w:t>
      </w:r>
      <w:r w:rsidR="00522BB8">
        <w:rPr>
          <w:rFonts w:ascii="Times New Roman" w:hAnsi="Times New Roman"/>
          <w:sz w:val="24"/>
          <w:szCs w:val="24"/>
        </w:rPr>
        <w:t xml:space="preserve"> eligibility (i.e. whether the individual has a credit card).  </w:t>
      </w:r>
      <w:r w:rsidR="00EB25CD">
        <w:rPr>
          <w:rFonts w:ascii="Times New Roman" w:hAnsi="Times New Roman"/>
          <w:sz w:val="24"/>
          <w:szCs w:val="24"/>
        </w:rPr>
        <w:t>Individuals reached on a cell phone but who indicate that they have a landline will be excluded from the survey</w:t>
      </w:r>
      <w:r w:rsidR="006D4417">
        <w:rPr>
          <w:rFonts w:ascii="Times New Roman" w:hAnsi="Times New Roman"/>
          <w:sz w:val="24"/>
          <w:szCs w:val="24"/>
        </w:rPr>
        <w:t xml:space="preserve"> so that these segments can be balanced to the cell phone-only universe in each region</w:t>
      </w:r>
      <w:r w:rsidR="00EB25CD">
        <w:rPr>
          <w:rFonts w:ascii="Times New Roman" w:hAnsi="Times New Roman"/>
          <w:sz w:val="24"/>
          <w:szCs w:val="24"/>
        </w:rPr>
        <w:t>.</w:t>
      </w:r>
    </w:p>
    <w:p w:rsidR="00EB25CD" w:rsidRDefault="00EB25CD" w:rsidP="00344E3C">
      <w:pPr>
        <w:pStyle w:val="ListParagraph"/>
        <w:ind w:left="1440" w:hanging="720"/>
        <w:rPr>
          <w:rFonts w:ascii="Times New Roman" w:hAnsi="Times New Roman"/>
          <w:sz w:val="24"/>
          <w:szCs w:val="24"/>
        </w:rPr>
      </w:pPr>
    </w:p>
    <w:p w:rsidR="00EB25CD" w:rsidRDefault="00623942" w:rsidP="00EB25CD">
      <w:pPr>
        <w:pStyle w:val="ListParagraph"/>
        <w:ind w:left="1440"/>
        <w:rPr>
          <w:rFonts w:ascii="Times New Roman" w:hAnsi="Times New Roman"/>
          <w:sz w:val="24"/>
          <w:szCs w:val="24"/>
        </w:rPr>
      </w:pPr>
      <w:r>
        <w:rPr>
          <w:rFonts w:ascii="Times New Roman" w:hAnsi="Times New Roman"/>
          <w:sz w:val="24"/>
          <w:szCs w:val="24"/>
        </w:rPr>
        <w:t xml:space="preserve">Given cost constraints and the relative cost difference in completing a cell versus landline response, Synovate’s protocol is to obtain 66% of the target cell phone only segment, with a floor of 50%.  </w:t>
      </w:r>
      <w:r w:rsidR="00EB25CD">
        <w:rPr>
          <w:rFonts w:ascii="Times New Roman" w:hAnsi="Times New Roman"/>
          <w:sz w:val="24"/>
          <w:szCs w:val="24"/>
        </w:rPr>
        <w:t xml:space="preserve">To compensate, </w:t>
      </w:r>
      <w:r w:rsidR="006D4417">
        <w:rPr>
          <w:rFonts w:ascii="Times New Roman" w:hAnsi="Times New Roman"/>
          <w:sz w:val="24"/>
          <w:szCs w:val="24"/>
        </w:rPr>
        <w:t>Synovate</w:t>
      </w:r>
      <w:r w:rsidR="00EB25CD">
        <w:rPr>
          <w:rFonts w:ascii="Times New Roman" w:hAnsi="Times New Roman"/>
          <w:sz w:val="24"/>
          <w:szCs w:val="24"/>
        </w:rPr>
        <w:t xml:space="preserve"> will, as necessary, weight the responses in the cell phone only segments so that </w:t>
      </w:r>
      <w:r>
        <w:rPr>
          <w:rFonts w:ascii="Times New Roman" w:hAnsi="Times New Roman"/>
          <w:sz w:val="24"/>
          <w:szCs w:val="24"/>
        </w:rPr>
        <w:t xml:space="preserve">it </w:t>
      </w:r>
      <w:r w:rsidR="00EB25CD">
        <w:rPr>
          <w:rFonts w:ascii="Times New Roman" w:hAnsi="Times New Roman"/>
          <w:sz w:val="24"/>
          <w:szCs w:val="24"/>
        </w:rPr>
        <w:t>is proportional</w:t>
      </w:r>
      <w:r w:rsidR="003E6317">
        <w:rPr>
          <w:rFonts w:ascii="Times New Roman" w:hAnsi="Times New Roman"/>
          <w:sz w:val="24"/>
          <w:szCs w:val="24"/>
        </w:rPr>
        <w:t xml:space="preserve"> to their representation in the regional population as a whole</w:t>
      </w:r>
      <w:r w:rsidR="00EB25CD">
        <w:rPr>
          <w:rFonts w:ascii="Times New Roman" w:hAnsi="Times New Roman"/>
          <w:sz w:val="24"/>
          <w:szCs w:val="24"/>
        </w:rPr>
        <w:t xml:space="preserve">.  </w:t>
      </w:r>
    </w:p>
    <w:p w:rsidR="00812477" w:rsidRDefault="00812477" w:rsidP="00EB25CD">
      <w:pPr>
        <w:pStyle w:val="ListParagraph"/>
        <w:ind w:left="1440"/>
        <w:rPr>
          <w:rFonts w:ascii="Times New Roman" w:hAnsi="Times New Roman"/>
          <w:sz w:val="24"/>
          <w:szCs w:val="24"/>
        </w:rPr>
      </w:pPr>
    </w:p>
    <w:p w:rsidR="00700A51" w:rsidRDefault="006D4417" w:rsidP="00EB25CD">
      <w:pPr>
        <w:pStyle w:val="ListParagraph"/>
        <w:ind w:left="1440"/>
        <w:rPr>
          <w:rFonts w:ascii="Times New Roman" w:hAnsi="Times New Roman"/>
          <w:sz w:val="24"/>
          <w:szCs w:val="24"/>
        </w:rPr>
      </w:pPr>
      <w:r>
        <w:rPr>
          <w:rFonts w:ascii="Times New Roman" w:hAnsi="Times New Roman"/>
          <w:sz w:val="24"/>
          <w:szCs w:val="24"/>
        </w:rPr>
        <w:t>Synovate</w:t>
      </w:r>
      <w:r w:rsidR="00812477">
        <w:rPr>
          <w:rFonts w:ascii="Times New Roman" w:hAnsi="Times New Roman"/>
          <w:sz w:val="24"/>
          <w:szCs w:val="24"/>
        </w:rPr>
        <w:t xml:space="preserve"> will collect basic demographic information from all “willing to participates,” including those who are not eligible because of </w:t>
      </w:r>
      <w:r w:rsidR="00120A26">
        <w:rPr>
          <w:rFonts w:ascii="Times New Roman" w:hAnsi="Times New Roman"/>
          <w:sz w:val="24"/>
          <w:szCs w:val="24"/>
        </w:rPr>
        <w:t>lack</w:t>
      </w:r>
      <w:r w:rsidR="00812477">
        <w:rPr>
          <w:rFonts w:ascii="Times New Roman" w:hAnsi="Times New Roman"/>
          <w:sz w:val="24"/>
          <w:szCs w:val="24"/>
        </w:rPr>
        <w:t xml:space="preserve"> of credit card ownership.  </w:t>
      </w:r>
      <w:r>
        <w:rPr>
          <w:rFonts w:ascii="Times New Roman" w:hAnsi="Times New Roman"/>
          <w:sz w:val="24"/>
          <w:szCs w:val="24"/>
        </w:rPr>
        <w:t>Synovate</w:t>
      </w:r>
      <w:r w:rsidR="00812477">
        <w:rPr>
          <w:rFonts w:ascii="Times New Roman" w:hAnsi="Times New Roman"/>
          <w:sz w:val="24"/>
          <w:szCs w:val="24"/>
        </w:rPr>
        <w:t xml:space="preserve"> will weight the willing to participates to assure that the willing to participates are representative of the universe with respect to age, income, gender, and race.  </w:t>
      </w:r>
      <w:r w:rsidR="003E6317">
        <w:rPr>
          <w:rFonts w:ascii="Times New Roman" w:hAnsi="Times New Roman"/>
          <w:sz w:val="24"/>
          <w:szCs w:val="24"/>
        </w:rPr>
        <w:t>This balancing will be done on a global basis rather than region by region.</w:t>
      </w:r>
      <w:r w:rsidR="00700A51">
        <w:rPr>
          <w:rFonts w:ascii="Times New Roman" w:hAnsi="Times New Roman"/>
          <w:sz w:val="24"/>
          <w:szCs w:val="24"/>
        </w:rPr>
        <w:t xml:space="preserve">  </w:t>
      </w:r>
    </w:p>
    <w:p w:rsidR="00700A51" w:rsidRDefault="00700A51" w:rsidP="00EB25CD">
      <w:pPr>
        <w:pStyle w:val="ListParagraph"/>
        <w:ind w:left="1440"/>
        <w:rPr>
          <w:rFonts w:ascii="Times New Roman" w:hAnsi="Times New Roman"/>
          <w:sz w:val="24"/>
          <w:szCs w:val="24"/>
        </w:rPr>
      </w:pPr>
    </w:p>
    <w:p w:rsidR="001F3DC5" w:rsidRDefault="001F3DC5" w:rsidP="00EB25CD">
      <w:pPr>
        <w:pStyle w:val="ListParagraph"/>
        <w:ind w:left="1440"/>
        <w:rPr>
          <w:rFonts w:ascii="Times New Roman" w:hAnsi="Times New Roman"/>
          <w:sz w:val="24"/>
          <w:szCs w:val="24"/>
        </w:rPr>
      </w:pPr>
    </w:p>
    <w:p w:rsidR="001F3DC5" w:rsidRDefault="001F3DC5" w:rsidP="00EB25CD">
      <w:pPr>
        <w:pStyle w:val="ListParagraph"/>
        <w:ind w:left="1440"/>
        <w:rPr>
          <w:rFonts w:ascii="Times New Roman" w:hAnsi="Times New Roman"/>
          <w:sz w:val="24"/>
          <w:szCs w:val="24"/>
        </w:rPr>
      </w:pPr>
      <w:r>
        <w:rPr>
          <w:rFonts w:ascii="Times New Roman" w:hAnsi="Times New Roman"/>
          <w:sz w:val="24"/>
          <w:szCs w:val="24"/>
        </w:rPr>
        <w:t>Results will be reported based on the overall sample and not for each of the strata.  Cross-tabulations will also be reported for subgroups defined by key demographic variables (e.g. income, education, age) and defined by credit card behavior (</w:t>
      </w:r>
      <w:r w:rsidR="002E105F">
        <w:rPr>
          <w:rFonts w:ascii="Times New Roman" w:hAnsi="Times New Roman"/>
          <w:sz w:val="24"/>
          <w:szCs w:val="24"/>
        </w:rPr>
        <w:t>e.g. heavy</w:t>
      </w:r>
      <w:r>
        <w:rPr>
          <w:rFonts w:ascii="Times New Roman" w:hAnsi="Times New Roman"/>
          <w:sz w:val="24"/>
          <w:szCs w:val="24"/>
        </w:rPr>
        <w:t xml:space="preserve"> borrowers, light borrowers, convenience users).  The size of each sub-group will not be known until the survey is completed.  To the extent comparisons are made between subgroups (e.g. heavy borrowers vs. light borrowers), Synovate will first verify that the differences being reported are statistically significant with 95% confidence.</w:t>
      </w:r>
    </w:p>
    <w:p w:rsidR="00700A51" w:rsidRDefault="00700A51" w:rsidP="00EB25CD">
      <w:pPr>
        <w:pStyle w:val="ListParagraph"/>
        <w:ind w:left="1440"/>
        <w:rPr>
          <w:rFonts w:ascii="Times New Roman" w:hAnsi="Times New Roman"/>
          <w:sz w:val="24"/>
          <w:szCs w:val="24"/>
        </w:rPr>
      </w:pPr>
    </w:p>
    <w:p w:rsidR="00700A51" w:rsidRDefault="00700A51" w:rsidP="00700A51">
      <w:pPr>
        <w:pStyle w:val="ListParagraph"/>
        <w:ind w:left="1440"/>
        <w:rPr>
          <w:rFonts w:ascii="Times New Roman" w:hAnsi="Times New Roman"/>
          <w:sz w:val="24"/>
          <w:szCs w:val="24"/>
        </w:rPr>
      </w:pPr>
      <w:r>
        <w:rPr>
          <w:rFonts w:ascii="Times New Roman" w:hAnsi="Times New Roman"/>
          <w:sz w:val="24"/>
          <w:szCs w:val="24"/>
        </w:rPr>
        <w:t xml:space="preserve">Appendix B provides a detailed explanation of the weighting methodology and the margin of error. </w:t>
      </w:r>
    </w:p>
    <w:p w:rsidR="00700A51" w:rsidRDefault="00700A51" w:rsidP="00EB25CD">
      <w:pPr>
        <w:pStyle w:val="ListParagraph"/>
        <w:ind w:left="1440"/>
        <w:rPr>
          <w:rFonts w:ascii="Times New Roman" w:hAnsi="Times New Roman"/>
          <w:sz w:val="24"/>
          <w:szCs w:val="24"/>
        </w:rPr>
      </w:pPr>
    </w:p>
    <w:p w:rsidR="00812477" w:rsidRDefault="00812477" w:rsidP="00812477">
      <w:pPr>
        <w:rPr>
          <w:rFonts w:ascii="Times New Roman" w:hAnsi="Times New Roman"/>
          <w:sz w:val="24"/>
          <w:szCs w:val="24"/>
        </w:rPr>
      </w:pPr>
    </w:p>
    <w:p w:rsidR="002E105F" w:rsidRDefault="00344E3C" w:rsidP="00344E3C">
      <w:pPr>
        <w:pStyle w:val="ListParagraph"/>
        <w:ind w:left="144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To maximize response rates</w:t>
      </w:r>
      <w:r w:rsidR="003E6317">
        <w:rPr>
          <w:rFonts w:ascii="Times New Roman" w:hAnsi="Times New Roman"/>
          <w:sz w:val="24"/>
          <w:szCs w:val="24"/>
        </w:rPr>
        <w:t xml:space="preserve"> within the time available</w:t>
      </w:r>
      <w:r>
        <w:rPr>
          <w:rFonts w:ascii="Times New Roman" w:hAnsi="Times New Roman"/>
          <w:sz w:val="24"/>
          <w:szCs w:val="24"/>
        </w:rPr>
        <w:t xml:space="preserve">, </w:t>
      </w:r>
      <w:r w:rsidR="003E6317">
        <w:rPr>
          <w:rFonts w:ascii="Times New Roman" w:hAnsi="Times New Roman"/>
          <w:sz w:val="24"/>
          <w:szCs w:val="24"/>
        </w:rPr>
        <w:t>calling will begin on a weekday (</w:t>
      </w:r>
      <w:r w:rsidR="00120A26">
        <w:rPr>
          <w:rFonts w:ascii="Times New Roman" w:hAnsi="Times New Roman"/>
          <w:sz w:val="24"/>
          <w:szCs w:val="24"/>
        </w:rPr>
        <w:t>Thursday</w:t>
      </w:r>
      <w:r w:rsidR="003E6317">
        <w:rPr>
          <w:rFonts w:ascii="Times New Roman" w:hAnsi="Times New Roman"/>
          <w:sz w:val="24"/>
          <w:szCs w:val="24"/>
        </w:rPr>
        <w:t>) evening and continue through the weekend on both day and evening</w:t>
      </w:r>
      <w:r w:rsidR="008B57FE">
        <w:rPr>
          <w:rFonts w:ascii="Times New Roman" w:hAnsi="Times New Roman"/>
          <w:sz w:val="24"/>
          <w:szCs w:val="24"/>
        </w:rPr>
        <w:t xml:space="preserve"> and conclude Monday evening</w:t>
      </w:r>
      <w:r w:rsidR="003E6317">
        <w:rPr>
          <w:rFonts w:ascii="Times New Roman" w:hAnsi="Times New Roman"/>
          <w:sz w:val="24"/>
          <w:szCs w:val="24"/>
        </w:rPr>
        <w:t xml:space="preserve">.  </w:t>
      </w:r>
      <w:r w:rsidR="00120A26">
        <w:rPr>
          <w:rFonts w:ascii="Times New Roman" w:hAnsi="Times New Roman"/>
          <w:sz w:val="24"/>
          <w:szCs w:val="24"/>
        </w:rPr>
        <w:t>Syno</w:t>
      </w:r>
      <w:r w:rsidR="006D4417">
        <w:rPr>
          <w:rFonts w:ascii="Times New Roman" w:hAnsi="Times New Roman"/>
          <w:sz w:val="24"/>
          <w:szCs w:val="24"/>
        </w:rPr>
        <w:t>v</w:t>
      </w:r>
      <w:r w:rsidR="00120A26">
        <w:rPr>
          <w:rFonts w:ascii="Times New Roman" w:hAnsi="Times New Roman"/>
          <w:sz w:val="24"/>
          <w:szCs w:val="24"/>
        </w:rPr>
        <w:t>ate</w:t>
      </w:r>
      <w:r w:rsidR="003E6317">
        <w:rPr>
          <w:rFonts w:ascii="Times New Roman" w:hAnsi="Times New Roman"/>
          <w:sz w:val="24"/>
          <w:szCs w:val="24"/>
        </w:rPr>
        <w:t xml:space="preserve"> will make four attempts to contact each called number.  Where a contact is made, </w:t>
      </w:r>
      <w:r w:rsidR="006D4417">
        <w:rPr>
          <w:rFonts w:ascii="Times New Roman" w:hAnsi="Times New Roman"/>
          <w:sz w:val="24"/>
          <w:szCs w:val="24"/>
        </w:rPr>
        <w:t>Synovate</w:t>
      </w:r>
      <w:r w:rsidR="003E6317">
        <w:rPr>
          <w:rFonts w:ascii="Times New Roman" w:hAnsi="Times New Roman"/>
          <w:sz w:val="24"/>
          <w:szCs w:val="24"/>
        </w:rPr>
        <w:t xml:space="preserve"> will ask to speak with the youngest adult </w:t>
      </w:r>
      <w:r w:rsidR="00120A26">
        <w:rPr>
          <w:rFonts w:ascii="Times New Roman" w:hAnsi="Times New Roman"/>
          <w:sz w:val="24"/>
          <w:szCs w:val="24"/>
        </w:rPr>
        <w:t xml:space="preserve">male </w:t>
      </w:r>
      <w:r w:rsidR="00700A51">
        <w:rPr>
          <w:rFonts w:ascii="Times New Roman" w:hAnsi="Times New Roman"/>
          <w:sz w:val="24"/>
          <w:szCs w:val="24"/>
        </w:rPr>
        <w:t xml:space="preserve">who is at home 75% of the time  and the youngest adult female who is at home 25% of the time.  </w:t>
      </w:r>
      <w:r w:rsidR="002E105F" w:rsidRPr="002E105F">
        <w:rPr>
          <w:rFonts w:ascii="Times New Roman" w:hAnsi="Times New Roman"/>
          <w:sz w:val="24"/>
          <w:szCs w:val="24"/>
        </w:rPr>
        <w:t>While this methodology admittedly is not a random method for selecting an adult in the household, it is known to produce more balanced samples with better representation of the young and males.  As a result, it is a methodology applied often for quick turnaround polls (including, e.g., the ABC News/Washington Post poll for which Dr. Lambert managed the sampling and data collection contract prior to joining Synovate).   Papers and articles based on these results have been presented at AAPOR conferences and also published in peer-reviewed journals such as the Public Opinion Quarterly).   Use of a methodology such as a birthday method to select respondents, especially in quick turnaround polls, tends to produce samples in which women are overrepresented and younger adults are underrepresented.  Given the time constraints and the formative nature of this research, we believe this is the preferred methodology for this poll.</w:t>
      </w:r>
    </w:p>
    <w:p w:rsidR="002E105F" w:rsidRDefault="002E105F" w:rsidP="00344E3C">
      <w:pPr>
        <w:pStyle w:val="ListParagraph"/>
        <w:ind w:left="1440" w:hanging="720"/>
        <w:rPr>
          <w:rFonts w:ascii="Times New Roman" w:hAnsi="Times New Roman"/>
          <w:sz w:val="24"/>
          <w:szCs w:val="24"/>
        </w:rPr>
      </w:pPr>
    </w:p>
    <w:p w:rsidR="00EE0A6C" w:rsidRDefault="003E6317" w:rsidP="002E105F">
      <w:pPr>
        <w:pStyle w:val="ListParagraph"/>
        <w:ind w:left="1440"/>
        <w:rPr>
          <w:rFonts w:ascii="Times New Roman" w:hAnsi="Times New Roman"/>
          <w:sz w:val="24"/>
          <w:szCs w:val="24"/>
        </w:rPr>
      </w:pPr>
      <w:r>
        <w:rPr>
          <w:rFonts w:ascii="Times New Roman" w:hAnsi="Times New Roman"/>
          <w:sz w:val="24"/>
          <w:szCs w:val="24"/>
        </w:rPr>
        <w:t xml:space="preserve"> T</w:t>
      </w:r>
      <w:r w:rsidR="00344E3C">
        <w:rPr>
          <w:rFonts w:ascii="Times New Roman" w:hAnsi="Times New Roman"/>
          <w:sz w:val="24"/>
          <w:szCs w:val="24"/>
        </w:rPr>
        <w:t xml:space="preserve">he questionnaire will </w:t>
      </w:r>
      <w:r>
        <w:rPr>
          <w:rFonts w:ascii="Times New Roman" w:hAnsi="Times New Roman"/>
          <w:sz w:val="24"/>
          <w:szCs w:val="24"/>
        </w:rPr>
        <w:t xml:space="preserve">be limited to </w:t>
      </w:r>
      <w:r w:rsidR="00E74EBC">
        <w:rPr>
          <w:rFonts w:ascii="Times New Roman" w:hAnsi="Times New Roman"/>
          <w:sz w:val="24"/>
          <w:szCs w:val="24"/>
        </w:rPr>
        <w:t xml:space="preserve">approximately </w:t>
      </w:r>
      <w:r w:rsidR="00344E3C">
        <w:rPr>
          <w:rFonts w:ascii="Times New Roman" w:hAnsi="Times New Roman"/>
          <w:sz w:val="24"/>
          <w:szCs w:val="24"/>
        </w:rPr>
        <w:t xml:space="preserve">fifteen minutes </w:t>
      </w:r>
      <w:r w:rsidR="00623942">
        <w:rPr>
          <w:rFonts w:ascii="Times New Roman" w:hAnsi="Times New Roman"/>
          <w:sz w:val="24"/>
          <w:szCs w:val="24"/>
        </w:rPr>
        <w:t xml:space="preserve">in length </w:t>
      </w:r>
      <w:r w:rsidR="00E74EBC">
        <w:rPr>
          <w:rFonts w:ascii="Times New Roman" w:hAnsi="Times New Roman"/>
          <w:sz w:val="24"/>
          <w:szCs w:val="24"/>
        </w:rPr>
        <w:t>on average</w:t>
      </w:r>
      <w:r w:rsidR="00344E3C">
        <w:rPr>
          <w:rFonts w:ascii="Times New Roman" w:hAnsi="Times New Roman"/>
          <w:sz w:val="24"/>
          <w:szCs w:val="24"/>
        </w:rPr>
        <w:t xml:space="preserve">.  </w:t>
      </w:r>
    </w:p>
    <w:p w:rsidR="00EE0A6C" w:rsidRDefault="00EE0A6C" w:rsidP="00344E3C">
      <w:pPr>
        <w:pStyle w:val="ListParagraph"/>
        <w:ind w:left="1440" w:hanging="720"/>
        <w:rPr>
          <w:rFonts w:ascii="Times New Roman" w:hAnsi="Times New Roman"/>
          <w:sz w:val="24"/>
          <w:szCs w:val="24"/>
        </w:rPr>
      </w:pPr>
    </w:p>
    <w:p w:rsidR="00EE0A6C" w:rsidRDefault="00EE0A6C" w:rsidP="00344E3C">
      <w:pPr>
        <w:pStyle w:val="ListParagraph"/>
        <w:ind w:left="1440"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3E6317">
        <w:rPr>
          <w:rFonts w:ascii="Times New Roman" w:hAnsi="Times New Roman"/>
          <w:sz w:val="24"/>
          <w:szCs w:val="24"/>
        </w:rPr>
        <w:t xml:space="preserve">No formal testing is planned.  </w:t>
      </w:r>
      <w:r w:rsidR="00623942">
        <w:rPr>
          <w:rFonts w:ascii="Times New Roman" w:hAnsi="Times New Roman"/>
          <w:sz w:val="24"/>
          <w:szCs w:val="24"/>
        </w:rPr>
        <w:t xml:space="preserve">The questions have been reviewed by CFPB staff, by two outside consultants, and by researchers at </w:t>
      </w:r>
      <w:r w:rsidR="006D4417">
        <w:rPr>
          <w:rFonts w:ascii="Times New Roman" w:hAnsi="Times New Roman"/>
          <w:sz w:val="24"/>
          <w:szCs w:val="24"/>
        </w:rPr>
        <w:t>Synovate</w:t>
      </w:r>
      <w:r w:rsidR="00623942">
        <w:rPr>
          <w:rFonts w:ascii="Times New Roman" w:hAnsi="Times New Roman"/>
          <w:sz w:val="24"/>
          <w:szCs w:val="24"/>
        </w:rPr>
        <w:t>.  Before commencing the call, Synovate</w:t>
      </w:r>
      <w:r w:rsidR="003E6317">
        <w:rPr>
          <w:rFonts w:ascii="Times New Roman" w:hAnsi="Times New Roman"/>
          <w:sz w:val="24"/>
          <w:szCs w:val="24"/>
        </w:rPr>
        <w:t xml:space="preserve"> will administer the survey instrument to </w:t>
      </w:r>
      <w:r w:rsidR="00623942">
        <w:rPr>
          <w:rFonts w:ascii="Times New Roman" w:hAnsi="Times New Roman"/>
          <w:sz w:val="24"/>
          <w:szCs w:val="24"/>
        </w:rPr>
        <w:t xml:space="preserve">several </w:t>
      </w:r>
      <w:r w:rsidR="003E6317">
        <w:rPr>
          <w:rFonts w:ascii="Times New Roman" w:hAnsi="Times New Roman"/>
          <w:sz w:val="24"/>
          <w:szCs w:val="24"/>
        </w:rPr>
        <w:t xml:space="preserve">employees who are not engaged in the project to </w:t>
      </w:r>
      <w:r w:rsidR="00623942">
        <w:rPr>
          <w:rFonts w:ascii="Times New Roman" w:hAnsi="Times New Roman"/>
          <w:sz w:val="24"/>
          <w:szCs w:val="24"/>
        </w:rPr>
        <w:t xml:space="preserve">test the flow of the survey, evaluate the clarity of the questions, and to </w:t>
      </w:r>
      <w:r w:rsidR="003E6317">
        <w:rPr>
          <w:rFonts w:ascii="Times New Roman" w:hAnsi="Times New Roman"/>
          <w:sz w:val="24"/>
          <w:szCs w:val="24"/>
        </w:rPr>
        <w:t xml:space="preserve">validate that the survey is within the desired length. </w:t>
      </w:r>
    </w:p>
    <w:p w:rsidR="00EE0A6C" w:rsidRDefault="00EE0A6C" w:rsidP="00344E3C">
      <w:pPr>
        <w:pStyle w:val="ListParagraph"/>
        <w:ind w:left="1440" w:hanging="720"/>
        <w:rPr>
          <w:rFonts w:ascii="Times New Roman" w:hAnsi="Times New Roman"/>
          <w:sz w:val="24"/>
          <w:szCs w:val="24"/>
        </w:rPr>
      </w:pPr>
    </w:p>
    <w:p w:rsidR="00486858" w:rsidRDefault="00EE0A6C" w:rsidP="00EE0A6C">
      <w:pPr>
        <w:pStyle w:val="ListParagraph"/>
        <w:ind w:left="144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486858">
        <w:rPr>
          <w:rFonts w:ascii="Times New Roman" w:hAnsi="Times New Roman"/>
          <w:sz w:val="24"/>
          <w:szCs w:val="24"/>
        </w:rPr>
        <w:t xml:space="preserve">The statistical aspects of the design have been developed by </w:t>
      </w:r>
      <w:r w:rsidR="006D4417">
        <w:rPr>
          <w:rFonts w:ascii="Times New Roman" w:hAnsi="Times New Roman"/>
          <w:sz w:val="24"/>
          <w:szCs w:val="24"/>
        </w:rPr>
        <w:t>Synovate</w:t>
      </w:r>
      <w:r w:rsidR="00486858">
        <w:rPr>
          <w:rFonts w:ascii="Times New Roman" w:hAnsi="Times New Roman"/>
          <w:sz w:val="24"/>
          <w:szCs w:val="24"/>
        </w:rPr>
        <w:t>.  The key project staff with respect to statistical design are:</w:t>
      </w:r>
    </w:p>
    <w:p w:rsidR="00486858" w:rsidRDefault="00486858" w:rsidP="00EE0A6C">
      <w:pPr>
        <w:pStyle w:val="ListParagraph"/>
        <w:ind w:left="1440" w:hanging="720"/>
        <w:rPr>
          <w:rFonts w:ascii="Times New Roman" w:hAnsi="Times New Roman"/>
          <w:sz w:val="24"/>
          <w:szCs w:val="24"/>
        </w:rPr>
      </w:pPr>
    </w:p>
    <w:p w:rsidR="00486858" w:rsidRDefault="003E6317" w:rsidP="006D4417">
      <w:pPr>
        <w:pStyle w:val="ListParagraph"/>
        <w:ind w:left="2160"/>
        <w:rPr>
          <w:rFonts w:ascii="Times New Roman" w:hAnsi="Times New Roman"/>
          <w:sz w:val="24"/>
          <w:szCs w:val="24"/>
        </w:rPr>
      </w:pPr>
      <w:r>
        <w:rPr>
          <w:rFonts w:ascii="Times New Roman" w:hAnsi="Times New Roman"/>
          <w:sz w:val="24"/>
          <w:szCs w:val="24"/>
        </w:rPr>
        <w:t>Dr. Alan Roshwalb, Senior Vice President and Senior Statistician</w:t>
      </w:r>
      <w:r w:rsidR="00486858">
        <w:rPr>
          <w:rFonts w:ascii="Times New Roman" w:hAnsi="Times New Roman"/>
          <w:sz w:val="24"/>
          <w:szCs w:val="24"/>
        </w:rPr>
        <w:t>,</w:t>
      </w:r>
      <w:r>
        <w:rPr>
          <w:rFonts w:ascii="Times New Roman" w:hAnsi="Times New Roman"/>
          <w:sz w:val="24"/>
          <w:szCs w:val="24"/>
        </w:rPr>
        <w:t xml:space="preserve"> </w:t>
      </w:r>
      <w:r w:rsidR="006D4417">
        <w:rPr>
          <w:rFonts w:ascii="Times New Roman" w:hAnsi="Times New Roman"/>
          <w:sz w:val="24"/>
          <w:szCs w:val="24"/>
        </w:rPr>
        <w:t>Synovate</w:t>
      </w:r>
      <w:r>
        <w:rPr>
          <w:rFonts w:ascii="Times New Roman" w:hAnsi="Times New Roman"/>
          <w:sz w:val="24"/>
          <w:szCs w:val="24"/>
        </w:rPr>
        <w:t>,</w:t>
      </w:r>
      <w:r w:rsidR="006D4417">
        <w:rPr>
          <w:rFonts w:ascii="Times New Roman" w:hAnsi="Times New Roman"/>
          <w:sz w:val="24"/>
          <w:szCs w:val="24"/>
        </w:rPr>
        <w:t xml:space="preserve"> </w:t>
      </w:r>
      <w:r w:rsidR="00486858" w:rsidRPr="006D4417">
        <w:rPr>
          <w:rFonts w:ascii="Times New Roman" w:hAnsi="Times New Roman"/>
          <w:sz w:val="24"/>
          <w:szCs w:val="24"/>
        </w:rPr>
        <w:t>(703) 663-72</w:t>
      </w:r>
      <w:r w:rsidR="00623942">
        <w:rPr>
          <w:rFonts w:ascii="Times New Roman" w:hAnsi="Times New Roman"/>
          <w:sz w:val="24"/>
          <w:szCs w:val="24"/>
        </w:rPr>
        <w:t>60</w:t>
      </w:r>
    </w:p>
    <w:p w:rsidR="00623942" w:rsidRDefault="00623942" w:rsidP="006D4417">
      <w:pPr>
        <w:pStyle w:val="ListParagraph"/>
        <w:ind w:left="2160"/>
        <w:rPr>
          <w:rFonts w:ascii="Times New Roman" w:hAnsi="Times New Roman"/>
          <w:sz w:val="24"/>
          <w:szCs w:val="24"/>
        </w:rPr>
      </w:pPr>
    </w:p>
    <w:p w:rsidR="00623942" w:rsidRPr="006D4417" w:rsidRDefault="00623942" w:rsidP="00623942">
      <w:pPr>
        <w:pStyle w:val="ListParagraph"/>
        <w:ind w:left="2160"/>
        <w:rPr>
          <w:rFonts w:ascii="Times New Roman" w:hAnsi="Times New Roman"/>
          <w:sz w:val="24"/>
          <w:szCs w:val="24"/>
        </w:rPr>
      </w:pPr>
      <w:r>
        <w:rPr>
          <w:rFonts w:ascii="Times New Roman" w:hAnsi="Times New Roman"/>
          <w:sz w:val="24"/>
          <w:szCs w:val="24"/>
        </w:rPr>
        <w:t xml:space="preserve">Dr. David Lambert, Senior Vice President, Synovate Public Sector Research Group, </w:t>
      </w:r>
      <w:r>
        <w:t>(</w:t>
      </w:r>
      <w:r w:rsidRPr="006D4417">
        <w:rPr>
          <w:rFonts w:ascii="Times New Roman" w:hAnsi="Times New Roman"/>
          <w:sz w:val="24"/>
          <w:szCs w:val="24"/>
        </w:rPr>
        <w:t>610) 897-2059</w:t>
      </w:r>
    </w:p>
    <w:p w:rsidR="00623942" w:rsidRDefault="00623942" w:rsidP="00623942">
      <w:pPr>
        <w:pStyle w:val="ListParagraph"/>
        <w:ind w:left="1440" w:hanging="720"/>
        <w:rPr>
          <w:rFonts w:ascii="Times New Roman" w:hAnsi="Times New Roman"/>
          <w:sz w:val="24"/>
          <w:szCs w:val="24"/>
        </w:rPr>
      </w:pPr>
    </w:p>
    <w:p w:rsidR="00623942" w:rsidRDefault="00623942" w:rsidP="006D4417">
      <w:pPr>
        <w:pStyle w:val="ListParagraph"/>
        <w:ind w:left="2160"/>
        <w:rPr>
          <w:rFonts w:ascii="Times New Roman" w:hAnsi="Times New Roman"/>
          <w:sz w:val="24"/>
          <w:szCs w:val="24"/>
        </w:rPr>
      </w:pPr>
    </w:p>
    <w:p w:rsidR="002E105F" w:rsidRDefault="00DC0342" w:rsidP="002E105F">
      <w:pPr>
        <w:pStyle w:val="NoSpacing"/>
        <w:rPr>
          <w:rFonts w:ascii="Arial" w:hAnsi="Arial" w:cs="Arial"/>
          <w:b/>
          <w:sz w:val="20"/>
          <w:szCs w:val="20"/>
        </w:rPr>
      </w:pPr>
      <w:r>
        <w:rPr>
          <w:rFonts w:ascii="Times New Roman" w:hAnsi="Times New Roman"/>
          <w:sz w:val="24"/>
          <w:szCs w:val="24"/>
        </w:rPr>
        <w:br w:type="page"/>
      </w:r>
    </w:p>
    <w:p w:rsidR="002E105F" w:rsidRDefault="002E105F" w:rsidP="002E105F">
      <w:pPr>
        <w:pStyle w:val="NoSpacing"/>
        <w:jc w:val="center"/>
        <w:rPr>
          <w:rFonts w:ascii="Arial" w:hAnsi="Arial" w:cs="Arial"/>
          <w:b/>
          <w:sz w:val="20"/>
          <w:szCs w:val="20"/>
          <w:u w:val="single"/>
        </w:rPr>
      </w:pPr>
      <w:r>
        <w:rPr>
          <w:rFonts w:ascii="Arial" w:hAnsi="Arial" w:cs="Arial"/>
          <w:b/>
          <w:sz w:val="20"/>
          <w:szCs w:val="20"/>
          <w:u w:val="single"/>
        </w:rPr>
        <w:t>APPENDIX A:</w:t>
      </w:r>
      <w:r>
        <w:rPr>
          <w:rFonts w:ascii="Arial" w:hAnsi="Arial" w:cs="Arial"/>
          <w:b/>
          <w:sz w:val="20"/>
          <w:szCs w:val="20"/>
          <w:u w:val="single"/>
        </w:rPr>
        <w:tab/>
      </w:r>
      <w:r w:rsidRPr="006A07A2">
        <w:rPr>
          <w:rFonts w:ascii="Arial" w:hAnsi="Arial" w:cs="Arial"/>
          <w:b/>
          <w:sz w:val="20"/>
          <w:szCs w:val="20"/>
          <w:u w:val="single"/>
        </w:rPr>
        <w:t>Survey Universe</w:t>
      </w:r>
    </w:p>
    <w:p w:rsidR="002E105F" w:rsidRPr="006A07A2" w:rsidRDefault="002E105F" w:rsidP="002E105F">
      <w:pPr>
        <w:pStyle w:val="NoSpacing"/>
        <w:rPr>
          <w:rFonts w:ascii="Arial" w:hAnsi="Arial" w:cs="Arial"/>
          <w:b/>
          <w:sz w:val="20"/>
          <w:szCs w:val="20"/>
          <w:u w:val="single"/>
        </w:rPr>
      </w:pPr>
    </w:p>
    <w:tbl>
      <w:tblPr>
        <w:tblW w:w="73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0"/>
        <w:gridCol w:w="1329"/>
        <w:gridCol w:w="1280"/>
        <w:gridCol w:w="1217"/>
        <w:gridCol w:w="1329"/>
      </w:tblGrid>
      <w:tr w:rsidR="002E105F" w:rsidRPr="006A07A2" w:rsidTr="00CC41FC">
        <w:trPr>
          <w:trHeight w:val="510"/>
        </w:trPr>
        <w:tc>
          <w:tcPr>
            <w:tcW w:w="2320" w:type="dxa"/>
            <w:shd w:val="clear" w:color="auto" w:fill="auto"/>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US Adults (2010 March CPS)</w:t>
            </w:r>
          </w:p>
        </w:tc>
        <w:tc>
          <w:tcPr>
            <w:tcW w:w="1300" w:type="dxa"/>
            <w:shd w:val="clear" w:color="auto" w:fill="auto"/>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 xml:space="preserve">US Adults </w:t>
            </w:r>
          </w:p>
        </w:tc>
        <w:tc>
          <w:tcPr>
            <w:tcW w:w="1280" w:type="dxa"/>
            <w:shd w:val="clear" w:color="auto" w:fill="auto"/>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 xml:space="preserve">% of Region Cell-only </w:t>
            </w:r>
          </w:p>
        </w:tc>
        <w:tc>
          <w:tcPr>
            <w:tcW w:w="1180" w:type="dxa"/>
            <w:shd w:val="clear" w:color="auto" w:fill="auto"/>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 xml:space="preserve">US Cell-only Adults  </w:t>
            </w:r>
          </w:p>
        </w:tc>
        <w:tc>
          <w:tcPr>
            <w:tcW w:w="1300" w:type="dxa"/>
            <w:shd w:val="clear" w:color="auto" w:fill="auto"/>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 xml:space="preserve">US Landline Adults </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Region 1: Northeast     </w:t>
            </w:r>
          </w:p>
        </w:tc>
        <w:tc>
          <w:tcPr>
            <w:tcW w:w="1300" w:type="dxa"/>
            <w:shd w:val="clear" w:color="auto" w:fill="auto"/>
            <w:noWrap/>
            <w:vAlign w:val="bottom"/>
            <w:hideMark/>
          </w:tcPr>
          <w:p w:rsidR="002E105F" w:rsidRPr="006A07A2" w:rsidRDefault="002E105F" w:rsidP="00CC41FC">
            <w:pPr>
              <w:jc w:val="right"/>
              <w:rPr>
                <w:rFonts w:ascii="Arial" w:eastAsia="Times New Roman" w:hAnsi="Arial" w:cs="Arial"/>
                <w:sz w:val="20"/>
                <w:szCs w:val="20"/>
              </w:rPr>
            </w:pPr>
            <w:r w:rsidRPr="006A07A2">
              <w:rPr>
                <w:rFonts w:ascii="Arial" w:eastAsia="Times New Roman" w:hAnsi="Arial" w:cs="Arial"/>
                <w:sz w:val="20"/>
                <w:szCs w:val="20"/>
              </w:rPr>
              <w:t xml:space="preserve">   41,783,671 </w:t>
            </w:r>
          </w:p>
        </w:tc>
        <w:tc>
          <w:tcPr>
            <w:tcW w:w="1280" w:type="dxa"/>
            <w:shd w:val="clear" w:color="auto" w:fill="auto"/>
            <w:noWrap/>
            <w:vAlign w:val="bottom"/>
            <w:hideMark/>
          </w:tcPr>
          <w:p w:rsidR="002E105F" w:rsidRPr="006A07A2" w:rsidRDefault="002E105F" w:rsidP="00CC41FC">
            <w:pPr>
              <w:jc w:val="right"/>
              <w:rPr>
                <w:rFonts w:ascii="Arial" w:eastAsia="Times New Roman" w:hAnsi="Arial" w:cs="Arial"/>
                <w:sz w:val="20"/>
                <w:szCs w:val="20"/>
              </w:rPr>
            </w:pPr>
            <w:r w:rsidRPr="006A07A2">
              <w:rPr>
                <w:rFonts w:ascii="Arial" w:eastAsia="Times New Roman" w:hAnsi="Arial" w:cs="Arial"/>
                <w:sz w:val="20"/>
                <w:szCs w:val="20"/>
              </w:rPr>
              <w:t>15.8%</w:t>
            </w:r>
          </w:p>
        </w:tc>
        <w:tc>
          <w:tcPr>
            <w:tcW w:w="118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6,599,241 </w:t>
            </w:r>
          </w:p>
        </w:tc>
        <w:tc>
          <w:tcPr>
            <w:tcW w:w="130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35,168,109 </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color w:val="000080"/>
                <w:sz w:val="20"/>
                <w:szCs w:val="20"/>
              </w:rPr>
            </w:pPr>
          </w:p>
        </w:tc>
        <w:tc>
          <w:tcPr>
            <w:tcW w:w="1300" w:type="dxa"/>
            <w:shd w:val="clear" w:color="auto" w:fill="auto"/>
            <w:noWrap/>
            <w:vAlign w:val="bottom"/>
            <w:hideMark/>
          </w:tcPr>
          <w:p w:rsidR="002E105F" w:rsidRPr="006A07A2" w:rsidRDefault="002E105F" w:rsidP="00CC41FC">
            <w:pPr>
              <w:jc w:val="right"/>
              <w:rPr>
                <w:rFonts w:ascii="Arial" w:eastAsia="Times New Roman" w:hAnsi="Arial" w:cs="Arial"/>
                <w:b/>
                <w:bCs/>
                <w:sz w:val="20"/>
                <w:szCs w:val="20"/>
              </w:rPr>
            </w:pPr>
          </w:p>
        </w:tc>
        <w:tc>
          <w:tcPr>
            <w:tcW w:w="1280" w:type="dxa"/>
            <w:shd w:val="clear" w:color="auto" w:fill="auto"/>
            <w:noWrap/>
            <w:vAlign w:val="bottom"/>
            <w:hideMark/>
          </w:tcPr>
          <w:p w:rsidR="002E105F" w:rsidRPr="006A07A2" w:rsidRDefault="002E105F" w:rsidP="00CC41FC">
            <w:pPr>
              <w:rPr>
                <w:rFonts w:ascii="Arial" w:eastAsia="Times New Roman" w:hAnsi="Arial" w:cs="Arial"/>
                <w:sz w:val="20"/>
                <w:szCs w:val="20"/>
              </w:rPr>
            </w:pPr>
          </w:p>
        </w:tc>
        <w:tc>
          <w:tcPr>
            <w:tcW w:w="118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w:t>
            </w:r>
          </w:p>
        </w:tc>
        <w:tc>
          <w:tcPr>
            <w:tcW w:w="130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Region 2: Midwest      </w:t>
            </w:r>
          </w:p>
        </w:tc>
        <w:tc>
          <w:tcPr>
            <w:tcW w:w="1300" w:type="dxa"/>
            <w:shd w:val="clear" w:color="auto" w:fill="auto"/>
            <w:noWrap/>
            <w:vAlign w:val="bottom"/>
            <w:hideMark/>
          </w:tcPr>
          <w:p w:rsidR="002E105F" w:rsidRPr="006A07A2" w:rsidRDefault="002E105F" w:rsidP="00CC41FC">
            <w:pPr>
              <w:jc w:val="right"/>
              <w:rPr>
                <w:rFonts w:ascii="Arial" w:eastAsia="Times New Roman" w:hAnsi="Arial" w:cs="Arial"/>
                <w:sz w:val="20"/>
                <w:szCs w:val="20"/>
              </w:rPr>
            </w:pPr>
            <w:r w:rsidRPr="006A07A2">
              <w:rPr>
                <w:rFonts w:ascii="Arial" w:eastAsia="Times New Roman" w:hAnsi="Arial" w:cs="Arial"/>
                <w:sz w:val="20"/>
                <w:szCs w:val="20"/>
              </w:rPr>
              <w:t xml:space="preserve">   49,546,291 </w:t>
            </w:r>
          </w:p>
        </w:tc>
        <w:tc>
          <w:tcPr>
            <w:tcW w:w="1280" w:type="dxa"/>
            <w:shd w:val="clear" w:color="auto" w:fill="auto"/>
            <w:noWrap/>
            <w:vAlign w:val="bottom"/>
            <w:hideMark/>
          </w:tcPr>
          <w:p w:rsidR="002E105F" w:rsidRPr="006A07A2" w:rsidRDefault="002E105F" w:rsidP="00CC41FC">
            <w:pPr>
              <w:jc w:val="right"/>
              <w:rPr>
                <w:rFonts w:ascii="Arial" w:eastAsia="Times New Roman" w:hAnsi="Arial" w:cs="Arial"/>
                <w:sz w:val="20"/>
                <w:szCs w:val="20"/>
              </w:rPr>
            </w:pPr>
            <w:r w:rsidRPr="006A07A2">
              <w:rPr>
                <w:rFonts w:ascii="Arial" w:eastAsia="Times New Roman" w:hAnsi="Arial" w:cs="Arial"/>
                <w:sz w:val="20"/>
                <w:szCs w:val="20"/>
              </w:rPr>
              <w:t>26.6%</w:t>
            </w:r>
          </w:p>
        </w:tc>
        <w:tc>
          <w:tcPr>
            <w:tcW w:w="118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13,174,026 </w:t>
            </w:r>
          </w:p>
        </w:tc>
        <w:tc>
          <w:tcPr>
            <w:tcW w:w="130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36,352,387 </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color w:val="000080"/>
                <w:sz w:val="20"/>
                <w:szCs w:val="20"/>
              </w:rPr>
            </w:pPr>
          </w:p>
        </w:tc>
        <w:tc>
          <w:tcPr>
            <w:tcW w:w="1300" w:type="dxa"/>
            <w:shd w:val="clear" w:color="auto" w:fill="auto"/>
            <w:noWrap/>
            <w:vAlign w:val="bottom"/>
            <w:hideMark/>
          </w:tcPr>
          <w:p w:rsidR="002E105F" w:rsidRPr="006A07A2" w:rsidRDefault="002E105F" w:rsidP="00CC41FC">
            <w:pPr>
              <w:jc w:val="right"/>
              <w:rPr>
                <w:rFonts w:ascii="Arial" w:eastAsia="Times New Roman" w:hAnsi="Arial" w:cs="Arial"/>
                <w:b/>
                <w:bCs/>
                <w:sz w:val="20"/>
                <w:szCs w:val="20"/>
              </w:rPr>
            </w:pPr>
          </w:p>
        </w:tc>
        <w:tc>
          <w:tcPr>
            <w:tcW w:w="1280" w:type="dxa"/>
            <w:shd w:val="clear" w:color="auto" w:fill="auto"/>
            <w:noWrap/>
            <w:vAlign w:val="bottom"/>
            <w:hideMark/>
          </w:tcPr>
          <w:p w:rsidR="002E105F" w:rsidRPr="006A07A2" w:rsidRDefault="002E105F" w:rsidP="00CC41FC">
            <w:pPr>
              <w:rPr>
                <w:rFonts w:ascii="Arial" w:eastAsia="Times New Roman" w:hAnsi="Arial" w:cs="Arial"/>
                <w:sz w:val="20"/>
                <w:szCs w:val="20"/>
              </w:rPr>
            </w:pPr>
          </w:p>
        </w:tc>
        <w:tc>
          <w:tcPr>
            <w:tcW w:w="118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   </w:t>
            </w:r>
          </w:p>
        </w:tc>
        <w:tc>
          <w:tcPr>
            <w:tcW w:w="130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   </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Region 3: South          </w:t>
            </w:r>
          </w:p>
        </w:tc>
        <w:tc>
          <w:tcPr>
            <w:tcW w:w="1300" w:type="dxa"/>
            <w:shd w:val="clear" w:color="auto" w:fill="auto"/>
            <w:noWrap/>
            <w:vAlign w:val="bottom"/>
            <w:hideMark/>
          </w:tcPr>
          <w:p w:rsidR="002E105F" w:rsidRPr="006A07A2" w:rsidRDefault="002E105F" w:rsidP="00CC41FC">
            <w:pPr>
              <w:jc w:val="right"/>
              <w:rPr>
                <w:rFonts w:ascii="Arial" w:eastAsia="Times New Roman" w:hAnsi="Arial" w:cs="Arial"/>
                <w:sz w:val="20"/>
                <w:szCs w:val="20"/>
              </w:rPr>
            </w:pPr>
            <w:r w:rsidRPr="006A07A2">
              <w:rPr>
                <w:rFonts w:ascii="Arial" w:eastAsia="Times New Roman" w:hAnsi="Arial" w:cs="Arial"/>
                <w:sz w:val="20"/>
                <w:szCs w:val="20"/>
              </w:rPr>
              <w:t xml:space="preserve">   82,914,147 </w:t>
            </w:r>
          </w:p>
        </w:tc>
        <w:tc>
          <w:tcPr>
            <w:tcW w:w="1280" w:type="dxa"/>
            <w:shd w:val="clear" w:color="auto" w:fill="auto"/>
            <w:noWrap/>
            <w:vAlign w:val="bottom"/>
            <w:hideMark/>
          </w:tcPr>
          <w:p w:rsidR="002E105F" w:rsidRPr="006A07A2" w:rsidRDefault="002E105F" w:rsidP="00CC41FC">
            <w:pPr>
              <w:jc w:val="right"/>
              <w:rPr>
                <w:rFonts w:ascii="Arial" w:eastAsia="Times New Roman" w:hAnsi="Arial" w:cs="Arial"/>
                <w:sz w:val="20"/>
                <w:szCs w:val="20"/>
              </w:rPr>
            </w:pPr>
            <w:r w:rsidRPr="006A07A2">
              <w:rPr>
                <w:rFonts w:ascii="Arial" w:eastAsia="Times New Roman" w:hAnsi="Arial" w:cs="Arial"/>
                <w:sz w:val="20"/>
                <w:szCs w:val="20"/>
              </w:rPr>
              <w:t>29.3%</w:t>
            </w:r>
          </w:p>
        </w:tc>
        <w:tc>
          <w:tcPr>
            <w:tcW w:w="118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24,309,482 </w:t>
            </w:r>
          </w:p>
        </w:tc>
        <w:tc>
          <w:tcPr>
            <w:tcW w:w="130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58,658,034 </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color w:val="000080"/>
                <w:sz w:val="20"/>
                <w:szCs w:val="20"/>
              </w:rPr>
            </w:pPr>
          </w:p>
        </w:tc>
        <w:tc>
          <w:tcPr>
            <w:tcW w:w="1300" w:type="dxa"/>
            <w:shd w:val="clear" w:color="auto" w:fill="auto"/>
            <w:noWrap/>
            <w:vAlign w:val="bottom"/>
            <w:hideMark/>
          </w:tcPr>
          <w:p w:rsidR="002E105F" w:rsidRPr="006A07A2" w:rsidRDefault="002E105F" w:rsidP="00CC41FC">
            <w:pPr>
              <w:jc w:val="right"/>
              <w:rPr>
                <w:rFonts w:ascii="Arial" w:eastAsia="Times New Roman" w:hAnsi="Arial" w:cs="Arial"/>
                <w:b/>
                <w:bCs/>
                <w:sz w:val="20"/>
                <w:szCs w:val="20"/>
              </w:rPr>
            </w:pPr>
          </w:p>
        </w:tc>
        <w:tc>
          <w:tcPr>
            <w:tcW w:w="1280" w:type="dxa"/>
            <w:shd w:val="clear" w:color="auto" w:fill="auto"/>
            <w:noWrap/>
            <w:vAlign w:val="bottom"/>
            <w:hideMark/>
          </w:tcPr>
          <w:p w:rsidR="002E105F" w:rsidRPr="006A07A2" w:rsidRDefault="002E105F" w:rsidP="00CC41FC">
            <w:pPr>
              <w:rPr>
                <w:rFonts w:ascii="Arial" w:eastAsia="Times New Roman" w:hAnsi="Arial" w:cs="Arial"/>
                <w:sz w:val="20"/>
                <w:szCs w:val="20"/>
              </w:rPr>
            </w:pPr>
          </w:p>
        </w:tc>
        <w:tc>
          <w:tcPr>
            <w:tcW w:w="118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   </w:t>
            </w:r>
          </w:p>
        </w:tc>
        <w:tc>
          <w:tcPr>
            <w:tcW w:w="130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   </w:t>
            </w:r>
          </w:p>
        </w:tc>
      </w:tr>
      <w:tr w:rsidR="002E105F" w:rsidRPr="006A07A2" w:rsidTr="00CC41FC">
        <w:trPr>
          <w:trHeight w:val="300"/>
        </w:trPr>
        <w:tc>
          <w:tcPr>
            <w:tcW w:w="2320" w:type="dxa"/>
            <w:shd w:val="clear" w:color="auto" w:fill="auto"/>
            <w:noWrap/>
            <w:vAlign w:val="bottom"/>
            <w:hideMark/>
          </w:tcPr>
          <w:p w:rsidR="002E105F" w:rsidRPr="006A07A2" w:rsidRDefault="002E105F" w:rsidP="00CC41FC">
            <w:pPr>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Region 4: West         </w:t>
            </w:r>
          </w:p>
        </w:tc>
        <w:tc>
          <w:tcPr>
            <w:tcW w:w="1300" w:type="dxa"/>
            <w:shd w:val="clear" w:color="auto" w:fill="auto"/>
            <w:noWrap/>
            <w:vAlign w:val="bottom"/>
            <w:hideMark/>
          </w:tcPr>
          <w:p w:rsidR="002E105F" w:rsidRPr="006A07A2" w:rsidRDefault="002E105F" w:rsidP="00CC41FC">
            <w:pPr>
              <w:jc w:val="right"/>
              <w:rPr>
                <w:rFonts w:ascii="Arial" w:eastAsia="Times New Roman" w:hAnsi="Arial" w:cs="Arial"/>
                <w:sz w:val="20"/>
                <w:szCs w:val="20"/>
                <w:u w:val="single"/>
              </w:rPr>
            </w:pPr>
            <w:r w:rsidRPr="006A07A2">
              <w:rPr>
                <w:rFonts w:ascii="Arial" w:eastAsia="Times New Roman" w:hAnsi="Arial" w:cs="Arial"/>
                <w:sz w:val="20"/>
                <w:szCs w:val="20"/>
                <w:u w:val="single"/>
              </w:rPr>
              <w:t xml:space="preserve">   52,629,057 </w:t>
            </w:r>
          </w:p>
        </w:tc>
        <w:tc>
          <w:tcPr>
            <w:tcW w:w="1280" w:type="dxa"/>
            <w:shd w:val="clear" w:color="auto" w:fill="auto"/>
            <w:noWrap/>
            <w:vAlign w:val="bottom"/>
            <w:hideMark/>
          </w:tcPr>
          <w:p w:rsidR="002E105F" w:rsidRPr="006A07A2" w:rsidRDefault="002E105F" w:rsidP="00CC41FC">
            <w:pPr>
              <w:jc w:val="right"/>
              <w:rPr>
                <w:rFonts w:ascii="Arial" w:eastAsia="Times New Roman" w:hAnsi="Arial" w:cs="Arial"/>
                <w:sz w:val="20"/>
                <w:szCs w:val="20"/>
                <w:u w:val="single"/>
              </w:rPr>
            </w:pPr>
            <w:r w:rsidRPr="006A07A2">
              <w:rPr>
                <w:rFonts w:ascii="Arial" w:eastAsia="Times New Roman" w:hAnsi="Arial" w:cs="Arial"/>
                <w:sz w:val="20"/>
                <w:szCs w:val="20"/>
                <w:u w:val="single"/>
              </w:rPr>
              <w:t>23.5%</w:t>
            </w:r>
          </w:p>
        </w:tc>
        <w:tc>
          <w:tcPr>
            <w:tcW w:w="1180" w:type="dxa"/>
            <w:shd w:val="clear" w:color="auto" w:fill="auto"/>
            <w:noWrap/>
            <w:vAlign w:val="bottom"/>
            <w:hideMark/>
          </w:tcPr>
          <w:p w:rsidR="002E105F" w:rsidRPr="006A07A2" w:rsidRDefault="002E105F" w:rsidP="00CC41FC">
            <w:pPr>
              <w:rPr>
                <w:rFonts w:ascii="Arial" w:eastAsia="Times New Roman" w:hAnsi="Arial" w:cs="Arial"/>
                <w:sz w:val="20"/>
                <w:szCs w:val="20"/>
                <w:u w:val="single"/>
              </w:rPr>
            </w:pPr>
            <w:r w:rsidRPr="006A07A2">
              <w:rPr>
                <w:rFonts w:ascii="Arial" w:eastAsia="Times New Roman" w:hAnsi="Arial" w:cs="Arial"/>
                <w:sz w:val="20"/>
                <w:szCs w:val="20"/>
                <w:u w:val="single"/>
              </w:rPr>
              <w:t xml:space="preserve"> 12,363,793 </w:t>
            </w:r>
          </w:p>
        </w:tc>
        <w:tc>
          <w:tcPr>
            <w:tcW w:w="1300" w:type="dxa"/>
            <w:shd w:val="clear" w:color="auto" w:fill="auto"/>
            <w:noWrap/>
            <w:vAlign w:val="bottom"/>
            <w:hideMark/>
          </w:tcPr>
          <w:p w:rsidR="002E105F" w:rsidRPr="006A07A2" w:rsidRDefault="002E105F" w:rsidP="00CC41FC">
            <w:pPr>
              <w:rPr>
                <w:rFonts w:ascii="Arial" w:eastAsia="Times New Roman" w:hAnsi="Arial" w:cs="Arial"/>
                <w:sz w:val="20"/>
                <w:szCs w:val="20"/>
                <w:u w:val="single"/>
              </w:rPr>
            </w:pPr>
            <w:r w:rsidRPr="006A07A2">
              <w:rPr>
                <w:rFonts w:ascii="Arial" w:eastAsia="Times New Roman" w:hAnsi="Arial" w:cs="Arial"/>
                <w:sz w:val="20"/>
                <w:szCs w:val="20"/>
                <w:u w:val="single"/>
              </w:rPr>
              <w:t xml:space="preserve">   40,248,094 </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jc w:val="right"/>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TOTAL                   </w:t>
            </w:r>
          </w:p>
        </w:tc>
        <w:tc>
          <w:tcPr>
            <w:tcW w:w="1300" w:type="dxa"/>
            <w:shd w:val="clear" w:color="auto" w:fill="auto"/>
            <w:noWrap/>
            <w:vAlign w:val="bottom"/>
            <w:hideMark/>
          </w:tcPr>
          <w:p w:rsidR="002E105F" w:rsidRPr="006A07A2" w:rsidRDefault="002E105F" w:rsidP="00CC41FC">
            <w:pPr>
              <w:jc w:val="right"/>
              <w:rPr>
                <w:rFonts w:ascii="Arial" w:eastAsia="Times New Roman" w:hAnsi="Arial" w:cs="Arial"/>
                <w:b/>
                <w:bCs/>
                <w:sz w:val="20"/>
                <w:szCs w:val="20"/>
              </w:rPr>
            </w:pPr>
            <w:r w:rsidRPr="006A07A2">
              <w:rPr>
                <w:rFonts w:ascii="Arial" w:eastAsia="Times New Roman" w:hAnsi="Arial" w:cs="Arial"/>
                <w:b/>
                <w:bCs/>
                <w:sz w:val="20"/>
                <w:szCs w:val="20"/>
              </w:rPr>
              <w:t xml:space="preserve"> 226,873,166 </w:t>
            </w:r>
          </w:p>
        </w:tc>
        <w:tc>
          <w:tcPr>
            <w:tcW w:w="1280" w:type="dxa"/>
            <w:shd w:val="clear" w:color="auto" w:fill="auto"/>
            <w:noWrap/>
            <w:vAlign w:val="bottom"/>
            <w:hideMark/>
          </w:tcPr>
          <w:p w:rsidR="002E105F" w:rsidRPr="006A07A2" w:rsidRDefault="002E105F" w:rsidP="00CC41FC">
            <w:pPr>
              <w:rPr>
                <w:rFonts w:ascii="Arial" w:eastAsia="Times New Roman" w:hAnsi="Arial" w:cs="Arial"/>
                <w:sz w:val="20"/>
                <w:szCs w:val="20"/>
              </w:rPr>
            </w:pPr>
            <w:r w:rsidRPr="006A07A2">
              <w:rPr>
                <w:rFonts w:ascii="Arial" w:eastAsia="Times New Roman" w:hAnsi="Arial" w:cs="Arial"/>
                <w:sz w:val="20"/>
                <w:szCs w:val="20"/>
              </w:rPr>
              <w:t xml:space="preserve"> </w:t>
            </w:r>
          </w:p>
        </w:tc>
        <w:tc>
          <w:tcPr>
            <w:tcW w:w="1180" w:type="dxa"/>
            <w:shd w:val="clear" w:color="auto" w:fill="auto"/>
            <w:noWrap/>
            <w:vAlign w:val="bottom"/>
            <w:hideMark/>
          </w:tcPr>
          <w:p w:rsidR="002E105F" w:rsidRPr="006A07A2" w:rsidRDefault="002E105F" w:rsidP="00CC41FC">
            <w:pPr>
              <w:rPr>
                <w:rFonts w:ascii="Arial" w:eastAsia="Times New Roman" w:hAnsi="Arial" w:cs="Arial"/>
                <w:b/>
                <w:bCs/>
                <w:sz w:val="20"/>
                <w:szCs w:val="20"/>
              </w:rPr>
            </w:pPr>
            <w:r w:rsidRPr="006A07A2">
              <w:rPr>
                <w:rFonts w:ascii="Arial" w:eastAsia="Times New Roman" w:hAnsi="Arial" w:cs="Arial"/>
                <w:b/>
                <w:bCs/>
                <w:sz w:val="20"/>
                <w:szCs w:val="20"/>
              </w:rPr>
              <w:t xml:space="preserve"> 56,446,543 </w:t>
            </w:r>
          </w:p>
        </w:tc>
        <w:tc>
          <w:tcPr>
            <w:tcW w:w="1300" w:type="dxa"/>
            <w:shd w:val="clear" w:color="auto" w:fill="auto"/>
            <w:noWrap/>
            <w:vAlign w:val="bottom"/>
            <w:hideMark/>
          </w:tcPr>
          <w:p w:rsidR="002E105F" w:rsidRPr="006A07A2" w:rsidRDefault="002E105F" w:rsidP="00CC41FC">
            <w:pPr>
              <w:rPr>
                <w:rFonts w:ascii="Arial" w:eastAsia="Times New Roman" w:hAnsi="Arial" w:cs="Arial"/>
                <w:b/>
                <w:bCs/>
                <w:sz w:val="20"/>
                <w:szCs w:val="20"/>
              </w:rPr>
            </w:pPr>
            <w:r w:rsidRPr="006A07A2">
              <w:rPr>
                <w:rFonts w:ascii="Arial" w:eastAsia="Times New Roman" w:hAnsi="Arial" w:cs="Arial"/>
                <w:b/>
                <w:bCs/>
                <w:sz w:val="20"/>
                <w:szCs w:val="20"/>
              </w:rPr>
              <w:t xml:space="preserve"> 170,426,623 </w:t>
            </w:r>
          </w:p>
        </w:tc>
      </w:tr>
    </w:tbl>
    <w:p w:rsidR="002E105F" w:rsidRDefault="002E105F" w:rsidP="002E105F">
      <w:pPr>
        <w:pStyle w:val="NoSpacing"/>
        <w:rPr>
          <w:rFonts w:ascii="Arial" w:hAnsi="Arial" w:cs="Arial"/>
          <w:b/>
          <w:sz w:val="20"/>
          <w:szCs w:val="20"/>
        </w:rPr>
      </w:pPr>
    </w:p>
    <w:p w:rsidR="002E105F" w:rsidRDefault="002E105F" w:rsidP="002E105F">
      <w:pPr>
        <w:pStyle w:val="NoSpacing"/>
        <w:rPr>
          <w:rFonts w:ascii="Arial" w:hAnsi="Arial" w:cs="Arial"/>
          <w:b/>
          <w:sz w:val="20"/>
          <w:szCs w:val="20"/>
        </w:rPr>
      </w:pPr>
      <w:r>
        <w:rPr>
          <w:rFonts w:ascii="Arial" w:hAnsi="Arial" w:cs="Arial"/>
          <w:b/>
          <w:sz w:val="20"/>
          <w:szCs w:val="20"/>
        </w:rPr>
        <w:t>Synovate Sample Targets</w:t>
      </w:r>
    </w:p>
    <w:tbl>
      <w:tblPr>
        <w:tblW w:w="6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0"/>
        <w:gridCol w:w="1300"/>
        <w:gridCol w:w="1280"/>
        <w:gridCol w:w="1180"/>
      </w:tblGrid>
      <w:tr w:rsidR="002E105F" w:rsidRPr="006A07A2" w:rsidTr="00CC41FC">
        <w:trPr>
          <w:trHeight w:val="1020"/>
        </w:trPr>
        <w:tc>
          <w:tcPr>
            <w:tcW w:w="2320" w:type="dxa"/>
            <w:shd w:val="clear" w:color="auto" w:fill="auto"/>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Sample Screens for Cell and Landline by Region (Cell-only at 2/3 proportion)</w:t>
            </w:r>
          </w:p>
        </w:tc>
        <w:tc>
          <w:tcPr>
            <w:tcW w:w="1300" w:type="dxa"/>
            <w:shd w:val="clear" w:color="auto" w:fill="auto"/>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US Cell-Only Adults</w:t>
            </w:r>
          </w:p>
        </w:tc>
        <w:tc>
          <w:tcPr>
            <w:tcW w:w="1280" w:type="dxa"/>
            <w:shd w:val="clear" w:color="auto" w:fill="auto"/>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US Landline Adults</w:t>
            </w: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Totals</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sz w:val="20"/>
                <w:szCs w:val="20"/>
              </w:rPr>
            </w:pPr>
          </w:p>
        </w:tc>
        <w:tc>
          <w:tcPr>
            <w:tcW w:w="130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c>
          <w:tcPr>
            <w:tcW w:w="12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Region 1: Northeast     </w:t>
            </w:r>
          </w:p>
        </w:tc>
        <w:tc>
          <w:tcPr>
            <w:tcW w:w="130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22</w:t>
            </w:r>
          </w:p>
        </w:tc>
        <w:tc>
          <w:tcPr>
            <w:tcW w:w="12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188</w:t>
            </w: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210</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color w:val="000080"/>
                <w:sz w:val="20"/>
                <w:szCs w:val="20"/>
              </w:rPr>
            </w:pPr>
          </w:p>
        </w:tc>
        <w:tc>
          <w:tcPr>
            <w:tcW w:w="130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c>
          <w:tcPr>
            <w:tcW w:w="12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Region 2: Midwest      </w:t>
            </w:r>
          </w:p>
        </w:tc>
        <w:tc>
          <w:tcPr>
            <w:tcW w:w="130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45</w:t>
            </w:r>
          </w:p>
        </w:tc>
        <w:tc>
          <w:tcPr>
            <w:tcW w:w="12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205</w:t>
            </w: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250</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color w:val="000080"/>
                <w:sz w:val="20"/>
                <w:szCs w:val="20"/>
              </w:rPr>
            </w:pPr>
          </w:p>
        </w:tc>
        <w:tc>
          <w:tcPr>
            <w:tcW w:w="130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c>
          <w:tcPr>
            <w:tcW w:w="12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Region 3: South          </w:t>
            </w:r>
          </w:p>
        </w:tc>
        <w:tc>
          <w:tcPr>
            <w:tcW w:w="130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82</w:t>
            </w:r>
          </w:p>
        </w:tc>
        <w:tc>
          <w:tcPr>
            <w:tcW w:w="12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336</w:t>
            </w: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418</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color w:val="000080"/>
                <w:sz w:val="20"/>
                <w:szCs w:val="20"/>
              </w:rPr>
            </w:pPr>
          </w:p>
        </w:tc>
        <w:tc>
          <w:tcPr>
            <w:tcW w:w="130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c>
          <w:tcPr>
            <w:tcW w:w="12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Region 4: West         </w:t>
            </w:r>
          </w:p>
        </w:tc>
        <w:tc>
          <w:tcPr>
            <w:tcW w:w="1300" w:type="dxa"/>
            <w:shd w:val="clear" w:color="auto" w:fill="auto"/>
            <w:noWrap/>
            <w:vAlign w:val="bottom"/>
            <w:hideMark/>
          </w:tcPr>
          <w:p w:rsidR="002E105F" w:rsidRPr="006A07A2" w:rsidRDefault="002E105F" w:rsidP="00CC41FC">
            <w:pPr>
              <w:jc w:val="center"/>
              <w:rPr>
                <w:rFonts w:ascii="Arial" w:eastAsia="Times New Roman" w:hAnsi="Arial" w:cs="Arial"/>
                <w:sz w:val="20"/>
                <w:szCs w:val="20"/>
                <w:u w:val="single"/>
              </w:rPr>
            </w:pPr>
            <w:r w:rsidRPr="006A07A2">
              <w:rPr>
                <w:rFonts w:ascii="Arial" w:eastAsia="Times New Roman" w:hAnsi="Arial" w:cs="Arial"/>
                <w:sz w:val="20"/>
                <w:szCs w:val="20"/>
                <w:u w:val="single"/>
              </w:rPr>
              <w:t>42</w:t>
            </w:r>
          </w:p>
        </w:tc>
        <w:tc>
          <w:tcPr>
            <w:tcW w:w="1280" w:type="dxa"/>
            <w:shd w:val="clear" w:color="auto" w:fill="auto"/>
            <w:noWrap/>
            <w:vAlign w:val="bottom"/>
            <w:hideMark/>
          </w:tcPr>
          <w:p w:rsidR="002E105F" w:rsidRPr="006A07A2" w:rsidRDefault="002E105F" w:rsidP="00CC41FC">
            <w:pPr>
              <w:jc w:val="center"/>
              <w:rPr>
                <w:rFonts w:ascii="Arial" w:eastAsia="Times New Roman" w:hAnsi="Arial" w:cs="Arial"/>
                <w:sz w:val="20"/>
                <w:szCs w:val="20"/>
                <w:u w:val="single"/>
              </w:rPr>
            </w:pPr>
            <w:r w:rsidRPr="006A07A2">
              <w:rPr>
                <w:rFonts w:ascii="Arial" w:eastAsia="Times New Roman" w:hAnsi="Arial" w:cs="Arial"/>
                <w:sz w:val="20"/>
                <w:szCs w:val="20"/>
                <w:u w:val="single"/>
              </w:rPr>
              <w:t>223</w:t>
            </w: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sz w:val="20"/>
                <w:szCs w:val="20"/>
                <w:u w:val="single"/>
              </w:rPr>
            </w:pPr>
            <w:r w:rsidRPr="006A07A2">
              <w:rPr>
                <w:rFonts w:ascii="Arial" w:eastAsia="Times New Roman" w:hAnsi="Arial" w:cs="Arial"/>
                <w:sz w:val="20"/>
                <w:szCs w:val="20"/>
                <w:u w:val="single"/>
              </w:rPr>
              <w:t>265</w:t>
            </w:r>
          </w:p>
        </w:tc>
      </w:tr>
      <w:tr w:rsidR="002E105F" w:rsidRPr="006A07A2" w:rsidTr="00CC41FC">
        <w:trPr>
          <w:trHeight w:val="255"/>
        </w:trPr>
        <w:tc>
          <w:tcPr>
            <w:tcW w:w="2320" w:type="dxa"/>
            <w:shd w:val="clear" w:color="auto" w:fill="auto"/>
            <w:noWrap/>
            <w:vAlign w:val="bottom"/>
            <w:hideMark/>
          </w:tcPr>
          <w:p w:rsidR="002E105F" w:rsidRPr="006A07A2" w:rsidRDefault="002E105F" w:rsidP="00CC41FC">
            <w:pPr>
              <w:jc w:val="right"/>
              <w:rPr>
                <w:rFonts w:ascii="Arial" w:eastAsia="Times New Roman" w:hAnsi="Arial" w:cs="Arial"/>
                <w:b/>
                <w:bCs/>
                <w:color w:val="000080"/>
                <w:sz w:val="20"/>
                <w:szCs w:val="20"/>
              </w:rPr>
            </w:pPr>
            <w:r w:rsidRPr="006A07A2">
              <w:rPr>
                <w:rFonts w:ascii="Arial" w:eastAsia="Times New Roman" w:hAnsi="Arial" w:cs="Arial"/>
                <w:b/>
                <w:bCs/>
                <w:color w:val="000080"/>
                <w:sz w:val="20"/>
                <w:szCs w:val="20"/>
              </w:rPr>
              <w:t xml:space="preserve">TOTAL                   </w:t>
            </w:r>
          </w:p>
        </w:tc>
        <w:tc>
          <w:tcPr>
            <w:tcW w:w="1300" w:type="dxa"/>
            <w:shd w:val="clear" w:color="000000" w:fill="FFFFFF"/>
            <w:noWrap/>
            <w:vAlign w:val="bottom"/>
            <w:hideMark/>
          </w:tcPr>
          <w:p w:rsidR="002E105F" w:rsidRPr="006A07A2" w:rsidRDefault="002E105F" w:rsidP="00CC41FC">
            <w:pPr>
              <w:jc w:val="center"/>
              <w:rPr>
                <w:rFonts w:ascii="Arial" w:eastAsia="Times New Roman" w:hAnsi="Arial" w:cs="Arial"/>
                <w:b/>
                <w:bCs/>
                <w:sz w:val="20"/>
                <w:szCs w:val="20"/>
              </w:rPr>
            </w:pPr>
            <w:r w:rsidRPr="006A07A2">
              <w:rPr>
                <w:rFonts w:ascii="Arial" w:eastAsia="Times New Roman" w:hAnsi="Arial" w:cs="Arial"/>
                <w:b/>
                <w:bCs/>
                <w:sz w:val="20"/>
                <w:szCs w:val="20"/>
              </w:rPr>
              <w:t>191</w:t>
            </w:r>
          </w:p>
        </w:tc>
        <w:tc>
          <w:tcPr>
            <w:tcW w:w="12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952</w:t>
            </w:r>
          </w:p>
        </w:tc>
        <w:tc>
          <w:tcPr>
            <w:tcW w:w="1180" w:type="dxa"/>
            <w:shd w:val="clear" w:color="auto" w:fill="auto"/>
            <w:noWrap/>
            <w:vAlign w:val="bottom"/>
            <w:hideMark/>
          </w:tcPr>
          <w:p w:rsidR="002E105F" w:rsidRPr="006A07A2" w:rsidRDefault="002E105F" w:rsidP="00CC41FC">
            <w:pPr>
              <w:jc w:val="center"/>
              <w:rPr>
                <w:rFonts w:ascii="Arial" w:eastAsia="Times New Roman" w:hAnsi="Arial" w:cs="Arial"/>
                <w:sz w:val="20"/>
                <w:szCs w:val="20"/>
              </w:rPr>
            </w:pPr>
            <w:r w:rsidRPr="006A07A2">
              <w:rPr>
                <w:rFonts w:ascii="Arial" w:eastAsia="Times New Roman" w:hAnsi="Arial" w:cs="Arial"/>
                <w:sz w:val="20"/>
                <w:szCs w:val="20"/>
              </w:rPr>
              <w:t>1143</w:t>
            </w:r>
          </w:p>
        </w:tc>
      </w:tr>
    </w:tbl>
    <w:p w:rsidR="002E105F" w:rsidRPr="00CE7316" w:rsidRDefault="002E105F" w:rsidP="002E105F">
      <w:pPr>
        <w:pStyle w:val="NoSpacing"/>
        <w:rPr>
          <w:rFonts w:ascii="Arial" w:hAnsi="Arial" w:cs="Arial"/>
          <w:b/>
          <w:sz w:val="28"/>
          <w:szCs w:val="28"/>
        </w:rPr>
      </w:pPr>
    </w:p>
    <w:p w:rsidR="002E105F" w:rsidRDefault="002E105F">
      <w:pPr>
        <w:rPr>
          <w:rFonts w:ascii="Arial" w:hAnsi="Arial" w:cs="Arial"/>
          <w:b/>
          <w:sz w:val="28"/>
          <w:szCs w:val="28"/>
        </w:rPr>
      </w:pPr>
      <w:r>
        <w:rPr>
          <w:rFonts w:ascii="Arial" w:hAnsi="Arial" w:cs="Arial"/>
          <w:b/>
          <w:sz w:val="28"/>
          <w:szCs w:val="28"/>
        </w:rPr>
        <w:br w:type="page"/>
      </w:r>
    </w:p>
    <w:p w:rsidR="002E105F" w:rsidRPr="00CE7316" w:rsidRDefault="002E105F" w:rsidP="002E105F">
      <w:pPr>
        <w:jc w:val="center"/>
        <w:rPr>
          <w:rFonts w:ascii="Arial" w:hAnsi="Arial" w:cs="Arial"/>
          <w:b/>
          <w:sz w:val="28"/>
          <w:szCs w:val="28"/>
        </w:rPr>
      </w:pPr>
      <w:r>
        <w:rPr>
          <w:rFonts w:ascii="Arial" w:hAnsi="Arial" w:cs="Arial"/>
          <w:b/>
          <w:sz w:val="28"/>
          <w:szCs w:val="28"/>
        </w:rPr>
        <w:t>APPENDIX B:</w:t>
      </w:r>
      <w:r>
        <w:rPr>
          <w:rFonts w:ascii="Arial" w:hAnsi="Arial" w:cs="Arial"/>
          <w:b/>
          <w:sz w:val="28"/>
          <w:szCs w:val="28"/>
        </w:rPr>
        <w:tab/>
      </w:r>
      <w:r w:rsidRPr="00CE7316">
        <w:rPr>
          <w:rFonts w:ascii="Arial" w:hAnsi="Arial" w:cs="Arial"/>
          <w:b/>
          <w:sz w:val="28"/>
          <w:szCs w:val="28"/>
        </w:rPr>
        <w:t>Weighting in the Consumer Poll</w:t>
      </w:r>
    </w:p>
    <w:p w:rsidR="002E105F" w:rsidRPr="00D8111A" w:rsidRDefault="002E105F" w:rsidP="002E105F">
      <w:pPr>
        <w:pStyle w:val="NormalWeb"/>
        <w:spacing w:line="360" w:lineRule="atLeast"/>
        <w:rPr>
          <w:rFonts w:ascii="Arial" w:hAnsi="Arial" w:cs="Arial"/>
          <w:sz w:val="22"/>
          <w:szCs w:val="22"/>
        </w:rPr>
      </w:pPr>
      <w:r w:rsidRPr="00D8111A">
        <w:rPr>
          <w:rFonts w:ascii="Arial" w:hAnsi="Arial" w:cs="Arial"/>
          <w:sz w:val="22"/>
          <w:szCs w:val="22"/>
        </w:rPr>
        <w:t>Summary:</w:t>
      </w:r>
    </w:p>
    <w:p w:rsidR="002E105F" w:rsidRPr="00D8111A" w:rsidRDefault="002E105F" w:rsidP="002E105F">
      <w:pPr>
        <w:pStyle w:val="NormalWeb"/>
        <w:spacing w:before="0" w:beforeAutospacing="0" w:after="0" w:afterAutospacing="0"/>
        <w:rPr>
          <w:rFonts w:ascii="Arial" w:hAnsi="Arial" w:cs="Arial"/>
          <w:sz w:val="22"/>
          <w:szCs w:val="22"/>
        </w:rPr>
      </w:pPr>
      <w:r w:rsidRPr="00D8111A">
        <w:rPr>
          <w:rFonts w:ascii="Arial" w:hAnsi="Arial" w:cs="Arial"/>
          <w:sz w:val="22"/>
          <w:szCs w:val="22"/>
        </w:rPr>
        <w:t xml:space="preserve">The survey protocol requires multiple attempts to reach every phone number in the survey, calling back unanswered numbers on different days at different times of both day and evening across the field period from Thursday through Monday. Respondents are selected in the landline sample using a youngest male rule.  Although the respondent selection rule within landline households is a departure from a probabilistic selection process, weights are constructed to account for </w:t>
      </w:r>
      <w:r>
        <w:rPr>
          <w:rFonts w:ascii="Arial" w:hAnsi="Arial" w:cs="Arial"/>
          <w:sz w:val="22"/>
          <w:szCs w:val="22"/>
        </w:rPr>
        <w:t xml:space="preserve">contacting the household using </w:t>
      </w:r>
      <w:r w:rsidRPr="00D8111A">
        <w:rPr>
          <w:rFonts w:ascii="Arial" w:hAnsi="Arial" w:cs="Arial"/>
          <w:sz w:val="22"/>
          <w:szCs w:val="22"/>
        </w:rPr>
        <w:t>the number of telephone lines into the residence.  Cell</w:t>
      </w:r>
      <w:r>
        <w:rPr>
          <w:rFonts w:ascii="Arial" w:hAnsi="Arial" w:cs="Arial"/>
          <w:sz w:val="22"/>
          <w:szCs w:val="22"/>
        </w:rPr>
        <w:t xml:space="preserve"> phone-only </w:t>
      </w:r>
      <w:r w:rsidRPr="00D8111A">
        <w:rPr>
          <w:rFonts w:ascii="Arial" w:hAnsi="Arial" w:cs="Arial"/>
          <w:sz w:val="22"/>
          <w:szCs w:val="22"/>
        </w:rPr>
        <w:t>household respondents are weighted according to the number of adults in a region reachable only by cell</w:t>
      </w:r>
      <w:r>
        <w:rPr>
          <w:rFonts w:ascii="Arial" w:hAnsi="Arial" w:cs="Arial"/>
          <w:sz w:val="22"/>
          <w:szCs w:val="22"/>
        </w:rPr>
        <w:t xml:space="preserve"> </w:t>
      </w:r>
      <w:r w:rsidRPr="00D8111A">
        <w:rPr>
          <w:rFonts w:ascii="Arial" w:hAnsi="Arial" w:cs="Arial"/>
          <w:sz w:val="22"/>
          <w:szCs w:val="22"/>
        </w:rPr>
        <w:t xml:space="preserve">phone.   In addition, the weights are adjusted to account for variation in the sample relating to geographic region, sex, race, age and education. </w:t>
      </w:r>
    </w:p>
    <w:p w:rsidR="002E105F" w:rsidRPr="00D8111A" w:rsidRDefault="002E105F" w:rsidP="002E105F">
      <w:pPr>
        <w:pStyle w:val="NormalWeb"/>
        <w:spacing w:before="0" w:beforeAutospacing="0" w:after="0" w:afterAutospacing="0"/>
        <w:rPr>
          <w:rFonts w:ascii="Arial" w:hAnsi="Arial" w:cs="Arial"/>
          <w:sz w:val="22"/>
          <w:szCs w:val="22"/>
        </w:rPr>
      </w:pPr>
    </w:p>
    <w:p w:rsidR="002E105F" w:rsidRPr="00D8111A" w:rsidRDefault="002E105F" w:rsidP="002E105F">
      <w:pPr>
        <w:rPr>
          <w:rFonts w:ascii="Arial" w:hAnsi="Arial" w:cs="Arial"/>
        </w:rPr>
      </w:pPr>
      <w:r w:rsidRPr="00D8111A">
        <w:rPr>
          <w:rFonts w:ascii="Arial" w:hAnsi="Arial" w:cs="Arial"/>
        </w:rPr>
        <w:t>This note describes the weighting process we will use in the CFPB Consumer Research Poll.  The sample design splits the population into landline only households, dual use households (landline and cell phones) and cell-phone only households.  Estimates are available for the number of people associations with these groups.  For this study, the landline and dual use households will be combined.  The steps associated with constructing weights are:</w:t>
      </w:r>
    </w:p>
    <w:p w:rsidR="002E105F" w:rsidRPr="00D8111A" w:rsidRDefault="002E105F" w:rsidP="002E105F">
      <w:pPr>
        <w:pStyle w:val="ListParagraph"/>
        <w:numPr>
          <w:ilvl w:val="0"/>
          <w:numId w:val="9"/>
        </w:numPr>
        <w:spacing w:after="200" w:line="276" w:lineRule="auto"/>
        <w:contextualSpacing/>
        <w:rPr>
          <w:rFonts w:ascii="Arial" w:hAnsi="Arial" w:cs="Arial"/>
        </w:rPr>
      </w:pPr>
      <w:r w:rsidRPr="00D8111A">
        <w:rPr>
          <w:rFonts w:ascii="Arial" w:hAnsi="Arial" w:cs="Arial"/>
        </w:rPr>
        <w:t>Use all screened completes</w:t>
      </w:r>
    </w:p>
    <w:p w:rsidR="002E105F" w:rsidRDefault="002E105F" w:rsidP="002E105F">
      <w:pPr>
        <w:pStyle w:val="ListParagraph"/>
        <w:ind w:left="1440"/>
        <w:rPr>
          <w:rFonts w:ascii="Arial" w:hAnsi="Arial" w:cs="Arial"/>
        </w:rPr>
      </w:pPr>
      <w:r w:rsidRPr="00D8111A">
        <w:rPr>
          <w:rFonts w:ascii="Arial" w:hAnsi="Arial" w:cs="Arial"/>
        </w:rPr>
        <w:t>Create an initial design weight based on</w:t>
      </w:r>
      <w:r>
        <w:rPr>
          <w:rFonts w:ascii="Arial" w:hAnsi="Arial" w:cs="Arial"/>
        </w:rPr>
        <w:t xml:space="preserve"> </w:t>
      </w:r>
      <w:r w:rsidRPr="00850BB2">
        <w:rPr>
          <w:rFonts w:ascii="Arial" w:hAnsi="Arial" w:cs="Arial"/>
        </w:rPr>
        <w:t xml:space="preserve">Population counts for Landline &amp; Dual Use households and population counts for </w:t>
      </w:r>
      <w:r>
        <w:rPr>
          <w:rFonts w:ascii="Arial" w:hAnsi="Arial" w:cs="Arial"/>
        </w:rPr>
        <w:t>cell only (see next table).</w:t>
      </w:r>
    </w:p>
    <w:p w:rsidR="002E105F" w:rsidRPr="001B4153" w:rsidRDefault="002E105F" w:rsidP="002E105F">
      <w:pPr>
        <w:pStyle w:val="ListParagraph"/>
        <w:numPr>
          <w:ilvl w:val="0"/>
          <w:numId w:val="9"/>
        </w:numPr>
        <w:spacing w:line="276" w:lineRule="auto"/>
        <w:contextualSpacing/>
        <w:rPr>
          <w:rFonts w:ascii="Arial" w:hAnsi="Arial" w:cs="Arial"/>
        </w:rPr>
      </w:pPr>
      <w:r w:rsidRPr="001B4153">
        <w:rPr>
          <w:rFonts w:ascii="Arial" w:hAnsi="Arial" w:cs="Arial"/>
        </w:rPr>
        <w:t>Use raking-ratio, also known as rim weighting or sample balancing to adjust design weights to meet demographic targets for:</w:t>
      </w:r>
    </w:p>
    <w:p w:rsidR="002E105F" w:rsidRPr="001B4153" w:rsidRDefault="002E105F" w:rsidP="002E105F">
      <w:pPr>
        <w:numPr>
          <w:ilvl w:val="0"/>
          <w:numId w:val="8"/>
        </w:numPr>
        <w:rPr>
          <w:rFonts w:ascii="Arial" w:hAnsi="Arial" w:cs="Arial"/>
        </w:rPr>
      </w:pPr>
      <w:r w:rsidRPr="001B4153">
        <w:rPr>
          <w:rFonts w:ascii="Arial" w:hAnsi="Arial" w:cs="Arial"/>
        </w:rPr>
        <w:t xml:space="preserve">Gender, </w:t>
      </w:r>
    </w:p>
    <w:p w:rsidR="002E105F" w:rsidRPr="001B4153" w:rsidRDefault="002E105F" w:rsidP="002E105F">
      <w:pPr>
        <w:numPr>
          <w:ilvl w:val="0"/>
          <w:numId w:val="8"/>
        </w:numPr>
        <w:rPr>
          <w:rFonts w:ascii="Arial" w:hAnsi="Arial" w:cs="Arial"/>
        </w:rPr>
      </w:pPr>
      <w:r w:rsidRPr="001B4153">
        <w:rPr>
          <w:rFonts w:ascii="Arial" w:hAnsi="Arial" w:cs="Arial"/>
        </w:rPr>
        <w:t xml:space="preserve">Educational attainment, </w:t>
      </w:r>
    </w:p>
    <w:p w:rsidR="002E105F" w:rsidRPr="001B4153" w:rsidRDefault="002E105F" w:rsidP="002E105F">
      <w:pPr>
        <w:numPr>
          <w:ilvl w:val="0"/>
          <w:numId w:val="8"/>
        </w:numPr>
        <w:rPr>
          <w:rFonts w:ascii="Arial" w:hAnsi="Arial" w:cs="Arial"/>
        </w:rPr>
      </w:pPr>
      <w:r w:rsidRPr="001B4153">
        <w:rPr>
          <w:rFonts w:ascii="Arial" w:hAnsi="Arial" w:cs="Arial"/>
        </w:rPr>
        <w:t xml:space="preserve">Race/ethnicity, and </w:t>
      </w:r>
    </w:p>
    <w:p w:rsidR="002E105F" w:rsidRPr="001B4153" w:rsidRDefault="002E105F" w:rsidP="002E105F">
      <w:pPr>
        <w:numPr>
          <w:ilvl w:val="0"/>
          <w:numId w:val="8"/>
        </w:numPr>
        <w:rPr>
          <w:rFonts w:ascii="Arial" w:hAnsi="Arial" w:cs="Arial"/>
        </w:rPr>
      </w:pPr>
      <w:r w:rsidRPr="001B4153">
        <w:rPr>
          <w:rFonts w:ascii="Arial" w:hAnsi="Arial" w:cs="Arial"/>
        </w:rPr>
        <w:t>Age.</w:t>
      </w:r>
    </w:p>
    <w:p w:rsidR="002E105F" w:rsidRPr="00D8111A" w:rsidRDefault="002E105F" w:rsidP="002E105F">
      <w:pPr>
        <w:rPr>
          <w:rFonts w:ascii="Arial" w:hAnsi="Arial" w:cs="Arial"/>
          <w:sz w:val="24"/>
          <w:szCs w:val="24"/>
        </w:rPr>
      </w:pPr>
    </w:p>
    <w:p w:rsidR="002E105F" w:rsidRDefault="002E105F" w:rsidP="002E105F">
      <w:pPr>
        <w:jc w:val="center"/>
        <w:rPr>
          <w:rFonts w:ascii="Arial" w:hAnsi="Arial"/>
        </w:rPr>
      </w:pPr>
      <w:r w:rsidRPr="008E0034">
        <w:rPr>
          <w:rFonts w:ascii="Arial" w:hAnsi="Arial"/>
        </w:rPr>
        <w:object w:dxaOrig="7738" w:dyaOrig="2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24.5pt" o:ole="">
            <v:imagedata r:id="rId8" o:title=""/>
          </v:shape>
          <o:OLEObject Type="Embed" ProgID="Excel.Sheet.12" ShapeID="_x0000_i1025" DrawAspect="Content" ObjectID="_1358229159" r:id="rId9"/>
        </w:object>
      </w:r>
    </w:p>
    <w:p w:rsidR="002E105F" w:rsidRPr="001B4153" w:rsidRDefault="002E105F" w:rsidP="002E105F">
      <w:pPr>
        <w:pStyle w:val="BodyText"/>
        <w:jc w:val="left"/>
        <w:rPr>
          <w:rFonts w:ascii="Arial" w:hAnsi="Arial" w:cs="Arial"/>
          <w:snapToGrid/>
          <w:spacing w:val="0"/>
          <w:sz w:val="22"/>
          <w:szCs w:val="22"/>
        </w:rPr>
      </w:pPr>
    </w:p>
    <w:p w:rsidR="002E105F" w:rsidRPr="001B4153" w:rsidRDefault="002E105F" w:rsidP="002E105F">
      <w:pPr>
        <w:pStyle w:val="BodyText"/>
        <w:jc w:val="left"/>
        <w:rPr>
          <w:rFonts w:ascii="Arial" w:hAnsi="Arial" w:cs="Arial"/>
          <w:sz w:val="22"/>
          <w:szCs w:val="22"/>
        </w:rPr>
      </w:pPr>
      <w:r w:rsidRPr="001B4153">
        <w:rPr>
          <w:rFonts w:ascii="Arial" w:hAnsi="Arial" w:cs="Arial"/>
          <w:snapToGrid/>
          <w:spacing w:val="0"/>
          <w:sz w:val="22"/>
          <w:szCs w:val="22"/>
        </w:rPr>
        <w:t xml:space="preserve">These </w:t>
      </w:r>
      <w:r w:rsidRPr="001B4153">
        <w:rPr>
          <w:rFonts w:ascii="Arial" w:hAnsi="Arial" w:cs="Arial"/>
          <w:sz w:val="22"/>
          <w:szCs w:val="22"/>
        </w:rPr>
        <w:t xml:space="preserve">adjustments will allow the final sample weights to account for differential cooperation, response, and contact rates that may occur among the different demographic groups.  </w:t>
      </w:r>
    </w:p>
    <w:p w:rsidR="002E105F" w:rsidRPr="001B4153" w:rsidRDefault="002E105F" w:rsidP="002E105F">
      <w:pPr>
        <w:pStyle w:val="BodyText"/>
        <w:rPr>
          <w:rFonts w:ascii="Arial" w:hAnsi="Arial" w:cs="Arial"/>
          <w:sz w:val="22"/>
          <w:szCs w:val="22"/>
        </w:rPr>
      </w:pPr>
    </w:p>
    <w:p w:rsidR="002E105F" w:rsidRPr="001B4153" w:rsidRDefault="002E105F" w:rsidP="002E105F">
      <w:pPr>
        <w:rPr>
          <w:rFonts w:ascii="Arial" w:hAnsi="Arial" w:cs="Arial"/>
        </w:rPr>
      </w:pPr>
      <w:r w:rsidRPr="001B4153">
        <w:rPr>
          <w:rFonts w:ascii="Arial" w:hAnsi="Arial" w:cs="Arial"/>
        </w:rPr>
        <w:t>Weight Construction:</w:t>
      </w:r>
    </w:p>
    <w:p w:rsidR="002E105F" w:rsidRPr="001B4153" w:rsidRDefault="002E105F" w:rsidP="002E105F">
      <w:pPr>
        <w:rPr>
          <w:rFonts w:ascii="Arial" w:hAnsi="Arial" w:cs="Arial"/>
        </w:rPr>
      </w:pPr>
      <w:r w:rsidRPr="001B4153">
        <w:rPr>
          <w:rFonts w:ascii="Arial" w:hAnsi="Arial" w:cs="Arial"/>
        </w:rPr>
        <w:t>The stratification is reflected in the next table.  There are eight strata across the 4 regions and split by land-line/ Dual Use Area Codes and Exchanges versus the Cell-designated area codes and exchanges.</w:t>
      </w:r>
    </w:p>
    <w:p w:rsidR="002E105F" w:rsidRPr="001B4153" w:rsidRDefault="002E105F" w:rsidP="002E105F">
      <w:pPr>
        <w:rPr>
          <w:rFonts w:ascii="Arial" w:hAnsi="Arial" w:cs="Arial"/>
          <w:sz w:val="24"/>
          <w:szCs w:val="24"/>
        </w:rPr>
      </w:pPr>
    </w:p>
    <w:p w:rsidR="002E105F" w:rsidRPr="001B4153" w:rsidRDefault="002E105F" w:rsidP="002E105F">
      <w:pPr>
        <w:jc w:val="center"/>
        <w:rPr>
          <w:rFonts w:ascii="Arial" w:hAnsi="Arial" w:cs="Arial"/>
          <w:b/>
          <w:sz w:val="24"/>
          <w:szCs w:val="24"/>
        </w:rPr>
      </w:pPr>
      <w:r w:rsidRPr="001B4153">
        <w:rPr>
          <w:rFonts w:ascii="Arial" w:hAnsi="Arial" w:cs="Arial"/>
          <w:b/>
          <w:sz w:val="24"/>
          <w:szCs w:val="24"/>
        </w:rPr>
        <w:t>Table:  Stratification structure for Cell-Only Screened Design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900"/>
        <w:gridCol w:w="900"/>
        <w:gridCol w:w="1170"/>
        <w:gridCol w:w="1170"/>
        <w:gridCol w:w="1080"/>
        <w:gridCol w:w="990"/>
        <w:gridCol w:w="1170"/>
        <w:gridCol w:w="1080"/>
      </w:tblGrid>
      <w:tr w:rsidR="002E105F" w:rsidRPr="001B4153" w:rsidTr="00CC41FC">
        <w:trPr>
          <w:cantSplit/>
          <w:trHeight w:val="565"/>
        </w:trPr>
        <w:tc>
          <w:tcPr>
            <w:tcW w:w="4968" w:type="dxa"/>
            <w:gridSpan w:val="5"/>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 xml:space="preserve">Landline and dual-use Area Codes and Exchanges </w:t>
            </w:r>
          </w:p>
          <w:p w:rsidR="002E105F" w:rsidRPr="001B4153" w:rsidRDefault="002E105F" w:rsidP="00CC41FC">
            <w:pPr>
              <w:jc w:val="center"/>
              <w:rPr>
                <w:rFonts w:ascii="Arial" w:hAnsi="Arial" w:cs="Arial"/>
                <w:sz w:val="16"/>
                <w:szCs w:val="16"/>
              </w:rPr>
            </w:pPr>
            <w:r w:rsidRPr="001B4153">
              <w:rPr>
                <w:rFonts w:ascii="Arial" w:hAnsi="Arial" w:cs="Arial"/>
                <w:sz w:val="16"/>
                <w:szCs w:val="16"/>
              </w:rPr>
              <w:t xml:space="preserve">stratified over </w:t>
            </w:r>
          </w:p>
          <w:p w:rsidR="002E105F" w:rsidRPr="001B4153" w:rsidRDefault="002E105F" w:rsidP="00CC41FC">
            <w:pPr>
              <w:jc w:val="center"/>
              <w:rPr>
                <w:rFonts w:ascii="Arial" w:hAnsi="Arial" w:cs="Arial"/>
                <w:sz w:val="16"/>
                <w:szCs w:val="16"/>
              </w:rPr>
            </w:pPr>
            <w:r w:rsidRPr="001B4153">
              <w:rPr>
                <w:rFonts w:ascii="Arial" w:hAnsi="Arial" w:cs="Arial"/>
                <w:sz w:val="16"/>
                <w:szCs w:val="16"/>
              </w:rPr>
              <w:t>9 Census Divisions</w:t>
            </w:r>
          </w:p>
        </w:tc>
        <w:tc>
          <w:tcPr>
            <w:tcW w:w="4320" w:type="dxa"/>
            <w:gridSpan w:val="4"/>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Cell-designated Area Codes and Exchanges stratified over</w:t>
            </w:r>
          </w:p>
          <w:p w:rsidR="002E105F" w:rsidRPr="001B4153" w:rsidRDefault="002E105F" w:rsidP="00CC41FC">
            <w:pPr>
              <w:jc w:val="center"/>
              <w:rPr>
                <w:rFonts w:ascii="Arial" w:hAnsi="Arial" w:cs="Arial"/>
                <w:sz w:val="16"/>
                <w:szCs w:val="16"/>
              </w:rPr>
            </w:pPr>
            <w:r w:rsidRPr="001B4153">
              <w:rPr>
                <w:rFonts w:ascii="Arial" w:hAnsi="Arial" w:cs="Arial"/>
                <w:sz w:val="16"/>
                <w:szCs w:val="16"/>
              </w:rPr>
              <w:t>4 Census Regions Design</w:t>
            </w:r>
          </w:p>
        </w:tc>
      </w:tr>
      <w:tr w:rsidR="002E105F" w:rsidRPr="001B4153" w:rsidTr="00CC41FC">
        <w:trPr>
          <w:cantSplit/>
          <w:trHeight w:val="370"/>
        </w:trPr>
        <w:tc>
          <w:tcPr>
            <w:tcW w:w="828" w:type="dxa"/>
            <w:vMerge w:val="restart"/>
            <w:vAlign w:val="center"/>
          </w:tcPr>
          <w:p w:rsidR="002E105F" w:rsidRPr="001B4153" w:rsidRDefault="002E105F" w:rsidP="00CC41FC">
            <w:pPr>
              <w:pStyle w:val="BalloonText"/>
              <w:spacing w:after="200"/>
              <w:rPr>
                <w:rFonts w:ascii="Arial" w:hAnsi="Arial" w:cs="Arial"/>
              </w:rPr>
            </w:pPr>
            <w:r w:rsidRPr="001B4153">
              <w:rPr>
                <w:rFonts w:ascii="Arial" w:hAnsi="Arial" w:cs="Arial"/>
              </w:rPr>
              <w:t>Strata</w:t>
            </w:r>
          </w:p>
        </w:tc>
        <w:tc>
          <w:tcPr>
            <w:tcW w:w="900" w:type="dxa"/>
            <w:tcBorders>
              <w:bottom w:val="single" w:sz="4" w:space="0" w:color="auto"/>
            </w:tcBorders>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1</w:t>
            </w:r>
          </w:p>
        </w:tc>
        <w:tc>
          <w:tcPr>
            <w:tcW w:w="900" w:type="dxa"/>
            <w:tcBorders>
              <w:bottom w:val="single" w:sz="4" w:space="0" w:color="auto"/>
            </w:tcBorders>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2</w:t>
            </w:r>
          </w:p>
        </w:tc>
        <w:tc>
          <w:tcPr>
            <w:tcW w:w="1170" w:type="dxa"/>
            <w:tcBorders>
              <w:bottom w:val="single" w:sz="4" w:space="0" w:color="auto"/>
            </w:tcBorders>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3</w:t>
            </w:r>
          </w:p>
        </w:tc>
        <w:tc>
          <w:tcPr>
            <w:tcW w:w="1170" w:type="dxa"/>
            <w:tcBorders>
              <w:bottom w:val="single" w:sz="4" w:space="0" w:color="auto"/>
            </w:tcBorders>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4</w:t>
            </w:r>
          </w:p>
        </w:tc>
        <w:tc>
          <w:tcPr>
            <w:tcW w:w="1080" w:type="dxa"/>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5</w:t>
            </w:r>
          </w:p>
        </w:tc>
        <w:tc>
          <w:tcPr>
            <w:tcW w:w="990" w:type="dxa"/>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6</w:t>
            </w:r>
          </w:p>
        </w:tc>
        <w:tc>
          <w:tcPr>
            <w:tcW w:w="1170" w:type="dxa"/>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7</w:t>
            </w:r>
          </w:p>
        </w:tc>
        <w:tc>
          <w:tcPr>
            <w:tcW w:w="1080" w:type="dxa"/>
            <w:vAlign w:val="bottom"/>
          </w:tcPr>
          <w:p w:rsidR="002E105F" w:rsidRPr="001B4153" w:rsidRDefault="002E105F" w:rsidP="00CC41FC">
            <w:pPr>
              <w:jc w:val="center"/>
              <w:rPr>
                <w:rFonts w:ascii="Arial" w:hAnsi="Arial" w:cs="Arial"/>
                <w:sz w:val="16"/>
                <w:szCs w:val="16"/>
              </w:rPr>
            </w:pPr>
            <w:r w:rsidRPr="001B4153">
              <w:rPr>
                <w:rFonts w:ascii="Arial" w:hAnsi="Arial" w:cs="Arial"/>
                <w:sz w:val="16"/>
                <w:szCs w:val="16"/>
              </w:rPr>
              <w:t>8</w:t>
            </w:r>
          </w:p>
        </w:tc>
      </w:tr>
      <w:tr w:rsidR="002E105F" w:rsidRPr="001B4153" w:rsidTr="00CC41FC">
        <w:trPr>
          <w:cantSplit/>
          <w:trHeight w:val="150"/>
        </w:trPr>
        <w:tc>
          <w:tcPr>
            <w:tcW w:w="828" w:type="dxa"/>
            <w:vMerge/>
          </w:tcPr>
          <w:p w:rsidR="002E105F" w:rsidRPr="001B4153" w:rsidRDefault="002E105F" w:rsidP="00CC41FC">
            <w:pPr>
              <w:rPr>
                <w:rFonts w:ascii="Arial" w:hAnsi="Arial" w:cs="Arial"/>
                <w:sz w:val="16"/>
                <w:szCs w:val="16"/>
              </w:rPr>
            </w:pPr>
          </w:p>
        </w:tc>
        <w:tc>
          <w:tcPr>
            <w:tcW w:w="900" w:type="dxa"/>
            <w:tcBorders>
              <w:bottom w:val="single" w:sz="4" w:space="0" w:color="auto"/>
            </w:tcBorders>
            <w:vAlign w:val="center"/>
          </w:tcPr>
          <w:p w:rsidR="002E105F" w:rsidRPr="001B4153" w:rsidRDefault="002E105F" w:rsidP="00CC41FC">
            <w:pPr>
              <w:jc w:val="center"/>
              <w:rPr>
                <w:rFonts w:ascii="Arial" w:hAnsi="Arial" w:cs="Arial"/>
                <w:sz w:val="16"/>
                <w:szCs w:val="16"/>
              </w:rPr>
            </w:pPr>
            <w:r w:rsidRPr="001B4153">
              <w:rPr>
                <w:rFonts w:ascii="Arial" w:hAnsi="Arial" w:cs="Arial"/>
                <w:sz w:val="16"/>
                <w:szCs w:val="16"/>
              </w:rPr>
              <w:t>Northeast</w:t>
            </w:r>
          </w:p>
        </w:tc>
        <w:tc>
          <w:tcPr>
            <w:tcW w:w="900" w:type="dxa"/>
            <w:tcBorders>
              <w:bottom w:val="single" w:sz="4" w:space="0" w:color="auto"/>
            </w:tcBorders>
            <w:vAlign w:val="center"/>
          </w:tcPr>
          <w:p w:rsidR="002E105F" w:rsidRPr="001B4153" w:rsidRDefault="002E105F" w:rsidP="00CC41FC">
            <w:pPr>
              <w:jc w:val="center"/>
              <w:rPr>
                <w:rFonts w:ascii="Arial" w:hAnsi="Arial" w:cs="Arial"/>
                <w:sz w:val="16"/>
                <w:szCs w:val="16"/>
              </w:rPr>
            </w:pPr>
            <w:smartTag w:uri="urn:schemas-microsoft-com:office:smarttags" w:element="place">
              <w:r w:rsidRPr="001B4153">
                <w:rPr>
                  <w:rFonts w:ascii="Arial" w:hAnsi="Arial" w:cs="Arial"/>
                  <w:sz w:val="16"/>
                  <w:szCs w:val="16"/>
                </w:rPr>
                <w:t>Midwest</w:t>
              </w:r>
            </w:smartTag>
          </w:p>
        </w:tc>
        <w:tc>
          <w:tcPr>
            <w:tcW w:w="1170" w:type="dxa"/>
            <w:tcBorders>
              <w:bottom w:val="single" w:sz="4" w:space="0" w:color="auto"/>
            </w:tcBorders>
            <w:vAlign w:val="center"/>
          </w:tcPr>
          <w:p w:rsidR="002E105F" w:rsidRPr="001B4153" w:rsidRDefault="002E105F" w:rsidP="00CC41FC">
            <w:pPr>
              <w:jc w:val="center"/>
              <w:rPr>
                <w:rFonts w:ascii="Arial" w:hAnsi="Arial" w:cs="Arial"/>
                <w:sz w:val="16"/>
                <w:szCs w:val="16"/>
              </w:rPr>
            </w:pPr>
            <w:r w:rsidRPr="001B4153">
              <w:rPr>
                <w:rFonts w:ascii="Arial" w:hAnsi="Arial" w:cs="Arial"/>
                <w:sz w:val="16"/>
                <w:szCs w:val="16"/>
              </w:rPr>
              <w:t>South</w:t>
            </w:r>
          </w:p>
        </w:tc>
        <w:tc>
          <w:tcPr>
            <w:tcW w:w="1170" w:type="dxa"/>
            <w:tcBorders>
              <w:bottom w:val="single" w:sz="4" w:space="0" w:color="auto"/>
            </w:tcBorders>
            <w:vAlign w:val="center"/>
          </w:tcPr>
          <w:p w:rsidR="002E105F" w:rsidRPr="001B4153" w:rsidRDefault="002E105F" w:rsidP="00CC41FC">
            <w:pPr>
              <w:jc w:val="center"/>
              <w:rPr>
                <w:rFonts w:ascii="Arial" w:hAnsi="Arial" w:cs="Arial"/>
                <w:sz w:val="16"/>
                <w:szCs w:val="16"/>
              </w:rPr>
            </w:pPr>
            <w:r w:rsidRPr="001B4153">
              <w:rPr>
                <w:rFonts w:ascii="Arial" w:hAnsi="Arial" w:cs="Arial"/>
                <w:sz w:val="16"/>
                <w:szCs w:val="16"/>
              </w:rPr>
              <w:t>West</w:t>
            </w:r>
          </w:p>
        </w:tc>
        <w:tc>
          <w:tcPr>
            <w:tcW w:w="1080" w:type="dxa"/>
            <w:vAlign w:val="center"/>
          </w:tcPr>
          <w:p w:rsidR="002E105F" w:rsidRPr="001B4153" w:rsidRDefault="002E105F" w:rsidP="00CC41FC">
            <w:pPr>
              <w:jc w:val="center"/>
              <w:rPr>
                <w:rFonts w:ascii="Arial" w:hAnsi="Arial" w:cs="Arial"/>
                <w:sz w:val="16"/>
                <w:szCs w:val="16"/>
              </w:rPr>
            </w:pPr>
            <w:r w:rsidRPr="001B4153">
              <w:rPr>
                <w:rFonts w:ascii="Arial" w:hAnsi="Arial" w:cs="Arial"/>
                <w:sz w:val="16"/>
                <w:szCs w:val="16"/>
              </w:rPr>
              <w:t>Northeast</w:t>
            </w:r>
          </w:p>
        </w:tc>
        <w:tc>
          <w:tcPr>
            <w:tcW w:w="990" w:type="dxa"/>
            <w:vAlign w:val="center"/>
          </w:tcPr>
          <w:p w:rsidR="002E105F" w:rsidRPr="001B4153" w:rsidRDefault="002E105F" w:rsidP="00CC41FC">
            <w:pPr>
              <w:jc w:val="center"/>
              <w:rPr>
                <w:rFonts w:ascii="Arial" w:hAnsi="Arial" w:cs="Arial"/>
                <w:sz w:val="16"/>
                <w:szCs w:val="16"/>
              </w:rPr>
            </w:pPr>
            <w:r w:rsidRPr="001B4153">
              <w:rPr>
                <w:rFonts w:ascii="Arial" w:hAnsi="Arial" w:cs="Arial"/>
                <w:sz w:val="16"/>
                <w:szCs w:val="16"/>
              </w:rPr>
              <w:t>Mid-west</w:t>
            </w:r>
          </w:p>
        </w:tc>
        <w:tc>
          <w:tcPr>
            <w:tcW w:w="1170" w:type="dxa"/>
            <w:vAlign w:val="center"/>
          </w:tcPr>
          <w:p w:rsidR="002E105F" w:rsidRPr="001B4153" w:rsidRDefault="002E105F" w:rsidP="00CC41FC">
            <w:pPr>
              <w:jc w:val="center"/>
              <w:rPr>
                <w:rFonts w:ascii="Arial" w:hAnsi="Arial" w:cs="Arial"/>
                <w:sz w:val="16"/>
                <w:szCs w:val="16"/>
              </w:rPr>
            </w:pPr>
            <w:r w:rsidRPr="001B4153">
              <w:rPr>
                <w:rFonts w:ascii="Arial" w:hAnsi="Arial" w:cs="Arial"/>
                <w:sz w:val="16"/>
                <w:szCs w:val="16"/>
              </w:rPr>
              <w:t>South</w:t>
            </w:r>
          </w:p>
        </w:tc>
        <w:tc>
          <w:tcPr>
            <w:tcW w:w="1080" w:type="dxa"/>
            <w:vAlign w:val="center"/>
          </w:tcPr>
          <w:p w:rsidR="002E105F" w:rsidRPr="001B4153" w:rsidRDefault="002E105F" w:rsidP="00CC41FC">
            <w:pPr>
              <w:jc w:val="center"/>
              <w:rPr>
                <w:rFonts w:ascii="Arial" w:hAnsi="Arial" w:cs="Arial"/>
                <w:sz w:val="16"/>
                <w:szCs w:val="16"/>
              </w:rPr>
            </w:pPr>
            <w:r w:rsidRPr="001B4153">
              <w:rPr>
                <w:rFonts w:ascii="Arial" w:hAnsi="Arial" w:cs="Arial"/>
                <w:sz w:val="16"/>
                <w:szCs w:val="16"/>
              </w:rPr>
              <w:t>West</w:t>
            </w:r>
          </w:p>
        </w:tc>
      </w:tr>
    </w:tbl>
    <w:p w:rsidR="002E105F" w:rsidRPr="001B4153" w:rsidRDefault="002E105F" w:rsidP="002E105F">
      <w:pPr>
        <w:pStyle w:val="ListParagraph"/>
        <w:rPr>
          <w:rFonts w:ascii="Arial" w:hAnsi="Arial" w:cs="Arial"/>
        </w:rPr>
      </w:pPr>
    </w:p>
    <w:p w:rsidR="002E105F" w:rsidRPr="001B4153" w:rsidRDefault="002E105F" w:rsidP="002E105F">
      <w:pPr>
        <w:rPr>
          <w:rFonts w:ascii="Arial" w:hAnsi="Arial" w:cs="Arial"/>
        </w:rPr>
      </w:pPr>
      <w:r w:rsidRPr="001B4153">
        <w:rPr>
          <w:rFonts w:ascii="Arial" w:hAnsi="Arial" w:cs="Arial"/>
        </w:rPr>
        <w:t xml:space="preserve">The first step is to create a design weight (noted as </w:t>
      </w:r>
      <w:r w:rsidRPr="001B4153">
        <w:rPr>
          <w:rFonts w:ascii="Arial" w:hAnsi="Arial" w:cs="Arial"/>
          <w:i/>
        </w:rPr>
        <w:t>d</w:t>
      </w:r>
      <w:r w:rsidRPr="001B4153">
        <w:rPr>
          <w:rFonts w:ascii="Arial" w:hAnsi="Arial" w:cs="Arial"/>
          <w:i/>
          <w:vertAlign w:val="subscript"/>
        </w:rPr>
        <w:t>j</w:t>
      </w:r>
      <w:r w:rsidRPr="001B4153">
        <w:rPr>
          <w:rFonts w:ascii="Arial" w:hAnsi="Arial" w:cs="Arial"/>
        </w:rPr>
        <w:t xml:space="preserve">).  The design weight needs to be separated into those for the first four strata versus the last four strata.  Telephone numbers in the first four strata are attached to households, while the telephone numbers in the last four strata are attached to individuals.  The design weights for the first four strata will take into account the number of telephone lines in the household. </w:t>
      </w:r>
    </w:p>
    <w:p w:rsidR="002E105F" w:rsidRPr="001B4153" w:rsidRDefault="002E105F" w:rsidP="002E105F">
      <w:pPr>
        <w:rPr>
          <w:rFonts w:ascii="Arial" w:hAnsi="Arial" w:cs="Arial"/>
        </w:rPr>
      </w:pPr>
    </w:p>
    <w:p w:rsidR="002E105F" w:rsidRPr="001B4153" w:rsidRDefault="002E105F" w:rsidP="002E105F">
      <w:pPr>
        <w:rPr>
          <w:rFonts w:ascii="Arial" w:hAnsi="Arial" w:cs="Arial"/>
        </w:rPr>
      </w:pPr>
      <w:r w:rsidRPr="001B4153">
        <w:rPr>
          <w:rFonts w:ascii="Arial" w:hAnsi="Arial" w:cs="Arial"/>
        </w:rPr>
        <w:t xml:space="preserve">By definition, the design weight is inversely proportional to the chance that a person is selected.  The design weight (noted as </w:t>
      </w:r>
      <w:r w:rsidRPr="001B4153">
        <w:rPr>
          <w:rFonts w:ascii="Arial" w:hAnsi="Arial" w:cs="Arial"/>
          <w:i/>
        </w:rPr>
        <w:t>d</w:t>
      </w:r>
      <w:r w:rsidRPr="001B4153">
        <w:rPr>
          <w:rFonts w:ascii="Arial" w:hAnsi="Arial" w:cs="Arial"/>
          <w:i/>
          <w:vertAlign w:val="subscript"/>
        </w:rPr>
        <w:t>j</w:t>
      </w:r>
      <w:r w:rsidRPr="001B4153">
        <w:rPr>
          <w:rFonts w:ascii="Arial" w:hAnsi="Arial" w:cs="Arial"/>
        </w:rPr>
        <w:t>) will take into account the number of adults living in the household. The equation is basically the same as before, but we have explicitly stated that n = n</w:t>
      </w:r>
      <w:r w:rsidRPr="001B4153">
        <w:rPr>
          <w:rFonts w:ascii="Arial" w:hAnsi="Arial" w:cs="Arial"/>
          <w:vertAlign w:val="subscript"/>
        </w:rPr>
        <w:t>a</w:t>
      </w:r>
      <w:r w:rsidRPr="001B4153">
        <w:rPr>
          <w:rFonts w:ascii="Arial" w:hAnsi="Arial" w:cs="Arial"/>
        </w:rPr>
        <w:t xml:space="preserve"> + n</w:t>
      </w:r>
      <w:r w:rsidRPr="001B4153">
        <w:rPr>
          <w:rFonts w:ascii="Arial" w:hAnsi="Arial" w:cs="Arial"/>
          <w:vertAlign w:val="subscript"/>
        </w:rPr>
        <w:t>ab</w:t>
      </w:r>
      <w:r w:rsidRPr="001B4153">
        <w:rPr>
          <w:rFonts w:ascii="Arial" w:hAnsi="Arial" w:cs="Arial"/>
        </w:rPr>
        <w:t xml:space="preserve"> = number of landline-only household responses plus the number of dual user household respondents.  The formula is:</w:t>
      </w:r>
    </w:p>
    <w:p w:rsidR="002E105F" w:rsidRPr="001B4153" w:rsidRDefault="002E105F" w:rsidP="002E105F">
      <w:pPr>
        <w:rPr>
          <w:rFonts w:ascii="Arial" w:hAnsi="Arial" w:cs="Arial"/>
        </w:rPr>
      </w:pPr>
    </w:p>
    <w:p w:rsidR="002E105F" w:rsidRPr="001B4153" w:rsidRDefault="002E105F" w:rsidP="002E105F">
      <w:pPr>
        <w:keepNext/>
        <w:jc w:val="center"/>
        <w:rPr>
          <w:rFonts w:ascii="Arial" w:hAnsi="Arial" w:cs="Arial"/>
        </w:rPr>
      </w:pPr>
      <w:r w:rsidRPr="001B4153">
        <w:rPr>
          <w:rFonts w:ascii="Arial" w:hAnsi="Arial" w:cs="Arial"/>
          <w:i/>
        </w:rPr>
        <w:t>d</w:t>
      </w:r>
      <w:r w:rsidRPr="001B4153">
        <w:rPr>
          <w:rFonts w:ascii="Arial" w:hAnsi="Arial" w:cs="Arial"/>
          <w:i/>
          <w:vertAlign w:val="subscript"/>
        </w:rPr>
        <w:t>j</w:t>
      </w:r>
      <w:r w:rsidRPr="001B4153">
        <w:rPr>
          <w:rFonts w:ascii="Arial" w:hAnsi="Arial" w:cs="Arial"/>
          <w:i/>
        </w:rPr>
        <w:t xml:space="preserve"> </w:t>
      </w:r>
      <w:r w:rsidRPr="001B4153">
        <w:rPr>
          <w:rFonts w:ascii="Arial" w:hAnsi="Arial" w:cs="Arial"/>
        </w:rPr>
        <w:t>= DESWT</w:t>
      </w:r>
      <w:r w:rsidRPr="001B4153">
        <w:rPr>
          <w:rFonts w:ascii="Arial" w:hAnsi="Arial" w:cs="Arial"/>
          <w:vertAlign w:val="subscript"/>
        </w:rPr>
        <w:t xml:space="preserve"> j  </w:t>
      </w:r>
      <w:r w:rsidRPr="001B4153">
        <w:rPr>
          <w:rFonts w:ascii="Arial" w:hAnsi="Arial" w:cs="Arial"/>
        </w:rPr>
        <w:t xml:space="preserve">= K  /  (Number of </w:t>
      </w:r>
      <w:r w:rsidRPr="001B4153">
        <w:rPr>
          <w:rFonts w:ascii="Arial" w:hAnsi="Arial" w:cs="Arial"/>
          <w:u w:val="single"/>
        </w:rPr>
        <w:t>L</w:t>
      </w:r>
      <w:r w:rsidRPr="001B4153">
        <w:rPr>
          <w:rFonts w:ascii="Arial" w:hAnsi="Arial" w:cs="Arial"/>
        </w:rPr>
        <w:t>ines in Household)</w:t>
      </w:r>
    </w:p>
    <w:p w:rsidR="002E105F" w:rsidRPr="001B4153" w:rsidRDefault="002E105F" w:rsidP="002E105F">
      <w:pPr>
        <w:keepNext/>
        <w:jc w:val="center"/>
        <w:rPr>
          <w:rFonts w:ascii="Arial" w:hAnsi="Arial" w:cs="Arial"/>
        </w:rPr>
      </w:pPr>
      <w:r w:rsidRPr="001B4153">
        <w:rPr>
          <w:rFonts w:ascii="Arial" w:hAnsi="Arial" w:cs="Arial"/>
          <w:noProof/>
          <w:position w:val="-14"/>
        </w:rPr>
        <w:object w:dxaOrig="2860" w:dyaOrig="380">
          <v:shape id="_x0000_i1026" type="#_x0000_t75" style="width:143.25pt;height:19.5pt" o:ole="" fillcolor="window">
            <v:imagedata r:id="rId10" o:title=""/>
          </v:shape>
          <o:OLEObject Type="Embed" ProgID="Equation.3" ShapeID="_x0000_i1026" DrawAspect="Content" ObjectID="_1358229160" r:id="rId11"/>
        </w:object>
      </w:r>
    </w:p>
    <w:p w:rsidR="002E105F" w:rsidRPr="001B4153" w:rsidRDefault="002E105F" w:rsidP="002E105F">
      <w:pPr>
        <w:keepNext/>
        <w:jc w:val="center"/>
        <w:rPr>
          <w:rFonts w:ascii="Arial" w:hAnsi="Arial" w:cs="Arial"/>
        </w:rPr>
      </w:pPr>
      <w:r w:rsidRPr="001B4153">
        <w:rPr>
          <w:rFonts w:ascii="Arial" w:hAnsi="Arial" w:cs="Arial"/>
          <w:noProof/>
          <w:position w:val="-38"/>
        </w:rPr>
        <w:object w:dxaOrig="3040" w:dyaOrig="740">
          <v:shape id="_x0000_i1027" type="#_x0000_t75" style="width:151.5pt;height:36.75pt" o:ole="" fillcolor="window">
            <v:imagedata r:id="rId12" o:title=""/>
          </v:shape>
          <o:OLEObject Type="Embed" ProgID="Equation.3" ShapeID="_x0000_i1027" DrawAspect="Content" ObjectID="_1358229161" r:id="rId13"/>
        </w:object>
      </w:r>
      <w:r w:rsidRPr="001B4153">
        <w:rPr>
          <w:rFonts w:ascii="Arial" w:hAnsi="Arial" w:cs="Arial"/>
          <w:noProof/>
        </w:rPr>
        <w:t>.</w:t>
      </w:r>
    </w:p>
    <w:p w:rsidR="002E105F" w:rsidRPr="001B4153" w:rsidRDefault="002E105F" w:rsidP="002E105F">
      <w:pPr>
        <w:pStyle w:val="FootnoteText"/>
        <w:widowControl/>
        <w:rPr>
          <w:rFonts w:ascii="Arial" w:hAnsi="Arial" w:cs="Arial"/>
          <w:sz w:val="22"/>
          <w:szCs w:val="22"/>
        </w:rPr>
      </w:pPr>
      <w:r w:rsidRPr="001B4153">
        <w:rPr>
          <w:rFonts w:ascii="Arial" w:hAnsi="Arial" w:cs="Arial"/>
          <w:sz w:val="22"/>
          <w:szCs w:val="22"/>
        </w:rPr>
        <w:t xml:space="preserve">The next step is to account for the probability of selecting the telephone number. The probability of selection of any telephone number within a stratum is 1 over the number of telephone numbers in the stratum, and it needs to project to the number of adults found in the strata.  The formula includes estimates for the </w:t>
      </w:r>
      <w:r w:rsidRPr="001B4153">
        <w:rPr>
          <w:rFonts w:ascii="Arial" w:hAnsi="Arial" w:cs="Arial"/>
          <w:i/>
          <w:sz w:val="22"/>
          <w:szCs w:val="22"/>
        </w:rPr>
        <w:t>N</w:t>
      </w:r>
      <w:r w:rsidRPr="001B4153">
        <w:rPr>
          <w:rFonts w:ascii="Arial" w:hAnsi="Arial" w:cs="Arial"/>
          <w:i/>
          <w:sz w:val="22"/>
          <w:szCs w:val="22"/>
          <w:vertAlign w:val="subscript"/>
        </w:rPr>
        <w:t>a,h</w:t>
      </w:r>
      <w:r w:rsidRPr="001B4153">
        <w:rPr>
          <w:rFonts w:ascii="Arial" w:hAnsi="Arial" w:cs="Arial"/>
          <w:sz w:val="22"/>
          <w:szCs w:val="22"/>
        </w:rPr>
        <w:t xml:space="preserve"> – the number of adults in landline-only households in stratum h and the </w:t>
      </w:r>
      <w:r w:rsidRPr="001B4153">
        <w:rPr>
          <w:rFonts w:ascii="Arial" w:hAnsi="Arial" w:cs="Arial"/>
          <w:i/>
          <w:sz w:val="22"/>
          <w:szCs w:val="22"/>
        </w:rPr>
        <w:t>N</w:t>
      </w:r>
      <w:r w:rsidRPr="001B4153">
        <w:rPr>
          <w:rFonts w:ascii="Arial" w:hAnsi="Arial" w:cs="Arial"/>
          <w:i/>
          <w:sz w:val="22"/>
          <w:szCs w:val="22"/>
          <w:vertAlign w:val="subscript"/>
        </w:rPr>
        <w:t>ab,h</w:t>
      </w:r>
      <w:r w:rsidRPr="001B4153">
        <w:rPr>
          <w:rFonts w:ascii="Arial" w:hAnsi="Arial" w:cs="Arial"/>
          <w:sz w:val="22"/>
          <w:szCs w:val="22"/>
        </w:rPr>
        <w:t xml:space="preserve"> -- the number of adults in dual-use households in stratum h are available from the NHIS.  These estimates from NHIS are reasonably robust at the region level.</w:t>
      </w:r>
    </w:p>
    <w:p w:rsidR="002E105F" w:rsidRPr="001B4153" w:rsidRDefault="002E105F" w:rsidP="002E105F">
      <w:pPr>
        <w:pStyle w:val="FootnoteText"/>
        <w:widowControl/>
        <w:rPr>
          <w:rFonts w:ascii="Arial" w:hAnsi="Arial" w:cs="Arial"/>
          <w:sz w:val="22"/>
          <w:szCs w:val="22"/>
        </w:rPr>
      </w:pPr>
    </w:p>
    <w:p w:rsidR="002E105F" w:rsidRPr="001B4153" w:rsidRDefault="002E105F" w:rsidP="002E105F">
      <w:pPr>
        <w:pStyle w:val="FootnoteText"/>
        <w:widowControl/>
        <w:rPr>
          <w:rFonts w:ascii="Arial" w:hAnsi="Arial" w:cs="Arial"/>
          <w:sz w:val="22"/>
          <w:szCs w:val="22"/>
        </w:rPr>
      </w:pPr>
      <w:r w:rsidRPr="001B4153">
        <w:rPr>
          <w:rFonts w:ascii="Arial" w:hAnsi="Arial" w:cs="Arial"/>
          <w:sz w:val="22"/>
          <w:szCs w:val="22"/>
        </w:rPr>
        <w:t xml:space="preserve">The weights </w:t>
      </w:r>
      <w:r w:rsidRPr="001B4153">
        <w:rPr>
          <w:rFonts w:ascii="Arial" w:hAnsi="Arial" w:cs="Arial"/>
          <w:i/>
          <w:sz w:val="22"/>
          <w:szCs w:val="22"/>
        </w:rPr>
        <w:t>d</w:t>
      </w:r>
      <w:r w:rsidRPr="001B4153">
        <w:rPr>
          <w:rFonts w:ascii="Arial" w:hAnsi="Arial" w:cs="Arial"/>
          <w:i/>
          <w:sz w:val="22"/>
          <w:szCs w:val="22"/>
          <w:vertAlign w:val="subscript"/>
        </w:rPr>
        <w:t>j</w:t>
      </w:r>
      <w:r w:rsidRPr="001B4153">
        <w:rPr>
          <w:rFonts w:ascii="Arial" w:hAnsi="Arial" w:cs="Arial"/>
          <w:sz w:val="22"/>
          <w:szCs w:val="22"/>
        </w:rPr>
        <w:t xml:space="preserve"> are adjusted such that the weighted sample distribution matches the distribution given in Table 5.  The adjustment to the weight has the formula </w:t>
      </w:r>
    </w:p>
    <w:p w:rsidR="002E105F" w:rsidRPr="001B4153" w:rsidRDefault="002E105F" w:rsidP="002E105F">
      <w:pPr>
        <w:pStyle w:val="FootnoteText"/>
        <w:widowControl/>
        <w:jc w:val="both"/>
        <w:rPr>
          <w:rFonts w:ascii="Arial" w:hAnsi="Arial" w:cs="Arial"/>
          <w:sz w:val="22"/>
          <w:szCs w:val="22"/>
        </w:rPr>
      </w:pPr>
    </w:p>
    <w:p w:rsidR="002E105F" w:rsidRPr="001B4153" w:rsidRDefault="002E105F" w:rsidP="002E105F">
      <w:pPr>
        <w:pStyle w:val="FootnoteText"/>
        <w:keepNext/>
        <w:widowControl/>
        <w:jc w:val="center"/>
        <w:rPr>
          <w:rFonts w:ascii="Arial" w:hAnsi="Arial" w:cs="Arial"/>
          <w:sz w:val="22"/>
          <w:szCs w:val="22"/>
        </w:rPr>
      </w:pPr>
      <w:proofErr w:type="spellStart"/>
      <w:proofErr w:type="gramStart"/>
      <w:r w:rsidRPr="001B4153">
        <w:rPr>
          <w:rFonts w:ascii="Arial" w:hAnsi="Arial" w:cs="Arial"/>
          <w:i/>
          <w:sz w:val="22"/>
          <w:szCs w:val="22"/>
        </w:rPr>
        <w:t>K</w:t>
      </w:r>
      <w:r w:rsidRPr="001B4153">
        <w:rPr>
          <w:rFonts w:ascii="Arial" w:hAnsi="Arial" w:cs="Arial"/>
          <w:i/>
          <w:sz w:val="22"/>
          <w:szCs w:val="22"/>
          <w:vertAlign w:val="subscript"/>
        </w:rPr>
        <w:t>h</w:t>
      </w:r>
      <w:proofErr w:type="spellEnd"/>
      <w:r w:rsidRPr="001B4153">
        <w:rPr>
          <w:rFonts w:ascii="Arial" w:hAnsi="Arial" w:cs="Arial"/>
          <w:i/>
          <w:sz w:val="22"/>
          <w:szCs w:val="22"/>
        </w:rPr>
        <w:t xml:space="preserve"> </w:t>
      </w:r>
      <w:r w:rsidRPr="001B4153">
        <w:rPr>
          <w:rFonts w:ascii="Arial" w:hAnsi="Arial" w:cs="Arial"/>
          <w:sz w:val="22"/>
          <w:szCs w:val="22"/>
        </w:rPr>
        <w:t xml:space="preserve"> </w:t>
      </w:r>
      <w:proofErr w:type="gramEnd"/>
      <w:r w:rsidRPr="001B4153">
        <w:rPr>
          <w:rFonts w:ascii="Arial" w:hAnsi="Arial" w:cs="Arial"/>
          <w:position w:val="-46"/>
          <w:sz w:val="22"/>
          <w:szCs w:val="22"/>
        </w:rPr>
        <w:object w:dxaOrig="8000" w:dyaOrig="1200">
          <v:shape id="_x0000_i1028" type="#_x0000_t75" style="width:351pt;height:52.5pt" o:ole="" fillcolor="window">
            <v:imagedata r:id="rId14" o:title=""/>
          </v:shape>
          <o:OLEObject Type="Embed" ProgID="Equation.3" ShapeID="_x0000_i1028" DrawAspect="Content" ObjectID="_1358229162" r:id="rId15"/>
        </w:object>
      </w:r>
      <w:r w:rsidRPr="001B4153">
        <w:rPr>
          <w:rFonts w:ascii="Arial" w:hAnsi="Arial" w:cs="Arial"/>
          <w:sz w:val="22"/>
          <w:szCs w:val="22"/>
        </w:rPr>
        <w:t>.</w:t>
      </w:r>
    </w:p>
    <w:p w:rsidR="002E105F" w:rsidRPr="001B4153" w:rsidRDefault="002E105F" w:rsidP="002E105F">
      <w:pPr>
        <w:pStyle w:val="FootnoteText"/>
        <w:widowControl/>
        <w:jc w:val="both"/>
        <w:rPr>
          <w:rFonts w:ascii="Arial" w:hAnsi="Arial" w:cs="Arial"/>
          <w:sz w:val="22"/>
          <w:szCs w:val="22"/>
        </w:rPr>
      </w:pPr>
    </w:p>
    <w:p w:rsidR="002E105F" w:rsidRPr="001B4153" w:rsidRDefault="002E105F" w:rsidP="002E105F">
      <w:pPr>
        <w:pStyle w:val="FootnoteText"/>
        <w:widowControl/>
        <w:rPr>
          <w:rFonts w:ascii="Arial" w:hAnsi="Arial" w:cs="Arial"/>
          <w:sz w:val="22"/>
          <w:szCs w:val="22"/>
        </w:rPr>
      </w:pPr>
      <w:r w:rsidRPr="001B4153">
        <w:rPr>
          <w:rFonts w:ascii="Arial" w:hAnsi="Arial" w:cs="Arial"/>
          <w:sz w:val="22"/>
          <w:szCs w:val="22"/>
        </w:rPr>
        <w:t xml:space="preserve">Here, </w:t>
      </w:r>
      <w:r w:rsidRPr="001B4153">
        <w:rPr>
          <w:rFonts w:ascii="Arial" w:hAnsi="Arial" w:cs="Arial"/>
          <w:i/>
          <w:sz w:val="22"/>
          <w:szCs w:val="22"/>
        </w:rPr>
        <w:t>M</w:t>
      </w:r>
      <w:r w:rsidRPr="001B4153">
        <w:rPr>
          <w:rFonts w:ascii="Arial" w:hAnsi="Arial" w:cs="Arial"/>
          <w:i/>
          <w:sz w:val="22"/>
          <w:szCs w:val="22"/>
          <w:vertAlign w:val="subscript"/>
        </w:rPr>
        <w:t>h</w:t>
      </w:r>
      <w:r w:rsidRPr="001B4153">
        <w:rPr>
          <w:rFonts w:ascii="Arial" w:hAnsi="Arial" w:cs="Arial"/>
          <w:i/>
          <w:sz w:val="22"/>
          <w:szCs w:val="22"/>
        </w:rPr>
        <w:t xml:space="preserve"> </w:t>
      </w:r>
      <w:r w:rsidRPr="001B4153">
        <w:rPr>
          <w:rFonts w:ascii="Arial" w:hAnsi="Arial" w:cs="Arial"/>
          <w:sz w:val="22"/>
          <w:szCs w:val="22"/>
        </w:rPr>
        <w:t xml:space="preserve">is the number of telephone numbers in the stratum, </w:t>
      </w:r>
      <w:r w:rsidRPr="001B4153">
        <w:rPr>
          <w:rFonts w:ascii="Arial" w:hAnsi="Arial" w:cs="Arial"/>
          <w:i/>
          <w:sz w:val="22"/>
          <w:szCs w:val="22"/>
        </w:rPr>
        <w:t>N</w:t>
      </w:r>
      <w:r w:rsidRPr="001B4153">
        <w:rPr>
          <w:rFonts w:ascii="Arial" w:hAnsi="Arial" w:cs="Arial"/>
          <w:i/>
          <w:sz w:val="22"/>
          <w:szCs w:val="22"/>
          <w:vertAlign w:val="subscript"/>
        </w:rPr>
        <w:t>a</w:t>
      </w:r>
      <w:r w:rsidRPr="001B4153">
        <w:rPr>
          <w:rFonts w:ascii="Arial" w:hAnsi="Arial" w:cs="Arial"/>
          <w:sz w:val="22"/>
          <w:szCs w:val="22"/>
        </w:rPr>
        <w:t xml:space="preserve"> is the estimated number of adults landline-only households in the U.S., and </w:t>
      </w:r>
      <w:r w:rsidRPr="001B4153">
        <w:rPr>
          <w:rFonts w:ascii="Arial" w:hAnsi="Arial" w:cs="Arial"/>
          <w:i/>
          <w:sz w:val="22"/>
          <w:szCs w:val="22"/>
        </w:rPr>
        <w:t>N</w:t>
      </w:r>
      <w:r w:rsidRPr="001B4153">
        <w:rPr>
          <w:rFonts w:ascii="Arial" w:hAnsi="Arial" w:cs="Arial"/>
          <w:i/>
          <w:sz w:val="22"/>
          <w:szCs w:val="22"/>
          <w:vertAlign w:val="subscript"/>
        </w:rPr>
        <w:t>ab</w:t>
      </w:r>
      <w:r w:rsidRPr="001B4153">
        <w:rPr>
          <w:rFonts w:ascii="Arial" w:hAnsi="Arial" w:cs="Arial"/>
          <w:sz w:val="22"/>
          <w:szCs w:val="22"/>
        </w:rPr>
        <w:t xml:space="preserve"> is the estimated number of adults in dual use households in the U.S., respectively.  Notice that </w:t>
      </w:r>
      <w:r w:rsidRPr="001B4153">
        <w:rPr>
          <w:rFonts w:ascii="Arial" w:hAnsi="Arial" w:cs="Arial"/>
          <w:i/>
          <w:sz w:val="22"/>
          <w:szCs w:val="22"/>
        </w:rPr>
        <w:t>M</w:t>
      </w:r>
      <w:r w:rsidRPr="001B4153">
        <w:rPr>
          <w:rFonts w:ascii="Arial" w:hAnsi="Arial" w:cs="Arial"/>
          <w:i/>
          <w:sz w:val="22"/>
          <w:szCs w:val="22"/>
          <w:vertAlign w:val="subscript"/>
        </w:rPr>
        <w:t>h</w:t>
      </w:r>
      <w:r w:rsidRPr="001B4153">
        <w:rPr>
          <w:rFonts w:ascii="Arial" w:hAnsi="Arial" w:cs="Arial"/>
          <w:i/>
          <w:sz w:val="22"/>
          <w:szCs w:val="22"/>
        </w:rPr>
        <w:t xml:space="preserve"> </w:t>
      </w:r>
      <w:r w:rsidRPr="001B4153">
        <w:rPr>
          <w:rFonts w:ascii="Arial" w:hAnsi="Arial" w:cs="Arial"/>
          <w:sz w:val="22"/>
          <w:szCs w:val="22"/>
        </w:rPr>
        <w:t xml:space="preserve">drops out algebraically, so it is not included in the final adjustment.  </w:t>
      </w:r>
      <w:r w:rsidRPr="001B4153">
        <w:rPr>
          <w:rFonts w:ascii="Arial" w:hAnsi="Arial" w:cs="Arial"/>
          <w:i/>
          <w:sz w:val="22"/>
          <w:szCs w:val="22"/>
        </w:rPr>
        <w:t>d</w:t>
      </w:r>
      <w:r w:rsidRPr="001B4153">
        <w:rPr>
          <w:rFonts w:ascii="Arial" w:hAnsi="Arial" w:cs="Arial"/>
          <w:i/>
          <w:sz w:val="22"/>
          <w:szCs w:val="22"/>
          <w:vertAlign w:val="subscript"/>
        </w:rPr>
        <w:t xml:space="preserve">j </w:t>
      </w:r>
      <w:r w:rsidRPr="001B4153">
        <w:rPr>
          <w:rFonts w:ascii="Arial" w:hAnsi="Arial" w:cs="Arial"/>
          <w:sz w:val="22"/>
          <w:szCs w:val="22"/>
        </w:rPr>
        <w:t xml:space="preserve">is adjusted by the </w:t>
      </w:r>
      <w:r w:rsidRPr="001B4153">
        <w:rPr>
          <w:rFonts w:ascii="Arial" w:hAnsi="Arial" w:cs="Arial"/>
          <w:i/>
          <w:sz w:val="22"/>
          <w:szCs w:val="22"/>
        </w:rPr>
        <w:t>K</w:t>
      </w:r>
      <w:r w:rsidRPr="001B4153">
        <w:rPr>
          <w:rFonts w:ascii="Arial" w:hAnsi="Arial" w:cs="Arial"/>
          <w:i/>
          <w:sz w:val="22"/>
          <w:szCs w:val="22"/>
          <w:vertAlign w:val="subscript"/>
        </w:rPr>
        <w:t>h</w:t>
      </w:r>
      <w:r w:rsidRPr="001B4153">
        <w:rPr>
          <w:rFonts w:ascii="Arial" w:hAnsi="Arial" w:cs="Arial"/>
          <w:sz w:val="22"/>
          <w:szCs w:val="22"/>
        </w:rPr>
        <w:t xml:space="preserve"> associated with the response’s stratum.  The design weights are normalized so the design weights sum to </w:t>
      </w:r>
      <w:r w:rsidRPr="001B4153">
        <w:rPr>
          <w:rFonts w:ascii="Arial" w:hAnsi="Arial" w:cs="Arial"/>
          <w:i/>
          <w:sz w:val="22"/>
          <w:szCs w:val="22"/>
        </w:rPr>
        <w:t>N</w:t>
      </w:r>
      <w:r w:rsidRPr="001B4153">
        <w:rPr>
          <w:rFonts w:ascii="Arial" w:hAnsi="Arial" w:cs="Arial"/>
          <w:i/>
          <w:sz w:val="22"/>
          <w:szCs w:val="22"/>
          <w:vertAlign w:val="subscript"/>
        </w:rPr>
        <w:t>a</w:t>
      </w:r>
      <w:r w:rsidRPr="001B4153">
        <w:rPr>
          <w:rFonts w:ascii="Arial" w:hAnsi="Arial" w:cs="Arial"/>
          <w:i/>
          <w:sz w:val="22"/>
          <w:szCs w:val="22"/>
        </w:rPr>
        <w:t xml:space="preserve"> + N</w:t>
      </w:r>
      <w:r w:rsidRPr="001B4153">
        <w:rPr>
          <w:rFonts w:ascii="Arial" w:hAnsi="Arial" w:cs="Arial"/>
          <w:i/>
          <w:sz w:val="22"/>
          <w:szCs w:val="22"/>
          <w:vertAlign w:val="subscript"/>
        </w:rPr>
        <w:t>ab</w:t>
      </w:r>
      <w:r w:rsidRPr="001B4153">
        <w:rPr>
          <w:rFonts w:ascii="Arial" w:hAnsi="Arial" w:cs="Arial"/>
          <w:sz w:val="22"/>
          <w:szCs w:val="22"/>
        </w:rPr>
        <w:t xml:space="preserve">. </w:t>
      </w:r>
    </w:p>
    <w:p w:rsidR="002E105F" w:rsidRPr="001B4153" w:rsidRDefault="002E105F" w:rsidP="002E105F">
      <w:pPr>
        <w:pStyle w:val="FootnoteText"/>
        <w:widowControl/>
        <w:rPr>
          <w:rFonts w:ascii="Arial" w:hAnsi="Arial" w:cs="Arial"/>
          <w:sz w:val="22"/>
          <w:szCs w:val="22"/>
        </w:rPr>
      </w:pPr>
    </w:p>
    <w:p w:rsidR="002E105F" w:rsidRPr="001B4153" w:rsidRDefault="002E105F" w:rsidP="002E105F">
      <w:pPr>
        <w:rPr>
          <w:rFonts w:ascii="Arial" w:hAnsi="Arial" w:cs="Arial"/>
        </w:rPr>
      </w:pPr>
      <w:r w:rsidRPr="001B4153">
        <w:rPr>
          <w:rFonts w:ascii="Arial" w:hAnsi="Arial" w:cs="Arial"/>
        </w:rPr>
        <w:t xml:space="preserve">The design weights for the last four (i.e., the cell phone-only) strata </w:t>
      </w:r>
      <w:r>
        <w:rPr>
          <w:rFonts w:ascii="Arial" w:hAnsi="Arial" w:cs="Arial"/>
        </w:rPr>
        <w:t>are based on the number of adults in cell phone-households in the region</w:t>
      </w:r>
      <w:r w:rsidRPr="001B4153">
        <w:rPr>
          <w:rFonts w:ascii="Arial" w:hAnsi="Arial" w:cs="Arial"/>
        </w:rPr>
        <w:t xml:space="preserve">.  The weighting reflects that the protocol screens out dual-use households.  </w:t>
      </w:r>
      <w:r>
        <w:rPr>
          <w:rFonts w:ascii="Arial" w:hAnsi="Arial" w:cs="Arial"/>
        </w:rPr>
        <w:t xml:space="preserve">  </w:t>
      </w:r>
      <w:r w:rsidRPr="001B4153">
        <w:rPr>
          <w:rFonts w:ascii="Arial" w:hAnsi="Arial" w:cs="Arial"/>
        </w:rPr>
        <w:t xml:space="preserve"> The design weight is </w:t>
      </w:r>
    </w:p>
    <w:p w:rsidR="002E105F" w:rsidRPr="001B4153" w:rsidRDefault="002E105F" w:rsidP="002E105F">
      <w:pPr>
        <w:rPr>
          <w:rFonts w:ascii="Arial" w:hAnsi="Arial" w:cs="Arial"/>
        </w:rPr>
      </w:pPr>
    </w:p>
    <w:p w:rsidR="002E105F" w:rsidRPr="001B4153" w:rsidRDefault="002E105F" w:rsidP="002E105F">
      <w:pPr>
        <w:pStyle w:val="FootnoteText"/>
        <w:keepNext/>
        <w:widowControl/>
        <w:jc w:val="center"/>
        <w:rPr>
          <w:rFonts w:ascii="Arial" w:hAnsi="Arial" w:cs="Arial"/>
          <w:sz w:val="22"/>
          <w:szCs w:val="22"/>
        </w:rPr>
      </w:pPr>
      <w:proofErr w:type="gramStart"/>
      <w:r w:rsidRPr="001B4153">
        <w:rPr>
          <w:rFonts w:ascii="Arial" w:hAnsi="Arial" w:cs="Arial"/>
          <w:i/>
          <w:sz w:val="22"/>
          <w:szCs w:val="22"/>
        </w:rPr>
        <w:t>d</w:t>
      </w:r>
      <w:r w:rsidRPr="001B4153">
        <w:rPr>
          <w:rFonts w:ascii="Arial" w:hAnsi="Arial" w:cs="Arial"/>
          <w:i/>
          <w:sz w:val="22"/>
          <w:szCs w:val="22"/>
          <w:vertAlign w:val="subscript"/>
        </w:rPr>
        <w:t>j</w:t>
      </w:r>
      <w:proofErr w:type="gramEnd"/>
      <w:r w:rsidRPr="001B4153">
        <w:rPr>
          <w:rFonts w:ascii="Arial" w:hAnsi="Arial" w:cs="Arial"/>
          <w:i/>
          <w:sz w:val="22"/>
          <w:szCs w:val="22"/>
        </w:rPr>
        <w:t xml:space="preserve"> </w:t>
      </w:r>
      <w:r w:rsidRPr="001B4153">
        <w:rPr>
          <w:rFonts w:ascii="Arial" w:hAnsi="Arial" w:cs="Arial"/>
          <w:sz w:val="22"/>
          <w:szCs w:val="22"/>
        </w:rPr>
        <w:t>= DESWT</w:t>
      </w:r>
      <w:r w:rsidRPr="001B4153">
        <w:rPr>
          <w:rFonts w:ascii="Arial" w:hAnsi="Arial" w:cs="Arial"/>
          <w:sz w:val="22"/>
          <w:szCs w:val="22"/>
          <w:vertAlign w:val="subscript"/>
        </w:rPr>
        <w:t xml:space="preserve"> j  </w:t>
      </w:r>
      <w:r w:rsidRPr="007777E0">
        <w:rPr>
          <w:rFonts w:ascii="Arial" w:hAnsi="Arial" w:cs="Arial"/>
          <w:position w:val="-54"/>
          <w:sz w:val="22"/>
          <w:szCs w:val="22"/>
        </w:rPr>
        <w:object w:dxaOrig="999" w:dyaOrig="960">
          <v:shape id="_x0000_i1029" type="#_x0000_t75" style="width:43.5pt;height:42pt" o:ole="" fillcolor="window">
            <v:imagedata r:id="rId16" o:title=""/>
          </v:shape>
          <o:OLEObject Type="Embed" ProgID="Equation.3" ShapeID="_x0000_i1029" DrawAspect="Content" ObjectID="_1358229163" r:id="rId17"/>
        </w:object>
      </w:r>
      <w:r w:rsidRPr="001B4153">
        <w:rPr>
          <w:rFonts w:ascii="Arial" w:hAnsi="Arial" w:cs="Arial"/>
          <w:sz w:val="22"/>
          <w:szCs w:val="22"/>
        </w:rPr>
        <w:t>.</w:t>
      </w:r>
    </w:p>
    <w:p w:rsidR="002E105F" w:rsidRPr="001B4153" w:rsidRDefault="002E105F" w:rsidP="002E105F">
      <w:pPr>
        <w:pStyle w:val="FootnoteText"/>
        <w:widowControl/>
        <w:jc w:val="both"/>
        <w:rPr>
          <w:rFonts w:ascii="Arial" w:hAnsi="Arial" w:cs="Arial"/>
          <w:sz w:val="22"/>
          <w:szCs w:val="22"/>
        </w:rPr>
      </w:pPr>
    </w:p>
    <w:p w:rsidR="002E105F" w:rsidRPr="001B4153" w:rsidRDefault="002E105F" w:rsidP="002E105F">
      <w:pPr>
        <w:pStyle w:val="FootnoteText"/>
        <w:widowControl/>
        <w:rPr>
          <w:rFonts w:ascii="Arial" w:hAnsi="Arial" w:cs="Arial"/>
          <w:sz w:val="22"/>
          <w:szCs w:val="22"/>
        </w:rPr>
      </w:pPr>
      <w:r w:rsidRPr="001B4153">
        <w:rPr>
          <w:rFonts w:ascii="Arial" w:hAnsi="Arial" w:cs="Arial"/>
          <w:sz w:val="22"/>
          <w:szCs w:val="22"/>
        </w:rPr>
        <w:t xml:space="preserve">Here, </w:t>
      </w:r>
      <w:r w:rsidRPr="001B4153">
        <w:rPr>
          <w:rFonts w:ascii="Arial" w:hAnsi="Arial" w:cs="Arial"/>
          <w:i/>
          <w:sz w:val="22"/>
          <w:szCs w:val="22"/>
        </w:rPr>
        <w:t>N</w:t>
      </w:r>
      <w:r w:rsidRPr="001B4153">
        <w:rPr>
          <w:rFonts w:ascii="Arial" w:hAnsi="Arial" w:cs="Arial"/>
          <w:i/>
          <w:sz w:val="22"/>
          <w:szCs w:val="22"/>
          <w:vertAlign w:val="subscript"/>
        </w:rPr>
        <w:t>b</w:t>
      </w:r>
      <w:r w:rsidRPr="001B4153">
        <w:rPr>
          <w:rFonts w:ascii="Arial" w:hAnsi="Arial" w:cs="Arial"/>
          <w:sz w:val="22"/>
          <w:szCs w:val="22"/>
        </w:rPr>
        <w:t xml:space="preserve"> is the estimated number of adults cell phone-only households in the U.S</w:t>
      </w:r>
      <w:r>
        <w:rPr>
          <w:rFonts w:ascii="Arial" w:hAnsi="Arial" w:cs="Arial"/>
          <w:sz w:val="22"/>
          <w:szCs w:val="22"/>
        </w:rPr>
        <w:t>,</w:t>
      </w:r>
      <w:r w:rsidRPr="007777E0">
        <w:t xml:space="preserve"> </w:t>
      </w:r>
      <w:r w:rsidRPr="006C4C97">
        <w:rPr>
          <w:position w:val="-24"/>
        </w:rPr>
        <w:object w:dxaOrig="660" w:dyaOrig="620">
          <v:shape id="_x0000_i1030" type="#_x0000_t75" style="width:33pt;height:30.75pt" o:ole="">
            <v:imagedata r:id="rId18" o:title=""/>
          </v:shape>
          <o:OLEObject Type="Embed" ProgID="Equation.3" ShapeID="_x0000_i1030" DrawAspect="Content" ObjectID="_1358229164" r:id="rId19"/>
        </w:object>
      </w:r>
      <w:r>
        <w:rPr>
          <w:rFonts w:ascii="Arial" w:hAnsi="Arial" w:cs="Arial"/>
          <w:sz w:val="22"/>
          <w:szCs w:val="22"/>
        </w:rPr>
        <w:t xml:space="preserve">, </w:t>
      </w:r>
      <w:proofErr w:type="spellStart"/>
      <w:r w:rsidRPr="001B4153">
        <w:rPr>
          <w:rFonts w:ascii="Arial" w:hAnsi="Arial" w:cs="Arial"/>
          <w:i/>
          <w:sz w:val="22"/>
          <w:szCs w:val="22"/>
        </w:rPr>
        <w:t>n</w:t>
      </w:r>
      <w:r w:rsidRPr="001B4153">
        <w:rPr>
          <w:rFonts w:ascii="Arial" w:hAnsi="Arial" w:cs="Arial"/>
          <w:i/>
          <w:sz w:val="22"/>
          <w:szCs w:val="22"/>
          <w:vertAlign w:val="subscript"/>
        </w:rPr>
        <w:t>b</w:t>
      </w:r>
      <w:proofErr w:type="spellEnd"/>
      <w:r w:rsidRPr="001B4153">
        <w:rPr>
          <w:rFonts w:ascii="Arial" w:hAnsi="Arial" w:cs="Arial"/>
          <w:sz w:val="22"/>
          <w:szCs w:val="22"/>
        </w:rPr>
        <w:t xml:space="preserve"> is the total number selected in the cell-de</w:t>
      </w:r>
      <w:r>
        <w:rPr>
          <w:rFonts w:ascii="Arial" w:hAnsi="Arial" w:cs="Arial"/>
          <w:sz w:val="22"/>
          <w:szCs w:val="22"/>
        </w:rPr>
        <w:t>signated strata (strata 5 to 8), and t</w:t>
      </w:r>
      <w:r w:rsidRPr="001B4153">
        <w:rPr>
          <w:rFonts w:ascii="Arial" w:hAnsi="Arial" w:cs="Arial"/>
          <w:sz w:val="22"/>
          <w:szCs w:val="22"/>
        </w:rPr>
        <w:t xml:space="preserve">he design weights are normalized so the design weights sum to </w:t>
      </w:r>
      <w:r w:rsidRPr="001B4153">
        <w:rPr>
          <w:rFonts w:ascii="Arial" w:hAnsi="Arial" w:cs="Arial"/>
          <w:i/>
          <w:sz w:val="22"/>
          <w:szCs w:val="22"/>
        </w:rPr>
        <w:t>N</w:t>
      </w:r>
      <w:r w:rsidRPr="001B4153">
        <w:rPr>
          <w:rFonts w:ascii="Arial" w:hAnsi="Arial" w:cs="Arial"/>
          <w:i/>
          <w:sz w:val="22"/>
          <w:szCs w:val="22"/>
          <w:vertAlign w:val="subscript"/>
        </w:rPr>
        <w:t>b</w:t>
      </w:r>
      <w:r w:rsidRPr="001B4153">
        <w:rPr>
          <w:rFonts w:ascii="Arial" w:hAnsi="Arial" w:cs="Arial"/>
          <w:sz w:val="22"/>
          <w:szCs w:val="22"/>
        </w:rPr>
        <w:t xml:space="preserve">.  </w:t>
      </w:r>
    </w:p>
    <w:p w:rsidR="002E105F" w:rsidRPr="001B4153" w:rsidRDefault="002E105F" w:rsidP="002E105F">
      <w:pPr>
        <w:pStyle w:val="FootnoteText"/>
        <w:widowControl/>
        <w:rPr>
          <w:rFonts w:ascii="Arial" w:hAnsi="Arial" w:cs="Arial"/>
          <w:sz w:val="22"/>
          <w:szCs w:val="22"/>
        </w:rPr>
      </w:pPr>
    </w:p>
    <w:p w:rsidR="002E105F" w:rsidRPr="001B4153" w:rsidRDefault="002E105F" w:rsidP="002E105F">
      <w:pPr>
        <w:pStyle w:val="FootnoteText"/>
        <w:widowControl/>
        <w:rPr>
          <w:rFonts w:ascii="Arial" w:hAnsi="Arial" w:cs="Arial"/>
          <w:sz w:val="22"/>
          <w:szCs w:val="22"/>
        </w:rPr>
      </w:pPr>
      <w:r w:rsidRPr="001B4153">
        <w:rPr>
          <w:rFonts w:ascii="Arial" w:hAnsi="Arial" w:cs="Arial"/>
          <w:sz w:val="22"/>
          <w:szCs w:val="22"/>
        </w:rPr>
        <w:t xml:space="preserve">At this stage, the landline-only and dual-use strata weights are projecting to the landline-only and dual-use household totals, </w:t>
      </w:r>
      <w:r w:rsidRPr="001B4153">
        <w:rPr>
          <w:rFonts w:ascii="Arial" w:hAnsi="Arial" w:cs="Arial"/>
          <w:i/>
          <w:sz w:val="22"/>
          <w:szCs w:val="22"/>
        </w:rPr>
        <w:t>N</w:t>
      </w:r>
      <w:r w:rsidRPr="001B4153">
        <w:rPr>
          <w:rFonts w:ascii="Arial" w:hAnsi="Arial" w:cs="Arial"/>
          <w:i/>
          <w:sz w:val="22"/>
          <w:szCs w:val="22"/>
          <w:vertAlign w:val="subscript"/>
        </w:rPr>
        <w:t>a</w:t>
      </w:r>
      <w:r w:rsidRPr="001B4153">
        <w:rPr>
          <w:rFonts w:ascii="Arial" w:hAnsi="Arial" w:cs="Arial"/>
          <w:i/>
          <w:sz w:val="22"/>
          <w:szCs w:val="22"/>
        </w:rPr>
        <w:t xml:space="preserve"> + N</w:t>
      </w:r>
      <w:r w:rsidRPr="001B4153">
        <w:rPr>
          <w:rFonts w:ascii="Arial" w:hAnsi="Arial" w:cs="Arial"/>
          <w:i/>
          <w:sz w:val="22"/>
          <w:szCs w:val="22"/>
          <w:vertAlign w:val="subscript"/>
        </w:rPr>
        <w:t>ab.</w:t>
      </w:r>
      <w:r w:rsidRPr="001B4153">
        <w:rPr>
          <w:rFonts w:ascii="Arial" w:hAnsi="Arial" w:cs="Arial"/>
          <w:sz w:val="22"/>
          <w:szCs w:val="22"/>
        </w:rPr>
        <w:t xml:space="preserve"> The cell phone-only strata weights are projecting to the cell phone-only household totals, </w:t>
      </w:r>
      <w:r w:rsidRPr="001B4153">
        <w:rPr>
          <w:rFonts w:ascii="Arial" w:hAnsi="Arial" w:cs="Arial"/>
          <w:i/>
          <w:sz w:val="22"/>
          <w:szCs w:val="22"/>
        </w:rPr>
        <w:t>N</w:t>
      </w:r>
      <w:r w:rsidRPr="001B4153">
        <w:rPr>
          <w:rFonts w:ascii="Arial" w:hAnsi="Arial" w:cs="Arial"/>
          <w:i/>
          <w:sz w:val="22"/>
          <w:szCs w:val="22"/>
          <w:vertAlign w:val="subscript"/>
        </w:rPr>
        <w:t>ab</w:t>
      </w:r>
      <w:r w:rsidRPr="001B4153">
        <w:rPr>
          <w:rFonts w:ascii="Arial" w:hAnsi="Arial" w:cs="Arial"/>
          <w:sz w:val="22"/>
          <w:szCs w:val="22"/>
        </w:rPr>
        <w:t>. The combined sample projects to the total population.</w:t>
      </w:r>
    </w:p>
    <w:p w:rsidR="002E105F" w:rsidRPr="001B4153" w:rsidRDefault="002E105F" w:rsidP="002E105F">
      <w:pPr>
        <w:pStyle w:val="FootnoteText"/>
        <w:widowControl/>
        <w:rPr>
          <w:rFonts w:ascii="Arial" w:hAnsi="Arial" w:cs="Arial"/>
          <w:sz w:val="22"/>
          <w:szCs w:val="22"/>
        </w:rPr>
      </w:pPr>
    </w:p>
    <w:p w:rsidR="002E105F" w:rsidRPr="001B4153" w:rsidRDefault="002E105F" w:rsidP="002E105F">
      <w:pPr>
        <w:pStyle w:val="FootnoteText"/>
        <w:widowControl/>
        <w:rPr>
          <w:rFonts w:ascii="Arial" w:hAnsi="Arial" w:cs="Arial"/>
          <w:sz w:val="22"/>
          <w:szCs w:val="22"/>
        </w:rPr>
      </w:pPr>
      <w:r w:rsidRPr="001B4153">
        <w:rPr>
          <w:rFonts w:ascii="Arial" w:hAnsi="Arial" w:cs="Arial"/>
          <w:sz w:val="22"/>
          <w:szCs w:val="22"/>
        </w:rPr>
        <w:t xml:space="preserve">Once the design weights are completed, the final adjustment to account for non-response and differential response rates can be made using a raking-ratio adjustment.   The adjustments are made on all data, from both the landline-only dual-use strata and the cell phone-only strata, combined.  The raking-ratio process adjusts the design weights such the adjusted weights meet a given set of marginal distributions.  The process goes by several names such as raking-ratio adjustment, sample balancing, rim weighting, or iterative proportional fitting to known marginal distributions.  It is a convenient method because you do not need the joint distribution of the demographic variables. As such, we will use the latest Census Bureau statistics for age, gender, educational attainment, </w:t>
      </w:r>
      <w:r>
        <w:rPr>
          <w:rFonts w:ascii="Arial" w:hAnsi="Arial" w:cs="Arial"/>
          <w:sz w:val="22"/>
          <w:szCs w:val="22"/>
        </w:rPr>
        <w:t xml:space="preserve">and </w:t>
      </w:r>
      <w:r w:rsidRPr="001B4153">
        <w:rPr>
          <w:rFonts w:ascii="Arial" w:hAnsi="Arial" w:cs="Arial"/>
          <w:sz w:val="22"/>
          <w:szCs w:val="22"/>
        </w:rPr>
        <w:t>race/ethnicity.</w:t>
      </w:r>
      <w:r w:rsidRPr="001B4153" w:rsidDel="007777E0">
        <w:rPr>
          <w:rFonts w:ascii="Arial" w:hAnsi="Arial" w:cs="Arial"/>
          <w:sz w:val="22"/>
          <w:szCs w:val="22"/>
        </w:rPr>
        <w:t xml:space="preserve"> </w:t>
      </w:r>
    </w:p>
    <w:p w:rsidR="002E105F" w:rsidRPr="006A07A2" w:rsidRDefault="002E105F" w:rsidP="002E105F">
      <w:pPr>
        <w:pStyle w:val="NoSpacing"/>
        <w:rPr>
          <w:rFonts w:ascii="Arial" w:hAnsi="Arial" w:cs="Arial"/>
          <w:sz w:val="20"/>
          <w:szCs w:val="20"/>
        </w:rPr>
      </w:pPr>
    </w:p>
    <w:p w:rsidR="002E105F" w:rsidRPr="00B2758D" w:rsidRDefault="002E105F" w:rsidP="002E105F">
      <w:pPr>
        <w:pStyle w:val="NoSpacing"/>
        <w:rPr>
          <w:rFonts w:ascii="Arial" w:hAnsi="Arial" w:cs="Arial"/>
          <w:b/>
          <w:sz w:val="20"/>
          <w:szCs w:val="20"/>
        </w:rPr>
      </w:pPr>
      <w:r w:rsidRPr="00B2758D">
        <w:rPr>
          <w:rFonts w:ascii="Arial" w:hAnsi="Arial" w:cs="Arial"/>
          <w:b/>
          <w:sz w:val="20"/>
          <w:szCs w:val="20"/>
        </w:rPr>
        <w:t>Margin of error</w:t>
      </w:r>
    </w:p>
    <w:tbl>
      <w:tblPr>
        <w:tblW w:w="4260" w:type="dxa"/>
        <w:tblInd w:w="-12" w:type="dxa"/>
        <w:tblCellMar>
          <w:left w:w="0" w:type="dxa"/>
          <w:right w:w="0" w:type="dxa"/>
        </w:tblCellMar>
        <w:tblLook w:val="04A0"/>
      </w:tblPr>
      <w:tblGrid>
        <w:gridCol w:w="1540"/>
        <w:gridCol w:w="1320"/>
        <w:gridCol w:w="1400"/>
      </w:tblGrid>
      <w:tr w:rsidR="002E105F" w:rsidRPr="006A07A2" w:rsidTr="00CC41FC">
        <w:trPr>
          <w:trHeight w:val="600"/>
        </w:trPr>
        <w:tc>
          <w:tcPr>
            <w:tcW w:w="154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Number of Groups</w:t>
            </w:r>
          </w:p>
        </w:tc>
        <w:tc>
          <w:tcPr>
            <w:tcW w:w="132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Sample Size</w:t>
            </w:r>
          </w:p>
        </w:tc>
        <w:tc>
          <w:tcPr>
            <w:tcW w:w="1400" w:type="dxa"/>
            <w:tcBorders>
              <w:top w:val="single" w:sz="8" w:space="0" w:color="auto"/>
              <w:left w:val="nil"/>
              <w:bottom w:val="single" w:sz="8" w:space="0" w:color="auto"/>
              <w:right w:val="nil"/>
            </w:tcBorders>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Margin of Error (95%)</w:t>
            </w:r>
          </w:p>
        </w:tc>
      </w:tr>
      <w:tr w:rsidR="002E105F" w:rsidRPr="006A07A2" w:rsidTr="00CC41FC">
        <w:trPr>
          <w:trHeight w:val="300"/>
        </w:trPr>
        <w:tc>
          <w:tcPr>
            <w:tcW w:w="1540" w:type="dxa"/>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1</w:t>
            </w:r>
          </w:p>
        </w:tc>
        <w:tc>
          <w:tcPr>
            <w:tcW w:w="1320" w:type="dxa"/>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800</w:t>
            </w:r>
          </w:p>
        </w:tc>
        <w:tc>
          <w:tcPr>
            <w:tcW w:w="1400" w:type="dxa"/>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3.80</w:t>
            </w:r>
          </w:p>
        </w:tc>
      </w:tr>
      <w:tr w:rsidR="002E105F" w:rsidRPr="006A07A2" w:rsidTr="00CC41FC">
        <w:trPr>
          <w:trHeight w:val="300"/>
        </w:trPr>
        <w:tc>
          <w:tcPr>
            <w:tcW w:w="1540" w:type="dxa"/>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2</w:t>
            </w:r>
          </w:p>
        </w:tc>
        <w:tc>
          <w:tcPr>
            <w:tcW w:w="1320" w:type="dxa"/>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400</w:t>
            </w:r>
          </w:p>
        </w:tc>
        <w:tc>
          <w:tcPr>
            <w:tcW w:w="1400" w:type="dxa"/>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5.37</w:t>
            </w:r>
          </w:p>
        </w:tc>
      </w:tr>
      <w:tr w:rsidR="002E105F" w:rsidRPr="006A07A2" w:rsidTr="00CC41FC">
        <w:trPr>
          <w:trHeight w:val="300"/>
        </w:trPr>
        <w:tc>
          <w:tcPr>
            <w:tcW w:w="1540" w:type="dxa"/>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3</w:t>
            </w:r>
          </w:p>
        </w:tc>
        <w:tc>
          <w:tcPr>
            <w:tcW w:w="1320" w:type="dxa"/>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267</w:t>
            </w:r>
          </w:p>
        </w:tc>
        <w:tc>
          <w:tcPr>
            <w:tcW w:w="1400" w:type="dxa"/>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6.57</w:t>
            </w:r>
          </w:p>
        </w:tc>
      </w:tr>
      <w:tr w:rsidR="002E105F" w:rsidRPr="006A07A2" w:rsidTr="00CC41FC">
        <w:trPr>
          <w:trHeight w:val="300"/>
        </w:trPr>
        <w:tc>
          <w:tcPr>
            <w:tcW w:w="1540" w:type="dxa"/>
            <w:tcBorders>
              <w:top w:val="nil"/>
              <w:left w:val="nil"/>
              <w:bottom w:val="single" w:sz="8" w:space="0" w:color="auto"/>
              <w:right w:val="nil"/>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4</w:t>
            </w:r>
          </w:p>
        </w:tc>
        <w:tc>
          <w:tcPr>
            <w:tcW w:w="1320" w:type="dxa"/>
            <w:tcBorders>
              <w:top w:val="nil"/>
              <w:left w:val="nil"/>
              <w:bottom w:val="single" w:sz="8" w:space="0" w:color="auto"/>
              <w:right w:val="nil"/>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200</w:t>
            </w:r>
          </w:p>
        </w:tc>
        <w:tc>
          <w:tcPr>
            <w:tcW w:w="1400" w:type="dxa"/>
            <w:tcBorders>
              <w:top w:val="nil"/>
              <w:left w:val="nil"/>
              <w:bottom w:val="single" w:sz="8" w:space="0" w:color="auto"/>
              <w:right w:val="nil"/>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color w:val="000000"/>
                <w:sz w:val="20"/>
                <w:szCs w:val="20"/>
              </w:rPr>
            </w:pPr>
            <w:r w:rsidRPr="006A07A2">
              <w:rPr>
                <w:rFonts w:ascii="Arial" w:hAnsi="Arial" w:cs="Arial"/>
                <w:color w:val="000000"/>
                <w:sz w:val="20"/>
                <w:szCs w:val="20"/>
              </w:rPr>
              <w:t>7.59</w:t>
            </w:r>
          </w:p>
        </w:tc>
      </w:tr>
    </w:tbl>
    <w:p w:rsidR="002E105F" w:rsidRDefault="002E105F" w:rsidP="002E105F">
      <w:pPr>
        <w:pStyle w:val="NoSpacing"/>
        <w:rPr>
          <w:rFonts w:ascii="Arial" w:hAnsi="Arial" w:cs="Arial"/>
          <w:sz w:val="20"/>
          <w:szCs w:val="20"/>
        </w:rPr>
      </w:pPr>
    </w:p>
    <w:p w:rsidR="002E105F" w:rsidRPr="006A07A2" w:rsidRDefault="002E105F" w:rsidP="002E105F">
      <w:pPr>
        <w:pStyle w:val="NoSpacing"/>
        <w:rPr>
          <w:rFonts w:ascii="Arial" w:hAnsi="Arial" w:cs="Arial"/>
          <w:sz w:val="20"/>
          <w:szCs w:val="20"/>
        </w:rPr>
      </w:pPr>
    </w:p>
    <w:tbl>
      <w:tblPr>
        <w:tblW w:w="3680" w:type="dxa"/>
        <w:tblInd w:w="-12" w:type="dxa"/>
        <w:tblCellMar>
          <w:left w:w="0" w:type="dxa"/>
          <w:right w:w="0" w:type="dxa"/>
        </w:tblCellMar>
        <w:tblLook w:val="04A0"/>
      </w:tblPr>
      <w:tblGrid>
        <w:gridCol w:w="2000"/>
        <w:gridCol w:w="1680"/>
      </w:tblGrid>
      <w:tr w:rsidR="002E105F" w:rsidRPr="006A07A2" w:rsidTr="00CC41FC">
        <w:trPr>
          <w:trHeight w:val="300"/>
        </w:trPr>
        <w:tc>
          <w:tcPr>
            <w:tcW w:w="36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Two Group Comparison</w:t>
            </w:r>
          </w:p>
        </w:tc>
      </w:tr>
      <w:tr w:rsidR="002E105F" w:rsidRPr="006A07A2" w:rsidTr="00CC41FC">
        <w:trPr>
          <w:trHeight w:val="300"/>
        </w:trPr>
        <w:tc>
          <w:tcPr>
            <w:tcW w:w="36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Minimum Detectable Effect Sizes</w:t>
            </w:r>
          </w:p>
        </w:tc>
      </w:tr>
      <w:tr w:rsidR="002E105F" w:rsidRPr="006A07A2" w:rsidTr="00CC41FC">
        <w:trPr>
          <w:trHeight w:val="300"/>
        </w:trPr>
        <w:tc>
          <w:tcPr>
            <w:tcW w:w="36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80% Power and α = .05</w:t>
            </w:r>
          </w:p>
        </w:tc>
      </w:tr>
      <w:tr w:rsidR="002E105F" w:rsidRPr="006A07A2" w:rsidTr="00CC41FC">
        <w:trPr>
          <w:trHeight w:val="600"/>
        </w:trPr>
        <w:tc>
          <w:tcPr>
            <w:tcW w:w="2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One Group's Proportion</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Effect Size</w:t>
            </w:r>
          </w:p>
        </w:tc>
      </w:tr>
      <w:tr w:rsidR="002E105F" w:rsidRPr="006A07A2" w:rsidTr="00CC41FC">
        <w:trPr>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10%</w:t>
            </w:r>
          </w:p>
        </w:tc>
        <w:tc>
          <w:tcPr>
            <w:tcW w:w="16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6.73%</w:t>
            </w:r>
          </w:p>
        </w:tc>
      </w:tr>
      <w:tr w:rsidR="002E105F" w:rsidRPr="006A07A2" w:rsidTr="00CC41FC">
        <w:trPr>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20%</w:t>
            </w:r>
          </w:p>
        </w:tc>
        <w:tc>
          <w:tcPr>
            <w:tcW w:w="16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8.48%</w:t>
            </w:r>
          </w:p>
        </w:tc>
      </w:tr>
      <w:tr w:rsidR="002E105F" w:rsidRPr="006A07A2" w:rsidTr="00CC41FC">
        <w:trPr>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30%</w:t>
            </w:r>
          </w:p>
        </w:tc>
        <w:tc>
          <w:tcPr>
            <w:tcW w:w="16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9.42%</w:t>
            </w:r>
          </w:p>
        </w:tc>
      </w:tr>
      <w:tr w:rsidR="002E105F" w:rsidRPr="006A07A2" w:rsidTr="00CC41FC">
        <w:trPr>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40%</w:t>
            </w:r>
          </w:p>
        </w:tc>
        <w:tc>
          <w:tcPr>
            <w:tcW w:w="16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9.81%</w:t>
            </w:r>
          </w:p>
        </w:tc>
      </w:tr>
      <w:tr w:rsidR="002E105F" w:rsidRPr="006A07A2" w:rsidTr="00CC41FC">
        <w:trPr>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50%</w:t>
            </w:r>
          </w:p>
        </w:tc>
        <w:tc>
          <w:tcPr>
            <w:tcW w:w="16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9.84%</w:t>
            </w:r>
          </w:p>
        </w:tc>
      </w:tr>
      <w:tr w:rsidR="002E105F" w:rsidRPr="006A07A2" w:rsidTr="00CC41FC">
        <w:trPr>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60%</w:t>
            </w:r>
          </w:p>
        </w:tc>
        <w:tc>
          <w:tcPr>
            <w:tcW w:w="16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9.44%</w:t>
            </w:r>
          </w:p>
        </w:tc>
      </w:tr>
      <w:tr w:rsidR="002E105F" w:rsidRPr="006A07A2" w:rsidTr="00CC41FC">
        <w:trPr>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70%</w:t>
            </w:r>
          </w:p>
        </w:tc>
        <w:tc>
          <w:tcPr>
            <w:tcW w:w="16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8.63%</w:t>
            </w:r>
          </w:p>
        </w:tc>
      </w:tr>
      <w:tr w:rsidR="002E105F" w:rsidRPr="006A07A2" w:rsidTr="00CC41FC">
        <w:trPr>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80%</w:t>
            </w:r>
          </w:p>
        </w:tc>
        <w:tc>
          <w:tcPr>
            <w:tcW w:w="16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7.20%</w:t>
            </w:r>
          </w:p>
        </w:tc>
      </w:tr>
      <w:tr w:rsidR="002E105F" w:rsidRPr="006A07A2" w:rsidTr="00CC41FC">
        <w:trPr>
          <w:trHeight w:val="300"/>
        </w:trPr>
        <w:tc>
          <w:tcPr>
            <w:tcW w:w="20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90%</w:t>
            </w:r>
          </w:p>
        </w:tc>
        <w:tc>
          <w:tcPr>
            <w:tcW w:w="168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2E105F" w:rsidRPr="006A07A2" w:rsidRDefault="002E105F" w:rsidP="00CC41FC">
            <w:pPr>
              <w:pStyle w:val="NoSpacing"/>
              <w:jc w:val="center"/>
              <w:rPr>
                <w:rFonts w:ascii="Arial" w:hAnsi="Arial" w:cs="Arial"/>
                <w:sz w:val="20"/>
                <w:szCs w:val="20"/>
              </w:rPr>
            </w:pPr>
            <w:r w:rsidRPr="006A07A2">
              <w:rPr>
                <w:rFonts w:ascii="Arial" w:hAnsi="Arial" w:cs="Arial"/>
                <w:sz w:val="20"/>
                <w:szCs w:val="20"/>
              </w:rPr>
              <w:t>5.10%</w:t>
            </w:r>
          </w:p>
        </w:tc>
      </w:tr>
    </w:tbl>
    <w:p w:rsidR="002E105F" w:rsidRDefault="00DC0342" w:rsidP="00DC0342">
      <w:pPr>
        <w:jc w:val="center"/>
        <w:rPr>
          <w:b/>
        </w:rPr>
      </w:pPr>
      <w:r>
        <w:rPr>
          <w:b/>
        </w:rPr>
        <w:t xml:space="preserve">APPENDIX </w:t>
      </w:r>
      <w:r w:rsidR="002E105F">
        <w:rPr>
          <w:b/>
        </w:rPr>
        <w:t>C:  TENTATIVE CONFERENCE AGENDA</w:t>
      </w:r>
    </w:p>
    <w:p w:rsidR="00DC0342" w:rsidRDefault="00DC0342" w:rsidP="00DC0342">
      <w:pPr>
        <w:jc w:val="center"/>
        <w:rPr>
          <w:b/>
        </w:rPr>
      </w:pPr>
      <w:r>
        <w:rPr>
          <w:b/>
        </w:rPr>
        <w:t>THE CARD ACT:  ONE YEAR LATER</w:t>
      </w:r>
    </w:p>
    <w:p w:rsidR="00DC0342" w:rsidRDefault="00DC0342" w:rsidP="00DC0342">
      <w:pPr>
        <w:jc w:val="center"/>
        <w:rPr>
          <w:b/>
        </w:rPr>
      </w:pPr>
    </w:p>
    <w:p w:rsidR="00DC0342" w:rsidRDefault="00DC0342" w:rsidP="00DC0342">
      <w:pPr>
        <w:jc w:val="both"/>
      </w:pPr>
      <w:r>
        <w:rPr>
          <w:b/>
        </w:rPr>
        <w:t xml:space="preserve">8:30 </w:t>
      </w:r>
      <w:r>
        <w:rPr>
          <w:b/>
        </w:rPr>
        <w:tab/>
      </w:r>
      <w:r>
        <w:t>Coffee</w:t>
      </w:r>
    </w:p>
    <w:p w:rsidR="00DC0342" w:rsidRDefault="00DC0342" w:rsidP="00DC0342">
      <w:pPr>
        <w:jc w:val="both"/>
      </w:pPr>
    </w:p>
    <w:p w:rsidR="00DC0342" w:rsidRDefault="00DC0342" w:rsidP="00DC0342">
      <w:pPr>
        <w:jc w:val="both"/>
      </w:pPr>
      <w:r>
        <w:rPr>
          <w:b/>
        </w:rPr>
        <w:t>9:00</w:t>
      </w:r>
      <w:r>
        <w:rPr>
          <w:b/>
        </w:rPr>
        <w:tab/>
      </w:r>
      <w:r>
        <w:t>Welcome and Keynote Address</w:t>
      </w:r>
    </w:p>
    <w:p w:rsidR="00DC0342" w:rsidRDefault="00DC0342" w:rsidP="00DC0342">
      <w:pPr>
        <w:jc w:val="both"/>
      </w:pPr>
    </w:p>
    <w:p w:rsidR="00DC0342" w:rsidRDefault="00DC0342" w:rsidP="00DC0342">
      <w:pPr>
        <w:jc w:val="both"/>
        <w:rPr>
          <w:b/>
        </w:rPr>
      </w:pPr>
      <w:r>
        <w:rPr>
          <w:b/>
        </w:rPr>
        <w:t>9:30 – 10:45</w:t>
      </w:r>
      <w:r>
        <w:rPr>
          <w:b/>
        </w:rPr>
        <w:tab/>
      </w:r>
      <w:r>
        <w:rPr>
          <w:b/>
        </w:rPr>
        <w:tab/>
        <w:t>The Supply of Credit  in the Card Market</w:t>
      </w:r>
    </w:p>
    <w:p w:rsidR="00DC0342" w:rsidRDefault="00DC0342" w:rsidP="00DC0342">
      <w:pPr>
        <w:jc w:val="both"/>
      </w:pPr>
    </w:p>
    <w:p w:rsidR="00DC0342" w:rsidRDefault="00DC0342" w:rsidP="00DC0342">
      <w:pPr>
        <w:jc w:val="both"/>
      </w:pPr>
      <w:r>
        <w:tab/>
        <w:t>Moderator:</w:t>
      </w:r>
      <w:r>
        <w:tab/>
        <w:t>Marla Blow, CFPB</w:t>
      </w:r>
    </w:p>
    <w:p w:rsidR="00DC0342" w:rsidRDefault="00DC0342" w:rsidP="00DC0342">
      <w:pPr>
        <w:jc w:val="both"/>
      </w:pPr>
    </w:p>
    <w:p w:rsidR="00DC0342" w:rsidRDefault="00DC0342" w:rsidP="00DC0342">
      <w:pPr>
        <w:ind w:firstLine="720"/>
        <w:jc w:val="both"/>
      </w:pPr>
      <w:r>
        <w:t>Presenters:</w:t>
      </w:r>
      <w:r>
        <w:tab/>
        <w:t>Andrew Davidson, Mintel Comperemedia</w:t>
      </w:r>
    </w:p>
    <w:p w:rsidR="00DC0342" w:rsidRDefault="00DC0342" w:rsidP="00DC0342">
      <w:pPr>
        <w:jc w:val="both"/>
      </w:pPr>
      <w:r>
        <w:tab/>
      </w:r>
      <w:r>
        <w:tab/>
      </w:r>
      <w:r>
        <w:tab/>
        <w:t>Michele Ranieri, Experian</w:t>
      </w:r>
    </w:p>
    <w:p w:rsidR="00DC0342" w:rsidRDefault="00DC0342" w:rsidP="00DC0342">
      <w:pPr>
        <w:jc w:val="both"/>
      </w:pPr>
    </w:p>
    <w:p w:rsidR="00DC0342" w:rsidRDefault="00DC0342" w:rsidP="00DC0342">
      <w:pPr>
        <w:jc w:val="both"/>
      </w:pPr>
      <w:r>
        <w:tab/>
        <w:t>Discussants:</w:t>
      </w:r>
      <w:r>
        <w:tab/>
        <w:t>Prof. Angela Littwin, University of Texas School of Law</w:t>
      </w:r>
    </w:p>
    <w:p w:rsidR="00DC0342" w:rsidRDefault="00DC0342" w:rsidP="00DC0342">
      <w:pPr>
        <w:jc w:val="both"/>
      </w:pPr>
      <w:r>
        <w:tab/>
      </w:r>
      <w:r>
        <w:tab/>
      </w:r>
      <w:r>
        <w:tab/>
        <w:t xml:space="preserve">Glenn Canner, FRB </w:t>
      </w:r>
    </w:p>
    <w:p w:rsidR="00DC0342" w:rsidRDefault="00DC0342" w:rsidP="00DC0342">
      <w:pPr>
        <w:jc w:val="both"/>
      </w:pPr>
    </w:p>
    <w:p w:rsidR="00DC0342" w:rsidRDefault="00DC0342" w:rsidP="00DC0342">
      <w:pPr>
        <w:jc w:val="both"/>
        <w:rPr>
          <w:b/>
        </w:rPr>
      </w:pPr>
      <w:r>
        <w:rPr>
          <w:b/>
        </w:rPr>
        <w:t>11:00 – 12:15</w:t>
      </w:r>
      <w:r>
        <w:rPr>
          <w:b/>
        </w:rPr>
        <w:tab/>
      </w:r>
      <w:r>
        <w:rPr>
          <w:b/>
        </w:rPr>
        <w:tab/>
        <w:t>The Demand for and Price of Credit in the Card Market</w:t>
      </w:r>
    </w:p>
    <w:p w:rsidR="00DC0342" w:rsidRDefault="00DC0342" w:rsidP="00DC0342">
      <w:pPr>
        <w:jc w:val="both"/>
        <w:rPr>
          <w:b/>
        </w:rPr>
      </w:pPr>
    </w:p>
    <w:p w:rsidR="00DC0342" w:rsidRDefault="00DC0342" w:rsidP="00DC0342">
      <w:pPr>
        <w:jc w:val="both"/>
      </w:pPr>
      <w:r>
        <w:rPr>
          <w:b/>
        </w:rPr>
        <w:tab/>
      </w:r>
      <w:r>
        <w:t>Moderator:</w:t>
      </w:r>
      <w:r>
        <w:tab/>
        <w:t>Robert Hunt, Philadelphia Federal Reserve Board</w:t>
      </w:r>
    </w:p>
    <w:p w:rsidR="00DC0342" w:rsidRDefault="00DC0342" w:rsidP="00DC0342">
      <w:pPr>
        <w:jc w:val="both"/>
      </w:pPr>
    </w:p>
    <w:p w:rsidR="00DC0342" w:rsidRDefault="00DC0342" w:rsidP="00DC0342">
      <w:pPr>
        <w:jc w:val="both"/>
      </w:pPr>
      <w:r>
        <w:tab/>
        <w:t>Presenters:</w:t>
      </w:r>
      <w:r>
        <w:tab/>
        <w:t>Leonard Laufer, Argus Research and Advisory Services*</w:t>
      </w:r>
    </w:p>
    <w:p w:rsidR="00DC0342" w:rsidRDefault="00DC0342" w:rsidP="00DC0342">
      <w:pPr>
        <w:jc w:val="both"/>
      </w:pPr>
      <w:r>
        <w:tab/>
      </w:r>
      <w:r>
        <w:tab/>
      </w:r>
      <w:r>
        <w:tab/>
        <w:t>Ezra Becker, TransUnion</w:t>
      </w:r>
    </w:p>
    <w:p w:rsidR="00DC0342" w:rsidRDefault="00DC0342" w:rsidP="00DC0342">
      <w:pPr>
        <w:jc w:val="both"/>
      </w:pPr>
    </w:p>
    <w:p w:rsidR="00DC0342" w:rsidRDefault="00DC0342" w:rsidP="00DC0342">
      <w:pPr>
        <w:jc w:val="both"/>
      </w:pPr>
      <w:r>
        <w:tab/>
        <w:t>Discussants:</w:t>
      </w:r>
      <w:r>
        <w:tab/>
        <w:t>Moshe Orenbuch, Credit Suisse</w:t>
      </w:r>
    </w:p>
    <w:p w:rsidR="00DC0342" w:rsidRDefault="00DC0342" w:rsidP="00DC0342">
      <w:pPr>
        <w:jc w:val="both"/>
      </w:pPr>
      <w:r>
        <w:tab/>
      </w:r>
      <w:r>
        <w:tab/>
      </w:r>
      <w:r>
        <w:tab/>
        <w:t>Dr. Larence Ausubel, University of Maryland</w:t>
      </w:r>
    </w:p>
    <w:p w:rsidR="00DC0342" w:rsidRDefault="00DC0342" w:rsidP="00DC0342">
      <w:pPr>
        <w:jc w:val="both"/>
      </w:pPr>
    </w:p>
    <w:p w:rsidR="00DC0342" w:rsidRDefault="00DC0342" w:rsidP="00DC0342">
      <w:pPr>
        <w:jc w:val="both"/>
        <w:rPr>
          <w:b/>
        </w:rPr>
      </w:pPr>
      <w:r>
        <w:rPr>
          <w:b/>
        </w:rPr>
        <w:t>12:15 – 1:00</w:t>
      </w:r>
      <w:r>
        <w:rPr>
          <w:b/>
        </w:rPr>
        <w:tab/>
      </w:r>
      <w:r>
        <w:rPr>
          <w:b/>
        </w:rPr>
        <w:tab/>
        <w:t>Lunch</w:t>
      </w:r>
    </w:p>
    <w:p w:rsidR="00DC0342" w:rsidRDefault="00DC0342" w:rsidP="00DC0342">
      <w:pPr>
        <w:jc w:val="both"/>
        <w:rPr>
          <w:b/>
        </w:rPr>
      </w:pPr>
    </w:p>
    <w:p w:rsidR="00DC0342" w:rsidRDefault="00DC0342" w:rsidP="00DC0342">
      <w:pPr>
        <w:jc w:val="both"/>
        <w:rPr>
          <w:b/>
        </w:rPr>
      </w:pPr>
      <w:r>
        <w:rPr>
          <w:b/>
        </w:rPr>
        <w:t>1:00 – 2:15</w:t>
      </w:r>
      <w:r>
        <w:rPr>
          <w:b/>
        </w:rPr>
        <w:tab/>
      </w:r>
      <w:r>
        <w:rPr>
          <w:b/>
        </w:rPr>
        <w:tab/>
        <w:t>Changes in Consumer Card Behavior</w:t>
      </w:r>
    </w:p>
    <w:p w:rsidR="00DC0342" w:rsidRDefault="00DC0342" w:rsidP="00DC0342">
      <w:pPr>
        <w:jc w:val="both"/>
        <w:rPr>
          <w:b/>
        </w:rPr>
      </w:pPr>
    </w:p>
    <w:p w:rsidR="00DC0342" w:rsidRDefault="00DC0342" w:rsidP="00DC0342">
      <w:pPr>
        <w:jc w:val="both"/>
      </w:pPr>
      <w:r>
        <w:rPr>
          <w:b/>
        </w:rPr>
        <w:tab/>
      </w:r>
      <w:r>
        <w:t>Moderator:</w:t>
      </w:r>
      <w:r>
        <w:tab/>
        <w:t>Kathleen Johnson, FRB</w:t>
      </w:r>
    </w:p>
    <w:p w:rsidR="00DC0342" w:rsidRDefault="00DC0342" w:rsidP="00DC0342">
      <w:pPr>
        <w:jc w:val="both"/>
      </w:pPr>
    </w:p>
    <w:p w:rsidR="00DC0342" w:rsidRDefault="00DC0342" w:rsidP="00DC0342">
      <w:pPr>
        <w:jc w:val="both"/>
      </w:pPr>
      <w:r>
        <w:tab/>
        <w:t>Presenters:</w:t>
      </w:r>
      <w:r>
        <w:tab/>
        <w:t>Dennis Campbell, Harvard Business School*</w:t>
      </w:r>
    </w:p>
    <w:p w:rsidR="00DC0342" w:rsidRDefault="00DC0342" w:rsidP="00DC0342">
      <w:pPr>
        <w:jc w:val="both"/>
      </w:pPr>
      <w:r>
        <w:tab/>
      </w:r>
      <w:r>
        <w:tab/>
      </w:r>
      <w:r>
        <w:tab/>
        <w:t>Synovate*</w:t>
      </w:r>
    </w:p>
    <w:p w:rsidR="00DC0342" w:rsidRDefault="00DC0342" w:rsidP="00DC0342">
      <w:pPr>
        <w:jc w:val="both"/>
      </w:pPr>
    </w:p>
    <w:p w:rsidR="00DC0342" w:rsidRDefault="00DC0342" w:rsidP="00DC0342">
      <w:pPr>
        <w:jc w:val="both"/>
      </w:pPr>
      <w:r>
        <w:tab/>
        <w:t>Discussants:</w:t>
      </w:r>
      <w:r>
        <w:tab/>
        <w:t>Dr. Jeanne Hogarth, FRB</w:t>
      </w:r>
    </w:p>
    <w:p w:rsidR="00DC0342" w:rsidRDefault="00DC0342" w:rsidP="00DC0342">
      <w:pPr>
        <w:jc w:val="both"/>
      </w:pPr>
      <w:r>
        <w:tab/>
      </w:r>
      <w:r>
        <w:tab/>
      </w:r>
      <w:r>
        <w:tab/>
        <w:t>Dr. Patricia Sahm, Auriemma Consulting Group</w:t>
      </w:r>
    </w:p>
    <w:p w:rsidR="00DC0342" w:rsidRDefault="00DC0342" w:rsidP="00DC0342">
      <w:pPr>
        <w:jc w:val="both"/>
      </w:pPr>
    </w:p>
    <w:p w:rsidR="00DC0342" w:rsidRDefault="00DC0342" w:rsidP="00DC0342">
      <w:pPr>
        <w:jc w:val="both"/>
        <w:rPr>
          <w:b/>
        </w:rPr>
      </w:pPr>
      <w:r>
        <w:rPr>
          <w:b/>
        </w:rPr>
        <w:t>2:20 – 3:30</w:t>
      </w:r>
      <w:r>
        <w:rPr>
          <w:b/>
        </w:rPr>
        <w:tab/>
      </w:r>
      <w:r>
        <w:rPr>
          <w:b/>
        </w:rPr>
        <w:tab/>
        <w:t>Implications for Public Policy</w:t>
      </w:r>
    </w:p>
    <w:p w:rsidR="00DC0342" w:rsidRDefault="00DC0342" w:rsidP="00DC0342">
      <w:pPr>
        <w:jc w:val="both"/>
        <w:rPr>
          <w:b/>
        </w:rPr>
      </w:pPr>
    </w:p>
    <w:p w:rsidR="00DC0342" w:rsidRDefault="00DC0342" w:rsidP="00DC0342">
      <w:pPr>
        <w:jc w:val="both"/>
      </w:pPr>
      <w:r>
        <w:rPr>
          <w:b/>
        </w:rPr>
        <w:tab/>
      </w:r>
      <w:r>
        <w:t>Moderator:</w:t>
      </w:r>
      <w:r>
        <w:tab/>
        <w:t>David Silberman, CFPB</w:t>
      </w:r>
    </w:p>
    <w:p w:rsidR="00DC0342" w:rsidRDefault="00DC0342" w:rsidP="00DC0342">
      <w:pPr>
        <w:jc w:val="both"/>
      </w:pPr>
    </w:p>
    <w:p w:rsidR="00DC0342" w:rsidRDefault="00DC0342" w:rsidP="00DC0342">
      <w:pPr>
        <w:jc w:val="both"/>
      </w:pPr>
      <w:r>
        <w:tab/>
        <w:t>Panelists:</w:t>
      </w:r>
      <w:r>
        <w:tab/>
        <w:t>Oliver Ireland, Morrison &amp; Foerster</w:t>
      </w:r>
    </w:p>
    <w:p w:rsidR="00DC0342" w:rsidRDefault="00DC0342" w:rsidP="00DC0342">
      <w:pPr>
        <w:jc w:val="both"/>
      </w:pPr>
      <w:r>
        <w:tab/>
      </w:r>
      <w:r>
        <w:tab/>
      </w:r>
      <w:r>
        <w:tab/>
        <w:t xml:space="preserve">Josh Franks, Center for Responsible Lending </w:t>
      </w:r>
    </w:p>
    <w:p w:rsidR="00DC0342" w:rsidRDefault="00DC0342" w:rsidP="00DC0342">
      <w:pPr>
        <w:jc w:val="both"/>
      </w:pPr>
      <w:r>
        <w:tab/>
      </w:r>
      <w:r>
        <w:tab/>
      </w:r>
      <w:r>
        <w:tab/>
        <w:t>Professor Katherine Porter, University of Iowa School of Law</w:t>
      </w:r>
    </w:p>
    <w:p w:rsidR="00DC0342" w:rsidRPr="00B103D0" w:rsidRDefault="00DC0342" w:rsidP="00DC0342">
      <w:pPr>
        <w:jc w:val="both"/>
      </w:pPr>
      <w:r>
        <w:tab/>
      </w:r>
      <w:r>
        <w:tab/>
      </w:r>
      <w:r>
        <w:tab/>
        <w:t xml:space="preserve">David Watson, Merrick Bank* </w:t>
      </w:r>
    </w:p>
    <w:p w:rsidR="00DC0342" w:rsidRDefault="00DC0342" w:rsidP="00DC0342">
      <w:pPr>
        <w:keepNext/>
        <w:jc w:val="center"/>
        <w:outlineLvl w:val="1"/>
        <w:rPr>
          <w:rFonts w:ascii="Arial" w:hAnsi="Arial" w:cs="Arial"/>
          <w:b/>
        </w:rPr>
      </w:pPr>
      <w:bookmarkStart w:id="0" w:name="_Toc237236510"/>
      <w:r>
        <w:rPr>
          <w:rFonts w:ascii="Arial" w:hAnsi="Arial" w:cs="Arial"/>
          <w:b/>
        </w:rPr>
        <w:t xml:space="preserve">APPENDIX </w:t>
      </w:r>
      <w:r w:rsidR="002E105F">
        <w:rPr>
          <w:rFonts w:ascii="Arial" w:hAnsi="Arial" w:cs="Arial"/>
          <w:b/>
        </w:rPr>
        <w:t>D</w:t>
      </w:r>
      <w:r>
        <w:rPr>
          <w:rFonts w:ascii="Arial" w:hAnsi="Arial" w:cs="Arial"/>
          <w:b/>
        </w:rPr>
        <w:t xml:space="preserve"> – SYNOVATE DEMONSTRATION OF EXPERTISE</w:t>
      </w:r>
    </w:p>
    <w:p w:rsidR="00DC0342" w:rsidRDefault="00DC0342" w:rsidP="00DC0342">
      <w:pPr>
        <w:keepNext/>
        <w:outlineLvl w:val="1"/>
        <w:rPr>
          <w:rFonts w:ascii="Arial" w:hAnsi="Arial" w:cs="Arial"/>
          <w:b/>
        </w:rPr>
      </w:pPr>
    </w:p>
    <w:p w:rsidR="00DC0342" w:rsidRPr="001E1070" w:rsidRDefault="00DC0342" w:rsidP="00DC0342">
      <w:pPr>
        <w:keepNext/>
        <w:outlineLvl w:val="1"/>
        <w:rPr>
          <w:rFonts w:ascii="Arial" w:hAnsi="Arial" w:cs="Arial"/>
          <w:b/>
        </w:rPr>
      </w:pPr>
      <w:r w:rsidRPr="001E1070">
        <w:rPr>
          <w:rFonts w:ascii="Arial" w:hAnsi="Arial" w:cs="Arial"/>
          <w:b/>
        </w:rPr>
        <w:t>Why Synovate</w:t>
      </w:r>
      <w:bookmarkEnd w:id="0"/>
    </w:p>
    <w:p w:rsidR="00DC0342" w:rsidRPr="00EB21CE" w:rsidRDefault="00DC0342" w:rsidP="00DC0342">
      <w:pPr>
        <w:keepNext/>
        <w:rPr>
          <w:rFonts w:ascii="Arial" w:hAnsi="Arial" w:cs="Arial"/>
          <w:sz w:val="20"/>
          <w:szCs w:val="20"/>
        </w:rPr>
      </w:pPr>
    </w:p>
    <w:p w:rsidR="00DC0342" w:rsidRPr="00CC4357" w:rsidRDefault="00DC0342" w:rsidP="00DC0342">
      <w:pPr>
        <w:keepNext/>
        <w:rPr>
          <w:rFonts w:ascii="Arial" w:hAnsi="Arial" w:cs="Arial"/>
          <w:sz w:val="20"/>
          <w:szCs w:val="20"/>
        </w:rPr>
      </w:pPr>
      <w:r w:rsidRPr="00CC4357">
        <w:rPr>
          <w:rFonts w:ascii="Arial" w:hAnsi="Arial" w:cs="Arial"/>
          <w:sz w:val="20"/>
          <w:szCs w:val="20"/>
        </w:rPr>
        <w:t>Synovate is a full-service survey and marketing research firm.  Established in 1946 as Market Facts, Synovate is one of the longest-tenured companies in the survey and market research industry.  Synovate has the knowledge, experience, and resources that will drive success on these surveys.  Our firm is an outstanding choice for several reasons:</w:t>
      </w:r>
    </w:p>
    <w:p w:rsidR="00DC0342" w:rsidRPr="00810F49" w:rsidRDefault="00DC0342" w:rsidP="00DC0342">
      <w:pPr>
        <w:numPr>
          <w:ilvl w:val="0"/>
          <w:numId w:val="5"/>
        </w:numPr>
        <w:spacing w:before="80" w:after="80"/>
        <w:rPr>
          <w:rFonts w:ascii="Arial" w:hAnsi="Arial" w:cs="Arial"/>
          <w:sz w:val="20"/>
          <w:szCs w:val="20"/>
        </w:rPr>
      </w:pPr>
      <w:r w:rsidRPr="00810F49">
        <w:rPr>
          <w:rFonts w:ascii="Arial" w:hAnsi="Arial" w:cs="Arial"/>
          <w:sz w:val="20"/>
          <w:szCs w:val="20"/>
        </w:rPr>
        <w:t xml:space="preserve">Synovate has extensive experience with studies polling and collecting information about attitudes, awareness, opinions and experience with current events, services provided and testing materials from advertising, new services, and general knowledge.  </w:t>
      </w:r>
    </w:p>
    <w:p w:rsidR="00DC0342" w:rsidRPr="00810F49" w:rsidRDefault="00DC0342" w:rsidP="00DC0342">
      <w:pPr>
        <w:numPr>
          <w:ilvl w:val="0"/>
          <w:numId w:val="5"/>
        </w:numPr>
        <w:spacing w:after="80"/>
        <w:rPr>
          <w:rFonts w:ascii="Arial" w:hAnsi="Arial" w:cs="Arial"/>
          <w:sz w:val="20"/>
          <w:szCs w:val="20"/>
        </w:rPr>
      </w:pPr>
      <w:r w:rsidRPr="00810F49">
        <w:rPr>
          <w:rFonts w:ascii="Arial" w:hAnsi="Arial" w:cs="Arial"/>
          <w:sz w:val="20"/>
          <w:szCs w:val="20"/>
        </w:rPr>
        <w:t>Our Public Sector Research Group and Financial Services Group together provide the requisite understanding of the CARD Act and its context in consumer finance.</w:t>
      </w:r>
    </w:p>
    <w:p w:rsidR="00DC0342" w:rsidRPr="00810F49" w:rsidRDefault="00DC0342" w:rsidP="00DC0342">
      <w:pPr>
        <w:numPr>
          <w:ilvl w:val="0"/>
          <w:numId w:val="5"/>
        </w:numPr>
        <w:spacing w:after="80"/>
        <w:rPr>
          <w:rFonts w:ascii="Arial" w:hAnsi="Arial" w:cs="Arial"/>
          <w:sz w:val="20"/>
          <w:szCs w:val="20"/>
        </w:rPr>
      </w:pPr>
      <w:r w:rsidRPr="00810F49">
        <w:rPr>
          <w:rFonts w:ascii="Arial" w:hAnsi="Arial" w:cs="Arial"/>
          <w:sz w:val="20"/>
          <w:szCs w:val="20"/>
        </w:rPr>
        <w:t>Synovate has the personnel, resources, and experience necessary to administer complex telephone polls over a short period of time, including experienced programming, field management and data processing staff, a telephone center in Fresno, CA, with more than 100 CATI stations, and protocols and procedures to ensure high quality data collection.</w:t>
      </w:r>
    </w:p>
    <w:p w:rsidR="00DC0342" w:rsidRPr="00810F49" w:rsidRDefault="00DC0342" w:rsidP="00DC0342">
      <w:pPr>
        <w:numPr>
          <w:ilvl w:val="0"/>
          <w:numId w:val="5"/>
        </w:numPr>
        <w:spacing w:after="80"/>
        <w:rPr>
          <w:rFonts w:ascii="Arial" w:hAnsi="Arial" w:cs="Arial"/>
          <w:sz w:val="20"/>
          <w:szCs w:val="20"/>
        </w:rPr>
      </w:pPr>
      <w:r w:rsidRPr="00810F49">
        <w:rPr>
          <w:rFonts w:ascii="Arial" w:hAnsi="Arial" w:cs="Arial"/>
          <w:sz w:val="20"/>
          <w:szCs w:val="20"/>
        </w:rPr>
        <w:t>We also have extensive resources and expertise in conducting online studies, completing over 2.5 million online surveys annually for a wide range of public and private sector clients.</w:t>
      </w:r>
    </w:p>
    <w:p w:rsidR="00DC0342" w:rsidRPr="00810F49" w:rsidRDefault="00DC0342" w:rsidP="00DC0342">
      <w:pPr>
        <w:numPr>
          <w:ilvl w:val="0"/>
          <w:numId w:val="5"/>
        </w:numPr>
        <w:spacing w:after="80"/>
        <w:rPr>
          <w:rFonts w:ascii="Arial" w:hAnsi="Arial" w:cs="Arial"/>
          <w:sz w:val="20"/>
          <w:szCs w:val="20"/>
        </w:rPr>
      </w:pPr>
      <w:r w:rsidRPr="00810F49">
        <w:rPr>
          <w:rFonts w:ascii="Arial" w:hAnsi="Arial" w:cs="Arial"/>
          <w:sz w:val="20"/>
          <w:szCs w:val="20"/>
        </w:rPr>
        <w:t>As the world’s 7</w:t>
      </w:r>
      <w:r w:rsidRPr="00810F49">
        <w:rPr>
          <w:rFonts w:ascii="Arial" w:hAnsi="Arial" w:cs="Arial"/>
          <w:sz w:val="20"/>
          <w:szCs w:val="20"/>
          <w:vertAlign w:val="superscript"/>
        </w:rPr>
        <w:t>th</w:t>
      </w:r>
      <w:r w:rsidRPr="00810F49">
        <w:rPr>
          <w:rFonts w:ascii="Arial" w:hAnsi="Arial" w:cs="Arial"/>
          <w:sz w:val="20"/>
          <w:szCs w:val="20"/>
        </w:rPr>
        <w:t xml:space="preserve"> largest survey research firm, we will be able to devote the necessary resources to conduct the survey.</w:t>
      </w:r>
    </w:p>
    <w:p w:rsidR="004B0678" w:rsidRDefault="004B0678" w:rsidP="00DC0342">
      <w:pPr>
        <w:rPr>
          <w:rFonts w:ascii="Times New Roman" w:hAnsi="Times New Roman"/>
          <w:sz w:val="24"/>
          <w:szCs w:val="24"/>
        </w:rPr>
      </w:pPr>
    </w:p>
    <w:p w:rsidR="00DC0342" w:rsidRDefault="00DC0342" w:rsidP="00DC0342">
      <w:pPr>
        <w:spacing w:after="200" w:line="276" w:lineRule="auto"/>
        <w:contextualSpacing/>
        <w:rPr>
          <w:rFonts w:ascii="Arial" w:hAnsi="Arial" w:cs="Arial"/>
          <w:b/>
        </w:rPr>
      </w:pPr>
      <w:r w:rsidRPr="00DC0342">
        <w:rPr>
          <w:rFonts w:ascii="Arial" w:hAnsi="Arial" w:cs="Arial"/>
          <w:b/>
        </w:rPr>
        <w:t>Demonstration of Expertise</w:t>
      </w:r>
    </w:p>
    <w:p w:rsidR="00DC0342" w:rsidRPr="00DC0342" w:rsidRDefault="00DC0342" w:rsidP="00DC0342">
      <w:pPr>
        <w:spacing w:after="200" w:line="276" w:lineRule="auto"/>
        <w:contextualSpacing/>
        <w:rPr>
          <w:rFonts w:ascii="Arial" w:hAnsi="Arial" w:cs="Arial"/>
          <w:b/>
        </w:rPr>
      </w:pPr>
    </w:p>
    <w:p w:rsidR="00DC0342" w:rsidRPr="005B252F" w:rsidRDefault="00DC0342" w:rsidP="00DC0342">
      <w:pPr>
        <w:rPr>
          <w:rFonts w:ascii="Arial" w:hAnsi="Arial" w:cs="Arial"/>
          <w:sz w:val="20"/>
          <w:szCs w:val="20"/>
        </w:rPr>
      </w:pPr>
      <w:r w:rsidRPr="005B252F">
        <w:rPr>
          <w:rFonts w:ascii="Arial" w:hAnsi="Arial" w:cs="Arial"/>
          <w:sz w:val="20"/>
          <w:szCs w:val="20"/>
        </w:rPr>
        <w:t>Synovate is a large supplier of research services to the Federal Government.  We</w:t>
      </w:r>
      <w:r>
        <w:rPr>
          <w:rFonts w:ascii="Arial" w:hAnsi="Arial" w:cs="Arial"/>
          <w:sz w:val="20"/>
          <w:szCs w:val="20"/>
        </w:rPr>
        <w:t xml:space="preserve"> have </w:t>
      </w:r>
      <w:r w:rsidRPr="005B252F">
        <w:rPr>
          <w:rFonts w:ascii="Arial" w:hAnsi="Arial" w:cs="Arial"/>
          <w:sz w:val="20"/>
          <w:szCs w:val="20"/>
        </w:rPr>
        <w:t xml:space="preserve">conducted or </w:t>
      </w:r>
      <w:r>
        <w:rPr>
          <w:rFonts w:ascii="Arial" w:hAnsi="Arial" w:cs="Arial"/>
          <w:sz w:val="20"/>
          <w:szCs w:val="20"/>
        </w:rPr>
        <w:t>currently conduct</w:t>
      </w:r>
      <w:r w:rsidRPr="005B252F">
        <w:rPr>
          <w:rFonts w:ascii="Arial" w:hAnsi="Arial" w:cs="Arial"/>
          <w:sz w:val="20"/>
          <w:szCs w:val="20"/>
        </w:rPr>
        <w:t xml:space="preserve"> studies for </w:t>
      </w:r>
      <w:r>
        <w:rPr>
          <w:rFonts w:ascii="Arial" w:hAnsi="Arial" w:cs="Arial"/>
          <w:sz w:val="20"/>
          <w:szCs w:val="20"/>
        </w:rPr>
        <w:t>numerous</w:t>
      </w:r>
      <w:r w:rsidRPr="005B252F">
        <w:rPr>
          <w:rFonts w:ascii="Arial" w:hAnsi="Arial" w:cs="Arial"/>
          <w:sz w:val="20"/>
          <w:szCs w:val="20"/>
        </w:rPr>
        <w:t xml:space="preserve"> Federal agencies including:</w:t>
      </w:r>
    </w:p>
    <w:p w:rsidR="00DC0342" w:rsidRPr="005B252F" w:rsidRDefault="00DC0342" w:rsidP="00DC0342">
      <w:pPr>
        <w:rPr>
          <w:rFonts w:ascii="Arial" w:hAnsi="Arial" w:cs="Arial"/>
          <w:sz w:val="20"/>
          <w:szCs w:val="20"/>
        </w:rPr>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4788"/>
      </w:tblGrid>
      <w:tr w:rsidR="00DC0342" w:rsidRPr="005B252F" w:rsidTr="00DC0342">
        <w:trPr>
          <w:trHeight w:val="1053"/>
        </w:trPr>
        <w:tc>
          <w:tcPr>
            <w:tcW w:w="5238" w:type="dxa"/>
          </w:tcPr>
          <w:p w:rsidR="00DC0342" w:rsidRPr="005B252F" w:rsidRDefault="00DC0342" w:rsidP="00DC0342">
            <w:pPr>
              <w:pStyle w:val="ListParagraph"/>
              <w:numPr>
                <w:ilvl w:val="0"/>
                <w:numId w:val="7"/>
              </w:numPr>
              <w:contextualSpacing/>
              <w:rPr>
                <w:rFonts w:ascii="Arial" w:hAnsi="Arial" w:cs="Arial"/>
                <w:sz w:val="20"/>
                <w:szCs w:val="20"/>
              </w:rPr>
            </w:pPr>
            <w:r w:rsidRPr="005B252F">
              <w:rPr>
                <w:rFonts w:ascii="Arial" w:hAnsi="Arial" w:cs="Arial"/>
                <w:sz w:val="20"/>
                <w:szCs w:val="20"/>
              </w:rPr>
              <w:t>The Food and Drug Administration</w:t>
            </w:r>
          </w:p>
          <w:p w:rsidR="00DC0342" w:rsidRPr="005B252F" w:rsidRDefault="00DC0342" w:rsidP="00DC0342">
            <w:pPr>
              <w:pStyle w:val="ListParagraph"/>
              <w:numPr>
                <w:ilvl w:val="0"/>
                <w:numId w:val="7"/>
              </w:numPr>
              <w:contextualSpacing/>
              <w:rPr>
                <w:rFonts w:ascii="Arial" w:hAnsi="Arial" w:cs="Arial"/>
                <w:sz w:val="20"/>
                <w:szCs w:val="20"/>
              </w:rPr>
            </w:pPr>
            <w:r w:rsidRPr="005B252F">
              <w:rPr>
                <w:rFonts w:ascii="Arial" w:hAnsi="Arial" w:cs="Arial"/>
                <w:sz w:val="20"/>
                <w:szCs w:val="20"/>
              </w:rPr>
              <w:t>The U.S. Mint</w:t>
            </w:r>
          </w:p>
          <w:p w:rsidR="00DC0342" w:rsidRPr="005B252F" w:rsidRDefault="00DC0342" w:rsidP="00DC0342">
            <w:pPr>
              <w:pStyle w:val="ListParagraph"/>
              <w:numPr>
                <w:ilvl w:val="0"/>
                <w:numId w:val="7"/>
              </w:numPr>
              <w:contextualSpacing/>
              <w:rPr>
                <w:rFonts w:ascii="Arial" w:hAnsi="Arial" w:cs="Arial"/>
                <w:sz w:val="20"/>
                <w:szCs w:val="20"/>
              </w:rPr>
            </w:pPr>
            <w:r w:rsidRPr="005B252F">
              <w:rPr>
                <w:rFonts w:ascii="Arial" w:hAnsi="Arial" w:cs="Arial"/>
                <w:sz w:val="20"/>
                <w:szCs w:val="20"/>
              </w:rPr>
              <w:t>The Social Security Administration</w:t>
            </w:r>
          </w:p>
          <w:p w:rsidR="00DC0342" w:rsidRDefault="00DC0342" w:rsidP="00DC0342">
            <w:pPr>
              <w:pStyle w:val="ListParagraph"/>
              <w:numPr>
                <w:ilvl w:val="0"/>
                <w:numId w:val="7"/>
              </w:numPr>
              <w:contextualSpacing/>
              <w:rPr>
                <w:rFonts w:ascii="Arial" w:hAnsi="Arial" w:cs="Arial"/>
                <w:sz w:val="20"/>
                <w:szCs w:val="20"/>
              </w:rPr>
            </w:pPr>
            <w:r>
              <w:rPr>
                <w:rFonts w:ascii="Arial" w:hAnsi="Arial" w:cs="Arial"/>
                <w:sz w:val="20"/>
                <w:szCs w:val="20"/>
              </w:rPr>
              <w:t xml:space="preserve">The </w:t>
            </w:r>
            <w:r w:rsidRPr="005B252F">
              <w:rPr>
                <w:rFonts w:ascii="Arial" w:hAnsi="Arial" w:cs="Arial"/>
                <w:sz w:val="20"/>
                <w:szCs w:val="20"/>
              </w:rPr>
              <w:t>Federal Trade Commission</w:t>
            </w:r>
          </w:p>
          <w:p w:rsidR="00DC0342" w:rsidRDefault="00DC0342" w:rsidP="00DC0342">
            <w:pPr>
              <w:pStyle w:val="ListParagraph"/>
              <w:numPr>
                <w:ilvl w:val="0"/>
                <w:numId w:val="7"/>
              </w:numPr>
              <w:contextualSpacing/>
              <w:rPr>
                <w:rFonts w:ascii="Arial" w:hAnsi="Arial" w:cs="Arial"/>
                <w:sz w:val="20"/>
                <w:szCs w:val="20"/>
              </w:rPr>
            </w:pPr>
            <w:r>
              <w:rPr>
                <w:rFonts w:ascii="Arial" w:hAnsi="Arial" w:cs="Arial"/>
                <w:sz w:val="20"/>
                <w:szCs w:val="20"/>
              </w:rPr>
              <w:t>National Archives and Records Administration</w:t>
            </w:r>
          </w:p>
          <w:p w:rsidR="00DC0342" w:rsidRPr="005B252F" w:rsidRDefault="00DC0342" w:rsidP="00DC0342">
            <w:pPr>
              <w:pStyle w:val="ListParagraph"/>
              <w:numPr>
                <w:ilvl w:val="0"/>
                <w:numId w:val="7"/>
              </w:numPr>
              <w:contextualSpacing/>
              <w:rPr>
                <w:rFonts w:ascii="Arial" w:hAnsi="Arial" w:cs="Arial"/>
                <w:sz w:val="20"/>
                <w:szCs w:val="20"/>
              </w:rPr>
            </w:pPr>
            <w:r>
              <w:rPr>
                <w:rFonts w:ascii="Arial" w:hAnsi="Arial" w:cs="Arial"/>
                <w:sz w:val="20"/>
                <w:szCs w:val="20"/>
              </w:rPr>
              <w:t>The Coast Guard</w:t>
            </w:r>
          </w:p>
        </w:tc>
        <w:tc>
          <w:tcPr>
            <w:tcW w:w="4788" w:type="dxa"/>
          </w:tcPr>
          <w:p w:rsidR="00DC0342" w:rsidRPr="005B252F" w:rsidRDefault="00DC0342" w:rsidP="00DC0342">
            <w:pPr>
              <w:pStyle w:val="ListParagraph"/>
              <w:numPr>
                <w:ilvl w:val="0"/>
                <w:numId w:val="7"/>
              </w:numPr>
              <w:ind w:left="432"/>
              <w:contextualSpacing/>
              <w:rPr>
                <w:rFonts w:ascii="Arial" w:hAnsi="Arial" w:cs="Arial"/>
                <w:sz w:val="20"/>
                <w:szCs w:val="20"/>
              </w:rPr>
            </w:pPr>
            <w:r w:rsidRPr="005B252F">
              <w:rPr>
                <w:rFonts w:ascii="Arial" w:hAnsi="Arial" w:cs="Arial"/>
                <w:sz w:val="20"/>
                <w:szCs w:val="20"/>
              </w:rPr>
              <w:t>The U.S. Postal Service</w:t>
            </w:r>
          </w:p>
          <w:p w:rsidR="00DC0342" w:rsidRPr="005B252F" w:rsidRDefault="00DC0342" w:rsidP="00DC0342">
            <w:pPr>
              <w:pStyle w:val="ListParagraph"/>
              <w:numPr>
                <w:ilvl w:val="0"/>
                <w:numId w:val="7"/>
              </w:numPr>
              <w:ind w:left="432"/>
              <w:contextualSpacing/>
              <w:rPr>
                <w:rFonts w:ascii="Arial" w:hAnsi="Arial" w:cs="Arial"/>
                <w:sz w:val="20"/>
                <w:szCs w:val="20"/>
              </w:rPr>
            </w:pPr>
            <w:r w:rsidRPr="005B252F">
              <w:rPr>
                <w:rFonts w:ascii="Arial" w:hAnsi="Arial" w:cs="Arial"/>
                <w:sz w:val="20"/>
                <w:szCs w:val="20"/>
              </w:rPr>
              <w:t>The Department of Defense</w:t>
            </w:r>
          </w:p>
          <w:p w:rsidR="00DC0342" w:rsidRDefault="00DC0342" w:rsidP="00DC0342">
            <w:pPr>
              <w:pStyle w:val="ListParagraph"/>
              <w:numPr>
                <w:ilvl w:val="0"/>
                <w:numId w:val="7"/>
              </w:numPr>
              <w:ind w:left="432"/>
              <w:contextualSpacing/>
              <w:rPr>
                <w:rFonts w:ascii="Arial" w:hAnsi="Arial" w:cs="Arial"/>
                <w:sz w:val="20"/>
                <w:szCs w:val="20"/>
              </w:rPr>
            </w:pPr>
            <w:r w:rsidRPr="005B252F">
              <w:rPr>
                <w:rFonts w:ascii="Arial" w:hAnsi="Arial" w:cs="Arial"/>
                <w:sz w:val="20"/>
                <w:szCs w:val="20"/>
              </w:rPr>
              <w:t>The Department of the Army</w:t>
            </w:r>
          </w:p>
          <w:p w:rsidR="00DC0342" w:rsidRDefault="00DC0342" w:rsidP="00DC0342">
            <w:pPr>
              <w:pStyle w:val="ListParagraph"/>
              <w:numPr>
                <w:ilvl w:val="0"/>
                <w:numId w:val="7"/>
              </w:numPr>
              <w:ind w:left="432"/>
              <w:contextualSpacing/>
              <w:rPr>
                <w:rFonts w:ascii="Arial" w:hAnsi="Arial" w:cs="Arial"/>
                <w:sz w:val="20"/>
                <w:szCs w:val="20"/>
              </w:rPr>
            </w:pPr>
            <w:r>
              <w:rPr>
                <w:rFonts w:ascii="Arial" w:hAnsi="Arial" w:cs="Arial"/>
                <w:sz w:val="20"/>
                <w:szCs w:val="20"/>
              </w:rPr>
              <w:t>The Department of Labor</w:t>
            </w:r>
          </w:p>
          <w:p w:rsidR="00DC0342" w:rsidRPr="005B252F" w:rsidRDefault="00DC0342" w:rsidP="00DC0342">
            <w:pPr>
              <w:pStyle w:val="ListParagraph"/>
              <w:numPr>
                <w:ilvl w:val="0"/>
                <w:numId w:val="7"/>
              </w:numPr>
              <w:ind w:left="432"/>
              <w:contextualSpacing/>
              <w:rPr>
                <w:rFonts w:ascii="Arial" w:hAnsi="Arial" w:cs="Arial"/>
                <w:sz w:val="20"/>
                <w:szCs w:val="20"/>
              </w:rPr>
            </w:pPr>
            <w:r>
              <w:rPr>
                <w:rFonts w:ascii="Arial" w:hAnsi="Arial" w:cs="Arial"/>
                <w:sz w:val="20"/>
                <w:szCs w:val="20"/>
              </w:rPr>
              <w:t>The Department of Veterans’ Affairs</w:t>
            </w:r>
          </w:p>
          <w:p w:rsidR="00DC0342" w:rsidRPr="00920B93" w:rsidRDefault="00DC0342" w:rsidP="00DC0342">
            <w:pPr>
              <w:pStyle w:val="ListParagraph"/>
              <w:numPr>
                <w:ilvl w:val="0"/>
                <w:numId w:val="7"/>
              </w:numPr>
              <w:ind w:left="432"/>
              <w:contextualSpacing/>
              <w:rPr>
                <w:rFonts w:ascii="Arial" w:hAnsi="Arial" w:cs="Arial"/>
                <w:sz w:val="20"/>
                <w:szCs w:val="20"/>
              </w:rPr>
            </w:pPr>
            <w:r>
              <w:rPr>
                <w:rFonts w:ascii="Arial" w:hAnsi="Arial" w:cs="Arial"/>
                <w:sz w:val="20"/>
                <w:szCs w:val="20"/>
              </w:rPr>
              <w:t xml:space="preserve">The </w:t>
            </w:r>
            <w:r w:rsidRPr="005B252F">
              <w:rPr>
                <w:rFonts w:ascii="Arial" w:hAnsi="Arial" w:cs="Arial"/>
                <w:sz w:val="20"/>
                <w:szCs w:val="20"/>
              </w:rPr>
              <w:t>Consumer Product Safety Commission</w:t>
            </w:r>
          </w:p>
        </w:tc>
      </w:tr>
    </w:tbl>
    <w:p w:rsidR="00DC0342" w:rsidRPr="005B252F" w:rsidRDefault="00DC0342" w:rsidP="00DC0342">
      <w:pPr>
        <w:keepNext/>
        <w:rPr>
          <w:rFonts w:ascii="Arial" w:hAnsi="Arial" w:cs="Arial"/>
          <w:sz w:val="20"/>
          <w:szCs w:val="20"/>
        </w:rPr>
      </w:pPr>
    </w:p>
    <w:p w:rsidR="00DC0342" w:rsidRPr="005B252F" w:rsidRDefault="00DC0342" w:rsidP="00DC0342">
      <w:pPr>
        <w:rPr>
          <w:rFonts w:ascii="Arial" w:hAnsi="Arial" w:cs="Arial"/>
          <w:sz w:val="20"/>
          <w:szCs w:val="20"/>
        </w:rPr>
      </w:pPr>
      <w:r w:rsidRPr="005B252F">
        <w:rPr>
          <w:rFonts w:ascii="Arial" w:hAnsi="Arial" w:cs="Arial"/>
          <w:sz w:val="20"/>
          <w:szCs w:val="20"/>
        </w:rPr>
        <w:t>Many of our studies are custom designed research programs measuring opinions on services provided by the agency.  Other studies are general population research projects measuring attitudes, awareness, knowledge and opinions of the U.S. population.  These studies are consumer research polls, and they have been conducted for the Food and Drug Administration, the Federal Trade Commission and the Consumer Product Safety Commission.</w:t>
      </w:r>
    </w:p>
    <w:p w:rsidR="00DC0342" w:rsidRPr="005B252F" w:rsidRDefault="00DC0342" w:rsidP="00DC0342">
      <w:pPr>
        <w:rPr>
          <w:rFonts w:ascii="Arial" w:hAnsi="Arial" w:cs="Arial"/>
          <w:sz w:val="20"/>
          <w:szCs w:val="20"/>
        </w:rPr>
      </w:pPr>
    </w:p>
    <w:p w:rsidR="00DC0342" w:rsidRDefault="00DC0342" w:rsidP="00DC0342">
      <w:pPr>
        <w:rPr>
          <w:rFonts w:ascii="Arial" w:hAnsi="Arial" w:cs="Arial"/>
          <w:sz w:val="20"/>
          <w:szCs w:val="20"/>
        </w:rPr>
      </w:pPr>
      <w:r w:rsidRPr="005B252F">
        <w:rPr>
          <w:rFonts w:ascii="Arial" w:hAnsi="Arial" w:cs="Arial"/>
          <w:sz w:val="20"/>
          <w:szCs w:val="20"/>
        </w:rPr>
        <w:t xml:space="preserve">Synovate has </w:t>
      </w:r>
      <w:r>
        <w:rPr>
          <w:rFonts w:ascii="Arial" w:hAnsi="Arial" w:cs="Arial"/>
          <w:sz w:val="20"/>
          <w:szCs w:val="20"/>
        </w:rPr>
        <w:t xml:space="preserve">recently </w:t>
      </w:r>
      <w:r w:rsidRPr="005B252F">
        <w:rPr>
          <w:rFonts w:ascii="Arial" w:hAnsi="Arial" w:cs="Arial"/>
          <w:sz w:val="20"/>
          <w:szCs w:val="20"/>
        </w:rPr>
        <w:t xml:space="preserve">conducted general population consumer polls for commercial clients such as </w:t>
      </w:r>
      <w:r w:rsidRPr="00024C55">
        <w:rPr>
          <w:rFonts w:ascii="Arial" w:hAnsi="Arial" w:cs="Arial"/>
          <w:i/>
          <w:sz w:val="20"/>
          <w:szCs w:val="20"/>
        </w:rPr>
        <w:t>U.S. News &amp; World Report</w:t>
      </w:r>
      <w:r w:rsidRPr="005B252F">
        <w:rPr>
          <w:rFonts w:ascii="Arial" w:hAnsi="Arial" w:cs="Arial"/>
          <w:sz w:val="20"/>
          <w:szCs w:val="20"/>
        </w:rPr>
        <w:t xml:space="preserve">.  In addition, Synovate sometimes sponsors poll questions on our omnibus vehicles.  </w:t>
      </w:r>
    </w:p>
    <w:p w:rsidR="00DC0342" w:rsidRDefault="00DC0342" w:rsidP="00DC0342">
      <w:pPr>
        <w:rPr>
          <w:rFonts w:ascii="Arial" w:hAnsi="Arial" w:cs="Arial"/>
          <w:sz w:val="20"/>
          <w:szCs w:val="20"/>
        </w:rPr>
      </w:pPr>
    </w:p>
    <w:p w:rsidR="00DC0342" w:rsidRPr="005B252F" w:rsidRDefault="00DC0342" w:rsidP="00DC0342">
      <w:pPr>
        <w:keepNext/>
        <w:rPr>
          <w:rFonts w:ascii="Arial" w:hAnsi="Arial" w:cs="Arial"/>
          <w:sz w:val="20"/>
          <w:szCs w:val="20"/>
        </w:rPr>
      </w:pPr>
      <w:r w:rsidRPr="005B252F">
        <w:rPr>
          <w:rFonts w:ascii="Arial" w:hAnsi="Arial" w:cs="Arial"/>
          <w:sz w:val="20"/>
          <w:szCs w:val="20"/>
        </w:rPr>
        <w:t xml:space="preserve">Synovate is currently under contract to conduct two modified studies for the Food and Drug Administration – their Food Safety Study and their Health and Diet Survey.  These are recurring studies that Synovate has conducted in the past.  </w:t>
      </w:r>
      <w:r>
        <w:rPr>
          <w:rFonts w:ascii="Arial" w:hAnsi="Arial" w:cs="Arial"/>
          <w:sz w:val="20"/>
          <w:szCs w:val="20"/>
        </w:rPr>
        <w:t>I</w:t>
      </w:r>
      <w:r w:rsidRPr="005B252F">
        <w:rPr>
          <w:rFonts w:ascii="Arial" w:hAnsi="Arial" w:cs="Arial"/>
          <w:sz w:val="20"/>
          <w:szCs w:val="20"/>
        </w:rPr>
        <w:t xml:space="preserve">n addition to </w:t>
      </w:r>
      <w:r>
        <w:rPr>
          <w:rFonts w:ascii="Arial" w:hAnsi="Arial" w:cs="Arial"/>
          <w:sz w:val="20"/>
          <w:szCs w:val="20"/>
        </w:rPr>
        <w:t>data collection, these studies involve complex tests of survey methodology.</w:t>
      </w:r>
      <w:r w:rsidRPr="005B252F">
        <w:rPr>
          <w:rFonts w:ascii="Arial" w:hAnsi="Arial" w:cs="Arial"/>
          <w:sz w:val="20"/>
          <w:szCs w:val="20"/>
        </w:rPr>
        <w:t xml:space="preserve">  The projects are in progress with expected fielding in the later part of 2011.</w:t>
      </w:r>
    </w:p>
    <w:p w:rsidR="00DC0342" w:rsidRDefault="00DC0342" w:rsidP="00DC0342">
      <w:pPr>
        <w:rPr>
          <w:rFonts w:ascii="Times New Roman" w:hAnsi="Times New Roman"/>
          <w:sz w:val="24"/>
          <w:szCs w:val="24"/>
        </w:rPr>
      </w:pPr>
    </w:p>
    <w:p w:rsidR="00DC0342" w:rsidRPr="005B252F" w:rsidRDefault="00DC0342" w:rsidP="00DC0342">
      <w:pPr>
        <w:autoSpaceDE w:val="0"/>
        <w:autoSpaceDN w:val="0"/>
        <w:adjustRightInd w:val="0"/>
        <w:rPr>
          <w:rFonts w:ascii="Arial" w:hAnsi="Arial" w:cs="Arial"/>
          <w:sz w:val="20"/>
          <w:szCs w:val="20"/>
        </w:rPr>
      </w:pPr>
      <w:r w:rsidRPr="005B252F">
        <w:rPr>
          <w:rFonts w:ascii="Arial" w:hAnsi="Arial" w:cs="Arial"/>
          <w:sz w:val="20"/>
          <w:szCs w:val="20"/>
        </w:rPr>
        <w:t>Synovate and Synovate Consumer Opinion Panels comply with the accepted standards for the</w:t>
      </w:r>
    </w:p>
    <w:p w:rsidR="00DC0342" w:rsidRPr="005B252F" w:rsidRDefault="00DC0342" w:rsidP="00DC0342">
      <w:pPr>
        <w:autoSpaceDE w:val="0"/>
        <w:autoSpaceDN w:val="0"/>
        <w:adjustRightInd w:val="0"/>
        <w:rPr>
          <w:rFonts w:ascii="Arial" w:hAnsi="Arial" w:cs="Arial"/>
          <w:sz w:val="20"/>
          <w:szCs w:val="20"/>
        </w:rPr>
      </w:pPr>
      <w:r w:rsidRPr="005B252F">
        <w:rPr>
          <w:rFonts w:ascii="Arial" w:hAnsi="Arial" w:cs="Arial"/>
          <w:sz w:val="20"/>
          <w:szCs w:val="20"/>
        </w:rPr>
        <w:t>marketing research industry and abide by the rules and guidelines set forth by the leading industry organizations:</w:t>
      </w:r>
    </w:p>
    <w:p w:rsidR="00DC0342" w:rsidRPr="005B252F" w:rsidRDefault="00DC0342" w:rsidP="00DC0342">
      <w:pPr>
        <w:pStyle w:val="ListParagraph"/>
        <w:numPr>
          <w:ilvl w:val="0"/>
          <w:numId w:val="5"/>
        </w:numPr>
        <w:autoSpaceDE w:val="0"/>
        <w:autoSpaceDN w:val="0"/>
        <w:adjustRightInd w:val="0"/>
        <w:spacing w:before="80" w:after="200" w:line="276" w:lineRule="auto"/>
        <w:contextualSpacing/>
        <w:rPr>
          <w:rFonts w:ascii="Arial" w:hAnsi="Arial" w:cs="Arial"/>
          <w:sz w:val="20"/>
          <w:szCs w:val="20"/>
        </w:rPr>
      </w:pPr>
      <w:r w:rsidRPr="005B252F">
        <w:rPr>
          <w:rFonts w:ascii="Arial" w:hAnsi="Arial" w:cs="Arial"/>
          <w:sz w:val="20"/>
          <w:szCs w:val="20"/>
        </w:rPr>
        <w:t>European Society for Market Research (ESOMAR)</w:t>
      </w:r>
    </w:p>
    <w:p w:rsidR="00DC0342" w:rsidRPr="005B252F" w:rsidRDefault="00DC0342" w:rsidP="00DC0342">
      <w:pPr>
        <w:pStyle w:val="ListParagraph"/>
        <w:numPr>
          <w:ilvl w:val="0"/>
          <w:numId w:val="5"/>
        </w:numPr>
        <w:autoSpaceDE w:val="0"/>
        <w:autoSpaceDN w:val="0"/>
        <w:adjustRightInd w:val="0"/>
        <w:spacing w:after="200" w:line="276" w:lineRule="auto"/>
        <w:contextualSpacing/>
        <w:rPr>
          <w:rFonts w:ascii="Arial" w:hAnsi="Arial" w:cs="Arial"/>
          <w:sz w:val="20"/>
          <w:szCs w:val="20"/>
        </w:rPr>
      </w:pPr>
      <w:r w:rsidRPr="005B252F">
        <w:rPr>
          <w:rFonts w:ascii="Arial" w:hAnsi="Arial" w:cs="Arial"/>
          <w:sz w:val="20"/>
          <w:szCs w:val="20"/>
        </w:rPr>
        <w:t>The Council for American Survey Research Organizations (CASRO)</w:t>
      </w:r>
    </w:p>
    <w:p w:rsidR="00DC0342" w:rsidRPr="005B252F" w:rsidRDefault="00DC0342" w:rsidP="00DC0342">
      <w:pPr>
        <w:pStyle w:val="ListParagraph"/>
        <w:numPr>
          <w:ilvl w:val="0"/>
          <w:numId w:val="5"/>
        </w:numPr>
        <w:autoSpaceDE w:val="0"/>
        <w:autoSpaceDN w:val="0"/>
        <w:adjustRightInd w:val="0"/>
        <w:spacing w:after="200" w:line="276" w:lineRule="auto"/>
        <w:contextualSpacing/>
        <w:rPr>
          <w:rFonts w:ascii="Arial" w:hAnsi="Arial" w:cs="Arial"/>
          <w:sz w:val="20"/>
          <w:szCs w:val="20"/>
        </w:rPr>
      </w:pPr>
      <w:r w:rsidRPr="005B252F">
        <w:rPr>
          <w:rFonts w:ascii="Arial" w:hAnsi="Arial" w:cs="Arial"/>
          <w:sz w:val="20"/>
          <w:szCs w:val="20"/>
        </w:rPr>
        <w:t>The Market Research Association in the US (MRA)</w:t>
      </w:r>
    </w:p>
    <w:p w:rsidR="00DC0342" w:rsidRPr="005B252F" w:rsidRDefault="00DC0342" w:rsidP="00DC0342">
      <w:pPr>
        <w:pStyle w:val="ListParagraph"/>
        <w:numPr>
          <w:ilvl w:val="0"/>
          <w:numId w:val="5"/>
        </w:numPr>
        <w:autoSpaceDE w:val="0"/>
        <w:autoSpaceDN w:val="0"/>
        <w:adjustRightInd w:val="0"/>
        <w:spacing w:after="200" w:line="276" w:lineRule="auto"/>
        <w:contextualSpacing/>
        <w:rPr>
          <w:rFonts w:ascii="Arial" w:hAnsi="Arial" w:cs="Arial"/>
          <w:sz w:val="20"/>
          <w:szCs w:val="20"/>
        </w:rPr>
      </w:pPr>
      <w:r w:rsidRPr="005B252F">
        <w:rPr>
          <w:rFonts w:ascii="Arial" w:hAnsi="Arial" w:cs="Arial"/>
          <w:sz w:val="20"/>
          <w:szCs w:val="20"/>
        </w:rPr>
        <w:t>Interactive Marketing Research Organization (IMRO)</w:t>
      </w:r>
    </w:p>
    <w:p w:rsidR="00DC0342" w:rsidRPr="005B252F" w:rsidRDefault="00DC0342" w:rsidP="00DC0342">
      <w:pPr>
        <w:pStyle w:val="ListParagraph"/>
        <w:numPr>
          <w:ilvl w:val="0"/>
          <w:numId w:val="5"/>
        </w:numPr>
        <w:autoSpaceDE w:val="0"/>
        <w:autoSpaceDN w:val="0"/>
        <w:adjustRightInd w:val="0"/>
        <w:spacing w:after="200" w:line="276" w:lineRule="auto"/>
        <w:contextualSpacing/>
        <w:rPr>
          <w:rFonts w:ascii="Arial" w:hAnsi="Arial" w:cs="Arial"/>
          <w:sz w:val="20"/>
          <w:szCs w:val="20"/>
        </w:rPr>
      </w:pPr>
      <w:r w:rsidRPr="005B252F">
        <w:rPr>
          <w:rFonts w:ascii="Arial" w:hAnsi="Arial" w:cs="Arial"/>
          <w:sz w:val="20"/>
          <w:szCs w:val="20"/>
        </w:rPr>
        <w:t>The Advertising Research Foundation (ARF)</w:t>
      </w:r>
    </w:p>
    <w:p w:rsidR="00DC0342" w:rsidRPr="005B252F" w:rsidRDefault="00DC0342" w:rsidP="00DC0342">
      <w:pPr>
        <w:pStyle w:val="ListParagraph"/>
        <w:keepNext/>
        <w:numPr>
          <w:ilvl w:val="0"/>
          <w:numId w:val="5"/>
        </w:numPr>
        <w:spacing w:after="200" w:line="276" w:lineRule="auto"/>
        <w:contextualSpacing/>
        <w:rPr>
          <w:rFonts w:ascii="Arial" w:hAnsi="Arial" w:cs="Arial"/>
          <w:sz w:val="20"/>
          <w:szCs w:val="20"/>
        </w:rPr>
      </w:pPr>
      <w:r w:rsidRPr="005B252F">
        <w:rPr>
          <w:rFonts w:ascii="Arial" w:hAnsi="Arial" w:cs="Arial"/>
          <w:sz w:val="20"/>
          <w:szCs w:val="20"/>
        </w:rPr>
        <w:t>The American Marketing Association (AMA)</w:t>
      </w:r>
    </w:p>
    <w:p w:rsidR="00DC0342" w:rsidRDefault="00DC0342" w:rsidP="00DC0342">
      <w:pPr>
        <w:rPr>
          <w:rFonts w:ascii="Times New Roman" w:hAnsi="Times New Roman"/>
          <w:sz w:val="24"/>
          <w:szCs w:val="24"/>
        </w:rPr>
      </w:pPr>
    </w:p>
    <w:p w:rsidR="00DC0342" w:rsidRDefault="00DC0342" w:rsidP="00DC0342">
      <w:pPr>
        <w:outlineLvl w:val="0"/>
        <w:rPr>
          <w:rFonts w:ascii="Arial" w:hAnsi="Arial" w:cs="Arial"/>
          <w:b/>
          <w:sz w:val="28"/>
          <w:szCs w:val="28"/>
        </w:rPr>
      </w:pPr>
      <w:bookmarkStart w:id="1" w:name="_Toc237236519"/>
      <w:r w:rsidRPr="00137402">
        <w:rPr>
          <w:rFonts w:ascii="Arial" w:hAnsi="Arial" w:cs="Arial"/>
          <w:b/>
          <w:sz w:val="28"/>
          <w:szCs w:val="28"/>
        </w:rPr>
        <w:t>Key Project Staff</w:t>
      </w:r>
      <w:bookmarkEnd w:id="1"/>
    </w:p>
    <w:p w:rsidR="00DC0342" w:rsidRPr="005B252F" w:rsidRDefault="00DC0342" w:rsidP="00DC0342">
      <w:pPr>
        <w:rPr>
          <w:rFonts w:ascii="Arial" w:hAnsi="Arial" w:cs="Arial"/>
          <w:sz w:val="20"/>
          <w:szCs w:val="20"/>
        </w:rPr>
      </w:pPr>
    </w:p>
    <w:p w:rsidR="00623942" w:rsidRPr="00623942" w:rsidRDefault="00623942" w:rsidP="00623942">
      <w:pPr>
        <w:rPr>
          <w:rFonts w:ascii="Arial" w:hAnsi="Arial"/>
          <w:b/>
          <w:sz w:val="20"/>
          <w:u w:val="single"/>
        </w:rPr>
      </w:pPr>
      <w:smartTag w:uri="urn:schemas-microsoft-com:office:smarttags" w:element="PersonName">
        <w:r w:rsidRPr="00623942">
          <w:rPr>
            <w:rFonts w:ascii="Arial" w:hAnsi="Arial"/>
            <w:b/>
            <w:sz w:val="20"/>
            <w:u w:val="single"/>
          </w:rPr>
          <w:t>Alan Roshwalb</w:t>
        </w:r>
      </w:smartTag>
      <w:r w:rsidRPr="00623942">
        <w:rPr>
          <w:rFonts w:ascii="Arial" w:hAnsi="Arial"/>
          <w:b/>
          <w:sz w:val="20"/>
          <w:u w:val="single"/>
        </w:rPr>
        <w:t>, Ph.D</w:t>
      </w:r>
    </w:p>
    <w:p w:rsidR="00623942" w:rsidRDefault="00623942" w:rsidP="00623942">
      <w:pPr>
        <w:rPr>
          <w:rFonts w:ascii="Arial" w:hAnsi="Arial"/>
          <w:b/>
          <w:sz w:val="20"/>
        </w:rPr>
      </w:pPr>
      <w:r w:rsidRPr="00623942">
        <w:rPr>
          <w:rFonts w:ascii="Arial" w:hAnsi="Arial"/>
          <w:sz w:val="20"/>
        </w:rPr>
        <w:t>Senior Statistician and Senior Vice President.</w:t>
      </w:r>
      <w:r w:rsidRPr="00623942">
        <w:rPr>
          <w:rFonts w:ascii="Arial" w:hAnsi="Arial"/>
          <w:b/>
          <w:sz w:val="20"/>
        </w:rPr>
        <w:t xml:space="preserve">  </w:t>
      </w:r>
    </w:p>
    <w:p w:rsidR="00623942" w:rsidRPr="00623942" w:rsidRDefault="00623942" w:rsidP="00623942">
      <w:pPr>
        <w:rPr>
          <w:rFonts w:ascii="Arial" w:hAnsi="Arial"/>
          <w:sz w:val="20"/>
        </w:rPr>
      </w:pPr>
      <w:r w:rsidRPr="00623942">
        <w:rPr>
          <w:rFonts w:ascii="Arial" w:hAnsi="Arial"/>
          <w:sz w:val="20"/>
        </w:rPr>
        <w:t xml:space="preserve">Dr. Roshwalb serves as a senior consultant in the design and execution of sophisticated survey projects.  Dr. Roshwalb received his Ph.D. from the University of Michigan’ s School of Business Administration in Statistics and Management Science with an affiliation with the Institute for Social Research.  An expert in statistical sampling, he is the principal author of a sophisticated transactional statistical sampling management system currently employed in many key customer satisfaction projects tracking up to 20,000 sampling units with up to 1,000,000 completed interviews per year.  Dr. Roshwalb has served as consulting sampling statistician for projects for a variety of government agencies including the Federal Trade Commission, the Social Security Administration, the Food and Drug Administration, National Institutes of Health, the Centers for Disease Control, the Department of Defense, and the U.S. Postal Service. Commercial clients include or have included Coca-Cola, Seagrams, Campbell Soups, American Express, Visa International, ExxonMobil, Kaiser Permanente, CIGNA, IBM, and Capital One among others.  These projects have included using in-person door-to-door, telephone, interactive voice response (IVR), internet and mail methodologies.  Dr. Roshwalb has authored professional papers on statistical and survey research methodology for social science, marketing, accounting, and management periodicals such as The Accounting Review and The Journal of Business and Economic Statistics.  Prior to joining Synovate, he served as Chief Statistician for Audits &amp; Survey Worldwide and on the faculty at </w:t>
      </w:r>
      <w:smartTag w:uri="urn:schemas-microsoft-com:office:smarttags" w:element="place">
        <w:smartTag w:uri="urn:schemas-microsoft-com:office:smarttags" w:element="PlaceName">
          <w:r w:rsidRPr="00623942">
            <w:rPr>
              <w:rFonts w:ascii="Arial" w:hAnsi="Arial"/>
              <w:sz w:val="20"/>
            </w:rPr>
            <w:t>Georgetown</w:t>
          </w:r>
        </w:smartTag>
        <w:r w:rsidRPr="00623942">
          <w:rPr>
            <w:rFonts w:ascii="Arial" w:hAnsi="Arial"/>
            <w:sz w:val="20"/>
          </w:rPr>
          <w:t xml:space="preserve"> </w:t>
        </w:r>
        <w:smartTag w:uri="urn:schemas-microsoft-com:office:smarttags" w:element="PlaceType">
          <w:r w:rsidRPr="00623942">
            <w:rPr>
              <w:rFonts w:ascii="Arial" w:hAnsi="Arial"/>
              <w:sz w:val="20"/>
            </w:rPr>
            <w:t>University</w:t>
          </w:r>
        </w:smartTag>
      </w:smartTag>
      <w:r w:rsidRPr="00623942">
        <w:rPr>
          <w:rFonts w:ascii="Arial" w:hAnsi="Arial"/>
          <w:sz w:val="20"/>
        </w:rPr>
        <w:t>’s McDonough School of Business.</w:t>
      </w:r>
    </w:p>
    <w:p w:rsidR="00623942" w:rsidRDefault="00623942" w:rsidP="00DC0342">
      <w:pPr>
        <w:rPr>
          <w:rFonts w:ascii="Arial" w:hAnsi="Arial" w:cs="Arial"/>
          <w:b/>
          <w:sz w:val="20"/>
          <w:szCs w:val="20"/>
          <w:u w:val="single"/>
        </w:rPr>
      </w:pPr>
    </w:p>
    <w:p w:rsidR="00623942" w:rsidRDefault="00623942" w:rsidP="00DC0342">
      <w:pPr>
        <w:rPr>
          <w:rFonts w:ascii="Arial" w:hAnsi="Arial" w:cs="Arial"/>
          <w:b/>
          <w:sz w:val="20"/>
          <w:szCs w:val="20"/>
          <w:u w:val="single"/>
        </w:rPr>
      </w:pPr>
    </w:p>
    <w:p w:rsidR="00DC0342" w:rsidRPr="005B252F" w:rsidRDefault="00DC0342" w:rsidP="00DC0342">
      <w:pPr>
        <w:rPr>
          <w:rFonts w:ascii="Arial" w:hAnsi="Arial" w:cs="Arial"/>
          <w:sz w:val="20"/>
          <w:szCs w:val="20"/>
        </w:rPr>
      </w:pPr>
      <w:r w:rsidRPr="005B252F">
        <w:rPr>
          <w:rFonts w:ascii="Arial" w:hAnsi="Arial" w:cs="Arial"/>
          <w:b/>
          <w:sz w:val="20"/>
          <w:szCs w:val="20"/>
          <w:u w:val="single"/>
        </w:rPr>
        <w:t>David L. Lambert, Ph.D.</w:t>
      </w:r>
    </w:p>
    <w:p w:rsidR="00DC0342" w:rsidRPr="005B252F" w:rsidRDefault="00DC0342" w:rsidP="00DC0342">
      <w:pPr>
        <w:rPr>
          <w:rFonts w:ascii="Arial" w:hAnsi="Arial" w:cs="Arial"/>
          <w:sz w:val="20"/>
          <w:szCs w:val="20"/>
        </w:rPr>
      </w:pPr>
      <w:r w:rsidRPr="005B252F">
        <w:rPr>
          <w:rFonts w:ascii="Arial" w:hAnsi="Arial" w:cs="Arial"/>
          <w:sz w:val="20"/>
          <w:szCs w:val="20"/>
        </w:rPr>
        <w:t>Senior Vice President, Synovate Public Sector Research Group</w:t>
      </w:r>
    </w:p>
    <w:p w:rsidR="00DC0342" w:rsidRPr="005B252F" w:rsidRDefault="00DC0342" w:rsidP="00DC0342">
      <w:pPr>
        <w:rPr>
          <w:rFonts w:ascii="Arial" w:hAnsi="Arial" w:cs="Arial"/>
          <w:sz w:val="20"/>
          <w:szCs w:val="20"/>
        </w:rPr>
      </w:pPr>
    </w:p>
    <w:p w:rsidR="00DC0342" w:rsidRPr="00DC0342" w:rsidRDefault="00DC0342" w:rsidP="00DC0342">
      <w:pPr>
        <w:rPr>
          <w:rFonts w:ascii="Times New Roman" w:hAnsi="Times New Roman"/>
          <w:sz w:val="24"/>
          <w:szCs w:val="24"/>
        </w:rPr>
      </w:pPr>
      <w:r w:rsidRPr="005B252F">
        <w:rPr>
          <w:rFonts w:ascii="Arial" w:hAnsi="Arial" w:cs="Arial"/>
          <w:sz w:val="20"/>
          <w:szCs w:val="20"/>
        </w:rPr>
        <w:t xml:space="preserve">As the Project Executive, Dr. Lambert will oversee the project, establishing the schedule, providing methodological direction and interacting with the Program Staff at the Consumer Financial Protection Bureau.  Dr. Lambert is </w:t>
      </w:r>
      <w:r>
        <w:rPr>
          <w:rFonts w:ascii="Arial" w:hAnsi="Arial" w:cs="Arial"/>
          <w:sz w:val="20"/>
          <w:szCs w:val="20"/>
        </w:rPr>
        <w:t>a Senior Vice President with Synovate</w:t>
      </w:r>
      <w:r w:rsidRPr="005B252F">
        <w:rPr>
          <w:rFonts w:ascii="Arial" w:hAnsi="Arial" w:cs="Arial"/>
          <w:sz w:val="20"/>
          <w:szCs w:val="20"/>
        </w:rPr>
        <w:t xml:space="preserve">.  Dr. </w:t>
      </w:r>
      <w:r>
        <w:rPr>
          <w:rFonts w:ascii="Arial" w:hAnsi="Arial" w:cs="Arial"/>
          <w:sz w:val="20"/>
          <w:szCs w:val="20"/>
        </w:rPr>
        <w:t>Lambert</w:t>
      </w:r>
      <w:r w:rsidRPr="005B252F">
        <w:rPr>
          <w:rFonts w:ascii="Arial" w:hAnsi="Arial" w:cs="Arial"/>
          <w:sz w:val="20"/>
          <w:szCs w:val="20"/>
        </w:rPr>
        <w:t xml:space="preserve"> brings more than 30 years of research experience to the team.  For much of his career, he has worked closely with ABC News and The Washington Post conducting their political polls.  With his guidance, ABC and The Washington Post have been able to establish sampling and data collection strategies for hard-to-reach populations including “cell only” respondents who are a source of non-coverage in traditional, landline RDD frames.  He is well versed in all aspects of survey research including study design, sample design and stratification, sample management, survey instrument development, data collection, weighting and analysis, and reporting.  </w:t>
      </w:r>
      <w:r>
        <w:rPr>
          <w:rFonts w:ascii="Arial" w:hAnsi="Arial" w:cs="Arial"/>
          <w:sz w:val="20"/>
          <w:szCs w:val="20"/>
        </w:rPr>
        <w:t>Dr. Lambert</w:t>
      </w:r>
      <w:r w:rsidRPr="005B252F">
        <w:rPr>
          <w:rFonts w:ascii="Arial" w:hAnsi="Arial" w:cs="Arial"/>
          <w:sz w:val="20"/>
          <w:szCs w:val="20"/>
        </w:rPr>
        <w:t xml:space="preserve"> has also lent his expertise to a wide variety of non-polling clients and projects, including the American Medical Association, Harvard University, the West Virginia Health Care Authority, the U.S. Army, Independence Blue Cross, Philadelphia Health Management Corporation, the State of Pennsylvania, AARP, and Osaka University</w:t>
      </w:r>
    </w:p>
    <w:sectPr w:rsidR="00DC0342" w:rsidRPr="00DC0342" w:rsidSect="0021060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A51" w:rsidRDefault="00700A51" w:rsidP="00A440A0">
      <w:r>
        <w:separator/>
      </w:r>
    </w:p>
  </w:endnote>
  <w:endnote w:type="continuationSeparator" w:id="0">
    <w:p w:rsidR="00700A51" w:rsidRDefault="00700A51" w:rsidP="00A44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A51" w:rsidRDefault="00700A51" w:rsidP="00A440A0">
      <w:r>
        <w:separator/>
      </w:r>
    </w:p>
  </w:footnote>
  <w:footnote w:type="continuationSeparator" w:id="0">
    <w:p w:rsidR="00700A51" w:rsidRDefault="00700A51" w:rsidP="00A440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302FF"/>
    <w:multiLevelType w:val="hybridMultilevel"/>
    <w:tmpl w:val="1542D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2E14F1"/>
    <w:multiLevelType w:val="hybridMultilevel"/>
    <w:tmpl w:val="4C1678C8"/>
    <w:lvl w:ilvl="0" w:tplc="D1C2B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3462DC"/>
    <w:multiLevelType w:val="hybridMultilevel"/>
    <w:tmpl w:val="B5F64DBE"/>
    <w:lvl w:ilvl="0" w:tplc="26E0CD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83C66"/>
    <w:multiLevelType w:val="hybridMultilevel"/>
    <w:tmpl w:val="8766E30E"/>
    <w:lvl w:ilvl="0" w:tplc="2B9C8838">
      <w:start w:val="1"/>
      <w:numFmt w:val="bullet"/>
      <w:lvlText w:val=""/>
      <w:lvlJc w:val="left"/>
      <w:pPr>
        <w:tabs>
          <w:tab w:val="num" w:pos="1440"/>
        </w:tabs>
        <w:ind w:left="1440" w:hanging="360"/>
      </w:pPr>
      <w:rPr>
        <w:rFonts w:ascii="Wingdings" w:hAnsi="Wingdings" w:hint="default"/>
      </w:rPr>
    </w:lvl>
    <w:lvl w:ilvl="1" w:tplc="6A744868">
      <w:start w:val="1"/>
      <w:numFmt w:val="bullet"/>
      <w:lvlText w:val="o"/>
      <w:lvlJc w:val="left"/>
      <w:pPr>
        <w:tabs>
          <w:tab w:val="num" w:pos="2160"/>
        </w:tabs>
        <w:ind w:left="2160" w:hanging="360"/>
      </w:pPr>
      <w:rPr>
        <w:rFonts w:ascii="Courier New" w:hAnsi="Courier New" w:cs="Courier New" w:hint="default"/>
      </w:rPr>
    </w:lvl>
    <w:lvl w:ilvl="2" w:tplc="1D743610">
      <w:start w:val="1"/>
      <w:numFmt w:val="bullet"/>
      <w:lvlText w:val=""/>
      <w:lvlJc w:val="left"/>
      <w:pPr>
        <w:tabs>
          <w:tab w:val="num" w:pos="2880"/>
        </w:tabs>
        <w:ind w:left="2880" w:hanging="360"/>
      </w:pPr>
      <w:rPr>
        <w:rFonts w:ascii="Wingdings" w:hAnsi="Wingdings" w:hint="default"/>
      </w:rPr>
    </w:lvl>
    <w:lvl w:ilvl="3" w:tplc="4CF82E92" w:tentative="1">
      <w:start w:val="1"/>
      <w:numFmt w:val="bullet"/>
      <w:lvlText w:val=""/>
      <w:lvlJc w:val="left"/>
      <w:pPr>
        <w:tabs>
          <w:tab w:val="num" w:pos="3600"/>
        </w:tabs>
        <w:ind w:left="3600" w:hanging="360"/>
      </w:pPr>
      <w:rPr>
        <w:rFonts w:ascii="Symbol" w:hAnsi="Symbol" w:hint="default"/>
      </w:rPr>
    </w:lvl>
    <w:lvl w:ilvl="4" w:tplc="FF28390E" w:tentative="1">
      <w:start w:val="1"/>
      <w:numFmt w:val="bullet"/>
      <w:lvlText w:val="o"/>
      <w:lvlJc w:val="left"/>
      <w:pPr>
        <w:tabs>
          <w:tab w:val="num" w:pos="4320"/>
        </w:tabs>
        <w:ind w:left="4320" w:hanging="360"/>
      </w:pPr>
      <w:rPr>
        <w:rFonts w:ascii="Courier New" w:hAnsi="Courier New" w:cs="Courier New" w:hint="default"/>
      </w:rPr>
    </w:lvl>
    <w:lvl w:ilvl="5" w:tplc="156411EA" w:tentative="1">
      <w:start w:val="1"/>
      <w:numFmt w:val="bullet"/>
      <w:lvlText w:val=""/>
      <w:lvlJc w:val="left"/>
      <w:pPr>
        <w:tabs>
          <w:tab w:val="num" w:pos="5040"/>
        </w:tabs>
        <w:ind w:left="5040" w:hanging="360"/>
      </w:pPr>
      <w:rPr>
        <w:rFonts w:ascii="Wingdings" w:hAnsi="Wingdings" w:hint="default"/>
      </w:rPr>
    </w:lvl>
    <w:lvl w:ilvl="6" w:tplc="B2AAD24E" w:tentative="1">
      <w:start w:val="1"/>
      <w:numFmt w:val="bullet"/>
      <w:lvlText w:val=""/>
      <w:lvlJc w:val="left"/>
      <w:pPr>
        <w:tabs>
          <w:tab w:val="num" w:pos="5760"/>
        </w:tabs>
        <w:ind w:left="5760" w:hanging="360"/>
      </w:pPr>
      <w:rPr>
        <w:rFonts w:ascii="Symbol" w:hAnsi="Symbol" w:hint="default"/>
      </w:rPr>
    </w:lvl>
    <w:lvl w:ilvl="7" w:tplc="72523D32" w:tentative="1">
      <w:start w:val="1"/>
      <w:numFmt w:val="bullet"/>
      <w:lvlText w:val="o"/>
      <w:lvlJc w:val="left"/>
      <w:pPr>
        <w:tabs>
          <w:tab w:val="num" w:pos="6480"/>
        </w:tabs>
        <w:ind w:left="6480" w:hanging="360"/>
      </w:pPr>
      <w:rPr>
        <w:rFonts w:ascii="Courier New" w:hAnsi="Courier New" w:cs="Courier New" w:hint="default"/>
      </w:rPr>
    </w:lvl>
    <w:lvl w:ilvl="8" w:tplc="370C31A2" w:tentative="1">
      <w:start w:val="1"/>
      <w:numFmt w:val="bullet"/>
      <w:lvlText w:val=""/>
      <w:lvlJc w:val="left"/>
      <w:pPr>
        <w:tabs>
          <w:tab w:val="num" w:pos="7200"/>
        </w:tabs>
        <w:ind w:left="7200" w:hanging="360"/>
      </w:pPr>
      <w:rPr>
        <w:rFonts w:ascii="Wingdings" w:hAnsi="Wingdings" w:hint="default"/>
      </w:rPr>
    </w:lvl>
  </w:abstractNum>
  <w:abstractNum w:abstractNumId="4">
    <w:nsid w:val="502725A7"/>
    <w:multiLevelType w:val="hybridMultilevel"/>
    <w:tmpl w:val="F2A09266"/>
    <w:lvl w:ilvl="0" w:tplc="E704402C">
      <w:start w:val="1"/>
      <w:numFmt w:val="decimal"/>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B0ABF"/>
    <w:multiLevelType w:val="hybridMultilevel"/>
    <w:tmpl w:val="E8440DF8"/>
    <w:lvl w:ilvl="0" w:tplc="1F567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7A3501C"/>
    <w:multiLevelType w:val="hybridMultilevel"/>
    <w:tmpl w:val="B7049B4A"/>
    <w:lvl w:ilvl="0" w:tplc="8724F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9DD3FF5"/>
    <w:multiLevelType w:val="hybridMultilevel"/>
    <w:tmpl w:val="0D76AC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8A75B2"/>
    <w:multiLevelType w:val="hybridMultilevel"/>
    <w:tmpl w:val="EB56F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8"/>
  </w:num>
  <w:num w:numId="6">
    <w:abstractNumId w:val="4"/>
  </w:num>
  <w:num w:numId="7">
    <w:abstractNumId w:val="2"/>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16D1F"/>
    <w:rsid w:val="00042708"/>
    <w:rsid w:val="00060384"/>
    <w:rsid w:val="00086E3E"/>
    <w:rsid w:val="000A16DE"/>
    <w:rsid w:val="000C6A78"/>
    <w:rsid w:val="000D2D87"/>
    <w:rsid w:val="00120A26"/>
    <w:rsid w:val="0012314B"/>
    <w:rsid w:val="00140DFC"/>
    <w:rsid w:val="001824C7"/>
    <w:rsid w:val="001A7208"/>
    <w:rsid w:val="001B126F"/>
    <w:rsid w:val="001C5C5D"/>
    <w:rsid w:val="001F3DC5"/>
    <w:rsid w:val="00210607"/>
    <w:rsid w:val="00210F03"/>
    <w:rsid w:val="00212DC5"/>
    <w:rsid w:val="002272C7"/>
    <w:rsid w:val="00251B93"/>
    <w:rsid w:val="002701BD"/>
    <w:rsid w:val="00271287"/>
    <w:rsid w:val="002B5B8D"/>
    <w:rsid w:val="002E105F"/>
    <w:rsid w:val="002F1377"/>
    <w:rsid w:val="00337DAA"/>
    <w:rsid w:val="00344E3C"/>
    <w:rsid w:val="00355E2C"/>
    <w:rsid w:val="00366FFF"/>
    <w:rsid w:val="003759FE"/>
    <w:rsid w:val="00392A0A"/>
    <w:rsid w:val="003A1A22"/>
    <w:rsid w:val="003B5E9C"/>
    <w:rsid w:val="003E6317"/>
    <w:rsid w:val="003F415D"/>
    <w:rsid w:val="004045B3"/>
    <w:rsid w:val="004101E9"/>
    <w:rsid w:val="00410BB8"/>
    <w:rsid w:val="00463B28"/>
    <w:rsid w:val="00464738"/>
    <w:rsid w:val="00464B62"/>
    <w:rsid w:val="0047113C"/>
    <w:rsid w:val="00486858"/>
    <w:rsid w:val="004B0678"/>
    <w:rsid w:val="004C27B4"/>
    <w:rsid w:val="004C5A5B"/>
    <w:rsid w:val="004E08CD"/>
    <w:rsid w:val="00505CC2"/>
    <w:rsid w:val="005156B4"/>
    <w:rsid w:val="00522BB8"/>
    <w:rsid w:val="00523160"/>
    <w:rsid w:val="00541259"/>
    <w:rsid w:val="00563EA4"/>
    <w:rsid w:val="00583EB4"/>
    <w:rsid w:val="005923C1"/>
    <w:rsid w:val="005A770A"/>
    <w:rsid w:val="005D5681"/>
    <w:rsid w:val="005E1ED6"/>
    <w:rsid w:val="006202BD"/>
    <w:rsid w:val="00623942"/>
    <w:rsid w:val="00640B9F"/>
    <w:rsid w:val="006459B0"/>
    <w:rsid w:val="00680EB7"/>
    <w:rsid w:val="006A1CC2"/>
    <w:rsid w:val="006B667F"/>
    <w:rsid w:val="006D277A"/>
    <w:rsid w:val="006D38D2"/>
    <w:rsid w:val="006D4417"/>
    <w:rsid w:val="006E7ACF"/>
    <w:rsid w:val="006F3F39"/>
    <w:rsid w:val="00700A51"/>
    <w:rsid w:val="00705DC8"/>
    <w:rsid w:val="00736050"/>
    <w:rsid w:val="00740DB5"/>
    <w:rsid w:val="00762569"/>
    <w:rsid w:val="00766AB4"/>
    <w:rsid w:val="00770747"/>
    <w:rsid w:val="007A1915"/>
    <w:rsid w:val="007B40A1"/>
    <w:rsid w:val="007D12CF"/>
    <w:rsid w:val="007E66E1"/>
    <w:rsid w:val="00812477"/>
    <w:rsid w:val="00824A60"/>
    <w:rsid w:val="00830F80"/>
    <w:rsid w:val="008A2918"/>
    <w:rsid w:val="008B57FE"/>
    <w:rsid w:val="008C3C15"/>
    <w:rsid w:val="008D1FEF"/>
    <w:rsid w:val="008D32D8"/>
    <w:rsid w:val="008E099B"/>
    <w:rsid w:val="008F16EE"/>
    <w:rsid w:val="008F21BB"/>
    <w:rsid w:val="00915108"/>
    <w:rsid w:val="009568E8"/>
    <w:rsid w:val="009D3573"/>
    <w:rsid w:val="009D5B7B"/>
    <w:rsid w:val="009F217B"/>
    <w:rsid w:val="00A440A0"/>
    <w:rsid w:val="00A45E40"/>
    <w:rsid w:val="00A4789E"/>
    <w:rsid w:val="00A61A03"/>
    <w:rsid w:val="00AB11E7"/>
    <w:rsid w:val="00AC3C2A"/>
    <w:rsid w:val="00AD4E9F"/>
    <w:rsid w:val="00AF32D8"/>
    <w:rsid w:val="00BC64D7"/>
    <w:rsid w:val="00C111A9"/>
    <w:rsid w:val="00C152DA"/>
    <w:rsid w:val="00C37EC8"/>
    <w:rsid w:val="00C44D46"/>
    <w:rsid w:val="00C6228B"/>
    <w:rsid w:val="00C66805"/>
    <w:rsid w:val="00C90BE7"/>
    <w:rsid w:val="00C951E1"/>
    <w:rsid w:val="00CA1CC3"/>
    <w:rsid w:val="00CB1BA9"/>
    <w:rsid w:val="00CC7913"/>
    <w:rsid w:val="00CF61DF"/>
    <w:rsid w:val="00D16D1F"/>
    <w:rsid w:val="00D54237"/>
    <w:rsid w:val="00D55430"/>
    <w:rsid w:val="00D705EF"/>
    <w:rsid w:val="00D83883"/>
    <w:rsid w:val="00DA0342"/>
    <w:rsid w:val="00DB1DC5"/>
    <w:rsid w:val="00DC0342"/>
    <w:rsid w:val="00DF19D4"/>
    <w:rsid w:val="00E135CB"/>
    <w:rsid w:val="00E61524"/>
    <w:rsid w:val="00E74EBC"/>
    <w:rsid w:val="00E860A1"/>
    <w:rsid w:val="00E90E65"/>
    <w:rsid w:val="00EA10FF"/>
    <w:rsid w:val="00EA1EF0"/>
    <w:rsid w:val="00EB25CD"/>
    <w:rsid w:val="00EB5765"/>
    <w:rsid w:val="00EC19B5"/>
    <w:rsid w:val="00EE0A6C"/>
    <w:rsid w:val="00EE6041"/>
    <w:rsid w:val="00F00B79"/>
    <w:rsid w:val="00F22C46"/>
    <w:rsid w:val="00F3197D"/>
    <w:rsid w:val="00F503A0"/>
    <w:rsid w:val="00F61E4F"/>
    <w:rsid w:val="00F760AF"/>
    <w:rsid w:val="00F945B7"/>
    <w:rsid w:val="00FD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1F"/>
    <w:pPr>
      <w:ind w:left="720"/>
    </w:pPr>
  </w:style>
  <w:style w:type="character" w:styleId="CommentReference">
    <w:name w:val="annotation reference"/>
    <w:basedOn w:val="DefaultParagraphFont"/>
    <w:uiPriority w:val="99"/>
    <w:semiHidden/>
    <w:unhideWhenUsed/>
    <w:rsid w:val="00A4789E"/>
    <w:rPr>
      <w:sz w:val="16"/>
      <w:szCs w:val="16"/>
    </w:rPr>
  </w:style>
  <w:style w:type="paragraph" w:styleId="CommentText">
    <w:name w:val="annotation text"/>
    <w:basedOn w:val="Normal"/>
    <w:link w:val="CommentTextChar"/>
    <w:uiPriority w:val="99"/>
    <w:semiHidden/>
    <w:unhideWhenUsed/>
    <w:rsid w:val="00A4789E"/>
    <w:rPr>
      <w:sz w:val="20"/>
      <w:szCs w:val="20"/>
    </w:rPr>
  </w:style>
  <w:style w:type="character" w:customStyle="1" w:styleId="CommentTextChar">
    <w:name w:val="Comment Text Char"/>
    <w:basedOn w:val="DefaultParagraphFont"/>
    <w:link w:val="CommentText"/>
    <w:uiPriority w:val="99"/>
    <w:semiHidden/>
    <w:rsid w:val="00A4789E"/>
    <w:rPr>
      <w:sz w:val="20"/>
      <w:szCs w:val="20"/>
    </w:rPr>
  </w:style>
  <w:style w:type="paragraph" w:styleId="CommentSubject">
    <w:name w:val="annotation subject"/>
    <w:basedOn w:val="CommentText"/>
    <w:next w:val="CommentText"/>
    <w:link w:val="CommentSubjectChar"/>
    <w:uiPriority w:val="99"/>
    <w:semiHidden/>
    <w:unhideWhenUsed/>
    <w:rsid w:val="00A4789E"/>
    <w:rPr>
      <w:b/>
      <w:bCs/>
    </w:rPr>
  </w:style>
  <w:style w:type="character" w:customStyle="1" w:styleId="CommentSubjectChar">
    <w:name w:val="Comment Subject Char"/>
    <w:basedOn w:val="CommentTextChar"/>
    <w:link w:val="CommentSubject"/>
    <w:uiPriority w:val="99"/>
    <w:semiHidden/>
    <w:rsid w:val="00A4789E"/>
    <w:rPr>
      <w:b/>
      <w:bCs/>
    </w:rPr>
  </w:style>
  <w:style w:type="paragraph" w:styleId="BalloonText">
    <w:name w:val="Balloon Text"/>
    <w:basedOn w:val="Normal"/>
    <w:link w:val="BalloonTextChar"/>
    <w:unhideWhenUsed/>
    <w:rsid w:val="00A4789E"/>
    <w:rPr>
      <w:rFonts w:ascii="Tahoma" w:hAnsi="Tahoma" w:cs="Tahoma"/>
      <w:sz w:val="16"/>
      <w:szCs w:val="16"/>
    </w:rPr>
  </w:style>
  <w:style w:type="character" w:customStyle="1" w:styleId="BalloonTextChar">
    <w:name w:val="Balloon Text Char"/>
    <w:basedOn w:val="DefaultParagraphFont"/>
    <w:link w:val="BalloonText"/>
    <w:rsid w:val="00A4789E"/>
    <w:rPr>
      <w:rFonts w:ascii="Tahoma" w:hAnsi="Tahoma" w:cs="Tahoma"/>
      <w:sz w:val="16"/>
      <w:szCs w:val="16"/>
    </w:rPr>
  </w:style>
  <w:style w:type="paragraph" w:styleId="Header">
    <w:name w:val="header"/>
    <w:basedOn w:val="Normal"/>
    <w:link w:val="HeaderChar"/>
    <w:uiPriority w:val="99"/>
    <w:semiHidden/>
    <w:unhideWhenUsed/>
    <w:rsid w:val="00A440A0"/>
    <w:pPr>
      <w:tabs>
        <w:tab w:val="center" w:pos="4680"/>
        <w:tab w:val="right" w:pos="9360"/>
      </w:tabs>
    </w:pPr>
  </w:style>
  <w:style w:type="character" w:customStyle="1" w:styleId="HeaderChar">
    <w:name w:val="Header Char"/>
    <w:basedOn w:val="DefaultParagraphFont"/>
    <w:link w:val="Header"/>
    <w:uiPriority w:val="99"/>
    <w:semiHidden/>
    <w:rsid w:val="00A440A0"/>
    <w:rPr>
      <w:sz w:val="22"/>
      <w:szCs w:val="22"/>
    </w:rPr>
  </w:style>
  <w:style w:type="paragraph" w:styleId="Footer">
    <w:name w:val="footer"/>
    <w:basedOn w:val="Normal"/>
    <w:link w:val="FooterChar"/>
    <w:uiPriority w:val="99"/>
    <w:semiHidden/>
    <w:unhideWhenUsed/>
    <w:rsid w:val="00A440A0"/>
    <w:pPr>
      <w:tabs>
        <w:tab w:val="center" w:pos="4680"/>
        <w:tab w:val="right" w:pos="9360"/>
      </w:tabs>
    </w:pPr>
  </w:style>
  <w:style w:type="character" w:customStyle="1" w:styleId="FooterChar">
    <w:name w:val="Footer Char"/>
    <w:basedOn w:val="DefaultParagraphFont"/>
    <w:link w:val="Footer"/>
    <w:uiPriority w:val="99"/>
    <w:semiHidden/>
    <w:rsid w:val="00A440A0"/>
    <w:rPr>
      <w:sz w:val="22"/>
      <w:szCs w:val="22"/>
    </w:rPr>
  </w:style>
  <w:style w:type="character" w:customStyle="1" w:styleId="loc1">
    <w:name w:val="loc1"/>
    <w:basedOn w:val="DefaultParagraphFont"/>
    <w:rsid w:val="00C152DA"/>
    <w:rPr>
      <w:rFonts w:ascii="Times New Roman" w:hAnsi="Times New Roman" w:cs="Times New Roman" w:hint="default"/>
      <w:b w:val="0"/>
      <w:bCs w:val="0"/>
      <w:i w:val="0"/>
      <w:iCs w:val="0"/>
      <w:color w:val="000000"/>
      <w:sz w:val="23"/>
      <w:szCs w:val="23"/>
    </w:rPr>
  </w:style>
  <w:style w:type="table" w:styleId="TableGrid">
    <w:name w:val="Table Grid"/>
    <w:basedOn w:val="TableNormal"/>
    <w:rsid w:val="00DC03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E105F"/>
    <w:rPr>
      <w:rFonts w:asciiTheme="minorHAnsi" w:eastAsiaTheme="minorHAnsi" w:hAnsiTheme="minorHAnsi" w:cstheme="minorBidi"/>
      <w:sz w:val="22"/>
      <w:szCs w:val="22"/>
    </w:rPr>
  </w:style>
  <w:style w:type="paragraph" w:styleId="BodyText">
    <w:name w:val="Body Text"/>
    <w:basedOn w:val="Normal"/>
    <w:link w:val="BodyTextChar"/>
    <w:rsid w:val="002E105F"/>
    <w:pPr>
      <w:widowControl w:val="0"/>
      <w:tabs>
        <w:tab w:val="left" w:pos="-720"/>
      </w:tabs>
      <w:suppressAutoHyphens/>
      <w:jc w:val="both"/>
    </w:pPr>
    <w:rPr>
      <w:rFonts w:ascii="Times New Roman" w:eastAsia="Times New Roman" w:hAnsi="Times New Roman"/>
      <w:snapToGrid w:val="0"/>
      <w:spacing w:val="-3"/>
      <w:sz w:val="24"/>
      <w:szCs w:val="20"/>
    </w:rPr>
  </w:style>
  <w:style w:type="character" w:customStyle="1" w:styleId="BodyTextChar">
    <w:name w:val="Body Text Char"/>
    <w:basedOn w:val="DefaultParagraphFont"/>
    <w:link w:val="BodyText"/>
    <w:rsid w:val="002E105F"/>
    <w:rPr>
      <w:rFonts w:ascii="Times New Roman" w:eastAsia="Times New Roman" w:hAnsi="Times New Roman"/>
      <w:snapToGrid w:val="0"/>
      <w:spacing w:val="-3"/>
      <w:sz w:val="24"/>
    </w:rPr>
  </w:style>
  <w:style w:type="paragraph" w:styleId="FootnoteText">
    <w:name w:val="footnote text"/>
    <w:basedOn w:val="Normal"/>
    <w:link w:val="FootnoteTextChar1"/>
    <w:semiHidden/>
    <w:rsid w:val="002E105F"/>
    <w:pPr>
      <w:widowControl w:val="0"/>
    </w:pPr>
    <w:rPr>
      <w:rFonts w:ascii="CG Times" w:eastAsia="Times New Roman" w:hAnsi="CG Times"/>
      <w:snapToGrid w:val="0"/>
      <w:sz w:val="24"/>
      <w:szCs w:val="20"/>
    </w:rPr>
  </w:style>
  <w:style w:type="character" w:customStyle="1" w:styleId="FootnoteTextChar">
    <w:name w:val="Footnote Text Char"/>
    <w:basedOn w:val="DefaultParagraphFont"/>
    <w:link w:val="FootnoteText"/>
    <w:uiPriority w:val="99"/>
    <w:semiHidden/>
    <w:rsid w:val="002E105F"/>
  </w:style>
  <w:style w:type="character" w:customStyle="1" w:styleId="FootnoteTextChar1">
    <w:name w:val="Footnote Text Char1"/>
    <w:basedOn w:val="DefaultParagraphFont"/>
    <w:link w:val="FootnoteText"/>
    <w:semiHidden/>
    <w:locked/>
    <w:rsid w:val="002E105F"/>
    <w:rPr>
      <w:rFonts w:ascii="CG Times" w:eastAsia="Times New Roman" w:hAnsi="CG Times"/>
      <w:snapToGrid w:val="0"/>
      <w:sz w:val="24"/>
    </w:rPr>
  </w:style>
  <w:style w:type="paragraph" w:styleId="NormalWeb">
    <w:name w:val="Normal (Web)"/>
    <w:basedOn w:val="Normal"/>
    <w:uiPriority w:val="99"/>
    <w:semiHidden/>
    <w:unhideWhenUsed/>
    <w:rsid w:val="002E105F"/>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75113258">
      <w:bodyDiv w:val="1"/>
      <w:marLeft w:val="0"/>
      <w:marRight w:val="0"/>
      <w:marTop w:val="72"/>
      <w:marBottom w:val="0"/>
      <w:divBdr>
        <w:top w:val="none" w:sz="0" w:space="0" w:color="auto"/>
        <w:left w:val="none" w:sz="0" w:space="0" w:color="auto"/>
        <w:bottom w:val="none" w:sz="0" w:space="0" w:color="auto"/>
        <w:right w:val="none" w:sz="0" w:space="0" w:color="auto"/>
      </w:divBdr>
      <w:divsChild>
        <w:div w:id="285236064">
          <w:marLeft w:val="0"/>
          <w:marRight w:val="0"/>
          <w:marTop w:val="0"/>
          <w:marBottom w:val="0"/>
          <w:divBdr>
            <w:top w:val="none" w:sz="0" w:space="0" w:color="auto"/>
            <w:left w:val="none" w:sz="0" w:space="0" w:color="auto"/>
            <w:bottom w:val="none" w:sz="0" w:space="0" w:color="auto"/>
            <w:right w:val="none" w:sz="0" w:space="0" w:color="auto"/>
          </w:divBdr>
          <w:divsChild>
            <w:div w:id="544371777">
              <w:marLeft w:val="3270"/>
              <w:marRight w:val="0"/>
              <w:marTop w:val="0"/>
              <w:marBottom w:val="0"/>
              <w:divBdr>
                <w:top w:val="none" w:sz="0" w:space="0" w:color="auto"/>
                <w:left w:val="none" w:sz="0" w:space="0" w:color="auto"/>
                <w:bottom w:val="none" w:sz="0" w:space="0" w:color="auto"/>
                <w:right w:val="none" w:sz="0" w:space="0" w:color="auto"/>
              </w:divBdr>
              <w:divsChild>
                <w:div w:id="912084785">
                  <w:marLeft w:val="120"/>
                  <w:marRight w:val="0"/>
                  <w:marTop w:val="120"/>
                  <w:marBottom w:val="0"/>
                  <w:divBdr>
                    <w:top w:val="none" w:sz="0" w:space="0" w:color="auto"/>
                    <w:left w:val="none" w:sz="0" w:space="0" w:color="auto"/>
                    <w:bottom w:val="none" w:sz="0" w:space="0" w:color="auto"/>
                    <w:right w:val="none" w:sz="0" w:space="0" w:color="auto"/>
                  </w:divBdr>
                  <w:divsChild>
                    <w:div w:id="1582253726">
                      <w:marLeft w:val="0"/>
                      <w:marRight w:val="0"/>
                      <w:marTop w:val="0"/>
                      <w:marBottom w:val="0"/>
                      <w:divBdr>
                        <w:top w:val="none" w:sz="0" w:space="0" w:color="auto"/>
                        <w:left w:val="none" w:sz="0" w:space="0" w:color="auto"/>
                        <w:bottom w:val="none" w:sz="0" w:space="0" w:color="auto"/>
                        <w:right w:val="none" w:sz="0" w:space="0" w:color="auto"/>
                      </w:divBdr>
                      <w:divsChild>
                        <w:div w:id="15897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8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package" Target="embeddings/Microsoft_Office_Excel_Worksheet1.xlsx"/><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8681-D3BE-4A4C-8B19-259007CA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5132</Words>
  <Characters>29254</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Hupp</dc:creator>
  <cp:lastModifiedBy>Reference</cp:lastModifiedBy>
  <cp:revision>2</cp:revision>
  <cp:lastPrinted>2011-01-27T18:09:00Z</cp:lastPrinted>
  <dcterms:created xsi:type="dcterms:W3CDTF">2011-02-03T14:06:00Z</dcterms:created>
  <dcterms:modified xsi:type="dcterms:W3CDTF">2011-02-03T14:06:00Z</dcterms:modified>
</cp:coreProperties>
</file>