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508" w:rsidRDefault="009B4508">
      <w:pPr>
        <w:widowControl/>
        <w:tabs>
          <w:tab w:val="center" w:pos="4680"/>
        </w:tabs>
        <w:jc w:val="center"/>
        <w:rPr>
          <w:rFonts w:ascii="Times New Roman" w:hAnsi="Times New Roman"/>
          <w:color w:val="000000"/>
        </w:rPr>
      </w:pPr>
      <w:r>
        <w:rPr>
          <w:rFonts w:ascii="Times New Roman" w:hAnsi="Times New Roman"/>
          <w:color w:val="000000"/>
        </w:rPr>
        <w:t>SUPPORTING STATEMENT</w:t>
      </w:r>
    </w:p>
    <w:p w:rsidR="00B001D1" w:rsidRDefault="00B001D1">
      <w:pPr>
        <w:widowControl/>
        <w:tabs>
          <w:tab w:val="center" w:pos="4680"/>
        </w:tabs>
        <w:jc w:val="center"/>
        <w:rPr>
          <w:rFonts w:ascii="Times New Roman" w:hAnsi="Times New Roman"/>
          <w:color w:val="000000"/>
        </w:rPr>
      </w:pPr>
    </w:p>
    <w:p w:rsidR="00B001D1" w:rsidRPr="00B001D1" w:rsidRDefault="00B001D1" w:rsidP="00B001D1">
      <w:pPr>
        <w:widowControl/>
        <w:tabs>
          <w:tab w:val="center" w:pos="4680"/>
        </w:tabs>
        <w:jc w:val="center"/>
        <w:rPr>
          <w:rFonts w:ascii="Times New Roman" w:hAnsi="Times New Roman"/>
          <w:color w:val="000000"/>
        </w:rPr>
      </w:pPr>
    </w:p>
    <w:p w:rsidR="00B001D1" w:rsidRDefault="00B001D1" w:rsidP="00B001D1">
      <w:pPr>
        <w:widowControl/>
        <w:tabs>
          <w:tab w:val="center" w:pos="4680"/>
        </w:tabs>
        <w:jc w:val="center"/>
        <w:rPr>
          <w:rFonts w:ascii="Times New Roman" w:hAnsi="Times New Roman"/>
          <w:color w:val="000000"/>
        </w:rPr>
      </w:pPr>
      <w:r w:rsidRPr="00B001D1">
        <w:rPr>
          <w:rFonts w:ascii="Times New Roman" w:hAnsi="Times New Roman"/>
          <w:color w:val="000000"/>
        </w:rPr>
        <w:t>Thrift Financial Report (TFR)</w:t>
      </w:r>
    </w:p>
    <w:p w:rsidR="000C7D95" w:rsidRDefault="00B7069C" w:rsidP="00B001D1">
      <w:pPr>
        <w:widowControl/>
        <w:tabs>
          <w:tab w:val="center" w:pos="4680"/>
        </w:tabs>
        <w:jc w:val="center"/>
        <w:rPr>
          <w:rFonts w:ascii="Times New Roman" w:hAnsi="Times New Roman"/>
          <w:color w:val="000000"/>
        </w:rPr>
      </w:pPr>
      <w:r>
        <w:rPr>
          <w:rFonts w:ascii="Times New Roman" w:hAnsi="Times New Roman"/>
          <w:color w:val="000000"/>
        </w:rPr>
        <w:t>(OTS 1313)</w:t>
      </w:r>
    </w:p>
    <w:p w:rsidR="00B001D1" w:rsidRDefault="00B001D1" w:rsidP="00B001D1">
      <w:pPr>
        <w:widowControl/>
        <w:tabs>
          <w:tab w:val="center" w:pos="4680"/>
        </w:tabs>
        <w:jc w:val="center"/>
        <w:rPr>
          <w:rFonts w:ascii="Times New Roman" w:hAnsi="Times New Roman"/>
          <w:color w:val="000000"/>
        </w:rPr>
      </w:pPr>
      <w:r w:rsidRPr="00B001D1">
        <w:rPr>
          <w:rFonts w:ascii="Times New Roman" w:hAnsi="Times New Roman"/>
          <w:color w:val="000000"/>
        </w:rPr>
        <w:t>OMB No. 1550-0023 (O</w:t>
      </w:r>
      <w:r>
        <w:rPr>
          <w:rFonts w:ascii="Times New Roman" w:hAnsi="Times New Roman"/>
          <w:color w:val="000000"/>
        </w:rPr>
        <w:t xml:space="preserve">ffice of </w:t>
      </w:r>
      <w:r w:rsidRPr="00B001D1">
        <w:rPr>
          <w:rFonts w:ascii="Times New Roman" w:hAnsi="Times New Roman"/>
          <w:color w:val="000000"/>
        </w:rPr>
        <w:t>T</w:t>
      </w:r>
      <w:r>
        <w:rPr>
          <w:rFonts w:ascii="Times New Roman" w:hAnsi="Times New Roman"/>
          <w:color w:val="000000"/>
        </w:rPr>
        <w:t xml:space="preserve">hrift </w:t>
      </w:r>
      <w:r w:rsidRPr="00B001D1">
        <w:rPr>
          <w:rFonts w:ascii="Times New Roman" w:hAnsi="Times New Roman"/>
          <w:color w:val="000000"/>
        </w:rPr>
        <w:t>S</w:t>
      </w:r>
      <w:r>
        <w:rPr>
          <w:rFonts w:ascii="Times New Roman" w:hAnsi="Times New Roman"/>
          <w:color w:val="000000"/>
        </w:rPr>
        <w:t>upervision</w:t>
      </w:r>
      <w:r w:rsidRPr="00B001D1">
        <w:rPr>
          <w:rFonts w:ascii="Times New Roman" w:hAnsi="Times New Roman"/>
          <w:color w:val="000000"/>
        </w:rPr>
        <w:t>)</w:t>
      </w:r>
    </w:p>
    <w:p w:rsidR="009B4508" w:rsidRDefault="009B4508">
      <w:pPr>
        <w:widowControl/>
        <w:tabs>
          <w:tab w:val="center" w:pos="4680"/>
        </w:tabs>
        <w:jc w:val="center"/>
        <w:rPr>
          <w:rFonts w:ascii="Times New Roman" w:hAnsi="Times New Roman"/>
          <w:color w:val="000000"/>
        </w:rPr>
      </w:pPr>
    </w:p>
    <w:p w:rsidR="009B4508" w:rsidRDefault="009B4508">
      <w:pPr>
        <w:widowControl/>
        <w:rPr>
          <w:rFonts w:ascii="Times New Roman" w:hAnsi="Times New Roman"/>
          <w:color w:val="000000"/>
        </w:rPr>
      </w:pPr>
    </w:p>
    <w:p w:rsidR="009B4508" w:rsidRDefault="009B4508" w:rsidP="00C11549">
      <w:pPr>
        <w:widowControl/>
        <w:tabs>
          <w:tab w:val="left" w:pos="432"/>
          <w:tab w:val="left" w:pos="1296"/>
          <w:tab w:val="left" w:pos="1728"/>
          <w:tab w:val="left" w:pos="4176"/>
        </w:tabs>
        <w:ind w:left="432" w:hanging="432"/>
        <w:rPr>
          <w:rFonts w:ascii="Times New Roman" w:hAnsi="Times New Roman"/>
          <w:color w:val="000000"/>
        </w:rPr>
      </w:pPr>
      <w:r>
        <w:rPr>
          <w:rFonts w:ascii="Times New Roman" w:hAnsi="Times New Roman"/>
          <w:color w:val="000000"/>
        </w:rPr>
        <w:t>A.</w:t>
      </w:r>
      <w:r>
        <w:rPr>
          <w:rFonts w:ascii="Times New Roman" w:hAnsi="Times New Roman"/>
          <w:color w:val="000000"/>
        </w:rPr>
        <w:tab/>
      </w:r>
      <w:r>
        <w:rPr>
          <w:rFonts w:ascii="Times New Roman" w:hAnsi="Times New Roman"/>
          <w:color w:val="000000"/>
          <w:u w:val="single"/>
        </w:rPr>
        <w:t>JUSTIFICATION</w:t>
      </w:r>
    </w:p>
    <w:p w:rsidR="009B4508" w:rsidRDefault="009B4508" w:rsidP="00C11549">
      <w:pPr>
        <w:widowControl/>
        <w:tabs>
          <w:tab w:val="left" w:pos="432"/>
          <w:tab w:val="left" w:pos="1296"/>
          <w:tab w:val="left" w:pos="1728"/>
          <w:tab w:val="left" w:pos="4176"/>
        </w:tabs>
        <w:ind w:left="432" w:hanging="432"/>
        <w:rPr>
          <w:rFonts w:ascii="Times New Roman" w:hAnsi="Times New Roman"/>
          <w:color w:val="000000"/>
        </w:rPr>
      </w:pPr>
    </w:p>
    <w:p w:rsidR="009B4508" w:rsidRDefault="009B4508" w:rsidP="00C11549">
      <w:pPr>
        <w:widowControl/>
        <w:numPr>
          <w:ilvl w:val="0"/>
          <w:numId w:val="7"/>
        </w:numPr>
        <w:tabs>
          <w:tab w:val="left" w:pos="432"/>
          <w:tab w:val="left" w:pos="1728"/>
          <w:tab w:val="left" w:pos="4176"/>
        </w:tabs>
        <w:ind w:left="432" w:hanging="432"/>
        <w:rPr>
          <w:rFonts w:ascii="Times New Roman" w:hAnsi="Times New Roman"/>
          <w:color w:val="000000"/>
          <w:u w:val="single"/>
        </w:rPr>
      </w:pPr>
      <w:r>
        <w:rPr>
          <w:rFonts w:ascii="Times New Roman" w:hAnsi="Times New Roman"/>
          <w:color w:val="000000"/>
          <w:u w:val="single"/>
        </w:rPr>
        <w:t>Circumstances and Need</w:t>
      </w:r>
    </w:p>
    <w:p w:rsidR="009B4508" w:rsidRDefault="009B4508">
      <w:pPr>
        <w:widowControl/>
        <w:tabs>
          <w:tab w:val="left" w:pos="432"/>
          <w:tab w:val="left" w:pos="1296"/>
          <w:tab w:val="left" w:pos="1728"/>
          <w:tab w:val="left" w:pos="4176"/>
        </w:tabs>
        <w:ind w:left="1287"/>
        <w:rPr>
          <w:rFonts w:ascii="Times New Roman" w:hAnsi="Times New Roman"/>
          <w:color w:val="000000"/>
          <w:szCs w:val="24"/>
        </w:rPr>
      </w:pPr>
    </w:p>
    <w:p w:rsidR="009B4508" w:rsidRDefault="009B4508">
      <w:pPr>
        <w:widowControl/>
        <w:tabs>
          <w:tab w:val="left" w:pos="432"/>
          <w:tab w:val="left" w:pos="1296"/>
          <w:tab w:val="left" w:pos="1728"/>
          <w:tab w:val="left" w:pos="4176"/>
        </w:tabs>
        <w:rPr>
          <w:rFonts w:ascii="Times New Roman" w:hAnsi="Times New Roman"/>
          <w:color w:val="000000"/>
        </w:rPr>
      </w:pPr>
      <w:r>
        <w:rPr>
          <w:rFonts w:ascii="Times New Roman" w:hAnsi="Times New Roman"/>
          <w:color w:val="000000"/>
        </w:rPr>
        <w:t xml:space="preserve">Section 141 of the Federal Deposit Insurance Corporation Improvement Act of 1991 (FDICIA), Pub. L. No. 102-242 (Dec. 19, 1991), added </w:t>
      </w:r>
      <w:r w:rsidR="00C11549">
        <w:rPr>
          <w:rFonts w:ascii="Times New Roman" w:hAnsi="Times New Roman"/>
          <w:color w:val="000000"/>
        </w:rPr>
        <w:t>S</w:t>
      </w:r>
      <w:r>
        <w:rPr>
          <w:rFonts w:ascii="Times New Roman" w:hAnsi="Times New Roman"/>
          <w:color w:val="000000"/>
        </w:rPr>
        <w:t xml:space="preserve">ection 13(c)(4)(G) to the Federal Deposit Insurance Act (FDI Act).  12 USC 1823(c)(4)(G).  That section authorizes action by the </w:t>
      </w:r>
      <w:r w:rsidR="007C28BC">
        <w:rPr>
          <w:rFonts w:ascii="Times New Roman" w:hAnsi="Times New Roman"/>
          <w:color w:val="000000"/>
        </w:rPr>
        <w:t>fe</w:t>
      </w:r>
      <w:r>
        <w:rPr>
          <w:rFonts w:ascii="Times New Roman" w:hAnsi="Times New Roman"/>
          <w:color w:val="000000"/>
        </w:rPr>
        <w:t xml:space="preserve">deral government in circumstances involving a systemic risk to the nation’s financial system.  </w:t>
      </w:r>
    </w:p>
    <w:p w:rsidR="00B65543" w:rsidRPr="004320C8" w:rsidRDefault="00B65543">
      <w:pPr>
        <w:widowControl/>
        <w:tabs>
          <w:tab w:val="left" w:pos="432"/>
          <w:tab w:val="left" w:pos="1296"/>
          <w:tab w:val="left" w:pos="1728"/>
          <w:tab w:val="left" w:pos="4176"/>
        </w:tabs>
        <w:rPr>
          <w:rFonts w:ascii="Times New Roman" w:hAnsi="Times New Roman"/>
          <w:color w:val="000000"/>
        </w:rPr>
      </w:pPr>
    </w:p>
    <w:p w:rsidR="007B3473" w:rsidRPr="004320C8" w:rsidRDefault="00B65543" w:rsidP="00B65543">
      <w:pPr>
        <w:rPr>
          <w:rFonts w:ascii="Times New Roman" w:hAnsi="Times New Roman"/>
        </w:rPr>
      </w:pPr>
      <w:r w:rsidRPr="004320C8">
        <w:t>O</w:t>
      </w:r>
      <w:r w:rsidRPr="004320C8">
        <w:rPr>
          <w:rFonts w:ascii="Times New Roman" w:hAnsi="Times New Roman"/>
        </w:rPr>
        <w:t xml:space="preserve">TS last revised the form and content of the TFR in a manner that significantly affected a substantial percentage of institutions in </w:t>
      </w:r>
      <w:r w:rsidR="00AC47F4" w:rsidRPr="004320C8">
        <w:rPr>
          <w:rFonts w:ascii="Times New Roman" w:hAnsi="Times New Roman"/>
        </w:rPr>
        <w:t>March 2010</w:t>
      </w:r>
      <w:r w:rsidR="004F744E">
        <w:rPr>
          <w:rFonts w:ascii="Times New Roman" w:hAnsi="Times New Roman"/>
        </w:rPr>
        <w:t xml:space="preserve">, and implemented </w:t>
      </w:r>
      <w:r w:rsidRPr="004320C8">
        <w:rPr>
          <w:rFonts w:ascii="Times New Roman" w:hAnsi="Times New Roman"/>
        </w:rPr>
        <w:t xml:space="preserve">additional revisions </w:t>
      </w:r>
      <w:r w:rsidR="00AC47F4" w:rsidRPr="004320C8">
        <w:rPr>
          <w:rFonts w:ascii="Times New Roman" w:hAnsi="Times New Roman"/>
        </w:rPr>
        <w:t xml:space="preserve">effective in </w:t>
      </w:r>
      <w:r w:rsidR="004F744E">
        <w:rPr>
          <w:rFonts w:ascii="Times New Roman" w:hAnsi="Times New Roman"/>
        </w:rPr>
        <w:t>the September 2010 and December 2010 reporting cycles.</w:t>
      </w:r>
      <w:r w:rsidR="00AC47F4" w:rsidRPr="004320C8">
        <w:rPr>
          <w:rFonts w:ascii="Times New Roman" w:hAnsi="Times New Roman"/>
        </w:rPr>
        <w:t xml:space="preserve">  Throughout 2010</w:t>
      </w:r>
      <w:r w:rsidRPr="004320C8">
        <w:rPr>
          <w:rFonts w:ascii="Times New Roman" w:hAnsi="Times New Roman"/>
        </w:rPr>
        <w:t xml:space="preserve">, OTS has evaluated its ongoing information needs.  </w:t>
      </w:r>
      <w:r w:rsidR="00BB0DEB" w:rsidRPr="004320C8">
        <w:rPr>
          <w:rFonts w:ascii="Times New Roman" w:hAnsi="Times New Roman"/>
        </w:rPr>
        <w:t>The OTS is re-submitting the TFR for OMB’s review and approval for</w:t>
      </w:r>
      <w:r w:rsidR="007B3473" w:rsidRPr="004320C8">
        <w:rPr>
          <w:rFonts w:ascii="Times New Roman" w:hAnsi="Times New Roman"/>
        </w:rPr>
        <w:t xml:space="preserve"> the year 201</w:t>
      </w:r>
      <w:r w:rsidR="004F744E">
        <w:rPr>
          <w:rFonts w:ascii="Times New Roman" w:hAnsi="Times New Roman"/>
        </w:rPr>
        <w:t>1</w:t>
      </w:r>
      <w:r w:rsidR="007B3473" w:rsidRPr="004320C8">
        <w:rPr>
          <w:rFonts w:ascii="Times New Roman" w:hAnsi="Times New Roman"/>
        </w:rPr>
        <w:t xml:space="preserve">.  OTS plans on collecting this data beginning in </w:t>
      </w:r>
      <w:r w:rsidR="004F744E">
        <w:rPr>
          <w:rFonts w:ascii="Times New Roman" w:hAnsi="Times New Roman"/>
        </w:rPr>
        <w:t>March 2011</w:t>
      </w:r>
      <w:r w:rsidR="007B3473" w:rsidRPr="004320C8">
        <w:rPr>
          <w:rFonts w:ascii="Times New Roman" w:hAnsi="Times New Roman"/>
        </w:rPr>
        <w:t xml:space="preserve">. </w:t>
      </w:r>
    </w:p>
    <w:p w:rsidR="007B3473" w:rsidRPr="003B4686" w:rsidRDefault="007B3473" w:rsidP="00B65543">
      <w:pPr>
        <w:rPr>
          <w:rFonts w:ascii="Times New Roman" w:hAnsi="Times New Roman"/>
        </w:rPr>
      </w:pPr>
    </w:p>
    <w:p w:rsidR="00B65543" w:rsidRPr="003B4686" w:rsidRDefault="00B65543" w:rsidP="00B65543">
      <w:pPr>
        <w:rPr>
          <w:rFonts w:ascii="Times New Roman" w:hAnsi="Times New Roman"/>
        </w:rPr>
      </w:pPr>
      <w:r w:rsidRPr="003B4686">
        <w:rPr>
          <w:rFonts w:ascii="Times New Roman" w:hAnsi="Times New Roman"/>
        </w:rPr>
        <w:t>OTS recognizes that the TFR imposes reporting requirements, which are a component of the regulatory burden facing institutions.  Another contributor to this regulatory burden is the examination process, particularly on-site examinations during which institution staffs spend time and effort responding to inquiries and requests for information designed to assist examiners in evaluating the condition and risk profile of the institution.  The amount of attention that examiners direct to risk areas of the institution under examination is, in large part, determined from TFR data.  These data, and analytical reports, including the Uniform Thrift Performance Report, assist examiners in scoping and making their preliminary assessments of risks during the planning phase of the examination.</w:t>
      </w:r>
    </w:p>
    <w:p w:rsidR="00B65543" w:rsidRPr="00980935" w:rsidRDefault="00B65543" w:rsidP="00B65543">
      <w:pPr>
        <w:rPr>
          <w:rFonts w:ascii="Times New Roman" w:hAnsi="Times New Roman"/>
        </w:rPr>
      </w:pPr>
    </w:p>
    <w:p w:rsidR="00B65543" w:rsidRPr="00980935" w:rsidRDefault="00B65543" w:rsidP="00B65543">
      <w:pPr>
        <w:rPr>
          <w:rFonts w:ascii="Times New Roman" w:hAnsi="Times New Roman"/>
          <w:szCs w:val="24"/>
        </w:rPr>
      </w:pPr>
      <w:r w:rsidRPr="00980935">
        <w:rPr>
          <w:rFonts w:ascii="Times New Roman" w:hAnsi="Times New Roman"/>
          <w:szCs w:val="24"/>
        </w:rPr>
        <w:t xml:space="preserve">A risk-focused review of the information from an institution’s TFR allows examiners to make preliminary risk assessments prior to onsite work.  The degree of perceived risk determines the extent of the examination procedures that examiners initially plan for each risk area.  If the outcome of these procedures reveals a different level of risk in a particular area, the examiner adjusts the examination scope and procedures accordingly.  </w:t>
      </w:r>
    </w:p>
    <w:p w:rsidR="00B65543" w:rsidRPr="00980935" w:rsidRDefault="00B65543" w:rsidP="00B65543">
      <w:pPr>
        <w:rPr>
          <w:rFonts w:ascii="Times New Roman" w:hAnsi="Times New Roman"/>
          <w:szCs w:val="24"/>
        </w:rPr>
      </w:pPr>
    </w:p>
    <w:p w:rsidR="00B65543" w:rsidRPr="00980935" w:rsidRDefault="00B65543" w:rsidP="00B65543">
      <w:pPr>
        <w:rPr>
          <w:rFonts w:ascii="Times New Roman" w:hAnsi="Times New Roman"/>
        </w:rPr>
      </w:pPr>
      <w:r w:rsidRPr="00980935">
        <w:rPr>
          <w:rFonts w:ascii="Times New Roman" w:hAnsi="Times New Roman"/>
        </w:rPr>
        <w:t>TFR data are also a vital source of information for the monitoring and regulatory activities of OTS.  Among their benefits, these activities aid in determining whether the frequency of an institution’s examination cycle should remain at maximum allowed time intervals, thereby lessening overall regulatory burden.  More risk-focused TFR data enhance the ability of OTS to assess whether an institution is experiencing changes in its risk profile that warrant immediate follow-up, which may include accelerating the timing of an on-site examination.</w:t>
      </w:r>
    </w:p>
    <w:p w:rsidR="00B65543" w:rsidRDefault="00B65543" w:rsidP="00B65543">
      <w:pPr>
        <w:widowControl/>
        <w:tabs>
          <w:tab w:val="left" w:pos="432"/>
          <w:tab w:val="left" w:pos="1296"/>
          <w:tab w:val="left" w:pos="1728"/>
          <w:tab w:val="left" w:pos="4176"/>
        </w:tabs>
        <w:rPr>
          <w:rFonts w:ascii="Times New Roman" w:hAnsi="Times New Roman"/>
        </w:rPr>
      </w:pPr>
      <w:r w:rsidRPr="006D1C54">
        <w:rPr>
          <w:rFonts w:ascii="Times New Roman" w:hAnsi="Times New Roman"/>
        </w:rPr>
        <w:lastRenderedPageBreak/>
        <w:t>In developing this proposal, OTS considered a range of potential information needs, particularly in the areas of credit risk, liquidity, and liabilities, and identified those additions to the TFR that are most critical and relevant to OTS in fulfilling its supervisory responsibilities.  OTS recognizes that increased reporting burden will result from the addition to the TFR of the new items discussed in this proposal.  Nevertheless, when viewing these proposed revisions to the TFR within a larger context, they help to enhance the on- and off-site supervision capabilities of OTS, which assist with controlling the overall regulatory burden on institutions.</w:t>
      </w:r>
    </w:p>
    <w:p w:rsidR="00980935" w:rsidRDefault="00980935" w:rsidP="00980935">
      <w:pPr>
        <w:widowControl/>
        <w:tabs>
          <w:tab w:val="left" w:pos="432"/>
          <w:tab w:val="left" w:pos="1296"/>
          <w:tab w:val="left" w:pos="1728"/>
          <w:tab w:val="left" w:pos="4176"/>
        </w:tabs>
        <w:rPr>
          <w:rFonts w:ascii="Times New Roman" w:hAnsi="Times New Roman"/>
        </w:rPr>
      </w:pPr>
    </w:p>
    <w:p w:rsidR="00730E6F" w:rsidRPr="00980935" w:rsidRDefault="00980935" w:rsidP="00980935">
      <w:pPr>
        <w:rPr>
          <w:rFonts w:ascii="Times New Roman" w:hAnsi="Times New Roman"/>
        </w:rPr>
      </w:pPr>
      <w:r>
        <w:rPr>
          <w:rFonts w:ascii="Times New Roman" w:hAnsi="Times New Roman"/>
        </w:rPr>
        <w:t>All</w:t>
      </w:r>
      <w:r w:rsidRPr="007115D2">
        <w:rPr>
          <w:rFonts w:ascii="Times New Roman" w:hAnsi="Times New Roman"/>
        </w:rPr>
        <w:t xml:space="preserve"> proposed changes to the TFR for 2011 that would increase the differences between the TFR and the Call Report</w:t>
      </w:r>
      <w:r>
        <w:rPr>
          <w:rFonts w:ascii="Times New Roman" w:hAnsi="Times New Roman"/>
        </w:rPr>
        <w:t xml:space="preserve"> </w:t>
      </w:r>
      <w:r w:rsidR="00323EB9">
        <w:rPr>
          <w:rFonts w:ascii="Times New Roman" w:hAnsi="Times New Roman"/>
        </w:rPr>
        <w:t xml:space="preserve">used by banks for reporting </w:t>
      </w:r>
      <w:r w:rsidR="007F690E">
        <w:rPr>
          <w:rFonts w:ascii="Times New Roman" w:hAnsi="Times New Roman"/>
        </w:rPr>
        <w:t xml:space="preserve">financial data </w:t>
      </w:r>
      <w:r>
        <w:rPr>
          <w:rFonts w:ascii="Times New Roman" w:hAnsi="Times New Roman"/>
        </w:rPr>
        <w:t>have been eliminated</w:t>
      </w:r>
      <w:r w:rsidRPr="007115D2">
        <w:rPr>
          <w:rFonts w:ascii="Times New Roman" w:hAnsi="Times New Roman"/>
        </w:rPr>
        <w:t>.</w:t>
      </w:r>
    </w:p>
    <w:p w:rsidR="00730E6F" w:rsidRDefault="00730E6F" w:rsidP="00980935">
      <w:pPr>
        <w:widowControl/>
        <w:tabs>
          <w:tab w:val="left" w:pos="432"/>
          <w:tab w:val="left" w:pos="1296"/>
          <w:tab w:val="left" w:pos="1728"/>
          <w:tab w:val="left" w:pos="4176"/>
        </w:tabs>
        <w:rPr>
          <w:rFonts w:ascii="Times New Roman" w:hAnsi="Times New Roman"/>
          <w:color w:val="000000"/>
        </w:rPr>
      </w:pPr>
    </w:p>
    <w:p w:rsidR="009B4508" w:rsidRDefault="009B4508" w:rsidP="008765ED">
      <w:pPr>
        <w:widowControl/>
        <w:tabs>
          <w:tab w:val="left" w:pos="432"/>
          <w:tab w:val="left" w:pos="1296"/>
          <w:tab w:val="left" w:pos="1728"/>
          <w:tab w:val="left" w:pos="4176"/>
        </w:tabs>
        <w:ind w:left="432" w:hanging="432"/>
        <w:rPr>
          <w:rFonts w:ascii="Times New Roman" w:hAnsi="Times New Roman"/>
          <w:color w:val="000000"/>
          <w:u w:val="single"/>
        </w:rPr>
      </w:pPr>
      <w:r>
        <w:rPr>
          <w:rFonts w:ascii="Times New Roman" w:hAnsi="Times New Roman"/>
          <w:color w:val="000000"/>
        </w:rPr>
        <w:t>2.</w:t>
      </w:r>
      <w:r>
        <w:rPr>
          <w:rFonts w:ascii="Times New Roman" w:hAnsi="Times New Roman"/>
          <w:color w:val="000000"/>
        </w:rPr>
        <w:tab/>
      </w:r>
      <w:r>
        <w:rPr>
          <w:rFonts w:ascii="Times New Roman" w:hAnsi="Times New Roman"/>
          <w:color w:val="000000"/>
          <w:u w:val="single"/>
        </w:rPr>
        <w:t>Use of Information Collected</w:t>
      </w:r>
    </w:p>
    <w:p w:rsidR="001670D8" w:rsidRDefault="001670D8" w:rsidP="008765ED">
      <w:pPr>
        <w:widowControl/>
        <w:tabs>
          <w:tab w:val="left" w:pos="432"/>
          <w:tab w:val="left" w:pos="1296"/>
          <w:tab w:val="left" w:pos="1728"/>
          <w:tab w:val="left" w:pos="4176"/>
        </w:tabs>
        <w:ind w:left="432" w:hanging="432"/>
        <w:rPr>
          <w:rFonts w:ascii="Times New Roman" w:hAnsi="Times New Roman"/>
          <w:color w:val="000000"/>
          <w:u w:val="single"/>
        </w:rPr>
      </w:pPr>
    </w:p>
    <w:p w:rsidR="001670D8" w:rsidRDefault="001670D8" w:rsidP="008765ED">
      <w:pPr>
        <w:widowControl/>
        <w:tabs>
          <w:tab w:val="left" w:pos="432"/>
          <w:tab w:val="left" w:pos="1296"/>
          <w:tab w:val="left" w:pos="1728"/>
          <w:tab w:val="left" w:pos="4176"/>
        </w:tabs>
        <w:ind w:left="432" w:hanging="432"/>
        <w:rPr>
          <w:rFonts w:ascii="Times New Roman" w:hAnsi="Times New Roman"/>
          <w:color w:val="000000"/>
        </w:rPr>
      </w:pPr>
      <w:r>
        <w:rPr>
          <w:rFonts w:ascii="Times New Roman" w:hAnsi="Times New Roman"/>
          <w:color w:val="000000"/>
        </w:rPr>
        <w:t xml:space="preserve">OTS uses this information to monitor the condition, performance, and risk profile of individual </w:t>
      </w:r>
    </w:p>
    <w:p w:rsidR="001670D8" w:rsidRPr="001670D8" w:rsidRDefault="001670D8" w:rsidP="008765ED">
      <w:pPr>
        <w:widowControl/>
        <w:tabs>
          <w:tab w:val="left" w:pos="432"/>
          <w:tab w:val="left" w:pos="1296"/>
          <w:tab w:val="left" w:pos="1728"/>
          <w:tab w:val="left" w:pos="4176"/>
        </w:tabs>
        <w:ind w:left="432" w:hanging="432"/>
        <w:rPr>
          <w:rFonts w:ascii="Times New Roman" w:hAnsi="Times New Roman"/>
          <w:color w:val="000000"/>
        </w:rPr>
      </w:pPr>
      <w:r>
        <w:rPr>
          <w:rFonts w:ascii="Times New Roman" w:hAnsi="Times New Roman"/>
          <w:color w:val="000000"/>
        </w:rPr>
        <w:t>institutions and systemic risk among groups of institutions and the industry as a whole.</w:t>
      </w:r>
    </w:p>
    <w:p w:rsidR="009B4508" w:rsidRDefault="009B4508">
      <w:pPr>
        <w:widowControl/>
        <w:tabs>
          <w:tab w:val="left" w:pos="432"/>
          <w:tab w:val="left" w:pos="1296"/>
          <w:tab w:val="left" w:pos="1728"/>
          <w:tab w:val="left" w:pos="4176"/>
        </w:tabs>
        <w:rPr>
          <w:rFonts w:ascii="Times New Roman" w:hAnsi="Times New Roman"/>
          <w:color w:val="000000"/>
        </w:rPr>
      </w:pPr>
    </w:p>
    <w:p w:rsidR="009B4508" w:rsidRDefault="009B4508" w:rsidP="00324070">
      <w:pPr>
        <w:widowControl/>
        <w:tabs>
          <w:tab w:val="left" w:pos="432"/>
          <w:tab w:val="left" w:pos="1296"/>
          <w:tab w:val="left" w:pos="1728"/>
          <w:tab w:val="left" w:pos="4176"/>
        </w:tabs>
        <w:ind w:left="432" w:hanging="432"/>
        <w:rPr>
          <w:rFonts w:ascii="Times New Roman" w:hAnsi="Times New Roman"/>
          <w:color w:val="000000"/>
          <w:u w:val="single"/>
        </w:rPr>
      </w:pPr>
      <w:r w:rsidRPr="00324070">
        <w:rPr>
          <w:rFonts w:ascii="Times New Roman" w:hAnsi="Times New Roman"/>
          <w:color w:val="000000"/>
        </w:rPr>
        <w:t>3.</w:t>
      </w:r>
      <w:r w:rsidRPr="00324070">
        <w:rPr>
          <w:rFonts w:ascii="Times New Roman" w:hAnsi="Times New Roman"/>
          <w:color w:val="000000"/>
        </w:rPr>
        <w:tab/>
      </w:r>
      <w:r w:rsidRPr="00324070">
        <w:rPr>
          <w:rFonts w:ascii="Times New Roman" w:hAnsi="Times New Roman"/>
          <w:color w:val="000000"/>
          <w:u w:val="single"/>
        </w:rPr>
        <w:t>Use of Technology</w:t>
      </w:r>
      <w:r>
        <w:rPr>
          <w:rFonts w:ascii="Times New Roman" w:hAnsi="Times New Roman"/>
          <w:color w:val="000000"/>
          <w:u w:val="single"/>
        </w:rPr>
        <w:t xml:space="preserve"> to Reduce Burden </w:t>
      </w:r>
    </w:p>
    <w:p w:rsidR="0005079C" w:rsidRPr="00805177" w:rsidRDefault="0005079C" w:rsidP="00324070">
      <w:pPr>
        <w:widowControl/>
        <w:tabs>
          <w:tab w:val="left" w:pos="432"/>
          <w:tab w:val="left" w:pos="1296"/>
          <w:tab w:val="left" w:pos="1728"/>
          <w:tab w:val="left" w:pos="4176"/>
        </w:tabs>
        <w:ind w:left="432" w:hanging="432"/>
        <w:rPr>
          <w:rFonts w:ascii="Times New Roman" w:hAnsi="Times New Roman"/>
          <w:color w:val="000000"/>
          <w:u w:val="single"/>
        </w:rPr>
      </w:pPr>
    </w:p>
    <w:p w:rsidR="009B4508" w:rsidRPr="00805177" w:rsidRDefault="0005079C" w:rsidP="0005079C">
      <w:pPr>
        <w:pStyle w:val="BodyText"/>
        <w:spacing w:after="0"/>
        <w:rPr>
          <w:rFonts w:ascii="Times New Roman" w:hAnsi="Times New Roman"/>
        </w:rPr>
      </w:pPr>
      <w:r w:rsidRPr="00805177">
        <w:rPr>
          <w:rFonts w:ascii="Times New Roman" w:hAnsi="Times New Roman"/>
        </w:rPr>
        <w:t>Since 1993, all reporting associations file their TFRs electronically.  Electronic transmission has significantly reduced the reporting burden and has improved data quality by reducing transcription errors and providing edit checks at the source of the data entry.  OTS internally developed and maintains the electronic filing software and provides it free-of-charge to all savings associations in Microsoft Windows on a CDROM.  The electronic software sums totals, brings forward beginning balances, and calculates certain fields, eliminating the need for data entry for approximately 20% of the fields in the TFR.  There are over 900 edit checks in the electronic software that allow associations to self-edit their data prior to transmitting the report.  The software allows associations to explain any valid deviations from the edits in a memorandum system called “User Notes.”  These enhancements reduce the amount of time OTS staff has to spend in validating the data and reduce the number of phone calls made to the associations, thus reducing burden on the industry.  OTS is currently exploring a web-based data collection application.  A web-based application will achieve greater efficiencies in the data collection and report dissemination processes.</w:t>
      </w:r>
    </w:p>
    <w:p w:rsidR="0005079C" w:rsidRDefault="0005079C" w:rsidP="0005079C">
      <w:pPr>
        <w:widowControl/>
        <w:tabs>
          <w:tab w:val="left" w:pos="432"/>
          <w:tab w:val="left" w:pos="1296"/>
          <w:tab w:val="left" w:pos="1728"/>
          <w:tab w:val="left" w:pos="4176"/>
        </w:tabs>
        <w:rPr>
          <w:rFonts w:ascii="Times New Roman" w:hAnsi="Times New Roman"/>
          <w:color w:val="000000"/>
        </w:rPr>
      </w:pPr>
    </w:p>
    <w:p w:rsidR="009B4508" w:rsidRDefault="009B4508" w:rsidP="00FC3717">
      <w:pPr>
        <w:widowControl/>
        <w:numPr>
          <w:ilvl w:val="0"/>
          <w:numId w:val="8"/>
        </w:numPr>
        <w:tabs>
          <w:tab w:val="left" w:pos="432"/>
          <w:tab w:val="left" w:pos="1728"/>
          <w:tab w:val="left" w:pos="4176"/>
        </w:tabs>
        <w:ind w:left="432" w:hanging="432"/>
        <w:rPr>
          <w:rFonts w:ascii="Times New Roman" w:hAnsi="Times New Roman"/>
          <w:color w:val="000000"/>
          <w:u w:val="single"/>
        </w:rPr>
      </w:pPr>
      <w:r>
        <w:rPr>
          <w:rFonts w:ascii="Times New Roman" w:hAnsi="Times New Roman"/>
          <w:color w:val="000000"/>
          <w:u w:val="single"/>
        </w:rPr>
        <w:t xml:space="preserve">Efforts to Identify Duplication </w:t>
      </w:r>
    </w:p>
    <w:p w:rsidR="00805177" w:rsidRDefault="00805177" w:rsidP="00805177">
      <w:pPr>
        <w:pStyle w:val="BodyText"/>
        <w:spacing w:after="0"/>
        <w:rPr>
          <w:rFonts w:ascii="Times New Roman" w:hAnsi="Times New Roman"/>
        </w:rPr>
      </w:pPr>
    </w:p>
    <w:p w:rsidR="00805177" w:rsidRDefault="00805177" w:rsidP="00805177">
      <w:pPr>
        <w:pStyle w:val="BodyText"/>
        <w:spacing w:after="0"/>
        <w:rPr>
          <w:rFonts w:ascii="Times New Roman" w:hAnsi="Times New Roman"/>
        </w:rPr>
      </w:pPr>
      <w:r>
        <w:rPr>
          <w:rFonts w:ascii="Times New Roman" w:hAnsi="Times New Roman"/>
        </w:rPr>
        <w:t>This information collection is not duplicative within the meaning of the PRA and OMB regulations.  Information that is similar to or that corresponds to information that could serve OTS's purpose and need in this information collection is not being collected from OTS regulated institutions by any other means or for any other purpose; nor is this information otherwise available in the detail necessary to satisfy the purpose and need for which this collection of information is undertaken.  However, the data gathered in this information collection are shared with the other Federal financial institution regulators, state financial institution regulators, and other Federal agencies.</w:t>
      </w:r>
    </w:p>
    <w:p w:rsidR="00805177" w:rsidRDefault="00805177" w:rsidP="00805177">
      <w:pPr>
        <w:pStyle w:val="BodyText"/>
        <w:spacing w:after="0"/>
        <w:ind w:firstLine="720"/>
        <w:rPr>
          <w:rFonts w:ascii="Times New Roman" w:hAnsi="Times New Roman"/>
        </w:rPr>
      </w:pPr>
    </w:p>
    <w:p w:rsidR="009B4508" w:rsidRDefault="009B4508" w:rsidP="00D31695">
      <w:pPr>
        <w:keepNext/>
        <w:widowControl/>
        <w:numPr>
          <w:ilvl w:val="0"/>
          <w:numId w:val="1"/>
        </w:numPr>
        <w:tabs>
          <w:tab w:val="left" w:pos="432"/>
          <w:tab w:val="left" w:pos="1728"/>
          <w:tab w:val="left" w:pos="4176"/>
        </w:tabs>
        <w:ind w:left="432" w:hanging="432"/>
        <w:rPr>
          <w:rFonts w:ascii="Times New Roman" w:hAnsi="Times New Roman"/>
          <w:color w:val="000000"/>
          <w:u w:val="single"/>
        </w:rPr>
      </w:pPr>
      <w:r>
        <w:rPr>
          <w:rFonts w:ascii="Times New Roman" w:hAnsi="Times New Roman"/>
          <w:color w:val="000000"/>
          <w:u w:val="single"/>
        </w:rPr>
        <w:lastRenderedPageBreak/>
        <w:t>Minimizing the Burden on Small Entities</w:t>
      </w:r>
    </w:p>
    <w:p w:rsidR="00805177" w:rsidRDefault="00805177" w:rsidP="00805177">
      <w:pPr>
        <w:keepNext/>
        <w:widowControl/>
        <w:tabs>
          <w:tab w:val="left" w:pos="432"/>
          <w:tab w:val="left" w:pos="1728"/>
          <w:tab w:val="left" w:pos="4176"/>
        </w:tabs>
        <w:rPr>
          <w:rFonts w:ascii="Times New Roman" w:hAnsi="Times New Roman"/>
          <w:color w:val="000000"/>
          <w:u w:val="single"/>
        </w:rPr>
      </w:pPr>
    </w:p>
    <w:p w:rsidR="00805177" w:rsidRDefault="00805177" w:rsidP="00805177">
      <w:pPr>
        <w:pStyle w:val="BodyText"/>
        <w:spacing w:after="0"/>
        <w:rPr>
          <w:rFonts w:ascii="Times New Roman" w:hAnsi="Times New Roman"/>
        </w:rPr>
      </w:pPr>
      <w:r>
        <w:rPr>
          <w:rFonts w:ascii="Times New Roman" w:hAnsi="Times New Roman"/>
        </w:rPr>
        <w:t xml:space="preserve">Although the collection of information affects a significant number of small businesses, OTS does not anticipate that the net economic impact will be large.  </w:t>
      </w:r>
    </w:p>
    <w:p w:rsidR="009B4508" w:rsidRDefault="009B45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rPr>
          <w:rFonts w:ascii="Times New Roman" w:hAnsi="Times New Roman"/>
        </w:rPr>
      </w:pPr>
    </w:p>
    <w:p w:rsidR="009B4508" w:rsidRDefault="009B4508" w:rsidP="00A3208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imes New Roman" w:hAnsi="Times New Roman"/>
          <w:color w:val="000000"/>
          <w:u w:val="single"/>
        </w:rPr>
      </w:pPr>
      <w:r>
        <w:rPr>
          <w:rFonts w:ascii="Times New Roman" w:hAnsi="Times New Roman"/>
          <w:color w:val="000000"/>
        </w:rPr>
        <w:t xml:space="preserve">6.  </w:t>
      </w:r>
      <w:r>
        <w:rPr>
          <w:rFonts w:ascii="Times New Roman" w:hAnsi="Times New Roman"/>
          <w:color w:val="000000"/>
        </w:rPr>
        <w:tab/>
      </w:r>
      <w:r>
        <w:rPr>
          <w:rFonts w:ascii="Times New Roman" w:hAnsi="Times New Roman"/>
          <w:color w:val="000000"/>
          <w:u w:val="single"/>
        </w:rPr>
        <w:t>Consequences of Less Frequent Collection</w:t>
      </w:r>
    </w:p>
    <w:p w:rsidR="00CE38D0" w:rsidRDefault="00CE38D0" w:rsidP="00805177">
      <w:pPr>
        <w:pStyle w:val="BodyText"/>
        <w:spacing w:after="0"/>
        <w:rPr>
          <w:rFonts w:ascii="Times New Roman" w:hAnsi="Times New Roman"/>
        </w:rPr>
      </w:pPr>
    </w:p>
    <w:p w:rsidR="00805177" w:rsidRDefault="00805177" w:rsidP="00805177">
      <w:pPr>
        <w:pStyle w:val="BodyText"/>
        <w:spacing w:after="0"/>
        <w:rPr>
          <w:rFonts w:ascii="Times New Roman" w:hAnsi="Times New Roman"/>
        </w:rPr>
      </w:pPr>
      <w:r>
        <w:rPr>
          <w:rFonts w:ascii="Times New Roman" w:hAnsi="Times New Roman"/>
        </w:rPr>
        <w:t>Collection of this information less frequently than quarterly would hinder the ability of OTS to monitor the industry and perform its supervisory function.</w:t>
      </w:r>
    </w:p>
    <w:p w:rsidR="009B4508" w:rsidRDefault="009B4508" w:rsidP="00897E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B4508" w:rsidRDefault="009B4508" w:rsidP="00737851">
      <w:pPr>
        <w:widowControl/>
        <w:tabs>
          <w:tab w:val="left" w:pos="432"/>
          <w:tab w:val="left" w:pos="1296"/>
          <w:tab w:val="left" w:pos="1728"/>
          <w:tab w:val="left" w:pos="4176"/>
        </w:tabs>
        <w:ind w:left="432" w:hanging="432"/>
        <w:rPr>
          <w:rFonts w:ascii="Times New Roman" w:hAnsi="Times New Roman"/>
          <w:color w:val="000000"/>
        </w:rPr>
      </w:pPr>
      <w:r>
        <w:rPr>
          <w:rFonts w:ascii="Times New Roman" w:hAnsi="Times New Roman"/>
          <w:color w:val="000000"/>
        </w:rPr>
        <w:t>7.</w:t>
      </w:r>
      <w:r>
        <w:rPr>
          <w:rFonts w:ascii="Times New Roman" w:hAnsi="Times New Roman"/>
          <w:color w:val="000000"/>
        </w:rPr>
        <w:tab/>
      </w:r>
      <w:r>
        <w:rPr>
          <w:rFonts w:ascii="Times New Roman" w:hAnsi="Times New Roman"/>
          <w:color w:val="000000"/>
          <w:u w:val="single"/>
        </w:rPr>
        <w:t>Special Circumstances</w:t>
      </w:r>
    </w:p>
    <w:p w:rsidR="009B4508" w:rsidRDefault="009B4508">
      <w:pPr>
        <w:widowControl/>
        <w:tabs>
          <w:tab w:val="left" w:pos="432"/>
          <w:tab w:val="left" w:pos="1296"/>
          <w:tab w:val="left" w:pos="1728"/>
          <w:tab w:val="left" w:pos="4176"/>
        </w:tabs>
        <w:rPr>
          <w:rFonts w:ascii="Times New Roman" w:hAnsi="Times New Roman"/>
          <w:color w:val="000000"/>
        </w:rPr>
      </w:pPr>
    </w:p>
    <w:p w:rsidR="00730AC7" w:rsidRDefault="008768A0" w:rsidP="00237C0E">
      <w:pPr>
        <w:widowControl/>
        <w:tabs>
          <w:tab w:val="left" w:pos="432"/>
          <w:tab w:val="left" w:pos="1296"/>
          <w:tab w:val="left" w:pos="1728"/>
          <w:tab w:val="left" w:pos="4176"/>
        </w:tabs>
        <w:rPr>
          <w:rFonts w:ascii="Times New Roman" w:hAnsi="Times New Roman"/>
          <w:color w:val="000000"/>
        </w:rPr>
      </w:pPr>
      <w:r>
        <w:rPr>
          <w:rFonts w:ascii="Times New Roman" w:hAnsi="Times New Roman"/>
          <w:color w:val="000000"/>
        </w:rPr>
        <w:t>There are no special circumstances.</w:t>
      </w:r>
    </w:p>
    <w:p w:rsidR="00237C0E" w:rsidRPr="00237C0E" w:rsidRDefault="00237C0E" w:rsidP="00237C0E">
      <w:pPr>
        <w:widowControl/>
        <w:tabs>
          <w:tab w:val="left" w:pos="432"/>
          <w:tab w:val="left" w:pos="1296"/>
          <w:tab w:val="left" w:pos="1728"/>
          <w:tab w:val="left" w:pos="4176"/>
        </w:tabs>
        <w:rPr>
          <w:rFonts w:ascii="Times New Roman" w:hAnsi="Times New Roman"/>
          <w:color w:val="000000"/>
        </w:rPr>
      </w:pPr>
      <w:r w:rsidRPr="00237C0E">
        <w:rPr>
          <w:rFonts w:ascii="Times New Roman" w:hAnsi="Times New Roman"/>
          <w:color w:val="000000"/>
        </w:rPr>
        <w:t xml:space="preserve">  </w:t>
      </w:r>
    </w:p>
    <w:p w:rsidR="009B4508" w:rsidRDefault="00730AC7" w:rsidP="00730AC7">
      <w:pPr>
        <w:widowControl/>
        <w:tabs>
          <w:tab w:val="left" w:pos="432"/>
          <w:tab w:val="left" w:pos="1296"/>
          <w:tab w:val="left" w:pos="1728"/>
          <w:tab w:val="left" w:pos="4176"/>
        </w:tabs>
        <w:rPr>
          <w:rFonts w:ascii="Times New Roman" w:hAnsi="Times New Roman"/>
          <w:color w:val="000000"/>
          <w:u w:val="single"/>
        </w:rPr>
      </w:pPr>
      <w:r w:rsidRPr="00B431E0">
        <w:rPr>
          <w:rFonts w:ascii="Times New Roman" w:hAnsi="Times New Roman"/>
          <w:color w:val="000000"/>
        </w:rPr>
        <w:t xml:space="preserve">8.     </w:t>
      </w:r>
      <w:r w:rsidR="009B4508">
        <w:rPr>
          <w:rFonts w:ascii="Times New Roman" w:hAnsi="Times New Roman"/>
          <w:color w:val="000000"/>
          <w:u w:val="single"/>
        </w:rPr>
        <w:t>Consultati</w:t>
      </w:r>
      <w:r w:rsidR="00805177">
        <w:rPr>
          <w:rFonts w:ascii="Times New Roman" w:hAnsi="Times New Roman"/>
          <w:color w:val="000000"/>
          <w:u w:val="single"/>
        </w:rPr>
        <w:t>on with Persons Outside the OTS</w:t>
      </w:r>
    </w:p>
    <w:p w:rsidR="00730AC7" w:rsidRDefault="00730AC7" w:rsidP="003526C6">
      <w:pPr>
        <w:widowControl/>
        <w:tabs>
          <w:tab w:val="left" w:pos="432"/>
          <w:tab w:val="left" w:pos="1296"/>
          <w:tab w:val="left" w:pos="1728"/>
          <w:tab w:val="left" w:pos="4176"/>
        </w:tabs>
        <w:rPr>
          <w:rFonts w:ascii="Times New Roman" w:hAnsi="Times New Roman"/>
          <w:color w:val="000000"/>
          <w:u w:val="single"/>
        </w:rPr>
      </w:pPr>
    </w:p>
    <w:p w:rsidR="0057274E" w:rsidRDefault="003526C6" w:rsidP="0057274E">
      <w:pPr>
        <w:widowControl/>
        <w:tabs>
          <w:tab w:val="left" w:pos="432"/>
          <w:tab w:val="left" w:pos="1296"/>
          <w:tab w:val="left" w:pos="1728"/>
          <w:tab w:val="left" w:pos="4176"/>
        </w:tabs>
        <w:rPr>
          <w:rFonts w:ascii="Times New Roman" w:hAnsi="Times New Roman"/>
        </w:rPr>
      </w:pPr>
      <w:r>
        <w:rPr>
          <w:rFonts w:ascii="Times New Roman" w:hAnsi="Times New Roman"/>
          <w:color w:val="000000"/>
        </w:rPr>
        <w:t xml:space="preserve">OTS published the 60-Day FRN on </w:t>
      </w:r>
      <w:r w:rsidR="0025038F">
        <w:rPr>
          <w:rFonts w:ascii="Times New Roman" w:hAnsi="Times New Roman"/>
        </w:rPr>
        <w:t>October 5, 2010 (</w:t>
      </w:r>
      <w:r w:rsidR="0025038F" w:rsidRPr="007F3206">
        <w:rPr>
          <w:rFonts w:ascii="Times New Roman" w:hAnsi="Times New Roman"/>
        </w:rPr>
        <w:t>75 F</w:t>
      </w:r>
      <w:r w:rsidR="007F3206" w:rsidRPr="007F3206">
        <w:rPr>
          <w:rFonts w:ascii="Times New Roman" w:hAnsi="Times New Roman"/>
        </w:rPr>
        <w:t xml:space="preserve">R page </w:t>
      </w:r>
      <w:r w:rsidR="0025038F">
        <w:rPr>
          <w:rFonts w:ascii="Times New Roman" w:hAnsi="Times New Roman"/>
        </w:rPr>
        <w:t>61563</w:t>
      </w:r>
      <w:r w:rsidR="00515D36">
        <w:rPr>
          <w:rFonts w:ascii="Times New Roman" w:hAnsi="Times New Roman"/>
        </w:rPr>
        <w:t>.</w:t>
      </w:r>
      <w:r w:rsidR="00975F97">
        <w:rPr>
          <w:rFonts w:ascii="Times New Roman" w:hAnsi="Times New Roman"/>
        </w:rPr>
        <w:t xml:space="preserve">  </w:t>
      </w:r>
      <w:r w:rsidR="0025038F">
        <w:rPr>
          <w:rFonts w:ascii="Times New Roman" w:hAnsi="Times New Roman"/>
        </w:rPr>
        <w:t xml:space="preserve">OTS published an amended </w:t>
      </w:r>
      <w:r w:rsidR="00515D36">
        <w:rPr>
          <w:rFonts w:ascii="Times New Roman" w:hAnsi="Times New Roman"/>
        </w:rPr>
        <w:t>60-Day FRN</w:t>
      </w:r>
      <w:r w:rsidR="0025038F">
        <w:rPr>
          <w:rFonts w:ascii="Times New Roman" w:hAnsi="Times New Roman"/>
        </w:rPr>
        <w:t xml:space="preserve"> to correct an error in the initial notice </w:t>
      </w:r>
      <w:r w:rsidR="00515D36">
        <w:rPr>
          <w:rFonts w:ascii="Times New Roman" w:hAnsi="Times New Roman"/>
        </w:rPr>
        <w:t xml:space="preserve">on November 17, 2010 </w:t>
      </w:r>
      <w:r w:rsidR="0025038F">
        <w:rPr>
          <w:rFonts w:ascii="Times New Roman" w:hAnsi="Times New Roman"/>
        </w:rPr>
        <w:t>(75</w:t>
      </w:r>
      <w:r w:rsidR="00515D36">
        <w:rPr>
          <w:rFonts w:ascii="Times New Roman" w:hAnsi="Times New Roman"/>
        </w:rPr>
        <w:t xml:space="preserve"> FR page </w:t>
      </w:r>
      <w:r w:rsidR="0025038F">
        <w:rPr>
          <w:rFonts w:ascii="Times New Roman" w:hAnsi="Times New Roman"/>
        </w:rPr>
        <w:t>70355</w:t>
      </w:r>
      <w:r w:rsidR="00515D36">
        <w:rPr>
          <w:rFonts w:ascii="Times New Roman" w:hAnsi="Times New Roman"/>
        </w:rPr>
        <w:t>).</w:t>
      </w:r>
    </w:p>
    <w:p w:rsidR="00A55754" w:rsidRDefault="00A55754" w:rsidP="0057274E">
      <w:pPr>
        <w:widowControl/>
        <w:tabs>
          <w:tab w:val="left" w:pos="432"/>
          <w:tab w:val="left" w:pos="1296"/>
          <w:tab w:val="left" w:pos="1728"/>
          <w:tab w:val="left" w:pos="4176"/>
        </w:tabs>
        <w:rPr>
          <w:rFonts w:ascii="Times New Roman" w:hAnsi="Times New Roman"/>
        </w:rPr>
      </w:pPr>
    </w:p>
    <w:p w:rsidR="00A55754" w:rsidRDefault="00A55754" w:rsidP="0057274E">
      <w:pPr>
        <w:widowControl/>
        <w:tabs>
          <w:tab w:val="left" w:pos="432"/>
          <w:tab w:val="left" w:pos="1296"/>
          <w:tab w:val="left" w:pos="1728"/>
          <w:tab w:val="left" w:pos="4176"/>
        </w:tabs>
        <w:rPr>
          <w:rFonts w:ascii="Times New Roman" w:hAnsi="Times New Roman"/>
        </w:rPr>
      </w:pPr>
      <w:r w:rsidRPr="00DE24D3">
        <w:rPr>
          <w:rFonts w:ascii="Times New Roman" w:hAnsi="Times New Roman"/>
        </w:rPr>
        <w:t xml:space="preserve">The </w:t>
      </w:r>
      <w:r>
        <w:rPr>
          <w:rFonts w:ascii="Times New Roman" w:hAnsi="Times New Roman"/>
        </w:rPr>
        <w:t>OTS</w:t>
      </w:r>
      <w:r w:rsidRPr="00DE24D3">
        <w:rPr>
          <w:rFonts w:ascii="Times New Roman" w:hAnsi="Times New Roman"/>
        </w:rPr>
        <w:t xml:space="preserve"> received comments from 3 respondents:  </w:t>
      </w:r>
      <w:r>
        <w:rPr>
          <w:rFonts w:ascii="Times New Roman" w:hAnsi="Times New Roman"/>
        </w:rPr>
        <w:t>a savings association</w:t>
      </w:r>
      <w:r w:rsidRPr="00DE24D3">
        <w:rPr>
          <w:rFonts w:ascii="Times New Roman" w:hAnsi="Times New Roman"/>
        </w:rPr>
        <w:t xml:space="preserve">, </w:t>
      </w:r>
      <w:r>
        <w:rPr>
          <w:rFonts w:ascii="Times New Roman" w:hAnsi="Times New Roman"/>
        </w:rPr>
        <w:t>a</w:t>
      </w:r>
      <w:r w:rsidRPr="00DE24D3">
        <w:rPr>
          <w:rFonts w:ascii="Times New Roman" w:hAnsi="Times New Roman"/>
        </w:rPr>
        <w:t> </w:t>
      </w:r>
      <w:r>
        <w:rPr>
          <w:rFonts w:ascii="Times New Roman" w:hAnsi="Times New Roman"/>
        </w:rPr>
        <w:t>bankers’ association</w:t>
      </w:r>
      <w:r w:rsidRPr="00DE24D3">
        <w:rPr>
          <w:rFonts w:ascii="Times New Roman" w:hAnsi="Times New Roman"/>
        </w:rPr>
        <w:t xml:space="preserve">, </w:t>
      </w:r>
      <w:r>
        <w:rPr>
          <w:rFonts w:ascii="Times New Roman" w:hAnsi="Times New Roman"/>
        </w:rPr>
        <w:t>and a</w:t>
      </w:r>
      <w:r w:rsidRPr="00DE24D3">
        <w:rPr>
          <w:rFonts w:ascii="Times New Roman" w:hAnsi="Times New Roman"/>
        </w:rPr>
        <w:t xml:space="preserve"> </w:t>
      </w:r>
      <w:r>
        <w:rPr>
          <w:rFonts w:ascii="Times New Roman" w:hAnsi="Times New Roman"/>
        </w:rPr>
        <w:t>U.S. government agency</w:t>
      </w:r>
      <w:r w:rsidRPr="00DE24D3">
        <w:rPr>
          <w:rFonts w:ascii="Times New Roman" w:hAnsi="Times New Roman"/>
        </w:rPr>
        <w:t xml:space="preserve">.  Respondents tended to comment on one or more specific aspects of the proposal rather than addressing each individual proposed </w:t>
      </w:r>
      <w:r>
        <w:rPr>
          <w:rFonts w:ascii="Times New Roman" w:hAnsi="Times New Roman"/>
        </w:rPr>
        <w:t>TFR</w:t>
      </w:r>
      <w:r w:rsidRPr="00DE24D3">
        <w:rPr>
          <w:rFonts w:ascii="Times New Roman" w:hAnsi="Times New Roman"/>
        </w:rPr>
        <w:t xml:space="preserve"> revision.  </w:t>
      </w:r>
      <w:r>
        <w:rPr>
          <w:rFonts w:ascii="Times New Roman" w:hAnsi="Times New Roman"/>
        </w:rPr>
        <w:t>The bankers’</w:t>
      </w:r>
      <w:r w:rsidRPr="00DE24D3">
        <w:rPr>
          <w:rFonts w:ascii="Times New Roman" w:hAnsi="Times New Roman"/>
        </w:rPr>
        <w:t xml:space="preserve"> association reported that its “members have expressed no concerns with many of the </w:t>
      </w:r>
      <w:r>
        <w:rPr>
          <w:rFonts w:ascii="Times New Roman" w:hAnsi="Times New Roman"/>
        </w:rPr>
        <w:t>OTS</w:t>
      </w:r>
      <w:r w:rsidRPr="00DE24D3">
        <w:rPr>
          <w:rFonts w:ascii="Times New Roman" w:hAnsi="Times New Roman"/>
        </w:rPr>
        <w:t>’</w:t>
      </w:r>
      <w:r>
        <w:rPr>
          <w:rFonts w:ascii="Times New Roman" w:hAnsi="Times New Roman"/>
        </w:rPr>
        <w:t>s</w:t>
      </w:r>
      <w:r w:rsidRPr="00DE24D3">
        <w:rPr>
          <w:rFonts w:ascii="Times New Roman" w:hAnsi="Times New Roman"/>
        </w:rPr>
        <w:t xml:space="preserve"> proposed revisions,” but it suggested that the </w:t>
      </w:r>
      <w:r>
        <w:rPr>
          <w:rFonts w:ascii="Times New Roman" w:hAnsi="Times New Roman"/>
        </w:rPr>
        <w:t>OTS</w:t>
      </w:r>
      <w:r w:rsidRPr="00DE24D3">
        <w:rPr>
          <w:rFonts w:ascii="Times New Roman" w:hAnsi="Times New Roman"/>
        </w:rPr>
        <w:t xml:space="preserve"> make several changes to the revisions.  </w:t>
      </w:r>
      <w:r>
        <w:rPr>
          <w:rFonts w:ascii="Times New Roman" w:hAnsi="Times New Roman"/>
        </w:rPr>
        <w:t>The savings association was opposed to the OTS proposal to collect data on deposits obtained through deposit listing services.  The U.S. government agency expressed support for the collection of data in TFR Schedules SO and DI which it uses for economic and statistical analysis</w:t>
      </w:r>
      <w:r w:rsidR="00482D09">
        <w:rPr>
          <w:rFonts w:ascii="Times New Roman" w:hAnsi="Times New Roman"/>
        </w:rPr>
        <w:t>.</w:t>
      </w:r>
    </w:p>
    <w:p w:rsidR="00AD560F" w:rsidRDefault="00AD560F" w:rsidP="0057274E">
      <w:pPr>
        <w:widowControl/>
        <w:tabs>
          <w:tab w:val="left" w:pos="432"/>
          <w:tab w:val="left" w:pos="1296"/>
          <w:tab w:val="left" w:pos="1728"/>
          <w:tab w:val="left" w:pos="4176"/>
        </w:tabs>
        <w:rPr>
          <w:rFonts w:ascii="Times New Roman" w:hAnsi="Times New Roman"/>
        </w:rPr>
      </w:pPr>
    </w:p>
    <w:p w:rsidR="00F76874" w:rsidRDefault="00F76874" w:rsidP="00F82068">
      <w:pPr>
        <w:widowControl/>
        <w:tabs>
          <w:tab w:val="left" w:pos="432"/>
          <w:tab w:val="left" w:pos="1296"/>
          <w:tab w:val="left" w:pos="1728"/>
          <w:tab w:val="left" w:pos="4176"/>
        </w:tabs>
        <w:rPr>
          <w:rFonts w:ascii="Times New Roman" w:hAnsi="Times New Roman"/>
        </w:rPr>
      </w:pPr>
      <w:r>
        <w:rPr>
          <w:rFonts w:ascii="Times New Roman" w:hAnsi="Times New Roman"/>
        </w:rPr>
        <w:t>The bankers’ association</w:t>
      </w:r>
      <w:r w:rsidRPr="00F76874">
        <w:rPr>
          <w:rFonts w:ascii="Times New Roman" w:hAnsi="Times New Roman"/>
        </w:rPr>
        <w:t xml:space="preserve"> </w:t>
      </w:r>
      <w:r>
        <w:rPr>
          <w:rFonts w:ascii="Times New Roman" w:hAnsi="Times New Roman"/>
        </w:rPr>
        <w:t xml:space="preserve">commented </w:t>
      </w:r>
      <w:r w:rsidRPr="00F954C6">
        <w:rPr>
          <w:rFonts w:ascii="Times New Roman" w:hAnsi="Times New Roman"/>
        </w:rPr>
        <w:t xml:space="preserve">on the proposed additional detail on loans that have undergone troubled debt restructurings.  </w:t>
      </w:r>
      <w:r>
        <w:rPr>
          <w:rFonts w:ascii="Times New Roman" w:hAnsi="Times New Roman"/>
        </w:rPr>
        <w:t xml:space="preserve">The commenter </w:t>
      </w:r>
      <w:r w:rsidRPr="00F954C6">
        <w:rPr>
          <w:rFonts w:ascii="Times New Roman" w:hAnsi="Times New Roman"/>
        </w:rPr>
        <w:t xml:space="preserve">recommended the </w:t>
      </w:r>
      <w:r>
        <w:rPr>
          <w:rFonts w:ascii="Times New Roman" w:hAnsi="Times New Roman"/>
        </w:rPr>
        <w:t>OTS</w:t>
      </w:r>
      <w:r w:rsidRPr="00F954C6">
        <w:rPr>
          <w:rFonts w:ascii="Times New Roman" w:hAnsi="Times New Roman"/>
        </w:rPr>
        <w:t xml:space="preserve"> defer the proposed troubled debt restructuring revisions, including the new breakdowns by loan category, until the FASB finalizes proposed clarifications to </w:t>
      </w:r>
      <w:r>
        <w:rPr>
          <w:rFonts w:ascii="Times New Roman" w:hAnsi="Times New Roman"/>
        </w:rPr>
        <w:t>its standards for</w:t>
      </w:r>
      <w:r w:rsidRPr="00F954C6">
        <w:rPr>
          <w:rFonts w:ascii="Times New Roman" w:hAnsi="Times New Roman"/>
        </w:rPr>
        <w:t xml:space="preserve"> accounting for troubled debt restructurings by creditors.</w:t>
      </w:r>
      <w:r w:rsidR="008C5306">
        <w:rPr>
          <w:rFonts w:ascii="Times New Roman" w:hAnsi="Times New Roman"/>
        </w:rPr>
        <w:t xml:space="preserve">  </w:t>
      </w:r>
      <w:r w:rsidR="008C5306" w:rsidRPr="00F954C6">
        <w:rPr>
          <w:rFonts w:ascii="Times New Roman" w:hAnsi="Times New Roman"/>
        </w:rPr>
        <w:t xml:space="preserve">To the extent the clarifications emanating from the FASB proposed accounting standards update may result in </w:t>
      </w:r>
      <w:r w:rsidR="008C5306">
        <w:rPr>
          <w:rFonts w:ascii="Times New Roman" w:hAnsi="Times New Roman"/>
        </w:rPr>
        <w:t>savings associations</w:t>
      </w:r>
      <w:r w:rsidR="008C5306" w:rsidRPr="00F954C6">
        <w:rPr>
          <w:rFonts w:ascii="Times New Roman" w:hAnsi="Times New Roman"/>
        </w:rPr>
        <w:t xml:space="preserve"> having to report certain loans as troubled debt restructurings that had not previously been identified as such, this accounting outcome will arise irrespective of the proposed breakdown of the </w:t>
      </w:r>
      <w:r w:rsidR="008C5306">
        <w:rPr>
          <w:rFonts w:ascii="Times New Roman" w:hAnsi="Times New Roman"/>
        </w:rPr>
        <w:t>loan categories in Schedules VA and PD</w:t>
      </w:r>
      <w:r w:rsidR="008C5306" w:rsidRPr="00F954C6">
        <w:rPr>
          <w:rFonts w:ascii="Times New Roman" w:hAnsi="Times New Roman"/>
        </w:rPr>
        <w:t xml:space="preserve">.  Therefore, the </w:t>
      </w:r>
      <w:r w:rsidR="008C5306">
        <w:rPr>
          <w:rFonts w:ascii="Times New Roman" w:hAnsi="Times New Roman"/>
        </w:rPr>
        <w:t>OTS</w:t>
      </w:r>
      <w:r w:rsidR="008C5306" w:rsidRPr="00F954C6">
        <w:rPr>
          <w:rFonts w:ascii="Times New Roman" w:hAnsi="Times New Roman"/>
        </w:rPr>
        <w:t xml:space="preserve"> will implement the new breakdown for the reporting of troubled debt restructurings </w:t>
      </w:r>
      <w:r w:rsidR="008C5306">
        <w:rPr>
          <w:rFonts w:ascii="Times New Roman" w:hAnsi="Times New Roman"/>
        </w:rPr>
        <w:t>modified to reflect the breakdown to be added to the Call Report effective with the March 2011 reporting period</w:t>
      </w:r>
      <w:r w:rsidR="002E3E6D">
        <w:rPr>
          <w:rFonts w:ascii="Times New Roman" w:hAnsi="Times New Roman"/>
        </w:rPr>
        <w:t>.</w:t>
      </w:r>
    </w:p>
    <w:p w:rsidR="00F82068" w:rsidRDefault="00F82068" w:rsidP="00F82068">
      <w:pPr>
        <w:widowControl/>
        <w:tabs>
          <w:tab w:val="left" w:pos="432"/>
          <w:tab w:val="left" w:pos="1296"/>
          <w:tab w:val="left" w:pos="1728"/>
          <w:tab w:val="left" w:pos="4176"/>
        </w:tabs>
        <w:rPr>
          <w:rFonts w:ascii="Times New Roman" w:hAnsi="Times New Roman"/>
        </w:rPr>
      </w:pPr>
    </w:p>
    <w:p w:rsidR="00F82068" w:rsidRDefault="00F82068" w:rsidP="0087036C">
      <w:pPr>
        <w:contextualSpacing/>
        <w:rPr>
          <w:rFonts w:ascii="Times New Roman" w:hAnsi="Times New Roman"/>
        </w:rPr>
      </w:pPr>
      <w:r>
        <w:rPr>
          <w:rFonts w:ascii="Times New Roman" w:hAnsi="Times New Roman"/>
        </w:rPr>
        <w:t>OTS</w:t>
      </w:r>
      <w:r w:rsidRPr="00CF4383">
        <w:rPr>
          <w:rFonts w:ascii="Times New Roman" w:hAnsi="Times New Roman"/>
        </w:rPr>
        <w:t xml:space="preserve"> received </w:t>
      </w:r>
      <w:r>
        <w:rPr>
          <w:rFonts w:ascii="Times New Roman" w:hAnsi="Times New Roman"/>
        </w:rPr>
        <w:t xml:space="preserve">two </w:t>
      </w:r>
      <w:r w:rsidRPr="00CF4383">
        <w:rPr>
          <w:rFonts w:ascii="Times New Roman" w:hAnsi="Times New Roman"/>
        </w:rPr>
        <w:t>comments (</w:t>
      </w:r>
      <w:r>
        <w:rPr>
          <w:rFonts w:ascii="Times New Roman" w:hAnsi="Times New Roman"/>
        </w:rPr>
        <w:t>from one savings association and one</w:t>
      </w:r>
      <w:r w:rsidRPr="00CF4383">
        <w:rPr>
          <w:rFonts w:ascii="Times New Roman" w:hAnsi="Times New Roman"/>
        </w:rPr>
        <w:t xml:space="preserve"> ba</w:t>
      </w:r>
      <w:r>
        <w:rPr>
          <w:rFonts w:ascii="Times New Roman" w:hAnsi="Times New Roman"/>
        </w:rPr>
        <w:t>nkers’ association</w:t>
      </w:r>
      <w:r w:rsidRPr="00CF4383">
        <w:rPr>
          <w:rFonts w:ascii="Times New Roman" w:hAnsi="Times New Roman"/>
        </w:rPr>
        <w:t xml:space="preserve">) that addressed the proposed collection of the estimated amount of deposits obtained through the use of deposit listing services that are not brokered deposits.  </w:t>
      </w:r>
      <w:r>
        <w:rPr>
          <w:rFonts w:ascii="Times New Roman" w:hAnsi="Times New Roman"/>
        </w:rPr>
        <w:t xml:space="preserve">Both </w:t>
      </w:r>
      <w:r w:rsidRPr="00CF4383">
        <w:rPr>
          <w:rFonts w:ascii="Times New Roman" w:hAnsi="Times New Roman"/>
        </w:rPr>
        <w:t xml:space="preserve">commenters </w:t>
      </w:r>
      <w:r>
        <w:rPr>
          <w:rFonts w:ascii="Times New Roman" w:hAnsi="Times New Roman"/>
        </w:rPr>
        <w:t>were opposed</w:t>
      </w:r>
      <w:r w:rsidRPr="00CF4383">
        <w:rPr>
          <w:rFonts w:ascii="Times New Roman" w:hAnsi="Times New Roman"/>
        </w:rPr>
        <w:t xml:space="preserve"> to the proposal.</w:t>
      </w:r>
      <w:r>
        <w:rPr>
          <w:rFonts w:ascii="Times New Roman" w:hAnsi="Times New Roman"/>
        </w:rPr>
        <w:t xml:space="preserve">  </w:t>
      </w:r>
      <w:r w:rsidRPr="00CF4383">
        <w:rPr>
          <w:rFonts w:ascii="Times New Roman" w:hAnsi="Times New Roman"/>
        </w:rPr>
        <w:t xml:space="preserve">The </w:t>
      </w:r>
      <w:r>
        <w:rPr>
          <w:rFonts w:ascii="Times New Roman" w:hAnsi="Times New Roman"/>
        </w:rPr>
        <w:t>savings association</w:t>
      </w:r>
      <w:r w:rsidRPr="00CF4383">
        <w:rPr>
          <w:rFonts w:ascii="Times New Roman" w:hAnsi="Times New Roman"/>
        </w:rPr>
        <w:t xml:space="preserve"> recommended the </w:t>
      </w:r>
      <w:r>
        <w:rPr>
          <w:rFonts w:ascii="Times New Roman" w:hAnsi="Times New Roman"/>
        </w:rPr>
        <w:t>OTS</w:t>
      </w:r>
      <w:r w:rsidRPr="00CF4383">
        <w:rPr>
          <w:rFonts w:ascii="Times New Roman" w:hAnsi="Times New Roman"/>
        </w:rPr>
        <w:t xml:space="preserve"> withdraw this proposal because not all </w:t>
      </w:r>
      <w:r w:rsidRPr="00CF4383">
        <w:rPr>
          <w:rFonts w:ascii="Times New Roman" w:hAnsi="Times New Roman"/>
        </w:rPr>
        <w:lastRenderedPageBreak/>
        <w:t>listing services se</w:t>
      </w:r>
      <w:r>
        <w:rPr>
          <w:rFonts w:ascii="Times New Roman" w:hAnsi="Times New Roman"/>
        </w:rPr>
        <w:t>rve the same types of customers;</w:t>
      </w:r>
      <w:r w:rsidRPr="00CF4383">
        <w:rPr>
          <w:rFonts w:ascii="Times New Roman" w:hAnsi="Times New Roman"/>
        </w:rPr>
        <w:t xml:space="preserve"> not all listing service deposits can b</w:t>
      </w:r>
      <w:r>
        <w:rPr>
          <w:rFonts w:ascii="Times New Roman" w:hAnsi="Times New Roman"/>
        </w:rPr>
        <w:t>e easily tracked and controlled;</w:t>
      </w:r>
      <w:r w:rsidRPr="00CF4383">
        <w:rPr>
          <w:rFonts w:ascii="Times New Roman" w:hAnsi="Times New Roman"/>
        </w:rPr>
        <w:t xml:space="preserve"> not all listing services represent </w:t>
      </w:r>
      <w:r>
        <w:rPr>
          <w:rFonts w:ascii="Times New Roman" w:hAnsi="Times New Roman"/>
        </w:rPr>
        <w:t>a source of high-yield deposits;</w:t>
      </w:r>
      <w:r w:rsidRPr="00CF4383">
        <w:rPr>
          <w:rFonts w:ascii="Times New Roman" w:hAnsi="Times New Roman"/>
        </w:rPr>
        <w:t xml:space="preserve"> and the collection of the proposed </w:t>
      </w:r>
      <w:r>
        <w:rPr>
          <w:rFonts w:ascii="Times New Roman" w:hAnsi="Times New Roman"/>
        </w:rPr>
        <w:t>items</w:t>
      </w:r>
      <w:r w:rsidRPr="00CF4383">
        <w:rPr>
          <w:rFonts w:ascii="Times New Roman" w:hAnsi="Times New Roman"/>
        </w:rPr>
        <w:t xml:space="preserve"> may dissuade bank examiners from appropriately evaluating the volatility and rate sensitivity of deposits reported in the item</w:t>
      </w:r>
      <w:r>
        <w:rPr>
          <w:rFonts w:ascii="Times New Roman" w:hAnsi="Times New Roman"/>
        </w:rPr>
        <w:t>s</w:t>
      </w:r>
      <w:r w:rsidRPr="00CF4383">
        <w:rPr>
          <w:rFonts w:ascii="Times New Roman" w:hAnsi="Times New Roman"/>
        </w:rPr>
        <w:t xml:space="preserve">.  </w:t>
      </w:r>
      <w:r>
        <w:rPr>
          <w:rFonts w:ascii="Times New Roman" w:hAnsi="Times New Roman"/>
        </w:rPr>
        <w:t xml:space="preserve">The bankers’ association </w:t>
      </w:r>
      <w:r w:rsidRPr="00CF4383">
        <w:rPr>
          <w:rFonts w:ascii="Times New Roman" w:hAnsi="Times New Roman"/>
        </w:rPr>
        <w:t>that objected to the proposed item cited the difficulty in identifying and tracking deposits obtained from listing services.</w:t>
      </w:r>
      <w:r w:rsidR="0018176A">
        <w:rPr>
          <w:rFonts w:ascii="Times New Roman" w:hAnsi="Times New Roman"/>
        </w:rPr>
        <w:t xml:space="preserve">  </w:t>
      </w:r>
      <w:r w:rsidR="0018176A" w:rsidRPr="00CF4383">
        <w:rPr>
          <w:rFonts w:ascii="Times New Roman" w:hAnsi="Times New Roman"/>
        </w:rPr>
        <w:t xml:space="preserve">After considering the comments on its proposal, the </w:t>
      </w:r>
      <w:r w:rsidR="0018176A">
        <w:rPr>
          <w:rFonts w:ascii="Times New Roman" w:hAnsi="Times New Roman"/>
        </w:rPr>
        <w:t>OTS</w:t>
      </w:r>
      <w:r w:rsidR="0018176A" w:rsidRPr="00CF4383">
        <w:rPr>
          <w:rFonts w:ascii="Times New Roman" w:hAnsi="Times New Roman"/>
        </w:rPr>
        <w:t xml:space="preserve"> </w:t>
      </w:r>
      <w:r w:rsidR="0018176A">
        <w:rPr>
          <w:rFonts w:ascii="Times New Roman" w:hAnsi="Times New Roman"/>
        </w:rPr>
        <w:t>has</w:t>
      </w:r>
      <w:r w:rsidR="0018176A" w:rsidRPr="00CF4383">
        <w:rPr>
          <w:rFonts w:ascii="Times New Roman" w:hAnsi="Times New Roman"/>
        </w:rPr>
        <w:t xml:space="preserve"> decided to proceed with the proposed new </w:t>
      </w:r>
      <w:r w:rsidR="0018176A">
        <w:rPr>
          <w:rFonts w:ascii="Times New Roman" w:hAnsi="Times New Roman"/>
        </w:rPr>
        <w:t>item</w:t>
      </w:r>
      <w:r w:rsidR="0018176A" w:rsidRPr="00CF4383">
        <w:rPr>
          <w:rFonts w:ascii="Times New Roman" w:hAnsi="Times New Roman"/>
        </w:rPr>
        <w:t xml:space="preserve"> for the estimated amount of deposits obtained through the use of deposit listing services</w:t>
      </w:r>
      <w:r w:rsidR="0018176A">
        <w:rPr>
          <w:rFonts w:ascii="Times New Roman" w:hAnsi="Times New Roman"/>
        </w:rPr>
        <w:t xml:space="preserve">, but will eliminate the proposed new line for the average daily deposits </w:t>
      </w:r>
      <w:r w:rsidR="0018176A" w:rsidRPr="00CF4383">
        <w:rPr>
          <w:rFonts w:ascii="Times New Roman" w:hAnsi="Times New Roman"/>
        </w:rPr>
        <w:t xml:space="preserve">of deposits obtained through the use of deposit listing services.  </w:t>
      </w:r>
      <w:r w:rsidR="0018176A">
        <w:rPr>
          <w:rFonts w:ascii="Times New Roman" w:hAnsi="Times New Roman"/>
        </w:rPr>
        <w:t>This is consistent with the new item to be added to the Call Report for banks effective as of the March 31, 2011, reporting period.</w:t>
      </w:r>
    </w:p>
    <w:p w:rsidR="0087036C" w:rsidRDefault="0087036C" w:rsidP="0087036C">
      <w:pPr>
        <w:contextualSpacing/>
        <w:rPr>
          <w:rFonts w:ascii="Times New Roman" w:hAnsi="Times New Roman"/>
        </w:rPr>
      </w:pPr>
    </w:p>
    <w:p w:rsidR="0087036C" w:rsidRPr="00CF4383" w:rsidRDefault="0087036C" w:rsidP="003C4737">
      <w:pPr>
        <w:contextualSpacing/>
        <w:rPr>
          <w:rFonts w:ascii="Times New Roman" w:hAnsi="Times New Roman"/>
        </w:rPr>
      </w:pPr>
      <w:r>
        <w:rPr>
          <w:rFonts w:ascii="Times New Roman" w:hAnsi="Times New Roman"/>
        </w:rPr>
        <w:t>OTS</w:t>
      </w:r>
      <w:r w:rsidRPr="00CF4383">
        <w:rPr>
          <w:rFonts w:ascii="Times New Roman" w:hAnsi="Times New Roman"/>
        </w:rPr>
        <w:t xml:space="preserve"> received </w:t>
      </w:r>
      <w:r>
        <w:rPr>
          <w:rFonts w:ascii="Times New Roman" w:hAnsi="Times New Roman"/>
        </w:rPr>
        <w:t xml:space="preserve">one comment from a </w:t>
      </w:r>
      <w:r w:rsidRPr="00CF4383">
        <w:rPr>
          <w:rFonts w:ascii="Times New Roman" w:hAnsi="Times New Roman"/>
        </w:rPr>
        <w:t xml:space="preserve">bankers’ </w:t>
      </w:r>
      <w:r>
        <w:rPr>
          <w:rFonts w:ascii="Times New Roman" w:hAnsi="Times New Roman"/>
        </w:rPr>
        <w:t>association</w:t>
      </w:r>
      <w:r w:rsidRPr="00CF4383">
        <w:rPr>
          <w:rFonts w:ascii="Times New Roman" w:hAnsi="Times New Roman"/>
        </w:rPr>
        <w:t xml:space="preserve"> on the proposal for separate reporting of deposits of individuals versus deposits of partnerships and corporations.  </w:t>
      </w:r>
      <w:r>
        <w:rPr>
          <w:rFonts w:ascii="Times New Roman" w:hAnsi="Times New Roman"/>
        </w:rPr>
        <w:t>The commenter suggested the proposed change would be too labor intensive for some savings associations and asked that the OTS not implement the change.  The commenter</w:t>
      </w:r>
      <w:r w:rsidRPr="00CF4383">
        <w:rPr>
          <w:rFonts w:ascii="Times New Roman" w:hAnsi="Times New Roman"/>
        </w:rPr>
        <w:t xml:space="preserve"> indicated that if the new deposit breakdown were adopted, it should be deferred</w:t>
      </w:r>
      <w:r>
        <w:rPr>
          <w:rFonts w:ascii="Times New Roman" w:hAnsi="Times New Roman"/>
        </w:rPr>
        <w:t xml:space="preserve"> until </w:t>
      </w:r>
      <w:r w:rsidRPr="00CF4383">
        <w:rPr>
          <w:rFonts w:ascii="Times New Roman" w:hAnsi="Times New Roman"/>
        </w:rPr>
        <w:t xml:space="preserve">March 31, 2012, to allow time for </w:t>
      </w:r>
      <w:r>
        <w:rPr>
          <w:rFonts w:ascii="Times New Roman" w:hAnsi="Times New Roman"/>
        </w:rPr>
        <w:t>savings associations</w:t>
      </w:r>
      <w:r w:rsidRPr="00CF4383">
        <w:rPr>
          <w:rFonts w:ascii="Times New Roman" w:hAnsi="Times New Roman"/>
        </w:rPr>
        <w:t xml:space="preserve"> to make the necessary systems changes.  </w:t>
      </w:r>
      <w:r>
        <w:rPr>
          <w:rFonts w:ascii="Times New Roman" w:hAnsi="Times New Roman"/>
        </w:rPr>
        <w:t>The bankers’ association</w:t>
      </w:r>
      <w:r w:rsidRPr="00CF4383">
        <w:rPr>
          <w:rFonts w:ascii="Times New Roman" w:hAnsi="Times New Roman"/>
        </w:rPr>
        <w:t xml:space="preserve"> also recommended that all certified and official checks be reported together in one of the two depositor categories</w:t>
      </w:r>
      <w:r>
        <w:rPr>
          <w:rFonts w:ascii="Times New Roman" w:hAnsi="Times New Roman"/>
        </w:rPr>
        <w:t>.</w:t>
      </w:r>
      <w:r w:rsidR="00BE5764">
        <w:rPr>
          <w:rFonts w:ascii="Times New Roman" w:hAnsi="Times New Roman"/>
        </w:rPr>
        <w:t xml:space="preserve">  </w:t>
      </w:r>
      <w:r>
        <w:rPr>
          <w:rFonts w:ascii="Times New Roman" w:hAnsi="Times New Roman"/>
        </w:rPr>
        <w:t>OTS has</w:t>
      </w:r>
      <w:r w:rsidRPr="00CF4383">
        <w:rPr>
          <w:rFonts w:ascii="Times New Roman" w:hAnsi="Times New Roman"/>
        </w:rPr>
        <w:t xml:space="preserve"> reconsidered </w:t>
      </w:r>
      <w:r>
        <w:rPr>
          <w:rFonts w:ascii="Times New Roman" w:hAnsi="Times New Roman"/>
        </w:rPr>
        <w:t>its</w:t>
      </w:r>
      <w:r w:rsidRPr="00CF4383">
        <w:rPr>
          <w:rFonts w:ascii="Times New Roman" w:hAnsi="Times New Roman"/>
        </w:rPr>
        <w:t xml:space="preserve"> proposal for </w:t>
      </w:r>
      <w:r>
        <w:rPr>
          <w:rFonts w:ascii="Times New Roman" w:hAnsi="Times New Roman"/>
        </w:rPr>
        <w:t>savings associations</w:t>
      </w:r>
      <w:r w:rsidRPr="00CF4383">
        <w:rPr>
          <w:rFonts w:ascii="Times New Roman" w:hAnsi="Times New Roman"/>
        </w:rPr>
        <w:t xml:space="preserve"> to report deposits of individuals separately from deposits of partnerships and corporations in Schedule </w:t>
      </w:r>
      <w:r>
        <w:rPr>
          <w:rFonts w:ascii="Times New Roman" w:hAnsi="Times New Roman"/>
        </w:rPr>
        <w:t>DI</w:t>
      </w:r>
      <w:r w:rsidRPr="00CF4383">
        <w:rPr>
          <w:rFonts w:ascii="Times New Roman" w:hAnsi="Times New Roman"/>
        </w:rPr>
        <w:t xml:space="preserve">.  Although the </w:t>
      </w:r>
      <w:r>
        <w:rPr>
          <w:rFonts w:ascii="Times New Roman" w:hAnsi="Times New Roman"/>
        </w:rPr>
        <w:t>OTS</w:t>
      </w:r>
      <w:r w:rsidRPr="00CF4383">
        <w:rPr>
          <w:rFonts w:ascii="Times New Roman" w:hAnsi="Times New Roman"/>
        </w:rPr>
        <w:t xml:space="preserve"> continue</w:t>
      </w:r>
      <w:r>
        <w:rPr>
          <w:rFonts w:ascii="Times New Roman" w:hAnsi="Times New Roman"/>
        </w:rPr>
        <w:t>s</w:t>
      </w:r>
      <w:r w:rsidRPr="00CF4383">
        <w:rPr>
          <w:rFonts w:ascii="Times New Roman" w:hAnsi="Times New Roman"/>
        </w:rPr>
        <w:t xml:space="preserve"> to believe that information distinguishing between deposits of individuals and deposits of partnerships and corporations would enhance the </w:t>
      </w:r>
      <w:r>
        <w:rPr>
          <w:rFonts w:ascii="Times New Roman" w:hAnsi="Times New Roman"/>
        </w:rPr>
        <w:t>OTS’s</w:t>
      </w:r>
      <w:r w:rsidRPr="00CF4383">
        <w:rPr>
          <w:rFonts w:ascii="Times New Roman" w:hAnsi="Times New Roman"/>
        </w:rPr>
        <w:t xml:space="preserve"> ability to assess the liquidity risk profile of institutions, </w:t>
      </w:r>
      <w:r>
        <w:rPr>
          <w:rFonts w:ascii="Times New Roman" w:hAnsi="Times New Roman"/>
        </w:rPr>
        <w:t>it</w:t>
      </w:r>
      <w:r w:rsidRPr="00CF4383">
        <w:rPr>
          <w:rFonts w:ascii="Times New Roman" w:hAnsi="Times New Roman"/>
        </w:rPr>
        <w:t xml:space="preserve"> acknowledge</w:t>
      </w:r>
      <w:r>
        <w:rPr>
          <w:rFonts w:ascii="Times New Roman" w:hAnsi="Times New Roman"/>
        </w:rPr>
        <w:t>s</w:t>
      </w:r>
      <w:r w:rsidRPr="00CF4383">
        <w:rPr>
          <w:rFonts w:ascii="Times New Roman" w:hAnsi="Times New Roman"/>
        </w:rPr>
        <w:t xml:space="preserve"> the proposed reporting revision could necessitate extensive programming changes and impose significant reporting burden.  As a result of this reevaluation, the </w:t>
      </w:r>
      <w:r>
        <w:rPr>
          <w:rFonts w:ascii="Times New Roman" w:hAnsi="Times New Roman"/>
        </w:rPr>
        <w:t>OTS has</w:t>
      </w:r>
      <w:r w:rsidRPr="00CF4383">
        <w:rPr>
          <w:rFonts w:ascii="Times New Roman" w:hAnsi="Times New Roman"/>
        </w:rPr>
        <w:t xml:space="preserve"> decided not to implement this proposed </w:t>
      </w:r>
      <w:r>
        <w:rPr>
          <w:rFonts w:ascii="Times New Roman" w:hAnsi="Times New Roman"/>
        </w:rPr>
        <w:t>TFR</w:t>
      </w:r>
      <w:r w:rsidRPr="00CF4383">
        <w:rPr>
          <w:rFonts w:ascii="Times New Roman" w:hAnsi="Times New Roman"/>
        </w:rPr>
        <w:t xml:space="preserve"> revision.</w:t>
      </w:r>
    </w:p>
    <w:p w:rsidR="00F76874" w:rsidRDefault="00F76874" w:rsidP="003C4737">
      <w:pPr>
        <w:widowControl/>
        <w:tabs>
          <w:tab w:val="left" w:pos="432"/>
          <w:tab w:val="left" w:pos="1296"/>
          <w:tab w:val="left" w:pos="1728"/>
          <w:tab w:val="left" w:pos="4176"/>
        </w:tabs>
        <w:rPr>
          <w:rFonts w:ascii="Times New Roman" w:hAnsi="Times New Roman"/>
        </w:rPr>
      </w:pPr>
    </w:p>
    <w:p w:rsidR="003C4737" w:rsidRDefault="003C4737" w:rsidP="003C4737">
      <w:pPr>
        <w:contextualSpacing/>
        <w:rPr>
          <w:rFonts w:ascii="Times New Roman" w:hAnsi="Times New Roman"/>
        </w:rPr>
      </w:pPr>
      <w:r>
        <w:rPr>
          <w:rFonts w:ascii="Times New Roman" w:hAnsi="Times New Roman"/>
        </w:rPr>
        <w:t>OTS</w:t>
      </w:r>
      <w:r w:rsidRPr="00CF4383">
        <w:rPr>
          <w:rFonts w:ascii="Times New Roman" w:hAnsi="Times New Roman"/>
        </w:rPr>
        <w:t xml:space="preserve"> received one comment from a bankers’ association that addressed proposed Schedule </w:t>
      </w:r>
      <w:r>
        <w:rPr>
          <w:rFonts w:ascii="Times New Roman" w:hAnsi="Times New Roman"/>
        </w:rPr>
        <w:t>VIE</w:t>
      </w:r>
      <w:r w:rsidRPr="00CF4383">
        <w:rPr>
          <w:rFonts w:ascii="Times New Roman" w:hAnsi="Times New Roman"/>
        </w:rPr>
        <w:t xml:space="preserve">.  The bankers’ association </w:t>
      </w:r>
      <w:r>
        <w:rPr>
          <w:rFonts w:ascii="Times New Roman" w:hAnsi="Times New Roman"/>
        </w:rPr>
        <w:t xml:space="preserve">asked that the OTS consider the burden this new reporting schedule would impose on smaller savings associations and asked that the OTS consider some relief from compliance for smaller savings associations to lessen their burden.  </w:t>
      </w:r>
      <w:r w:rsidRPr="00CF4383">
        <w:rPr>
          <w:rFonts w:ascii="Times New Roman" w:hAnsi="Times New Roman"/>
        </w:rPr>
        <w:t xml:space="preserve">Because the </w:t>
      </w:r>
      <w:r>
        <w:rPr>
          <w:rFonts w:ascii="Times New Roman" w:hAnsi="Times New Roman"/>
        </w:rPr>
        <w:t>TFR</w:t>
      </w:r>
      <w:r w:rsidRPr="00CF4383">
        <w:rPr>
          <w:rFonts w:ascii="Times New Roman" w:hAnsi="Times New Roman"/>
        </w:rPr>
        <w:t xml:space="preserve"> balance sheet is completed on a consolidated basis, the VIE amounts that </w:t>
      </w:r>
      <w:r>
        <w:rPr>
          <w:rFonts w:ascii="Times New Roman" w:hAnsi="Times New Roman"/>
        </w:rPr>
        <w:t>savings associations</w:t>
      </w:r>
      <w:r w:rsidRPr="00CF4383">
        <w:rPr>
          <w:rFonts w:ascii="Times New Roman" w:hAnsi="Times New Roman"/>
        </w:rPr>
        <w:t xml:space="preserve"> would report in new Schedule </w:t>
      </w:r>
      <w:r>
        <w:rPr>
          <w:rFonts w:ascii="Times New Roman" w:hAnsi="Times New Roman"/>
        </w:rPr>
        <w:t>VIE</w:t>
      </w:r>
      <w:r w:rsidRPr="00CF4383">
        <w:rPr>
          <w:rFonts w:ascii="Times New Roman" w:hAnsi="Times New Roman"/>
        </w:rPr>
        <w:t xml:space="preserve"> are amounts that, through the consolidation process, already must be reported in the appropriate balance sheet asset and liability categories.  These balance sheet categories, </w:t>
      </w:r>
      <w:r>
        <w:rPr>
          <w:rFonts w:ascii="Times New Roman" w:hAnsi="Times New Roman"/>
        </w:rPr>
        <w:t>generally</w:t>
      </w:r>
      <w:r w:rsidRPr="00CF4383">
        <w:rPr>
          <w:rFonts w:ascii="Times New Roman" w:hAnsi="Times New Roman"/>
        </w:rPr>
        <w:t xml:space="preserve">, have been carried over into Schedule </w:t>
      </w:r>
      <w:r>
        <w:rPr>
          <w:rFonts w:ascii="Times New Roman" w:hAnsi="Times New Roman"/>
        </w:rPr>
        <w:t>VIE</w:t>
      </w:r>
      <w:r w:rsidRPr="00CF4383">
        <w:rPr>
          <w:rFonts w:ascii="Times New Roman" w:hAnsi="Times New Roman"/>
        </w:rPr>
        <w:t xml:space="preserve">.  Schedule </w:t>
      </w:r>
      <w:r>
        <w:rPr>
          <w:rFonts w:ascii="Times New Roman" w:hAnsi="Times New Roman"/>
        </w:rPr>
        <w:t>VIE</w:t>
      </w:r>
      <w:r w:rsidRPr="00CF4383">
        <w:rPr>
          <w:rFonts w:ascii="Times New Roman" w:hAnsi="Times New Roman"/>
        </w:rPr>
        <w:t xml:space="preserve"> distinguishes between assets of consolidated VIEs that can be used only to settle obligations of the consolidated VIEs and assets not meeting this condition as well as liabilities of consolidated VIEs for which creditors do not have recourse to the general credit of the reporting bank and liabilities not meeting this condition.  This distinction is based on existing disclosure requirements applicable to financial statements prepar</w:t>
      </w:r>
      <w:r>
        <w:rPr>
          <w:rFonts w:ascii="Times New Roman" w:hAnsi="Times New Roman"/>
        </w:rPr>
        <w:t xml:space="preserve">ed in accordance with U.S. GAAP. </w:t>
      </w:r>
      <w:r w:rsidRPr="00CF4383">
        <w:rPr>
          <w:rFonts w:ascii="Times New Roman" w:hAnsi="Times New Roman"/>
        </w:rPr>
        <w:t xml:space="preserve"> </w:t>
      </w:r>
      <w:r>
        <w:rPr>
          <w:rFonts w:ascii="Times New Roman" w:hAnsi="Times New Roman"/>
        </w:rPr>
        <w:t>Savings associations</w:t>
      </w:r>
      <w:r w:rsidRPr="00CF4383">
        <w:rPr>
          <w:rFonts w:ascii="Times New Roman" w:hAnsi="Times New Roman"/>
        </w:rPr>
        <w:t xml:space="preserve"> likely to have material amounts of consolidated VIE assets and liabilities to report have been subject </w:t>
      </w:r>
      <w:r>
        <w:rPr>
          <w:rFonts w:ascii="Times New Roman" w:hAnsi="Times New Roman"/>
        </w:rPr>
        <w:t xml:space="preserve">to these disclosure requirements </w:t>
      </w:r>
      <w:r w:rsidRPr="00CF4383">
        <w:rPr>
          <w:rFonts w:ascii="Times New Roman" w:hAnsi="Times New Roman"/>
        </w:rPr>
        <w:t xml:space="preserve">for one year.  Thus, these </w:t>
      </w:r>
      <w:r>
        <w:rPr>
          <w:rFonts w:ascii="Times New Roman" w:hAnsi="Times New Roman"/>
        </w:rPr>
        <w:t>savings associations</w:t>
      </w:r>
      <w:r w:rsidRPr="00CF4383">
        <w:rPr>
          <w:rFonts w:ascii="Times New Roman" w:hAnsi="Times New Roman"/>
        </w:rPr>
        <w:t xml:space="preserve"> should have a process in place, even if manual, for segregating VIE assets and liabilities based on this distinction.</w:t>
      </w:r>
      <w:r>
        <w:rPr>
          <w:rFonts w:ascii="Times New Roman" w:hAnsi="Times New Roman"/>
        </w:rPr>
        <w:t xml:space="preserve">  OTS</w:t>
      </w:r>
      <w:r w:rsidRPr="00CF4383">
        <w:rPr>
          <w:rFonts w:ascii="Times New Roman" w:hAnsi="Times New Roman"/>
        </w:rPr>
        <w:t xml:space="preserve"> recognize</w:t>
      </w:r>
      <w:r>
        <w:rPr>
          <w:rFonts w:ascii="Times New Roman" w:hAnsi="Times New Roman"/>
        </w:rPr>
        <w:t>s</w:t>
      </w:r>
      <w:r w:rsidRPr="00CF4383">
        <w:rPr>
          <w:rFonts w:ascii="Times New Roman" w:hAnsi="Times New Roman"/>
        </w:rPr>
        <w:t xml:space="preserve"> that the proposed separate reporting of consolidated VIE assets and liabilities by the type of VIE activity, i.e., securitization vehicles, ABCP conduits, and other VIEs, goes beyond the disclosure requirements in U.S. GAAP.</w:t>
      </w:r>
      <w:r>
        <w:rPr>
          <w:rFonts w:ascii="Times New Roman" w:hAnsi="Times New Roman"/>
        </w:rPr>
        <w:t xml:space="preserve">  </w:t>
      </w:r>
      <w:r w:rsidRPr="00CF4383">
        <w:rPr>
          <w:rFonts w:ascii="Times New Roman" w:hAnsi="Times New Roman"/>
        </w:rPr>
        <w:lastRenderedPageBreak/>
        <w:t xml:space="preserve">Otherwise, the proposed data requirements for Schedule </w:t>
      </w:r>
      <w:r>
        <w:rPr>
          <w:rFonts w:ascii="Times New Roman" w:hAnsi="Times New Roman"/>
        </w:rPr>
        <w:t>VIE</w:t>
      </w:r>
      <w:r w:rsidRPr="00CF4383">
        <w:rPr>
          <w:rFonts w:ascii="Times New Roman" w:hAnsi="Times New Roman"/>
        </w:rPr>
        <w:t xml:space="preserve"> have been based purposely on the GAAP framework.  Thus, the </w:t>
      </w:r>
      <w:r>
        <w:rPr>
          <w:rFonts w:ascii="Times New Roman" w:hAnsi="Times New Roman"/>
        </w:rPr>
        <w:t>OTS has</w:t>
      </w:r>
      <w:r w:rsidRPr="00CF4383">
        <w:rPr>
          <w:rFonts w:ascii="Times New Roman" w:hAnsi="Times New Roman"/>
        </w:rPr>
        <w:t xml:space="preserve"> concluded that it would be appropriate to proceed with the introduction of </w:t>
      </w:r>
      <w:r>
        <w:rPr>
          <w:rFonts w:ascii="Times New Roman" w:hAnsi="Times New Roman"/>
        </w:rPr>
        <w:t xml:space="preserve">a </w:t>
      </w:r>
      <w:r w:rsidRPr="00CF4383">
        <w:rPr>
          <w:rFonts w:ascii="Times New Roman" w:hAnsi="Times New Roman"/>
        </w:rPr>
        <w:t xml:space="preserve">new Schedule </w:t>
      </w:r>
      <w:r>
        <w:rPr>
          <w:rFonts w:ascii="Times New Roman" w:hAnsi="Times New Roman"/>
        </w:rPr>
        <w:t>VIE in March 2011</w:t>
      </w:r>
      <w:r w:rsidRPr="00CF4383">
        <w:rPr>
          <w:rFonts w:ascii="Times New Roman" w:hAnsi="Times New Roman"/>
        </w:rPr>
        <w:t xml:space="preserve">.  </w:t>
      </w:r>
      <w:r>
        <w:rPr>
          <w:rFonts w:ascii="Times New Roman" w:hAnsi="Times New Roman"/>
        </w:rPr>
        <w:t>The new Schedule VIE will be consistent with the new Schedule RC-V proposed to be adopted for the Call Report in March 2011 by the other federal banking agencies.</w:t>
      </w:r>
    </w:p>
    <w:p w:rsidR="003C4737" w:rsidRDefault="003C4737" w:rsidP="003C4737">
      <w:pPr>
        <w:widowControl/>
        <w:tabs>
          <w:tab w:val="left" w:pos="432"/>
          <w:tab w:val="left" w:pos="1296"/>
          <w:tab w:val="left" w:pos="1728"/>
          <w:tab w:val="left" w:pos="4176"/>
        </w:tabs>
        <w:rPr>
          <w:rFonts w:ascii="Times New Roman" w:hAnsi="Times New Roman"/>
        </w:rPr>
      </w:pPr>
    </w:p>
    <w:p w:rsidR="00AD560F" w:rsidRDefault="00AD560F" w:rsidP="00AD560F">
      <w:pPr>
        <w:rPr>
          <w:rFonts w:ascii="Times New Roman" w:hAnsi="Times New Roman"/>
        </w:rPr>
      </w:pPr>
      <w:r>
        <w:rPr>
          <w:rFonts w:ascii="Times New Roman" w:hAnsi="Times New Roman"/>
        </w:rPr>
        <w:t>The other federal banking agencies received similar comments with respect to their 60-Day FRN for revisions to the Call Report to be effective with the March 2011 reporting cycle.  All</w:t>
      </w:r>
      <w:r w:rsidRPr="007115D2">
        <w:rPr>
          <w:rFonts w:ascii="Times New Roman" w:hAnsi="Times New Roman"/>
        </w:rPr>
        <w:t xml:space="preserve"> proposed changes to the TFR for 2011 that would increase the differences between the TFR and the Call Report</w:t>
      </w:r>
      <w:r>
        <w:rPr>
          <w:rFonts w:ascii="Times New Roman" w:hAnsi="Times New Roman"/>
        </w:rPr>
        <w:t xml:space="preserve"> used by banks for reporting financial data have been eliminated</w:t>
      </w:r>
      <w:r w:rsidRPr="007115D2">
        <w:rPr>
          <w:rFonts w:ascii="Times New Roman" w:hAnsi="Times New Roman"/>
        </w:rPr>
        <w:t>.</w:t>
      </w:r>
      <w:r w:rsidR="00091E4D">
        <w:rPr>
          <w:rFonts w:ascii="Times New Roman" w:hAnsi="Times New Roman"/>
        </w:rPr>
        <w:t xml:space="preserve">  All changes being adopted for the TFR effective with the March 2011 reporting cycle are consistent with the changes being adopted for the Call Report or are for data items already collected through the Call Report.</w:t>
      </w:r>
    </w:p>
    <w:p w:rsidR="00515D36" w:rsidRPr="00AA3B96" w:rsidRDefault="00515D36" w:rsidP="0057274E">
      <w:pPr>
        <w:widowControl/>
        <w:tabs>
          <w:tab w:val="left" w:pos="432"/>
          <w:tab w:val="left" w:pos="1296"/>
          <w:tab w:val="left" w:pos="1728"/>
          <w:tab w:val="left" w:pos="4176"/>
        </w:tabs>
        <w:rPr>
          <w:rFonts w:ascii="Times New Roman" w:hAnsi="Times New Roman"/>
          <w:color w:val="00B0F0"/>
        </w:rPr>
      </w:pPr>
    </w:p>
    <w:p w:rsidR="009B4508" w:rsidRDefault="0057274E" w:rsidP="0057274E">
      <w:pPr>
        <w:widowControl/>
        <w:tabs>
          <w:tab w:val="left" w:pos="432"/>
          <w:tab w:val="left" w:pos="1296"/>
          <w:tab w:val="left" w:pos="1728"/>
          <w:tab w:val="left" w:pos="4176"/>
        </w:tabs>
        <w:rPr>
          <w:rFonts w:ascii="Times New Roman" w:hAnsi="Times New Roman"/>
          <w:color w:val="000000"/>
        </w:rPr>
      </w:pPr>
      <w:r>
        <w:rPr>
          <w:rFonts w:ascii="Times New Roman" w:hAnsi="Times New Roman"/>
          <w:color w:val="000000"/>
        </w:rPr>
        <w:t xml:space="preserve">9.   </w:t>
      </w:r>
      <w:r w:rsidR="009B4508">
        <w:rPr>
          <w:rFonts w:ascii="Times New Roman" w:hAnsi="Times New Roman"/>
          <w:color w:val="000000"/>
          <w:u w:val="single"/>
        </w:rPr>
        <w:t>Pay</w:t>
      </w:r>
      <w:smartTag w:uri="urn:schemas-microsoft-com:office:smarttags" w:element="PersonName">
        <w:r w:rsidR="009B4508">
          <w:rPr>
            <w:rFonts w:ascii="Times New Roman" w:hAnsi="Times New Roman"/>
            <w:color w:val="000000"/>
            <w:u w:val="single"/>
          </w:rPr>
          <w:t>me</w:t>
        </w:r>
      </w:smartTag>
      <w:r w:rsidR="009B4508">
        <w:rPr>
          <w:rFonts w:ascii="Times New Roman" w:hAnsi="Times New Roman"/>
          <w:color w:val="000000"/>
          <w:u w:val="single"/>
        </w:rPr>
        <w:t>nt or Gift to Respondents</w:t>
      </w:r>
    </w:p>
    <w:p w:rsidR="009B4508" w:rsidRDefault="009B4508">
      <w:pPr>
        <w:widowControl/>
        <w:tabs>
          <w:tab w:val="left" w:pos="432"/>
          <w:tab w:val="left" w:pos="1296"/>
          <w:tab w:val="left" w:pos="1728"/>
          <w:tab w:val="left" w:pos="4176"/>
        </w:tabs>
        <w:ind w:left="1290"/>
        <w:rPr>
          <w:rFonts w:ascii="Times New Roman" w:hAnsi="Times New Roman"/>
          <w:color w:val="000000"/>
        </w:rPr>
      </w:pPr>
    </w:p>
    <w:p w:rsidR="009B4508" w:rsidRDefault="009B4508" w:rsidP="00104556">
      <w:pPr>
        <w:widowControl/>
        <w:tabs>
          <w:tab w:val="left" w:pos="432"/>
          <w:tab w:val="left" w:pos="1296"/>
          <w:tab w:val="left" w:pos="1728"/>
          <w:tab w:val="left" w:pos="4176"/>
        </w:tabs>
        <w:rPr>
          <w:rFonts w:ascii="Times New Roman" w:hAnsi="Times New Roman"/>
          <w:color w:val="000000"/>
        </w:rPr>
      </w:pPr>
      <w:r>
        <w:rPr>
          <w:rFonts w:ascii="Times New Roman" w:hAnsi="Times New Roman"/>
          <w:color w:val="000000"/>
        </w:rPr>
        <w:t xml:space="preserve">No gifts will be given to respondents.  </w:t>
      </w:r>
    </w:p>
    <w:p w:rsidR="009B4508" w:rsidRDefault="009B4508">
      <w:pPr>
        <w:widowControl/>
        <w:tabs>
          <w:tab w:val="left" w:pos="432"/>
          <w:tab w:val="left" w:pos="1296"/>
          <w:tab w:val="left" w:pos="1728"/>
          <w:tab w:val="left" w:pos="4176"/>
        </w:tabs>
        <w:ind w:left="1290"/>
        <w:rPr>
          <w:rFonts w:ascii="Times New Roman" w:hAnsi="Times New Roman"/>
          <w:color w:val="000000"/>
        </w:rPr>
      </w:pPr>
    </w:p>
    <w:p w:rsidR="009B4508" w:rsidRDefault="009B4508" w:rsidP="00104556">
      <w:pPr>
        <w:widowControl/>
        <w:tabs>
          <w:tab w:val="left" w:pos="432"/>
          <w:tab w:val="left" w:pos="1296"/>
          <w:tab w:val="left" w:pos="1728"/>
          <w:tab w:val="left" w:pos="4176"/>
        </w:tabs>
        <w:ind w:left="432" w:hanging="432"/>
        <w:rPr>
          <w:rFonts w:ascii="Times New Roman" w:hAnsi="Times New Roman"/>
          <w:color w:val="000000"/>
        </w:rPr>
      </w:pPr>
      <w:r>
        <w:rPr>
          <w:rFonts w:ascii="Times New Roman" w:hAnsi="Times New Roman"/>
          <w:color w:val="000000"/>
        </w:rPr>
        <w:t>10.</w:t>
      </w:r>
      <w:r>
        <w:rPr>
          <w:rFonts w:ascii="Times New Roman" w:hAnsi="Times New Roman"/>
          <w:color w:val="000000"/>
        </w:rPr>
        <w:tab/>
      </w:r>
      <w:r>
        <w:rPr>
          <w:rFonts w:ascii="Times New Roman" w:hAnsi="Times New Roman"/>
          <w:color w:val="000000"/>
          <w:u w:val="single"/>
        </w:rPr>
        <w:t>Confidentiality</w:t>
      </w:r>
    </w:p>
    <w:p w:rsidR="009B4508" w:rsidRPr="00C0702E" w:rsidRDefault="009B4508">
      <w:pPr>
        <w:widowControl/>
        <w:tabs>
          <w:tab w:val="left" w:pos="432"/>
          <w:tab w:val="left" w:pos="1296"/>
          <w:tab w:val="left" w:pos="1728"/>
          <w:tab w:val="left" w:pos="4176"/>
        </w:tabs>
        <w:rPr>
          <w:rFonts w:ascii="Times New Roman" w:hAnsi="Times New Roman"/>
          <w:color w:val="000000"/>
        </w:rPr>
      </w:pPr>
    </w:p>
    <w:p w:rsidR="009B4508" w:rsidRPr="00C0702E" w:rsidRDefault="00C0702E" w:rsidP="00104556">
      <w:pPr>
        <w:widowControl/>
        <w:tabs>
          <w:tab w:val="left" w:pos="432"/>
          <w:tab w:val="left" w:pos="1296"/>
          <w:tab w:val="left" w:pos="1728"/>
          <w:tab w:val="left" w:pos="4176"/>
        </w:tabs>
        <w:rPr>
          <w:rFonts w:ascii="Times New Roman" w:hAnsi="Times New Roman"/>
          <w:color w:val="000000"/>
        </w:rPr>
      </w:pPr>
      <w:r w:rsidRPr="00C0702E">
        <w:rPr>
          <w:rFonts w:ascii="Times New Roman" w:hAnsi="Times New Roman"/>
          <w:color w:val="000000"/>
        </w:rPr>
        <w:t xml:space="preserve">The </w:t>
      </w:r>
      <w:r w:rsidR="004338BB">
        <w:rPr>
          <w:rFonts w:ascii="Times New Roman" w:hAnsi="Times New Roman"/>
          <w:color w:val="000000"/>
        </w:rPr>
        <w:t>information</w:t>
      </w:r>
      <w:r w:rsidRPr="00C0702E">
        <w:rPr>
          <w:rFonts w:ascii="Times New Roman" w:hAnsi="Times New Roman"/>
          <w:color w:val="000000"/>
        </w:rPr>
        <w:t xml:space="preserve"> proposed for </w:t>
      </w:r>
      <w:r w:rsidR="004338BB">
        <w:rPr>
          <w:rFonts w:ascii="Times New Roman" w:hAnsi="Times New Roman"/>
          <w:color w:val="000000"/>
        </w:rPr>
        <w:t>collection commencing with the March 2011 reporting cycle would be publicly available.</w:t>
      </w:r>
    </w:p>
    <w:p w:rsidR="009B4508" w:rsidRPr="00C0702E" w:rsidRDefault="009B4508">
      <w:pPr>
        <w:widowControl/>
        <w:tabs>
          <w:tab w:val="left" w:pos="432"/>
          <w:tab w:val="left" w:pos="1296"/>
          <w:tab w:val="left" w:pos="1728"/>
          <w:tab w:val="left" w:pos="4176"/>
        </w:tabs>
        <w:ind w:left="1296"/>
        <w:rPr>
          <w:rFonts w:ascii="Times New Roman" w:hAnsi="Times New Roman"/>
          <w:color w:val="000000"/>
        </w:rPr>
      </w:pPr>
    </w:p>
    <w:p w:rsidR="009B4508" w:rsidRDefault="009B4508" w:rsidP="00BF09DD">
      <w:pPr>
        <w:widowControl/>
        <w:tabs>
          <w:tab w:val="left" w:pos="432"/>
          <w:tab w:val="left" w:pos="1296"/>
          <w:tab w:val="left" w:pos="1728"/>
          <w:tab w:val="left" w:pos="4176"/>
        </w:tabs>
        <w:ind w:left="432" w:hanging="432"/>
        <w:rPr>
          <w:rFonts w:ascii="Times New Roman" w:hAnsi="Times New Roman"/>
          <w:color w:val="000000"/>
        </w:rPr>
      </w:pPr>
      <w:r>
        <w:rPr>
          <w:rFonts w:ascii="Times New Roman" w:hAnsi="Times New Roman"/>
          <w:color w:val="000000"/>
        </w:rPr>
        <w:t>11.</w:t>
      </w:r>
      <w:r>
        <w:rPr>
          <w:rFonts w:ascii="Times New Roman" w:hAnsi="Times New Roman"/>
          <w:color w:val="000000"/>
        </w:rPr>
        <w:tab/>
      </w:r>
      <w:r>
        <w:rPr>
          <w:rFonts w:ascii="Times New Roman" w:hAnsi="Times New Roman"/>
          <w:color w:val="000000"/>
          <w:u w:val="single"/>
        </w:rPr>
        <w:t>Information of a Sensitive Nature</w:t>
      </w:r>
    </w:p>
    <w:p w:rsidR="009B4508" w:rsidRDefault="009B4508" w:rsidP="00BF09DD">
      <w:pPr>
        <w:widowControl/>
        <w:tabs>
          <w:tab w:val="left" w:pos="432"/>
          <w:tab w:val="left" w:pos="1296"/>
          <w:tab w:val="left" w:pos="1728"/>
          <w:tab w:val="left" w:pos="4176"/>
        </w:tabs>
        <w:rPr>
          <w:rFonts w:ascii="Times New Roman" w:hAnsi="Times New Roman"/>
          <w:color w:val="000000"/>
        </w:rPr>
      </w:pPr>
    </w:p>
    <w:p w:rsidR="009B4508" w:rsidRDefault="009B4508" w:rsidP="00BF09DD">
      <w:pPr>
        <w:widowControl/>
        <w:tabs>
          <w:tab w:val="left" w:pos="432"/>
          <w:tab w:val="left" w:pos="1296"/>
          <w:tab w:val="left" w:pos="1728"/>
          <w:tab w:val="left" w:pos="4176"/>
        </w:tabs>
        <w:rPr>
          <w:rFonts w:ascii="Times New Roman" w:hAnsi="Times New Roman"/>
          <w:color w:val="000000"/>
        </w:rPr>
      </w:pPr>
      <w:r>
        <w:rPr>
          <w:rFonts w:ascii="Times New Roman" w:hAnsi="Times New Roman"/>
          <w:color w:val="000000"/>
        </w:rPr>
        <w:t xml:space="preserve">No information of a sensitive nature is requested. </w:t>
      </w:r>
    </w:p>
    <w:p w:rsidR="009B4508" w:rsidRDefault="009B4508" w:rsidP="00BF09DD">
      <w:pPr>
        <w:widowControl/>
        <w:tabs>
          <w:tab w:val="left" w:pos="432"/>
          <w:tab w:val="left" w:pos="1296"/>
          <w:tab w:val="left" w:pos="1728"/>
          <w:tab w:val="left" w:pos="4176"/>
        </w:tabs>
        <w:rPr>
          <w:rFonts w:ascii="Times New Roman" w:hAnsi="Times New Roman"/>
          <w:color w:val="000000"/>
        </w:rPr>
      </w:pPr>
    </w:p>
    <w:p w:rsidR="009B4508" w:rsidRDefault="009B4508" w:rsidP="00BF09DD">
      <w:pPr>
        <w:keepLines/>
        <w:widowControl/>
        <w:numPr>
          <w:ilvl w:val="0"/>
          <w:numId w:val="11"/>
        </w:numPr>
        <w:tabs>
          <w:tab w:val="left" w:pos="432"/>
          <w:tab w:val="left" w:pos="1728"/>
          <w:tab w:val="left" w:pos="4176"/>
        </w:tabs>
        <w:ind w:left="432" w:hanging="432"/>
        <w:rPr>
          <w:rFonts w:ascii="Times New Roman" w:hAnsi="Times New Roman"/>
          <w:color w:val="000000"/>
          <w:u w:val="single"/>
        </w:rPr>
      </w:pPr>
      <w:r>
        <w:rPr>
          <w:rFonts w:ascii="Times New Roman" w:hAnsi="Times New Roman"/>
          <w:color w:val="000000"/>
          <w:u w:val="single"/>
        </w:rPr>
        <w:t>Estimate of Annual Burden</w:t>
      </w:r>
    </w:p>
    <w:p w:rsidR="006D498C" w:rsidRDefault="006D498C" w:rsidP="00BF09DD">
      <w:pPr>
        <w:keepLines/>
        <w:widowControl/>
        <w:tabs>
          <w:tab w:val="left" w:pos="432"/>
          <w:tab w:val="left" w:pos="1296"/>
          <w:tab w:val="left" w:pos="1728"/>
          <w:tab w:val="left" w:pos="4176"/>
        </w:tabs>
        <w:rPr>
          <w:rFonts w:ascii="Times New Roman" w:hAnsi="Times New Roman"/>
          <w:color w:val="000000"/>
        </w:rPr>
      </w:pPr>
    </w:p>
    <w:p w:rsidR="00E100FE" w:rsidRDefault="00E100FE" w:rsidP="00E100FE">
      <w:pPr>
        <w:keepLines/>
        <w:widowControl/>
        <w:tabs>
          <w:tab w:val="left" w:pos="432"/>
          <w:tab w:val="left" w:pos="1296"/>
          <w:tab w:val="left" w:pos="1728"/>
          <w:tab w:val="left" w:pos="4176"/>
        </w:tabs>
        <w:rPr>
          <w:rFonts w:ascii="Times New Roman" w:hAnsi="Times New Roman"/>
          <w:color w:val="000000"/>
        </w:rPr>
      </w:pPr>
      <w:r>
        <w:rPr>
          <w:rFonts w:ascii="Times New Roman" w:hAnsi="Times New Roman"/>
          <w:color w:val="000000"/>
        </w:rPr>
        <w:t xml:space="preserve">OTS is citing 60.2 hours average for quarterly schedules and 2.0 hours average for schedules required only annually plus recordkeeping on an average on one hour.  </w:t>
      </w:r>
    </w:p>
    <w:p w:rsidR="00E100FE" w:rsidRDefault="00E100FE" w:rsidP="00E100FE">
      <w:pPr>
        <w:keepLines/>
        <w:widowControl/>
        <w:tabs>
          <w:tab w:val="left" w:pos="432"/>
          <w:tab w:val="left" w:pos="1296"/>
          <w:tab w:val="left" w:pos="1728"/>
          <w:tab w:val="left" w:pos="4176"/>
        </w:tabs>
        <w:rPr>
          <w:rFonts w:ascii="Times New Roman" w:hAnsi="Times New Roman"/>
          <w:color w:val="000000"/>
        </w:rPr>
      </w:pPr>
    </w:p>
    <w:p w:rsidR="00E100FE" w:rsidRDefault="00E100FE" w:rsidP="00E100FE">
      <w:pPr>
        <w:keepLines/>
        <w:widowControl/>
        <w:tabs>
          <w:tab w:val="left" w:pos="432"/>
          <w:tab w:val="left" w:pos="1296"/>
          <w:tab w:val="left" w:pos="1728"/>
          <w:tab w:val="left" w:pos="4176"/>
        </w:tabs>
        <w:rPr>
          <w:rFonts w:ascii="Times New Roman" w:hAnsi="Times New Roman"/>
        </w:rPr>
      </w:pPr>
      <w:r>
        <w:rPr>
          <w:rFonts w:ascii="Times New Roman" w:hAnsi="Times New Roman"/>
          <w:color w:val="000000"/>
        </w:rPr>
        <w:t>The effect of these changes on the estimated annual reporting burden associated with the agency’s currently approved collection of information is estimated as follows:</w:t>
      </w:r>
      <w:r w:rsidRPr="00A77137">
        <w:rPr>
          <w:rFonts w:ascii="Times New Roman" w:hAnsi="Times New Roman"/>
        </w:rPr>
        <w:t xml:space="preserve"> </w:t>
      </w:r>
    </w:p>
    <w:p w:rsidR="00E100FE" w:rsidRDefault="00E100FE" w:rsidP="00E100FE">
      <w:pPr>
        <w:keepLines/>
        <w:widowControl/>
        <w:tabs>
          <w:tab w:val="left" w:pos="432"/>
          <w:tab w:val="left" w:pos="1296"/>
          <w:tab w:val="left" w:pos="1728"/>
          <w:tab w:val="left" w:pos="4176"/>
        </w:tabs>
        <w:rPr>
          <w:rFonts w:ascii="Times New Roman" w:hAnsi="Times New Roman"/>
        </w:rPr>
      </w:pPr>
    </w:p>
    <w:p w:rsidR="00E100FE" w:rsidRPr="00B5531A" w:rsidRDefault="00E100FE" w:rsidP="00E100FE">
      <w:pPr>
        <w:keepLines/>
        <w:widowControl/>
        <w:tabs>
          <w:tab w:val="left" w:pos="432"/>
          <w:tab w:val="left" w:pos="1296"/>
          <w:tab w:val="left" w:pos="1728"/>
          <w:tab w:val="left" w:pos="4176"/>
        </w:tabs>
        <w:rPr>
          <w:rFonts w:ascii="Times New Roman" w:hAnsi="Times New Roman"/>
          <w:color w:val="000000"/>
        </w:rPr>
      </w:pPr>
      <w:r w:rsidRPr="00B5531A">
        <w:rPr>
          <w:rFonts w:ascii="Times New Roman" w:hAnsi="Times New Roman"/>
          <w:color w:val="000000"/>
        </w:rPr>
        <w:t>TFR Report:</w:t>
      </w:r>
    </w:p>
    <w:p w:rsidR="00E100FE" w:rsidRPr="00B5531A" w:rsidRDefault="00E100FE" w:rsidP="00E100FE">
      <w:pPr>
        <w:keepLines/>
        <w:widowControl/>
        <w:tabs>
          <w:tab w:val="left" w:pos="432"/>
          <w:tab w:val="left" w:pos="1296"/>
          <w:tab w:val="left" w:pos="1728"/>
          <w:tab w:val="left" w:pos="4176"/>
        </w:tabs>
        <w:rPr>
          <w:rFonts w:ascii="Times New Roman" w:hAnsi="Times New Roman"/>
          <w:color w:val="000000"/>
        </w:rPr>
      </w:pPr>
    </w:p>
    <w:p w:rsidR="00E100FE" w:rsidRPr="00B5531A" w:rsidRDefault="00E100FE" w:rsidP="00E100FE">
      <w:pPr>
        <w:keepLines/>
        <w:widowControl/>
        <w:tabs>
          <w:tab w:val="left" w:pos="432"/>
          <w:tab w:val="left" w:pos="1296"/>
          <w:tab w:val="left" w:pos="1728"/>
          <w:tab w:val="left" w:pos="4176"/>
        </w:tabs>
        <w:rPr>
          <w:rFonts w:ascii="Times New Roman" w:hAnsi="Times New Roman"/>
          <w:color w:val="000000"/>
        </w:rPr>
      </w:pPr>
      <w:r w:rsidRPr="00B5531A">
        <w:rPr>
          <w:rFonts w:ascii="Times New Roman" w:hAnsi="Times New Roman"/>
          <w:color w:val="000000"/>
        </w:rPr>
        <w:t>Existing annual reporting burden:</w:t>
      </w:r>
      <w:r w:rsidRPr="00B5531A">
        <w:rPr>
          <w:rFonts w:ascii="Times New Roman" w:hAnsi="Times New Roman"/>
          <w:color w:val="000000"/>
        </w:rPr>
        <w:tab/>
      </w:r>
      <w:r w:rsidRPr="00B5531A">
        <w:rPr>
          <w:rFonts w:ascii="Times New Roman" w:hAnsi="Times New Roman"/>
          <w:color w:val="000000"/>
        </w:rPr>
        <w:tab/>
      </w:r>
      <w:r w:rsidRPr="00B5531A">
        <w:rPr>
          <w:rFonts w:ascii="Times New Roman" w:hAnsi="Times New Roman"/>
          <w:color w:val="000000"/>
        </w:rPr>
        <w:tab/>
      </w:r>
      <w:r w:rsidRPr="00B5531A">
        <w:rPr>
          <w:rFonts w:ascii="Times New Roman" w:hAnsi="Times New Roman"/>
          <w:color w:val="000000"/>
        </w:rPr>
        <w:tab/>
      </w:r>
      <w:r w:rsidR="00315F94">
        <w:rPr>
          <w:rFonts w:ascii="Times New Roman" w:hAnsi="Times New Roman"/>
          <w:color w:val="000000"/>
        </w:rPr>
        <w:t>175,422</w:t>
      </w:r>
    </w:p>
    <w:p w:rsidR="00E100FE" w:rsidRPr="00B5531A" w:rsidRDefault="00E100FE" w:rsidP="00E100FE">
      <w:pPr>
        <w:keepLines/>
        <w:widowControl/>
        <w:tabs>
          <w:tab w:val="left" w:pos="432"/>
          <w:tab w:val="left" w:pos="1296"/>
          <w:tab w:val="left" w:pos="1728"/>
          <w:tab w:val="left" w:pos="4176"/>
        </w:tabs>
        <w:rPr>
          <w:rFonts w:ascii="Times New Roman" w:hAnsi="Times New Roman"/>
          <w:color w:val="000000"/>
        </w:rPr>
      </w:pPr>
      <w:r>
        <w:rPr>
          <w:rFonts w:ascii="Times New Roman" w:hAnsi="Times New Roman"/>
          <w:color w:val="000000"/>
        </w:rPr>
        <w:t>R</w:t>
      </w:r>
      <w:r w:rsidRPr="00B5531A">
        <w:rPr>
          <w:rFonts w:ascii="Times New Roman" w:hAnsi="Times New Roman"/>
          <w:color w:val="000000"/>
        </w:rPr>
        <w:t>evised estimate after changes and adjustment:</w:t>
      </w:r>
      <w:r w:rsidRPr="00B5531A">
        <w:rPr>
          <w:rFonts w:ascii="Times New Roman" w:hAnsi="Times New Roman"/>
          <w:color w:val="000000"/>
        </w:rPr>
        <w:tab/>
      </w:r>
      <w:r w:rsidRPr="00B5531A">
        <w:rPr>
          <w:rFonts w:ascii="Times New Roman" w:hAnsi="Times New Roman"/>
          <w:color w:val="000000"/>
        </w:rPr>
        <w:tab/>
      </w:r>
      <w:r>
        <w:rPr>
          <w:rFonts w:ascii="Times New Roman" w:hAnsi="Times New Roman"/>
          <w:color w:val="000000"/>
        </w:rPr>
        <w:t>186,360 *</w:t>
      </w:r>
    </w:p>
    <w:p w:rsidR="00E100FE" w:rsidRDefault="00E100FE" w:rsidP="00E100FE">
      <w:pPr>
        <w:keepLines/>
        <w:widowControl/>
        <w:tabs>
          <w:tab w:val="left" w:pos="432"/>
          <w:tab w:val="left" w:pos="1296"/>
          <w:tab w:val="left" w:pos="1728"/>
          <w:tab w:val="left" w:pos="4176"/>
        </w:tabs>
        <w:rPr>
          <w:rFonts w:ascii="Times New Roman" w:hAnsi="Times New Roman"/>
          <w:color w:val="000000"/>
        </w:rPr>
      </w:pPr>
      <w:r>
        <w:rPr>
          <w:rFonts w:ascii="Times New Roman" w:hAnsi="Times New Roman"/>
          <w:color w:val="000000"/>
        </w:rPr>
        <w:t>*(See attached table for the burden calculation)</w:t>
      </w:r>
    </w:p>
    <w:p w:rsidR="00315F94" w:rsidRDefault="00315F94" w:rsidP="00BF09DD">
      <w:pPr>
        <w:keepLines/>
        <w:widowControl/>
        <w:tabs>
          <w:tab w:val="left" w:pos="432"/>
          <w:tab w:val="left" w:pos="1296"/>
          <w:tab w:val="left" w:pos="1728"/>
          <w:tab w:val="left" w:pos="4176"/>
        </w:tabs>
        <w:rPr>
          <w:rFonts w:ascii="Times New Roman" w:hAnsi="Times New Roman"/>
          <w:color w:val="000000"/>
        </w:rPr>
      </w:pPr>
    </w:p>
    <w:p w:rsidR="00F726CD" w:rsidRPr="00315F94" w:rsidRDefault="009D4EB4" w:rsidP="00BF09DD">
      <w:pPr>
        <w:keepLines/>
        <w:widowControl/>
        <w:tabs>
          <w:tab w:val="left" w:pos="432"/>
          <w:tab w:val="left" w:pos="1296"/>
          <w:tab w:val="left" w:pos="1728"/>
          <w:tab w:val="left" w:pos="4176"/>
        </w:tabs>
        <w:rPr>
          <w:rFonts w:ascii="Times New Roman" w:hAnsi="Times New Roman"/>
          <w:color w:val="000000"/>
        </w:rPr>
      </w:pPr>
      <w:r w:rsidRPr="00315F94">
        <w:rPr>
          <w:rFonts w:ascii="Times New Roman" w:hAnsi="Times New Roman"/>
          <w:color w:val="000000"/>
        </w:rPr>
        <w:t>NOTE: OTS cited</w:t>
      </w:r>
      <w:r w:rsidR="00315F94">
        <w:rPr>
          <w:rFonts w:ascii="Times New Roman" w:hAnsi="Times New Roman"/>
          <w:color w:val="000000"/>
        </w:rPr>
        <w:t xml:space="preserve"> 753</w:t>
      </w:r>
      <w:r w:rsidRPr="00315F94">
        <w:rPr>
          <w:rFonts w:ascii="Times New Roman" w:hAnsi="Times New Roman"/>
          <w:color w:val="000000"/>
        </w:rPr>
        <w:t xml:space="preserve"> respondents for the 60-Day </w:t>
      </w:r>
      <w:r w:rsidR="00315F94">
        <w:rPr>
          <w:rFonts w:ascii="Times New Roman" w:hAnsi="Times New Roman"/>
          <w:color w:val="000000"/>
        </w:rPr>
        <w:t xml:space="preserve">Federal Register Notice </w:t>
      </w:r>
      <w:r w:rsidRPr="00315F94">
        <w:rPr>
          <w:rFonts w:ascii="Times New Roman" w:hAnsi="Times New Roman"/>
          <w:color w:val="000000"/>
        </w:rPr>
        <w:t xml:space="preserve">and </w:t>
      </w:r>
      <w:r w:rsidR="00315F94">
        <w:rPr>
          <w:rFonts w:ascii="Times New Roman" w:hAnsi="Times New Roman"/>
          <w:color w:val="000000"/>
        </w:rPr>
        <w:t xml:space="preserve">741 respondents for the </w:t>
      </w:r>
      <w:r w:rsidRPr="00315F94">
        <w:rPr>
          <w:rFonts w:ascii="Times New Roman" w:hAnsi="Times New Roman"/>
          <w:color w:val="000000"/>
        </w:rPr>
        <w:t xml:space="preserve">30-Day Federal Register Notices.  </w:t>
      </w:r>
      <w:r w:rsidR="00AE7875">
        <w:rPr>
          <w:rFonts w:ascii="Times New Roman" w:hAnsi="Times New Roman"/>
          <w:color w:val="000000"/>
        </w:rPr>
        <w:t>As of February 2, 2011,</w:t>
      </w:r>
      <w:r w:rsidRPr="00315F94">
        <w:rPr>
          <w:rFonts w:ascii="Times New Roman" w:hAnsi="Times New Roman"/>
          <w:color w:val="000000"/>
        </w:rPr>
        <w:t xml:space="preserve"> the actual number of thrifts that OTS regulates i</w:t>
      </w:r>
      <w:r w:rsidR="00AE7875">
        <w:rPr>
          <w:rFonts w:ascii="Times New Roman" w:hAnsi="Times New Roman"/>
          <w:color w:val="000000"/>
        </w:rPr>
        <w:t>s 727</w:t>
      </w:r>
      <w:r w:rsidRPr="00315F94">
        <w:rPr>
          <w:rFonts w:ascii="Times New Roman" w:hAnsi="Times New Roman"/>
          <w:color w:val="000000"/>
        </w:rPr>
        <w:t>.</w:t>
      </w:r>
    </w:p>
    <w:p w:rsidR="00E9330F" w:rsidRPr="00315F94" w:rsidRDefault="00E9330F" w:rsidP="00E9330F">
      <w:pPr>
        <w:widowControl/>
        <w:tabs>
          <w:tab w:val="left" w:pos="432"/>
          <w:tab w:val="left" w:pos="1296"/>
          <w:tab w:val="left" w:pos="1728"/>
          <w:tab w:val="left" w:pos="4176"/>
        </w:tabs>
        <w:rPr>
          <w:rFonts w:ascii="Times New Roman" w:hAnsi="Times New Roman"/>
          <w:color w:val="000000"/>
        </w:rPr>
      </w:pPr>
    </w:p>
    <w:p w:rsidR="00E9330F" w:rsidRPr="00315F94" w:rsidRDefault="00E9330F" w:rsidP="00E9330F">
      <w:pPr>
        <w:widowControl/>
        <w:tabs>
          <w:tab w:val="left" w:pos="432"/>
          <w:tab w:val="left" w:pos="1296"/>
          <w:tab w:val="left" w:pos="1728"/>
          <w:tab w:val="left" w:pos="4176"/>
        </w:tabs>
        <w:rPr>
          <w:rFonts w:ascii="Times New Roman" w:hAnsi="Times New Roman"/>
          <w:color w:val="000000"/>
        </w:rPr>
      </w:pPr>
    </w:p>
    <w:p w:rsidR="009B4508" w:rsidRDefault="009B4508" w:rsidP="00E9330F">
      <w:pPr>
        <w:widowControl/>
        <w:tabs>
          <w:tab w:val="left" w:pos="432"/>
          <w:tab w:val="left" w:pos="1296"/>
          <w:tab w:val="left" w:pos="1728"/>
          <w:tab w:val="left" w:pos="4176"/>
        </w:tabs>
        <w:rPr>
          <w:rFonts w:ascii="Times New Roman" w:hAnsi="Times New Roman"/>
          <w:color w:val="000000"/>
        </w:rPr>
      </w:pPr>
      <w:r>
        <w:rPr>
          <w:rFonts w:ascii="Times New Roman" w:hAnsi="Times New Roman"/>
          <w:color w:val="000000"/>
        </w:rPr>
        <w:lastRenderedPageBreak/>
        <w:t>13.</w:t>
      </w:r>
      <w:r>
        <w:rPr>
          <w:rFonts w:ascii="Times New Roman" w:hAnsi="Times New Roman"/>
          <w:color w:val="000000"/>
        </w:rPr>
        <w:tab/>
      </w:r>
      <w:r>
        <w:rPr>
          <w:rFonts w:ascii="Times New Roman" w:hAnsi="Times New Roman"/>
          <w:color w:val="000000"/>
          <w:u w:val="single"/>
        </w:rPr>
        <w:t>Capital, Start-up, and Operating Costs</w:t>
      </w:r>
    </w:p>
    <w:p w:rsidR="009B4508" w:rsidRDefault="009B4508">
      <w:pPr>
        <w:widowControl/>
        <w:tabs>
          <w:tab w:val="left" w:pos="432"/>
          <w:tab w:val="left" w:pos="1296"/>
          <w:tab w:val="left" w:pos="1728"/>
          <w:tab w:val="left" w:pos="4176"/>
        </w:tabs>
        <w:rPr>
          <w:rFonts w:ascii="Times New Roman" w:hAnsi="Times New Roman"/>
          <w:color w:val="000000"/>
        </w:rPr>
      </w:pPr>
    </w:p>
    <w:p w:rsidR="009B4508" w:rsidRDefault="00055A75" w:rsidP="00055A75">
      <w:pPr>
        <w:widowControl/>
        <w:tabs>
          <w:tab w:val="left" w:pos="432"/>
          <w:tab w:val="left" w:pos="1296"/>
          <w:tab w:val="left" w:pos="1728"/>
          <w:tab w:val="left" w:pos="4176"/>
        </w:tabs>
        <w:rPr>
          <w:rFonts w:ascii="Times New Roman" w:hAnsi="Times New Roman"/>
          <w:color w:val="000000"/>
        </w:rPr>
      </w:pPr>
      <w:r>
        <w:rPr>
          <w:rFonts w:ascii="Times New Roman" w:hAnsi="Times New Roman"/>
          <w:color w:val="000000"/>
        </w:rPr>
        <w:t>Insured depository institutions</w:t>
      </w:r>
      <w:r w:rsidR="009B4508">
        <w:rPr>
          <w:rFonts w:ascii="Times New Roman" w:hAnsi="Times New Roman"/>
          <w:color w:val="000000"/>
        </w:rPr>
        <w:t xml:space="preserve"> </w:t>
      </w:r>
      <w:r w:rsidR="00604031">
        <w:rPr>
          <w:rFonts w:ascii="Times New Roman" w:hAnsi="Times New Roman"/>
          <w:color w:val="000000"/>
        </w:rPr>
        <w:t xml:space="preserve">that will </w:t>
      </w:r>
      <w:r w:rsidR="009B4508">
        <w:rPr>
          <w:rFonts w:ascii="Times New Roman" w:hAnsi="Times New Roman"/>
          <w:color w:val="000000"/>
        </w:rPr>
        <w:t>participat</w:t>
      </w:r>
      <w:r w:rsidR="00604031">
        <w:rPr>
          <w:rFonts w:ascii="Times New Roman" w:hAnsi="Times New Roman"/>
          <w:color w:val="000000"/>
        </w:rPr>
        <w:t>e</w:t>
      </w:r>
      <w:r w:rsidR="009B4508">
        <w:rPr>
          <w:rFonts w:ascii="Times New Roman" w:hAnsi="Times New Roman"/>
          <w:color w:val="000000"/>
        </w:rPr>
        <w:t xml:space="preserve"> in </w:t>
      </w:r>
      <w:r>
        <w:rPr>
          <w:rFonts w:ascii="Times New Roman" w:hAnsi="Times New Roman"/>
          <w:color w:val="000000"/>
        </w:rPr>
        <w:t xml:space="preserve">the Transaction Account Guarantee Program </w:t>
      </w:r>
      <w:r w:rsidR="009B4508">
        <w:rPr>
          <w:rFonts w:ascii="Times New Roman" w:hAnsi="Times New Roman"/>
        </w:rPr>
        <w:t xml:space="preserve">maintain extensive internal recordkeeping systems concerning noninterest-bearing transaction accounts which generate data for these entities’ managements’ use in internal management reporting, risk management, and analysis and in external financial and regulatory reporting and disclosure.  Participating </w:t>
      </w:r>
      <w:r w:rsidR="00182FC1">
        <w:rPr>
          <w:rFonts w:ascii="Times New Roman" w:hAnsi="Times New Roman"/>
        </w:rPr>
        <w:t>institutions</w:t>
      </w:r>
      <w:r w:rsidR="009B4508">
        <w:rPr>
          <w:rFonts w:ascii="Times New Roman" w:hAnsi="Times New Roman"/>
        </w:rPr>
        <w:t xml:space="preserve"> may need to modify certain elements of these internal recordkeeping s</w:t>
      </w:r>
      <w:r w:rsidR="00182FC1">
        <w:rPr>
          <w:rFonts w:ascii="Times New Roman" w:hAnsi="Times New Roman"/>
        </w:rPr>
        <w:t>ystems</w:t>
      </w:r>
      <w:r w:rsidR="009B4508">
        <w:rPr>
          <w:rFonts w:ascii="Times New Roman" w:hAnsi="Times New Roman"/>
        </w:rPr>
        <w:t xml:space="preserve"> to enable them to provide</w:t>
      </w:r>
      <w:r w:rsidR="00604031">
        <w:rPr>
          <w:rFonts w:ascii="Times New Roman" w:hAnsi="Times New Roman"/>
        </w:rPr>
        <w:t xml:space="preserve"> the</w:t>
      </w:r>
      <w:r w:rsidR="009B4508">
        <w:rPr>
          <w:rFonts w:ascii="Times New Roman" w:hAnsi="Times New Roman"/>
        </w:rPr>
        <w:t xml:space="preserve"> information to </w:t>
      </w:r>
      <w:r w:rsidR="00182FC1">
        <w:rPr>
          <w:rFonts w:ascii="Times New Roman" w:hAnsi="Times New Roman"/>
        </w:rPr>
        <w:t xml:space="preserve">be used by </w:t>
      </w:r>
      <w:r w:rsidR="009B4508">
        <w:rPr>
          <w:rFonts w:ascii="Times New Roman" w:hAnsi="Times New Roman"/>
        </w:rPr>
        <w:t xml:space="preserve">the FDIC concerning the </w:t>
      </w:r>
      <w:r w:rsidR="000D00BC">
        <w:rPr>
          <w:rFonts w:ascii="Times New Roman" w:hAnsi="Times New Roman"/>
        </w:rPr>
        <w:t xml:space="preserve">amount and </w:t>
      </w:r>
      <w:r w:rsidR="00182FC1">
        <w:rPr>
          <w:rFonts w:ascii="Times New Roman" w:hAnsi="Times New Roman"/>
        </w:rPr>
        <w:t xml:space="preserve">number </w:t>
      </w:r>
      <w:r w:rsidR="009B4508">
        <w:rPr>
          <w:rFonts w:ascii="Times New Roman" w:hAnsi="Times New Roman"/>
        </w:rPr>
        <w:t>of noninterest-bearing transaction accounts</w:t>
      </w:r>
      <w:r w:rsidR="00182FC1">
        <w:rPr>
          <w:rFonts w:ascii="Times New Roman" w:hAnsi="Times New Roman"/>
        </w:rPr>
        <w:t xml:space="preserve"> over $250,000</w:t>
      </w:r>
      <w:r w:rsidR="009B4508">
        <w:rPr>
          <w:rFonts w:ascii="Times New Roman" w:hAnsi="Times New Roman"/>
        </w:rPr>
        <w:t>.</w:t>
      </w:r>
      <w:r w:rsidR="00182FC1">
        <w:rPr>
          <w:rFonts w:ascii="Times New Roman" w:hAnsi="Times New Roman"/>
        </w:rPr>
        <w:t xml:space="preserve">  </w:t>
      </w:r>
      <w:r w:rsidR="009B4508">
        <w:rPr>
          <w:rFonts w:ascii="Times New Roman" w:hAnsi="Times New Roman"/>
        </w:rPr>
        <w:t>Although th</w:t>
      </w:r>
      <w:r w:rsidR="00182FC1">
        <w:rPr>
          <w:rFonts w:ascii="Times New Roman" w:hAnsi="Times New Roman"/>
        </w:rPr>
        <w:t xml:space="preserve">e reporting changes to support the </w:t>
      </w:r>
      <w:r w:rsidR="000D00BC">
        <w:rPr>
          <w:rFonts w:ascii="Times New Roman" w:hAnsi="Times New Roman"/>
        </w:rPr>
        <w:t>Transaction Account Guarantee</w:t>
      </w:r>
      <w:r w:rsidR="00182FC1">
        <w:rPr>
          <w:rFonts w:ascii="Times New Roman" w:hAnsi="Times New Roman"/>
        </w:rPr>
        <w:t xml:space="preserve"> Program</w:t>
      </w:r>
      <w:r w:rsidR="009B4508">
        <w:rPr>
          <w:rFonts w:ascii="Times New Roman" w:hAnsi="Times New Roman"/>
        </w:rPr>
        <w:t xml:space="preserve"> will result in start-up and operating costs, an estimate of such costs cannot be readily determined.</w:t>
      </w:r>
      <w:r w:rsidR="009B4508">
        <w:rPr>
          <w:rFonts w:ascii="Times New Roman" w:hAnsi="Times New Roman"/>
          <w:color w:val="000000"/>
        </w:rPr>
        <w:t xml:space="preserve"> </w:t>
      </w:r>
    </w:p>
    <w:p w:rsidR="009B4508" w:rsidRDefault="009B4508" w:rsidP="00CA1B42">
      <w:pPr>
        <w:widowControl/>
        <w:tabs>
          <w:tab w:val="left" w:pos="432"/>
          <w:tab w:val="left" w:pos="1296"/>
          <w:tab w:val="left" w:pos="1728"/>
          <w:tab w:val="left" w:pos="4176"/>
        </w:tabs>
        <w:rPr>
          <w:rFonts w:ascii="Times New Roman" w:hAnsi="Times New Roman"/>
          <w:color w:val="000000"/>
        </w:rPr>
      </w:pPr>
    </w:p>
    <w:p w:rsidR="009B4508" w:rsidRDefault="009B4508" w:rsidP="00CA1B42">
      <w:pPr>
        <w:widowControl/>
        <w:numPr>
          <w:ilvl w:val="0"/>
          <w:numId w:val="3"/>
        </w:numPr>
        <w:tabs>
          <w:tab w:val="left" w:pos="432"/>
          <w:tab w:val="left" w:pos="1728"/>
          <w:tab w:val="left" w:pos="4176"/>
        </w:tabs>
        <w:ind w:left="432" w:hanging="432"/>
        <w:rPr>
          <w:rFonts w:ascii="Times New Roman" w:hAnsi="Times New Roman"/>
          <w:color w:val="000000"/>
        </w:rPr>
      </w:pPr>
      <w:r>
        <w:rPr>
          <w:rFonts w:ascii="Times New Roman" w:hAnsi="Times New Roman"/>
          <w:color w:val="000000"/>
          <w:u w:val="single"/>
        </w:rPr>
        <w:t>Estimates of Annualized Cost to the Federal Govern</w:t>
      </w:r>
      <w:smartTag w:uri="urn:schemas-microsoft-com:office:smarttags" w:element="PersonName">
        <w:r>
          <w:rPr>
            <w:rFonts w:ascii="Times New Roman" w:hAnsi="Times New Roman"/>
            <w:color w:val="000000"/>
            <w:u w:val="single"/>
          </w:rPr>
          <w:t>me</w:t>
        </w:r>
      </w:smartTag>
      <w:r>
        <w:rPr>
          <w:rFonts w:ascii="Times New Roman" w:hAnsi="Times New Roman"/>
          <w:color w:val="000000"/>
          <w:u w:val="single"/>
        </w:rPr>
        <w:t>nt</w:t>
      </w:r>
    </w:p>
    <w:p w:rsidR="009B4508" w:rsidRDefault="009B4508" w:rsidP="00CA1B42">
      <w:pPr>
        <w:widowControl/>
        <w:tabs>
          <w:tab w:val="left" w:pos="432"/>
          <w:tab w:val="left" w:pos="1296"/>
          <w:tab w:val="left" w:pos="1728"/>
          <w:tab w:val="left" w:pos="4176"/>
        </w:tabs>
        <w:rPr>
          <w:rFonts w:ascii="Times New Roman" w:hAnsi="Times New Roman"/>
          <w:color w:val="000000"/>
        </w:rPr>
      </w:pPr>
    </w:p>
    <w:p w:rsidR="009B4508" w:rsidRDefault="009B4508" w:rsidP="00CA1B42">
      <w:pPr>
        <w:widowControl/>
        <w:tabs>
          <w:tab w:val="left" w:pos="432"/>
          <w:tab w:val="left" w:pos="1296"/>
          <w:tab w:val="left" w:pos="1728"/>
          <w:tab w:val="left" w:pos="4176"/>
        </w:tabs>
        <w:rPr>
          <w:rFonts w:ascii="Times New Roman" w:hAnsi="Times New Roman"/>
          <w:color w:val="000000"/>
        </w:rPr>
      </w:pPr>
      <w:r>
        <w:rPr>
          <w:rFonts w:ascii="Times New Roman" w:hAnsi="Times New Roman"/>
          <w:color w:val="000000"/>
        </w:rPr>
        <w:t xml:space="preserve">The cost to the </w:t>
      </w:r>
      <w:r w:rsidR="00C77207">
        <w:rPr>
          <w:rFonts w:ascii="Times New Roman" w:hAnsi="Times New Roman"/>
          <w:color w:val="000000"/>
        </w:rPr>
        <w:t>agencies</w:t>
      </w:r>
      <w:r>
        <w:rPr>
          <w:rFonts w:ascii="Times New Roman" w:hAnsi="Times New Roman"/>
          <w:color w:val="000000"/>
        </w:rPr>
        <w:t xml:space="preserve"> of th</w:t>
      </w:r>
      <w:r w:rsidR="00CA1B42">
        <w:rPr>
          <w:rFonts w:ascii="Times New Roman" w:hAnsi="Times New Roman"/>
          <w:color w:val="000000"/>
        </w:rPr>
        <w:t xml:space="preserve">e reporting changes that are the subject of this submission </w:t>
      </w:r>
      <w:r>
        <w:rPr>
          <w:rFonts w:ascii="Times New Roman" w:hAnsi="Times New Roman"/>
          <w:color w:val="000000"/>
        </w:rPr>
        <w:t>includes the cost of:</w:t>
      </w:r>
    </w:p>
    <w:p w:rsidR="009B4508" w:rsidRDefault="009B4508" w:rsidP="00CA1B42">
      <w:pPr>
        <w:widowControl/>
        <w:tabs>
          <w:tab w:val="left" w:pos="432"/>
          <w:tab w:val="left" w:pos="1296"/>
          <w:tab w:val="left" w:pos="1728"/>
          <w:tab w:val="left" w:pos="4176"/>
        </w:tabs>
        <w:rPr>
          <w:rFonts w:ascii="Times New Roman" w:hAnsi="Times New Roman"/>
          <w:color w:val="000000"/>
        </w:rPr>
      </w:pPr>
    </w:p>
    <w:p w:rsidR="009B4508" w:rsidRDefault="009B4508" w:rsidP="00CA1B42">
      <w:pPr>
        <w:widowControl/>
        <w:numPr>
          <w:ilvl w:val="0"/>
          <w:numId w:val="13"/>
        </w:numPr>
        <w:tabs>
          <w:tab w:val="left" w:pos="432"/>
          <w:tab w:val="left" w:pos="1296"/>
          <w:tab w:val="left" w:pos="1728"/>
          <w:tab w:val="left" w:pos="4176"/>
        </w:tabs>
        <w:rPr>
          <w:rFonts w:ascii="Times New Roman" w:hAnsi="Times New Roman"/>
          <w:color w:val="000000"/>
        </w:rPr>
      </w:pPr>
      <w:r>
        <w:rPr>
          <w:rFonts w:ascii="Times New Roman" w:hAnsi="Times New Roman"/>
          <w:color w:val="000000"/>
        </w:rPr>
        <w:t xml:space="preserve">developing reporting requirements, instructions, and data validation edits; </w:t>
      </w:r>
    </w:p>
    <w:p w:rsidR="009B4508" w:rsidRDefault="009B4508" w:rsidP="00CA1B42">
      <w:pPr>
        <w:widowControl/>
        <w:numPr>
          <w:ilvl w:val="0"/>
          <w:numId w:val="13"/>
        </w:numPr>
        <w:tabs>
          <w:tab w:val="left" w:pos="432"/>
          <w:tab w:val="left" w:pos="1296"/>
          <w:tab w:val="left" w:pos="1728"/>
          <w:tab w:val="left" w:pos="4176"/>
        </w:tabs>
        <w:rPr>
          <w:rFonts w:ascii="Times New Roman" w:hAnsi="Times New Roman"/>
          <w:color w:val="000000"/>
        </w:rPr>
      </w:pPr>
      <w:r>
        <w:rPr>
          <w:rFonts w:ascii="Times New Roman" w:hAnsi="Times New Roman"/>
          <w:color w:val="000000"/>
        </w:rPr>
        <w:t>computer processing</w:t>
      </w:r>
      <w:r w:rsidR="00604031">
        <w:rPr>
          <w:rFonts w:ascii="Times New Roman" w:hAnsi="Times New Roman"/>
          <w:color w:val="000000"/>
        </w:rPr>
        <w:t xml:space="preserve"> (</w:t>
      </w:r>
      <w:r>
        <w:rPr>
          <w:rFonts w:ascii="Times New Roman" w:hAnsi="Times New Roman"/>
          <w:color w:val="000000"/>
        </w:rPr>
        <w:t xml:space="preserve">including developing, maintaining, </w:t>
      </w:r>
      <w:r w:rsidR="00604031">
        <w:rPr>
          <w:rFonts w:ascii="Times New Roman" w:hAnsi="Times New Roman"/>
          <w:color w:val="000000"/>
        </w:rPr>
        <w:t>and modifying software programs)</w:t>
      </w:r>
      <w:r>
        <w:rPr>
          <w:rFonts w:ascii="Times New Roman" w:hAnsi="Times New Roman"/>
          <w:color w:val="000000"/>
        </w:rPr>
        <w:t xml:space="preserve"> associated with the </w:t>
      </w:r>
      <w:r w:rsidR="00C77207">
        <w:rPr>
          <w:rFonts w:ascii="Times New Roman" w:hAnsi="Times New Roman"/>
          <w:color w:val="000000"/>
        </w:rPr>
        <w:t xml:space="preserve">agencies’ </w:t>
      </w:r>
      <w:r>
        <w:rPr>
          <w:rFonts w:ascii="Times New Roman" w:hAnsi="Times New Roman"/>
          <w:color w:val="000000"/>
        </w:rPr>
        <w:t>system</w:t>
      </w:r>
      <w:r w:rsidR="00C77207">
        <w:rPr>
          <w:rFonts w:ascii="Times New Roman" w:hAnsi="Times New Roman"/>
          <w:color w:val="000000"/>
        </w:rPr>
        <w:t>s</w:t>
      </w:r>
      <w:r>
        <w:rPr>
          <w:rFonts w:ascii="Times New Roman" w:hAnsi="Times New Roman"/>
          <w:color w:val="000000"/>
        </w:rPr>
        <w:t xml:space="preserve"> for collecting and validating </w:t>
      </w:r>
      <w:r w:rsidR="00C77207">
        <w:rPr>
          <w:rFonts w:ascii="Times New Roman" w:hAnsi="Times New Roman"/>
          <w:color w:val="000000"/>
        </w:rPr>
        <w:t xml:space="preserve">Call Reports, TFRs, and FFIEC 002 reports and the </w:t>
      </w:r>
      <w:r w:rsidR="00605904">
        <w:rPr>
          <w:rFonts w:ascii="Times New Roman" w:hAnsi="Times New Roman"/>
          <w:color w:val="000000"/>
        </w:rPr>
        <w:t>OTS</w:t>
      </w:r>
      <w:r w:rsidR="00C77207">
        <w:rPr>
          <w:rFonts w:ascii="Times New Roman" w:hAnsi="Times New Roman"/>
          <w:color w:val="000000"/>
        </w:rPr>
        <w:t xml:space="preserve"> systems for calculating and collecting assessments</w:t>
      </w:r>
      <w:r>
        <w:rPr>
          <w:rFonts w:ascii="Times New Roman" w:hAnsi="Times New Roman"/>
          <w:color w:val="000000"/>
        </w:rPr>
        <w:t>; and</w:t>
      </w:r>
    </w:p>
    <w:p w:rsidR="009B4508" w:rsidRDefault="00C77207" w:rsidP="00CA1B42">
      <w:pPr>
        <w:widowControl/>
        <w:numPr>
          <w:ilvl w:val="0"/>
          <w:numId w:val="13"/>
        </w:numPr>
        <w:tabs>
          <w:tab w:val="left" w:pos="432"/>
          <w:tab w:val="left" w:pos="1296"/>
          <w:tab w:val="left" w:pos="1728"/>
          <w:tab w:val="left" w:pos="4176"/>
        </w:tabs>
        <w:rPr>
          <w:rFonts w:ascii="Times New Roman" w:hAnsi="Times New Roman"/>
          <w:color w:val="000000"/>
        </w:rPr>
      </w:pPr>
      <w:r>
        <w:rPr>
          <w:rFonts w:ascii="Times New Roman" w:hAnsi="Times New Roman"/>
          <w:color w:val="000000"/>
        </w:rPr>
        <w:t xml:space="preserve">the agencies’ </w:t>
      </w:r>
      <w:r w:rsidR="009B4508">
        <w:rPr>
          <w:rFonts w:ascii="Times New Roman" w:hAnsi="Times New Roman"/>
          <w:color w:val="000000"/>
        </w:rPr>
        <w:t xml:space="preserve">personnel involved in the preceding tasks and in the review and validation of reported </w:t>
      </w:r>
      <w:r>
        <w:rPr>
          <w:rFonts w:ascii="Times New Roman" w:hAnsi="Times New Roman"/>
          <w:color w:val="000000"/>
        </w:rPr>
        <w:t xml:space="preserve">and calculated </w:t>
      </w:r>
      <w:r w:rsidR="009B4508">
        <w:rPr>
          <w:rFonts w:ascii="Times New Roman" w:hAnsi="Times New Roman"/>
          <w:color w:val="000000"/>
        </w:rPr>
        <w:t xml:space="preserve">data.  </w:t>
      </w:r>
    </w:p>
    <w:p w:rsidR="009B4508" w:rsidRDefault="009B4508" w:rsidP="00C77207">
      <w:pPr>
        <w:widowControl/>
        <w:tabs>
          <w:tab w:val="left" w:pos="432"/>
          <w:tab w:val="left" w:pos="1296"/>
          <w:tab w:val="left" w:pos="1728"/>
          <w:tab w:val="left" w:pos="4176"/>
        </w:tabs>
        <w:rPr>
          <w:rFonts w:ascii="Times New Roman" w:hAnsi="Times New Roman"/>
          <w:color w:val="000000"/>
        </w:rPr>
      </w:pPr>
    </w:p>
    <w:p w:rsidR="009B4508" w:rsidRDefault="009B4508" w:rsidP="00C77207">
      <w:pPr>
        <w:widowControl/>
        <w:tabs>
          <w:tab w:val="left" w:pos="432"/>
          <w:tab w:val="left" w:pos="1296"/>
          <w:tab w:val="left" w:pos="1728"/>
          <w:tab w:val="left" w:pos="4176"/>
        </w:tabs>
        <w:rPr>
          <w:rFonts w:ascii="Times New Roman" w:hAnsi="Times New Roman"/>
          <w:color w:val="000000"/>
        </w:rPr>
      </w:pPr>
      <w:r>
        <w:rPr>
          <w:rFonts w:ascii="Times New Roman" w:hAnsi="Times New Roman"/>
          <w:color w:val="000000"/>
        </w:rPr>
        <w:t xml:space="preserve">The incremental costs associated with the implementation of </w:t>
      </w:r>
      <w:r w:rsidR="00C77207">
        <w:rPr>
          <w:rFonts w:ascii="Times New Roman" w:hAnsi="Times New Roman"/>
          <w:color w:val="000000"/>
        </w:rPr>
        <w:t xml:space="preserve">the revisions to the currently approved collections of </w:t>
      </w:r>
      <w:r>
        <w:rPr>
          <w:rFonts w:ascii="Times New Roman" w:hAnsi="Times New Roman"/>
          <w:color w:val="000000"/>
        </w:rPr>
        <w:t xml:space="preserve">information </w:t>
      </w:r>
      <w:r w:rsidR="00C77207">
        <w:rPr>
          <w:rFonts w:ascii="Times New Roman" w:hAnsi="Times New Roman"/>
          <w:color w:val="000000"/>
        </w:rPr>
        <w:t xml:space="preserve">that are the subject of this submission </w:t>
      </w:r>
      <w:r>
        <w:rPr>
          <w:rFonts w:ascii="Times New Roman" w:hAnsi="Times New Roman"/>
          <w:color w:val="000000"/>
        </w:rPr>
        <w:t xml:space="preserve">are encompassed within the </w:t>
      </w:r>
      <w:r w:rsidR="00C77207">
        <w:rPr>
          <w:rFonts w:ascii="Times New Roman" w:hAnsi="Times New Roman"/>
          <w:color w:val="000000"/>
        </w:rPr>
        <w:t>agencies’</w:t>
      </w:r>
      <w:r>
        <w:rPr>
          <w:rFonts w:ascii="Times New Roman" w:hAnsi="Times New Roman"/>
          <w:color w:val="000000"/>
        </w:rPr>
        <w:t xml:space="preserve"> personnel and data processing budgets and are not separately identifiable.</w:t>
      </w:r>
    </w:p>
    <w:p w:rsidR="009B4508" w:rsidRDefault="009B4508">
      <w:pPr>
        <w:widowControl/>
        <w:tabs>
          <w:tab w:val="left" w:pos="432"/>
          <w:tab w:val="left" w:pos="1296"/>
          <w:tab w:val="left" w:pos="1728"/>
          <w:tab w:val="left" w:pos="4176"/>
        </w:tabs>
        <w:ind w:left="1290"/>
        <w:rPr>
          <w:rFonts w:ascii="Times New Roman" w:hAnsi="Times New Roman"/>
          <w:color w:val="000000"/>
        </w:rPr>
      </w:pPr>
    </w:p>
    <w:p w:rsidR="009B4508" w:rsidRDefault="009B4508" w:rsidP="00C77207">
      <w:pPr>
        <w:widowControl/>
        <w:tabs>
          <w:tab w:val="left" w:pos="432"/>
          <w:tab w:val="left" w:pos="1296"/>
          <w:tab w:val="left" w:pos="1728"/>
          <w:tab w:val="left" w:pos="4176"/>
        </w:tabs>
        <w:ind w:left="432" w:hanging="432"/>
        <w:rPr>
          <w:rFonts w:ascii="Times New Roman" w:hAnsi="Times New Roman"/>
          <w:color w:val="000000"/>
        </w:rPr>
      </w:pPr>
      <w:r>
        <w:rPr>
          <w:rFonts w:ascii="Times New Roman" w:hAnsi="Times New Roman"/>
          <w:color w:val="000000"/>
        </w:rPr>
        <w:t>15.</w:t>
      </w:r>
      <w:r>
        <w:rPr>
          <w:rFonts w:ascii="Times New Roman" w:hAnsi="Times New Roman"/>
          <w:color w:val="000000"/>
        </w:rPr>
        <w:tab/>
      </w:r>
      <w:r>
        <w:rPr>
          <w:rFonts w:ascii="Times New Roman" w:hAnsi="Times New Roman"/>
          <w:color w:val="000000"/>
          <w:u w:val="single"/>
        </w:rPr>
        <w:t>Reason for Change in Burden</w:t>
      </w:r>
    </w:p>
    <w:p w:rsidR="009B4508" w:rsidRDefault="009B4508" w:rsidP="00C77207">
      <w:pPr>
        <w:widowControl/>
        <w:tabs>
          <w:tab w:val="left" w:pos="432"/>
          <w:tab w:val="left" w:pos="1296"/>
          <w:tab w:val="left" w:pos="1728"/>
          <w:tab w:val="left" w:pos="4176"/>
        </w:tabs>
        <w:rPr>
          <w:rFonts w:ascii="Times New Roman" w:hAnsi="Times New Roman"/>
          <w:color w:val="000000"/>
        </w:rPr>
      </w:pPr>
    </w:p>
    <w:p w:rsidR="00D3589C" w:rsidRDefault="00D3589C" w:rsidP="00C77207">
      <w:pPr>
        <w:widowControl/>
        <w:tabs>
          <w:tab w:val="left" w:pos="432"/>
          <w:tab w:val="left" w:pos="1296"/>
          <w:tab w:val="left" w:pos="1728"/>
          <w:tab w:val="left" w:pos="4176"/>
        </w:tabs>
        <w:ind w:left="432" w:hanging="432"/>
        <w:rPr>
          <w:rFonts w:ascii="Times New Roman" w:hAnsi="Times New Roman"/>
          <w:color w:val="000000"/>
        </w:rPr>
      </w:pPr>
      <w:r>
        <w:rPr>
          <w:rFonts w:ascii="Times New Roman" w:hAnsi="Times New Roman"/>
          <w:color w:val="000000"/>
        </w:rPr>
        <w:t>OTS is not citing an inventory burden change.</w:t>
      </w:r>
    </w:p>
    <w:p w:rsidR="00D3589C" w:rsidRDefault="00D3589C" w:rsidP="00C77207">
      <w:pPr>
        <w:widowControl/>
        <w:tabs>
          <w:tab w:val="left" w:pos="432"/>
          <w:tab w:val="left" w:pos="1296"/>
          <w:tab w:val="left" w:pos="1728"/>
          <w:tab w:val="left" w:pos="4176"/>
        </w:tabs>
        <w:ind w:left="432" w:hanging="432"/>
        <w:rPr>
          <w:rFonts w:ascii="Times New Roman" w:hAnsi="Times New Roman"/>
          <w:color w:val="000000"/>
        </w:rPr>
      </w:pPr>
    </w:p>
    <w:p w:rsidR="009B4508" w:rsidRDefault="009B4508" w:rsidP="00C77207">
      <w:pPr>
        <w:widowControl/>
        <w:tabs>
          <w:tab w:val="left" w:pos="432"/>
          <w:tab w:val="left" w:pos="1296"/>
          <w:tab w:val="left" w:pos="1728"/>
          <w:tab w:val="left" w:pos="4176"/>
        </w:tabs>
        <w:ind w:left="432" w:hanging="432"/>
        <w:rPr>
          <w:rFonts w:ascii="Times New Roman" w:hAnsi="Times New Roman"/>
          <w:color w:val="000000"/>
        </w:rPr>
      </w:pPr>
      <w:r>
        <w:rPr>
          <w:rFonts w:ascii="Times New Roman" w:hAnsi="Times New Roman"/>
          <w:color w:val="000000"/>
        </w:rPr>
        <w:t>16.</w:t>
      </w:r>
      <w:r>
        <w:rPr>
          <w:rFonts w:ascii="Times New Roman" w:hAnsi="Times New Roman"/>
          <w:color w:val="000000"/>
        </w:rPr>
        <w:tab/>
      </w:r>
      <w:r>
        <w:rPr>
          <w:rFonts w:ascii="Times New Roman" w:hAnsi="Times New Roman"/>
          <w:color w:val="000000"/>
          <w:u w:val="single"/>
        </w:rPr>
        <w:t>Publication</w:t>
      </w:r>
    </w:p>
    <w:p w:rsidR="009B4508" w:rsidRDefault="009B4508" w:rsidP="00C77207">
      <w:pPr>
        <w:widowControl/>
        <w:tabs>
          <w:tab w:val="left" w:pos="432"/>
          <w:tab w:val="left" w:pos="1296"/>
          <w:tab w:val="left" w:pos="1728"/>
          <w:tab w:val="left" w:pos="4176"/>
        </w:tabs>
        <w:rPr>
          <w:rFonts w:ascii="Times New Roman" w:hAnsi="Times New Roman"/>
          <w:color w:val="000000"/>
        </w:rPr>
      </w:pPr>
    </w:p>
    <w:p w:rsidR="009B4508" w:rsidRDefault="00F876AD" w:rsidP="00C77207">
      <w:pPr>
        <w:widowControl/>
        <w:tabs>
          <w:tab w:val="left" w:pos="432"/>
          <w:tab w:val="left" w:pos="1296"/>
          <w:tab w:val="left" w:pos="1728"/>
          <w:tab w:val="left" w:pos="4176"/>
        </w:tabs>
        <w:rPr>
          <w:rFonts w:ascii="Times New Roman" w:hAnsi="Times New Roman"/>
          <w:color w:val="000000"/>
        </w:rPr>
      </w:pPr>
      <w:r>
        <w:rPr>
          <w:rFonts w:ascii="Times New Roman" w:hAnsi="Times New Roman"/>
          <w:color w:val="000000"/>
        </w:rPr>
        <w:t>OTS</w:t>
      </w:r>
      <w:r w:rsidR="009B4508">
        <w:rPr>
          <w:rFonts w:ascii="Times New Roman" w:hAnsi="Times New Roman"/>
          <w:color w:val="000000"/>
        </w:rPr>
        <w:t xml:space="preserve"> will make </w:t>
      </w:r>
      <w:r w:rsidR="00C77207">
        <w:rPr>
          <w:rFonts w:ascii="Times New Roman" w:hAnsi="Times New Roman"/>
          <w:color w:val="000000"/>
        </w:rPr>
        <w:t xml:space="preserve">the data </w:t>
      </w:r>
      <w:r>
        <w:rPr>
          <w:rFonts w:ascii="Times New Roman" w:hAnsi="Times New Roman"/>
          <w:color w:val="000000"/>
        </w:rPr>
        <w:t xml:space="preserve">revisions effective with the March 2011 reporting cycle </w:t>
      </w:r>
      <w:r w:rsidR="003359D1">
        <w:rPr>
          <w:rFonts w:ascii="Times New Roman" w:hAnsi="Times New Roman"/>
          <w:color w:val="000000"/>
        </w:rPr>
        <w:t xml:space="preserve">publicly available as part of the data collected in </w:t>
      </w:r>
      <w:r>
        <w:rPr>
          <w:rFonts w:ascii="Times New Roman" w:hAnsi="Times New Roman"/>
          <w:color w:val="000000"/>
        </w:rPr>
        <w:t xml:space="preserve">the </w:t>
      </w:r>
      <w:r w:rsidR="003359D1">
        <w:rPr>
          <w:rFonts w:ascii="Times New Roman" w:hAnsi="Times New Roman"/>
          <w:color w:val="000000"/>
        </w:rPr>
        <w:t>TFR</w:t>
      </w:r>
      <w:r>
        <w:rPr>
          <w:rFonts w:ascii="Times New Roman" w:hAnsi="Times New Roman"/>
          <w:color w:val="000000"/>
        </w:rPr>
        <w:t xml:space="preserve"> that is currently publicly </w:t>
      </w:r>
      <w:r w:rsidR="009E293D">
        <w:rPr>
          <w:rFonts w:ascii="Times New Roman" w:hAnsi="Times New Roman"/>
          <w:color w:val="000000"/>
        </w:rPr>
        <w:t>available</w:t>
      </w:r>
      <w:r w:rsidR="003359D1">
        <w:rPr>
          <w:rFonts w:ascii="Times New Roman" w:hAnsi="Times New Roman"/>
          <w:color w:val="000000"/>
        </w:rPr>
        <w:t>.</w:t>
      </w:r>
      <w:r w:rsidR="00C77207">
        <w:rPr>
          <w:rFonts w:ascii="Times New Roman" w:hAnsi="Times New Roman"/>
          <w:color w:val="000000"/>
        </w:rPr>
        <w:t xml:space="preserve">  </w:t>
      </w:r>
    </w:p>
    <w:p w:rsidR="009B4508" w:rsidRDefault="009B4508" w:rsidP="00C77207">
      <w:pPr>
        <w:widowControl/>
        <w:tabs>
          <w:tab w:val="left" w:pos="432"/>
          <w:tab w:val="left" w:pos="1296"/>
          <w:tab w:val="left" w:pos="1728"/>
          <w:tab w:val="left" w:pos="4176"/>
        </w:tabs>
        <w:rPr>
          <w:rFonts w:ascii="Times New Roman" w:hAnsi="Times New Roman"/>
          <w:color w:val="000000"/>
        </w:rPr>
      </w:pPr>
    </w:p>
    <w:p w:rsidR="009B4508" w:rsidRDefault="009B4508" w:rsidP="003359D1">
      <w:pPr>
        <w:widowControl/>
        <w:tabs>
          <w:tab w:val="left" w:pos="432"/>
          <w:tab w:val="left" w:pos="1296"/>
          <w:tab w:val="left" w:pos="1728"/>
          <w:tab w:val="left" w:pos="4176"/>
        </w:tabs>
        <w:ind w:left="432" w:hanging="432"/>
        <w:rPr>
          <w:rFonts w:ascii="Times New Roman" w:hAnsi="Times New Roman"/>
          <w:color w:val="000000"/>
        </w:rPr>
      </w:pPr>
      <w:r>
        <w:rPr>
          <w:rFonts w:ascii="Times New Roman" w:hAnsi="Times New Roman"/>
          <w:color w:val="000000"/>
        </w:rPr>
        <w:t>17.</w:t>
      </w:r>
      <w:r>
        <w:rPr>
          <w:rFonts w:ascii="Times New Roman" w:hAnsi="Times New Roman"/>
          <w:color w:val="000000"/>
        </w:rPr>
        <w:tab/>
      </w:r>
      <w:r>
        <w:rPr>
          <w:rFonts w:ascii="Times New Roman" w:hAnsi="Times New Roman"/>
          <w:color w:val="000000"/>
          <w:u w:val="single"/>
        </w:rPr>
        <w:t>Exceptions to Expiration Date Display</w:t>
      </w:r>
    </w:p>
    <w:p w:rsidR="009B4508" w:rsidRDefault="009B4508" w:rsidP="003359D1">
      <w:pPr>
        <w:widowControl/>
        <w:tabs>
          <w:tab w:val="left" w:pos="432"/>
          <w:tab w:val="left" w:pos="1296"/>
          <w:tab w:val="left" w:pos="1728"/>
          <w:tab w:val="left" w:pos="4176"/>
        </w:tabs>
        <w:rPr>
          <w:rFonts w:ascii="Times New Roman" w:hAnsi="Times New Roman"/>
          <w:color w:val="000000"/>
        </w:rPr>
      </w:pPr>
    </w:p>
    <w:p w:rsidR="009B4508" w:rsidRDefault="009B4508" w:rsidP="003359D1">
      <w:pPr>
        <w:keepNext/>
        <w:widowControl/>
        <w:tabs>
          <w:tab w:val="left" w:pos="432"/>
          <w:tab w:val="left" w:pos="1296"/>
          <w:tab w:val="left" w:pos="1728"/>
          <w:tab w:val="left" w:pos="4176"/>
        </w:tabs>
        <w:rPr>
          <w:rFonts w:ascii="Times New Roman" w:hAnsi="Times New Roman"/>
          <w:color w:val="000000"/>
        </w:rPr>
      </w:pPr>
      <w:r>
        <w:rPr>
          <w:rFonts w:ascii="Times New Roman" w:hAnsi="Times New Roman"/>
          <w:color w:val="000000"/>
        </w:rPr>
        <w:lastRenderedPageBreak/>
        <w:t>None.</w:t>
      </w:r>
    </w:p>
    <w:p w:rsidR="009B4508" w:rsidRDefault="009B4508" w:rsidP="003359D1">
      <w:pPr>
        <w:keepNext/>
        <w:widowControl/>
        <w:tabs>
          <w:tab w:val="left" w:pos="432"/>
          <w:tab w:val="left" w:pos="1296"/>
          <w:tab w:val="left" w:pos="1728"/>
          <w:tab w:val="left" w:pos="4176"/>
        </w:tabs>
        <w:rPr>
          <w:rFonts w:ascii="Times New Roman" w:hAnsi="Times New Roman"/>
          <w:color w:val="000000"/>
        </w:rPr>
      </w:pPr>
    </w:p>
    <w:p w:rsidR="009B4508" w:rsidRDefault="009B4508" w:rsidP="003359D1">
      <w:pPr>
        <w:keepNext/>
        <w:widowControl/>
        <w:numPr>
          <w:ilvl w:val="0"/>
          <w:numId w:val="4"/>
        </w:numPr>
        <w:tabs>
          <w:tab w:val="left" w:pos="432"/>
          <w:tab w:val="left" w:pos="1728"/>
          <w:tab w:val="left" w:pos="4176"/>
        </w:tabs>
        <w:ind w:left="432" w:hanging="432"/>
        <w:rPr>
          <w:rFonts w:ascii="Times New Roman" w:hAnsi="Times New Roman"/>
          <w:color w:val="000000"/>
        </w:rPr>
      </w:pPr>
      <w:r>
        <w:rPr>
          <w:rFonts w:ascii="Times New Roman" w:hAnsi="Times New Roman"/>
          <w:color w:val="000000"/>
          <w:u w:val="single"/>
        </w:rPr>
        <w:t>Exceptions to Certification</w:t>
      </w:r>
    </w:p>
    <w:p w:rsidR="009B4508" w:rsidRDefault="009B4508" w:rsidP="003359D1">
      <w:pPr>
        <w:keepNext/>
        <w:widowControl/>
        <w:tabs>
          <w:tab w:val="left" w:pos="432"/>
          <w:tab w:val="left" w:pos="1296"/>
          <w:tab w:val="left" w:pos="1728"/>
          <w:tab w:val="left" w:pos="4176"/>
        </w:tabs>
        <w:rPr>
          <w:rFonts w:ascii="Times New Roman" w:hAnsi="Times New Roman"/>
          <w:color w:val="000000"/>
        </w:rPr>
      </w:pPr>
    </w:p>
    <w:p w:rsidR="009B4508" w:rsidRDefault="009B4508" w:rsidP="003359D1">
      <w:pPr>
        <w:keepNext/>
        <w:widowControl/>
        <w:tabs>
          <w:tab w:val="left" w:pos="432"/>
          <w:tab w:val="left" w:pos="1296"/>
          <w:tab w:val="left" w:pos="1728"/>
          <w:tab w:val="left" w:pos="4176"/>
        </w:tabs>
        <w:rPr>
          <w:rFonts w:ascii="Times New Roman" w:hAnsi="Times New Roman"/>
          <w:color w:val="000000"/>
        </w:rPr>
      </w:pPr>
      <w:r>
        <w:rPr>
          <w:rFonts w:ascii="Times New Roman" w:hAnsi="Times New Roman"/>
          <w:color w:val="000000"/>
        </w:rPr>
        <w:t>None.</w:t>
      </w:r>
    </w:p>
    <w:p w:rsidR="003359D1" w:rsidRDefault="003359D1" w:rsidP="003359D1">
      <w:pPr>
        <w:keepNext/>
        <w:widowControl/>
        <w:tabs>
          <w:tab w:val="left" w:pos="432"/>
          <w:tab w:val="left" w:pos="1296"/>
          <w:tab w:val="left" w:pos="1728"/>
          <w:tab w:val="left" w:pos="4176"/>
        </w:tabs>
        <w:rPr>
          <w:rFonts w:ascii="Times New Roman" w:hAnsi="Times New Roman"/>
          <w:color w:val="000000"/>
        </w:rPr>
      </w:pPr>
    </w:p>
    <w:p w:rsidR="003359D1" w:rsidRDefault="003359D1" w:rsidP="003359D1">
      <w:pPr>
        <w:keepNext/>
        <w:widowControl/>
        <w:tabs>
          <w:tab w:val="left" w:pos="432"/>
          <w:tab w:val="left" w:pos="1296"/>
          <w:tab w:val="left" w:pos="1728"/>
          <w:tab w:val="left" w:pos="4176"/>
        </w:tabs>
        <w:rPr>
          <w:rFonts w:ascii="Times New Roman" w:hAnsi="Times New Roman"/>
          <w:color w:val="000000"/>
        </w:rPr>
      </w:pPr>
    </w:p>
    <w:p w:rsidR="003359D1" w:rsidRDefault="003359D1" w:rsidP="003359D1">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 xml:space="preserve">B.  </w:t>
      </w:r>
      <w:r>
        <w:rPr>
          <w:rFonts w:ascii="Times New Roman" w:hAnsi="Times New Roman"/>
          <w:u w:val="single"/>
        </w:rPr>
        <w:t>COLLECTION OF INFORMATION EMPLOYING STATISTICAL METHODS</w:t>
      </w:r>
    </w:p>
    <w:p w:rsidR="003359D1" w:rsidRDefault="003359D1" w:rsidP="003359D1">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359D1" w:rsidRDefault="003359D1" w:rsidP="003359D1">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Not applicable.</w:t>
      </w:r>
    </w:p>
    <w:p w:rsidR="003359D1" w:rsidRDefault="003359D1" w:rsidP="003359D1">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359D1" w:rsidRDefault="003359D1" w:rsidP="003359D1">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359D1" w:rsidRDefault="003359D1" w:rsidP="003359D1">
      <w:pPr>
        <w:keepNext/>
        <w:widowControl/>
        <w:tabs>
          <w:tab w:val="left" w:pos="432"/>
          <w:tab w:val="left" w:pos="1296"/>
          <w:tab w:val="left" w:pos="1728"/>
          <w:tab w:val="left" w:pos="4176"/>
        </w:tabs>
        <w:rPr>
          <w:rFonts w:ascii="Times New Roman" w:hAnsi="Times New Roman"/>
          <w:color w:val="000000"/>
          <w:szCs w:val="24"/>
        </w:rPr>
      </w:pPr>
    </w:p>
    <w:sectPr w:rsidR="003359D1" w:rsidSect="003C27EE">
      <w:footerReference w:type="even" r:id="rId8"/>
      <w:footerReference w:type="default" r:id="rId9"/>
      <w:endnotePr>
        <w:numFmt w:val="decimal"/>
      </w:endnotePr>
      <w:pgSz w:w="12240" w:h="15840"/>
      <w:pgMar w:top="1440" w:right="1440" w:bottom="144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93D" w:rsidRDefault="009E293D">
      <w:r>
        <w:separator/>
      </w:r>
    </w:p>
  </w:endnote>
  <w:endnote w:type="continuationSeparator" w:id="0">
    <w:p w:rsidR="009E293D" w:rsidRDefault="009E29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lfredo's Danc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93D" w:rsidRDefault="00CD0BE6">
    <w:pPr>
      <w:pStyle w:val="Footer"/>
      <w:framePr w:wrap="around" w:vAnchor="text" w:hAnchor="margin" w:xAlign="center" w:y="1"/>
      <w:rPr>
        <w:rStyle w:val="PageNumber"/>
      </w:rPr>
    </w:pPr>
    <w:r>
      <w:rPr>
        <w:rStyle w:val="PageNumber"/>
      </w:rPr>
      <w:fldChar w:fldCharType="begin"/>
    </w:r>
    <w:r w:rsidR="009E293D">
      <w:rPr>
        <w:rStyle w:val="PageNumber"/>
      </w:rPr>
      <w:instrText xml:space="preserve">PAGE  </w:instrText>
    </w:r>
    <w:r>
      <w:rPr>
        <w:rStyle w:val="PageNumber"/>
      </w:rPr>
      <w:fldChar w:fldCharType="separate"/>
    </w:r>
    <w:r w:rsidR="009E293D">
      <w:rPr>
        <w:rStyle w:val="PageNumber"/>
        <w:noProof/>
      </w:rPr>
      <w:t>5</w:t>
    </w:r>
    <w:r>
      <w:rPr>
        <w:rStyle w:val="PageNumber"/>
      </w:rPr>
      <w:fldChar w:fldCharType="end"/>
    </w:r>
  </w:p>
  <w:p w:rsidR="009E293D" w:rsidRDefault="009E29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93D" w:rsidRPr="008765ED" w:rsidRDefault="00CD0BE6">
    <w:pPr>
      <w:pStyle w:val="Footer"/>
      <w:framePr w:wrap="around" w:vAnchor="text" w:hAnchor="margin" w:xAlign="center" w:y="1"/>
      <w:rPr>
        <w:rStyle w:val="PageNumber"/>
        <w:rFonts w:ascii="Times New Roman" w:hAnsi="Times New Roman"/>
      </w:rPr>
    </w:pPr>
    <w:r w:rsidRPr="008765ED">
      <w:rPr>
        <w:rStyle w:val="PageNumber"/>
        <w:rFonts w:ascii="Times New Roman" w:hAnsi="Times New Roman"/>
      </w:rPr>
      <w:fldChar w:fldCharType="begin"/>
    </w:r>
    <w:r w:rsidR="009E293D" w:rsidRPr="008765ED">
      <w:rPr>
        <w:rStyle w:val="PageNumber"/>
        <w:rFonts w:ascii="Times New Roman" w:hAnsi="Times New Roman"/>
      </w:rPr>
      <w:instrText xml:space="preserve">PAGE  </w:instrText>
    </w:r>
    <w:r w:rsidRPr="008765ED">
      <w:rPr>
        <w:rStyle w:val="PageNumber"/>
        <w:rFonts w:ascii="Times New Roman" w:hAnsi="Times New Roman"/>
      </w:rPr>
      <w:fldChar w:fldCharType="separate"/>
    </w:r>
    <w:r w:rsidR="00D3589C">
      <w:rPr>
        <w:rStyle w:val="PageNumber"/>
        <w:rFonts w:ascii="Times New Roman" w:hAnsi="Times New Roman"/>
        <w:noProof/>
      </w:rPr>
      <w:t>6</w:t>
    </w:r>
    <w:r w:rsidRPr="008765ED">
      <w:rPr>
        <w:rStyle w:val="PageNumber"/>
        <w:rFonts w:ascii="Times New Roman" w:hAnsi="Times New Roman"/>
      </w:rPr>
      <w:fldChar w:fldCharType="end"/>
    </w:r>
  </w:p>
  <w:p w:rsidR="009E293D" w:rsidRDefault="009E29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93D" w:rsidRDefault="009E293D">
      <w:r>
        <w:separator/>
      </w:r>
    </w:p>
  </w:footnote>
  <w:footnote w:type="continuationSeparator" w:id="0">
    <w:p w:rsidR="009E293D" w:rsidRDefault="009E29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Times New Roman" w:hAnsi="Times New Roman" w:cs="Times New Roman"/>
        <w:color w:val="000000"/>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6543B8E"/>
    <w:multiLevelType w:val="hybridMultilevel"/>
    <w:tmpl w:val="D068BD24"/>
    <w:lvl w:ilvl="0" w:tplc="D514142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944487"/>
    <w:multiLevelType w:val="hybridMultilevel"/>
    <w:tmpl w:val="D9D8E198"/>
    <w:lvl w:ilvl="0" w:tplc="C72205C6">
      <w:start w:val="8"/>
      <w:numFmt w:val="decimal"/>
      <w:lvlText w:val="%1."/>
      <w:lvlJc w:val="left"/>
      <w:pPr>
        <w:tabs>
          <w:tab w:val="num" w:pos="792"/>
        </w:tabs>
        <w:ind w:left="792" w:hanging="432"/>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8C44B7"/>
    <w:multiLevelType w:val="singleLevel"/>
    <w:tmpl w:val="C64A8546"/>
    <w:lvl w:ilvl="0">
      <w:start w:val="1"/>
      <w:numFmt w:val="bullet"/>
      <w:lvlText w:val=""/>
      <w:lvlJc w:val="left"/>
      <w:pPr>
        <w:tabs>
          <w:tab w:val="num" w:pos="360"/>
        </w:tabs>
        <w:ind w:left="360" w:hanging="360"/>
      </w:pPr>
      <w:rPr>
        <w:rFonts w:ascii="Symbol" w:hAnsi="Symbol" w:hint="default"/>
        <w:b w:val="0"/>
        <w:i w:val="0"/>
        <w:sz w:val="20"/>
      </w:rPr>
    </w:lvl>
  </w:abstractNum>
  <w:abstractNum w:abstractNumId="4">
    <w:nsid w:val="27BD2C1B"/>
    <w:multiLevelType w:val="singleLevel"/>
    <w:tmpl w:val="7A044780"/>
    <w:lvl w:ilvl="0">
      <w:start w:val="9"/>
      <w:numFmt w:val="decimal"/>
      <w:lvlText w:val="%1."/>
      <w:lvlJc w:val="left"/>
      <w:pPr>
        <w:tabs>
          <w:tab w:val="num" w:pos="1290"/>
        </w:tabs>
        <w:ind w:left="1290" w:hanging="855"/>
      </w:pPr>
      <w:rPr>
        <w:rFonts w:hint="default"/>
      </w:rPr>
    </w:lvl>
  </w:abstractNum>
  <w:abstractNum w:abstractNumId="5">
    <w:nsid w:val="2E703965"/>
    <w:multiLevelType w:val="singleLevel"/>
    <w:tmpl w:val="1B4C93C4"/>
    <w:lvl w:ilvl="0">
      <w:start w:val="18"/>
      <w:numFmt w:val="decimal"/>
      <w:lvlText w:val="%1."/>
      <w:lvlJc w:val="left"/>
      <w:pPr>
        <w:tabs>
          <w:tab w:val="num" w:pos="1290"/>
        </w:tabs>
        <w:ind w:left="1290" w:hanging="855"/>
      </w:pPr>
      <w:rPr>
        <w:rFonts w:hint="default"/>
      </w:rPr>
    </w:lvl>
  </w:abstractNum>
  <w:abstractNum w:abstractNumId="6">
    <w:nsid w:val="30503B3C"/>
    <w:multiLevelType w:val="hybridMultilevel"/>
    <w:tmpl w:val="1EA89792"/>
    <w:lvl w:ilvl="0" w:tplc="49F221A6">
      <w:start w:val="12"/>
      <w:numFmt w:val="decimal"/>
      <w:lvlText w:val="%1."/>
      <w:lvlJc w:val="left"/>
      <w:pPr>
        <w:tabs>
          <w:tab w:val="num" w:pos="1287"/>
        </w:tabs>
        <w:ind w:left="1287" w:hanging="855"/>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7">
    <w:nsid w:val="32854B65"/>
    <w:multiLevelType w:val="singleLevel"/>
    <w:tmpl w:val="575E362A"/>
    <w:lvl w:ilvl="0">
      <w:start w:val="14"/>
      <w:numFmt w:val="decimal"/>
      <w:lvlText w:val="%1."/>
      <w:lvlJc w:val="left"/>
      <w:pPr>
        <w:tabs>
          <w:tab w:val="num" w:pos="1290"/>
        </w:tabs>
        <w:ind w:left="1290" w:hanging="855"/>
      </w:pPr>
      <w:rPr>
        <w:rFonts w:hint="default"/>
      </w:rPr>
    </w:lvl>
  </w:abstractNum>
  <w:abstractNum w:abstractNumId="8">
    <w:nsid w:val="352621A9"/>
    <w:multiLevelType w:val="singleLevel"/>
    <w:tmpl w:val="F1EA4D98"/>
    <w:lvl w:ilvl="0">
      <w:start w:val="5"/>
      <w:numFmt w:val="decimal"/>
      <w:lvlText w:val="%1."/>
      <w:lvlJc w:val="left"/>
      <w:pPr>
        <w:tabs>
          <w:tab w:val="num" w:pos="1287"/>
        </w:tabs>
        <w:ind w:left="1287" w:hanging="855"/>
      </w:pPr>
      <w:rPr>
        <w:rFonts w:hint="default"/>
        <w:u w:val="none"/>
      </w:rPr>
    </w:lvl>
  </w:abstractNum>
  <w:abstractNum w:abstractNumId="9">
    <w:nsid w:val="401E6FA6"/>
    <w:multiLevelType w:val="hybridMultilevel"/>
    <w:tmpl w:val="BE4E676C"/>
    <w:lvl w:ilvl="0" w:tplc="9F90DD5C">
      <w:start w:val="4"/>
      <w:numFmt w:val="decimal"/>
      <w:lvlText w:val="%1."/>
      <w:lvlJc w:val="left"/>
      <w:pPr>
        <w:tabs>
          <w:tab w:val="num" w:pos="1287"/>
        </w:tabs>
        <w:ind w:left="1287" w:hanging="855"/>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0">
    <w:nsid w:val="7084413A"/>
    <w:multiLevelType w:val="hybridMultilevel"/>
    <w:tmpl w:val="0352DE5E"/>
    <w:lvl w:ilvl="0" w:tplc="9F8C39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5E65642"/>
    <w:multiLevelType w:val="hybridMultilevel"/>
    <w:tmpl w:val="F9FAAE1A"/>
    <w:lvl w:ilvl="0" w:tplc="04090017">
      <w:start w:val="1"/>
      <w:numFmt w:val="lowerLetter"/>
      <w:lvlText w:val="%1)"/>
      <w:lvlJc w:val="left"/>
      <w:pPr>
        <w:tabs>
          <w:tab w:val="num" w:pos="1152"/>
        </w:tabs>
        <w:ind w:left="1152" w:hanging="360"/>
      </w:pPr>
    </w:lvl>
    <w:lvl w:ilvl="1" w:tplc="04090019">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2">
    <w:nsid w:val="78442D35"/>
    <w:multiLevelType w:val="hybridMultilevel"/>
    <w:tmpl w:val="05307BFE"/>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B803481"/>
    <w:multiLevelType w:val="hybridMultilevel"/>
    <w:tmpl w:val="F22C33CE"/>
    <w:lvl w:ilvl="0" w:tplc="D3C2420A">
      <w:start w:val="1"/>
      <w:numFmt w:val="decimal"/>
      <w:lvlText w:val="%1."/>
      <w:lvlJc w:val="left"/>
      <w:pPr>
        <w:tabs>
          <w:tab w:val="num" w:pos="1287"/>
        </w:tabs>
        <w:ind w:left="1287" w:hanging="855"/>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abstractNumId w:val="8"/>
  </w:num>
  <w:num w:numId="2">
    <w:abstractNumId w:val="4"/>
  </w:num>
  <w:num w:numId="3">
    <w:abstractNumId w:val="7"/>
  </w:num>
  <w:num w:numId="4">
    <w:abstractNumId w:val="5"/>
  </w:num>
  <w:num w:numId="5">
    <w:abstractNumId w:val="11"/>
  </w:num>
  <w:num w:numId="6">
    <w:abstractNumId w:val="12"/>
  </w:num>
  <w:num w:numId="7">
    <w:abstractNumId w:val="13"/>
  </w:num>
  <w:num w:numId="8">
    <w:abstractNumId w:val="9"/>
  </w:num>
  <w:num w:numId="9">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3"/>
  </w:num>
  <w:num w:numId="11">
    <w:abstractNumId w:val="6"/>
  </w:num>
  <w:num w:numId="12">
    <w:abstractNumId w:val="10"/>
  </w:num>
  <w:num w:numId="13">
    <w:abstractNumId w:val="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revisionView w:markup="0"/>
  <w:defaultTabStop w:val="720"/>
  <w:noPunctuationKerning/>
  <w:characterSpacingControl w:val="doNotCompress"/>
  <w:hdrShapeDefaults>
    <o:shapedefaults v:ext="edit" spidmax="17409"/>
  </w:hdrShapeDefaults>
  <w:footnotePr>
    <w:footnote w:id="-1"/>
    <w:footnote w:id="0"/>
  </w:footnotePr>
  <w:endnotePr>
    <w:numFmt w:val="decimal"/>
    <w:endnote w:id="-1"/>
    <w:endnote w:id="0"/>
  </w:endnotePr>
  <w:compat/>
  <w:rsids>
    <w:rsidRoot w:val="00C76BB4"/>
    <w:rsid w:val="00012C39"/>
    <w:rsid w:val="00024DF2"/>
    <w:rsid w:val="00040B83"/>
    <w:rsid w:val="00046CF4"/>
    <w:rsid w:val="0005079C"/>
    <w:rsid w:val="000508A9"/>
    <w:rsid w:val="000537C1"/>
    <w:rsid w:val="00055A75"/>
    <w:rsid w:val="00060D0C"/>
    <w:rsid w:val="00081AF3"/>
    <w:rsid w:val="00091E4D"/>
    <w:rsid w:val="000966F0"/>
    <w:rsid w:val="000970DE"/>
    <w:rsid w:val="000B400B"/>
    <w:rsid w:val="000B7646"/>
    <w:rsid w:val="000C7D95"/>
    <w:rsid w:val="000D00BC"/>
    <w:rsid w:val="001012D3"/>
    <w:rsid w:val="00104556"/>
    <w:rsid w:val="00113C0D"/>
    <w:rsid w:val="00115DFC"/>
    <w:rsid w:val="00116C58"/>
    <w:rsid w:val="001401B9"/>
    <w:rsid w:val="00144557"/>
    <w:rsid w:val="00152AC0"/>
    <w:rsid w:val="001670D8"/>
    <w:rsid w:val="00172B84"/>
    <w:rsid w:val="0018176A"/>
    <w:rsid w:val="00182FC1"/>
    <w:rsid w:val="001937E6"/>
    <w:rsid w:val="001A4D3F"/>
    <w:rsid w:val="001B35A7"/>
    <w:rsid w:val="001B7591"/>
    <w:rsid w:val="00202E2B"/>
    <w:rsid w:val="00223D90"/>
    <w:rsid w:val="00237C0E"/>
    <w:rsid w:val="0025038F"/>
    <w:rsid w:val="0027137B"/>
    <w:rsid w:val="002716CE"/>
    <w:rsid w:val="00274F06"/>
    <w:rsid w:val="00285928"/>
    <w:rsid w:val="00285A61"/>
    <w:rsid w:val="00290C2B"/>
    <w:rsid w:val="002A1BD1"/>
    <w:rsid w:val="002A1C53"/>
    <w:rsid w:val="002A3CBC"/>
    <w:rsid w:val="002B10C9"/>
    <w:rsid w:val="002B1E93"/>
    <w:rsid w:val="002E3E6D"/>
    <w:rsid w:val="002F1BC5"/>
    <w:rsid w:val="002F3773"/>
    <w:rsid w:val="002F5168"/>
    <w:rsid w:val="0030233D"/>
    <w:rsid w:val="00311902"/>
    <w:rsid w:val="00313A7E"/>
    <w:rsid w:val="00315F94"/>
    <w:rsid w:val="00323EB9"/>
    <w:rsid w:val="00324070"/>
    <w:rsid w:val="003359D1"/>
    <w:rsid w:val="003526C6"/>
    <w:rsid w:val="003542D5"/>
    <w:rsid w:val="00355D8A"/>
    <w:rsid w:val="00363BF5"/>
    <w:rsid w:val="00373BA7"/>
    <w:rsid w:val="003874ED"/>
    <w:rsid w:val="003A39EA"/>
    <w:rsid w:val="003A3C67"/>
    <w:rsid w:val="003B37A0"/>
    <w:rsid w:val="003B4686"/>
    <w:rsid w:val="003C27EE"/>
    <w:rsid w:val="003C4737"/>
    <w:rsid w:val="003E6FB5"/>
    <w:rsid w:val="00411C0B"/>
    <w:rsid w:val="004140EC"/>
    <w:rsid w:val="00415B79"/>
    <w:rsid w:val="00427AEA"/>
    <w:rsid w:val="00431CFC"/>
    <w:rsid w:val="004320C8"/>
    <w:rsid w:val="004338BB"/>
    <w:rsid w:val="00433ECA"/>
    <w:rsid w:val="004763A2"/>
    <w:rsid w:val="00482D09"/>
    <w:rsid w:val="00484C80"/>
    <w:rsid w:val="00492D46"/>
    <w:rsid w:val="004B0BCB"/>
    <w:rsid w:val="004C21AA"/>
    <w:rsid w:val="004D1B1A"/>
    <w:rsid w:val="004E526E"/>
    <w:rsid w:val="004F744E"/>
    <w:rsid w:val="00515D36"/>
    <w:rsid w:val="00542F17"/>
    <w:rsid w:val="0057274E"/>
    <w:rsid w:val="005819C3"/>
    <w:rsid w:val="00590D60"/>
    <w:rsid w:val="005924A1"/>
    <w:rsid w:val="005927AB"/>
    <w:rsid w:val="005A7D33"/>
    <w:rsid w:val="005B690E"/>
    <w:rsid w:val="00604031"/>
    <w:rsid w:val="00605904"/>
    <w:rsid w:val="00610155"/>
    <w:rsid w:val="00613206"/>
    <w:rsid w:val="006235EF"/>
    <w:rsid w:val="006A131F"/>
    <w:rsid w:val="006B74D6"/>
    <w:rsid w:val="006D1C54"/>
    <w:rsid w:val="006D498C"/>
    <w:rsid w:val="006E79D6"/>
    <w:rsid w:val="007071B3"/>
    <w:rsid w:val="007129A9"/>
    <w:rsid w:val="00714F6E"/>
    <w:rsid w:val="00730AC7"/>
    <w:rsid w:val="00730E6F"/>
    <w:rsid w:val="00732E9A"/>
    <w:rsid w:val="00733EF0"/>
    <w:rsid w:val="0073517F"/>
    <w:rsid w:val="00737851"/>
    <w:rsid w:val="007510F5"/>
    <w:rsid w:val="0075319D"/>
    <w:rsid w:val="0075736A"/>
    <w:rsid w:val="0077775F"/>
    <w:rsid w:val="007A0B5B"/>
    <w:rsid w:val="007B0080"/>
    <w:rsid w:val="007B3473"/>
    <w:rsid w:val="007B7B7B"/>
    <w:rsid w:val="007C28BC"/>
    <w:rsid w:val="007D15A0"/>
    <w:rsid w:val="007D69E6"/>
    <w:rsid w:val="007F3206"/>
    <w:rsid w:val="007F690E"/>
    <w:rsid w:val="00805177"/>
    <w:rsid w:val="00807590"/>
    <w:rsid w:val="008143FA"/>
    <w:rsid w:val="00815548"/>
    <w:rsid w:val="008166A1"/>
    <w:rsid w:val="00820112"/>
    <w:rsid w:val="0082691A"/>
    <w:rsid w:val="0083512F"/>
    <w:rsid w:val="0085121B"/>
    <w:rsid w:val="0087036C"/>
    <w:rsid w:val="008765ED"/>
    <w:rsid w:val="008768A0"/>
    <w:rsid w:val="008777E8"/>
    <w:rsid w:val="00897EAE"/>
    <w:rsid w:val="008A1FDE"/>
    <w:rsid w:val="008A33BD"/>
    <w:rsid w:val="008A5E67"/>
    <w:rsid w:val="008C5306"/>
    <w:rsid w:val="008D6D22"/>
    <w:rsid w:val="008F2945"/>
    <w:rsid w:val="009117C6"/>
    <w:rsid w:val="00912345"/>
    <w:rsid w:val="00943570"/>
    <w:rsid w:val="00947960"/>
    <w:rsid w:val="0097516B"/>
    <w:rsid w:val="009758CF"/>
    <w:rsid w:val="00975F97"/>
    <w:rsid w:val="00980935"/>
    <w:rsid w:val="00981D5F"/>
    <w:rsid w:val="009830ED"/>
    <w:rsid w:val="00985313"/>
    <w:rsid w:val="009B4508"/>
    <w:rsid w:val="009C67F0"/>
    <w:rsid w:val="009D1F3D"/>
    <w:rsid w:val="009D4EB4"/>
    <w:rsid w:val="009E293D"/>
    <w:rsid w:val="009F59DF"/>
    <w:rsid w:val="00A042B2"/>
    <w:rsid w:val="00A06070"/>
    <w:rsid w:val="00A23348"/>
    <w:rsid w:val="00A32083"/>
    <w:rsid w:val="00A3313F"/>
    <w:rsid w:val="00A458D1"/>
    <w:rsid w:val="00A55754"/>
    <w:rsid w:val="00A614A6"/>
    <w:rsid w:val="00A66229"/>
    <w:rsid w:val="00A85A17"/>
    <w:rsid w:val="00A86EEB"/>
    <w:rsid w:val="00AA3B96"/>
    <w:rsid w:val="00AC47F4"/>
    <w:rsid w:val="00AD51F0"/>
    <w:rsid w:val="00AD560F"/>
    <w:rsid w:val="00AE7875"/>
    <w:rsid w:val="00AF1CE8"/>
    <w:rsid w:val="00AF4260"/>
    <w:rsid w:val="00AF43BE"/>
    <w:rsid w:val="00B001D1"/>
    <w:rsid w:val="00B03629"/>
    <w:rsid w:val="00B036A0"/>
    <w:rsid w:val="00B2333F"/>
    <w:rsid w:val="00B340E2"/>
    <w:rsid w:val="00B36B9B"/>
    <w:rsid w:val="00B37E55"/>
    <w:rsid w:val="00B40A96"/>
    <w:rsid w:val="00B431E0"/>
    <w:rsid w:val="00B5531A"/>
    <w:rsid w:val="00B62D10"/>
    <w:rsid w:val="00B65543"/>
    <w:rsid w:val="00B701DA"/>
    <w:rsid w:val="00B7069C"/>
    <w:rsid w:val="00B74878"/>
    <w:rsid w:val="00B87542"/>
    <w:rsid w:val="00B9314D"/>
    <w:rsid w:val="00B9465A"/>
    <w:rsid w:val="00BB0DEB"/>
    <w:rsid w:val="00BD0524"/>
    <w:rsid w:val="00BE5764"/>
    <w:rsid w:val="00BF09DD"/>
    <w:rsid w:val="00BF3078"/>
    <w:rsid w:val="00C067C3"/>
    <w:rsid w:val="00C0702E"/>
    <w:rsid w:val="00C11549"/>
    <w:rsid w:val="00C169EC"/>
    <w:rsid w:val="00C2157E"/>
    <w:rsid w:val="00C34D4C"/>
    <w:rsid w:val="00C76BB4"/>
    <w:rsid w:val="00C77207"/>
    <w:rsid w:val="00C834A8"/>
    <w:rsid w:val="00CA1B42"/>
    <w:rsid w:val="00CD0BE6"/>
    <w:rsid w:val="00CE38D0"/>
    <w:rsid w:val="00CE6B4A"/>
    <w:rsid w:val="00CF7E83"/>
    <w:rsid w:val="00D05401"/>
    <w:rsid w:val="00D262F8"/>
    <w:rsid w:val="00D31695"/>
    <w:rsid w:val="00D3589C"/>
    <w:rsid w:val="00D41365"/>
    <w:rsid w:val="00D569B7"/>
    <w:rsid w:val="00D72C72"/>
    <w:rsid w:val="00DB38B9"/>
    <w:rsid w:val="00DC1F6D"/>
    <w:rsid w:val="00DE141E"/>
    <w:rsid w:val="00DF1867"/>
    <w:rsid w:val="00E100FE"/>
    <w:rsid w:val="00E1287F"/>
    <w:rsid w:val="00E4508C"/>
    <w:rsid w:val="00E5206F"/>
    <w:rsid w:val="00E5514E"/>
    <w:rsid w:val="00E65EF2"/>
    <w:rsid w:val="00E9330F"/>
    <w:rsid w:val="00EB6D53"/>
    <w:rsid w:val="00ED2717"/>
    <w:rsid w:val="00EE3F33"/>
    <w:rsid w:val="00EE432E"/>
    <w:rsid w:val="00EF62A0"/>
    <w:rsid w:val="00F35C63"/>
    <w:rsid w:val="00F4651F"/>
    <w:rsid w:val="00F53FB9"/>
    <w:rsid w:val="00F72128"/>
    <w:rsid w:val="00F726CD"/>
    <w:rsid w:val="00F76874"/>
    <w:rsid w:val="00F82068"/>
    <w:rsid w:val="00F876AD"/>
    <w:rsid w:val="00FB327F"/>
    <w:rsid w:val="00FB68A1"/>
    <w:rsid w:val="00FC3717"/>
    <w:rsid w:val="00FC4E88"/>
    <w:rsid w:val="00FE3A3A"/>
    <w:rsid w:val="00FF7D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27EE"/>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C27EE"/>
  </w:style>
  <w:style w:type="paragraph" w:styleId="Header">
    <w:name w:val="header"/>
    <w:basedOn w:val="Normal"/>
    <w:rsid w:val="003C27EE"/>
    <w:pPr>
      <w:tabs>
        <w:tab w:val="center" w:pos="4320"/>
        <w:tab w:val="right" w:pos="8640"/>
      </w:tabs>
    </w:pPr>
  </w:style>
  <w:style w:type="paragraph" w:styleId="BodyTextIndent2">
    <w:name w:val="Body Text Indent 2"/>
    <w:basedOn w:val="Normal"/>
    <w:rsid w:val="003C27EE"/>
    <w:pPr>
      <w:spacing w:after="120" w:line="480" w:lineRule="auto"/>
      <w:ind w:left="360"/>
    </w:pPr>
  </w:style>
  <w:style w:type="table" w:styleId="TableGrid">
    <w:name w:val="Table Grid"/>
    <w:basedOn w:val="TableNormal"/>
    <w:rsid w:val="003C27E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C27EE"/>
    <w:pPr>
      <w:tabs>
        <w:tab w:val="center" w:pos="4320"/>
        <w:tab w:val="right" w:pos="8640"/>
      </w:tabs>
    </w:pPr>
  </w:style>
  <w:style w:type="paragraph" w:styleId="BalloonText">
    <w:name w:val="Balloon Text"/>
    <w:basedOn w:val="Normal"/>
    <w:semiHidden/>
    <w:rsid w:val="003C27EE"/>
    <w:rPr>
      <w:rFonts w:ascii="Tahoma" w:hAnsi="Tahoma" w:cs="Tahoma"/>
      <w:sz w:val="16"/>
      <w:szCs w:val="16"/>
    </w:rPr>
  </w:style>
  <w:style w:type="character" w:styleId="CommentReference">
    <w:name w:val="annotation reference"/>
    <w:basedOn w:val="DefaultParagraphFont"/>
    <w:semiHidden/>
    <w:rsid w:val="003C27EE"/>
    <w:rPr>
      <w:sz w:val="16"/>
      <w:szCs w:val="16"/>
    </w:rPr>
  </w:style>
  <w:style w:type="paragraph" w:styleId="CommentText">
    <w:name w:val="annotation text"/>
    <w:basedOn w:val="Normal"/>
    <w:semiHidden/>
    <w:rsid w:val="003C27EE"/>
    <w:rPr>
      <w:sz w:val="20"/>
    </w:rPr>
  </w:style>
  <w:style w:type="paragraph" w:styleId="CommentSubject">
    <w:name w:val="annotation subject"/>
    <w:basedOn w:val="CommentText"/>
    <w:next w:val="CommentText"/>
    <w:semiHidden/>
    <w:rsid w:val="003C27EE"/>
    <w:rPr>
      <w:b/>
      <w:bCs/>
    </w:rPr>
  </w:style>
  <w:style w:type="paragraph" w:customStyle="1" w:styleId="Level2">
    <w:name w:val="Level 2"/>
    <w:basedOn w:val="Normal"/>
    <w:rsid w:val="003C27EE"/>
    <w:pPr>
      <w:numPr>
        <w:ilvl w:val="1"/>
        <w:numId w:val="9"/>
      </w:numPr>
      <w:autoSpaceDE w:val="0"/>
      <w:autoSpaceDN w:val="0"/>
      <w:adjustRightInd w:val="0"/>
      <w:ind w:left="1440" w:hanging="720"/>
      <w:outlineLvl w:val="1"/>
    </w:pPr>
    <w:rPr>
      <w:rFonts w:ascii="Alfredo's Dance" w:hAnsi="Alfredo's Dance"/>
      <w:snapToGrid/>
      <w:szCs w:val="24"/>
    </w:rPr>
  </w:style>
  <w:style w:type="paragraph" w:styleId="FootnoteText">
    <w:name w:val="footnote text"/>
    <w:basedOn w:val="Normal"/>
    <w:link w:val="FootnoteTextChar"/>
    <w:semiHidden/>
    <w:rsid w:val="007B0080"/>
    <w:pPr>
      <w:widowControl/>
    </w:pPr>
    <w:rPr>
      <w:rFonts w:ascii="Times New Roman" w:hAnsi="Times New Roman"/>
      <w:snapToGrid/>
      <w:sz w:val="20"/>
    </w:rPr>
  </w:style>
  <w:style w:type="character" w:styleId="FootnoteReference">
    <w:name w:val="footnote reference"/>
    <w:basedOn w:val="DefaultParagraphFont"/>
    <w:semiHidden/>
    <w:rsid w:val="007B0080"/>
    <w:rPr>
      <w:vertAlign w:val="superscript"/>
    </w:rPr>
  </w:style>
  <w:style w:type="character" w:styleId="Hyperlink">
    <w:name w:val="Hyperlink"/>
    <w:basedOn w:val="DefaultParagraphFont"/>
    <w:rsid w:val="00B431E0"/>
    <w:rPr>
      <w:color w:val="0000FF"/>
      <w:u w:val="single"/>
    </w:rPr>
  </w:style>
  <w:style w:type="paragraph" w:styleId="HTMLPreformatted">
    <w:name w:val="HTML Preformatted"/>
    <w:basedOn w:val="Normal"/>
    <w:rsid w:val="00B655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color w:val="000000"/>
      <w:sz w:val="20"/>
    </w:rPr>
  </w:style>
  <w:style w:type="paragraph" w:styleId="BodyText">
    <w:name w:val="Body Text"/>
    <w:basedOn w:val="Normal"/>
    <w:rsid w:val="0005079C"/>
    <w:pPr>
      <w:widowControl/>
      <w:overflowPunct w:val="0"/>
      <w:autoSpaceDE w:val="0"/>
      <w:autoSpaceDN w:val="0"/>
      <w:adjustRightInd w:val="0"/>
      <w:spacing w:after="120"/>
      <w:textAlignment w:val="baseline"/>
    </w:pPr>
    <w:rPr>
      <w:rFonts w:ascii="Arial" w:hAnsi="Arial"/>
      <w:snapToGrid/>
    </w:rPr>
  </w:style>
  <w:style w:type="character" w:customStyle="1" w:styleId="FootnoteTextChar">
    <w:name w:val="Footnote Text Char"/>
    <w:basedOn w:val="DefaultParagraphFont"/>
    <w:link w:val="FootnoteText"/>
    <w:semiHidden/>
    <w:rsid w:val="0025038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21170-9625-45A4-90E8-8224E9C3D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2523</Words>
  <Characters>14451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16941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leneta gregorie</dc:creator>
  <cp:lastModifiedBy>Ira Mills</cp:lastModifiedBy>
  <cp:revision>6</cp:revision>
  <cp:lastPrinted>2011-02-04T00:22:00Z</cp:lastPrinted>
  <dcterms:created xsi:type="dcterms:W3CDTF">2011-02-02T18:04:00Z</dcterms:created>
  <dcterms:modified xsi:type="dcterms:W3CDTF">2011-02-04T00:22:00Z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