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5E" w:rsidRPr="007C49C0" w:rsidRDefault="003712F4" w:rsidP="00C1305E">
      <w:pPr>
        <w:spacing w:after="144" w:line="312" w:lineRule="auto"/>
        <w:ind w:left="5112" w:right="360" w:firstLine="0"/>
        <w:jc w:val="left"/>
        <w:rPr>
          <w:rFonts w:ascii="Lucida Sans" w:hAnsi="Lucida Sans"/>
          <w:b/>
          <w:sz w:val="22"/>
          <w:szCs w:val="22"/>
        </w:rPr>
      </w:pPr>
      <w:bookmarkStart w:id="0" w:name="RepTitle"/>
      <w:bookmarkStart w:id="1" w:name="_Toc256361784"/>
      <w:bookmarkEnd w:id="0"/>
      <w:r>
        <w:rPr>
          <w:rFonts w:ascii="Lucida Sans" w:hAnsi="Lucida Sans"/>
          <w:b/>
          <w:sz w:val="22"/>
          <w:szCs w:val="22"/>
        </w:rPr>
        <w:t xml:space="preserve">Study of the Distribution of </w:t>
      </w:r>
      <w:r w:rsidR="00C1305E">
        <w:rPr>
          <w:rFonts w:ascii="Lucida Sans" w:hAnsi="Lucida Sans"/>
          <w:b/>
          <w:sz w:val="22"/>
          <w:szCs w:val="22"/>
        </w:rPr>
        <w:t xml:space="preserve">Teacher </w:t>
      </w:r>
      <w:r w:rsidR="009F2365">
        <w:rPr>
          <w:rFonts w:ascii="Lucida Sans" w:hAnsi="Lucida Sans"/>
          <w:b/>
          <w:sz w:val="22"/>
          <w:szCs w:val="22"/>
        </w:rPr>
        <w:t xml:space="preserve">Effectiveness </w:t>
      </w:r>
    </w:p>
    <w:p w:rsidR="00C1305E" w:rsidRPr="007C49C0" w:rsidRDefault="00C1305E" w:rsidP="00C1305E">
      <w:pPr>
        <w:spacing w:before="144" w:line="360" w:lineRule="exact"/>
        <w:ind w:left="5115" w:right="360" w:firstLine="0"/>
        <w:rPr>
          <w:rFonts w:ascii="Lucida Sans" w:hAnsi="Lucida Sans"/>
          <w:sz w:val="22"/>
          <w:szCs w:val="22"/>
        </w:rPr>
      </w:pPr>
      <w:bookmarkStart w:id="2" w:name="RepType"/>
      <w:bookmarkEnd w:id="2"/>
      <w:r>
        <w:rPr>
          <w:rFonts w:ascii="Lucida Sans" w:hAnsi="Lucida Sans"/>
          <w:sz w:val="22"/>
          <w:szCs w:val="22"/>
        </w:rPr>
        <w:t>Part B</w:t>
      </w:r>
    </w:p>
    <w:p w:rsidR="00C1305E" w:rsidRPr="007C49C0" w:rsidRDefault="00601B65" w:rsidP="00C1305E">
      <w:pPr>
        <w:spacing w:before="144" w:after="288" w:line="360" w:lineRule="exact"/>
        <w:ind w:left="5112" w:right="360" w:firstLine="0"/>
        <w:rPr>
          <w:rFonts w:ascii="Lucida Sans" w:hAnsi="Lucida Sans"/>
          <w:sz w:val="22"/>
          <w:szCs w:val="22"/>
        </w:rPr>
      </w:pPr>
      <w:bookmarkStart w:id="3" w:name="DateMark"/>
      <w:bookmarkEnd w:id="3"/>
      <w:r>
        <w:rPr>
          <w:rFonts w:ascii="Lucida Sans" w:hAnsi="Lucida Sans"/>
          <w:sz w:val="22"/>
          <w:szCs w:val="22"/>
        </w:rPr>
        <w:t>June 9</w:t>
      </w:r>
      <w:r w:rsidR="00C1305E">
        <w:rPr>
          <w:rFonts w:ascii="Lucida Sans" w:hAnsi="Lucida Sans"/>
          <w:sz w:val="22"/>
          <w:szCs w:val="22"/>
        </w:rPr>
        <w:t>, 201</w:t>
      </w:r>
      <w:r w:rsidR="003712F4">
        <w:rPr>
          <w:rFonts w:ascii="Lucida Sans" w:hAnsi="Lucida Sans"/>
          <w:sz w:val="22"/>
          <w:szCs w:val="22"/>
        </w:rPr>
        <w:t>1</w:t>
      </w:r>
    </w:p>
    <w:p w:rsidR="00C1305E" w:rsidRPr="00C56A6B" w:rsidRDefault="00C1305E" w:rsidP="00C1305E">
      <w:pPr>
        <w:spacing w:line="280" w:lineRule="exact"/>
        <w:ind w:left="5115" w:right="360" w:firstLine="0"/>
        <w:rPr>
          <w:rFonts w:ascii="Lucida Sans" w:hAnsi="Lucida Sans"/>
          <w:sz w:val="20"/>
          <w:szCs w:val="20"/>
        </w:rPr>
      </w:pPr>
      <w:bookmarkStart w:id="4" w:name="StartingPoint"/>
      <w:bookmarkEnd w:id="4"/>
    </w:p>
    <w:p w:rsidR="00C1305E" w:rsidRDefault="00C1305E" w:rsidP="00C1305E">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0"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C1305E" w:rsidRDefault="00C1305E" w:rsidP="00C1305E">
      <w:pPr>
        <w:spacing w:line="264" w:lineRule="auto"/>
        <w:ind w:left="5040" w:firstLine="0"/>
        <w:rPr>
          <w:rFonts w:ascii="Lucida Sans" w:hAnsi="Lucida Sans"/>
          <w:sz w:val="20"/>
          <w:szCs w:val="20"/>
        </w:rPr>
        <w:sectPr w:rsidR="00C1305E" w:rsidSect="00414195">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p w:rsidR="00C1305E" w:rsidRDefault="00C1305E" w:rsidP="00C1305E">
      <w:pPr>
        <w:spacing w:line="264" w:lineRule="auto"/>
        <w:ind w:left="5040" w:firstLine="0"/>
        <w:rPr>
          <w:rFonts w:ascii="Lucida Sans" w:hAnsi="Lucida Sans"/>
          <w:sz w:val="20"/>
          <w:szCs w:val="20"/>
        </w:rPr>
        <w:sectPr w:rsidR="00C1305E" w:rsidSect="00414195">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tbl>
      <w:tblPr>
        <w:tblW w:w="0" w:type="auto"/>
        <w:tblInd w:w="1440" w:type="dxa"/>
        <w:tblLayout w:type="fixed"/>
        <w:tblCellMar>
          <w:left w:w="115" w:type="dxa"/>
          <w:right w:w="115" w:type="dxa"/>
        </w:tblCellMar>
        <w:tblLook w:val="04A0"/>
      </w:tblPr>
      <w:tblGrid>
        <w:gridCol w:w="3618"/>
        <w:gridCol w:w="4057"/>
      </w:tblGrid>
      <w:tr w:rsidR="00C1305E" w:rsidTr="00414195">
        <w:tc>
          <w:tcPr>
            <w:tcW w:w="3618" w:type="dxa"/>
          </w:tcPr>
          <w:p w:rsidR="00C1305E" w:rsidRPr="00993339" w:rsidRDefault="00C1305E" w:rsidP="00414195">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C1305E" w:rsidRPr="00993339" w:rsidRDefault="00C1305E" w:rsidP="00414195">
            <w:pPr>
              <w:spacing w:after="180" w:line="240" w:lineRule="exact"/>
              <w:ind w:firstLine="0"/>
              <w:jc w:val="left"/>
              <w:rPr>
                <w:rFonts w:ascii="Lucida Sans" w:hAnsi="Lucida Sans"/>
                <w:sz w:val="17"/>
                <w:szCs w:val="16"/>
              </w:rPr>
            </w:pPr>
            <w:bookmarkStart w:id="5" w:name="Contract"/>
            <w:bookmarkEnd w:id="5"/>
            <w:r w:rsidRPr="00EE44E3">
              <w:rPr>
                <w:rFonts w:ascii="Lucida Sans" w:hAnsi="Lucida Sans"/>
                <w:sz w:val="17"/>
                <w:szCs w:val="16"/>
              </w:rPr>
              <w:t>ED-IES-10-C-0065</w:t>
            </w:r>
          </w:p>
          <w:p w:rsidR="00C1305E" w:rsidRPr="00993339" w:rsidRDefault="00C1305E" w:rsidP="00414195">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C1305E" w:rsidRPr="00993339" w:rsidRDefault="00C1305E" w:rsidP="00414195">
            <w:pPr>
              <w:spacing w:after="180" w:line="240" w:lineRule="exact"/>
              <w:ind w:firstLine="0"/>
              <w:jc w:val="left"/>
              <w:rPr>
                <w:rFonts w:ascii="Lucida Sans" w:hAnsi="Lucida Sans"/>
                <w:sz w:val="17"/>
                <w:szCs w:val="16"/>
              </w:rPr>
            </w:pPr>
            <w:bookmarkStart w:id="6" w:name="MPRRef"/>
            <w:bookmarkEnd w:id="6"/>
            <w:r>
              <w:rPr>
                <w:rFonts w:ascii="Lucida Sans" w:hAnsi="Lucida Sans"/>
                <w:sz w:val="17"/>
                <w:szCs w:val="16"/>
              </w:rPr>
              <w:t>06860.170</w:t>
            </w:r>
          </w:p>
          <w:p w:rsidR="00C1305E" w:rsidRPr="00993339" w:rsidRDefault="00C1305E" w:rsidP="00414195">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C1305E" w:rsidRPr="00EE44E3" w:rsidRDefault="00C1305E" w:rsidP="00414195">
            <w:pPr>
              <w:spacing w:line="240" w:lineRule="exact"/>
              <w:ind w:firstLine="0"/>
              <w:jc w:val="left"/>
              <w:rPr>
                <w:rFonts w:ascii="Lucida Sans" w:hAnsi="Lucida Sans"/>
                <w:sz w:val="17"/>
                <w:szCs w:val="16"/>
              </w:rPr>
            </w:pPr>
            <w:bookmarkStart w:id="7" w:name="Agency"/>
            <w:bookmarkEnd w:id="7"/>
            <w:r w:rsidRPr="00EE44E3">
              <w:rPr>
                <w:rFonts w:ascii="Lucida Sans" w:hAnsi="Lucida Sans"/>
                <w:sz w:val="17"/>
                <w:szCs w:val="16"/>
              </w:rPr>
              <w:t>Institute of Education Sciences</w:t>
            </w:r>
          </w:p>
          <w:p w:rsidR="00C1305E" w:rsidRPr="00EE44E3" w:rsidRDefault="00C1305E" w:rsidP="00414195">
            <w:pPr>
              <w:spacing w:line="240" w:lineRule="exact"/>
              <w:ind w:firstLine="0"/>
              <w:jc w:val="left"/>
              <w:rPr>
                <w:rFonts w:ascii="Lucida Sans" w:hAnsi="Lucida Sans"/>
                <w:sz w:val="17"/>
                <w:szCs w:val="16"/>
              </w:rPr>
            </w:pPr>
            <w:r w:rsidRPr="00EE44E3">
              <w:rPr>
                <w:rFonts w:ascii="Lucida Sans" w:hAnsi="Lucida Sans"/>
                <w:sz w:val="17"/>
                <w:szCs w:val="16"/>
              </w:rPr>
              <w:t>U.S. Department of Education</w:t>
            </w:r>
          </w:p>
          <w:p w:rsidR="00C1305E" w:rsidRPr="00EE44E3" w:rsidRDefault="00C1305E" w:rsidP="00414195">
            <w:pPr>
              <w:spacing w:line="240" w:lineRule="exact"/>
              <w:ind w:firstLine="0"/>
              <w:jc w:val="left"/>
              <w:rPr>
                <w:rFonts w:ascii="Lucida Sans" w:hAnsi="Lucida Sans"/>
                <w:sz w:val="17"/>
                <w:szCs w:val="16"/>
              </w:rPr>
            </w:pPr>
            <w:r w:rsidRPr="00EE44E3">
              <w:rPr>
                <w:rFonts w:ascii="Lucida Sans" w:hAnsi="Lucida Sans"/>
                <w:sz w:val="17"/>
                <w:szCs w:val="16"/>
              </w:rPr>
              <w:t>555 New Jersey Avenue, NW</w:t>
            </w:r>
          </w:p>
          <w:p w:rsidR="00C1305E" w:rsidRPr="002B4293" w:rsidRDefault="00C1305E" w:rsidP="00414195">
            <w:pPr>
              <w:spacing w:line="240" w:lineRule="exact"/>
              <w:ind w:firstLine="0"/>
              <w:jc w:val="left"/>
              <w:rPr>
                <w:rFonts w:ascii="Lucida Sans" w:hAnsi="Lucida Sans"/>
                <w:sz w:val="17"/>
                <w:szCs w:val="16"/>
                <w:highlight w:val="yellow"/>
              </w:rPr>
            </w:pPr>
            <w:r w:rsidRPr="00EE44E3">
              <w:rPr>
                <w:rFonts w:ascii="Lucida Sans" w:hAnsi="Lucida Sans"/>
                <w:sz w:val="17"/>
                <w:szCs w:val="16"/>
              </w:rPr>
              <w:t>Washington, DC 20208</w:t>
            </w:r>
          </w:p>
          <w:p w:rsidR="00C1305E" w:rsidRPr="00993339" w:rsidRDefault="00C1305E" w:rsidP="00414195">
            <w:pPr>
              <w:spacing w:after="180" w:line="240" w:lineRule="exact"/>
              <w:ind w:firstLine="0"/>
              <w:jc w:val="left"/>
              <w:rPr>
                <w:rFonts w:ascii="Lucida Sans" w:hAnsi="Lucida Sans"/>
                <w:sz w:val="17"/>
                <w:szCs w:val="16"/>
              </w:rPr>
            </w:pPr>
            <w:r w:rsidRPr="00A65E46">
              <w:rPr>
                <w:rFonts w:ascii="Lucida Sans" w:hAnsi="Lucida Sans"/>
                <w:sz w:val="17"/>
                <w:szCs w:val="16"/>
              </w:rPr>
              <w:t>Project Officer:</w:t>
            </w:r>
            <w:r>
              <w:rPr>
                <w:rFonts w:ascii="Lucida Sans" w:hAnsi="Lucida Sans"/>
                <w:sz w:val="17"/>
                <w:szCs w:val="16"/>
              </w:rPr>
              <w:t xml:space="preserve"> </w:t>
            </w:r>
            <w:bookmarkStart w:id="8" w:name="ProjOff"/>
            <w:bookmarkEnd w:id="8"/>
            <w:r w:rsidRPr="00A65E46">
              <w:rPr>
                <w:rFonts w:ascii="Lucida Sans" w:hAnsi="Lucida Sans"/>
                <w:sz w:val="17"/>
                <w:szCs w:val="16"/>
              </w:rPr>
              <w:t>Lauren Angelo</w:t>
            </w:r>
          </w:p>
          <w:p w:rsidR="00C1305E" w:rsidRDefault="00C1305E" w:rsidP="00414195">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C1305E" w:rsidRPr="00993339" w:rsidRDefault="00C1305E" w:rsidP="00414195">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C1305E" w:rsidRDefault="00C1305E" w:rsidP="00414195">
            <w:pPr>
              <w:spacing w:line="240" w:lineRule="exact"/>
              <w:ind w:firstLine="0"/>
              <w:jc w:val="left"/>
              <w:rPr>
                <w:rFonts w:ascii="Lucida Sans" w:hAnsi="Lucida Sans"/>
                <w:sz w:val="17"/>
                <w:szCs w:val="16"/>
              </w:rPr>
            </w:pPr>
            <w:bookmarkStart w:id="9" w:name="MPRAddress2"/>
            <w:bookmarkEnd w:id="9"/>
            <w:r>
              <w:rPr>
                <w:rFonts w:ascii="Lucida Sans" w:hAnsi="Lucida Sans"/>
                <w:sz w:val="17"/>
                <w:szCs w:val="16"/>
              </w:rPr>
              <w:t>600 Maryland Avenue, SW</w:t>
            </w:r>
          </w:p>
          <w:p w:rsidR="00C1305E" w:rsidRDefault="00C1305E" w:rsidP="00414195">
            <w:pPr>
              <w:spacing w:line="240" w:lineRule="exact"/>
              <w:ind w:firstLine="0"/>
              <w:jc w:val="left"/>
              <w:rPr>
                <w:rFonts w:ascii="Lucida Sans" w:hAnsi="Lucida Sans"/>
                <w:sz w:val="17"/>
                <w:szCs w:val="16"/>
              </w:rPr>
            </w:pPr>
            <w:r>
              <w:rPr>
                <w:rFonts w:ascii="Lucida Sans" w:hAnsi="Lucida Sans"/>
                <w:sz w:val="17"/>
                <w:szCs w:val="16"/>
              </w:rPr>
              <w:t>Suite 550</w:t>
            </w:r>
          </w:p>
          <w:p w:rsidR="00C1305E" w:rsidRDefault="00C1305E" w:rsidP="00414195">
            <w:pPr>
              <w:spacing w:line="240" w:lineRule="exact"/>
              <w:ind w:firstLine="0"/>
              <w:jc w:val="left"/>
              <w:rPr>
                <w:rFonts w:ascii="Lucida Sans" w:hAnsi="Lucida Sans"/>
                <w:sz w:val="17"/>
                <w:szCs w:val="16"/>
              </w:rPr>
            </w:pPr>
            <w:r>
              <w:rPr>
                <w:rFonts w:ascii="Lucida Sans" w:hAnsi="Lucida Sans"/>
                <w:sz w:val="17"/>
                <w:szCs w:val="16"/>
              </w:rPr>
              <w:t>Washington, DC 20024-2512</w:t>
            </w:r>
          </w:p>
          <w:p w:rsidR="00C1305E" w:rsidRDefault="00C1305E" w:rsidP="00414195">
            <w:pPr>
              <w:spacing w:line="240" w:lineRule="exact"/>
              <w:ind w:firstLine="0"/>
              <w:jc w:val="left"/>
              <w:rPr>
                <w:rFonts w:ascii="Lucida Sans" w:hAnsi="Lucida Sans"/>
                <w:sz w:val="17"/>
                <w:szCs w:val="16"/>
              </w:rPr>
            </w:pPr>
            <w:r>
              <w:rPr>
                <w:rFonts w:ascii="Lucida Sans" w:hAnsi="Lucida Sans"/>
                <w:sz w:val="17"/>
                <w:szCs w:val="16"/>
              </w:rPr>
              <w:t>Telephone: (202) 484-9220</w:t>
            </w:r>
          </w:p>
          <w:p w:rsidR="00C1305E" w:rsidRDefault="00C1305E" w:rsidP="00414195">
            <w:pPr>
              <w:spacing w:line="240" w:lineRule="exact"/>
              <w:ind w:firstLine="0"/>
              <w:jc w:val="left"/>
              <w:rPr>
                <w:rFonts w:ascii="Lucida Sans" w:hAnsi="Lucida Sans"/>
                <w:sz w:val="17"/>
                <w:szCs w:val="16"/>
              </w:rPr>
            </w:pPr>
            <w:r>
              <w:rPr>
                <w:rFonts w:ascii="Lucida Sans" w:hAnsi="Lucida Sans"/>
                <w:sz w:val="17"/>
                <w:szCs w:val="16"/>
              </w:rPr>
              <w:t>Facsimile: (202) 863-1763</w:t>
            </w:r>
          </w:p>
          <w:p w:rsidR="00C1305E" w:rsidRPr="00451D9C" w:rsidRDefault="00C1305E" w:rsidP="00414195">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0" w:name="ProjDir"/>
            <w:bookmarkEnd w:id="10"/>
            <w:r>
              <w:rPr>
                <w:rFonts w:ascii="Lucida Sans" w:hAnsi="Lucida Sans"/>
                <w:sz w:val="17"/>
                <w:szCs w:val="16"/>
              </w:rPr>
              <w:t>Philip Gleason</w:t>
            </w:r>
          </w:p>
        </w:tc>
        <w:tc>
          <w:tcPr>
            <w:tcW w:w="4057" w:type="dxa"/>
          </w:tcPr>
          <w:p w:rsidR="00C1305E" w:rsidRPr="002B4293" w:rsidRDefault="006B3FDF" w:rsidP="00414195">
            <w:pPr>
              <w:spacing w:after="144" w:line="312" w:lineRule="auto"/>
              <w:ind w:left="58" w:firstLine="0"/>
              <w:jc w:val="left"/>
              <w:rPr>
                <w:rFonts w:ascii="Lucida Sans" w:hAnsi="Lucida Sans"/>
                <w:b/>
                <w:sz w:val="22"/>
                <w:szCs w:val="22"/>
              </w:rPr>
            </w:pPr>
            <w:bookmarkStart w:id="11" w:name="RepTitle2"/>
            <w:bookmarkEnd w:id="11"/>
            <w:r>
              <w:rPr>
                <w:rFonts w:ascii="Lucida Sans" w:hAnsi="Lucida Sans"/>
                <w:b/>
                <w:sz w:val="22"/>
                <w:szCs w:val="22"/>
              </w:rPr>
              <w:t xml:space="preserve">Study of the </w:t>
            </w:r>
            <w:proofErr w:type="spellStart"/>
            <w:r>
              <w:rPr>
                <w:rFonts w:ascii="Lucida Sans" w:hAnsi="Lucida Sans"/>
                <w:b/>
                <w:sz w:val="22"/>
                <w:szCs w:val="22"/>
              </w:rPr>
              <w:t>Distributioni</w:t>
            </w:r>
            <w:proofErr w:type="spellEnd"/>
            <w:r>
              <w:rPr>
                <w:rFonts w:ascii="Lucida Sans" w:hAnsi="Lucida Sans"/>
                <w:b/>
                <w:sz w:val="22"/>
                <w:szCs w:val="22"/>
              </w:rPr>
              <w:t xml:space="preserve"> of </w:t>
            </w:r>
            <w:r w:rsidR="00C1305E" w:rsidRPr="002B4293">
              <w:rPr>
                <w:rFonts w:ascii="Lucida Sans" w:hAnsi="Lucida Sans"/>
                <w:b/>
                <w:sz w:val="22"/>
                <w:szCs w:val="22"/>
              </w:rPr>
              <w:t xml:space="preserve">Teacher </w:t>
            </w:r>
            <w:r w:rsidR="009F2365">
              <w:rPr>
                <w:rFonts w:ascii="Lucida Sans" w:hAnsi="Lucida Sans"/>
                <w:b/>
                <w:sz w:val="22"/>
                <w:szCs w:val="22"/>
              </w:rPr>
              <w:t>Effectiveness</w:t>
            </w:r>
            <w:r w:rsidR="00C1305E" w:rsidRPr="002B4293">
              <w:rPr>
                <w:rFonts w:ascii="Lucida Sans" w:hAnsi="Lucida Sans"/>
                <w:b/>
                <w:sz w:val="22"/>
                <w:szCs w:val="22"/>
              </w:rPr>
              <w:t xml:space="preserve"> </w:t>
            </w:r>
          </w:p>
          <w:p w:rsidR="00C1305E" w:rsidRPr="00451D9C" w:rsidRDefault="00C1305E" w:rsidP="00414195">
            <w:pPr>
              <w:spacing w:before="144" w:line="360" w:lineRule="exact"/>
              <w:ind w:left="58" w:firstLine="0"/>
              <w:jc w:val="left"/>
              <w:rPr>
                <w:rFonts w:ascii="Lucida Sans" w:hAnsi="Lucida Sans"/>
                <w:sz w:val="22"/>
                <w:szCs w:val="22"/>
              </w:rPr>
            </w:pPr>
            <w:bookmarkStart w:id="12" w:name="RepType2"/>
            <w:bookmarkEnd w:id="12"/>
            <w:r>
              <w:rPr>
                <w:rFonts w:ascii="Lucida Sans" w:hAnsi="Lucida Sans"/>
                <w:sz w:val="22"/>
                <w:szCs w:val="22"/>
              </w:rPr>
              <w:t>Part B</w:t>
            </w:r>
          </w:p>
          <w:p w:rsidR="00C1305E" w:rsidRPr="00451D9C" w:rsidRDefault="00601B65" w:rsidP="00414195">
            <w:pPr>
              <w:spacing w:before="144" w:after="288" w:line="360" w:lineRule="exact"/>
              <w:ind w:left="58" w:firstLine="0"/>
              <w:jc w:val="left"/>
              <w:rPr>
                <w:rFonts w:ascii="Lucida Sans" w:hAnsi="Lucida Sans"/>
                <w:sz w:val="22"/>
                <w:szCs w:val="22"/>
              </w:rPr>
            </w:pPr>
            <w:bookmarkStart w:id="13" w:name="DateMark2"/>
            <w:bookmarkEnd w:id="13"/>
            <w:r>
              <w:rPr>
                <w:rFonts w:ascii="Lucida Sans" w:hAnsi="Lucida Sans"/>
                <w:sz w:val="22"/>
                <w:szCs w:val="22"/>
              </w:rPr>
              <w:t>June 9</w:t>
            </w:r>
            <w:r w:rsidR="00C1305E">
              <w:rPr>
                <w:rFonts w:ascii="Lucida Sans" w:hAnsi="Lucida Sans"/>
                <w:sz w:val="22"/>
                <w:szCs w:val="22"/>
              </w:rPr>
              <w:t>, 201</w:t>
            </w:r>
            <w:r w:rsidR="006B3FDF">
              <w:rPr>
                <w:rFonts w:ascii="Lucida Sans" w:hAnsi="Lucida Sans"/>
                <w:sz w:val="22"/>
                <w:szCs w:val="22"/>
              </w:rPr>
              <w:t>1</w:t>
            </w:r>
          </w:p>
          <w:p w:rsidR="00C1305E" w:rsidRDefault="00C1305E" w:rsidP="00414195">
            <w:pPr>
              <w:spacing w:line="280" w:lineRule="exact"/>
              <w:ind w:left="58" w:firstLine="0"/>
              <w:jc w:val="left"/>
              <w:rPr>
                <w:rFonts w:ascii="Lucida Sans" w:hAnsi="Lucida Sans"/>
                <w:sz w:val="20"/>
                <w:szCs w:val="20"/>
              </w:rPr>
            </w:pPr>
          </w:p>
          <w:p w:rsidR="00C1305E" w:rsidRDefault="00C1305E" w:rsidP="00414195">
            <w:pPr>
              <w:spacing w:line="264" w:lineRule="auto"/>
              <w:ind w:left="58" w:firstLine="0"/>
              <w:jc w:val="left"/>
              <w:rPr>
                <w:rFonts w:ascii="Lucida Sans" w:hAnsi="Lucida Sans"/>
                <w:sz w:val="20"/>
                <w:szCs w:val="20"/>
              </w:rPr>
            </w:pPr>
          </w:p>
          <w:p w:rsidR="00C1305E" w:rsidRPr="00451D9C" w:rsidRDefault="00C1305E" w:rsidP="00414195">
            <w:pPr>
              <w:spacing w:line="264" w:lineRule="auto"/>
              <w:ind w:left="58" w:firstLine="0"/>
              <w:jc w:val="left"/>
              <w:rPr>
                <w:rFonts w:ascii="Lucida Sans" w:hAnsi="Lucida Sans"/>
                <w:sz w:val="22"/>
                <w:szCs w:val="22"/>
              </w:rPr>
            </w:pPr>
          </w:p>
        </w:tc>
      </w:tr>
    </w:tbl>
    <w:p w:rsidR="00C1305E" w:rsidRDefault="00C1305E" w:rsidP="00C1305E">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C1305E" w:rsidRDefault="00C1305E" w:rsidP="00C1305E">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5"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-9525</wp:posOffset>
            </wp:positionH>
            <wp:positionV relativeFrom="page">
              <wp:posOffset>5724525</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7802880" cy="2562225"/>
                    </a:xfrm>
                    <a:prstGeom prst="rect">
                      <a:avLst/>
                    </a:prstGeom>
                    <a:noFill/>
                  </pic:spPr>
                </pic:pic>
              </a:graphicData>
            </a:graphic>
          </wp:anchor>
        </w:drawing>
      </w:r>
    </w:p>
    <w:p w:rsidR="00C1305E" w:rsidRDefault="00C1305E" w:rsidP="00C1305E">
      <w:pPr>
        <w:spacing w:line="264" w:lineRule="auto"/>
        <w:ind w:firstLine="0"/>
        <w:rPr>
          <w:rFonts w:ascii="Lucida Sans" w:hAnsi="Lucida Sans"/>
          <w:sz w:val="22"/>
          <w:szCs w:val="22"/>
        </w:rPr>
        <w:sectPr w:rsidR="00C1305E" w:rsidSect="003A1506">
          <w:headerReference w:type="default" r:id="rId17"/>
          <w:footerReference w:type="default" r:id="rId18"/>
          <w:endnotePr>
            <w:numFmt w:val="decimal"/>
          </w:endnotePr>
          <w:pgSz w:w="12240" w:h="15840" w:code="1"/>
          <w:pgMar w:top="1440" w:right="1440" w:bottom="576" w:left="1440" w:header="720" w:footer="576" w:gutter="0"/>
          <w:cols w:space="720"/>
          <w:docGrid w:linePitch="150"/>
        </w:sectPr>
      </w:pPr>
    </w:p>
    <w:p w:rsidR="00C1305E" w:rsidRDefault="00C1305E" w:rsidP="00C1305E">
      <w:pPr>
        <w:pStyle w:val="References"/>
        <w:tabs>
          <w:tab w:val="clear" w:pos="432"/>
        </w:tabs>
        <w:spacing w:after="480"/>
        <w:ind w:left="0" w:firstLine="0"/>
        <w:jc w:val="center"/>
        <w:rPr>
          <w:rFonts w:ascii="Lucida Sans" w:hAnsi="Lucida Sans"/>
          <w:b/>
        </w:rPr>
        <w:sectPr w:rsidR="00C1305E" w:rsidSect="00414195">
          <w:headerReference w:type="default" r:id="rId19"/>
          <w:footerReference w:type="default" r:id="rId20"/>
          <w:endnotePr>
            <w:numFmt w:val="decimal"/>
          </w:endnotePr>
          <w:pgSz w:w="12240" w:h="15840" w:code="1"/>
          <w:pgMar w:top="1440" w:right="1440" w:bottom="576" w:left="1440" w:header="720" w:footer="576" w:gutter="0"/>
          <w:pgNumType w:fmt="lowerRoman" w:start="5"/>
          <w:cols w:space="720"/>
          <w:docGrid w:linePitch="326"/>
        </w:sectPr>
      </w:pPr>
    </w:p>
    <w:p w:rsidR="00C1305E" w:rsidRPr="008C2007" w:rsidRDefault="00C1305E" w:rsidP="00C1305E">
      <w:pPr>
        <w:spacing w:after="480" w:line="240" w:lineRule="auto"/>
        <w:ind w:firstLine="0"/>
        <w:jc w:val="center"/>
        <w:rPr>
          <w:rFonts w:ascii="Lucida Sans" w:hAnsi="Lucida Sans"/>
          <w:b/>
          <w:color w:val="1F497D" w:themeColor="text2"/>
        </w:rPr>
      </w:pPr>
      <w:r w:rsidRPr="008C2007">
        <w:rPr>
          <w:rFonts w:ascii="Lucida Sans" w:hAnsi="Lucida Sans"/>
          <w:b/>
          <w:color w:val="1F497D" w:themeColor="text2"/>
        </w:rPr>
        <w:lastRenderedPageBreak/>
        <w:t>CONTENTS</w:t>
      </w:r>
    </w:p>
    <w:p w:rsidR="00487206" w:rsidRDefault="00AA55B7" w:rsidP="00C1305E">
      <w:pPr>
        <w:pStyle w:val="TOC1"/>
        <w:rPr>
          <w:noProof/>
        </w:rPr>
      </w:pPr>
      <w:r w:rsidRPr="00AA55B7">
        <w:fldChar w:fldCharType="begin"/>
      </w:r>
      <w:r w:rsidR="00C1305E" w:rsidRPr="00DD7BA9">
        <w:instrText xml:space="preserve"> TOC \o "1-4" \t "Heading 1_Black,1,Heading 1_Red,1,Heading 1_Blue,1,Heading 2_Black,2,Heading 2_Red,2,Heading 2_Blue,2,Mark for Appendix Heading_Black,1,Mark for Appendix Heading_Red,1,Mark for Appendix Heading_Blue,1" </w:instrText>
      </w:r>
      <w:r w:rsidRPr="00AA55B7">
        <w:fldChar w:fldCharType="separate"/>
      </w:r>
      <w:r w:rsidR="00C1305E">
        <w:rPr>
          <w:noProof/>
        </w:rPr>
        <w:t>SUPPORTING STATEMENT FOR PAPERWORK REDUCTION ACT</w:t>
      </w:r>
    </w:p>
    <w:p w:rsidR="00C1305E" w:rsidRDefault="00C1305E" w:rsidP="00C1305E">
      <w:pPr>
        <w:pStyle w:val="TOC1"/>
        <w:rPr>
          <w:rFonts w:asciiTheme="minorHAnsi" w:eastAsiaTheme="minorEastAsia" w:hAnsiTheme="minorHAnsi" w:cstheme="minorBidi"/>
          <w:noProof/>
          <w:szCs w:val="22"/>
        </w:rPr>
      </w:pPr>
      <w:r>
        <w:rPr>
          <w:noProof/>
        </w:rPr>
        <w:t>Part B. Collection of Information Employing Statistical Methods</w:t>
      </w:r>
    </w:p>
    <w:p w:rsidR="00C1305E" w:rsidRDefault="00085FA0" w:rsidP="00C1305E">
      <w:pPr>
        <w:pStyle w:val="TOC2"/>
        <w:rPr>
          <w:rFonts w:asciiTheme="minorHAnsi" w:eastAsiaTheme="minorEastAsia" w:hAnsiTheme="minorHAnsi" w:cstheme="minorBidi"/>
          <w:noProof/>
          <w:szCs w:val="22"/>
        </w:rPr>
      </w:pPr>
      <w:r>
        <w:rPr>
          <w:noProof/>
        </w:rPr>
        <w:t>1</w:t>
      </w:r>
      <w:r w:rsidR="00C1305E">
        <w:rPr>
          <w:noProof/>
        </w:rPr>
        <w:t xml:space="preserve">. </w:t>
      </w:r>
      <w:r w:rsidR="00C1305E">
        <w:rPr>
          <w:rFonts w:asciiTheme="minorHAnsi" w:eastAsiaTheme="minorEastAsia" w:hAnsiTheme="minorHAnsi" w:cstheme="minorBidi"/>
          <w:noProof/>
          <w:szCs w:val="22"/>
        </w:rPr>
        <w:tab/>
      </w:r>
      <w:r w:rsidR="00C1305E">
        <w:rPr>
          <w:noProof/>
        </w:rPr>
        <w:t>Respondent Universe and Sampling Methods</w:t>
      </w:r>
      <w:r w:rsidR="00C1305E">
        <w:rPr>
          <w:noProof/>
        </w:rPr>
        <w:tab/>
      </w:r>
      <w:r w:rsidR="00AA55B7">
        <w:rPr>
          <w:noProof/>
        </w:rPr>
        <w:fldChar w:fldCharType="begin"/>
      </w:r>
      <w:r w:rsidR="00C1305E">
        <w:rPr>
          <w:noProof/>
        </w:rPr>
        <w:instrText xml:space="preserve"> PAGEREF _Toc277171396 \h </w:instrText>
      </w:r>
      <w:r w:rsidR="00AA55B7">
        <w:rPr>
          <w:noProof/>
        </w:rPr>
      </w:r>
      <w:r w:rsidR="00AA55B7">
        <w:rPr>
          <w:noProof/>
        </w:rPr>
        <w:fldChar w:fldCharType="separate"/>
      </w:r>
      <w:r w:rsidR="00E82AB9">
        <w:rPr>
          <w:noProof/>
        </w:rPr>
        <w:t>1</w:t>
      </w:r>
      <w:r w:rsidR="00AA55B7">
        <w:rPr>
          <w:noProof/>
        </w:rPr>
        <w:fldChar w:fldCharType="end"/>
      </w:r>
    </w:p>
    <w:p w:rsidR="00C1305E" w:rsidRDefault="00085FA0" w:rsidP="00C1305E">
      <w:pPr>
        <w:pStyle w:val="TOC2"/>
        <w:rPr>
          <w:rFonts w:asciiTheme="minorHAnsi" w:eastAsiaTheme="minorEastAsia" w:hAnsiTheme="minorHAnsi" w:cstheme="minorBidi"/>
          <w:noProof/>
          <w:szCs w:val="22"/>
        </w:rPr>
      </w:pPr>
      <w:r>
        <w:rPr>
          <w:noProof/>
        </w:rPr>
        <w:t>2</w:t>
      </w:r>
      <w:r w:rsidR="00C1305E">
        <w:rPr>
          <w:noProof/>
        </w:rPr>
        <w:t xml:space="preserve">. </w:t>
      </w:r>
      <w:r w:rsidR="00C1305E">
        <w:rPr>
          <w:rFonts w:asciiTheme="minorHAnsi" w:eastAsiaTheme="minorEastAsia" w:hAnsiTheme="minorHAnsi" w:cstheme="minorBidi"/>
          <w:noProof/>
          <w:szCs w:val="22"/>
        </w:rPr>
        <w:tab/>
      </w:r>
      <w:r w:rsidR="00C1305E">
        <w:rPr>
          <w:noProof/>
        </w:rPr>
        <w:t>Procedures for the Collection of Information</w:t>
      </w:r>
      <w:r w:rsidR="00C1305E">
        <w:rPr>
          <w:noProof/>
        </w:rPr>
        <w:tab/>
      </w:r>
      <w:r w:rsidR="00AA55B7">
        <w:rPr>
          <w:noProof/>
        </w:rPr>
        <w:fldChar w:fldCharType="begin"/>
      </w:r>
      <w:r w:rsidR="00C1305E">
        <w:rPr>
          <w:noProof/>
        </w:rPr>
        <w:instrText xml:space="preserve"> PAGEREF _Toc277171397 \h </w:instrText>
      </w:r>
      <w:r w:rsidR="00AA55B7">
        <w:rPr>
          <w:noProof/>
        </w:rPr>
      </w:r>
      <w:r w:rsidR="00AA55B7">
        <w:rPr>
          <w:noProof/>
        </w:rPr>
        <w:fldChar w:fldCharType="separate"/>
      </w:r>
      <w:r w:rsidR="00E82AB9">
        <w:rPr>
          <w:noProof/>
        </w:rPr>
        <w:t>3</w:t>
      </w:r>
      <w:r w:rsidR="00AA55B7">
        <w:rPr>
          <w:noProof/>
        </w:rPr>
        <w:fldChar w:fldCharType="end"/>
      </w:r>
    </w:p>
    <w:p w:rsidR="00C1305E" w:rsidRDefault="00085FA0" w:rsidP="00C1305E">
      <w:pPr>
        <w:pStyle w:val="TOC2"/>
        <w:rPr>
          <w:rFonts w:asciiTheme="minorHAnsi" w:eastAsiaTheme="minorEastAsia" w:hAnsiTheme="minorHAnsi" w:cstheme="minorBidi"/>
          <w:noProof/>
          <w:szCs w:val="22"/>
        </w:rPr>
      </w:pPr>
      <w:r>
        <w:rPr>
          <w:noProof/>
        </w:rPr>
        <w:t>3</w:t>
      </w:r>
      <w:r w:rsidR="00C1305E">
        <w:rPr>
          <w:noProof/>
        </w:rPr>
        <w:t xml:space="preserve">. </w:t>
      </w:r>
      <w:r w:rsidR="00C1305E">
        <w:rPr>
          <w:rFonts w:asciiTheme="minorHAnsi" w:eastAsiaTheme="minorEastAsia" w:hAnsiTheme="minorHAnsi" w:cstheme="minorBidi"/>
          <w:noProof/>
          <w:szCs w:val="22"/>
        </w:rPr>
        <w:tab/>
      </w:r>
      <w:r w:rsidR="00C1305E">
        <w:rPr>
          <w:noProof/>
        </w:rPr>
        <w:t>Methods to Maximize Response Rates and Deal with Nonresponse</w:t>
      </w:r>
      <w:r w:rsidR="00C1305E">
        <w:rPr>
          <w:noProof/>
        </w:rPr>
        <w:tab/>
      </w:r>
      <w:r w:rsidR="00AA55B7">
        <w:rPr>
          <w:noProof/>
        </w:rPr>
        <w:fldChar w:fldCharType="begin"/>
      </w:r>
      <w:r w:rsidR="00C1305E">
        <w:rPr>
          <w:noProof/>
        </w:rPr>
        <w:instrText xml:space="preserve"> PAGEREF _Toc277171402 \h </w:instrText>
      </w:r>
      <w:r w:rsidR="00AA55B7">
        <w:rPr>
          <w:noProof/>
        </w:rPr>
      </w:r>
      <w:r w:rsidR="00AA55B7">
        <w:rPr>
          <w:noProof/>
        </w:rPr>
        <w:fldChar w:fldCharType="separate"/>
      </w:r>
      <w:r w:rsidR="00E82AB9">
        <w:rPr>
          <w:noProof/>
        </w:rPr>
        <w:t>8</w:t>
      </w:r>
      <w:r w:rsidR="00AA55B7">
        <w:rPr>
          <w:noProof/>
        </w:rPr>
        <w:fldChar w:fldCharType="end"/>
      </w:r>
    </w:p>
    <w:p w:rsidR="00C1305E" w:rsidRDefault="00085FA0" w:rsidP="00C1305E">
      <w:pPr>
        <w:pStyle w:val="TOC2"/>
        <w:rPr>
          <w:rFonts w:asciiTheme="minorHAnsi" w:eastAsiaTheme="minorEastAsia" w:hAnsiTheme="minorHAnsi" w:cstheme="minorBidi"/>
          <w:noProof/>
          <w:szCs w:val="22"/>
        </w:rPr>
      </w:pPr>
      <w:r>
        <w:rPr>
          <w:noProof/>
        </w:rPr>
        <w:t>4</w:t>
      </w:r>
      <w:r w:rsidR="00C1305E">
        <w:rPr>
          <w:noProof/>
        </w:rPr>
        <w:t>.</w:t>
      </w:r>
      <w:r w:rsidR="00D1073B" w:rsidRPr="00D1073B">
        <w:rPr>
          <w:noProof/>
        </w:rPr>
        <w:tab/>
      </w:r>
      <w:r w:rsidR="00C1305E">
        <w:rPr>
          <w:noProof/>
        </w:rPr>
        <w:t>Tests of Procedures or Methods to Be Undertaken</w:t>
      </w:r>
      <w:r w:rsidR="00D1073B" w:rsidRPr="00D1073B">
        <w:rPr>
          <w:rFonts w:asciiTheme="minorHAnsi" w:eastAsiaTheme="minorEastAsia" w:hAnsiTheme="minorHAnsi"/>
          <w:noProof/>
        </w:rPr>
        <w:tab/>
      </w:r>
      <w:r w:rsidR="00AA55B7">
        <w:rPr>
          <w:noProof/>
        </w:rPr>
        <w:fldChar w:fldCharType="begin"/>
      </w:r>
      <w:r w:rsidR="00C1305E">
        <w:rPr>
          <w:noProof/>
        </w:rPr>
        <w:instrText xml:space="preserve"> PAGEREF _Toc277171403 \h </w:instrText>
      </w:r>
      <w:r w:rsidR="00AA55B7">
        <w:rPr>
          <w:noProof/>
        </w:rPr>
      </w:r>
      <w:r w:rsidR="00AA55B7">
        <w:rPr>
          <w:noProof/>
        </w:rPr>
        <w:fldChar w:fldCharType="separate"/>
      </w:r>
      <w:r w:rsidR="00E82AB9">
        <w:rPr>
          <w:noProof/>
        </w:rPr>
        <w:t>9</w:t>
      </w:r>
      <w:r w:rsidR="00AA55B7">
        <w:rPr>
          <w:noProof/>
        </w:rPr>
        <w:fldChar w:fldCharType="end"/>
      </w:r>
    </w:p>
    <w:p w:rsidR="00C1305E" w:rsidRDefault="00085FA0" w:rsidP="00C1305E">
      <w:pPr>
        <w:pStyle w:val="TOC2"/>
        <w:rPr>
          <w:rFonts w:asciiTheme="minorHAnsi" w:eastAsiaTheme="minorEastAsia" w:hAnsiTheme="minorHAnsi" w:cstheme="minorBidi"/>
          <w:noProof/>
          <w:szCs w:val="22"/>
        </w:rPr>
      </w:pPr>
      <w:r>
        <w:rPr>
          <w:noProof/>
        </w:rPr>
        <w:t>5</w:t>
      </w:r>
      <w:r w:rsidR="00C1305E">
        <w:rPr>
          <w:noProof/>
        </w:rPr>
        <w:t xml:space="preserve">. </w:t>
      </w:r>
      <w:r w:rsidR="00C1305E">
        <w:rPr>
          <w:rFonts w:asciiTheme="minorHAnsi" w:eastAsiaTheme="minorEastAsia" w:hAnsiTheme="minorHAnsi" w:cstheme="minorBidi"/>
          <w:noProof/>
          <w:szCs w:val="22"/>
        </w:rPr>
        <w:tab/>
      </w:r>
      <w:r w:rsidR="00C1305E">
        <w:rPr>
          <w:noProof/>
        </w:rPr>
        <w:t>Individuals Consulted on Statistical Aspects of the Design and on Collecting and/or Analyzing Data</w:t>
      </w:r>
      <w:r w:rsidR="00C1305E">
        <w:rPr>
          <w:noProof/>
        </w:rPr>
        <w:tab/>
      </w:r>
      <w:r w:rsidR="00AA55B7">
        <w:rPr>
          <w:noProof/>
        </w:rPr>
        <w:fldChar w:fldCharType="begin"/>
      </w:r>
      <w:r w:rsidR="00C1305E">
        <w:rPr>
          <w:noProof/>
        </w:rPr>
        <w:instrText xml:space="preserve"> PAGEREF _Toc277171404 \h </w:instrText>
      </w:r>
      <w:r w:rsidR="00AA55B7">
        <w:rPr>
          <w:noProof/>
        </w:rPr>
      </w:r>
      <w:r w:rsidR="00AA55B7">
        <w:rPr>
          <w:noProof/>
        </w:rPr>
        <w:fldChar w:fldCharType="separate"/>
      </w:r>
      <w:r w:rsidR="00E82AB9">
        <w:rPr>
          <w:noProof/>
        </w:rPr>
        <w:t>9</w:t>
      </w:r>
      <w:r w:rsidR="00AA55B7">
        <w:rPr>
          <w:noProof/>
        </w:rPr>
        <w:fldChar w:fldCharType="end"/>
      </w:r>
    </w:p>
    <w:p w:rsidR="00C1305E" w:rsidRDefault="00C1305E" w:rsidP="00C1305E">
      <w:pPr>
        <w:pStyle w:val="TOC1"/>
        <w:rPr>
          <w:rFonts w:asciiTheme="minorHAnsi" w:eastAsiaTheme="minorEastAsia" w:hAnsiTheme="minorHAnsi" w:cstheme="minorBidi"/>
          <w:noProof/>
          <w:szCs w:val="22"/>
        </w:rPr>
      </w:pPr>
      <w:r>
        <w:rPr>
          <w:noProof/>
        </w:rPr>
        <w:t>References</w:t>
      </w:r>
      <w:r>
        <w:rPr>
          <w:noProof/>
        </w:rPr>
        <w:tab/>
      </w:r>
      <w:r w:rsidR="00AA55B7">
        <w:rPr>
          <w:noProof/>
        </w:rPr>
        <w:fldChar w:fldCharType="begin"/>
      </w:r>
      <w:r>
        <w:rPr>
          <w:noProof/>
        </w:rPr>
        <w:instrText xml:space="preserve"> PAGEREF _Toc277171405 \h </w:instrText>
      </w:r>
      <w:r w:rsidR="00AA55B7">
        <w:rPr>
          <w:noProof/>
        </w:rPr>
      </w:r>
      <w:r w:rsidR="00AA55B7">
        <w:rPr>
          <w:noProof/>
        </w:rPr>
        <w:fldChar w:fldCharType="separate"/>
      </w:r>
      <w:r w:rsidR="00E82AB9">
        <w:rPr>
          <w:noProof/>
        </w:rPr>
        <w:t>11</w:t>
      </w:r>
      <w:r w:rsidR="00AA55B7">
        <w:rPr>
          <w:noProof/>
        </w:rPr>
        <w:fldChar w:fldCharType="end"/>
      </w:r>
    </w:p>
    <w:p w:rsidR="00C1305E" w:rsidRDefault="00AA55B7" w:rsidP="005560D1">
      <w:pPr>
        <w:pStyle w:val="NormalSScontinued"/>
        <w:tabs>
          <w:tab w:val="clear" w:pos="432"/>
          <w:tab w:val="left" w:pos="1440"/>
        </w:tabs>
        <w:spacing w:after="0"/>
        <w:ind w:left="990" w:hanging="990"/>
        <w:rPr>
          <w:rFonts w:ascii="Lucida Sans" w:hAnsi="Lucida Sans"/>
          <w:sz w:val="22"/>
          <w:szCs w:val="22"/>
        </w:rPr>
      </w:pPr>
      <w:r w:rsidRPr="00DD7BA9">
        <w:rPr>
          <w:rFonts w:ascii="Lucida Sans" w:hAnsi="Lucida Sans"/>
          <w:b/>
          <w:sz w:val="22"/>
          <w:szCs w:val="22"/>
        </w:rPr>
        <w:fldChar w:fldCharType="end"/>
      </w:r>
      <w:r w:rsidR="00C1305E">
        <w:rPr>
          <w:rFonts w:ascii="Lucida Sans" w:hAnsi="Lucida Sans"/>
          <w:sz w:val="22"/>
          <w:szCs w:val="22"/>
        </w:rPr>
        <w:t>APPENDIX A:</w:t>
      </w:r>
      <w:r w:rsidR="00C1305E">
        <w:rPr>
          <w:rFonts w:ascii="Lucida Sans" w:hAnsi="Lucida Sans"/>
          <w:sz w:val="22"/>
          <w:szCs w:val="22"/>
        </w:rPr>
        <w:tab/>
        <w:t xml:space="preserve">DISTRICT NOTIFICATION LETTER </w:t>
      </w:r>
    </w:p>
    <w:p w:rsidR="00C1305E" w:rsidRDefault="00C1305E" w:rsidP="00C1305E">
      <w:pPr>
        <w:tabs>
          <w:tab w:val="left" w:pos="1440"/>
        </w:tabs>
        <w:spacing w:line="240" w:lineRule="auto"/>
        <w:ind w:hanging="450"/>
        <w:jc w:val="left"/>
        <w:rPr>
          <w:rFonts w:ascii="Lucida Sans" w:hAnsi="Lucida Sans"/>
          <w:sz w:val="22"/>
          <w:szCs w:val="22"/>
        </w:rPr>
      </w:pPr>
    </w:p>
    <w:p w:rsidR="00C1305E" w:rsidRDefault="00C1305E" w:rsidP="00C1305E">
      <w:pPr>
        <w:tabs>
          <w:tab w:val="left" w:pos="1440"/>
          <w:tab w:val="left" w:pos="2520"/>
        </w:tabs>
        <w:spacing w:line="240" w:lineRule="auto"/>
        <w:ind w:firstLine="0"/>
        <w:jc w:val="left"/>
        <w:rPr>
          <w:rFonts w:ascii="Lucida Sans" w:hAnsi="Lucida Sans"/>
          <w:sz w:val="22"/>
          <w:szCs w:val="22"/>
        </w:rPr>
      </w:pPr>
      <w:r>
        <w:rPr>
          <w:rFonts w:ascii="Lucida Sans" w:hAnsi="Lucida Sans"/>
          <w:sz w:val="22"/>
          <w:szCs w:val="22"/>
        </w:rPr>
        <w:t>APPENDIX B:</w:t>
      </w:r>
      <w:r>
        <w:rPr>
          <w:rFonts w:ascii="Lucida Sans" w:hAnsi="Lucida Sans"/>
          <w:sz w:val="22"/>
          <w:szCs w:val="22"/>
        </w:rPr>
        <w:tab/>
        <w:t xml:space="preserve">DISTRICT RECRUITMENT </w:t>
      </w:r>
      <w:r w:rsidR="00A6235D">
        <w:rPr>
          <w:rFonts w:ascii="Lucida Sans" w:hAnsi="Lucida Sans"/>
          <w:sz w:val="22"/>
          <w:szCs w:val="22"/>
        </w:rPr>
        <w:t>CONVERSATION GUIDE</w:t>
      </w:r>
    </w:p>
    <w:p w:rsidR="00C1305E" w:rsidRDefault="00C1305E" w:rsidP="00C1305E">
      <w:pPr>
        <w:tabs>
          <w:tab w:val="left" w:pos="1440"/>
          <w:tab w:val="left" w:pos="2520"/>
        </w:tabs>
        <w:spacing w:line="240" w:lineRule="auto"/>
        <w:ind w:firstLine="0"/>
        <w:jc w:val="left"/>
        <w:rPr>
          <w:rFonts w:ascii="Lucida Sans" w:hAnsi="Lucida Sans"/>
          <w:sz w:val="22"/>
          <w:szCs w:val="22"/>
        </w:rPr>
      </w:pPr>
    </w:p>
    <w:p w:rsidR="00C1305E" w:rsidRDefault="00C1305E" w:rsidP="00C1305E">
      <w:pPr>
        <w:tabs>
          <w:tab w:val="left" w:pos="1440"/>
          <w:tab w:val="left" w:pos="2520"/>
        </w:tabs>
        <w:spacing w:line="240" w:lineRule="auto"/>
        <w:ind w:firstLine="0"/>
        <w:jc w:val="left"/>
        <w:rPr>
          <w:rFonts w:ascii="Lucida Sans" w:hAnsi="Lucida Sans"/>
          <w:sz w:val="22"/>
          <w:szCs w:val="22"/>
        </w:rPr>
      </w:pPr>
      <w:r>
        <w:rPr>
          <w:rFonts w:ascii="Lucida Sans" w:hAnsi="Lucida Sans"/>
          <w:sz w:val="22"/>
          <w:szCs w:val="22"/>
        </w:rPr>
        <w:t>APPENDIX C:</w:t>
      </w:r>
      <w:r>
        <w:rPr>
          <w:rFonts w:ascii="Lucida Sans" w:hAnsi="Lucida Sans"/>
          <w:sz w:val="22"/>
          <w:szCs w:val="22"/>
        </w:rPr>
        <w:tab/>
        <w:t>DISTRICT DATA REQUEST MEMO</w:t>
      </w:r>
    </w:p>
    <w:p w:rsidR="00C1305E" w:rsidRDefault="00C1305E" w:rsidP="00C1305E">
      <w:pPr>
        <w:tabs>
          <w:tab w:val="left" w:pos="1440"/>
        </w:tabs>
        <w:spacing w:line="240" w:lineRule="auto"/>
        <w:ind w:hanging="450"/>
        <w:jc w:val="left"/>
        <w:rPr>
          <w:rFonts w:ascii="Lucida Sans" w:hAnsi="Lucida Sans"/>
          <w:sz w:val="22"/>
          <w:szCs w:val="22"/>
        </w:rPr>
      </w:pPr>
    </w:p>
    <w:p w:rsidR="00C1305E" w:rsidRDefault="00C1305E" w:rsidP="00C1305E">
      <w:pPr>
        <w:tabs>
          <w:tab w:val="left" w:pos="1440"/>
          <w:tab w:val="left" w:pos="2520"/>
        </w:tabs>
        <w:spacing w:after="240" w:line="240" w:lineRule="auto"/>
        <w:ind w:firstLine="0"/>
        <w:jc w:val="left"/>
        <w:rPr>
          <w:rFonts w:ascii="Lucida Sans" w:hAnsi="Lucida Sans"/>
          <w:sz w:val="22"/>
          <w:szCs w:val="22"/>
        </w:rPr>
      </w:pPr>
      <w:r>
        <w:rPr>
          <w:rFonts w:ascii="Lucida Sans" w:hAnsi="Lucida Sans"/>
          <w:sz w:val="22"/>
          <w:szCs w:val="22"/>
        </w:rPr>
        <w:t>APPENDIX D:</w:t>
      </w:r>
      <w:r>
        <w:rPr>
          <w:rFonts w:ascii="Lucida Sans" w:hAnsi="Lucida Sans"/>
          <w:sz w:val="22"/>
          <w:szCs w:val="22"/>
        </w:rPr>
        <w:tab/>
        <w:t xml:space="preserve">DISTRICT </w:t>
      </w:r>
      <w:r w:rsidR="006904D0">
        <w:rPr>
          <w:rFonts w:ascii="Lucida Sans" w:hAnsi="Lucida Sans"/>
          <w:sz w:val="22"/>
          <w:szCs w:val="22"/>
        </w:rPr>
        <w:t xml:space="preserve">STAFF </w:t>
      </w:r>
      <w:r>
        <w:rPr>
          <w:rFonts w:ascii="Lucida Sans" w:hAnsi="Lucida Sans"/>
          <w:sz w:val="22"/>
          <w:szCs w:val="22"/>
        </w:rPr>
        <w:t>INTERVIEW PROTOCOL</w:t>
      </w:r>
    </w:p>
    <w:p w:rsidR="00C1305E" w:rsidRDefault="00C1305E" w:rsidP="00C1305E">
      <w:pPr>
        <w:tabs>
          <w:tab w:val="left" w:pos="1440"/>
          <w:tab w:val="left" w:pos="2520"/>
        </w:tabs>
        <w:spacing w:line="240" w:lineRule="auto"/>
        <w:ind w:firstLine="0"/>
        <w:jc w:val="left"/>
        <w:rPr>
          <w:rFonts w:ascii="Lucida Sans" w:hAnsi="Lucida Sans"/>
          <w:sz w:val="22"/>
          <w:szCs w:val="22"/>
        </w:rPr>
      </w:pPr>
      <w:r>
        <w:rPr>
          <w:rFonts w:ascii="Lucida Sans" w:hAnsi="Lucida Sans"/>
          <w:sz w:val="22"/>
          <w:szCs w:val="22"/>
        </w:rPr>
        <w:t>APPENDIX E:</w:t>
      </w:r>
      <w:r>
        <w:rPr>
          <w:rFonts w:ascii="Lucida Sans" w:hAnsi="Lucida Sans"/>
          <w:sz w:val="22"/>
          <w:szCs w:val="22"/>
        </w:rPr>
        <w:tab/>
        <w:t>STUDY SUMMARY</w:t>
      </w:r>
    </w:p>
    <w:p w:rsidR="00C1305E" w:rsidRPr="000C2EA3" w:rsidRDefault="00C1305E" w:rsidP="00C1305E">
      <w:pPr>
        <w:tabs>
          <w:tab w:val="left" w:pos="1440"/>
        </w:tabs>
        <w:spacing w:line="240" w:lineRule="auto"/>
        <w:ind w:hanging="450"/>
        <w:jc w:val="left"/>
        <w:rPr>
          <w:rFonts w:ascii="Lucida Sans" w:hAnsi="Lucida Sans"/>
          <w:sz w:val="22"/>
          <w:szCs w:val="22"/>
        </w:rPr>
      </w:pPr>
    </w:p>
    <w:p w:rsidR="00C1305E" w:rsidRDefault="00C1305E" w:rsidP="00C1305E">
      <w:pPr>
        <w:tabs>
          <w:tab w:val="left" w:pos="1440"/>
          <w:tab w:val="left" w:pos="2520"/>
        </w:tabs>
        <w:spacing w:after="240" w:line="240" w:lineRule="auto"/>
        <w:ind w:firstLine="0"/>
        <w:jc w:val="left"/>
        <w:rPr>
          <w:rFonts w:ascii="Lucida Sans" w:hAnsi="Lucida Sans"/>
          <w:b/>
          <w:szCs w:val="22"/>
        </w:rPr>
      </w:pPr>
      <w:r>
        <w:rPr>
          <w:rFonts w:ascii="Lucida Sans" w:hAnsi="Lucida Sans"/>
          <w:sz w:val="22"/>
          <w:szCs w:val="22"/>
        </w:rPr>
        <w:t>APPENDIX F:</w:t>
      </w:r>
      <w:r>
        <w:rPr>
          <w:rFonts w:ascii="Lucida Sans" w:hAnsi="Lucida Sans"/>
          <w:sz w:val="22"/>
          <w:szCs w:val="22"/>
        </w:rPr>
        <w:tab/>
        <w:t>CONFIDENTIALITY PLEDGE</w:t>
      </w:r>
    </w:p>
    <w:p w:rsidR="00C1305E" w:rsidRDefault="00C1305E" w:rsidP="00C1305E">
      <w:pPr>
        <w:tabs>
          <w:tab w:val="clear" w:pos="432"/>
        </w:tabs>
        <w:spacing w:line="240" w:lineRule="auto"/>
        <w:ind w:firstLine="0"/>
        <w:jc w:val="left"/>
      </w:pPr>
      <w:r>
        <w:rPr>
          <w:szCs w:val="22"/>
        </w:rPr>
        <w:br w:type="page"/>
      </w:r>
    </w:p>
    <w:p w:rsidR="00C1305E" w:rsidRPr="004A730B" w:rsidRDefault="00C1305E" w:rsidP="00C1305E">
      <w:pPr>
        <w:sectPr w:rsidR="00C1305E" w:rsidRPr="004A730B" w:rsidSect="00414195">
          <w:headerReference w:type="default" r:id="rId21"/>
          <w:footerReference w:type="default" r:id="rId22"/>
          <w:endnotePr>
            <w:numFmt w:val="decimal"/>
          </w:endnotePr>
          <w:pgSz w:w="12240" w:h="15840" w:code="1"/>
          <w:pgMar w:top="1440" w:right="1440" w:bottom="576" w:left="1440" w:header="720" w:footer="576" w:gutter="0"/>
          <w:pgNumType w:fmt="lowerRoman" w:start="5"/>
          <w:cols w:space="720"/>
          <w:docGrid w:linePitch="326"/>
        </w:sectPr>
      </w:pPr>
    </w:p>
    <w:p w:rsidR="00342478" w:rsidRPr="00A57DF4" w:rsidRDefault="00342478" w:rsidP="00342478">
      <w:pPr>
        <w:pStyle w:val="Heading1Blue"/>
      </w:pPr>
      <w:bookmarkStart w:id="14" w:name="_Toc277171395"/>
      <w:r w:rsidRPr="00A57DF4">
        <w:lastRenderedPageBreak/>
        <w:t>SUPPORTING STATEMENT FOR PAPERWORK REDUCTION ACT</w:t>
      </w:r>
      <w:r w:rsidR="00C66AC0">
        <w:br/>
      </w:r>
      <w:r w:rsidR="00C66AC0" w:rsidRPr="007C7CA8">
        <w:t xml:space="preserve">Part B. Collection </w:t>
      </w:r>
      <w:r w:rsidR="00C66AC0">
        <w:t>o</w:t>
      </w:r>
      <w:r w:rsidR="00C66AC0" w:rsidRPr="007C7CA8">
        <w:t xml:space="preserve">f Information Employing </w:t>
      </w:r>
      <w:r w:rsidR="00C66AC0">
        <w:br/>
      </w:r>
      <w:r w:rsidR="00C66AC0" w:rsidRPr="007C7CA8">
        <w:t>Statistical Methods</w:t>
      </w:r>
      <w:bookmarkEnd w:id="14"/>
      <w:r w:rsidRPr="00A57DF4">
        <w:t xml:space="preserve"> </w:t>
      </w:r>
      <w:bookmarkEnd w:id="1"/>
    </w:p>
    <w:p w:rsidR="00604C62" w:rsidRDefault="00604C62" w:rsidP="00342478">
      <w:pPr>
        <w:spacing w:line="240" w:lineRule="auto"/>
      </w:pPr>
      <w:r>
        <w:t xml:space="preserve">This submission is a request for approval of recruitment and data collection activities that will be used to support the </w:t>
      </w:r>
      <w:r w:rsidR="006B3FDF">
        <w:t xml:space="preserve">Study of the Distribution of </w:t>
      </w:r>
      <w:r>
        <w:t xml:space="preserve">Teacher </w:t>
      </w:r>
      <w:r w:rsidR="009F2365">
        <w:t>Effectiveness</w:t>
      </w:r>
      <w:r w:rsidR="00A26165">
        <w:t xml:space="preserve"> (DTE)</w:t>
      </w:r>
      <w:r>
        <w:t xml:space="preserve">. The study is being funded by the Institute of Education Sciences (IES) and the U.S. Department of Education (ED) and implemented by Mathematica and its subcontractor, the Urban Institute. </w:t>
      </w:r>
    </w:p>
    <w:p w:rsidR="00604C62" w:rsidRDefault="00604C62" w:rsidP="00342478">
      <w:pPr>
        <w:spacing w:line="240" w:lineRule="auto"/>
      </w:pPr>
    </w:p>
    <w:p w:rsidR="00342478" w:rsidRDefault="00604C62" w:rsidP="00342478">
      <w:pPr>
        <w:spacing w:line="240" w:lineRule="auto"/>
      </w:pPr>
      <w:r>
        <w:t xml:space="preserve">The goal of the study is to examine the distribution of teacher </w:t>
      </w:r>
      <w:r w:rsidR="009F2365">
        <w:t>effectiveness</w:t>
      </w:r>
      <w:r>
        <w:t xml:space="preserve"> in </w:t>
      </w:r>
      <w:r w:rsidR="00DB100E">
        <w:t xml:space="preserve">up to 30 </w:t>
      </w:r>
      <w:r>
        <w:t xml:space="preserve">school districts and </w:t>
      </w:r>
      <w:r w:rsidR="00DB100E">
        <w:t xml:space="preserve">to </w:t>
      </w:r>
      <w:r>
        <w:t xml:space="preserve">document changes in the distribution over time. We will use a value-added analysis to measure teacher effectiveness and </w:t>
      </w:r>
      <w:r w:rsidR="00784C98">
        <w:t xml:space="preserve">compare the average value-added scores of teachers of </w:t>
      </w:r>
      <w:r w:rsidR="000566AE">
        <w:t>disadvantaged</w:t>
      </w:r>
      <w:r w:rsidR="00784C98">
        <w:t xml:space="preserve"> and non-</w:t>
      </w:r>
      <w:r w:rsidR="000566AE">
        <w:t xml:space="preserve">disadvantaged </w:t>
      </w:r>
      <w:r w:rsidR="00784C98">
        <w:t>students</w:t>
      </w:r>
      <w:r>
        <w:t xml:space="preserve">. The study will provide information on the distribution of teacher effectiveness in participating districts for two baseline years and three follow-up years. Interviews with district staff will provide information on district strategies to promote an equitable distribution of teacher </w:t>
      </w:r>
      <w:r w:rsidR="009F2365">
        <w:t>effectiveness</w:t>
      </w:r>
      <w:r>
        <w:t>, allowing us to analyze the relationship between district policies and the distribution.</w:t>
      </w:r>
      <w:r w:rsidR="00784C98">
        <w:t xml:space="preserve"> T</w:t>
      </w:r>
      <w:r w:rsidR="00784C98" w:rsidRPr="00E75DDD">
        <w:t>he study will also explore the relationship between teacher mobility and the distribution of teacher effectiveness</w:t>
      </w:r>
      <w:r w:rsidR="00784C98">
        <w:t>.</w:t>
      </w:r>
    </w:p>
    <w:p w:rsidR="00342478" w:rsidRDefault="00342478" w:rsidP="00342478">
      <w:pPr>
        <w:spacing w:line="240" w:lineRule="auto"/>
      </w:pPr>
    </w:p>
    <w:p w:rsidR="00342478" w:rsidRDefault="00342478" w:rsidP="00342478">
      <w:pPr>
        <w:spacing w:line="240" w:lineRule="auto"/>
      </w:pPr>
      <w:r>
        <w:t>This submission requests approval to recruit districts for the study, collect student records and teacher personnel data, and conduct telephone interviews with staff in participating districts.</w:t>
      </w:r>
    </w:p>
    <w:p w:rsidR="0087660D" w:rsidRDefault="0087660D" w:rsidP="00342478">
      <w:pPr>
        <w:spacing w:line="240" w:lineRule="auto"/>
      </w:pPr>
    </w:p>
    <w:p w:rsidR="0087660D" w:rsidRPr="00A57DF4" w:rsidRDefault="00085FA0" w:rsidP="00C66AC0">
      <w:pPr>
        <w:pStyle w:val="Heading2Blue"/>
      </w:pPr>
      <w:bookmarkStart w:id="15" w:name="_Toc256361786"/>
      <w:bookmarkStart w:id="16" w:name="_Toc277171396"/>
      <w:r>
        <w:t>1</w:t>
      </w:r>
      <w:r w:rsidR="0087660D" w:rsidRPr="00A57DF4">
        <w:t>.</w:t>
      </w:r>
      <w:r w:rsidR="006A410F">
        <w:tab/>
      </w:r>
      <w:r w:rsidR="0087660D" w:rsidRPr="00FC4D21">
        <w:t>Respondent Universe and Sampling Methods</w:t>
      </w:r>
      <w:bookmarkEnd w:id="15"/>
      <w:bookmarkEnd w:id="16"/>
      <w:r w:rsidR="0087660D" w:rsidRPr="00A57DF4">
        <w:tab/>
      </w:r>
    </w:p>
    <w:p w:rsidR="004905B8" w:rsidRDefault="007E5E76" w:rsidP="00F839A3">
      <w:pPr>
        <w:spacing w:line="240" w:lineRule="auto"/>
      </w:pPr>
      <w:r>
        <w:t>Ideally</w:t>
      </w:r>
      <w:r w:rsidR="00C41DFC">
        <w:t>,</w:t>
      </w:r>
      <w:r>
        <w:t xml:space="preserve"> we would </w:t>
      </w:r>
      <w:r w:rsidR="00297931">
        <w:t xml:space="preserve">obtain a nationally representative sample of </w:t>
      </w:r>
      <w:r w:rsidR="006245A4">
        <w:t xml:space="preserve">30 </w:t>
      </w:r>
      <w:r w:rsidR="00297931">
        <w:t xml:space="preserve">districts </w:t>
      </w:r>
      <w:r>
        <w:t xml:space="preserve">from the universe of school districts </w:t>
      </w:r>
      <w:r w:rsidR="00297931">
        <w:t>in</w:t>
      </w:r>
      <w:r>
        <w:t xml:space="preserve"> the country. However, t</w:t>
      </w:r>
      <w:r w:rsidR="004905B8">
        <w:t xml:space="preserve">his </w:t>
      </w:r>
      <w:r>
        <w:t>is not feasible</w:t>
      </w:r>
      <w:r w:rsidR="004905B8">
        <w:t xml:space="preserve"> because </w:t>
      </w:r>
      <w:r w:rsidR="003967E3">
        <w:t xml:space="preserve">participating </w:t>
      </w:r>
      <w:r w:rsidR="004905B8">
        <w:t xml:space="preserve">districts must have </w:t>
      </w:r>
      <w:r w:rsidR="003967E3">
        <w:t xml:space="preserve">the </w:t>
      </w:r>
      <w:r w:rsidR="004905B8">
        <w:t xml:space="preserve">data needed to conduct a </w:t>
      </w:r>
      <w:r w:rsidR="00EF4EE6">
        <w:t>value-added</w:t>
      </w:r>
      <w:r w:rsidR="004905B8">
        <w:t xml:space="preserve"> analysis. A </w:t>
      </w:r>
      <w:r w:rsidR="00EF4EE6">
        <w:t>value-added</w:t>
      </w:r>
      <w:r w:rsidR="004905B8">
        <w:t xml:space="preserve"> model requires data with </w:t>
      </w:r>
      <w:r w:rsidR="003967E3">
        <w:t xml:space="preserve">student-teacher </w:t>
      </w:r>
      <w:r w:rsidR="004905B8">
        <w:t xml:space="preserve">links that identify </w:t>
      </w:r>
      <w:r w:rsidR="003967E3">
        <w:t xml:space="preserve">for each student the teacher responsible for teaching math and reading, as well as unique student and teacher identifiers that remain the same over time. </w:t>
      </w:r>
      <w:r w:rsidR="00297931">
        <w:t xml:space="preserve">While the number of states and districts with this data capacity is increasing, a statistical sampling method is not possible given the limited number of districts with these data. </w:t>
      </w:r>
      <w:r w:rsidR="003967E3">
        <w:t xml:space="preserve">In addition, </w:t>
      </w:r>
      <w:r w:rsidR="00C41DFC">
        <w:t xml:space="preserve">conducting value-added analyses, measuring the distribution of effective teachers, and analyzing teacher mobility requires that </w:t>
      </w:r>
      <w:r w:rsidR="00297931">
        <w:t xml:space="preserve">participating districts </w:t>
      </w:r>
      <w:r w:rsidR="00C41DFC">
        <w:t xml:space="preserve">have </w:t>
      </w:r>
      <w:r w:rsidR="00297931">
        <w:t xml:space="preserve">a sufficient number of students, teachers, and schools (see </w:t>
      </w:r>
      <w:r w:rsidR="00CA077C">
        <w:t>Section B</w:t>
      </w:r>
      <w:r w:rsidR="00297931">
        <w:t xml:space="preserve"> below). </w:t>
      </w:r>
    </w:p>
    <w:p w:rsidR="004905B8" w:rsidRDefault="004905B8" w:rsidP="00F839A3">
      <w:pPr>
        <w:spacing w:line="240" w:lineRule="auto"/>
      </w:pPr>
    </w:p>
    <w:p w:rsidR="00A052DE" w:rsidRDefault="004F0C2E" w:rsidP="00235D9C">
      <w:pPr>
        <w:spacing w:line="240" w:lineRule="auto"/>
      </w:pPr>
      <w:r>
        <w:t xml:space="preserve">To identify </w:t>
      </w:r>
      <w:r w:rsidR="006245A4">
        <w:t xml:space="preserve">30 </w:t>
      </w:r>
      <w:r>
        <w:t xml:space="preserve">districts based on these criteria, we </w:t>
      </w:r>
      <w:r w:rsidR="006245A4">
        <w:t>will begin</w:t>
      </w:r>
      <w:r>
        <w:t xml:space="preserve"> with a list of the largest 100 districts</w:t>
      </w:r>
      <w:r w:rsidR="00033EBB">
        <w:t xml:space="preserve"> from the Common Core of Data</w:t>
      </w:r>
      <w:r w:rsidR="00391C87">
        <w:t xml:space="preserve"> maintained by ED’s National Center for Education Statistics (NCES)</w:t>
      </w:r>
      <w:r>
        <w:t xml:space="preserve">. </w:t>
      </w:r>
      <w:r w:rsidR="004A21DF">
        <w:t>Since the</w:t>
      </w:r>
      <w:r>
        <w:t xml:space="preserve"> largest districts are disproportionately located in the </w:t>
      </w:r>
      <w:r w:rsidR="00033EBB">
        <w:t>S</w:t>
      </w:r>
      <w:r>
        <w:t xml:space="preserve">outh and </w:t>
      </w:r>
      <w:r w:rsidR="00033EBB">
        <w:t>W</w:t>
      </w:r>
      <w:r>
        <w:t xml:space="preserve">est regions of the </w:t>
      </w:r>
      <w:r w:rsidR="00391C87">
        <w:t>country</w:t>
      </w:r>
      <w:r>
        <w:t xml:space="preserve">, we </w:t>
      </w:r>
      <w:r w:rsidR="006245A4">
        <w:t>will expand</w:t>
      </w:r>
      <w:r>
        <w:t xml:space="preserve"> the list to in</w:t>
      </w:r>
      <w:r w:rsidR="00033EBB">
        <w:t xml:space="preserve">clude districts among the next </w:t>
      </w:r>
      <w:r w:rsidR="00A052DE">
        <w:t xml:space="preserve">600 </w:t>
      </w:r>
      <w:r w:rsidR="00033EBB">
        <w:t>largest that were located in the North or Midwest</w:t>
      </w:r>
      <w:r w:rsidR="00A052DE">
        <w:t xml:space="preserve"> and had at least </w:t>
      </w:r>
      <w:r w:rsidR="00674E26">
        <w:t>30</w:t>
      </w:r>
      <w:r w:rsidR="00A052DE">
        <w:t xml:space="preserve"> total schools</w:t>
      </w:r>
      <w:r w:rsidR="00033EBB">
        <w:t xml:space="preserve">. </w:t>
      </w:r>
      <w:r w:rsidR="00597C4E">
        <w:t>This will provide an initial list of 160 districts for recruitment.</w:t>
      </w:r>
    </w:p>
    <w:p w:rsidR="00A052DE" w:rsidRDefault="00A052DE" w:rsidP="00235D9C">
      <w:pPr>
        <w:spacing w:line="240" w:lineRule="auto"/>
      </w:pPr>
    </w:p>
    <w:p w:rsidR="00BB6ADB" w:rsidRDefault="00BB6ADB" w:rsidP="00BB6ADB">
      <w:pPr>
        <w:spacing w:line="240" w:lineRule="auto"/>
      </w:pPr>
      <w:r>
        <w:t>Since v</w:t>
      </w:r>
      <w:r w:rsidRPr="00AE52AB">
        <w:t>ariation across districts in the type</w:t>
      </w:r>
      <w:r w:rsidR="003142ED">
        <w:t>s</w:t>
      </w:r>
      <w:r w:rsidRPr="00AE52AB">
        <w:t xml:space="preserve"> of teacher distribution policies will facilitate </w:t>
      </w:r>
      <w:r>
        <w:t>the</w:t>
      </w:r>
      <w:r w:rsidRPr="00AE52AB">
        <w:t xml:space="preserve"> analysis of how district policies relate to chan</w:t>
      </w:r>
      <w:r w:rsidR="003142ED">
        <w:t>ges in the teacher distribution,</w:t>
      </w:r>
      <w:r w:rsidRPr="00AE52AB">
        <w:t xml:space="preserve"> </w:t>
      </w:r>
      <w:r w:rsidR="003142ED">
        <w:t>w</w:t>
      </w:r>
      <w:r>
        <w:t xml:space="preserve">e will </w:t>
      </w:r>
      <w:r w:rsidR="00A55F58">
        <w:t xml:space="preserve">use </w:t>
      </w:r>
      <w:r>
        <w:t>information on the following types of policies:</w:t>
      </w:r>
    </w:p>
    <w:p w:rsidR="00BB6ADB" w:rsidRDefault="00BB6ADB" w:rsidP="00BB6ADB">
      <w:pPr>
        <w:spacing w:line="240" w:lineRule="auto"/>
      </w:pPr>
    </w:p>
    <w:p w:rsidR="00BB6ADB" w:rsidRDefault="00BB6ADB" w:rsidP="00BB6ADB">
      <w:pPr>
        <w:pStyle w:val="Dash"/>
      </w:pPr>
      <w:r>
        <w:rPr>
          <w:b/>
        </w:rPr>
        <w:t>Teacher compensation</w:t>
      </w:r>
      <w:r>
        <w:t>. We will use t</w:t>
      </w:r>
      <w:r w:rsidRPr="00C51FE5">
        <w:t xml:space="preserve">he Teachers Rules, Roles, and Rights </w:t>
      </w:r>
      <w:r>
        <w:t xml:space="preserve">(TR3) </w:t>
      </w:r>
      <w:r w:rsidR="00B0619E">
        <w:t>d</w:t>
      </w:r>
      <w:r w:rsidRPr="00C51FE5">
        <w:t>atabase maintained by the National Council on Teacher Quality</w:t>
      </w:r>
      <w:r>
        <w:t xml:space="preserve"> and </w:t>
      </w:r>
      <w:r>
        <w:lastRenderedPageBreak/>
        <w:t>information from the</w:t>
      </w:r>
      <w:r w:rsidR="00A55F58">
        <w:t xml:space="preserve"> websites of the</w:t>
      </w:r>
      <w:r>
        <w:t xml:space="preserve"> Center for Educator Compensation Reform and the National Center on Performance Incentives websites to identify policies and</w:t>
      </w:r>
      <w:r w:rsidRPr="001D1564">
        <w:t xml:space="preserve"> program</w:t>
      </w:r>
      <w:r>
        <w:t>s</w:t>
      </w:r>
      <w:r w:rsidR="00A55F58">
        <w:t xml:space="preserve"> that (a) offer</w:t>
      </w:r>
      <w:r w:rsidRPr="001D1564">
        <w:t xml:space="preserve"> additional pay or a higher salary for teaching in</w:t>
      </w:r>
      <w:r w:rsidR="00A55F58">
        <w:t xml:space="preserve"> a high-need school, (b) reward</w:t>
      </w:r>
      <w:r w:rsidRPr="001D1564">
        <w:t xml:space="preserve"> teachers based o</w:t>
      </w:r>
      <w:r w:rsidR="00A55F58">
        <w:t>n their performance, or (c) pay</w:t>
      </w:r>
      <w:r w:rsidRPr="001D1564">
        <w:t xml:space="preserve"> teachers for taking on additional roles or responsibilities</w:t>
      </w:r>
      <w:r>
        <w:t>.</w:t>
      </w:r>
    </w:p>
    <w:p w:rsidR="00BB6ADB" w:rsidRDefault="00BB6ADB" w:rsidP="00BB6ADB">
      <w:pPr>
        <w:pStyle w:val="Dash"/>
      </w:pPr>
      <w:r>
        <w:rPr>
          <w:b/>
        </w:rPr>
        <w:t>Teacher recruitment</w:t>
      </w:r>
      <w:r>
        <w:t>. Information on d</w:t>
      </w:r>
      <w:r w:rsidRPr="000F61FB">
        <w:t>istrict policies or practices designed to recruit a pool of teachers for high-need schools. This includes targeted recruitment activities for high-need schools as well as programs such as Teach for America, Teaching Fellows, or Teacher Residency Programs that recruit new teachers for these schools.</w:t>
      </w:r>
      <w:r>
        <w:t xml:space="preserve"> </w:t>
      </w:r>
    </w:p>
    <w:p w:rsidR="00BB6ADB" w:rsidRDefault="00BB6ADB" w:rsidP="00BB6ADB">
      <w:pPr>
        <w:pStyle w:val="Dash"/>
      </w:pPr>
      <w:r w:rsidRPr="00C51FE5">
        <w:rPr>
          <w:b/>
        </w:rPr>
        <w:t>School autonomy in personnel decisions</w:t>
      </w:r>
      <w:r w:rsidR="00B0619E">
        <w:t>. The TR3 d</w:t>
      </w:r>
      <w:r>
        <w:t>atabase will be used to gather information on d</w:t>
      </w:r>
      <w:r w:rsidRPr="001D1564">
        <w:t>istrict policies that provide schools the authority to decide whether to hire a voluntary or involuntary transfer and that require the consent of the principal and teacher when filling a vacancy.</w:t>
      </w:r>
    </w:p>
    <w:p w:rsidR="00BB6ADB" w:rsidRDefault="00BB6ADB" w:rsidP="00BB6ADB">
      <w:pPr>
        <w:spacing w:line="240" w:lineRule="auto"/>
      </w:pPr>
    </w:p>
    <w:p w:rsidR="00BB6ADB" w:rsidRDefault="003142ED" w:rsidP="00BB6ADB">
      <w:pPr>
        <w:spacing w:line="240" w:lineRule="auto"/>
      </w:pPr>
      <w:r>
        <w:t>D</w:t>
      </w:r>
      <w:r w:rsidR="00BB6ADB">
        <w:t>istricts often implement more than one type of equitable distribution policy,</w:t>
      </w:r>
      <w:r>
        <w:t xml:space="preserve"> so</w:t>
      </w:r>
      <w:r w:rsidR="00BB6ADB">
        <w:t xml:space="preserve"> we will group districts into the following four policy categories: (1) teacher compensation policies only; (2) teacher recruitment policies only, or recruitment policies with compensation policies; (3) autonomy policies with recruitment and/or compensation policies; and (4) none of these three policies. </w:t>
      </w:r>
      <w:r w:rsidR="0004208E">
        <w:t>Among the 160 districts identified based on district size, 21 percent are in the first policy category, 18 percent are in the second, 17 percent are in the third, and 44 percent are in the fourth. However, this overstates the proportion of districts in the fourth category because it also captures districts for which information on district policies</w:t>
      </w:r>
      <w:r w:rsidR="001079EF">
        <w:t xml:space="preserve"> was not available</w:t>
      </w:r>
      <w:r w:rsidR="0004208E">
        <w:t>.</w:t>
      </w:r>
    </w:p>
    <w:p w:rsidR="00BB6ADB" w:rsidRDefault="00BB6ADB" w:rsidP="00235D9C">
      <w:pPr>
        <w:spacing w:line="240" w:lineRule="auto"/>
      </w:pPr>
    </w:p>
    <w:p w:rsidR="00674E26" w:rsidRDefault="00674E26" w:rsidP="00235D9C">
      <w:pPr>
        <w:spacing w:line="240" w:lineRule="auto"/>
      </w:pPr>
      <w:r>
        <w:t xml:space="preserve">We will </w:t>
      </w:r>
      <w:r w:rsidR="00BB6ADB">
        <w:t>then</w:t>
      </w:r>
      <w:r w:rsidR="00A642AC">
        <w:t xml:space="preserve"> </w:t>
      </w:r>
      <w:r>
        <w:t xml:space="preserve">prioritize </w:t>
      </w:r>
      <w:r w:rsidR="008521F5">
        <w:t xml:space="preserve">an initial group of </w:t>
      </w:r>
      <w:r w:rsidR="00A26165">
        <w:t xml:space="preserve">100 </w:t>
      </w:r>
      <w:r>
        <w:t>districts for recruitment</w:t>
      </w:r>
      <w:r w:rsidR="00E10824">
        <w:t xml:space="preserve"> </w:t>
      </w:r>
      <w:r w:rsidR="00BB6ADB">
        <w:t>using the following approach</w:t>
      </w:r>
      <w:r>
        <w:t>:</w:t>
      </w:r>
    </w:p>
    <w:p w:rsidR="00674E26" w:rsidRDefault="00674E26" w:rsidP="00235D9C">
      <w:pPr>
        <w:spacing w:line="240" w:lineRule="auto"/>
      </w:pPr>
    </w:p>
    <w:p w:rsidR="00A642AC" w:rsidRDefault="00A642AC" w:rsidP="00A642AC">
      <w:pPr>
        <w:pStyle w:val="BulletBlue"/>
      </w:pPr>
      <w:r>
        <w:rPr>
          <w:b/>
        </w:rPr>
        <w:t>Maximize g</w:t>
      </w:r>
      <w:r w:rsidRPr="007B5887">
        <w:rPr>
          <w:b/>
        </w:rPr>
        <w:t>eographic diversity</w:t>
      </w:r>
      <w:r w:rsidRPr="00636BBB">
        <w:rPr>
          <w:b/>
        </w:rPr>
        <w:t>.</w:t>
      </w:r>
      <w:r>
        <w:t xml:space="preserve"> </w:t>
      </w:r>
      <w:r w:rsidRPr="00E71F74">
        <w:t xml:space="preserve">While a nationally representative sample is not possible, we will seek </w:t>
      </w:r>
      <w:r w:rsidR="00602184">
        <w:t xml:space="preserve">representation from each of the four geographic regions that is proportional to the relative number of students in each of the four major geographic </w:t>
      </w:r>
      <w:proofErr w:type="spellStart"/>
      <w:r w:rsidR="00602184">
        <w:t>regions</w:t>
      </w:r>
      <w:r w:rsidRPr="00E71F74">
        <w:t>in</w:t>
      </w:r>
      <w:proofErr w:type="spellEnd"/>
      <w:r w:rsidRPr="00E71F74">
        <w:t xml:space="preserve"> the United States: North, South, Midwest and West.</w:t>
      </w:r>
    </w:p>
    <w:p w:rsidR="00674E26" w:rsidRDefault="00A642AC" w:rsidP="00674E26">
      <w:pPr>
        <w:pStyle w:val="BulletBlue"/>
      </w:pPr>
      <w:r>
        <w:rPr>
          <w:b/>
        </w:rPr>
        <w:t>Prioritize d</w:t>
      </w:r>
      <w:r w:rsidR="00674E26" w:rsidRPr="007B5887">
        <w:rPr>
          <w:b/>
        </w:rPr>
        <w:t>ata capacity</w:t>
      </w:r>
      <w:r w:rsidR="00674E26" w:rsidRPr="00636BBB">
        <w:rPr>
          <w:b/>
        </w:rPr>
        <w:t>.</w:t>
      </w:r>
      <w:r w:rsidR="00674E26">
        <w:t xml:space="preserve"> </w:t>
      </w:r>
      <w:r w:rsidR="0043760F">
        <w:t>W</w:t>
      </w:r>
      <w:r w:rsidR="00674E26">
        <w:t>e will prioritize districts that have the data to support the estimation of teacher value-added indicators, including student-teacher links and unique identifiers for students and teachers that remain consistent over time.</w:t>
      </w:r>
    </w:p>
    <w:p w:rsidR="00E82370" w:rsidRDefault="00A642AC" w:rsidP="00E82370">
      <w:pPr>
        <w:pStyle w:val="BulletBlue"/>
      </w:pPr>
      <w:r>
        <w:rPr>
          <w:b/>
        </w:rPr>
        <w:t>Seek v</w:t>
      </w:r>
      <w:r w:rsidR="00674E26" w:rsidRPr="007B5887">
        <w:rPr>
          <w:b/>
        </w:rPr>
        <w:t>ariation in equitable distribution policies</w:t>
      </w:r>
      <w:r w:rsidR="00674E26">
        <w:rPr>
          <w:b/>
        </w:rPr>
        <w:t xml:space="preserve">. </w:t>
      </w:r>
      <w:r w:rsidR="00597C4E">
        <w:t xml:space="preserve">We will </w:t>
      </w:r>
      <w:r w:rsidR="003142ED">
        <w:t>seek districts that vary in the types of equitable distribution policies they implement. To do this, we will target districts from each of the four policy categories described above</w:t>
      </w:r>
      <w:r w:rsidR="00EF29EE">
        <w:t xml:space="preserve"> </w:t>
      </w:r>
      <w:r w:rsidR="00597C4E">
        <w:t xml:space="preserve">to ensure variation in this key dimension for the analysis. </w:t>
      </w:r>
      <w:r w:rsidR="003142ED">
        <w:t>The extent of variation in policies across participating districts will depend on the data capacity of districts in each policy category.</w:t>
      </w:r>
    </w:p>
    <w:p w:rsidR="00E82370" w:rsidRDefault="00597C4E" w:rsidP="00E82370">
      <w:pPr>
        <w:pStyle w:val="BulletBlueLastSS"/>
      </w:pPr>
      <w:r>
        <w:rPr>
          <w:b/>
        </w:rPr>
        <w:t>Prioritize districts with greater socioeconomic diversity and geographic concentration</w:t>
      </w:r>
      <w:r w:rsidRPr="00C1305E">
        <w:rPr>
          <w:b/>
        </w:rPr>
        <w:t>.</w:t>
      </w:r>
      <w:r>
        <w:t xml:space="preserve"> </w:t>
      </w:r>
      <w:r w:rsidRPr="00E10824">
        <w:t xml:space="preserve">When there </w:t>
      </w:r>
      <w:r>
        <w:t>are</w:t>
      </w:r>
      <w:r w:rsidRPr="00E10824">
        <w:t xml:space="preserve"> multiple districts meeting the above criteria</w:t>
      </w:r>
      <w:r>
        <w:t>, we will prioritize districts with</w:t>
      </w:r>
      <w:r w:rsidRPr="00E10824">
        <w:t xml:space="preserve"> </w:t>
      </w:r>
      <w:r w:rsidR="0043760F">
        <w:t xml:space="preserve">more </w:t>
      </w:r>
      <w:r>
        <w:t xml:space="preserve">socioeconomic diversity, at least 20 percent and less than 80 percent of students eligible for free or reduced-price lunch, and </w:t>
      </w:r>
      <w:r w:rsidR="0043760F">
        <w:t xml:space="preserve">more </w:t>
      </w:r>
      <w:r>
        <w:t xml:space="preserve">geographic concentration, districts </w:t>
      </w:r>
      <w:r w:rsidRPr="00597C4E">
        <w:t xml:space="preserve">where students </w:t>
      </w:r>
      <w:r w:rsidR="0043760F">
        <w:t>are</w:t>
      </w:r>
      <w:r w:rsidRPr="00597C4E">
        <w:t xml:space="preserve"> concentrated in one larger district rather than spread across multiple smaller districts</w:t>
      </w:r>
      <w:r>
        <w:t>.</w:t>
      </w:r>
    </w:p>
    <w:p w:rsidR="00235D9C" w:rsidRDefault="00D41AC7" w:rsidP="00235D9C">
      <w:pPr>
        <w:spacing w:line="240" w:lineRule="auto"/>
      </w:pPr>
      <w:r>
        <w:lastRenderedPageBreak/>
        <w:t xml:space="preserve">Recruitment efforts will focus on </w:t>
      </w:r>
      <w:r w:rsidR="008521F5">
        <w:t>the</w:t>
      </w:r>
      <w:r w:rsidR="00D048B0">
        <w:t xml:space="preserve"> initial group of about </w:t>
      </w:r>
      <w:r w:rsidR="00A26165">
        <w:t xml:space="preserve">100 </w:t>
      </w:r>
      <w:r w:rsidR="00235D9C">
        <w:t>districts</w:t>
      </w:r>
      <w:r w:rsidR="00D048B0">
        <w:t xml:space="preserve">, and </w:t>
      </w:r>
      <w:r w:rsidR="00B802C8">
        <w:t xml:space="preserve">we will have </w:t>
      </w:r>
      <w:r w:rsidR="00D048B0">
        <w:t xml:space="preserve">a backup pool of </w:t>
      </w:r>
      <w:r w:rsidR="00A26165">
        <w:t xml:space="preserve">60 </w:t>
      </w:r>
      <w:r w:rsidR="00D048B0">
        <w:t xml:space="preserve">additional districts </w:t>
      </w:r>
      <w:r>
        <w:t xml:space="preserve">as needed when </w:t>
      </w:r>
      <w:r w:rsidR="00D048B0">
        <w:t>districts refuse to participate or lack the necessary data capacity</w:t>
      </w:r>
      <w:r w:rsidR="006245A4">
        <w:t>.</w:t>
      </w:r>
    </w:p>
    <w:p w:rsidR="00235D9C" w:rsidRDefault="00235D9C" w:rsidP="00235D9C">
      <w:pPr>
        <w:spacing w:line="240" w:lineRule="auto"/>
      </w:pPr>
    </w:p>
    <w:p w:rsidR="0087660D" w:rsidRPr="00A57DF4" w:rsidRDefault="00085FA0" w:rsidP="00C66AC0">
      <w:pPr>
        <w:pStyle w:val="Heading2Blue"/>
      </w:pPr>
      <w:bookmarkStart w:id="17" w:name="_Toc277171397"/>
      <w:r>
        <w:t>2</w:t>
      </w:r>
      <w:r w:rsidR="0087660D" w:rsidRPr="00FC4D21">
        <w:t>.</w:t>
      </w:r>
      <w:r w:rsidR="006A410F">
        <w:tab/>
      </w:r>
      <w:r w:rsidR="00391C87">
        <w:t>Procedures for the Collection of Information</w:t>
      </w:r>
      <w:bookmarkEnd w:id="17"/>
      <w:r w:rsidR="0087660D">
        <w:t xml:space="preserve"> </w:t>
      </w:r>
    </w:p>
    <w:p w:rsidR="001D4C8F" w:rsidRDefault="00235D9C" w:rsidP="001D4C8F">
      <w:pPr>
        <w:spacing w:line="240" w:lineRule="auto"/>
      </w:pPr>
      <w:r>
        <w:t xml:space="preserve">To obtain </w:t>
      </w:r>
      <w:r w:rsidR="00576DF1">
        <w:t>the</w:t>
      </w:r>
      <w:r>
        <w:t xml:space="preserve"> purposeful sample of 30 districts, </w:t>
      </w:r>
      <w:r w:rsidR="001D4C8F">
        <w:t>Mathematica staff will contact the identified districts to gauge their interest in the study and request their participation. We will begin the recruitment effort by mailing districts introductory packages, which will include the following two documents:</w:t>
      </w:r>
    </w:p>
    <w:p w:rsidR="001D4C8F" w:rsidRDefault="001D4C8F" w:rsidP="001D4C8F">
      <w:pPr>
        <w:spacing w:line="240" w:lineRule="auto"/>
      </w:pPr>
    </w:p>
    <w:p w:rsidR="001D4C8F" w:rsidRPr="00636BBB" w:rsidRDefault="001D4C8F" w:rsidP="00636BBB">
      <w:pPr>
        <w:pStyle w:val="BulletBlue"/>
      </w:pPr>
      <w:r w:rsidRPr="00636BBB">
        <w:rPr>
          <w:b/>
        </w:rPr>
        <w:t>Notification letter.</w:t>
      </w:r>
      <w:r w:rsidRPr="00636BBB">
        <w:t xml:space="preserve"> The one-page notification letter on ED letterhead and signed by the </w:t>
      </w:r>
      <w:r w:rsidR="00576DF1" w:rsidRPr="00636BBB">
        <w:t xml:space="preserve">contracting officer’s representative </w:t>
      </w:r>
      <w:r w:rsidRPr="00636BBB">
        <w:t>describes the importance of studying the distribution of teacher effectiveness, provides an overview of the study design, summarizes the benefits of participating, and notes that a study team member will follow up by telephone to discuss the study in more detail</w:t>
      </w:r>
      <w:r w:rsidR="007C7CA8" w:rsidRPr="00636BBB">
        <w:t xml:space="preserve"> (Appendix A)</w:t>
      </w:r>
      <w:r w:rsidRPr="00636BBB">
        <w:t>.</w:t>
      </w:r>
    </w:p>
    <w:p w:rsidR="001D4C8F" w:rsidRPr="00636BBB" w:rsidRDefault="001D4C8F" w:rsidP="00636BBB">
      <w:pPr>
        <w:pStyle w:val="BulletBlueLastSS"/>
      </w:pPr>
      <w:r w:rsidRPr="00636BBB">
        <w:rPr>
          <w:b/>
        </w:rPr>
        <w:t xml:space="preserve">Study </w:t>
      </w:r>
      <w:r w:rsidR="00636BBB" w:rsidRPr="00636BBB">
        <w:rPr>
          <w:b/>
        </w:rPr>
        <w:t>s</w:t>
      </w:r>
      <w:r w:rsidRPr="00636BBB">
        <w:rPr>
          <w:b/>
        </w:rPr>
        <w:t>ummary.</w:t>
      </w:r>
      <w:r w:rsidRPr="00636BBB">
        <w:t xml:space="preserve"> The two-page summary describes the purpose of the study and the benefits of participation, identifies the study team, and provides contact information for the project director and the ED project officer. It also discusses the activities required of participating districts and schools</w:t>
      </w:r>
      <w:r w:rsidR="007C7CA8" w:rsidRPr="00636BBB">
        <w:t xml:space="preserve"> (Appendix E)</w:t>
      </w:r>
      <w:r w:rsidRPr="00636BBB">
        <w:t xml:space="preserve">. </w:t>
      </w:r>
    </w:p>
    <w:p w:rsidR="001D4C8F" w:rsidRDefault="001D4C8F" w:rsidP="001D4C8F">
      <w:pPr>
        <w:spacing w:line="240" w:lineRule="auto"/>
      </w:pPr>
      <w:r>
        <w:t>W</w:t>
      </w:r>
      <w:r w:rsidRPr="000B594D">
        <w:t xml:space="preserve">e will send the </w:t>
      </w:r>
      <w:r>
        <w:t xml:space="preserve">notification </w:t>
      </w:r>
      <w:r w:rsidRPr="000B594D">
        <w:t xml:space="preserve">letter and study summary to </w:t>
      </w:r>
      <w:r>
        <w:t xml:space="preserve">each district’s </w:t>
      </w:r>
      <w:r w:rsidRPr="000B594D">
        <w:t xml:space="preserve">superintendent and director of human resources via FedEx to </w:t>
      </w:r>
      <w:r>
        <w:t>highlight the importance of the documents</w:t>
      </w:r>
      <w:r w:rsidRPr="000B594D">
        <w:t xml:space="preserve">. A </w:t>
      </w:r>
      <w:r>
        <w:t>Mathematica</w:t>
      </w:r>
      <w:r w:rsidRPr="000B594D">
        <w:t xml:space="preserve"> </w:t>
      </w:r>
      <w:r>
        <w:t xml:space="preserve">researcher </w:t>
      </w:r>
      <w:r w:rsidRPr="000B594D">
        <w:t xml:space="preserve">will follow up with the director of human resources within two days of the delivery date to begin discussing the study. </w:t>
      </w:r>
      <w:r>
        <w:t>We</w:t>
      </w:r>
      <w:r w:rsidRPr="000B594D">
        <w:t xml:space="preserve"> will </w:t>
      </w:r>
      <w:r>
        <w:t>schedule</w:t>
      </w:r>
      <w:r w:rsidRPr="000B594D">
        <w:t xml:space="preserve"> in-person meeting</w:t>
      </w:r>
      <w:r>
        <w:t>s</w:t>
      </w:r>
      <w:r w:rsidRPr="000B594D">
        <w:t xml:space="preserve"> or conference call</w:t>
      </w:r>
      <w:r>
        <w:t>s</w:t>
      </w:r>
      <w:r w:rsidRPr="000B594D">
        <w:t xml:space="preserve"> with key stakeholders in the district to describe the study, explain the benefits of participation, confirm the availability of data needed for the study, </w:t>
      </w:r>
      <w:r>
        <w:t xml:space="preserve">discuss confidentiality procedures, </w:t>
      </w:r>
      <w:r w:rsidRPr="000B594D">
        <w:t>and secure participation.</w:t>
      </w:r>
    </w:p>
    <w:p w:rsidR="001D4C8F" w:rsidRPr="001D4C8F" w:rsidRDefault="001D4C8F" w:rsidP="00235D9C">
      <w:pPr>
        <w:spacing w:line="240" w:lineRule="auto"/>
      </w:pPr>
    </w:p>
    <w:p w:rsidR="00235D9C" w:rsidRDefault="00F7438B" w:rsidP="00235D9C">
      <w:pPr>
        <w:spacing w:line="240" w:lineRule="auto"/>
      </w:pPr>
      <w:r>
        <w:t>We will collect the following data from the 30 districts participating in the study:</w:t>
      </w:r>
    </w:p>
    <w:p w:rsidR="00235D9C" w:rsidRDefault="00235D9C" w:rsidP="00235D9C">
      <w:pPr>
        <w:spacing w:line="240" w:lineRule="auto"/>
      </w:pPr>
    </w:p>
    <w:p w:rsidR="001D4C8F" w:rsidRDefault="001D4C8F" w:rsidP="00C66AC0">
      <w:pPr>
        <w:pStyle w:val="BulletBlue"/>
      </w:pPr>
      <w:r w:rsidRPr="004A4541">
        <w:rPr>
          <w:b/>
        </w:rPr>
        <w:t>District administrative data collection</w:t>
      </w:r>
      <w:r w:rsidRPr="00606B26">
        <w:t xml:space="preserve">. Mathematica will </w:t>
      </w:r>
      <w:r>
        <w:t>collect</w:t>
      </w:r>
      <w:r w:rsidRPr="00606B26">
        <w:t xml:space="preserve"> data from districts to conduct a </w:t>
      </w:r>
      <w:r>
        <w:t>value-added</w:t>
      </w:r>
      <w:r w:rsidRPr="00606B26">
        <w:t xml:space="preserve"> analysis and track teacher assignments and mobility. </w:t>
      </w:r>
      <w:r>
        <w:t xml:space="preserve">We will collect </w:t>
      </w:r>
      <w:r w:rsidRPr="00606B26">
        <w:t>standardized test scores, student enrollment data with student</w:t>
      </w:r>
      <w:r>
        <w:t>–</w:t>
      </w:r>
      <w:r w:rsidRPr="00606B26">
        <w:t xml:space="preserve">teacher links, and student demographic characteristics such as special education status and other factors that help explain test scores (Appendix </w:t>
      </w:r>
      <w:r w:rsidR="00E66B33">
        <w:t>C</w:t>
      </w:r>
      <w:r w:rsidRPr="00606B26">
        <w:t xml:space="preserve">). The teacher </w:t>
      </w:r>
      <w:r w:rsidR="00141FA6">
        <w:t>personnel</w:t>
      </w:r>
      <w:r w:rsidRPr="00606B26">
        <w:t xml:space="preserve"> data</w:t>
      </w:r>
      <w:r>
        <w:t xml:space="preserve"> </w:t>
      </w:r>
      <w:r w:rsidRPr="00606B26">
        <w:t xml:space="preserve">include information </w:t>
      </w:r>
      <w:r>
        <w:t xml:space="preserve">on teachers’ school assignments, </w:t>
      </w:r>
      <w:r w:rsidRPr="00606B26">
        <w:t>movement within and out of the district each year</w:t>
      </w:r>
      <w:r>
        <w:t>, background characteristics</w:t>
      </w:r>
      <w:r w:rsidR="00AA3A12">
        <w:t>, and teacher performance measures</w:t>
      </w:r>
      <w:r w:rsidRPr="00606B26">
        <w:t xml:space="preserve"> (Appendix </w:t>
      </w:r>
      <w:r w:rsidR="00E66B33">
        <w:t>C</w:t>
      </w:r>
      <w:r w:rsidRPr="00606B26">
        <w:t xml:space="preserve">). </w:t>
      </w:r>
      <w:r w:rsidR="00DC0FFF" w:rsidRPr="00606B26">
        <w:t xml:space="preserve">Although we prefer to receive the data in electronic format, we will use data in whatever format is most convenient for each district. </w:t>
      </w:r>
      <w:r w:rsidR="00DC0FFF">
        <w:t>In the first round of data collection conducted in summer 2011, we will collect data for the past three school years (2007-08 through 2009-10). In the next three rounds of data collection, we will gather data for the next three school years (2010-11 through 2012-13). These three data collection rounds will begin in December of 2011, 2012, and 2013 respectively.</w:t>
      </w:r>
    </w:p>
    <w:p w:rsidR="004B4E60" w:rsidRDefault="004B4E60" w:rsidP="00C66AC0">
      <w:pPr>
        <w:pStyle w:val="BulletBlueLastSS"/>
      </w:pPr>
      <w:r w:rsidRPr="001D4C8F">
        <w:rPr>
          <w:b/>
        </w:rPr>
        <w:t>District staff interviews</w:t>
      </w:r>
      <w:r w:rsidRPr="00E44753">
        <w:t xml:space="preserve">. We will conduct telephone interviews with district staff who are knowledgeable </w:t>
      </w:r>
      <w:r>
        <w:t>about</w:t>
      </w:r>
      <w:r w:rsidRPr="00E44753">
        <w:t xml:space="preserve"> district policies </w:t>
      </w:r>
      <w:r>
        <w:t xml:space="preserve">designed </w:t>
      </w:r>
      <w:r w:rsidRPr="00E44753">
        <w:t xml:space="preserve">to promote the equitable distribution of teacher quality. </w:t>
      </w:r>
      <w:r>
        <w:t xml:space="preserve">In the interviews, we will </w:t>
      </w:r>
      <w:r w:rsidRPr="00E44753">
        <w:t xml:space="preserve">gather information on district policies related to the recruitment, hiring, transfer, development, and compensation of teachers, </w:t>
      </w:r>
      <w:r w:rsidRPr="00E44753">
        <w:lastRenderedPageBreak/>
        <w:t xml:space="preserve">as well as policies that affect school working conditions (Appendix </w:t>
      </w:r>
      <w:r>
        <w:t>D</w:t>
      </w:r>
      <w:r w:rsidRPr="00E44753">
        <w:t xml:space="preserve">). </w:t>
      </w:r>
      <w:r>
        <w:t>Also, w</w:t>
      </w:r>
      <w:r w:rsidRPr="00E44753">
        <w:t xml:space="preserve">e will conduct </w:t>
      </w:r>
      <w:r>
        <w:t>interviews with three staff</w:t>
      </w:r>
      <w:r w:rsidRPr="00E44753">
        <w:t xml:space="preserve"> in each district who are knowledgeable in these areas.</w:t>
      </w:r>
      <w:r>
        <w:t xml:space="preserve"> Since it is unlikely that one person in the district will have sufficiently detailed information about each area, we will interview one staff person familiar with staffing (that is, recruitment, hiring, and transfer), another who is knowledgeable about compensation, and a third who is involved with school turnaround efforts. In the first round of interviews in summer 2011, we will gather data on district policies in the </w:t>
      </w:r>
      <w:r w:rsidR="007D7944">
        <w:br/>
      </w:r>
      <w:r>
        <w:t>2008-09 through 2010-11 school years. Interviews in spring 2012 will focus on district policies in the 2011-12 school year and those held in spring 2013 will concentrate on policies in the 2012-13 school year.</w:t>
      </w:r>
    </w:p>
    <w:p w:rsidR="0087660D" w:rsidRDefault="002A401B" w:rsidP="0087660D">
      <w:pPr>
        <w:spacing w:line="240" w:lineRule="auto"/>
      </w:pPr>
      <w:r w:rsidRPr="002A401B">
        <w:t xml:space="preserve">The sample size requirements for the study were developed by identifying the numbers of students, teachers, </w:t>
      </w:r>
      <w:r w:rsidR="003B5D83">
        <w:t xml:space="preserve">and </w:t>
      </w:r>
      <w:r w:rsidRPr="002A401B">
        <w:t xml:space="preserve">schools necessary to answer the study’s main research questions with a reasonable degree of precision. We </w:t>
      </w:r>
      <w:r w:rsidR="00C65E75">
        <w:t>used past research on similar topics</w:t>
      </w:r>
      <w:r w:rsidR="00C65E75" w:rsidRPr="002A401B">
        <w:t xml:space="preserve"> </w:t>
      </w:r>
      <w:r w:rsidR="00C65E75">
        <w:t>to inform</w:t>
      </w:r>
      <w:r w:rsidRPr="002A401B">
        <w:t xml:space="preserve"> our sample size requirements</w:t>
      </w:r>
      <w:r w:rsidR="00033A7E">
        <w:t>. The sections below describe each analysis and the sample size requirements.</w:t>
      </w:r>
    </w:p>
    <w:p w:rsidR="000E3809" w:rsidRDefault="000E3809" w:rsidP="0087660D">
      <w:pPr>
        <w:spacing w:line="240" w:lineRule="auto"/>
      </w:pPr>
    </w:p>
    <w:p w:rsidR="000E3809" w:rsidRPr="00033A7E" w:rsidRDefault="00085FA0" w:rsidP="00C66AC0">
      <w:pPr>
        <w:pStyle w:val="Heading3"/>
      </w:pPr>
      <w:bookmarkStart w:id="18" w:name="_Toc277171398"/>
      <w:r>
        <w:t>a</w:t>
      </w:r>
      <w:r w:rsidR="000E3809" w:rsidRPr="00033A7E">
        <w:t>.</w:t>
      </w:r>
      <w:r w:rsidR="000E3809" w:rsidRPr="00033A7E">
        <w:tab/>
      </w:r>
      <w:r w:rsidR="00033A7E" w:rsidRPr="00033A7E">
        <w:t>Measuring Teacher Effectiveness</w:t>
      </w:r>
      <w:bookmarkEnd w:id="18"/>
      <w:r w:rsidR="00033A7E" w:rsidRPr="00033A7E">
        <w:rPr>
          <w:rStyle w:val="CommentReference"/>
        </w:rPr>
        <w:t xml:space="preserve"> </w:t>
      </w:r>
    </w:p>
    <w:p w:rsidR="00784C98" w:rsidRDefault="0039346B" w:rsidP="00784C98">
      <w:pPr>
        <w:pStyle w:val="NormalSS"/>
      </w:pPr>
      <w:r>
        <w:t>To measure teachers’ value added scores</w:t>
      </w:r>
      <w:r w:rsidR="00784C98">
        <w:t xml:space="preserve">, we rely on a regression model that controls for a series of baseline student characteristics that could be related to academic achievement, which might otherwise be confounded with the assignment of students to teachers. Specifically, we assume that a student’s posttest score depends on prior achievement, background  characteristics, their teachers, and additional unmeasured factors that are unrelated to teaching assignments. </w:t>
      </w:r>
      <w:r w:rsidR="00784C98" w:rsidRPr="008D1C62">
        <w:t>For each district,</w:t>
      </w:r>
      <w:r w:rsidR="00784C98" w:rsidRPr="008D1C62">
        <w:rPr>
          <w:i/>
        </w:rPr>
        <w:t xml:space="preserve"> </w:t>
      </w:r>
      <w:r w:rsidR="00784C98" w:rsidRPr="008D1C62">
        <w:t>grade level, and subject (math or reading), the regression equation can be expressed as:</w:t>
      </w:r>
    </w:p>
    <w:p w:rsidR="007E603A" w:rsidRDefault="00492B1B">
      <w:pPr>
        <w:pStyle w:val="NormalSS"/>
        <w:tabs>
          <w:tab w:val="left" w:pos="0"/>
          <w:tab w:val="left" w:pos="1080"/>
          <w:tab w:val="center" w:pos="4320"/>
          <w:tab w:val="right" w:pos="9360"/>
        </w:tabs>
        <w:ind w:firstLine="0"/>
        <w:jc w:val="left"/>
      </w:pPr>
      <w:r>
        <w:rPr>
          <w:position w:val="-14"/>
        </w:rPr>
        <w:tab/>
      </w:r>
      <w:r w:rsidR="00784C98">
        <w:rPr>
          <w:position w:val="-14"/>
        </w:rPr>
        <w:t>(1)</w:t>
      </w:r>
      <w:r w:rsidR="00784C98">
        <w:rPr>
          <w:position w:val="-14"/>
        </w:rPr>
        <w:tab/>
      </w:r>
      <w:r w:rsidR="00784C98" w:rsidRPr="008D1C62">
        <w:rPr>
          <w:position w:val="-12"/>
        </w:rPr>
        <w:object w:dxaOrig="2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9.5pt" o:ole="">
            <v:imagedata r:id="rId23" o:title=""/>
          </v:shape>
          <o:OLEObject Type="Embed" ProgID="Equation.DSMT4" ShapeID="_x0000_i1025" DrawAspect="Content" ObjectID="_1374045326" r:id="rId24"/>
        </w:object>
      </w:r>
      <w:r w:rsidR="00784C98" w:rsidRPr="00D74708">
        <w:t>.</w:t>
      </w:r>
      <w:r w:rsidR="00784C98" w:rsidRPr="00D74708">
        <w:rPr>
          <w:position w:val="-14"/>
        </w:rPr>
        <w:tab/>
      </w:r>
    </w:p>
    <w:p w:rsidR="00784C98" w:rsidRDefault="00784C98" w:rsidP="00784C98">
      <w:pPr>
        <w:pStyle w:val="NormalSS"/>
        <w:ind w:firstLine="0"/>
      </w:pPr>
      <w:r w:rsidRPr="008D1C62">
        <w:t xml:space="preserve">where </w:t>
      </w:r>
      <w:r w:rsidRPr="008D1C62">
        <w:rPr>
          <w:rFonts w:ascii="Times New Roman Italic" w:hAnsi="Times New Roman Italic"/>
          <w:i/>
        </w:rPr>
        <w:t>Y</w:t>
      </w:r>
      <w:r w:rsidRPr="008D1C62">
        <w:rPr>
          <w:rFonts w:ascii="Times New Roman Italic" w:hAnsi="Times New Roman Italic"/>
          <w:i/>
          <w:vertAlign w:val="subscript"/>
        </w:rPr>
        <w:t>i</w:t>
      </w:r>
      <w:r w:rsidRPr="008D1C62">
        <w:t xml:space="preserve"> is the posttest score for student </w:t>
      </w:r>
      <w:r w:rsidRPr="008D1C62">
        <w:rPr>
          <w:rFonts w:ascii="Times New Roman Italic" w:hAnsi="Times New Roman Italic"/>
          <w:i/>
        </w:rPr>
        <w:t>i</w:t>
      </w:r>
      <w:r w:rsidRPr="008D1C62">
        <w:t xml:space="preserve">, and </w:t>
      </w:r>
      <w:r w:rsidRPr="008D1C62">
        <w:rPr>
          <w:rFonts w:ascii="Times New Roman" w:hAnsi="Times New Roman"/>
          <w:b/>
        </w:rPr>
        <w:t>W</w:t>
      </w:r>
      <w:r w:rsidRPr="008D1C62">
        <w:rPr>
          <w:rFonts w:ascii="Times New Roman" w:hAnsi="Times New Roman"/>
          <w:i/>
          <w:vertAlign w:val="subscript"/>
        </w:rPr>
        <w:t>i</w:t>
      </w:r>
      <w:r w:rsidRPr="008D1C62">
        <w:t xml:space="preserve"> represents a vector of pretests</w:t>
      </w:r>
      <w:r w:rsidRPr="008D1C62">
        <w:rPr>
          <w:i/>
        </w:rPr>
        <w:t xml:space="preserve">, </w:t>
      </w:r>
      <w:r w:rsidRPr="008D1C62">
        <w:t xml:space="preserve">including, at minimum, the test score for that student in the same subject in the prior year. The pretest scores capture prior inputs into student achievement. Control variables for student background characteristics are included in </w:t>
      </w:r>
      <w:r w:rsidRPr="008D1C62">
        <w:rPr>
          <w:rFonts w:ascii="Times New Roman" w:hAnsi="Times New Roman"/>
          <w:b/>
        </w:rPr>
        <w:t>X</w:t>
      </w:r>
      <w:r w:rsidRPr="008D1C62">
        <w:rPr>
          <w:rFonts w:ascii="Times New Roman" w:hAnsi="Times New Roman"/>
          <w:i/>
          <w:vertAlign w:val="subscript"/>
        </w:rPr>
        <w:t>i</w:t>
      </w:r>
      <w:r w:rsidRPr="008D1C62">
        <w:t xml:space="preserve">, and </w:t>
      </w:r>
      <w:r w:rsidRPr="008D1C62">
        <w:rPr>
          <w:rFonts w:ascii="Times New Roman" w:hAnsi="Times New Roman"/>
          <w:b/>
        </w:rPr>
        <w:t>T</w:t>
      </w:r>
      <w:r w:rsidRPr="008D1C62">
        <w:rPr>
          <w:rFonts w:ascii="Times New Roman" w:hAnsi="Times New Roman"/>
          <w:i/>
          <w:vertAlign w:val="subscript"/>
        </w:rPr>
        <w:t>i</w:t>
      </w:r>
      <w:r w:rsidRPr="008D1C62">
        <w:t xml:space="preserve"> represents a set of variables for the teachers in the sample. Finally, </w:t>
      </w:r>
      <w:r w:rsidRPr="008D1C62">
        <w:rPr>
          <w:rFonts w:ascii="Symbol" w:hAnsi="Symbol"/>
          <w:i/>
        </w:rPr>
        <w:t></w:t>
      </w:r>
      <w:r w:rsidRPr="008D1C62">
        <w:rPr>
          <w:rFonts w:ascii="Times New Roman Italic" w:hAnsi="Times New Roman Italic"/>
          <w:i/>
          <w:vertAlign w:val="subscript"/>
        </w:rPr>
        <w:t>i</w:t>
      </w:r>
      <w:r w:rsidRPr="008D1C62">
        <w:t xml:space="preserve"> represents an error term.</w:t>
      </w:r>
    </w:p>
    <w:p w:rsidR="00682AC7" w:rsidRDefault="00682AC7" w:rsidP="00935C28">
      <w:pPr>
        <w:pStyle w:val="NormalSS"/>
        <w:ind w:firstLine="0"/>
      </w:pPr>
      <w:r>
        <w:tab/>
      </w:r>
      <w:r w:rsidRPr="008D1C62">
        <w:t xml:space="preserve">Because we are interested in measuring the </w:t>
      </w:r>
      <w:r w:rsidR="00606880">
        <w:t>distribution</w:t>
      </w:r>
      <w:r w:rsidRPr="008D1C62">
        <w:t xml:space="preserve"> each year, we will estimate </w:t>
      </w:r>
      <w:r>
        <w:t>value added</w:t>
      </w:r>
      <w:r w:rsidRPr="008D1C62">
        <w:t xml:space="preserve"> using only the data for that year. In some contexts, researchers use multiple years of data to estimate teacher value added to generate more precise estimates of the component of teacher effectiveness that remains constant (McCaffrey et al. 2009). For our analysis, however, multi-year estimates could be disadvantageous if they mask true changes in teacher effectiveness from year to year, as we seek to quantify changes over time. Further, </w:t>
      </w:r>
      <w:r w:rsidR="00606880">
        <w:t>our distribution measure described below</w:t>
      </w:r>
      <w:r w:rsidRPr="008D1C62">
        <w:t xml:space="preserve"> pools information from multiple teachers, which implies that the precision gains to using multiple years of data are expected to be far smaller than if we were considering individual teacher value-added measures. Considering both the bias and the precision, we believe that using single-year measures will increase the overall accuracy of </w:t>
      </w:r>
      <w:r w:rsidR="00606880">
        <w:t xml:space="preserve">the </w:t>
      </w:r>
      <w:r w:rsidRPr="008D1C62">
        <w:t>estimates for our distribution analysis.</w:t>
      </w:r>
    </w:p>
    <w:p w:rsidR="000E3809" w:rsidRDefault="001D4C8F" w:rsidP="000E3809">
      <w:pPr>
        <w:spacing w:line="240" w:lineRule="auto"/>
      </w:pPr>
      <w:r>
        <w:t>Therefore, w</w:t>
      </w:r>
      <w:r w:rsidR="000E3809">
        <w:t xml:space="preserve">e require that school districts included in the study </w:t>
      </w:r>
      <w:r w:rsidR="00CD63A1">
        <w:t>be</w:t>
      </w:r>
      <w:r w:rsidR="000E3809">
        <w:t xml:space="preserve"> able to initially supply student test scores for </w:t>
      </w:r>
      <w:r w:rsidR="00A740D4">
        <w:t xml:space="preserve">two </w:t>
      </w:r>
      <w:r w:rsidR="000E3809">
        <w:t xml:space="preserve">years and teacher-student links for </w:t>
      </w:r>
      <w:r w:rsidR="00A740D4">
        <w:t xml:space="preserve">one </w:t>
      </w:r>
      <w:r w:rsidR="000E3809">
        <w:t xml:space="preserve">year—the data required to estimate </w:t>
      </w:r>
      <w:r w:rsidR="00A740D4">
        <w:t xml:space="preserve">one </w:t>
      </w:r>
      <w:r w:rsidR="000E3809">
        <w:t>year of value-added teacher estimates.</w:t>
      </w:r>
    </w:p>
    <w:p w:rsidR="000E3809" w:rsidRDefault="00085FA0" w:rsidP="00C66AC0">
      <w:pPr>
        <w:pStyle w:val="Heading3"/>
      </w:pPr>
      <w:bookmarkStart w:id="19" w:name="_Toc277171399"/>
      <w:r>
        <w:lastRenderedPageBreak/>
        <w:t>b</w:t>
      </w:r>
      <w:r w:rsidR="000E3809">
        <w:t xml:space="preserve">. </w:t>
      </w:r>
      <w:r w:rsidR="000E3809">
        <w:tab/>
        <w:t xml:space="preserve">Measuring the Distribution of Teacher </w:t>
      </w:r>
      <w:bookmarkEnd w:id="19"/>
      <w:r w:rsidR="009F2365">
        <w:t>Effectiveness</w:t>
      </w:r>
    </w:p>
    <w:p w:rsidR="00682AC7" w:rsidRDefault="00682AC7" w:rsidP="00682AC7">
      <w:pPr>
        <w:pStyle w:val="NormalSS"/>
      </w:pPr>
      <w:r w:rsidRPr="008D1C62">
        <w:t>The primary goal of the study is to document the distribution of teacher effectiveness in a diverse set of districts. The measure of the distribution of teacher effectiveness will be used both to describe the distribution in each district and the key outcome variable in the analysis of the relationship between the distribution and district policies. The goal of the distribution measure is to describe the extent to which disadvantaged and non-disadvantaged students have equal access to effective teaching, defined here as teachers with high value-added scores.</w:t>
      </w:r>
    </w:p>
    <w:p w:rsidR="00682AC7" w:rsidRDefault="00682AC7" w:rsidP="00682AC7">
      <w:pPr>
        <w:pStyle w:val="NormalSS"/>
      </w:pPr>
      <w:r w:rsidRPr="008D1C62">
        <w:t xml:space="preserve">The </w:t>
      </w:r>
      <w:r w:rsidR="00606880">
        <w:t>Average Effectiveness Gap (</w:t>
      </w:r>
      <w:r w:rsidRPr="008D1C62">
        <w:t>AEG</w:t>
      </w:r>
      <w:r w:rsidR="00606880">
        <w:t>)</w:t>
      </w:r>
      <w:r w:rsidRPr="008D1C62">
        <w:t xml:space="preserve"> is </w:t>
      </w:r>
      <w:r w:rsidR="000566AE">
        <w:t>a</w:t>
      </w:r>
      <w:r w:rsidRPr="008D1C62">
        <w:t xml:space="preserve"> summary measure of the distribution of teacher effectiveness between </w:t>
      </w:r>
      <w:r w:rsidR="000566AE">
        <w:t>disadvantaged and non-disadvantaged</w:t>
      </w:r>
      <w:r w:rsidRPr="008D1C62">
        <w:t xml:space="preserve"> students, as defined by FRL status.</w:t>
      </w:r>
      <w:r w:rsidR="000566AE">
        <w:t xml:space="preserve"> </w:t>
      </w:r>
      <w:r w:rsidRPr="008D1C62">
        <w:t>We define two variants of this measure, the Average Teacher Effectiveness Gap (ATEG) and Average School Effectiveness Gap (ASEG), that depend on the level at which we are measuring effectiveness.</w:t>
      </w:r>
      <w:r>
        <w:t xml:space="preserve"> The ATEG accounts for the distribution of teacher quality both between and within schools, and so is generally preferred to the ASEG, which measures only the between-school component of this distribution. The ASEG, however, relies only on school-student links rather than teacher-student links, and so can be computed even if there are incomplete data on teacher-student links.</w:t>
      </w:r>
    </w:p>
    <w:p w:rsidR="00682AC7" w:rsidRPr="008D1C62" w:rsidRDefault="00682AC7" w:rsidP="00682AC7">
      <w:pPr>
        <w:pStyle w:val="NormalSS"/>
      </w:pPr>
      <w:r w:rsidRPr="008D1C62">
        <w:t xml:space="preserve">The ATEG is the average value added of the teachers of </w:t>
      </w:r>
      <w:r w:rsidR="001C0BC6">
        <w:t>non-</w:t>
      </w:r>
      <w:r w:rsidR="001C0BC6" w:rsidRPr="008D1C62">
        <w:t xml:space="preserve">disadvantaged </w:t>
      </w:r>
      <w:r w:rsidRPr="008D1C62">
        <w:t xml:space="preserve">students, </w:t>
      </w:r>
      <w:r w:rsidR="00AA3A12" w:rsidRPr="008D1C62">
        <w:rPr>
          <w:position w:val="-12"/>
        </w:rPr>
        <w:object w:dxaOrig="360" w:dyaOrig="380">
          <v:shape id="_x0000_i1026" type="#_x0000_t75" style="width:18pt;height:19.5pt" o:ole="">
            <v:imagedata r:id="rId25" o:title=""/>
          </v:shape>
          <o:OLEObject Type="Embed" ProgID="Equation.DSMT4" ShapeID="_x0000_i1026" DrawAspect="Content" ObjectID="_1374045327" r:id="rId26"/>
        </w:object>
      </w:r>
      <w:r w:rsidRPr="008D1C62">
        <w:t xml:space="preserve">, minus the average teacher value added of teachers of </w:t>
      </w:r>
      <w:r w:rsidR="001C0BC6" w:rsidRPr="008D1C62">
        <w:t xml:space="preserve">disadvantaged </w:t>
      </w:r>
      <w:r w:rsidRPr="008D1C62">
        <w:t xml:space="preserve">students, </w:t>
      </w:r>
      <w:r w:rsidR="00AA3A12" w:rsidRPr="00AA3A12">
        <w:rPr>
          <w:position w:val="-12"/>
        </w:rPr>
        <w:object w:dxaOrig="279" w:dyaOrig="380">
          <v:shape id="_x0000_i1027" type="#_x0000_t75" style="width:14.25pt;height:19.5pt" o:ole="">
            <v:imagedata r:id="rId27" o:title=""/>
          </v:shape>
          <o:OLEObject Type="Embed" ProgID="Equation.DSMT4" ShapeID="_x0000_i1027" DrawAspect="Content" ObjectID="_1374045328" r:id="rId28"/>
        </w:object>
      </w:r>
      <w:r w:rsidRPr="008D1C62">
        <w:t xml:space="preserve">: </w:t>
      </w:r>
    </w:p>
    <w:p w:rsidR="00682AC7" w:rsidRPr="008D1C62" w:rsidRDefault="00682AC7" w:rsidP="00682AC7">
      <w:pPr>
        <w:tabs>
          <w:tab w:val="clear" w:pos="432"/>
          <w:tab w:val="left" w:pos="1080"/>
          <w:tab w:val="center" w:pos="4770"/>
          <w:tab w:val="right" w:pos="9360"/>
        </w:tabs>
        <w:spacing w:after="240" w:line="240" w:lineRule="auto"/>
        <w:ind w:firstLine="446"/>
        <w:rPr>
          <w:color w:val="000000"/>
        </w:rPr>
      </w:pPr>
      <w:r w:rsidRPr="008D1C62">
        <w:rPr>
          <w:color w:val="000000"/>
        </w:rPr>
        <w:t>(2)</w:t>
      </w:r>
      <w:r>
        <w:rPr>
          <w:color w:val="000000"/>
        </w:rPr>
        <w:tab/>
      </w:r>
      <w:r w:rsidR="00AA3A12" w:rsidRPr="00AA3A12">
        <w:rPr>
          <w:position w:val="-12"/>
        </w:rPr>
        <w:object w:dxaOrig="1660" w:dyaOrig="380">
          <v:shape id="_x0000_i1028" type="#_x0000_t75" style="width:83.25pt;height:19.5pt" o:ole="">
            <v:imagedata r:id="rId29" o:title=""/>
          </v:shape>
          <o:OLEObject Type="Embed" ProgID="Equation.DSMT4" ShapeID="_x0000_i1028" DrawAspect="Content" ObjectID="_1374045329" r:id="rId30"/>
        </w:object>
      </w:r>
    </w:p>
    <w:p w:rsidR="00682AC7" w:rsidRPr="008D1C62" w:rsidRDefault="00682AC7" w:rsidP="00682AC7">
      <w:pPr>
        <w:pStyle w:val="NormalSScontinued"/>
      </w:pPr>
      <w:r w:rsidRPr="008D1C62">
        <w:t xml:space="preserve">Teachers who have both types of students in their classrooms will count toward both </w:t>
      </w:r>
      <w:r w:rsidR="00AA3A12" w:rsidRPr="008D1C62">
        <w:rPr>
          <w:position w:val="-12"/>
        </w:rPr>
        <w:object w:dxaOrig="360" w:dyaOrig="360">
          <v:shape id="_x0000_i1029" type="#_x0000_t75" style="width:18pt;height:19.5pt" o:ole="">
            <v:imagedata r:id="rId31" o:title=""/>
          </v:shape>
          <o:OLEObject Type="Embed" ProgID="Equation.DSMT4" ShapeID="_x0000_i1029" DrawAspect="Content" ObjectID="_1374045330" r:id="rId32"/>
        </w:object>
      </w:r>
      <w:r w:rsidRPr="008D1C62">
        <w:t xml:space="preserve"> and </w:t>
      </w:r>
      <w:r w:rsidR="00AA3A12" w:rsidRPr="00AA3A12">
        <w:rPr>
          <w:position w:val="-12"/>
        </w:rPr>
        <w:object w:dxaOrig="279" w:dyaOrig="360">
          <v:shape id="_x0000_i1030" type="#_x0000_t75" style="width:14.25pt;height:18.75pt" o:ole="">
            <v:imagedata r:id="rId33" o:title=""/>
          </v:shape>
          <o:OLEObject Type="Embed" ProgID="Equation.DSMT4" ShapeID="_x0000_i1030" DrawAspect="Content" ObjectID="_1374045331" r:id="rId34"/>
        </w:object>
      </w:r>
      <w:r w:rsidRPr="008D1C62">
        <w:t xml:space="preserve"> in proportion to the number of </w:t>
      </w:r>
      <w:r w:rsidR="001C0BC6" w:rsidRPr="008D1C62">
        <w:t xml:space="preserve">disadvantaged </w:t>
      </w:r>
      <w:r w:rsidRPr="008D1C62">
        <w:t xml:space="preserve">and </w:t>
      </w:r>
      <w:r w:rsidR="001C0BC6">
        <w:t>non-</w:t>
      </w:r>
      <w:r w:rsidR="001C0BC6" w:rsidRPr="008D1C62">
        <w:t xml:space="preserve">disadvantaged </w:t>
      </w:r>
      <w:r w:rsidRPr="008D1C62">
        <w:t>students they have.</w:t>
      </w:r>
    </w:p>
    <w:p w:rsidR="00682AC7" w:rsidRPr="008D1C62" w:rsidRDefault="00682AC7" w:rsidP="00682AC7">
      <w:pPr>
        <w:pStyle w:val="NormalSS"/>
      </w:pPr>
      <w:r w:rsidRPr="008D1C62">
        <w:t xml:space="preserve">Similarly, the ASEG is the average value added of the schools attended by </w:t>
      </w:r>
      <w:r w:rsidR="001C0BC6">
        <w:t>non-</w:t>
      </w:r>
      <w:r w:rsidR="001C0BC6" w:rsidRPr="008D1C62">
        <w:t xml:space="preserve">disadvantaged </w:t>
      </w:r>
      <w:r w:rsidRPr="008D1C62">
        <w:t xml:space="preserve">students minus the average value added of the schools attended by </w:t>
      </w:r>
      <w:r w:rsidR="001C0BC6" w:rsidRPr="008D1C62">
        <w:t xml:space="preserve">disadvantaged </w:t>
      </w:r>
      <w:r w:rsidRPr="008D1C62">
        <w:t>students. Schools that have both types of students count toward the average value added for both types of students.</w:t>
      </w:r>
    </w:p>
    <w:p w:rsidR="00682AC7" w:rsidRPr="008D1C62" w:rsidRDefault="00682AC7" w:rsidP="00682AC7">
      <w:pPr>
        <w:pStyle w:val="NormalSS"/>
      </w:pPr>
      <w:r w:rsidRPr="008D1C62">
        <w:t xml:space="preserve">These measures represent the amount by which the teacher or school quality experienced by </w:t>
      </w:r>
      <w:r w:rsidR="001C0BC6">
        <w:t>non-</w:t>
      </w:r>
      <w:r w:rsidR="001C0BC6" w:rsidRPr="008D1C62">
        <w:t xml:space="preserve">disadvantaged </w:t>
      </w:r>
      <w:r w:rsidRPr="008D1C62">
        <w:t xml:space="preserve">students exceeds (if the AEG is positive) or is less than (if AEG is negative) the teacher or school quality experienced by </w:t>
      </w:r>
      <w:r w:rsidR="001C0BC6" w:rsidRPr="008D1C62">
        <w:t xml:space="preserve">disadvantaged </w:t>
      </w:r>
      <w:r w:rsidRPr="008D1C62">
        <w:t>students. It is numerically equal to the coefficient on FRL in the following regression of value-added scores on FRL:</w:t>
      </w:r>
    </w:p>
    <w:p w:rsidR="00682AC7" w:rsidRPr="008D1C62" w:rsidRDefault="00682AC7" w:rsidP="00682AC7">
      <w:pPr>
        <w:tabs>
          <w:tab w:val="clear" w:pos="432"/>
          <w:tab w:val="left" w:pos="1080"/>
          <w:tab w:val="center" w:pos="4770"/>
          <w:tab w:val="right" w:pos="9360"/>
        </w:tabs>
        <w:spacing w:after="240" w:line="240" w:lineRule="auto"/>
        <w:ind w:firstLine="446"/>
      </w:pPr>
      <w:r w:rsidRPr="008D1C62">
        <w:t>(3)</w:t>
      </w:r>
      <w:r w:rsidRPr="008D1C62">
        <w:tab/>
      </w:r>
      <w:r w:rsidRPr="008D1C62">
        <w:rPr>
          <w:position w:val="-14"/>
        </w:rPr>
        <w:object w:dxaOrig="2020" w:dyaOrig="400">
          <v:shape id="_x0000_i1031" type="#_x0000_t75" style="width:101.25pt;height:21pt" o:ole="">
            <v:imagedata r:id="rId35" o:title=""/>
          </v:shape>
          <o:OLEObject Type="Embed" ProgID="Equation.DSMT4" ShapeID="_x0000_i1031" DrawAspect="Content" ObjectID="_1374045332" r:id="rId36"/>
        </w:object>
      </w:r>
      <w:r w:rsidRPr="008D1C62">
        <w:t>,</w:t>
      </w:r>
    </w:p>
    <w:p w:rsidR="00682AC7" w:rsidRDefault="00682AC7" w:rsidP="00682AC7">
      <w:pPr>
        <w:pStyle w:val="NormalSScontinued"/>
      </w:pPr>
      <w:r w:rsidRPr="008D1C62">
        <w:t xml:space="preserve">where </w:t>
      </w:r>
      <w:r w:rsidRPr="008D1C62">
        <w:rPr>
          <w:position w:val="-14"/>
        </w:rPr>
        <w:object w:dxaOrig="279" w:dyaOrig="400">
          <v:shape id="_x0000_i1032" type="#_x0000_t75" style="width:14.25pt;height:21pt" o:ole="">
            <v:imagedata r:id="rId37" o:title=""/>
          </v:shape>
          <o:OLEObject Type="Embed" ProgID="Equation.DSMT4" ShapeID="_x0000_i1032" DrawAspect="Content" ObjectID="_1374045333" r:id="rId38"/>
        </w:object>
      </w:r>
      <w:r w:rsidRPr="008D1C62">
        <w:t xml:space="preserve"> is the value added of teacher or school </w:t>
      </w:r>
      <w:r w:rsidRPr="008D1C62">
        <w:rPr>
          <w:rFonts w:ascii="Times New Roman Italic" w:hAnsi="Times New Roman Italic"/>
          <w:i/>
        </w:rPr>
        <w:t>j</w:t>
      </w:r>
      <w:r w:rsidRPr="008D1C62">
        <w:t xml:space="preserve"> of student </w:t>
      </w:r>
      <w:r w:rsidRPr="008D1C62">
        <w:rPr>
          <w:rFonts w:ascii="Times New Roman Italic" w:hAnsi="Times New Roman Italic"/>
          <w:i/>
        </w:rPr>
        <w:t>i</w:t>
      </w:r>
      <w:r w:rsidRPr="008D1C62">
        <w:rPr>
          <w:i/>
        </w:rPr>
        <w:t xml:space="preserve">, </w:t>
      </w:r>
      <w:r w:rsidRPr="008D1C62">
        <w:t xml:space="preserve">regressed on </w:t>
      </w:r>
      <w:r w:rsidRPr="008D1C62">
        <w:rPr>
          <w:rFonts w:ascii="Times New Roman" w:hAnsi="Times New Roman"/>
          <w:i/>
        </w:rPr>
        <w:t>FRL</w:t>
      </w:r>
      <w:r w:rsidRPr="008D1C62">
        <w:rPr>
          <w:rFonts w:ascii="Times New Roman" w:hAnsi="Times New Roman"/>
          <w:i/>
          <w:vertAlign w:val="subscript"/>
        </w:rPr>
        <w:t>ij</w:t>
      </w:r>
      <w:r w:rsidRPr="008D1C62">
        <w:rPr>
          <w:i/>
        </w:rPr>
        <w:t>,</w:t>
      </w:r>
      <w:r w:rsidRPr="008D1C62">
        <w:t xml:space="preserve"> a binary variable that takes a value of one if the student is </w:t>
      </w:r>
      <w:r w:rsidRPr="008D1C62">
        <w:rPr>
          <w:i/>
        </w:rPr>
        <w:t>not</w:t>
      </w:r>
      <w:r w:rsidRPr="008D1C62">
        <w:t xml:space="preserve"> FRL-eligible and zero if the student is eligible. The estimated coefficient </w:t>
      </w:r>
      <w:r w:rsidRPr="008D1C62">
        <w:rPr>
          <w:rFonts w:ascii="Symbol" w:hAnsi="Symbol"/>
          <w:i/>
        </w:rPr>
        <w:t></w:t>
      </w:r>
      <w:r w:rsidRPr="008D1C62">
        <w:t xml:space="preserve"> measures the estimated mean difference in teacher or school effectiveness between </w:t>
      </w:r>
      <w:r w:rsidR="001C0BC6">
        <w:t>non-</w:t>
      </w:r>
      <w:r w:rsidR="001C0BC6" w:rsidRPr="008D1C62">
        <w:t xml:space="preserve">disadvantaged </w:t>
      </w:r>
      <w:r w:rsidRPr="008D1C62">
        <w:t xml:space="preserve">and </w:t>
      </w:r>
      <w:r w:rsidR="001C0BC6" w:rsidRPr="008D1C62">
        <w:t xml:space="preserve">disadvantaged </w:t>
      </w:r>
      <w:r w:rsidRPr="008D1C62">
        <w:t xml:space="preserve">students in the district, with a positive </w:t>
      </w:r>
      <w:r w:rsidRPr="008D1C62">
        <w:rPr>
          <w:rFonts w:ascii="Symbol" w:hAnsi="Symbol"/>
          <w:i/>
        </w:rPr>
        <w:t></w:t>
      </w:r>
      <w:r w:rsidRPr="008D1C62">
        <w:t xml:space="preserve"> indicating an inequitable distribution and a negative </w:t>
      </w:r>
      <w:r w:rsidRPr="008D1C62">
        <w:rPr>
          <w:rFonts w:ascii="Symbol" w:hAnsi="Symbol"/>
          <w:i/>
        </w:rPr>
        <w:t></w:t>
      </w:r>
      <w:r w:rsidRPr="008D1C62">
        <w:t xml:space="preserve"> indicating a compensatory distribution. The AEG can be used as a credible measure of the distribution of teacher or school effectiveness regardless of whether the value-added model used to generate measures of teacher or school effectiveness includes FRL as a control variable.</w:t>
      </w:r>
    </w:p>
    <w:p w:rsidR="00682AC7" w:rsidRPr="008D1C62" w:rsidRDefault="00682AC7" w:rsidP="00682AC7">
      <w:pPr>
        <w:pStyle w:val="NormalSS"/>
      </w:pPr>
      <w:r w:rsidRPr="008D1C62">
        <w:rPr>
          <w:b/>
        </w:rPr>
        <w:lastRenderedPageBreak/>
        <w:t xml:space="preserve">Within- and Between-School Differences in the Distribution of Teachers. </w:t>
      </w:r>
      <w:r w:rsidRPr="008D1C62">
        <w:t>By comparing the value of the ATEG and ASEG, we can measure the extent to which the distribution of teacher quality is driven by differences in the value added of teachers across schools or within schools. This can be useful for diagnosing the source of an inequitable distribution of teachers, suggesting whether policymakers in a particular school district would be better off focusing on policies like hiring and retention reforms that equalize teacher quality across schools or are better off focusing on tracking policies that determine teacher-student matches within schools.</w:t>
      </w:r>
    </w:p>
    <w:p w:rsidR="00682AC7" w:rsidRPr="008D1C62" w:rsidRDefault="00682AC7" w:rsidP="00682AC7">
      <w:pPr>
        <w:pStyle w:val="BulletBlack"/>
      </w:pPr>
      <w:r w:rsidRPr="008D1C62">
        <w:t xml:space="preserve">If the ASEG is larger than the ATEG, that suggests that principals assign </w:t>
      </w:r>
      <w:r w:rsidR="001467BB" w:rsidRPr="008D1C62">
        <w:t xml:space="preserve">disadvantaged </w:t>
      </w:r>
      <w:r w:rsidRPr="008D1C62">
        <w:t>students to the higher value-added teachers within schools. The matching of students to teachers across schools is the source of any inequity in the distribution of teacher effectiveness, with within-school assignment serving as a compensatory mechanism.</w:t>
      </w:r>
    </w:p>
    <w:p w:rsidR="00682AC7" w:rsidRPr="008D1C62" w:rsidRDefault="00682AC7" w:rsidP="00682AC7">
      <w:pPr>
        <w:pStyle w:val="BulletBlack"/>
      </w:pPr>
      <w:r w:rsidRPr="008D1C62">
        <w:t>If the ASEG and ATEG are equal, this suggests that any difference in teacher effectiveness (whether inequitable or compensatory) is across schools, and that teacher assignments within school, although not compensatory, are not responsible for the overall difference in the distribution of teacher effectiveness.</w:t>
      </w:r>
    </w:p>
    <w:p w:rsidR="00682AC7" w:rsidRPr="008D1C62" w:rsidRDefault="00682AC7" w:rsidP="00682AC7">
      <w:pPr>
        <w:pStyle w:val="BulletBlack"/>
      </w:pPr>
      <w:r w:rsidRPr="008D1C62">
        <w:t>If the ATEG is larger than the ASEG, that suggests that within-school sorting of students is exacerbating any inequity in the distribution of teacher effectiveness associated with between-school sorting. For example, if the ASEG were zero and the ATEG were positive, this would suggest that all of the inequity is due to within-school sorting of students to teachers.</w:t>
      </w:r>
    </w:p>
    <w:p w:rsidR="00682AC7" w:rsidRPr="008D1C62" w:rsidRDefault="00682AC7" w:rsidP="00682AC7">
      <w:pPr>
        <w:pStyle w:val="NormalSS"/>
        <w:rPr>
          <w:b/>
        </w:rPr>
      </w:pPr>
      <w:r w:rsidRPr="008D1C62">
        <w:t xml:space="preserve">The degree to which the ASEG and ATEG can differ depends on the amount of segregation of </w:t>
      </w:r>
      <w:r w:rsidR="00E40244">
        <w:t>non-</w:t>
      </w:r>
      <w:r w:rsidR="00E40244" w:rsidRPr="008D1C62">
        <w:t xml:space="preserve">disadvantaged </w:t>
      </w:r>
      <w:r w:rsidRPr="008D1C62">
        <w:t xml:space="preserve">and </w:t>
      </w:r>
      <w:r w:rsidR="00E40244" w:rsidRPr="008D1C62">
        <w:t xml:space="preserve">disadvantaged </w:t>
      </w:r>
      <w:r w:rsidRPr="008D1C62">
        <w:t xml:space="preserve">students across schools. For example, if </w:t>
      </w:r>
      <w:r w:rsidR="00E40244">
        <w:t>non-</w:t>
      </w:r>
      <w:r w:rsidR="00E40244" w:rsidRPr="008D1C62">
        <w:t xml:space="preserve">disadvantaged </w:t>
      </w:r>
      <w:r w:rsidRPr="008D1C62">
        <w:t xml:space="preserve">and </w:t>
      </w:r>
      <w:r w:rsidR="00E40244" w:rsidRPr="008D1C62">
        <w:t xml:space="preserve">disadvantaged </w:t>
      </w:r>
      <w:r w:rsidRPr="008D1C62">
        <w:t xml:space="preserve">students are completely segregated into different schools, there will be a negligible difference between the two measures, as there would be little opportunity for principals to differentially assign </w:t>
      </w:r>
      <w:r w:rsidR="00E40244" w:rsidRPr="008D1C62">
        <w:t xml:space="preserve">disadvantaged </w:t>
      </w:r>
      <w:r w:rsidRPr="008D1C62">
        <w:t xml:space="preserve">or </w:t>
      </w:r>
      <w:r w:rsidR="00E40244">
        <w:t>non-</w:t>
      </w:r>
      <w:r w:rsidR="00E40244" w:rsidRPr="008D1C62">
        <w:t xml:space="preserve">disadvantaged </w:t>
      </w:r>
      <w:r w:rsidRPr="008D1C62">
        <w:t xml:space="preserve">students to different teachers within schools. This would also be the case if teacher quality did not vary within schools, even if </w:t>
      </w:r>
      <w:r w:rsidR="00E40244" w:rsidRPr="008D1C62">
        <w:t xml:space="preserve">disadvantaged </w:t>
      </w:r>
      <w:r w:rsidRPr="008D1C62">
        <w:t xml:space="preserve">and </w:t>
      </w:r>
      <w:r w:rsidR="00E40244">
        <w:t>non-</w:t>
      </w:r>
      <w:r w:rsidR="00E40244" w:rsidRPr="008D1C62">
        <w:t xml:space="preserve">disadvantaged </w:t>
      </w:r>
      <w:r w:rsidRPr="008D1C62">
        <w:t>students were well integrated. To make the AEG more useful to policymakers seeking to target policies to redress inequities, we will present the ATEG alongside the ASEG, the percentage of students in the district who are FRL-eligible, the across-school and within-school variation in teacher quality, and a measure of student segregation across schools.</w:t>
      </w:r>
    </w:p>
    <w:p w:rsidR="00682AC7" w:rsidRPr="008D1C62" w:rsidRDefault="00682AC7" w:rsidP="00682AC7">
      <w:pPr>
        <w:pStyle w:val="NormalSS"/>
      </w:pPr>
      <w:r w:rsidRPr="008D1C62">
        <w:rPr>
          <w:b/>
        </w:rPr>
        <w:t xml:space="preserve">Extensions of the AEG. </w:t>
      </w:r>
      <w:r w:rsidRPr="008D1C62">
        <w:t>The AEG is a flexible metric that can be used with a variety of measures of student disadvantage and can be used to trace the distribution of teacher quality for a cohort of students through multiple school years.</w:t>
      </w:r>
    </w:p>
    <w:p w:rsidR="00682AC7" w:rsidRPr="008D1C62" w:rsidRDefault="00682AC7" w:rsidP="00682AC7">
      <w:pPr>
        <w:pStyle w:val="NormalSS"/>
      </w:pPr>
      <w:r w:rsidRPr="008D1C62">
        <w:t>One extension would be to replace FRL with an alternate measure of inequality. For example, by replacing FRL with race/ethnicity, we can use a similar analysis to measure black/white or Hispanic/white gaps in the distribution of effective teachers. By replacing a binary variable of student disadvantage with the student pretest score (ideally measured before a student enters a school), we can extend the AEG to a case where the measure of student inequality is a continuous rather than a discrete variable.</w:t>
      </w:r>
    </w:p>
    <w:p w:rsidR="00682AC7" w:rsidRDefault="00682AC7" w:rsidP="00682AC7">
      <w:pPr>
        <w:pStyle w:val="NormalSS"/>
      </w:pPr>
      <w:r w:rsidRPr="008D1C62">
        <w:t xml:space="preserve">A second extension to measuring the AEG in a single year would be to consider the AEG as it affects students over multiple years. Because we will collect data that allow us to compute value-added in a school district over five years, we can trace the effectiveness of teachers of one cohort of students for every year between grades 4 and 8, and for other cohorts for multiple years within the range of grades 4 to 8. By measuring the AEG annually over multiple years, we will be able to </w:t>
      </w:r>
      <w:r w:rsidRPr="008D1C62">
        <w:lastRenderedPageBreak/>
        <w:t>examine whether there is a cumulative gap that grows larger each year or whether inequitable distributions in some years are offset by compensatory distributions in others.</w:t>
      </w:r>
    </w:p>
    <w:p w:rsidR="002A7D99" w:rsidRPr="008D1C62" w:rsidRDefault="002A7D99" w:rsidP="00682AC7">
      <w:pPr>
        <w:pStyle w:val="NormalSS"/>
      </w:pPr>
      <w:r>
        <w:t>A third extension that would serve as a sensitivity test, is to calculate the AEG based on a district-specific measure of teacher performance rather than a common value-added model. While a common value added model provides a consistent performance measure for all participating districts, a district’s policies may be based on a different type of measure, such as a classroom observation rubric, or based on a combination of measures, such as a classroom observation rubric and student achievement growth measure. We will request teacher performance measures as part of the teacher personnel data request, collecting teacher evaluation results or other evaluation tools that lead to a numeric rating of teachers</w:t>
      </w:r>
      <w:r w:rsidRPr="002E2D51">
        <w:t>,</w:t>
      </w:r>
      <w:r>
        <w:t xml:space="preserve"> as well as</w:t>
      </w:r>
      <w:r w:rsidRPr="002E2D51">
        <w:t xml:space="preserve"> performance measure</w:t>
      </w:r>
      <w:r>
        <w:t>s</w:t>
      </w:r>
      <w:r w:rsidRPr="002E2D51">
        <w:t xml:space="preserve"> </w:t>
      </w:r>
      <w:r>
        <w:t xml:space="preserve">that are </w:t>
      </w:r>
      <w:r w:rsidRPr="002E2D51">
        <w:t xml:space="preserve">used </w:t>
      </w:r>
      <w:r>
        <w:t>as the basis for</w:t>
      </w:r>
      <w:r w:rsidRPr="002E2D51">
        <w:t xml:space="preserve"> teacher compensation, te</w:t>
      </w:r>
      <w:r>
        <w:t>acher tenure, or teacher layoff policies</w:t>
      </w:r>
      <w:r w:rsidRPr="002E2D51">
        <w:t xml:space="preserve">. </w:t>
      </w:r>
      <w:r>
        <w:t>When these data are available, we will test the sensitivity of the distribution results and the policy analysis described in the next section, to see if district policies have a stronger relationship with the distribution when measured with district-specific measures of teacher performance.</w:t>
      </w:r>
    </w:p>
    <w:p w:rsidR="00682AC7" w:rsidRPr="008D1C62" w:rsidRDefault="00682AC7" w:rsidP="00682AC7">
      <w:pPr>
        <w:pStyle w:val="NormalSS"/>
      </w:pPr>
      <w:r w:rsidRPr="008D1C62">
        <w:t xml:space="preserve">Finally, rather than focusing only on the average gap, one can plot a histogram of teacher effectiveness for </w:t>
      </w:r>
      <w:r w:rsidR="004C7B5E">
        <w:t>non-</w:t>
      </w:r>
      <w:r w:rsidR="004C7B5E" w:rsidRPr="008D1C62">
        <w:t xml:space="preserve">disadvantaged </w:t>
      </w:r>
      <w:r w:rsidRPr="008D1C62">
        <w:t xml:space="preserve">students and the same for </w:t>
      </w:r>
      <w:r w:rsidR="004C7B5E" w:rsidRPr="008D1C62">
        <w:t xml:space="preserve">disadvantaged </w:t>
      </w:r>
      <w:r w:rsidRPr="008D1C62">
        <w:t xml:space="preserve">students. The effectiveness of teachers who teach both types of students will be represented in both histograms, weighted by the number of </w:t>
      </w:r>
      <w:r w:rsidR="004C7B5E" w:rsidRPr="008D1C62">
        <w:t xml:space="preserve">disadvantaged </w:t>
      </w:r>
      <w:r w:rsidRPr="008D1C62">
        <w:t xml:space="preserve">and </w:t>
      </w:r>
      <w:r w:rsidR="004C7B5E">
        <w:t>non-</w:t>
      </w:r>
      <w:r w:rsidR="004C7B5E" w:rsidRPr="008D1C62">
        <w:t xml:space="preserve">disadvantaged </w:t>
      </w:r>
      <w:r w:rsidRPr="008D1C62">
        <w:t xml:space="preserve">students they teach. This will show the degree of overlap, and the degree to which average differences may be due to a greater likelihood of one group or another being assigned to teachers at the tails of the distribution. Sass et al. (2010) use this technique to show how the distribution of teacher value added compares across schools with 70 percent or more FRL students compared to 70 percent or fewer FRL students, and find a thicker tail of ineffective teachers in the higher-poverty schools. Our approach would be slightly different, as the histograms would represent teachers of </w:t>
      </w:r>
      <w:r w:rsidR="00560DAF" w:rsidRPr="008D1C62">
        <w:t xml:space="preserve">disadvantaged </w:t>
      </w:r>
      <w:r w:rsidRPr="008D1C62">
        <w:t xml:space="preserve">students in all schools compared to teachers of </w:t>
      </w:r>
      <w:r w:rsidR="00560DAF">
        <w:t>non-</w:t>
      </w:r>
      <w:r w:rsidR="00560DAF" w:rsidRPr="008D1C62">
        <w:t xml:space="preserve">disadvantaged </w:t>
      </w:r>
      <w:r w:rsidRPr="008D1C62">
        <w:t>students in all schools.</w:t>
      </w:r>
    </w:p>
    <w:p w:rsidR="00C044A9" w:rsidRDefault="00C044A9" w:rsidP="00C044A9">
      <w:pPr>
        <w:spacing w:line="240" w:lineRule="auto"/>
      </w:pPr>
    </w:p>
    <w:p w:rsidR="000E3809" w:rsidRDefault="00033A7E" w:rsidP="000E3809">
      <w:pPr>
        <w:spacing w:line="240" w:lineRule="auto"/>
      </w:pPr>
      <w:r>
        <w:t xml:space="preserve">A </w:t>
      </w:r>
      <w:r w:rsidR="000E3809">
        <w:t xml:space="preserve">reliable measure of the distribution of teacher </w:t>
      </w:r>
      <w:r w:rsidR="009F2365">
        <w:t>effectiveness</w:t>
      </w:r>
      <w:r w:rsidR="000E3809">
        <w:t xml:space="preserve"> based on the </w:t>
      </w:r>
      <w:r w:rsidR="00682AC7">
        <w:t>A</w:t>
      </w:r>
      <w:r w:rsidR="00BA47E9">
        <w:t>S</w:t>
      </w:r>
      <w:r w:rsidR="00682AC7">
        <w:t>EG</w:t>
      </w:r>
      <w:r w:rsidR="000E3809">
        <w:t xml:space="preserve"> requires a minimum of three schools</w:t>
      </w:r>
      <w:r w:rsidR="00FA6E17">
        <w:t xml:space="preserve"> per grade span</w:t>
      </w:r>
      <w:r w:rsidR="000E3809">
        <w:t>. Therefore</w:t>
      </w:r>
      <w:r w:rsidR="00CD63A1">
        <w:t>,</w:t>
      </w:r>
      <w:r w:rsidR="000E3809">
        <w:t xml:space="preserve"> we require that participating school districts have at least</w:t>
      </w:r>
      <w:r w:rsidR="00FA6E17">
        <w:t xml:space="preserve"> three elementary schools and three middle schools</w:t>
      </w:r>
    </w:p>
    <w:p w:rsidR="000E3809" w:rsidRDefault="000E3809" w:rsidP="000E3809">
      <w:pPr>
        <w:spacing w:line="240" w:lineRule="auto"/>
      </w:pPr>
    </w:p>
    <w:p w:rsidR="000E3809" w:rsidRDefault="00085FA0" w:rsidP="00C66AC0">
      <w:pPr>
        <w:pStyle w:val="Heading3"/>
      </w:pPr>
      <w:bookmarkStart w:id="20" w:name="_Toc277171400"/>
      <w:r>
        <w:t>c</w:t>
      </w:r>
      <w:r w:rsidR="000E3809">
        <w:t>.</w:t>
      </w:r>
      <w:r w:rsidR="00636BBB">
        <w:tab/>
      </w:r>
      <w:r w:rsidR="000E3809">
        <w:t>Among-District Analysis</w:t>
      </w:r>
      <w:bookmarkEnd w:id="20"/>
    </w:p>
    <w:p w:rsidR="00492B1B" w:rsidRDefault="00C044A9" w:rsidP="00F13B54">
      <w:pPr>
        <w:tabs>
          <w:tab w:val="clear" w:pos="432"/>
          <w:tab w:val="left" w:pos="1080"/>
          <w:tab w:val="center" w:pos="4770"/>
          <w:tab w:val="right" w:pos="9360"/>
        </w:tabs>
        <w:spacing w:after="240" w:line="240" w:lineRule="auto"/>
        <w:ind w:firstLine="446"/>
      </w:pPr>
      <w:r>
        <w:t>We will</w:t>
      </w:r>
      <w:r w:rsidRPr="00BB5D37">
        <w:t xml:space="preserve"> estimate a longitudinal model relating district policies to changes in the distribution of teacher effectiveness. </w:t>
      </w:r>
      <w:r w:rsidR="00F13B54" w:rsidRPr="008D1C62">
        <w:t>The goal of this analysis is to provide an initial understanding of the relationship between district policies and the teacher effectiveness gap. While all of the</w:t>
      </w:r>
      <w:r w:rsidR="00F13B54">
        <w:t>se</w:t>
      </w:r>
      <w:r w:rsidR="00F13B54" w:rsidRPr="008D1C62">
        <w:t xml:space="preserve"> proposed analyses are exploratory (that is, non-causal), they can suggest policies and practices that should be examined using more rigorous methods in the future. </w:t>
      </w:r>
      <w:r w:rsidR="00F13B54" w:rsidRPr="000F04E3">
        <w:t xml:space="preserve">We will construct a set of policy variables to analyze the relationship between district policies and the distribution of teacher effectiveness. </w:t>
      </w:r>
      <w:r w:rsidR="00F13B54">
        <w:t>We will estimate</w:t>
      </w:r>
      <w:r w:rsidR="00F13B54" w:rsidRPr="008D1C62">
        <w:t xml:space="preserve"> a model that relates district policies to the distribution of teacher effectiveness. This model will include control variables that are likely to be correlated with both the policy variables as well as the ATEG. To measure the relationships between policies and the distribution, we would estimate:</w:t>
      </w:r>
    </w:p>
    <w:p w:rsidR="00F13B54" w:rsidRPr="008D1C62" w:rsidRDefault="00F13B54" w:rsidP="00F13B54">
      <w:pPr>
        <w:tabs>
          <w:tab w:val="clear" w:pos="432"/>
          <w:tab w:val="left" w:pos="1080"/>
          <w:tab w:val="center" w:pos="4770"/>
          <w:tab w:val="right" w:pos="9360"/>
        </w:tabs>
        <w:spacing w:after="240" w:line="240" w:lineRule="auto"/>
        <w:ind w:firstLine="446"/>
      </w:pPr>
      <w:r w:rsidRPr="008D1C62">
        <w:t>(</w:t>
      </w:r>
      <w:r>
        <w:t>4</w:t>
      </w:r>
      <w:r w:rsidRPr="008D1C62">
        <w:t>)</w:t>
      </w:r>
      <w:r w:rsidRPr="008D1C62">
        <w:tab/>
      </w:r>
      <w:r w:rsidRPr="008D1C62">
        <w:rPr>
          <w:position w:val="-12"/>
        </w:rPr>
        <w:object w:dxaOrig="3680" w:dyaOrig="360">
          <v:shape id="_x0000_i1033" type="#_x0000_t75" style="width:184.5pt;height:19.5pt" o:ole="">
            <v:imagedata r:id="rId39" o:title=""/>
          </v:shape>
          <o:OLEObject Type="Embed" ProgID="Equation.DSMT4" ShapeID="_x0000_i1033" DrawAspect="Content" ObjectID="_1374045334" r:id="rId40"/>
        </w:object>
      </w:r>
      <w:r w:rsidRPr="008D1C62">
        <w:t>,</w:t>
      </w:r>
    </w:p>
    <w:p w:rsidR="00A60B01" w:rsidRDefault="00F13B54" w:rsidP="00A60B01">
      <w:pPr>
        <w:pStyle w:val="NormalSS"/>
        <w:ind w:firstLine="0"/>
      </w:pPr>
      <w:r w:rsidRPr="008D1C62">
        <w:lastRenderedPageBreak/>
        <w:t xml:space="preserve">where </w:t>
      </w:r>
      <w:proofErr w:type="spellStart"/>
      <w:r w:rsidRPr="008D1C62">
        <w:rPr>
          <w:rFonts w:ascii="Times New Roman" w:hAnsi="Times New Roman"/>
          <w:i/>
        </w:rPr>
        <w:t>ATEG</w:t>
      </w:r>
      <w:r w:rsidRPr="008D1C62">
        <w:rPr>
          <w:rFonts w:ascii="Times New Roman" w:hAnsi="Times New Roman"/>
          <w:i/>
          <w:vertAlign w:val="subscript"/>
        </w:rPr>
        <w:t>it</w:t>
      </w:r>
      <w:proofErr w:type="spellEnd"/>
      <w:r w:rsidRPr="008D1C62">
        <w:t xml:space="preserve"> represents the average teacher effectiveness gap for district</w:t>
      </w:r>
      <w:r w:rsidRPr="008D1C62">
        <w:rPr>
          <w:i/>
        </w:rPr>
        <w:t xml:space="preserve"> </w:t>
      </w:r>
      <w:r w:rsidRPr="008D1C62">
        <w:rPr>
          <w:rFonts w:ascii="Times New Roman" w:hAnsi="Times New Roman"/>
          <w:i/>
        </w:rPr>
        <w:t>i</w:t>
      </w:r>
      <w:r w:rsidRPr="008D1C62">
        <w:t xml:space="preserve"> in year </w:t>
      </w:r>
      <w:r w:rsidRPr="008D1C62">
        <w:rPr>
          <w:rFonts w:ascii="Times New Roman" w:hAnsi="Times New Roman"/>
          <w:i/>
        </w:rPr>
        <w:t>t</w:t>
      </w:r>
      <w:r w:rsidRPr="008D1C62">
        <w:t>;</w:t>
      </w:r>
      <w:r w:rsidRPr="008D1C62">
        <w:rPr>
          <w:b/>
        </w:rPr>
        <w:t xml:space="preserve"> </w:t>
      </w:r>
      <w:r w:rsidRPr="008D1C62">
        <w:rPr>
          <w:rFonts w:ascii="Times New Roman" w:hAnsi="Times New Roman"/>
          <w:b/>
        </w:rPr>
        <w:t>P</w:t>
      </w:r>
      <w:r w:rsidRPr="008D1C62">
        <w:rPr>
          <w:rFonts w:ascii="Times New Roman" w:hAnsi="Times New Roman"/>
          <w:i/>
          <w:vertAlign w:val="subscript"/>
        </w:rPr>
        <w:t>it</w:t>
      </w:r>
      <w:r w:rsidRPr="008D1C62">
        <w:rPr>
          <w:i/>
        </w:rPr>
        <w:t xml:space="preserve"> </w:t>
      </w:r>
      <w:r w:rsidRPr="008D1C62">
        <w:t xml:space="preserve">is a vector of policy variables that represent the district’s implementation of policies in year </w:t>
      </w:r>
      <w:r w:rsidRPr="008D1C62">
        <w:rPr>
          <w:rFonts w:ascii="Times New Roman" w:hAnsi="Times New Roman"/>
          <w:i/>
        </w:rPr>
        <w:t>t</w:t>
      </w:r>
      <w:r w:rsidRPr="008D1C62">
        <w:t>;</w:t>
      </w:r>
      <w:r w:rsidRPr="008D1C62">
        <w:rPr>
          <w:b/>
        </w:rPr>
        <w:t xml:space="preserve"> </w:t>
      </w:r>
      <w:r w:rsidRPr="008D1C62">
        <w:rPr>
          <w:rFonts w:ascii="Times New Roman" w:hAnsi="Times New Roman"/>
          <w:b/>
        </w:rPr>
        <w:t>X</w:t>
      </w:r>
      <w:r w:rsidRPr="008D1C62">
        <w:rPr>
          <w:rFonts w:ascii="Times New Roman" w:hAnsi="Times New Roman"/>
          <w:i/>
          <w:vertAlign w:val="subscript"/>
        </w:rPr>
        <w:t>i</w:t>
      </w:r>
      <w:r w:rsidRPr="008D1C62">
        <w:rPr>
          <w:i/>
        </w:rPr>
        <w:t xml:space="preserve"> </w:t>
      </w:r>
      <w:r w:rsidRPr="008D1C62">
        <w:t xml:space="preserve">is a vector of time invariant district characteristics; </w:t>
      </w:r>
      <w:r w:rsidRPr="008D1C62">
        <w:rPr>
          <w:rFonts w:ascii="Symbol" w:hAnsi="Symbol"/>
          <w:i/>
        </w:rPr>
        <w:t></w:t>
      </w:r>
      <w:r w:rsidRPr="008D1C62">
        <w:rPr>
          <w:rFonts w:ascii="Times New Roman" w:hAnsi="Times New Roman"/>
          <w:i/>
          <w:vertAlign w:val="subscript"/>
        </w:rPr>
        <w:t>t</w:t>
      </w:r>
      <w:r w:rsidRPr="008D1C62">
        <w:t xml:space="preserve"> captures time-specific shocks in the ATEG</w:t>
      </w:r>
      <w:r w:rsidRPr="008D1C62">
        <w:rPr>
          <w:i/>
        </w:rPr>
        <w:t xml:space="preserve"> </w:t>
      </w:r>
      <w:r w:rsidRPr="008D1C62">
        <w:t xml:space="preserve">across districts; </w:t>
      </w:r>
      <w:r w:rsidRPr="008D1C62">
        <w:rPr>
          <w:rFonts w:ascii="Times New Roman" w:hAnsi="Times New Roman"/>
          <w:i/>
        </w:rPr>
        <w:t>u</w:t>
      </w:r>
      <w:r w:rsidRPr="008D1C62">
        <w:rPr>
          <w:rFonts w:ascii="Times New Roman" w:hAnsi="Times New Roman"/>
          <w:i/>
          <w:vertAlign w:val="subscript"/>
        </w:rPr>
        <w:t>i</w:t>
      </w:r>
      <w:r w:rsidRPr="008D1C62">
        <w:rPr>
          <w:i/>
        </w:rPr>
        <w:t xml:space="preserve"> </w:t>
      </w:r>
      <w:r w:rsidRPr="008D1C62">
        <w:t>is a district random effect term to adjust the standard errors associated with having multiple years of data for each district;</w:t>
      </w:r>
      <w:r w:rsidRPr="008D1C62">
        <w:rPr>
          <w:i/>
        </w:rPr>
        <w:t xml:space="preserve"> </w:t>
      </w:r>
      <w:r w:rsidRPr="008D1C62">
        <w:t>and</w:t>
      </w:r>
      <w:r w:rsidRPr="008D1C62">
        <w:rPr>
          <w:i/>
        </w:rPr>
        <w:t xml:space="preserve"> ε</w:t>
      </w:r>
      <w:r w:rsidRPr="008D1C62">
        <w:rPr>
          <w:rFonts w:ascii="Times New Roman" w:hAnsi="Times New Roman"/>
          <w:i/>
          <w:vertAlign w:val="subscript"/>
        </w:rPr>
        <w:t>it</w:t>
      </w:r>
      <w:r w:rsidRPr="008D1C62">
        <w:rPr>
          <w:vertAlign w:val="subscript"/>
        </w:rPr>
        <w:t xml:space="preserve"> </w:t>
      </w:r>
      <w:r w:rsidRPr="008D1C62">
        <w:t xml:space="preserve">is an error term with subscripts </w:t>
      </w:r>
      <w:r w:rsidRPr="008D1C62">
        <w:rPr>
          <w:rFonts w:ascii="Times New Roman Italic" w:hAnsi="Times New Roman Italic"/>
          <w:i/>
        </w:rPr>
        <w:t>i</w:t>
      </w:r>
      <w:r w:rsidRPr="008D1C62">
        <w:t xml:space="preserve"> and </w:t>
      </w:r>
      <w:r w:rsidRPr="008D1C62">
        <w:rPr>
          <w:rFonts w:ascii="Times New Roman Italic" w:hAnsi="Times New Roman Italic"/>
          <w:i/>
        </w:rPr>
        <w:t>t</w:t>
      </w:r>
      <w:r w:rsidRPr="008D1C62">
        <w:t xml:space="preserve"> representing districts and time, respectively. In an alternate specification, we will also consider including district fixed effects instead of time invariant district characteristics (see below). Because some policies are expected to affect the distribution in the year after they are implemented, we will define some policies based on their implementation in the prior year. For example, a layoff policy implemented in year </w:t>
      </w:r>
      <w:r w:rsidRPr="008D1C62">
        <w:rPr>
          <w:rFonts w:ascii="Times New Roman Italic" w:hAnsi="Times New Roman Italic"/>
          <w:i/>
        </w:rPr>
        <w:t>t</w:t>
      </w:r>
      <w:r w:rsidRPr="008D1C62">
        <w:t xml:space="preserve">-1 would be expected to have an effect on the distribution in year </w:t>
      </w:r>
      <w:r w:rsidRPr="008D1C62">
        <w:rPr>
          <w:rFonts w:ascii="Times New Roman Italic" w:hAnsi="Times New Roman Italic"/>
          <w:i/>
        </w:rPr>
        <w:t>t</w:t>
      </w:r>
      <w:r w:rsidRPr="008D1C62">
        <w:t>.</w:t>
      </w:r>
      <w:r w:rsidRPr="008D1C62">
        <w:rPr>
          <w:vertAlign w:val="superscript"/>
        </w:rPr>
        <w:footnoteReference w:id="2"/>
      </w:r>
    </w:p>
    <w:p w:rsidR="000E3809" w:rsidRDefault="00BA4AA0" w:rsidP="000E3809">
      <w:pPr>
        <w:spacing w:line="240" w:lineRule="auto"/>
      </w:pPr>
      <w:r>
        <w:t xml:space="preserve">In order to identify statistically significant correlations between policies and the distribution of teacher </w:t>
      </w:r>
      <w:r w:rsidR="009F2365">
        <w:t>effectiveness</w:t>
      </w:r>
      <w:r>
        <w:t>, w</w:t>
      </w:r>
      <w:r w:rsidR="000E3809">
        <w:t>e require at least 30 districts to provide the sample size necessary to conduct this analysis.</w:t>
      </w:r>
    </w:p>
    <w:p w:rsidR="000E3809" w:rsidRDefault="000E3809" w:rsidP="000E3809">
      <w:pPr>
        <w:spacing w:line="240" w:lineRule="auto"/>
      </w:pPr>
    </w:p>
    <w:p w:rsidR="000E3809" w:rsidRDefault="00085FA0" w:rsidP="00C66AC0">
      <w:pPr>
        <w:pStyle w:val="Heading3"/>
      </w:pPr>
      <w:bookmarkStart w:id="21" w:name="_Toc277171401"/>
      <w:r>
        <w:t>d</w:t>
      </w:r>
      <w:r w:rsidR="000E3809">
        <w:t xml:space="preserve">. </w:t>
      </w:r>
      <w:r w:rsidR="000E3809">
        <w:tab/>
        <w:t>Within-District Analyses</w:t>
      </w:r>
      <w:bookmarkEnd w:id="21"/>
    </w:p>
    <w:p w:rsidR="00BA4AA0" w:rsidRDefault="00321944" w:rsidP="00935C28">
      <w:pPr>
        <w:pStyle w:val="NormalSS"/>
      </w:pPr>
      <w:r w:rsidRPr="00321944">
        <w:t>Changes over time in the distribution of teacher effectiveness can occur for a number of reasons: hiring of new teachers, within-district transfers of teachers, teachers leaving the district, changes in the effectiveness of teachers, and demographic changes across schools. The purpose of this analysis is to better understand the role of teacher mobility in changes in the distribution of teacher effectiveness. We will examine the relationship between a teacher value added and the probability that a teacher continues teaching at the same school, transfers to another school within the district, or leaves the district. We are especially interested in the relationship between attrition, value added, and school characteristics (for example, whether high value-added teachers are more likely to transfer out of high poverty or low achieving schools). In addition, we will look at the characteristics of schools that teachers move to, investigating whether high value-added teachers might see relatively larger improvements in school characteristics associated with a move.</w:t>
      </w:r>
      <w:r w:rsidR="000E3809" w:rsidRPr="00BA4AA0">
        <w:t>Past research tracing the mobility of teachers with value-added measures of performance has relied on state databases (Goldhaber et al. 2007) or data from single</w:t>
      </w:r>
      <w:r w:rsidR="00136C46" w:rsidRPr="00BA4AA0">
        <w:t>,</w:t>
      </w:r>
      <w:r w:rsidR="000E3809" w:rsidRPr="00BA4AA0">
        <w:t xml:space="preserve"> large school districts</w:t>
      </w:r>
      <w:r w:rsidR="00571C07">
        <w:t>.</w:t>
      </w:r>
      <w:r w:rsidR="001362D2">
        <w:t xml:space="preserve"> </w:t>
      </w:r>
      <w:r w:rsidR="00136C46" w:rsidRPr="00BA4AA0">
        <w:t>(</w:t>
      </w:r>
      <w:r w:rsidR="000E3809" w:rsidRPr="00BA4AA0">
        <w:t xml:space="preserve">Hanushek et al. 2005 use data from a single anonymous Texas district; Boyd et al. 2007 use </w:t>
      </w:r>
      <w:r w:rsidR="00571C07">
        <w:t xml:space="preserve">data from </w:t>
      </w:r>
      <w:r w:rsidR="000E3809" w:rsidRPr="00BA4AA0">
        <w:t>New York City</w:t>
      </w:r>
      <w:r w:rsidR="00571C07">
        <w:t>.</w:t>
      </w:r>
      <w:r w:rsidR="00136C46" w:rsidRPr="00BA4AA0">
        <w:t>)</w:t>
      </w:r>
      <w:r w:rsidR="000E3809" w:rsidRPr="00BA4AA0">
        <w:t xml:space="preserve"> In order to extend these types of analyses, we intend to follow the lead of </w:t>
      </w:r>
      <w:r w:rsidR="00935C28">
        <w:t>these authors who</w:t>
      </w:r>
      <w:r w:rsidR="00571C07">
        <w:t xml:space="preserve"> </w:t>
      </w:r>
      <w:r w:rsidR="000E3809" w:rsidRPr="00BA4AA0">
        <w:t xml:space="preserve">used data from a </w:t>
      </w:r>
      <w:r w:rsidR="009B6BAE">
        <w:t xml:space="preserve">large </w:t>
      </w:r>
      <w:r w:rsidR="000E3809" w:rsidRPr="00BA4AA0">
        <w:t>school district.</w:t>
      </w:r>
      <w:r w:rsidR="00BA4AA0" w:rsidRPr="00BA4AA0">
        <w:t xml:space="preserve"> </w:t>
      </w:r>
      <w:r w:rsidR="00BA4AA0">
        <w:t xml:space="preserve">Because </w:t>
      </w:r>
      <w:r w:rsidR="00BA4AA0" w:rsidRPr="00BA4AA0">
        <w:t>our sample of districts will include 30 districts that are among the largest in the country, we are confident that we will have a sufficiently large sample for this analysis.</w:t>
      </w:r>
    </w:p>
    <w:p w:rsidR="0087660D" w:rsidRPr="00A57DF4" w:rsidRDefault="00085FA0" w:rsidP="00C66AC0">
      <w:pPr>
        <w:pStyle w:val="Heading2Blue"/>
      </w:pPr>
      <w:bookmarkStart w:id="22" w:name="_Toc256361788"/>
      <w:bookmarkStart w:id="23" w:name="_Toc277171402"/>
      <w:r>
        <w:t>3</w:t>
      </w:r>
      <w:r w:rsidR="0087660D" w:rsidRPr="00A57DF4">
        <w:t>.</w:t>
      </w:r>
      <w:r w:rsidR="006A410F">
        <w:tab/>
      </w:r>
      <w:r w:rsidR="0087660D" w:rsidRPr="00A57DF4">
        <w:t>Methods to Maximize Response Rates and Deal with Nonresponse</w:t>
      </w:r>
      <w:bookmarkEnd w:id="22"/>
      <w:bookmarkEnd w:id="23"/>
      <w:r w:rsidR="0087660D" w:rsidRPr="00A57DF4">
        <w:tab/>
      </w:r>
    </w:p>
    <w:p w:rsidR="00200D06" w:rsidRDefault="007B5887" w:rsidP="00200D06">
      <w:pPr>
        <w:spacing w:line="240" w:lineRule="auto"/>
      </w:pPr>
      <w:r w:rsidRPr="007B5887">
        <w:rPr>
          <w:b/>
        </w:rPr>
        <w:t xml:space="preserve">Recruiting for the </w:t>
      </w:r>
      <w:r w:rsidR="00636BBB">
        <w:rPr>
          <w:b/>
        </w:rPr>
        <w:t>s</w:t>
      </w:r>
      <w:r w:rsidR="006F3477">
        <w:rPr>
          <w:b/>
        </w:rPr>
        <w:t>tudy</w:t>
      </w:r>
      <w:r w:rsidR="00200D06" w:rsidRPr="00636BBB">
        <w:rPr>
          <w:b/>
        </w:rPr>
        <w:t>.</w:t>
      </w:r>
      <w:r w:rsidR="00200D06">
        <w:t xml:space="preserve"> We will rely on several strategies to </w:t>
      </w:r>
      <w:r w:rsidR="00996B6E">
        <w:t>secure school districts’</w:t>
      </w:r>
      <w:r w:rsidR="00200D06">
        <w:t xml:space="preserve"> participation </w:t>
      </w:r>
      <w:r w:rsidR="00996B6E">
        <w:t>in the study</w:t>
      </w:r>
      <w:r w:rsidR="00200D06">
        <w:t>. The recruiters will be trained to present information</w:t>
      </w:r>
      <w:r w:rsidR="007059B2">
        <w:t xml:space="preserve"> clearly</w:t>
      </w:r>
      <w:r w:rsidR="00200D06">
        <w:t>, address concerns, and respond to questions quickly and effectively. We will use ED letterhead for the notification letters</w:t>
      </w:r>
      <w:r w:rsidR="00996B6E">
        <w:t xml:space="preserve"> to more readily capture districts’ attention</w:t>
      </w:r>
      <w:r w:rsidR="00200D06">
        <w:t xml:space="preserve">, and recruiters will indicate that they are calling on behalf of ED when they speak to representatives of the districts. Recruiters will also </w:t>
      </w:r>
      <w:r w:rsidR="00C53BDC">
        <w:lastRenderedPageBreak/>
        <w:t xml:space="preserve">inform district representatives that the study meets all federal research guidelines, and was </w:t>
      </w:r>
      <w:r w:rsidR="00200D06">
        <w:t>reviewed by both the Office of Management and Budget (OMB) and an independent institutional review board</w:t>
      </w:r>
      <w:r w:rsidR="00996B6E">
        <w:t xml:space="preserve"> (IRB)</w:t>
      </w:r>
      <w:r w:rsidR="00200D06">
        <w:t xml:space="preserve">. The recruitment task leader will monitor recruiting issues daily to quickly resolve </w:t>
      </w:r>
      <w:r w:rsidR="00AC1567">
        <w:t xml:space="preserve">any </w:t>
      </w:r>
      <w:r w:rsidR="00200D06">
        <w:t>obstacles to participation</w:t>
      </w:r>
      <w:r w:rsidR="00AC1567">
        <w:t xml:space="preserve"> that might arise</w:t>
      </w:r>
      <w:r w:rsidR="00200D06">
        <w:t>.</w:t>
      </w:r>
    </w:p>
    <w:p w:rsidR="00200D06" w:rsidRDefault="00200D06" w:rsidP="00200D06">
      <w:pPr>
        <w:spacing w:line="240" w:lineRule="auto"/>
        <w:ind w:firstLine="0"/>
      </w:pPr>
    </w:p>
    <w:p w:rsidR="00C316C1" w:rsidRDefault="00636BBB" w:rsidP="00200D06">
      <w:pPr>
        <w:spacing w:line="240" w:lineRule="auto"/>
      </w:pPr>
      <w:r>
        <w:rPr>
          <w:b/>
        </w:rPr>
        <w:t>Data c</w:t>
      </w:r>
      <w:r w:rsidR="007B5887" w:rsidRPr="007B5887">
        <w:rPr>
          <w:b/>
        </w:rPr>
        <w:t>ollection</w:t>
      </w:r>
      <w:r w:rsidR="00200D06">
        <w:rPr>
          <w:b/>
          <w:i/>
        </w:rPr>
        <w:t xml:space="preserve">. </w:t>
      </w:r>
      <w:r w:rsidR="00C316C1">
        <w:t xml:space="preserve">Mathematica has developed multiple strategies to maximize response </w:t>
      </w:r>
      <w:r w:rsidR="00C53BDC">
        <w:t xml:space="preserve">rates </w:t>
      </w:r>
      <w:r w:rsidR="00C316C1">
        <w:t>while mi</w:t>
      </w:r>
      <w:r w:rsidR="0094784F">
        <w:t>nimizing burden on respondents.</w:t>
      </w:r>
      <w:r w:rsidR="00C316C1">
        <w:t xml:space="preserve"> </w:t>
      </w:r>
      <w:r w:rsidR="0094784F">
        <w:t xml:space="preserve">We have </w:t>
      </w:r>
      <w:r w:rsidR="00C316C1">
        <w:t xml:space="preserve">found that the following techniques </w:t>
      </w:r>
      <w:r w:rsidR="00C53BDC">
        <w:t>contribute significantly</w:t>
      </w:r>
      <w:r w:rsidR="00C316C1">
        <w:t xml:space="preserve"> to a high completion rate: establishing positive relationships with </w:t>
      </w:r>
      <w:r w:rsidR="0094784F">
        <w:t>respondents and district</w:t>
      </w:r>
      <w:r w:rsidR="00C316C1">
        <w:t xml:space="preserve"> staff; sending advance letters; and establishing efficient and flexible scheduling. </w:t>
      </w:r>
      <w:r w:rsidR="00310623">
        <w:t xml:space="preserve">To help alleviate districts’ concerns about </w:t>
      </w:r>
      <w:r w:rsidR="005E3680">
        <w:t xml:space="preserve">data privacy, all information request documents </w:t>
      </w:r>
      <w:r w:rsidR="00C316C1">
        <w:t xml:space="preserve">will include a statement on </w:t>
      </w:r>
      <w:r w:rsidR="005E3680">
        <w:t xml:space="preserve">our adherence to </w:t>
      </w:r>
      <w:r w:rsidR="00C316C1">
        <w:t>confidentiality and data collection requirements (The Education Sciences Reform Act of 2002, Title I, Part E, Section 183).</w:t>
      </w:r>
    </w:p>
    <w:p w:rsidR="00C316C1" w:rsidRDefault="00C316C1" w:rsidP="00C316C1">
      <w:pPr>
        <w:spacing w:line="240" w:lineRule="auto"/>
      </w:pPr>
    </w:p>
    <w:p w:rsidR="0087660D" w:rsidRDefault="00F93202" w:rsidP="00C316C1">
      <w:pPr>
        <w:spacing w:line="240" w:lineRule="auto"/>
      </w:pPr>
      <w:r>
        <w:t>District</w:t>
      </w:r>
      <w:r w:rsidR="00AC1567">
        <w:t xml:space="preserve"> leaders</w:t>
      </w:r>
      <w:r>
        <w:t xml:space="preserve"> are likely to have </w:t>
      </w:r>
      <w:r w:rsidR="00AC1567">
        <w:t xml:space="preserve">a </w:t>
      </w:r>
      <w:r>
        <w:t xml:space="preserve">strong interest </w:t>
      </w:r>
      <w:r w:rsidR="00AC1567">
        <w:t xml:space="preserve">in piloting </w:t>
      </w:r>
      <w:r>
        <w:t xml:space="preserve">a </w:t>
      </w:r>
      <w:r w:rsidR="00EF4EE6">
        <w:t>value-added</w:t>
      </w:r>
      <w:r>
        <w:t xml:space="preserve"> model and </w:t>
      </w:r>
      <w:r w:rsidR="00AC1567">
        <w:t>using</w:t>
      </w:r>
      <w:r>
        <w:t xml:space="preserve"> the resulting measures to understand the distribution of effective teachers. </w:t>
      </w:r>
      <w:r w:rsidR="0035773E">
        <w:t>Recent federal investments through ARRA and other sources have shifted the</w:t>
      </w:r>
      <w:r>
        <w:t xml:space="preserve"> focus from teacher qualifi</w:t>
      </w:r>
      <w:r w:rsidR="0035773E">
        <w:t xml:space="preserve">cations to teacher effectiveness. </w:t>
      </w:r>
      <w:r w:rsidR="00AC1567">
        <w:t xml:space="preserve">Therefore, </w:t>
      </w:r>
      <w:r w:rsidR="00041284">
        <w:t>participating in this study, with its</w:t>
      </w:r>
      <w:r w:rsidR="0035773E">
        <w:t xml:space="preserve"> focus on the distribution of teacher effectiveness</w:t>
      </w:r>
      <w:r w:rsidR="00041284">
        <w:t xml:space="preserve">, will </w:t>
      </w:r>
      <w:r w:rsidR="00163E17">
        <w:t>be more</w:t>
      </w:r>
      <w:r w:rsidR="0035773E">
        <w:t xml:space="preserve"> attractive to district leaders. We will begin our recruitment with 50 districts </w:t>
      </w:r>
      <w:r w:rsidR="00AC1567">
        <w:t xml:space="preserve">with the understanding that </w:t>
      </w:r>
      <w:r w:rsidR="0035773E">
        <w:t xml:space="preserve">some will </w:t>
      </w:r>
      <w:r w:rsidR="004B2A96">
        <w:t xml:space="preserve">decline our initial recruitment efforts or </w:t>
      </w:r>
      <w:r w:rsidR="0035773E">
        <w:t xml:space="preserve">not have the data capacity </w:t>
      </w:r>
      <w:r w:rsidR="00AC1567">
        <w:t>to participate</w:t>
      </w:r>
      <w:r w:rsidR="004B2A96">
        <w:t>.</w:t>
      </w:r>
      <w:r w:rsidR="0035773E">
        <w:t xml:space="preserve"> </w:t>
      </w:r>
      <w:r w:rsidR="004B2A96">
        <w:t>W</w:t>
      </w:r>
      <w:r w:rsidR="00246CC3">
        <w:t xml:space="preserve">e will </w:t>
      </w:r>
      <w:r w:rsidR="004B2A96">
        <w:t xml:space="preserve">then </w:t>
      </w:r>
      <w:r w:rsidR="00E957DB">
        <w:t>collect</w:t>
      </w:r>
      <w:r w:rsidR="00246CC3">
        <w:t xml:space="preserve"> data from </w:t>
      </w:r>
      <w:r w:rsidR="007D258C">
        <w:t xml:space="preserve">the </w:t>
      </w:r>
      <w:r w:rsidR="00246CC3">
        <w:t xml:space="preserve">30 districts that agree to participate in the study and cooperate with data collection. </w:t>
      </w:r>
      <w:r w:rsidR="00C316C1">
        <w:t xml:space="preserve">To further solidify </w:t>
      </w:r>
      <w:r w:rsidR="0094784F">
        <w:t>the</w:t>
      </w:r>
      <w:r w:rsidR="00C316C1">
        <w:t xml:space="preserve"> cooperation</w:t>
      </w:r>
      <w:r w:rsidR="0094784F">
        <w:t xml:space="preserve"> of district staff</w:t>
      </w:r>
      <w:r w:rsidR="00C316C1">
        <w:t xml:space="preserve">, we will adhere to </w:t>
      </w:r>
      <w:r w:rsidR="00200D06">
        <w:t>any</w:t>
      </w:r>
      <w:r w:rsidR="00C316C1">
        <w:t xml:space="preserve"> data collection requirements that districts may have</w:t>
      </w:r>
      <w:r w:rsidR="007D258C">
        <w:t>,</w:t>
      </w:r>
      <w:r w:rsidR="00C316C1">
        <w:t xml:space="preserve"> such as preparing research applications and seeking IRB approvals.</w:t>
      </w:r>
      <w:r w:rsidR="00E957DB" w:rsidRPr="00E957DB">
        <w:t xml:space="preserve"> </w:t>
      </w:r>
      <w:r w:rsidR="00E957DB">
        <w:t xml:space="preserve">Once we identify </w:t>
      </w:r>
      <w:r w:rsidR="004B2A96">
        <w:t xml:space="preserve">the </w:t>
      </w:r>
      <w:r w:rsidR="00E957DB">
        <w:t xml:space="preserve">30 districts </w:t>
      </w:r>
      <w:r w:rsidR="004B2A96">
        <w:t xml:space="preserve">needed for the study, </w:t>
      </w:r>
      <w:r w:rsidR="00E957DB">
        <w:t xml:space="preserve">we anticipate a 100 percent response rate for district administrative records and staff telephone interviews. </w:t>
      </w:r>
    </w:p>
    <w:p w:rsidR="0087660D" w:rsidRDefault="0087660D" w:rsidP="0087660D">
      <w:pPr>
        <w:spacing w:line="240" w:lineRule="auto"/>
      </w:pPr>
    </w:p>
    <w:p w:rsidR="0087660D" w:rsidRPr="00A57DF4" w:rsidRDefault="00085FA0" w:rsidP="00C66AC0">
      <w:pPr>
        <w:pStyle w:val="Heading2Blue"/>
      </w:pPr>
      <w:bookmarkStart w:id="24" w:name="_Toc256361789"/>
      <w:bookmarkStart w:id="25" w:name="_Toc277171403"/>
      <w:r>
        <w:t>4</w:t>
      </w:r>
      <w:r w:rsidR="0087660D" w:rsidRPr="00A57DF4">
        <w:t>.</w:t>
      </w:r>
      <w:bookmarkEnd w:id="24"/>
      <w:r w:rsidR="006A410F">
        <w:tab/>
      </w:r>
      <w:r w:rsidR="0087660D">
        <w:t xml:space="preserve">Tests of Procedures or Methods to </w:t>
      </w:r>
      <w:r w:rsidR="004B2A96">
        <w:t>B</w:t>
      </w:r>
      <w:r w:rsidR="0087660D">
        <w:t>e Undertaken</w:t>
      </w:r>
      <w:bookmarkEnd w:id="25"/>
      <w:r w:rsidR="0087660D" w:rsidRPr="00A57DF4">
        <w:t xml:space="preserve">   </w:t>
      </w:r>
      <w:r w:rsidR="0087660D" w:rsidRPr="00A57DF4">
        <w:tab/>
      </w:r>
    </w:p>
    <w:p w:rsidR="00E33FB4" w:rsidRDefault="00606979" w:rsidP="0087660D">
      <w:pPr>
        <w:spacing w:line="240" w:lineRule="auto"/>
      </w:pPr>
      <w:r w:rsidRPr="00606979">
        <w:t>Whe</w:t>
      </w:r>
      <w:r w:rsidR="000A27A4" w:rsidRPr="000A27A4">
        <w:t>n possible,</w:t>
      </w:r>
      <w:r>
        <w:t xml:space="preserve"> d</w:t>
      </w:r>
      <w:r w:rsidR="00604C55" w:rsidRPr="00604C55">
        <w:t xml:space="preserve">ata collection instruments for the study </w:t>
      </w:r>
      <w:r>
        <w:t xml:space="preserve">will be modeled on </w:t>
      </w:r>
      <w:r w:rsidR="00604C55">
        <w:t>protocols and data requests</w:t>
      </w:r>
      <w:r w:rsidR="00604C55" w:rsidRPr="00604C55">
        <w:t xml:space="preserve"> that have been </w:t>
      </w:r>
      <w:r w:rsidR="00A22DEB">
        <w:t xml:space="preserve">used </w:t>
      </w:r>
      <w:r w:rsidR="00604C55" w:rsidRPr="00604C55">
        <w:t xml:space="preserve">successfully </w:t>
      </w:r>
      <w:r w:rsidR="00A22DEB">
        <w:t>with</w:t>
      </w:r>
      <w:r w:rsidR="00604C55" w:rsidRPr="00604C55">
        <w:t xml:space="preserve"> previous studies</w:t>
      </w:r>
      <w:r w:rsidR="00365535">
        <w:t xml:space="preserve">, such as the </w:t>
      </w:r>
      <w:r w:rsidR="00F279E4">
        <w:t>School District Questionnaire for ED’s School and Staffing Survey (</w:t>
      </w:r>
      <w:r w:rsidR="00F279E4" w:rsidRPr="00F279E4">
        <w:t xml:space="preserve">OMB </w:t>
      </w:r>
      <w:r w:rsidR="00E66B33">
        <w:t>Control Number</w:t>
      </w:r>
      <w:r w:rsidR="00F279E4" w:rsidRPr="00F279E4">
        <w:t xml:space="preserve"> 1850-0598</w:t>
      </w:r>
      <w:r w:rsidR="00F279E4">
        <w:t>)</w:t>
      </w:r>
      <w:r w:rsidR="00BC362C">
        <w:t xml:space="preserve"> and the data request form for the Moving High Performing Teachers to Low Performing Schools Evaluation (</w:t>
      </w:r>
      <w:r w:rsidR="00D62E43" w:rsidRPr="00F279E4">
        <w:t xml:space="preserve">OMB </w:t>
      </w:r>
      <w:r w:rsidR="00D62E43">
        <w:t xml:space="preserve">Control Number </w:t>
      </w:r>
      <w:r w:rsidR="00D62E43" w:rsidRPr="00D62E43">
        <w:t>1850-0861</w:t>
      </w:r>
      <w:r w:rsidR="00BC362C">
        <w:t>)</w:t>
      </w:r>
      <w:r w:rsidR="00F279E4">
        <w:t xml:space="preserve">. </w:t>
      </w:r>
      <w:r w:rsidR="00604C55" w:rsidRPr="00604C55">
        <w:t xml:space="preserve">The </w:t>
      </w:r>
      <w:r w:rsidR="00604C55">
        <w:t xml:space="preserve">pilot </w:t>
      </w:r>
      <w:r w:rsidR="00604C55" w:rsidRPr="00604C55">
        <w:t>will assess</w:t>
      </w:r>
      <w:r w:rsidR="007D258C">
        <w:t xml:space="preserve"> </w:t>
      </w:r>
      <w:r w:rsidR="00604C55" w:rsidRPr="00604C55">
        <w:t>the content</w:t>
      </w:r>
      <w:r w:rsidR="009F7210">
        <w:t>, clarity,</w:t>
      </w:r>
      <w:r w:rsidR="00604C55" w:rsidRPr="00604C55">
        <w:t xml:space="preserve"> and wording of individual questions</w:t>
      </w:r>
      <w:r w:rsidR="009F7210">
        <w:t>;</w:t>
      </w:r>
      <w:r w:rsidR="00604C55" w:rsidRPr="00604C55">
        <w:t xml:space="preserve"> respondent burden time</w:t>
      </w:r>
      <w:r w:rsidR="009F7210">
        <w:t>;</w:t>
      </w:r>
      <w:r w:rsidR="00604C55" w:rsidRPr="00604C55">
        <w:t xml:space="preserve"> </w:t>
      </w:r>
      <w:r w:rsidR="006B5ADC">
        <w:t xml:space="preserve">and </w:t>
      </w:r>
      <w:r w:rsidR="009F7210">
        <w:t>the use of probes</w:t>
      </w:r>
      <w:r w:rsidR="00604C55" w:rsidRPr="00604C55">
        <w:t xml:space="preserve">. </w:t>
      </w:r>
      <w:r w:rsidR="00604C55">
        <w:t xml:space="preserve">The data collection instruments </w:t>
      </w:r>
      <w:r w:rsidR="00604C55" w:rsidRPr="00604C55">
        <w:t>and results of the pre-tests will be included in the final OMB package.</w:t>
      </w:r>
    </w:p>
    <w:p w:rsidR="00B74441" w:rsidRDefault="00B74441" w:rsidP="0087660D">
      <w:pPr>
        <w:spacing w:line="240" w:lineRule="auto"/>
      </w:pPr>
    </w:p>
    <w:p w:rsidR="00B74441" w:rsidRDefault="007D258C" w:rsidP="0087660D">
      <w:pPr>
        <w:spacing w:line="240" w:lineRule="auto"/>
      </w:pPr>
      <w:r>
        <w:t>In addition to pilot testing specific questions, w</w:t>
      </w:r>
      <w:r w:rsidR="00B74441">
        <w:t xml:space="preserve">e will pre-test the interview protocol with </w:t>
      </w:r>
      <w:r w:rsidR="00365535">
        <w:t xml:space="preserve">a total of six staff in </w:t>
      </w:r>
      <w:r w:rsidR="00B74441">
        <w:t xml:space="preserve">two </w:t>
      </w:r>
      <w:r w:rsidR="00365535">
        <w:t xml:space="preserve">school </w:t>
      </w:r>
      <w:r w:rsidR="00B74441">
        <w:t xml:space="preserve">districts </w:t>
      </w:r>
      <w:r w:rsidR="00B74441" w:rsidRPr="009C76E1">
        <w:t>to identify problems respondents might have in providing the requested information</w:t>
      </w:r>
      <w:r w:rsidR="00B74441">
        <w:t xml:space="preserve">. We will pre-test the data request form with a staff person from the data office within each pilot district and </w:t>
      </w:r>
      <w:r w:rsidR="00E957DB">
        <w:t xml:space="preserve">the interview protocol </w:t>
      </w:r>
      <w:r w:rsidR="00B74441">
        <w:t xml:space="preserve">with </w:t>
      </w:r>
      <w:r w:rsidR="00E957DB">
        <w:t xml:space="preserve">three </w:t>
      </w:r>
      <w:r w:rsidR="00B74441">
        <w:t xml:space="preserve">staff in </w:t>
      </w:r>
      <w:r w:rsidR="00E957DB">
        <w:t>the two pilot</w:t>
      </w:r>
      <w:r w:rsidR="00B74441">
        <w:t xml:space="preserve"> district</w:t>
      </w:r>
      <w:r w:rsidR="00E957DB">
        <w:t>s</w:t>
      </w:r>
      <w:r w:rsidR="00B74441">
        <w:t>.</w:t>
      </w:r>
      <w:r w:rsidR="00F7438B">
        <w:t xml:space="preserve"> </w:t>
      </w:r>
    </w:p>
    <w:p w:rsidR="002C4C16" w:rsidRDefault="002C4C16" w:rsidP="0087660D">
      <w:pPr>
        <w:spacing w:line="240" w:lineRule="auto"/>
      </w:pPr>
    </w:p>
    <w:p w:rsidR="002C4C16" w:rsidRPr="00A57DF4" w:rsidRDefault="00085FA0" w:rsidP="00C66AC0">
      <w:pPr>
        <w:pStyle w:val="Heading2Blue"/>
      </w:pPr>
      <w:bookmarkStart w:id="26" w:name="_Toc277171404"/>
      <w:r>
        <w:t>5</w:t>
      </w:r>
      <w:r w:rsidR="002C4C16" w:rsidRPr="00A57DF4">
        <w:t>.</w:t>
      </w:r>
      <w:r w:rsidR="006A410F">
        <w:tab/>
      </w:r>
      <w:r w:rsidR="002C4C16">
        <w:t>Individuals Consulted on Statistical Aspects of the Design</w:t>
      </w:r>
      <w:r w:rsidR="00477E95">
        <w:t xml:space="preserve"> and on Collecting and/or Analyzing Data</w:t>
      </w:r>
      <w:bookmarkEnd w:id="26"/>
      <w:r w:rsidR="002C4C16" w:rsidRPr="00A57DF4">
        <w:t xml:space="preserve">   </w:t>
      </w:r>
      <w:r w:rsidR="002C4C16" w:rsidRPr="00A57DF4">
        <w:tab/>
      </w:r>
    </w:p>
    <w:p w:rsidR="00085FC1" w:rsidRDefault="00085FC1" w:rsidP="00085FC1">
      <w:pPr>
        <w:spacing w:after="240" w:line="240" w:lineRule="auto"/>
      </w:pPr>
      <w:r w:rsidRPr="00A57DF4">
        <w:t>The following individuals were consulted on the statistical</w:t>
      </w:r>
      <w:r w:rsidR="00365535">
        <w:t xml:space="preserve"> aspects of the study </w:t>
      </w:r>
      <w:r w:rsidR="00477E95">
        <w:t>design</w:t>
      </w:r>
      <w:r w:rsidR="00365535">
        <w:t xml:space="preserve"> and on </w:t>
      </w:r>
      <w:r w:rsidR="00606979">
        <w:t xml:space="preserve">the </w:t>
      </w:r>
      <w:r w:rsidR="00477E95">
        <w:t>data collection</w:t>
      </w:r>
      <w:r w:rsidR="00701FC4">
        <w:t xml:space="preserve"> and analysis</w:t>
      </w:r>
      <w:r w:rsidRPr="00A57DF4">
        <w:t>:</w:t>
      </w:r>
    </w:p>
    <w:p w:rsidR="00E82AB9" w:rsidRPr="00A57DF4" w:rsidRDefault="00E82AB9" w:rsidP="00085FC1">
      <w:pPr>
        <w:spacing w:after="240" w:line="240" w:lineRule="auto"/>
      </w:pPr>
    </w:p>
    <w:tbl>
      <w:tblPr>
        <w:tblW w:w="0" w:type="auto"/>
        <w:tblInd w:w="115" w:type="dxa"/>
        <w:tblBorders>
          <w:top w:val="single" w:sz="12" w:space="0" w:color="345294"/>
          <w:bottom w:val="single" w:sz="4" w:space="0" w:color="345294"/>
        </w:tblBorders>
        <w:tblLook w:val="0000"/>
      </w:tblPr>
      <w:tblGrid>
        <w:gridCol w:w="2153"/>
        <w:gridCol w:w="5130"/>
        <w:gridCol w:w="1910"/>
      </w:tblGrid>
      <w:tr w:rsidR="00085FC1" w:rsidRPr="00A57DF4" w:rsidTr="00C41DFC">
        <w:tc>
          <w:tcPr>
            <w:tcW w:w="2153" w:type="dxa"/>
            <w:tcBorders>
              <w:top w:val="single" w:sz="12" w:space="0" w:color="345294"/>
              <w:bottom w:val="single" w:sz="4" w:space="0" w:color="auto"/>
            </w:tcBorders>
          </w:tcPr>
          <w:p w:rsidR="00085FC1" w:rsidRPr="00A57DF4" w:rsidRDefault="00085FC1" w:rsidP="00C41DFC">
            <w:pPr>
              <w:pStyle w:val="TableHeaderCenter"/>
              <w:jc w:val="left"/>
            </w:pPr>
            <w:r w:rsidRPr="00A57DF4">
              <w:lastRenderedPageBreak/>
              <w:t>Name</w:t>
            </w:r>
          </w:p>
        </w:tc>
        <w:tc>
          <w:tcPr>
            <w:tcW w:w="5130" w:type="dxa"/>
            <w:tcBorders>
              <w:top w:val="single" w:sz="12" w:space="0" w:color="345294"/>
              <w:bottom w:val="single" w:sz="4" w:space="0" w:color="auto"/>
            </w:tcBorders>
          </w:tcPr>
          <w:p w:rsidR="00085FC1" w:rsidRPr="00A57DF4" w:rsidRDefault="00085FC1" w:rsidP="007D7944">
            <w:pPr>
              <w:pStyle w:val="TableHeaderCenter"/>
            </w:pPr>
            <w:r w:rsidRPr="00A57DF4">
              <w:t>Title</w:t>
            </w:r>
          </w:p>
        </w:tc>
        <w:tc>
          <w:tcPr>
            <w:tcW w:w="1910" w:type="dxa"/>
            <w:tcBorders>
              <w:top w:val="single" w:sz="12" w:space="0" w:color="345294"/>
              <w:bottom w:val="single" w:sz="4" w:space="0" w:color="auto"/>
            </w:tcBorders>
          </w:tcPr>
          <w:p w:rsidR="00085FC1" w:rsidRPr="00A57DF4" w:rsidRDefault="00085FC1" w:rsidP="00C41DFC">
            <w:pPr>
              <w:pStyle w:val="TableHeaderCenter"/>
            </w:pPr>
            <w:r w:rsidRPr="00A57DF4">
              <w:t>Telephone Number</w:t>
            </w:r>
          </w:p>
        </w:tc>
      </w:tr>
      <w:tr w:rsidR="00085FC1" w:rsidRPr="00A57DF4" w:rsidTr="00C41DFC">
        <w:tc>
          <w:tcPr>
            <w:tcW w:w="2153" w:type="dxa"/>
            <w:tcBorders>
              <w:top w:val="single" w:sz="4" w:space="0" w:color="auto"/>
            </w:tcBorders>
          </w:tcPr>
          <w:p w:rsidR="00085FC1" w:rsidRPr="00A57DF4" w:rsidRDefault="00085FC1" w:rsidP="00C41DFC">
            <w:pPr>
              <w:pStyle w:val="TableText"/>
              <w:spacing w:before="60" w:after="60"/>
            </w:pPr>
            <w:r>
              <w:t>Philip Gleason</w:t>
            </w:r>
          </w:p>
        </w:tc>
        <w:tc>
          <w:tcPr>
            <w:tcW w:w="5130" w:type="dxa"/>
            <w:tcBorders>
              <w:top w:val="single" w:sz="4" w:space="0" w:color="auto"/>
            </w:tcBorders>
          </w:tcPr>
          <w:p w:rsidR="00085FC1" w:rsidRPr="00A57DF4" w:rsidRDefault="00085FC1" w:rsidP="00C41DFC">
            <w:pPr>
              <w:pStyle w:val="TableText"/>
              <w:spacing w:before="60" w:after="60"/>
            </w:pPr>
            <w:r>
              <w:t>Senior Fellow, Mathematica</w:t>
            </w:r>
          </w:p>
        </w:tc>
        <w:tc>
          <w:tcPr>
            <w:tcW w:w="1910" w:type="dxa"/>
            <w:tcBorders>
              <w:top w:val="single" w:sz="4" w:space="0" w:color="auto"/>
            </w:tcBorders>
          </w:tcPr>
          <w:p w:rsidR="00085FC1" w:rsidRPr="00A57DF4" w:rsidRDefault="000732F4" w:rsidP="007D7944">
            <w:pPr>
              <w:pStyle w:val="TableText"/>
              <w:spacing w:before="60" w:after="60"/>
              <w:jc w:val="center"/>
            </w:pPr>
            <w:r>
              <w:t>315-</w:t>
            </w:r>
            <w:r w:rsidRPr="000732F4">
              <w:t>781-8495</w:t>
            </w:r>
          </w:p>
        </w:tc>
      </w:tr>
      <w:tr w:rsidR="00085FC1" w:rsidRPr="00A57DF4" w:rsidTr="00C41DFC">
        <w:tc>
          <w:tcPr>
            <w:tcW w:w="2153" w:type="dxa"/>
          </w:tcPr>
          <w:p w:rsidR="00085FC1" w:rsidRDefault="00085FC1" w:rsidP="00C41DFC">
            <w:pPr>
              <w:pStyle w:val="TableText"/>
              <w:spacing w:before="60" w:after="60"/>
            </w:pPr>
            <w:r>
              <w:t>Steve Glazerman</w:t>
            </w:r>
          </w:p>
        </w:tc>
        <w:tc>
          <w:tcPr>
            <w:tcW w:w="5130" w:type="dxa"/>
          </w:tcPr>
          <w:p w:rsidR="00085FC1" w:rsidRDefault="00085FC1" w:rsidP="00C41DFC">
            <w:pPr>
              <w:pStyle w:val="TableText"/>
              <w:spacing w:before="60" w:after="60"/>
            </w:pPr>
            <w:r>
              <w:t>Senior Fellow, Mathematica</w:t>
            </w:r>
          </w:p>
        </w:tc>
        <w:tc>
          <w:tcPr>
            <w:tcW w:w="1910" w:type="dxa"/>
          </w:tcPr>
          <w:p w:rsidR="00085FC1" w:rsidRPr="00A57DF4" w:rsidRDefault="000732F4" w:rsidP="007D7944">
            <w:pPr>
              <w:pStyle w:val="TableText"/>
              <w:spacing w:before="60" w:after="60"/>
              <w:jc w:val="center"/>
            </w:pPr>
            <w:r>
              <w:t>202-484-4834</w:t>
            </w:r>
          </w:p>
        </w:tc>
      </w:tr>
      <w:tr w:rsidR="00085FC1" w:rsidRPr="00A57DF4" w:rsidTr="00C41DFC">
        <w:tc>
          <w:tcPr>
            <w:tcW w:w="2153" w:type="dxa"/>
          </w:tcPr>
          <w:p w:rsidR="00085FC1" w:rsidRPr="00A57DF4" w:rsidRDefault="00085FC1" w:rsidP="00C41DFC">
            <w:pPr>
              <w:pStyle w:val="TableText"/>
              <w:spacing w:before="60" w:after="60"/>
            </w:pPr>
            <w:r>
              <w:t>Eric Isenberg</w:t>
            </w:r>
          </w:p>
        </w:tc>
        <w:tc>
          <w:tcPr>
            <w:tcW w:w="5130" w:type="dxa"/>
          </w:tcPr>
          <w:p w:rsidR="00085FC1" w:rsidRPr="00A57DF4" w:rsidRDefault="00085FC1" w:rsidP="00C41DFC">
            <w:pPr>
              <w:pStyle w:val="TableText"/>
              <w:spacing w:before="60" w:after="60"/>
            </w:pPr>
            <w:r>
              <w:t>Researcher, Mathematica</w:t>
            </w:r>
          </w:p>
        </w:tc>
        <w:tc>
          <w:tcPr>
            <w:tcW w:w="1910" w:type="dxa"/>
          </w:tcPr>
          <w:p w:rsidR="00085FC1" w:rsidRPr="00A57DF4" w:rsidRDefault="000732F4" w:rsidP="007D7944">
            <w:pPr>
              <w:pStyle w:val="TableText"/>
              <w:spacing w:before="60" w:after="60"/>
              <w:jc w:val="center"/>
            </w:pPr>
            <w:r>
              <w:t>202-</w:t>
            </w:r>
            <w:r w:rsidRPr="000732F4">
              <w:t>554-7540</w:t>
            </w:r>
          </w:p>
        </w:tc>
      </w:tr>
      <w:tr w:rsidR="00085FC1" w:rsidRPr="00A57DF4" w:rsidTr="00C41DFC">
        <w:tc>
          <w:tcPr>
            <w:tcW w:w="2153" w:type="dxa"/>
          </w:tcPr>
          <w:p w:rsidR="00085FC1" w:rsidRPr="00A57DF4" w:rsidRDefault="00085FC1" w:rsidP="00C41DFC">
            <w:pPr>
              <w:pStyle w:val="TableText"/>
              <w:spacing w:before="60" w:after="60"/>
            </w:pPr>
            <w:r>
              <w:t>Jeffrey Max</w:t>
            </w:r>
          </w:p>
        </w:tc>
        <w:tc>
          <w:tcPr>
            <w:tcW w:w="5130" w:type="dxa"/>
          </w:tcPr>
          <w:p w:rsidR="00085FC1" w:rsidRPr="00A57DF4" w:rsidRDefault="00085FC1" w:rsidP="00C41DFC">
            <w:pPr>
              <w:pStyle w:val="TableText"/>
              <w:spacing w:before="60" w:after="60"/>
            </w:pPr>
            <w:r>
              <w:t>Researcher, Mathematica</w:t>
            </w:r>
          </w:p>
        </w:tc>
        <w:tc>
          <w:tcPr>
            <w:tcW w:w="1910" w:type="dxa"/>
          </w:tcPr>
          <w:p w:rsidR="00085FC1" w:rsidRPr="00A57DF4" w:rsidRDefault="000732F4" w:rsidP="007D7944">
            <w:pPr>
              <w:pStyle w:val="TableText"/>
              <w:spacing w:before="60" w:after="60"/>
              <w:jc w:val="center"/>
            </w:pPr>
            <w:r>
              <w:t>202-484-4236</w:t>
            </w:r>
          </w:p>
        </w:tc>
      </w:tr>
      <w:tr w:rsidR="00477E95" w:rsidRPr="00A57DF4" w:rsidTr="00C41DFC">
        <w:tc>
          <w:tcPr>
            <w:tcW w:w="2153" w:type="dxa"/>
          </w:tcPr>
          <w:p w:rsidR="00477E95" w:rsidRDefault="00701FC4" w:rsidP="00C41DFC">
            <w:pPr>
              <w:pStyle w:val="TableText"/>
              <w:spacing w:before="60" w:after="60"/>
            </w:pPr>
            <w:r>
              <w:t>Mary Grider</w:t>
            </w:r>
          </w:p>
        </w:tc>
        <w:tc>
          <w:tcPr>
            <w:tcW w:w="5130" w:type="dxa"/>
          </w:tcPr>
          <w:p w:rsidR="00477E95" w:rsidRDefault="000732F4" w:rsidP="00C41DFC">
            <w:pPr>
              <w:pStyle w:val="TableText"/>
              <w:spacing w:before="60" w:after="60"/>
            </w:pPr>
            <w:r>
              <w:t>Systems Analyst, Mathematica</w:t>
            </w:r>
          </w:p>
        </w:tc>
        <w:tc>
          <w:tcPr>
            <w:tcW w:w="1910" w:type="dxa"/>
          </w:tcPr>
          <w:p w:rsidR="00477E95" w:rsidRPr="00A57DF4" w:rsidRDefault="000732F4" w:rsidP="007D7944">
            <w:pPr>
              <w:pStyle w:val="TableText"/>
              <w:spacing w:before="60" w:after="60"/>
              <w:jc w:val="center"/>
            </w:pPr>
            <w:r>
              <w:t>202-484-4820</w:t>
            </w:r>
          </w:p>
        </w:tc>
      </w:tr>
    </w:tbl>
    <w:p w:rsidR="0087660D" w:rsidRDefault="0087660D" w:rsidP="00085FC1">
      <w:pPr>
        <w:pStyle w:val="Heading3"/>
        <w:ind w:left="0" w:firstLine="0"/>
      </w:pPr>
    </w:p>
    <w:p w:rsidR="007D7944" w:rsidRDefault="007D7944" w:rsidP="00636BBB">
      <w:pPr>
        <w:pStyle w:val="Heading1Blue"/>
        <w:sectPr w:rsidR="007D7944" w:rsidSect="00C1305E">
          <w:headerReference w:type="default" r:id="rId41"/>
          <w:footerReference w:type="default" r:id="rId42"/>
          <w:endnotePr>
            <w:numFmt w:val="decimal"/>
          </w:endnotePr>
          <w:pgSz w:w="12240" w:h="15840" w:code="1"/>
          <w:pgMar w:top="1440" w:right="1440" w:bottom="576" w:left="1440" w:header="720" w:footer="576" w:gutter="0"/>
          <w:pgNumType w:start="1"/>
          <w:cols w:space="720"/>
          <w:docGrid w:linePitch="326"/>
        </w:sectPr>
      </w:pPr>
      <w:bookmarkStart w:id="27" w:name="_Toc277171405"/>
    </w:p>
    <w:p w:rsidR="003C0E0B" w:rsidRDefault="00DC0FFF" w:rsidP="00636BBB">
      <w:pPr>
        <w:pStyle w:val="Heading1Blue"/>
      </w:pPr>
      <w:r>
        <w:lastRenderedPageBreak/>
        <w:t>References</w:t>
      </w:r>
      <w:bookmarkEnd w:id="27"/>
    </w:p>
    <w:p w:rsidR="00210E97" w:rsidRDefault="00210E97" w:rsidP="00210E97">
      <w:pPr>
        <w:pStyle w:val="References"/>
      </w:pPr>
      <w:r w:rsidRPr="00BA4AA0">
        <w:t>Boyd</w:t>
      </w:r>
      <w:r w:rsidR="004A15C0">
        <w:t>, D</w:t>
      </w:r>
      <w:r w:rsidR="00434F7F">
        <w:t>onald</w:t>
      </w:r>
      <w:r w:rsidR="004A15C0">
        <w:t>, P</w:t>
      </w:r>
      <w:r w:rsidR="00434F7F">
        <w:t>am</w:t>
      </w:r>
      <w:r w:rsidR="004A15C0">
        <w:t xml:space="preserve"> Grossman, H</w:t>
      </w:r>
      <w:r w:rsidR="00434F7F">
        <w:t>amilton</w:t>
      </w:r>
      <w:r w:rsidR="004A15C0">
        <w:t xml:space="preserve"> Lankford, </w:t>
      </w:r>
      <w:r w:rsidR="00434F7F">
        <w:t>Susannah</w:t>
      </w:r>
      <w:r w:rsidR="004A15C0">
        <w:t xml:space="preserve"> Loeb., and J</w:t>
      </w:r>
      <w:r w:rsidR="00434F7F">
        <w:t>ames</w:t>
      </w:r>
      <w:r w:rsidR="004A15C0">
        <w:t xml:space="preserve"> Wyckoff.</w:t>
      </w:r>
      <w:r w:rsidRPr="00BA4AA0">
        <w:t xml:space="preserve"> </w:t>
      </w:r>
      <w:r w:rsidR="004A15C0">
        <w:t>“</w:t>
      </w:r>
      <w:r w:rsidR="004A15C0" w:rsidRPr="004A15C0">
        <w:t>Who Leaves? Teacher Attrition and Student Achievement</w:t>
      </w:r>
      <w:r w:rsidR="004A15C0">
        <w:t>.” Washington, DC: Urban Institute, National Center for Analysis of Longitudinal Data in Education Research</w:t>
      </w:r>
      <w:r w:rsidR="00434F7F">
        <w:t>, May 2008</w:t>
      </w:r>
      <w:r w:rsidR="004A15C0">
        <w:t>.</w:t>
      </w:r>
    </w:p>
    <w:p w:rsidR="00210E97" w:rsidRDefault="00210E97" w:rsidP="00210E97">
      <w:pPr>
        <w:pStyle w:val="References"/>
      </w:pPr>
      <w:r w:rsidRPr="00BA4AA0">
        <w:t>Goldhaber</w:t>
      </w:r>
      <w:r w:rsidR="004A15C0">
        <w:t>, D</w:t>
      </w:r>
      <w:r w:rsidR="00434F7F">
        <w:t>an</w:t>
      </w:r>
      <w:r>
        <w:t xml:space="preserve">, </w:t>
      </w:r>
      <w:r w:rsidRPr="00917F53">
        <w:t>Gross</w:t>
      </w:r>
      <w:r>
        <w:t>,</w:t>
      </w:r>
      <w:r w:rsidR="004A15C0">
        <w:t xml:space="preserve"> B</w:t>
      </w:r>
      <w:r w:rsidR="00434F7F">
        <w:t>ethany Gross, and Dan</w:t>
      </w:r>
      <w:r>
        <w:t xml:space="preserve"> </w:t>
      </w:r>
      <w:r w:rsidRPr="00917F53">
        <w:t>Player</w:t>
      </w:r>
      <w:r w:rsidR="00434F7F">
        <w:t>.</w:t>
      </w:r>
      <w:r w:rsidRPr="00917F53">
        <w:t xml:space="preserve"> </w:t>
      </w:r>
      <w:r>
        <w:t>“Are Public Schools Really Losing Their “Best”? Assessing The Career Transitions Of Teachers And Their Implications For The Quality Of The Teacher Workforce.” Working Paper 12. Washington, DC: Urban Institute, National Center for Analysis of Longitud</w:t>
      </w:r>
      <w:r w:rsidR="00434F7F">
        <w:t>inal Data in Education Research, October 2007.</w:t>
      </w:r>
    </w:p>
    <w:p w:rsidR="004A15C0" w:rsidRDefault="004A15C0" w:rsidP="004A15C0">
      <w:pPr>
        <w:pStyle w:val="References"/>
      </w:pPr>
      <w:r>
        <w:t>Hanushek, E</w:t>
      </w:r>
      <w:r w:rsidR="00434F7F">
        <w:t>ric</w:t>
      </w:r>
      <w:r>
        <w:t xml:space="preserve">, </w:t>
      </w:r>
      <w:r w:rsidR="00434F7F">
        <w:t xml:space="preserve">John </w:t>
      </w:r>
      <w:r>
        <w:t xml:space="preserve">Kain, </w:t>
      </w:r>
      <w:r w:rsidR="00434F7F">
        <w:t xml:space="preserve">Daniel </w:t>
      </w:r>
      <w:r>
        <w:t xml:space="preserve">O’Brien, and </w:t>
      </w:r>
      <w:r w:rsidR="00434F7F">
        <w:t xml:space="preserve">Steve </w:t>
      </w:r>
      <w:r>
        <w:t>Rivkin</w:t>
      </w:r>
      <w:r w:rsidR="00434F7F">
        <w:t>.</w:t>
      </w:r>
      <w:r>
        <w:t xml:space="preserve"> “The Market for Teacher Quality.” Working Paper No. 11154. Washington, DC: National Bureau of Economic Research</w:t>
      </w:r>
      <w:r w:rsidR="00434F7F">
        <w:t xml:space="preserve">, </w:t>
      </w:r>
      <w:r w:rsidR="007D7944">
        <w:br/>
      </w:r>
      <w:r w:rsidR="00972F3F">
        <w:t xml:space="preserve">February </w:t>
      </w:r>
      <w:r w:rsidR="00434F7F">
        <w:t>2005</w:t>
      </w:r>
      <w:r>
        <w:t xml:space="preserve">. </w:t>
      </w:r>
    </w:p>
    <w:p w:rsidR="00210E97" w:rsidRPr="00210E97" w:rsidRDefault="00210E97" w:rsidP="004A15C0">
      <w:pPr>
        <w:pStyle w:val="References"/>
      </w:pPr>
      <w:r w:rsidRPr="00210E97">
        <w:t>McCaffrey</w:t>
      </w:r>
      <w:r>
        <w:t>, D</w:t>
      </w:r>
      <w:r w:rsidR="00434F7F">
        <w:t>an</w:t>
      </w:r>
      <w:r>
        <w:t>,</w:t>
      </w:r>
      <w:r w:rsidRPr="00210E97">
        <w:t xml:space="preserve"> </w:t>
      </w:r>
      <w:r w:rsidR="00434F7F">
        <w:t xml:space="preserve">Tim </w:t>
      </w:r>
      <w:r w:rsidRPr="00210E97">
        <w:t xml:space="preserve">Sass, </w:t>
      </w:r>
      <w:r w:rsidR="00434F7F">
        <w:t xml:space="preserve">J.R. </w:t>
      </w:r>
      <w:r w:rsidRPr="00210E97">
        <w:t xml:space="preserve">Lockwood, </w:t>
      </w:r>
      <w:r w:rsidR="00434F7F">
        <w:t xml:space="preserve">and Kata </w:t>
      </w:r>
      <w:r w:rsidRPr="00210E97">
        <w:t>Mihaly</w:t>
      </w:r>
      <w:r>
        <w:t xml:space="preserve">. </w:t>
      </w:r>
      <w:r w:rsidRPr="00210E97">
        <w:t>"The Intertemporal Variability of Teach</w:t>
      </w:r>
      <w:r>
        <w:t xml:space="preserve">er Effect Estimates", </w:t>
      </w:r>
      <w:r w:rsidRPr="00434F7F">
        <w:rPr>
          <w:i/>
        </w:rPr>
        <w:t>Education Finance and Policy</w:t>
      </w:r>
      <w:r w:rsidRPr="00210E97">
        <w:t xml:space="preserve">, </w:t>
      </w:r>
      <w:r w:rsidR="00434F7F">
        <w:t xml:space="preserve">vol. </w:t>
      </w:r>
      <w:r w:rsidRPr="00210E97">
        <w:t>4</w:t>
      </w:r>
      <w:r w:rsidR="00434F7F">
        <w:t xml:space="preserve">, no. </w:t>
      </w:r>
      <w:r w:rsidRPr="00210E97">
        <w:t>4</w:t>
      </w:r>
      <w:r w:rsidR="00972F3F">
        <w:t>,</w:t>
      </w:r>
      <w:r w:rsidRPr="00210E97">
        <w:t xml:space="preserve"> </w:t>
      </w:r>
      <w:r w:rsidR="00434F7F">
        <w:t xml:space="preserve">Fall </w:t>
      </w:r>
      <w:r w:rsidRPr="00210E97">
        <w:t>2009</w:t>
      </w:r>
      <w:r w:rsidR="00972F3F">
        <w:t>,</w:t>
      </w:r>
      <w:r w:rsidR="00972F3F" w:rsidRPr="00972F3F">
        <w:t xml:space="preserve"> </w:t>
      </w:r>
      <w:r w:rsidR="00972F3F">
        <w:t>pp.</w:t>
      </w:r>
      <w:r w:rsidR="00972F3F" w:rsidRPr="00210E97">
        <w:t xml:space="preserve"> 572-606</w:t>
      </w:r>
      <w:r w:rsidR="00434F7F">
        <w:t>.</w:t>
      </w:r>
    </w:p>
    <w:p w:rsidR="00DC0FFF" w:rsidRPr="00836007" w:rsidRDefault="00DC0FFF" w:rsidP="00917F53">
      <w:pPr>
        <w:pStyle w:val="References"/>
        <w:rPr>
          <w:rFonts w:cs="Garamond"/>
        </w:rPr>
      </w:pPr>
      <w:r>
        <w:t>Re</w:t>
      </w:r>
      <w:r w:rsidR="00972F3F">
        <w:t xml:space="preserve">ardon, S.F., and G. Firebaugh. </w:t>
      </w:r>
      <w:r>
        <w:t>Measures of Multigroup Segregation.</w:t>
      </w:r>
      <w:r>
        <w:rPr>
          <w:rFonts w:cs="Garamond"/>
        </w:rPr>
        <w:t xml:space="preserve"> Sociological Methodology, </w:t>
      </w:r>
      <w:r>
        <w:t>vol. 32, January 2002, pp. 33-67.</w:t>
      </w:r>
      <w:r w:rsidRPr="00E92D9C">
        <w:t xml:space="preserve"> </w:t>
      </w:r>
    </w:p>
    <w:p w:rsidR="00DC0FFF" w:rsidRDefault="00DC0FFF" w:rsidP="00917F53">
      <w:pPr>
        <w:pStyle w:val="References"/>
        <w:rPr>
          <w:rFonts w:cs="Garamond"/>
        </w:rPr>
      </w:pPr>
      <w:r w:rsidRPr="00082CAF">
        <w:t>Sakoda, James. A Generalized Index of Dissimilarity.</w:t>
      </w:r>
      <w:r w:rsidRPr="00082CAF">
        <w:rPr>
          <w:rFonts w:cs="Garamond"/>
        </w:rPr>
        <w:t xml:space="preserve"> Demography, vol. 18, no. 2, 1981, pp. 245-250.</w:t>
      </w:r>
    </w:p>
    <w:p w:rsidR="00BC7B3F" w:rsidRDefault="00BC7B3F" w:rsidP="00BC7B3F">
      <w:pPr>
        <w:pStyle w:val="References"/>
      </w:pPr>
      <w:r>
        <w:t>Sass, Tim, Jane Hannaway, Zeyu Xu, David Figlio, Li Feng</w:t>
      </w:r>
      <w:r w:rsidRPr="006D01FE">
        <w:t>Value Added of Teachers in High-Poverty Schools and Lower-Poverty Schools</w:t>
      </w:r>
      <w:r>
        <w:t xml:space="preserve">. Washington, DC: The Urban Institute, November 2010. </w:t>
      </w:r>
    </w:p>
    <w:p w:rsidR="00DC0FFF" w:rsidRDefault="00DC0FFF" w:rsidP="00917F53">
      <w:pPr>
        <w:pStyle w:val="References"/>
      </w:pPr>
      <w:r>
        <w:t>Schochet</w:t>
      </w:r>
      <w:r w:rsidR="00917F53">
        <w:t>, Peter</w:t>
      </w:r>
      <w:r>
        <w:t xml:space="preserve"> and </w:t>
      </w:r>
      <w:r w:rsidR="00917F53">
        <w:t xml:space="preserve">Hanley </w:t>
      </w:r>
      <w:r>
        <w:t>Chiang</w:t>
      </w:r>
      <w:r w:rsidR="00917F53">
        <w:t>.</w:t>
      </w:r>
      <w:r w:rsidR="00972F3F">
        <w:t xml:space="preserve"> </w:t>
      </w:r>
      <w:r w:rsidR="00917F53" w:rsidRPr="00917F53">
        <w:t>"Error Rates in Measuring Teacher and School Performance Based on Student Test Score Gains."</w:t>
      </w:r>
      <w:r w:rsidR="00917F53">
        <w:t xml:space="preserve"> Washington, </w:t>
      </w:r>
      <w:r w:rsidR="00972F3F">
        <w:t>DC: Mathematica Policy Research, July 2010.</w:t>
      </w:r>
    </w:p>
    <w:p w:rsidR="00DC0FFF" w:rsidRPr="003C0E0B" w:rsidRDefault="00917F53" w:rsidP="00917F53">
      <w:pPr>
        <w:pStyle w:val="References"/>
      </w:pPr>
      <w:r>
        <w:t>Theil, Henri. Statistical decomposition analysis. Amsterdam: N</w:t>
      </w:r>
      <w:r w:rsidR="00972F3F">
        <w:t>orth-Holland Publishing Company, 1972.</w:t>
      </w:r>
    </w:p>
    <w:sectPr w:rsidR="00DC0FFF" w:rsidRPr="003C0E0B" w:rsidSect="007D7944">
      <w:headerReference w:type="default" r:id="rId43"/>
      <w:footerReference w:type="default" r:id="rId4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D8" w:rsidRDefault="003202D8">
      <w:pPr>
        <w:spacing w:line="240" w:lineRule="auto"/>
        <w:ind w:firstLine="0"/>
      </w:pPr>
    </w:p>
  </w:endnote>
  <w:endnote w:type="continuationSeparator" w:id="0">
    <w:p w:rsidR="003202D8" w:rsidRDefault="003202D8">
      <w:pPr>
        <w:spacing w:line="240" w:lineRule="auto"/>
        <w:ind w:firstLine="0"/>
      </w:pPr>
    </w:p>
  </w:endnote>
  <w:endnote w:type="continuationNotice" w:id="1">
    <w:p w:rsidR="003202D8" w:rsidRDefault="003202D8">
      <w:pPr>
        <w:spacing w:line="240" w:lineRule="auto"/>
        <w:ind w:firstLine="0"/>
      </w:pPr>
    </w:p>
    <w:p w:rsidR="003202D8" w:rsidRDefault="003202D8"/>
    <w:p w:rsidR="003202D8" w:rsidRDefault="003202D8">
      <w:r>
        <w:rPr>
          <w:b/>
          <w:snapToGrid w:val="0"/>
        </w:rPr>
        <w:t>DRAFT</w:t>
      </w:r>
      <w:r>
        <w:rPr>
          <w:snapToGrid w:val="0"/>
          <w:sz w:val="16"/>
        </w:rPr>
        <w:t xml:space="preserve"> </w:t>
      </w:r>
      <w:r w:rsidR="00AA55B7">
        <w:rPr>
          <w:snapToGrid w:val="0"/>
          <w:sz w:val="16"/>
        </w:rPr>
        <w:fldChar w:fldCharType="begin"/>
      </w:r>
      <w:r>
        <w:rPr>
          <w:snapToGrid w:val="0"/>
          <w:sz w:val="16"/>
        </w:rPr>
        <w:instrText xml:space="preserve"> FILENAME \p </w:instrText>
      </w:r>
      <w:r w:rsidR="00AA55B7">
        <w:rPr>
          <w:snapToGrid w:val="0"/>
          <w:sz w:val="16"/>
        </w:rPr>
        <w:fldChar w:fldCharType="separate"/>
      </w:r>
      <w:r>
        <w:rPr>
          <w:noProof/>
          <w:snapToGrid w:val="0"/>
          <w:sz w:val="16"/>
        </w:rPr>
        <w:t>https://tqdstudy.mathematica-mpr.com/410OMB Package/Package/Part B - FROM formatting.docx</w:t>
      </w:r>
      <w:r w:rsidR="00AA55B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ELKPBN+TimesNewRoman">
    <w:altName w:val="Times New Roman"/>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8F1A3F" w:rsidRDefault="006B3FDF" w:rsidP="00414195">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8F1A3F" w:rsidRDefault="006B3FDF" w:rsidP="00414195">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8F1A3F" w:rsidRDefault="006B3FDF" w:rsidP="00414195">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8F1A3F" w:rsidRDefault="006B3FDF" w:rsidP="00414195">
    <w:pPr>
      <w:pStyle w:val="Footer"/>
      <w:spacing w:before="120"/>
      <w:ind w:firstLine="0"/>
      <w:jc w:val="cen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8F1A3F" w:rsidRDefault="00AA55B7" w:rsidP="00414195">
    <w:pPr>
      <w:pStyle w:val="Footer"/>
      <w:spacing w:before="120"/>
      <w:ind w:firstLine="0"/>
      <w:jc w:val="center"/>
      <w:rPr>
        <w:rStyle w:val="PageNumber"/>
      </w:rPr>
    </w:pPr>
    <w:r w:rsidRPr="00957F7E">
      <w:rPr>
        <w:rStyle w:val="PageNumber"/>
      </w:rPr>
      <w:fldChar w:fldCharType="begin"/>
    </w:r>
    <w:r w:rsidR="006B3FDF" w:rsidRPr="00957F7E">
      <w:rPr>
        <w:rStyle w:val="PageNumber"/>
      </w:rPr>
      <w:instrText xml:space="preserve"> PAGE   \* MERGEFORMAT </w:instrText>
    </w:r>
    <w:r w:rsidRPr="00957F7E">
      <w:rPr>
        <w:rStyle w:val="PageNumber"/>
      </w:rPr>
      <w:fldChar w:fldCharType="separate"/>
    </w:r>
    <w:r w:rsidR="0018689C">
      <w:rPr>
        <w:rStyle w:val="PageNumber"/>
        <w:noProof/>
      </w:rPr>
      <w:t>v</w:t>
    </w:r>
    <w:r w:rsidRPr="00957F7E">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Default="006B3FDF" w:rsidP="00012863">
    <w:pPr>
      <w:pStyle w:val="Footer"/>
      <w:tabs>
        <w:tab w:val="clear" w:pos="432"/>
        <w:tab w:val="clear" w:pos="4320"/>
        <w:tab w:val="clear" w:pos="8640"/>
        <w:tab w:val="center" w:pos="4770"/>
        <w:tab w:val="right" w:pos="9360"/>
      </w:tabs>
      <w:spacing w:before="120"/>
      <w:ind w:firstLine="0"/>
      <w:rPr>
        <w:rStyle w:val="PageNumber"/>
        <w:b/>
        <w:sz w:val="17"/>
      </w:rPr>
    </w:pPr>
    <w:r w:rsidRPr="007D7944">
      <w:rPr>
        <w:b/>
      </w:rPr>
      <w:t>DRAFT</w:t>
    </w:r>
    <w:r>
      <w:rPr>
        <w:sz w:val="16"/>
      </w:rPr>
      <w:tab/>
    </w:r>
    <w:r w:rsidR="00AA55B7">
      <w:rPr>
        <w:rStyle w:val="PageNumber"/>
      </w:rPr>
      <w:fldChar w:fldCharType="begin"/>
    </w:r>
    <w:r>
      <w:rPr>
        <w:rStyle w:val="PageNumber"/>
      </w:rPr>
      <w:instrText xml:space="preserve"> PAGE </w:instrText>
    </w:r>
    <w:r w:rsidR="00AA55B7">
      <w:rPr>
        <w:rStyle w:val="PageNumber"/>
      </w:rPr>
      <w:fldChar w:fldCharType="separate"/>
    </w:r>
    <w:r w:rsidR="0018689C">
      <w:rPr>
        <w:rStyle w:val="PageNumber"/>
        <w:noProof/>
      </w:rPr>
      <w:t>10</w:t>
    </w:r>
    <w:r w:rsidR="00AA55B7">
      <w:rPr>
        <w:rStyle w:val="PageNumber"/>
      </w:rPr>
      <w:fldChar w:fldCharType="end"/>
    </w:r>
    <w:r>
      <w:rPr>
        <w:rStyle w:val="PageNumber"/>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Default="006B3FDF" w:rsidP="00012863">
    <w:pPr>
      <w:pStyle w:val="Footer"/>
      <w:tabs>
        <w:tab w:val="clear" w:pos="432"/>
        <w:tab w:val="clear" w:pos="4320"/>
        <w:tab w:val="clear" w:pos="8640"/>
        <w:tab w:val="center" w:pos="4770"/>
        <w:tab w:val="right" w:pos="9360"/>
      </w:tabs>
      <w:spacing w:before="120"/>
      <w:ind w:firstLine="0"/>
      <w:rPr>
        <w:rStyle w:val="PageNumber"/>
        <w:b/>
        <w:sz w:val="17"/>
      </w:rPr>
    </w:pPr>
    <w:r w:rsidRPr="007D7944">
      <w:rPr>
        <w:b/>
      </w:rPr>
      <w:t>DRAFT</w:t>
    </w:r>
    <w:r>
      <w:rPr>
        <w:sz w:val="16"/>
      </w:rPr>
      <w:tab/>
    </w:r>
    <w:r w:rsidR="00AA55B7">
      <w:rPr>
        <w:rStyle w:val="PageNumber"/>
      </w:rPr>
      <w:fldChar w:fldCharType="begin"/>
    </w:r>
    <w:r>
      <w:rPr>
        <w:rStyle w:val="PageNumber"/>
      </w:rPr>
      <w:instrText xml:space="preserve"> PAGE </w:instrText>
    </w:r>
    <w:r w:rsidR="00AA55B7">
      <w:rPr>
        <w:rStyle w:val="PageNumber"/>
      </w:rPr>
      <w:fldChar w:fldCharType="separate"/>
    </w:r>
    <w:r w:rsidR="0018689C">
      <w:rPr>
        <w:rStyle w:val="PageNumber"/>
        <w:noProof/>
      </w:rPr>
      <w:t>11</w:t>
    </w:r>
    <w:r w:rsidR="00AA55B7">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D8" w:rsidRDefault="003202D8">
      <w:pPr>
        <w:spacing w:line="240" w:lineRule="auto"/>
        <w:ind w:firstLine="0"/>
      </w:pPr>
      <w:r>
        <w:separator/>
      </w:r>
    </w:p>
  </w:footnote>
  <w:footnote w:type="continuationSeparator" w:id="0">
    <w:p w:rsidR="003202D8" w:rsidRDefault="003202D8">
      <w:pPr>
        <w:spacing w:line="240" w:lineRule="auto"/>
        <w:ind w:firstLine="0"/>
      </w:pPr>
      <w:r>
        <w:separator/>
      </w:r>
    </w:p>
    <w:p w:rsidR="003202D8" w:rsidRDefault="003202D8">
      <w:pPr>
        <w:spacing w:line="240" w:lineRule="auto"/>
        <w:ind w:firstLine="0"/>
        <w:rPr>
          <w:i/>
        </w:rPr>
      </w:pPr>
      <w:r>
        <w:rPr>
          <w:i/>
        </w:rPr>
        <w:t>(continued)</w:t>
      </w:r>
    </w:p>
  </w:footnote>
  <w:footnote w:type="continuationNotice" w:id="1">
    <w:p w:rsidR="003202D8" w:rsidRDefault="003202D8">
      <w:pPr>
        <w:pStyle w:val="Footer"/>
      </w:pPr>
    </w:p>
  </w:footnote>
  <w:footnote w:id="2">
    <w:p w:rsidR="00F13B54" w:rsidRDefault="00F13B54" w:rsidP="00F13B54">
      <w:pPr>
        <w:pStyle w:val="FootnoteText"/>
      </w:pPr>
      <w:r>
        <w:rPr>
          <w:rStyle w:val="FootnoteReference"/>
        </w:rPr>
        <w:footnoteRef/>
      </w:r>
      <w:r>
        <w:t xml:space="preserve"> In addition, we will also consider whether a lag is expected between when a policy is implemented and when it affects the distribution. For example, teacher induction programs were found to have an impact in the third year after implementation, but not in the first two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Default="006B3F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Default="006B3F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Default="006B3F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0A4439" w:rsidRDefault="006B3FDF" w:rsidP="00414195">
    <w:pPr>
      <w:pStyle w:val="Header"/>
      <w:rPr>
        <w:szCs w:val="22"/>
      </w:rPr>
    </w:pPr>
    <w:r>
      <w:rPr>
        <w:szCs w:val="22"/>
      </w:rPr>
      <w:t>Contents</w:t>
    </w:r>
    <w:r w:rsidRPr="000A4439">
      <w:rPr>
        <w:szCs w:val="22"/>
      </w:rPr>
      <w:tab/>
    </w:r>
    <w:r w:rsidRPr="000A4439">
      <w:rPr>
        <w:szCs w:val="22"/>
      </w:rPr>
      <w:tab/>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0A4439" w:rsidRDefault="006B3FDF" w:rsidP="006C5B99">
    <w:pPr>
      <w:pStyle w:val="Header"/>
      <w:rPr>
        <w:szCs w:val="22"/>
      </w:rPr>
    </w:pPr>
    <w:r w:rsidRPr="0031253B">
      <w:rPr>
        <w:szCs w:val="22"/>
      </w:rPr>
      <w:t>ED-IES-10-C-0065</w:t>
    </w:r>
    <w:r w:rsidRPr="000A4439">
      <w:rPr>
        <w:szCs w:val="22"/>
      </w:rPr>
      <w:tab/>
    </w:r>
    <w:r w:rsidRPr="000A4439">
      <w:rPr>
        <w:szCs w:val="22"/>
      </w:rPr>
      <w:tab/>
      <w:t>Mathematica Policy Research</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FDF" w:rsidRPr="000A4439" w:rsidRDefault="006B3FDF" w:rsidP="006C5B99">
    <w:pPr>
      <w:pStyle w:val="Header"/>
      <w:rPr>
        <w:szCs w:val="22"/>
      </w:rPr>
    </w:pPr>
    <w:r>
      <w:rPr>
        <w:szCs w:val="22"/>
      </w:rPr>
      <w:t>References</w:t>
    </w:r>
    <w:r w:rsidRPr="000A4439">
      <w:rPr>
        <w:szCs w:val="22"/>
      </w:rPr>
      <w:tab/>
    </w:r>
    <w:r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8D60D68"/>
    <w:lvl w:ilvl="0">
      <w:start w:val="1"/>
      <w:numFmt w:val="decimal"/>
      <w:lvlText w:val="%1."/>
      <w:lvlJc w:val="left"/>
      <w:pPr>
        <w:tabs>
          <w:tab w:val="num" w:pos="1800"/>
        </w:tabs>
        <w:ind w:left="1800" w:hanging="360"/>
      </w:pPr>
    </w:lvl>
  </w:abstractNum>
  <w:abstractNum w:abstractNumId="1">
    <w:nsid w:val="FFFFFF7D"/>
    <w:multiLevelType w:val="singleLevel"/>
    <w:tmpl w:val="EB5AA4FA"/>
    <w:lvl w:ilvl="0">
      <w:start w:val="1"/>
      <w:numFmt w:val="decimal"/>
      <w:lvlText w:val="%1."/>
      <w:lvlJc w:val="left"/>
      <w:pPr>
        <w:tabs>
          <w:tab w:val="num" w:pos="1440"/>
        </w:tabs>
        <w:ind w:left="1440" w:hanging="360"/>
      </w:pPr>
    </w:lvl>
  </w:abstractNum>
  <w:abstractNum w:abstractNumId="2">
    <w:nsid w:val="FFFFFF7E"/>
    <w:multiLevelType w:val="singleLevel"/>
    <w:tmpl w:val="D1D44100"/>
    <w:lvl w:ilvl="0">
      <w:start w:val="1"/>
      <w:numFmt w:val="decimal"/>
      <w:lvlText w:val="%1."/>
      <w:lvlJc w:val="left"/>
      <w:pPr>
        <w:tabs>
          <w:tab w:val="num" w:pos="1080"/>
        </w:tabs>
        <w:ind w:left="1080" w:hanging="360"/>
      </w:pPr>
    </w:lvl>
  </w:abstractNum>
  <w:abstractNum w:abstractNumId="3">
    <w:nsid w:val="FFFFFF7F"/>
    <w:multiLevelType w:val="singleLevel"/>
    <w:tmpl w:val="FA3ED722"/>
    <w:lvl w:ilvl="0">
      <w:start w:val="1"/>
      <w:numFmt w:val="decimal"/>
      <w:lvlText w:val="%1."/>
      <w:lvlJc w:val="left"/>
      <w:pPr>
        <w:tabs>
          <w:tab w:val="num" w:pos="720"/>
        </w:tabs>
        <w:ind w:left="720" w:hanging="360"/>
      </w:pPr>
    </w:lvl>
  </w:abstractNum>
  <w:abstractNum w:abstractNumId="4">
    <w:nsid w:val="FFFFFF80"/>
    <w:multiLevelType w:val="singleLevel"/>
    <w:tmpl w:val="8F8ED6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72C7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0A54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4E62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58E580"/>
    <w:lvl w:ilvl="0">
      <w:start w:val="1"/>
      <w:numFmt w:val="decimal"/>
      <w:lvlText w:val="%1."/>
      <w:lvlJc w:val="left"/>
      <w:pPr>
        <w:tabs>
          <w:tab w:val="num" w:pos="360"/>
        </w:tabs>
        <w:ind w:left="360" w:hanging="360"/>
      </w:pPr>
    </w:lvl>
  </w:abstractNum>
  <w:abstractNum w:abstractNumId="9">
    <w:nsid w:val="FFFFFF89"/>
    <w:multiLevelType w:val="singleLevel"/>
    <w:tmpl w:val="68F2844E"/>
    <w:lvl w:ilvl="0">
      <w:start w:val="1"/>
      <w:numFmt w:val="bullet"/>
      <w:lvlText w:val=""/>
      <w:lvlJc w:val="left"/>
      <w:pPr>
        <w:tabs>
          <w:tab w:val="num" w:pos="360"/>
        </w:tabs>
        <w:ind w:left="360" w:hanging="360"/>
      </w:pPr>
      <w:rPr>
        <w:rFonts w:ascii="Symbol" w:hAnsi="Symbol" w:hint="default"/>
      </w:rPr>
    </w:lvl>
  </w:abstractNum>
  <w:abstractNum w:abstractNumId="10">
    <w:nsid w:val="0CD044CE"/>
    <w:multiLevelType w:val="hybridMultilevel"/>
    <w:tmpl w:val="B7282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9D59BB"/>
    <w:multiLevelType w:val="hybridMultilevel"/>
    <w:tmpl w:val="601EE5BC"/>
    <w:lvl w:ilvl="0" w:tplc="DB222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FEE06B4"/>
    <w:multiLevelType w:val="hybridMultilevel"/>
    <w:tmpl w:val="BBB4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28"/>
  </w:num>
  <w:num w:numId="3">
    <w:abstractNumId w:val="24"/>
  </w:num>
  <w:num w:numId="4">
    <w:abstractNumId w:val="12"/>
  </w:num>
  <w:num w:numId="5">
    <w:abstractNumId w:val="11"/>
  </w:num>
  <w:num w:numId="6">
    <w:abstractNumId w:val="29"/>
  </w:num>
  <w:num w:numId="7">
    <w:abstractNumId w:val="27"/>
  </w:num>
  <w:num w:numId="8">
    <w:abstractNumId w:val="15"/>
  </w:num>
  <w:num w:numId="9">
    <w:abstractNumId w:val="16"/>
  </w:num>
  <w:num w:numId="10">
    <w:abstractNumId w:val="18"/>
  </w:num>
  <w:num w:numId="11">
    <w:abstractNumId w:val="13"/>
  </w:num>
  <w:num w:numId="12">
    <w:abstractNumId w:val="25"/>
  </w:num>
  <w:num w:numId="13">
    <w:abstractNumId w:val="14"/>
  </w:num>
  <w:num w:numId="14">
    <w:abstractNumId w:val="22"/>
  </w:num>
  <w:num w:numId="15">
    <w:abstractNumId w:val="26"/>
  </w:num>
  <w:num w:numId="16">
    <w:abstractNumId w:val="17"/>
  </w:num>
  <w:num w:numId="17">
    <w:abstractNumId w:val="20"/>
  </w:num>
  <w:num w:numId="18">
    <w:abstractNumId w:val="23"/>
  </w:num>
  <w:num w:numId="19">
    <w:abstractNumId w:val="10"/>
  </w:num>
  <w:num w:numId="20">
    <w:abstractNumId w:val="1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doNotUseHTMLParagraphAutoSpacing/>
  </w:compat>
  <w:rsids>
    <w:rsidRoot w:val="0087660D"/>
    <w:rsid w:val="000015FB"/>
    <w:rsid w:val="00003631"/>
    <w:rsid w:val="00006E1F"/>
    <w:rsid w:val="00007CA0"/>
    <w:rsid w:val="00012372"/>
    <w:rsid w:val="00012863"/>
    <w:rsid w:val="00017DD1"/>
    <w:rsid w:val="000215CB"/>
    <w:rsid w:val="00021A62"/>
    <w:rsid w:val="00026235"/>
    <w:rsid w:val="000300AF"/>
    <w:rsid w:val="00032A60"/>
    <w:rsid w:val="00033A7E"/>
    <w:rsid w:val="00033EBB"/>
    <w:rsid w:val="00037098"/>
    <w:rsid w:val="00041284"/>
    <w:rsid w:val="0004208E"/>
    <w:rsid w:val="00046CA3"/>
    <w:rsid w:val="00046E51"/>
    <w:rsid w:val="00052499"/>
    <w:rsid w:val="00053968"/>
    <w:rsid w:val="000566AE"/>
    <w:rsid w:val="00063123"/>
    <w:rsid w:val="00063FEF"/>
    <w:rsid w:val="00066AB9"/>
    <w:rsid w:val="00071EB1"/>
    <w:rsid w:val="000732F4"/>
    <w:rsid w:val="00075F25"/>
    <w:rsid w:val="000769A1"/>
    <w:rsid w:val="00076CF0"/>
    <w:rsid w:val="00080DFA"/>
    <w:rsid w:val="000812AE"/>
    <w:rsid w:val="00081D47"/>
    <w:rsid w:val="00085FA0"/>
    <w:rsid w:val="00085FC1"/>
    <w:rsid w:val="00090529"/>
    <w:rsid w:val="00095A62"/>
    <w:rsid w:val="000A11F1"/>
    <w:rsid w:val="000A27A4"/>
    <w:rsid w:val="000A2951"/>
    <w:rsid w:val="000A4439"/>
    <w:rsid w:val="000A544F"/>
    <w:rsid w:val="000A6C3F"/>
    <w:rsid w:val="000B291F"/>
    <w:rsid w:val="000B2BD0"/>
    <w:rsid w:val="000B3450"/>
    <w:rsid w:val="000B3A77"/>
    <w:rsid w:val="000B492F"/>
    <w:rsid w:val="000B594D"/>
    <w:rsid w:val="000B7E70"/>
    <w:rsid w:val="000C0118"/>
    <w:rsid w:val="000C15B4"/>
    <w:rsid w:val="000C2A88"/>
    <w:rsid w:val="000C43C0"/>
    <w:rsid w:val="000C70DC"/>
    <w:rsid w:val="000C72F8"/>
    <w:rsid w:val="000C779C"/>
    <w:rsid w:val="000D2824"/>
    <w:rsid w:val="000D3150"/>
    <w:rsid w:val="000D47C0"/>
    <w:rsid w:val="000D497E"/>
    <w:rsid w:val="000D709F"/>
    <w:rsid w:val="000E1D9E"/>
    <w:rsid w:val="000E3809"/>
    <w:rsid w:val="000E6D11"/>
    <w:rsid w:val="000F1434"/>
    <w:rsid w:val="000F61FB"/>
    <w:rsid w:val="000F79B9"/>
    <w:rsid w:val="00105D23"/>
    <w:rsid w:val="001073C9"/>
    <w:rsid w:val="001079EF"/>
    <w:rsid w:val="00130424"/>
    <w:rsid w:val="0013282C"/>
    <w:rsid w:val="00132E2F"/>
    <w:rsid w:val="00135AF5"/>
    <w:rsid w:val="001362D2"/>
    <w:rsid w:val="00136685"/>
    <w:rsid w:val="00136C46"/>
    <w:rsid w:val="00141646"/>
    <w:rsid w:val="00141705"/>
    <w:rsid w:val="00141A0B"/>
    <w:rsid w:val="00141FA6"/>
    <w:rsid w:val="001425AF"/>
    <w:rsid w:val="00142AE3"/>
    <w:rsid w:val="00144DA7"/>
    <w:rsid w:val="001467BB"/>
    <w:rsid w:val="00160306"/>
    <w:rsid w:val="00160E09"/>
    <w:rsid w:val="00162191"/>
    <w:rsid w:val="00163E17"/>
    <w:rsid w:val="00170546"/>
    <w:rsid w:val="00181F53"/>
    <w:rsid w:val="0018564C"/>
    <w:rsid w:val="0018689C"/>
    <w:rsid w:val="001933B1"/>
    <w:rsid w:val="001A07D4"/>
    <w:rsid w:val="001A1186"/>
    <w:rsid w:val="001A2A84"/>
    <w:rsid w:val="001B360E"/>
    <w:rsid w:val="001B7892"/>
    <w:rsid w:val="001C0BC6"/>
    <w:rsid w:val="001C2096"/>
    <w:rsid w:val="001C3C67"/>
    <w:rsid w:val="001C6D08"/>
    <w:rsid w:val="001D1564"/>
    <w:rsid w:val="001D247C"/>
    <w:rsid w:val="001D31D9"/>
    <w:rsid w:val="001D3C41"/>
    <w:rsid w:val="001D4C8F"/>
    <w:rsid w:val="001D61B5"/>
    <w:rsid w:val="001D634E"/>
    <w:rsid w:val="001E0AB2"/>
    <w:rsid w:val="001E466A"/>
    <w:rsid w:val="001F424D"/>
    <w:rsid w:val="001F5132"/>
    <w:rsid w:val="001F5410"/>
    <w:rsid w:val="001F7632"/>
    <w:rsid w:val="00200B10"/>
    <w:rsid w:val="00200D06"/>
    <w:rsid w:val="002053F3"/>
    <w:rsid w:val="00210E97"/>
    <w:rsid w:val="0022115C"/>
    <w:rsid w:val="0022402B"/>
    <w:rsid w:val="0023227E"/>
    <w:rsid w:val="00233637"/>
    <w:rsid w:val="00235D9C"/>
    <w:rsid w:val="00236122"/>
    <w:rsid w:val="00243909"/>
    <w:rsid w:val="00243DEE"/>
    <w:rsid w:val="00246CC3"/>
    <w:rsid w:val="0025182E"/>
    <w:rsid w:val="00252371"/>
    <w:rsid w:val="002613D2"/>
    <w:rsid w:val="00264716"/>
    <w:rsid w:val="00267F6C"/>
    <w:rsid w:val="00271B2B"/>
    <w:rsid w:val="00280AB2"/>
    <w:rsid w:val="00281C08"/>
    <w:rsid w:val="00282FD0"/>
    <w:rsid w:val="00284557"/>
    <w:rsid w:val="002849EE"/>
    <w:rsid w:val="00287FD7"/>
    <w:rsid w:val="002921C5"/>
    <w:rsid w:val="002942FB"/>
    <w:rsid w:val="00297931"/>
    <w:rsid w:val="002A0847"/>
    <w:rsid w:val="002A1ADA"/>
    <w:rsid w:val="002A28C9"/>
    <w:rsid w:val="002A364F"/>
    <w:rsid w:val="002A401B"/>
    <w:rsid w:val="002A70E7"/>
    <w:rsid w:val="002A7359"/>
    <w:rsid w:val="002A7D99"/>
    <w:rsid w:val="002B1593"/>
    <w:rsid w:val="002B4FEB"/>
    <w:rsid w:val="002B68A5"/>
    <w:rsid w:val="002C172F"/>
    <w:rsid w:val="002C413C"/>
    <w:rsid w:val="002C4C16"/>
    <w:rsid w:val="002C64E8"/>
    <w:rsid w:val="002C7011"/>
    <w:rsid w:val="002C734A"/>
    <w:rsid w:val="002D0A34"/>
    <w:rsid w:val="002D279D"/>
    <w:rsid w:val="002D6999"/>
    <w:rsid w:val="002E4968"/>
    <w:rsid w:val="002F1E71"/>
    <w:rsid w:val="002F26D3"/>
    <w:rsid w:val="002F440B"/>
    <w:rsid w:val="002F71D4"/>
    <w:rsid w:val="002F7C83"/>
    <w:rsid w:val="00300CE3"/>
    <w:rsid w:val="00303CF8"/>
    <w:rsid w:val="00304ADA"/>
    <w:rsid w:val="00310623"/>
    <w:rsid w:val="00313671"/>
    <w:rsid w:val="00313E69"/>
    <w:rsid w:val="003142E6"/>
    <w:rsid w:val="003142ED"/>
    <w:rsid w:val="0031587F"/>
    <w:rsid w:val="00317EDA"/>
    <w:rsid w:val="003202D8"/>
    <w:rsid w:val="00320EB3"/>
    <w:rsid w:val="00321944"/>
    <w:rsid w:val="003259DF"/>
    <w:rsid w:val="0032725A"/>
    <w:rsid w:val="00332DB6"/>
    <w:rsid w:val="00336A60"/>
    <w:rsid w:val="00342168"/>
    <w:rsid w:val="00342478"/>
    <w:rsid w:val="00342CD8"/>
    <w:rsid w:val="00343A0C"/>
    <w:rsid w:val="00350399"/>
    <w:rsid w:val="00350E63"/>
    <w:rsid w:val="00350ED9"/>
    <w:rsid w:val="00353544"/>
    <w:rsid w:val="00353E51"/>
    <w:rsid w:val="00354942"/>
    <w:rsid w:val="00354C34"/>
    <w:rsid w:val="0035674B"/>
    <w:rsid w:val="0035773E"/>
    <w:rsid w:val="003607F3"/>
    <w:rsid w:val="00362133"/>
    <w:rsid w:val="00362AAF"/>
    <w:rsid w:val="00365535"/>
    <w:rsid w:val="003712F4"/>
    <w:rsid w:val="00372AB1"/>
    <w:rsid w:val="00374549"/>
    <w:rsid w:val="00381A96"/>
    <w:rsid w:val="00381B5C"/>
    <w:rsid w:val="00386508"/>
    <w:rsid w:val="003903FE"/>
    <w:rsid w:val="00391C87"/>
    <w:rsid w:val="0039346B"/>
    <w:rsid w:val="00394752"/>
    <w:rsid w:val="003967E3"/>
    <w:rsid w:val="003A1506"/>
    <w:rsid w:val="003A1774"/>
    <w:rsid w:val="003A17E0"/>
    <w:rsid w:val="003A26BB"/>
    <w:rsid w:val="003B1FFC"/>
    <w:rsid w:val="003B303A"/>
    <w:rsid w:val="003B4896"/>
    <w:rsid w:val="003B5D83"/>
    <w:rsid w:val="003B7B0F"/>
    <w:rsid w:val="003C0A5F"/>
    <w:rsid w:val="003C0E0B"/>
    <w:rsid w:val="003C27A1"/>
    <w:rsid w:val="003C57EB"/>
    <w:rsid w:val="003D77B2"/>
    <w:rsid w:val="003E0A97"/>
    <w:rsid w:val="003E0D48"/>
    <w:rsid w:val="003E4DE6"/>
    <w:rsid w:val="003E7D28"/>
    <w:rsid w:val="00401627"/>
    <w:rsid w:val="004037E2"/>
    <w:rsid w:val="00406BF3"/>
    <w:rsid w:val="0040780A"/>
    <w:rsid w:val="00410D8F"/>
    <w:rsid w:val="00410F60"/>
    <w:rsid w:val="004118E0"/>
    <w:rsid w:val="00412D08"/>
    <w:rsid w:val="00414195"/>
    <w:rsid w:val="00414FF6"/>
    <w:rsid w:val="004178CB"/>
    <w:rsid w:val="00417B7A"/>
    <w:rsid w:val="0042391D"/>
    <w:rsid w:val="0042461E"/>
    <w:rsid w:val="00431023"/>
    <w:rsid w:val="004338D1"/>
    <w:rsid w:val="00434F7F"/>
    <w:rsid w:val="0043760F"/>
    <w:rsid w:val="0044098E"/>
    <w:rsid w:val="0044551C"/>
    <w:rsid w:val="00446472"/>
    <w:rsid w:val="00446CE2"/>
    <w:rsid w:val="00447C62"/>
    <w:rsid w:val="00450873"/>
    <w:rsid w:val="00452647"/>
    <w:rsid w:val="00455C7B"/>
    <w:rsid w:val="0046035A"/>
    <w:rsid w:val="00462646"/>
    <w:rsid w:val="00463045"/>
    <w:rsid w:val="00474405"/>
    <w:rsid w:val="0047478B"/>
    <w:rsid w:val="00475483"/>
    <w:rsid w:val="00476CB1"/>
    <w:rsid w:val="00477E95"/>
    <w:rsid w:val="00482011"/>
    <w:rsid w:val="00487206"/>
    <w:rsid w:val="004905B8"/>
    <w:rsid w:val="00490847"/>
    <w:rsid w:val="00492B1B"/>
    <w:rsid w:val="00492B73"/>
    <w:rsid w:val="00493CD7"/>
    <w:rsid w:val="00496EF0"/>
    <w:rsid w:val="004A0392"/>
    <w:rsid w:val="004A071B"/>
    <w:rsid w:val="004A15C0"/>
    <w:rsid w:val="004A21DF"/>
    <w:rsid w:val="004A46CC"/>
    <w:rsid w:val="004A7841"/>
    <w:rsid w:val="004B0D54"/>
    <w:rsid w:val="004B2A96"/>
    <w:rsid w:val="004B4E60"/>
    <w:rsid w:val="004C511E"/>
    <w:rsid w:val="004C7A2B"/>
    <w:rsid w:val="004C7B5E"/>
    <w:rsid w:val="004D62CD"/>
    <w:rsid w:val="004E7D79"/>
    <w:rsid w:val="004F0B74"/>
    <w:rsid w:val="004F0C2E"/>
    <w:rsid w:val="004F3C2C"/>
    <w:rsid w:val="004F493C"/>
    <w:rsid w:val="004F4BC7"/>
    <w:rsid w:val="00500098"/>
    <w:rsid w:val="00500998"/>
    <w:rsid w:val="00514703"/>
    <w:rsid w:val="00525772"/>
    <w:rsid w:val="00526089"/>
    <w:rsid w:val="00531424"/>
    <w:rsid w:val="005332B7"/>
    <w:rsid w:val="00537F22"/>
    <w:rsid w:val="00542523"/>
    <w:rsid w:val="00545A2C"/>
    <w:rsid w:val="005479ED"/>
    <w:rsid w:val="005560D1"/>
    <w:rsid w:val="00557FE1"/>
    <w:rsid w:val="005604DC"/>
    <w:rsid w:val="00560DAF"/>
    <w:rsid w:val="005637D0"/>
    <w:rsid w:val="0056487B"/>
    <w:rsid w:val="0057058B"/>
    <w:rsid w:val="00571C07"/>
    <w:rsid w:val="00574814"/>
    <w:rsid w:val="00576DF1"/>
    <w:rsid w:val="005811B3"/>
    <w:rsid w:val="00581EE2"/>
    <w:rsid w:val="00582CD2"/>
    <w:rsid w:val="00583141"/>
    <w:rsid w:val="00584664"/>
    <w:rsid w:val="00585713"/>
    <w:rsid w:val="0058753C"/>
    <w:rsid w:val="00591AE6"/>
    <w:rsid w:val="00592E1A"/>
    <w:rsid w:val="00597C4E"/>
    <w:rsid w:val="00597C9C"/>
    <w:rsid w:val="00597FEB"/>
    <w:rsid w:val="005A19C0"/>
    <w:rsid w:val="005A3631"/>
    <w:rsid w:val="005A3D02"/>
    <w:rsid w:val="005A4E2C"/>
    <w:rsid w:val="005A52EB"/>
    <w:rsid w:val="005A66CB"/>
    <w:rsid w:val="005B0472"/>
    <w:rsid w:val="005B5B6C"/>
    <w:rsid w:val="005C228F"/>
    <w:rsid w:val="005C272F"/>
    <w:rsid w:val="005D01A8"/>
    <w:rsid w:val="005E1375"/>
    <w:rsid w:val="005E3680"/>
    <w:rsid w:val="005E474B"/>
    <w:rsid w:val="005E7695"/>
    <w:rsid w:val="005F162C"/>
    <w:rsid w:val="005F430F"/>
    <w:rsid w:val="005F53E1"/>
    <w:rsid w:val="00601B65"/>
    <w:rsid w:val="00602184"/>
    <w:rsid w:val="0060380A"/>
    <w:rsid w:val="00604C55"/>
    <w:rsid w:val="00604C62"/>
    <w:rsid w:val="00606880"/>
    <w:rsid w:val="00606979"/>
    <w:rsid w:val="006150A8"/>
    <w:rsid w:val="006172B4"/>
    <w:rsid w:val="006245A4"/>
    <w:rsid w:val="0062522C"/>
    <w:rsid w:val="006252AD"/>
    <w:rsid w:val="00626C58"/>
    <w:rsid w:val="00635D28"/>
    <w:rsid w:val="00635EC3"/>
    <w:rsid w:val="00636860"/>
    <w:rsid w:val="00636BBB"/>
    <w:rsid w:val="00637A61"/>
    <w:rsid w:val="0064008B"/>
    <w:rsid w:val="00641AC0"/>
    <w:rsid w:val="00645FA6"/>
    <w:rsid w:val="006548A0"/>
    <w:rsid w:val="00656171"/>
    <w:rsid w:val="00666769"/>
    <w:rsid w:val="00667F66"/>
    <w:rsid w:val="00670448"/>
    <w:rsid w:val="006714AC"/>
    <w:rsid w:val="00671E2B"/>
    <w:rsid w:val="00672F90"/>
    <w:rsid w:val="00674E26"/>
    <w:rsid w:val="006756D8"/>
    <w:rsid w:val="0067684B"/>
    <w:rsid w:val="00677BF6"/>
    <w:rsid w:val="00682AC7"/>
    <w:rsid w:val="00682BCD"/>
    <w:rsid w:val="006838EC"/>
    <w:rsid w:val="006904D0"/>
    <w:rsid w:val="00690B57"/>
    <w:rsid w:val="006925A1"/>
    <w:rsid w:val="006959AF"/>
    <w:rsid w:val="006A09D0"/>
    <w:rsid w:val="006A3DE8"/>
    <w:rsid w:val="006A410F"/>
    <w:rsid w:val="006A5367"/>
    <w:rsid w:val="006A56AB"/>
    <w:rsid w:val="006A7614"/>
    <w:rsid w:val="006B0652"/>
    <w:rsid w:val="006B2B5D"/>
    <w:rsid w:val="006B3FDF"/>
    <w:rsid w:val="006B43E8"/>
    <w:rsid w:val="006B5ADC"/>
    <w:rsid w:val="006C5B99"/>
    <w:rsid w:val="006C5F78"/>
    <w:rsid w:val="006D413F"/>
    <w:rsid w:val="006D44FA"/>
    <w:rsid w:val="006D67B8"/>
    <w:rsid w:val="006D6B4E"/>
    <w:rsid w:val="006D7452"/>
    <w:rsid w:val="006E2AEF"/>
    <w:rsid w:val="006E3DE1"/>
    <w:rsid w:val="006F053F"/>
    <w:rsid w:val="006F3477"/>
    <w:rsid w:val="006F57D8"/>
    <w:rsid w:val="00701FC4"/>
    <w:rsid w:val="00702D34"/>
    <w:rsid w:val="007059B2"/>
    <w:rsid w:val="00707664"/>
    <w:rsid w:val="00711CA6"/>
    <w:rsid w:val="0071244B"/>
    <w:rsid w:val="00712A21"/>
    <w:rsid w:val="00716AC2"/>
    <w:rsid w:val="00717B10"/>
    <w:rsid w:val="00717DCC"/>
    <w:rsid w:val="00720A3E"/>
    <w:rsid w:val="00720F11"/>
    <w:rsid w:val="007214EF"/>
    <w:rsid w:val="00723C00"/>
    <w:rsid w:val="00726DD4"/>
    <w:rsid w:val="00730892"/>
    <w:rsid w:val="00736486"/>
    <w:rsid w:val="00742342"/>
    <w:rsid w:val="00742C8C"/>
    <w:rsid w:val="00744CFB"/>
    <w:rsid w:val="0074620C"/>
    <w:rsid w:val="0074653C"/>
    <w:rsid w:val="00747001"/>
    <w:rsid w:val="00747B99"/>
    <w:rsid w:val="007525FD"/>
    <w:rsid w:val="00754E03"/>
    <w:rsid w:val="00763A57"/>
    <w:rsid w:val="00764A74"/>
    <w:rsid w:val="00773734"/>
    <w:rsid w:val="007761AF"/>
    <w:rsid w:val="0078127B"/>
    <w:rsid w:val="00782F49"/>
    <w:rsid w:val="00784BA2"/>
    <w:rsid w:val="00784C98"/>
    <w:rsid w:val="007906CE"/>
    <w:rsid w:val="007959C1"/>
    <w:rsid w:val="007A5803"/>
    <w:rsid w:val="007B2015"/>
    <w:rsid w:val="007B5799"/>
    <w:rsid w:val="007B5887"/>
    <w:rsid w:val="007B6D9E"/>
    <w:rsid w:val="007B705F"/>
    <w:rsid w:val="007C0CD8"/>
    <w:rsid w:val="007C1E2F"/>
    <w:rsid w:val="007C21D9"/>
    <w:rsid w:val="007C3668"/>
    <w:rsid w:val="007C4167"/>
    <w:rsid w:val="007C5524"/>
    <w:rsid w:val="007C7CA8"/>
    <w:rsid w:val="007D258C"/>
    <w:rsid w:val="007D4181"/>
    <w:rsid w:val="007D4918"/>
    <w:rsid w:val="007D4EE1"/>
    <w:rsid w:val="007D64C8"/>
    <w:rsid w:val="007D7944"/>
    <w:rsid w:val="007E1553"/>
    <w:rsid w:val="007E4B90"/>
    <w:rsid w:val="007E5E76"/>
    <w:rsid w:val="007E603A"/>
    <w:rsid w:val="007E6625"/>
    <w:rsid w:val="007F0DA1"/>
    <w:rsid w:val="007F1C0F"/>
    <w:rsid w:val="007F2742"/>
    <w:rsid w:val="007F3E0A"/>
    <w:rsid w:val="007F58E6"/>
    <w:rsid w:val="007F686C"/>
    <w:rsid w:val="007F76BA"/>
    <w:rsid w:val="00806376"/>
    <w:rsid w:val="00812669"/>
    <w:rsid w:val="00813568"/>
    <w:rsid w:val="008159BA"/>
    <w:rsid w:val="00815ABB"/>
    <w:rsid w:val="008169DF"/>
    <w:rsid w:val="00816DF1"/>
    <w:rsid w:val="00820CF5"/>
    <w:rsid w:val="00826400"/>
    <w:rsid w:val="008302EF"/>
    <w:rsid w:val="00833128"/>
    <w:rsid w:val="00840E7C"/>
    <w:rsid w:val="008421A1"/>
    <w:rsid w:val="008432EE"/>
    <w:rsid w:val="00850BC1"/>
    <w:rsid w:val="00850CF2"/>
    <w:rsid w:val="00851DFB"/>
    <w:rsid w:val="008521F5"/>
    <w:rsid w:val="008522E5"/>
    <w:rsid w:val="0086314C"/>
    <w:rsid w:val="0086519F"/>
    <w:rsid w:val="00865D38"/>
    <w:rsid w:val="00870926"/>
    <w:rsid w:val="00873638"/>
    <w:rsid w:val="00874265"/>
    <w:rsid w:val="00874EFC"/>
    <w:rsid w:val="0087660D"/>
    <w:rsid w:val="008840EE"/>
    <w:rsid w:val="00893B1D"/>
    <w:rsid w:val="00894485"/>
    <w:rsid w:val="00895A2A"/>
    <w:rsid w:val="008A3B53"/>
    <w:rsid w:val="008A7305"/>
    <w:rsid w:val="008B032B"/>
    <w:rsid w:val="008B1F5A"/>
    <w:rsid w:val="008B2865"/>
    <w:rsid w:val="008B43D6"/>
    <w:rsid w:val="008C0EA3"/>
    <w:rsid w:val="008C4666"/>
    <w:rsid w:val="008C489C"/>
    <w:rsid w:val="008D0DC0"/>
    <w:rsid w:val="008D129A"/>
    <w:rsid w:val="008D1CBE"/>
    <w:rsid w:val="008D5B53"/>
    <w:rsid w:val="008E12AE"/>
    <w:rsid w:val="008E1AAC"/>
    <w:rsid w:val="008E27F1"/>
    <w:rsid w:val="008E602B"/>
    <w:rsid w:val="008F312B"/>
    <w:rsid w:val="008F4012"/>
    <w:rsid w:val="008F5A8F"/>
    <w:rsid w:val="009009D0"/>
    <w:rsid w:val="00902B68"/>
    <w:rsid w:val="00903CAA"/>
    <w:rsid w:val="00912344"/>
    <w:rsid w:val="009156D2"/>
    <w:rsid w:val="00917F53"/>
    <w:rsid w:val="0092134D"/>
    <w:rsid w:val="00931BDB"/>
    <w:rsid w:val="00935C28"/>
    <w:rsid w:val="00936037"/>
    <w:rsid w:val="00944D67"/>
    <w:rsid w:val="00945F83"/>
    <w:rsid w:val="00946D0E"/>
    <w:rsid w:val="0094784F"/>
    <w:rsid w:val="009527CF"/>
    <w:rsid w:val="00952FE4"/>
    <w:rsid w:val="00955CD5"/>
    <w:rsid w:val="00956F27"/>
    <w:rsid w:val="0095754B"/>
    <w:rsid w:val="009603FE"/>
    <w:rsid w:val="009672E4"/>
    <w:rsid w:val="0097240E"/>
    <w:rsid w:val="00972701"/>
    <w:rsid w:val="00972F3F"/>
    <w:rsid w:val="00977156"/>
    <w:rsid w:val="00980DB0"/>
    <w:rsid w:val="009834C2"/>
    <w:rsid w:val="0098424A"/>
    <w:rsid w:val="00984B0B"/>
    <w:rsid w:val="00985A3A"/>
    <w:rsid w:val="009877FC"/>
    <w:rsid w:val="00994EDD"/>
    <w:rsid w:val="00996B6E"/>
    <w:rsid w:val="00997375"/>
    <w:rsid w:val="009A3B89"/>
    <w:rsid w:val="009B20BD"/>
    <w:rsid w:val="009B4784"/>
    <w:rsid w:val="009B61A1"/>
    <w:rsid w:val="009B6BAE"/>
    <w:rsid w:val="009C0EAF"/>
    <w:rsid w:val="009C1A9B"/>
    <w:rsid w:val="009C1F87"/>
    <w:rsid w:val="009C4947"/>
    <w:rsid w:val="009C67C5"/>
    <w:rsid w:val="009D0EAA"/>
    <w:rsid w:val="009D1EE0"/>
    <w:rsid w:val="009E7EE8"/>
    <w:rsid w:val="009F2365"/>
    <w:rsid w:val="009F3745"/>
    <w:rsid w:val="009F549A"/>
    <w:rsid w:val="009F7210"/>
    <w:rsid w:val="00A01202"/>
    <w:rsid w:val="00A052DE"/>
    <w:rsid w:val="00A05A7C"/>
    <w:rsid w:val="00A070AD"/>
    <w:rsid w:val="00A0718C"/>
    <w:rsid w:val="00A10ACD"/>
    <w:rsid w:val="00A129F1"/>
    <w:rsid w:val="00A12E88"/>
    <w:rsid w:val="00A22DEB"/>
    <w:rsid w:val="00A235DF"/>
    <w:rsid w:val="00A26165"/>
    <w:rsid w:val="00A26CF0"/>
    <w:rsid w:val="00A274D2"/>
    <w:rsid w:val="00A31BC3"/>
    <w:rsid w:val="00A3304F"/>
    <w:rsid w:val="00A356E7"/>
    <w:rsid w:val="00A36752"/>
    <w:rsid w:val="00A37976"/>
    <w:rsid w:val="00A41CD9"/>
    <w:rsid w:val="00A43B1C"/>
    <w:rsid w:val="00A467CE"/>
    <w:rsid w:val="00A50454"/>
    <w:rsid w:val="00A5366E"/>
    <w:rsid w:val="00A55276"/>
    <w:rsid w:val="00A553D5"/>
    <w:rsid w:val="00A55F58"/>
    <w:rsid w:val="00A56BB5"/>
    <w:rsid w:val="00A56C6B"/>
    <w:rsid w:val="00A57F12"/>
    <w:rsid w:val="00A60B01"/>
    <w:rsid w:val="00A60FFF"/>
    <w:rsid w:val="00A61A2C"/>
    <w:rsid w:val="00A6235D"/>
    <w:rsid w:val="00A6306A"/>
    <w:rsid w:val="00A63890"/>
    <w:rsid w:val="00A642AC"/>
    <w:rsid w:val="00A6681C"/>
    <w:rsid w:val="00A678FC"/>
    <w:rsid w:val="00A71B7A"/>
    <w:rsid w:val="00A72CF0"/>
    <w:rsid w:val="00A740D4"/>
    <w:rsid w:val="00A80A4F"/>
    <w:rsid w:val="00A91891"/>
    <w:rsid w:val="00A9613A"/>
    <w:rsid w:val="00A973B2"/>
    <w:rsid w:val="00AA0A76"/>
    <w:rsid w:val="00AA3A12"/>
    <w:rsid w:val="00AA55B7"/>
    <w:rsid w:val="00AA77BE"/>
    <w:rsid w:val="00AB0F92"/>
    <w:rsid w:val="00AB25DF"/>
    <w:rsid w:val="00AB567E"/>
    <w:rsid w:val="00AC0511"/>
    <w:rsid w:val="00AC08A8"/>
    <w:rsid w:val="00AC1567"/>
    <w:rsid w:val="00AC3943"/>
    <w:rsid w:val="00AC4317"/>
    <w:rsid w:val="00AC5EBF"/>
    <w:rsid w:val="00AC6981"/>
    <w:rsid w:val="00AD4163"/>
    <w:rsid w:val="00AD75C6"/>
    <w:rsid w:val="00AE3A26"/>
    <w:rsid w:val="00AE52AB"/>
    <w:rsid w:val="00AF1B2F"/>
    <w:rsid w:val="00B0619E"/>
    <w:rsid w:val="00B12E23"/>
    <w:rsid w:val="00B13000"/>
    <w:rsid w:val="00B155DD"/>
    <w:rsid w:val="00B21550"/>
    <w:rsid w:val="00B24137"/>
    <w:rsid w:val="00B31FEF"/>
    <w:rsid w:val="00B325E1"/>
    <w:rsid w:val="00B3588C"/>
    <w:rsid w:val="00B3771F"/>
    <w:rsid w:val="00B43736"/>
    <w:rsid w:val="00B476D0"/>
    <w:rsid w:val="00B528FB"/>
    <w:rsid w:val="00B559AA"/>
    <w:rsid w:val="00B564BC"/>
    <w:rsid w:val="00B56A78"/>
    <w:rsid w:val="00B63270"/>
    <w:rsid w:val="00B64400"/>
    <w:rsid w:val="00B65228"/>
    <w:rsid w:val="00B70CD9"/>
    <w:rsid w:val="00B71319"/>
    <w:rsid w:val="00B714B7"/>
    <w:rsid w:val="00B74441"/>
    <w:rsid w:val="00B802C8"/>
    <w:rsid w:val="00B82E71"/>
    <w:rsid w:val="00B83493"/>
    <w:rsid w:val="00B84F47"/>
    <w:rsid w:val="00B87948"/>
    <w:rsid w:val="00B940DD"/>
    <w:rsid w:val="00B95847"/>
    <w:rsid w:val="00B966ED"/>
    <w:rsid w:val="00BA0A53"/>
    <w:rsid w:val="00BA268A"/>
    <w:rsid w:val="00BA3D8F"/>
    <w:rsid w:val="00BA425C"/>
    <w:rsid w:val="00BA47E9"/>
    <w:rsid w:val="00BA4AA0"/>
    <w:rsid w:val="00BA65A5"/>
    <w:rsid w:val="00BB4642"/>
    <w:rsid w:val="00BB6A0B"/>
    <w:rsid w:val="00BB6ADB"/>
    <w:rsid w:val="00BB756B"/>
    <w:rsid w:val="00BC15E4"/>
    <w:rsid w:val="00BC362C"/>
    <w:rsid w:val="00BC7B3F"/>
    <w:rsid w:val="00BD1A05"/>
    <w:rsid w:val="00BD1B80"/>
    <w:rsid w:val="00BD3504"/>
    <w:rsid w:val="00BD558B"/>
    <w:rsid w:val="00BE084C"/>
    <w:rsid w:val="00BE335A"/>
    <w:rsid w:val="00BF187B"/>
    <w:rsid w:val="00BF23E6"/>
    <w:rsid w:val="00BF3EC7"/>
    <w:rsid w:val="00BF494E"/>
    <w:rsid w:val="00C00E08"/>
    <w:rsid w:val="00C02961"/>
    <w:rsid w:val="00C02B5E"/>
    <w:rsid w:val="00C044A9"/>
    <w:rsid w:val="00C057EF"/>
    <w:rsid w:val="00C10B7C"/>
    <w:rsid w:val="00C1285A"/>
    <w:rsid w:val="00C1305E"/>
    <w:rsid w:val="00C14296"/>
    <w:rsid w:val="00C15568"/>
    <w:rsid w:val="00C16B6E"/>
    <w:rsid w:val="00C2333D"/>
    <w:rsid w:val="00C2452C"/>
    <w:rsid w:val="00C2695D"/>
    <w:rsid w:val="00C316C1"/>
    <w:rsid w:val="00C31BC1"/>
    <w:rsid w:val="00C32246"/>
    <w:rsid w:val="00C41693"/>
    <w:rsid w:val="00C41DFC"/>
    <w:rsid w:val="00C4260B"/>
    <w:rsid w:val="00C43792"/>
    <w:rsid w:val="00C450AE"/>
    <w:rsid w:val="00C470C4"/>
    <w:rsid w:val="00C51FE5"/>
    <w:rsid w:val="00C53387"/>
    <w:rsid w:val="00C53BDC"/>
    <w:rsid w:val="00C546B7"/>
    <w:rsid w:val="00C56ED2"/>
    <w:rsid w:val="00C5793E"/>
    <w:rsid w:val="00C65E75"/>
    <w:rsid w:val="00C6623A"/>
    <w:rsid w:val="00C66AC0"/>
    <w:rsid w:val="00C673E2"/>
    <w:rsid w:val="00C70B6C"/>
    <w:rsid w:val="00C74089"/>
    <w:rsid w:val="00C758F5"/>
    <w:rsid w:val="00C817DD"/>
    <w:rsid w:val="00C83504"/>
    <w:rsid w:val="00C90E85"/>
    <w:rsid w:val="00C92E5D"/>
    <w:rsid w:val="00C93509"/>
    <w:rsid w:val="00C9777C"/>
    <w:rsid w:val="00CA0455"/>
    <w:rsid w:val="00CA077C"/>
    <w:rsid w:val="00CA4156"/>
    <w:rsid w:val="00CA4A39"/>
    <w:rsid w:val="00CA4C69"/>
    <w:rsid w:val="00CA58CB"/>
    <w:rsid w:val="00CB137C"/>
    <w:rsid w:val="00CB1EC4"/>
    <w:rsid w:val="00CB4E54"/>
    <w:rsid w:val="00CB6AA7"/>
    <w:rsid w:val="00CC215D"/>
    <w:rsid w:val="00CC3ED3"/>
    <w:rsid w:val="00CC3F2F"/>
    <w:rsid w:val="00CC602E"/>
    <w:rsid w:val="00CC62E0"/>
    <w:rsid w:val="00CD0EB5"/>
    <w:rsid w:val="00CD4367"/>
    <w:rsid w:val="00CD446D"/>
    <w:rsid w:val="00CD5194"/>
    <w:rsid w:val="00CD63A1"/>
    <w:rsid w:val="00CD6D27"/>
    <w:rsid w:val="00CD6F65"/>
    <w:rsid w:val="00CE16E0"/>
    <w:rsid w:val="00CE24C5"/>
    <w:rsid w:val="00CE2818"/>
    <w:rsid w:val="00CF2F39"/>
    <w:rsid w:val="00CF5581"/>
    <w:rsid w:val="00D013B5"/>
    <w:rsid w:val="00D048B0"/>
    <w:rsid w:val="00D1073B"/>
    <w:rsid w:val="00D11C16"/>
    <w:rsid w:val="00D1214E"/>
    <w:rsid w:val="00D14FDB"/>
    <w:rsid w:val="00D150CA"/>
    <w:rsid w:val="00D15D3F"/>
    <w:rsid w:val="00D20BD0"/>
    <w:rsid w:val="00D22F43"/>
    <w:rsid w:val="00D2311D"/>
    <w:rsid w:val="00D27605"/>
    <w:rsid w:val="00D3337F"/>
    <w:rsid w:val="00D3638A"/>
    <w:rsid w:val="00D36521"/>
    <w:rsid w:val="00D41AC7"/>
    <w:rsid w:val="00D42C39"/>
    <w:rsid w:val="00D451FE"/>
    <w:rsid w:val="00D55698"/>
    <w:rsid w:val="00D62AA3"/>
    <w:rsid w:val="00D62DF9"/>
    <w:rsid w:val="00D62E43"/>
    <w:rsid w:val="00D67274"/>
    <w:rsid w:val="00D67605"/>
    <w:rsid w:val="00D737BF"/>
    <w:rsid w:val="00D77566"/>
    <w:rsid w:val="00D90DB4"/>
    <w:rsid w:val="00D94283"/>
    <w:rsid w:val="00D958FB"/>
    <w:rsid w:val="00DA371A"/>
    <w:rsid w:val="00DA39C5"/>
    <w:rsid w:val="00DA621C"/>
    <w:rsid w:val="00DB100E"/>
    <w:rsid w:val="00DB4896"/>
    <w:rsid w:val="00DB5A55"/>
    <w:rsid w:val="00DB6227"/>
    <w:rsid w:val="00DB625D"/>
    <w:rsid w:val="00DB783D"/>
    <w:rsid w:val="00DC05C1"/>
    <w:rsid w:val="00DC0FFF"/>
    <w:rsid w:val="00DC7F2E"/>
    <w:rsid w:val="00DE1DED"/>
    <w:rsid w:val="00DE264C"/>
    <w:rsid w:val="00DE5628"/>
    <w:rsid w:val="00DE6AD2"/>
    <w:rsid w:val="00DE6E1C"/>
    <w:rsid w:val="00DF4575"/>
    <w:rsid w:val="00E00795"/>
    <w:rsid w:val="00E008D5"/>
    <w:rsid w:val="00E02688"/>
    <w:rsid w:val="00E03491"/>
    <w:rsid w:val="00E04753"/>
    <w:rsid w:val="00E0544B"/>
    <w:rsid w:val="00E10824"/>
    <w:rsid w:val="00E12C39"/>
    <w:rsid w:val="00E13871"/>
    <w:rsid w:val="00E16A37"/>
    <w:rsid w:val="00E24120"/>
    <w:rsid w:val="00E27996"/>
    <w:rsid w:val="00E305F5"/>
    <w:rsid w:val="00E33FB4"/>
    <w:rsid w:val="00E355AE"/>
    <w:rsid w:val="00E35802"/>
    <w:rsid w:val="00E36FE2"/>
    <w:rsid w:val="00E40244"/>
    <w:rsid w:val="00E51F41"/>
    <w:rsid w:val="00E6158B"/>
    <w:rsid w:val="00E63ACD"/>
    <w:rsid w:val="00E63C6F"/>
    <w:rsid w:val="00E66B33"/>
    <w:rsid w:val="00E673D2"/>
    <w:rsid w:val="00E701E0"/>
    <w:rsid w:val="00E71F74"/>
    <w:rsid w:val="00E72220"/>
    <w:rsid w:val="00E74213"/>
    <w:rsid w:val="00E762CC"/>
    <w:rsid w:val="00E76CD9"/>
    <w:rsid w:val="00E80549"/>
    <w:rsid w:val="00E82370"/>
    <w:rsid w:val="00E82AB9"/>
    <w:rsid w:val="00E85272"/>
    <w:rsid w:val="00E91170"/>
    <w:rsid w:val="00E91E19"/>
    <w:rsid w:val="00E95106"/>
    <w:rsid w:val="00E957DB"/>
    <w:rsid w:val="00EA023E"/>
    <w:rsid w:val="00EA0EBF"/>
    <w:rsid w:val="00EA109F"/>
    <w:rsid w:val="00EA4DB3"/>
    <w:rsid w:val="00EB2A50"/>
    <w:rsid w:val="00EC0B2E"/>
    <w:rsid w:val="00EC3C13"/>
    <w:rsid w:val="00ED1CC5"/>
    <w:rsid w:val="00ED47C6"/>
    <w:rsid w:val="00ED74EC"/>
    <w:rsid w:val="00ED79BB"/>
    <w:rsid w:val="00EE0957"/>
    <w:rsid w:val="00EE0E4E"/>
    <w:rsid w:val="00EF0715"/>
    <w:rsid w:val="00EF0B95"/>
    <w:rsid w:val="00EF1732"/>
    <w:rsid w:val="00EF29EE"/>
    <w:rsid w:val="00EF31B8"/>
    <w:rsid w:val="00EF3ABF"/>
    <w:rsid w:val="00EF4EE6"/>
    <w:rsid w:val="00EF636A"/>
    <w:rsid w:val="00EF6795"/>
    <w:rsid w:val="00EF776D"/>
    <w:rsid w:val="00F00574"/>
    <w:rsid w:val="00F0314F"/>
    <w:rsid w:val="00F03412"/>
    <w:rsid w:val="00F10FD8"/>
    <w:rsid w:val="00F11FE7"/>
    <w:rsid w:val="00F135E2"/>
    <w:rsid w:val="00F13B54"/>
    <w:rsid w:val="00F142BF"/>
    <w:rsid w:val="00F1508D"/>
    <w:rsid w:val="00F22816"/>
    <w:rsid w:val="00F279E4"/>
    <w:rsid w:val="00F30F6D"/>
    <w:rsid w:val="00F336F6"/>
    <w:rsid w:val="00F35860"/>
    <w:rsid w:val="00F36C1D"/>
    <w:rsid w:val="00F40E54"/>
    <w:rsid w:val="00F42C01"/>
    <w:rsid w:val="00F45261"/>
    <w:rsid w:val="00F46725"/>
    <w:rsid w:val="00F5243D"/>
    <w:rsid w:val="00F570F0"/>
    <w:rsid w:val="00F5755F"/>
    <w:rsid w:val="00F57997"/>
    <w:rsid w:val="00F62807"/>
    <w:rsid w:val="00F647CA"/>
    <w:rsid w:val="00F731D3"/>
    <w:rsid w:val="00F7438B"/>
    <w:rsid w:val="00F819D9"/>
    <w:rsid w:val="00F830EC"/>
    <w:rsid w:val="00F839A3"/>
    <w:rsid w:val="00F91E93"/>
    <w:rsid w:val="00F93202"/>
    <w:rsid w:val="00F96808"/>
    <w:rsid w:val="00F968DD"/>
    <w:rsid w:val="00FA2139"/>
    <w:rsid w:val="00FA63D5"/>
    <w:rsid w:val="00FA6E17"/>
    <w:rsid w:val="00FA7F74"/>
    <w:rsid w:val="00FB0335"/>
    <w:rsid w:val="00FB3929"/>
    <w:rsid w:val="00FB6B35"/>
    <w:rsid w:val="00FB6B9E"/>
    <w:rsid w:val="00FB6C28"/>
    <w:rsid w:val="00FC0EF5"/>
    <w:rsid w:val="00FC5611"/>
    <w:rsid w:val="00FC5F8C"/>
    <w:rsid w:val="00FC79B6"/>
    <w:rsid w:val="00FD1CCB"/>
    <w:rsid w:val="00FD4626"/>
    <w:rsid w:val="00FE130F"/>
    <w:rsid w:val="00FE2767"/>
    <w:rsid w:val="00FE4195"/>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71F74"/>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1305E"/>
    <w:pPr>
      <w:tabs>
        <w:tab w:val="center" w:pos="432"/>
        <w:tab w:val="left" w:pos="1008"/>
        <w:tab w:val="right" w:leader="dot" w:pos="9360"/>
      </w:tabs>
      <w:spacing w:after="240"/>
    </w:pPr>
    <w:rPr>
      <w:rFonts w:ascii="Lucida Sans" w:hAnsi="Lucida Sans"/>
      <w:caps/>
      <w:sz w:val="22"/>
    </w:rPr>
  </w:style>
  <w:style w:type="paragraph" w:customStyle="1" w:styleId="NormalSS">
    <w:name w:val="NormalSS"/>
    <w:basedOn w:val="Normal"/>
    <w:link w:val="NormalSSChar"/>
    <w:uiPriority w:val="99"/>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C1305E"/>
    <w:pPr>
      <w:tabs>
        <w:tab w:val="right" w:leader="dot" w:pos="9360"/>
      </w:tabs>
      <w:spacing w:after="240"/>
      <w:ind w:left="1080" w:right="475" w:hanging="432"/>
    </w:pPr>
    <w:rPr>
      <w:rFonts w:ascii="Lucida Sans" w:hAnsi="Lucida Sans"/>
      <w:sz w:val="22"/>
    </w:rPr>
  </w:style>
  <w:style w:type="paragraph" w:styleId="TOC3">
    <w:name w:val="toc 3"/>
    <w:next w:val="Normal"/>
    <w:autoRedefine/>
    <w:uiPriority w:val="39"/>
    <w:qFormat/>
    <w:rsid w:val="00C1305E"/>
    <w:pPr>
      <w:tabs>
        <w:tab w:val="right" w:leader="dot" w:pos="9360"/>
      </w:tabs>
      <w:ind w:left="1530"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uiPriority w:val="99"/>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uiPriority w:val="99"/>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E71F74"/>
    <w:rPr>
      <w:rFonts w:asciiTheme="minorHAnsi" w:hAnsiTheme="minorHAnsi"/>
      <w:sz w:val="20"/>
      <w:szCs w:val="16"/>
    </w:rPr>
  </w:style>
  <w:style w:type="paragraph" w:styleId="CommentText">
    <w:name w:val="annotation text"/>
    <w:basedOn w:val="Normal"/>
    <w:link w:val="CommentTextChar"/>
    <w:uiPriority w:val="99"/>
    <w:semiHidden/>
    <w:unhideWhenUsed/>
    <w:rsid w:val="00E71F7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E71F7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71F74"/>
    <w:rPr>
      <w:b/>
      <w:bCs/>
    </w:rPr>
  </w:style>
  <w:style w:type="character" w:customStyle="1" w:styleId="CommentSubjectChar">
    <w:name w:val="Comment Subject Char"/>
    <w:basedOn w:val="CommentTextChar"/>
    <w:link w:val="CommentSubject"/>
    <w:uiPriority w:val="99"/>
    <w:semiHidden/>
    <w:rsid w:val="00E71F74"/>
    <w:rPr>
      <w:rFonts w:asciiTheme="minorHAnsi" w:hAnsiTheme="minorHAnsi"/>
      <w:b/>
      <w:bCs/>
    </w:rPr>
  </w:style>
  <w:style w:type="paragraph" w:customStyle="1" w:styleId="Default">
    <w:name w:val="Default"/>
    <w:rsid w:val="003C0E0B"/>
    <w:pPr>
      <w:autoSpaceDE w:val="0"/>
      <w:autoSpaceDN w:val="0"/>
      <w:adjustRightInd w:val="0"/>
    </w:pPr>
    <w:rPr>
      <w:rFonts w:ascii="ELKPBN+TimesNewRoman" w:hAnsi="ELKPBN+TimesNewRoman" w:cs="ELKPBN+TimesNewRoman"/>
      <w:color w:val="000000"/>
    </w:rPr>
  </w:style>
  <w:style w:type="character" w:customStyle="1" w:styleId="NormalSSChar">
    <w:name w:val="NormalSS Char"/>
    <w:basedOn w:val="DefaultParagraphFont"/>
    <w:link w:val="NormalSS"/>
    <w:uiPriority w:val="99"/>
    <w:rsid w:val="00935C28"/>
  </w:style>
  <w:style w:type="paragraph" w:customStyle="1" w:styleId="Bullet">
    <w:name w:val="Bullet"/>
    <w:rsid w:val="00033A7E"/>
    <w:pPr>
      <w:numPr>
        <w:numId w:val="20"/>
      </w:numPr>
      <w:spacing w:after="180"/>
      <w:ind w:right="360"/>
      <w:jc w:val="both"/>
    </w:pPr>
    <w:rPr>
      <w:rFonts w:ascii="Times New Roman" w:hAnsi="Times New Roman"/>
      <w:szCs w:val="20"/>
    </w:rPr>
  </w:style>
  <w:style w:type="character" w:customStyle="1" w:styleId="FooterChar">
    <w:name w:val="Footer Char"/>
    <w:basedOn w:val="DefaultParagraphFont"/>
    <w:link w:val="Footer"/>
    <w:rsid w:val="00C1305E"/>
  </w:style>
  <w:style w:type="paragraph" w:customStyle="1" w:styleId="TOC3LAST">
    <w:name w:val="TOC 3 (LAST)"/>
    <w:basedOn w:val="TOC3"/>
    <w:rsid w:val="00C1305E"/>
    <w:pPr>
      <w:spacing w:after="240"/>
    </w:pPr>
    <w:rPr>
      <w:noProof/>
    </w:rPr>
  </w:style>
  <w:style w:type="character" w:customStyle="1" w:styleId="FootnoteTextChar">
    <w:name w:val="Footnote Text Char"/>
    <w:basedOn w:val="DefaultParagraphFont"/>
    <w:link w:val="FootnoteText"/>
    <w:rsid w:val="00682AC7"/>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2.bin"/><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oleObject" Target="embeddings/oleObject6.bin"/><Relationship Id="rId42"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4.xml"/><Relationship Id="rId29" Type="http://schemas.openxmlformats.org/officeDocument/2006/relationships/image" Target="media/image8.wmf"/><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2.wmf"/><Relationship Id="rId40" Type="http://schemas.openxmlformats.org/officeDocument/2006/relationships/oleObject" Target="embeddings/oleObject9.bin"/><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5.w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image" Target="media/image9.wmf"/><Relationship Id="rId44"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image" Target="media/image11.wmf"/><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B5343-6B18-4B2C-8643-C46C08D4F4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0AD9ADA-EF9D-4853-9B54-00AC01C7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46B3FD2-C6BE-458B-BBC4-2801DDB47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16</Pages>
  <Words>5156</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QA review.Claudia</vt:lpstr>
    </vt:vector>
  </TitlesOfParts>
  <Company>Mathematica, Inc</Company>
  <LinksUpToDate>false</LinksUpToDate>
  <CharactersWithSpaces>34874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Max</dc:creator>
  <cp:lastModifiedBy>katrina.ingalls</cp:lastModifiedBy>
  <cp:revision>2</cp:revision>
  <cp:lastPrinted>2010-11-12T15:57:00Z</cp:lastPrinted>
  <dcterms:created xsi:type="dcterms:W3CDTF">2011-08-05T14:29:00Z</dcterms:created>
  <dcterms:modified xsi:type="dcterms:W3CDTF">2011-08-05T14:29:00Z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