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Default Extension="wmf" ContentType="image/x-w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5D" w:rsidRPr="007C49C0" w:rsidRDefault="0039190D" w:rsidP="00B71206">
      <w:pPr>
        <w:spacing w:after="144" w:line="312" w:lineRule="auto"/>
        <w:ind w:left="5112" w:right="360" w:firstLine="0"/>
        <w:jc w:val="left"/>
        <w:rPr>
          <w:rFonts w:ascii="Lucida Sans" w:hAnsi="Lucida Sans"/>
          <w:b/>
          <w:sz w:val="22"/>
          <w:szCs w:val="22"/>
        </w:rPr>
      </w:pPr>
      <w:bookmarkStart w:id="0" w:name="_Toc213228313"/>
      <w:bookmarkStart w:id="1" w:name="_Toc221936206"/>
      <w:bookmarkStart w:id="2" w:name="_Toc256354799"/>
      <w:bookmarkStart w:id="3" w:name="_Toc256354828"/>
      <w:bookmarkStart w:id="4" w:name="_Toc256361053"/>
      <w:bookmarkStart w:id="5" w:name="_Toc260295670"/>
      <w:r>
        <w:rPr>
          <w:rFonts w:ascii="Lucida Sans" w:hAnsi="Lucida Sans"/>
          <w:b/>
          <w:sz w:val="22"/>
          <w:szCs w:val="22"/>
        </w:rPr>
        <w:t xml:space="preserve"> </w:t>
      </w:r>
      <w:r w:rsidR="00897DBF">
        <w:rPr>
          <w:rFonts w:ascii="Lucida Sans" w:hAnsi="Lucida Sans"/>
          <w:b/>
          <w:sz w:val="22"/>
          <w:szCs w:val="22"/>
        </w:rPr>
        <w:t xml:space="preserve">Study of the Distribution of </w:t>
      </w:r>
      <w:r w:rsidR="00F83F5D">
        <w:rPr>
          <w:rFonts w:ascii="Lucida Sans" w:hAnsi="Lucida Sans"/>
          <w:b/>
          <w:sz w:val="22"/>
          <w:szCs w:val="22"/>
        </w:rPr>
        <w:t xml:space="preserve">Teacher </w:t>
      </w:r>
      <w:r w:rsidR="00E016A0">
        <w:rPr>
          <w:rFonts w:ascii="Lucida Sans" w:hAnsi="Lucida Sans"/>
          <w:b/>
          <w:sz w:val="22"/>
          <w:szCs w:val="22"/>
        </w:rPr>
        <w:t xml:space="preserve">Effectiveness </w:t>
      </w:r>
    </w:p>
    <w:p w:rsidR="00F83F5D" w:rsidRPr="007C49C0" w:rsidRDefault="00F83F5D" w:rsidP="00A163D7">
      <w:pPr>
        <w:spacing w:before="144" w:line="360" w:lineRule="exact"/>
        <w:ind w:left="5115" w:right="360" w:firstLine="0"/>
        <w:rPr>
          <w:rFonts w:ascii="Lucida Sans" w:hAnsi="Lucida Sans"/>
          <w:sz w:val="22"/>
          <w:szCs w:val="22"/>
        </w:rPr>
      </w:pPr>
      <w:bookmarkStart w:id="6" w:name="RepType"/>
      <w:bookmarkEnd w:id="6"/>
      <w:r>
        <w:rPr>
          <w:rFonts w:ascii="Lucida Sans" w:hAnsi="Lucida Sans"/>
          <w:sz w:val="22"/>
          <w:szCs w:val="22"/>
        </w:rPr>
        <w:t>Part A</w:t>
      </w:r>
    </w:p>
    <w:p w:rsidR="00F83F5D" w:rsidRPr="007C49C0" w:rsidRDefault="006A5925" w:rsidP="00A163D7">
      <w:pPr>
        <w:spacing w:before="144" w:after="288" w:line="360" w:lineRule="exact"/>
        <w:ind w:left="5112" w:right="360" w:firstLine="0"/>
        <w:rPr>
          <w:rFonts w:ascii="Lucida Sans" w:hAnsi="Lucida Sans"/>
          <w:sz w:val="22"/>
          <w:szCs w:val="22"/>
        </w:rPr>
      </w:pPr>
      <w:bookmarkStart w:id="7" w:name="DateMark"/>
      <w:bookmarkEnd w:id="7"/>
      <w:r>
        <w:rPr>
          <w:rFonts w:ascii="Lucida Sans" w:hAnsi="Lucida Sans"/>
          <w:sz w:val="22"/>
          <w:szCs w:val="22"/>
        </w:rPr>
        <w:t>June 9</w:t>
      </w:r>
      <w:r w:rsidR="00F83F5D">
        <w:rPr>
          <w:rFonts w:ascii="Lucida Sans" w:hAnsi="Lucida Sans"/>
          <w:sz w:val="22"/>
          <w:szCs w:val="22"/>
        </w:rPr>
        <w:t>, 201</w:t>
      </w:r>
      <w:r w:rsidR="00897DBF">
        <w:rPr>
          <w:rFonts w:ascii="Lucida Sans" w:hAnsi="Lucida Sans"/>
          <w:sz w:val="22"/>
          <w:szCs w:val="22"/>
        </w:rPr>
        <w:t>1</w:t>
      </w:r>
    </w:p>
    <w:p w:rsidR="00F83F5D" w:rsidRPr="00C56A6B" w:rsidRDefault="00F83F5D" w:rsidP="00A163D7">
      <w:pPr>
        <w:spacing w:line="280" w:lineRule="exact"/>
        <w:ind w:left="5115" w:right="360" w:firstLine="0"/>
        <w:rPr>
          <w:rFonts w:ascii="Lucida Sans" w:hAnsi="Lucida Sans"/>
          <w:sz w:val="20"/>
          <w:szCs w:val="20"/>
        </w:rPr>
      </w:pPr>
      <w:bookmarkStart w:id="8" w:name="StartingPoint"/>
      <w:bookmarkEnd w:id="8"/>
    </w:p>
    <w:p w:rsidR="00F83F5D" w:rsidRDefault="00030B4D" w:rsidP="00A163D7">
      <w:pPr>
        <w:spacing w:line="280" w:lineRule="exact"/>
        <w:ind w:left="5225" w:firstLine="0"/>
        <w:rPr>
          <w:rFonts w:ascii="Lucida Sans" w:hAnsi="Lucida Sans"/>
          <w:sz w:val="20"/>
          <w:szCs w:val="20"/>
        </w:rPr>
      </w:pPr>
      <w:r>
        <w:rPr>
          <w:noProof/>
        </w:rPr>
        <w:drawing>
          <wp:anchor distT="0" distB="0" distL="114300" distR="114300" simplePos="0" relativeHeight="25165619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2"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0"/>
                    <a:srcRect/>
                    <a:stretch>
                      <a:fillRect/>
                    </a:stretch>
                  </pic:blipFill>
                  <pic:spPr bwMode="auto">
                    <a:xfrm>
                      <a:off x="0" y="0"/>
                      <a:ext cx="1809750" cy="579120"/>
                    </a:xfrm>
                    <a:prstGeom prst="rect">
                      <a:avLst/>
                    </a:prstGeom>
                    <a:noFill/>
                  </pic:spPr>
                </pic:pic>
              </a:graphicData>
            </a:graphic>
          </wp:anchor>
        </w:drawing>
      </w:r>
      <w:r>
        <w:rPr>
          <w:noProof/>
        </w:rPr>
        <w:drawing>
          <wp:anchor distT="0" distB="0" distL="114300" distR="114300" simplePos="0" relativeHeight="25165414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7802880" cy="2562225"/>
                    </a:xfrm>
                    <a:prstGeom prst="rect">
                      <a:avLst/>
                    </a:prstGeom>
                    <a:noFill/>
                  </pic:spPr>
                </pic:pic>
              </a:graphicData>
            </a:graphic>
          </wp:anchor>
        </w:drawing>
      </w:r>
      <w:r w:rsidR="00F83F5D">
        <w:rPr>
          <w:rFonts w:ascii="Lucida Sans" w:hAnsi="Lucida Sans"/>
          <w:sz w:val="20"/>
          <w:szCs w:val="20"/>
        </w:rPr>
        <w:t xml:space="preserve"> </w:t>
      </w:r>
    </w:p>
    <w:p w:rsidR="00F83F5D" w:rsidRDefault="00F83F5D" w:rsidP="00A163D7">
      <w:pPr>
        <w:spacing w:line="264" w:lineRule="auto"/>
        <w:ind w:left="5040" w:firstLine="0"/>
        <w:rPr>
          <w:rFonts w:ascii="Lucida Sans" w:hAnsi="Lucida Sans"/>
          <w:sz w:val="20"/>
          <w:szCs w:val="20"/>
        </w:rPr>
        <w:sectPr w:rsidR="00F83F5D" w:rsidSect="003E429F">
          <w:footerReference w:type="default" r:id="rId12"/>
          <w:endnotePr>
            <w:numFmt w:val="decimal"/>
          </w:endnotePr>
          <w:pgSz w:w="12240" w:h="15840" w:code="1"/>
          <w:pgMar w:top="1440" w:right="1440" w:bottom="576" w:left="1440" w:header="720" w:footer="576" w:gutter="0"/>
          <w:pgNumType w:fmt="lowerRoman" w:start="1"/>
          <w:cols w:space="720"/>
          <w:docGrid w:linePitch="326"/>
        </w:sectPr>
      </w:pPr>
    </w:p>
    <w:p w:rsidR="00F83F5D" w:rsidRDefault="00F83F5D" w:rsidP="00A163D7">
      <w:pPr>
        <w:spacing w:line="264" w:lineRule="auto"/>
        <w:ind w:left="5040" w:firstLine="0"/>
        <w:rPr>
          <w:rFonts w:ascii="Lucida Sans" w:hAnsi="Lucida Sans"/>
          <w:sz w:val="20"/>
          <w:szCs w:val="20"/>
        </w:rPr>
        <w:sectPr w:rsidR="00F83F5D" w:rsidSect="004D30EB">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326"/>
        </w:sectPr>
      </w:pPr>
    </w:p>
    <w:tbl>
      <w:tblPr>
        <w:tblW w:w="0" w:type="auto"/>
        <w:tblInd w:w="1440" w:type="dxa"/>
        <w:tblLayout w:type="fixed"/>
        <w:tblCellMar>
          <w:left w:w="115" w:type="dxa"/>
          <w:right w:w="115" w:type="dxa"/>
        </w:tblCellMar>
        <w:tblLook w:val="00A0"/>
      </w:tblPr>
      <w:tblGrid>
        <w:gridCol w:w="3618"/>
        <w:gridCol w:w="4057"/>
      </w:tblGrid>
      <w:tr w:rsidR="00F83F5D" w:rsidTr="004D30EB">
        <w:tc>
          <w:tcPr>
            <w:tcW w:w="3618" w:type="dxa"/>
          </w:tcPr>
          <w:p w:rsidR="00F83F5D" w:rsidRPr="00993339" w:rsidRDefault="00F83F5D" w:rsidP="004D30EB">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F83F5D" w:rsidRPr="00993339" w:rsidRDefault="00F83F5D" w:rsidP="004D30EB">
            <w:pPr>
              <w:spacing w:after="180" w:line="240" w:lineRule="exact"/>
              <w:ind w:firstLine="0"/>
              <w:jc w:val="left"/>
              <w:rPr>
                <w:rFonts w:ascii="Lucida Sans" w:hAnsi="Lucida Sans"/>
                <w:sz w:val="17"/>
                <w:szCs w:val="16"/>
              </w:rPr>
            </w:pPr>
            <w:bookmarkStart w:id="9" w:name="Contract"/>
            <w:bookmarkEnd w:id="9"/>
            <w:r w:rsidRPr="00EE44E3">
              <w:rPr>
                <w:rFonts w:ascii="Lucida Sans" w:hAnsi="Lucida Sans"/>
                <w:sz w:val="17"/>
                <w:szCs w:val="16"/>
              </w:rPr>
              <w:t>ED-IES-10-C-0065</w:t>
            </w:r>
          </w:p>
          <w:p w:rsidR="00F83F5D" w:rsidRPr="00993339" w:rsidRDefault="00F83F5D" w:rsidP="004D30EB">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F83F5D" w:rsidRPr="00993339" w:rsidRDefault="00F83F5D" w:rsidP="004D30EB">
            <w:pPr>
              <w:spacing w:after="180" w:line="240" w:lineRule="exact"/>
              <w:ind w:firstLine="0"/>
              <w:jc w:val="left"/>
              <w:rPr>
                <w:rFonts w:ascii="Lucida Sans" w:hAnsi="Lucida Sans"/>
                <w:sz w:val="17"/>
                <w:szCs w:val="16"/>
              </w:rPr>
            </w:pPr>
            <w:bookmarkStart w:id="10" w:name="MPRRef"/>
            <w:bookmarkEnd w:id="10"/>
            <w:r>
              <w:rPr>
                <w:rFonts w:ascii="Lucida Sans" w:hAnsi="Lucida Sans"/>
                <w:sz w:val="17"/>
                <w:szCs w:val="16"/>
              </w:rPr>
              <w:t>06860.170</w:t>
            </w:r>
          </w:p>
          <w:p w:rsidR="00F83F5D" w:rsidRPr="00993339" w:rsidRDefault="00F83F5D" w:rsidP="004D30EB">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F83F5D" w:rsidRPr="00EE44E3" w:rsidRDefault="00F83F5D" w:rsidP="004D30EB">
            <w:pPr>
              <w:spacing w:line="240" w:lineRule="exact"/>
              <w:ind w:firstLine="0"/>
              <w:jc w:val="left"/>
              <w:rPr>
                <w:rFonts w:ascii="Lucida Sans" w:hAnsi="Lucida Sans"/>
                <w:sz w:val="17"/>
                <w:szCs w:val="16"/>
              </w:rPr>
            </w:pPr>
            <w:bookmarkStart w:id="11" w:name="Agency"/>
            <w:bookmarkEnd w:id="11"/>
            <w:smartTag w:uri="urn:schemas-microsoft-com:office:smarttags" w:element="place">
              <w:smartTag w:uri="urn:schemas-microsoft-com:office:smarttags" w:element="PlaceType">
                <w:r w:rsidRPr="00EE44E3">
                  <w:rPr>
                    <w:rFonts w:ascii="Lucida Sans" w:hAnsi="Lucida Sans"/>
                    <w:sz w:val="17"/>
                    <w:szCs w:val="16"/>
                  </w:rPr>
                  <w:t>Institute</w:t>
                </w:r>
              </w:smartTag>
              <w:r w:rsidRPr="00EE44E3">
                <w:rPr>
                  <w:rFonts w:ascii="Lucida Sans" w:hAnsi="Lucida Sans"/>
                  <w:sz w:val="17"/>
                  <w:szCs w:val="16"/>
                </w:rPr>
                <w:t xml:space="preserve"> of </w:t>
              </w:r>
              <w:smartTag w:uri="urn:schemas-microsoft-com:office:smarttags" w:element="PlaceName">
                <w:r w:rsidRPr="00EE44E3">
                  <w:rPr>
                    <w:rFonts w:ascii="Lucida Sans" w:hAnsi="Lucida Sans"/>
                    <w:sz w:val="17"/>
                    <w:szCs w:val="16"/>
                  </w:rPr>
                  <w:t>Education</w:t>
                </w:r>
              </w:smartTag>
            </w:smartTag>
            <w:r w:rsidRPr="00EE44E3">
              <w:rPr>
                <w:rFonts w:ascii="Lucida Sans" w:hAnsi="Lucida Sans"/>
                <w:sz w:val="17"/>
                <w:szCs w:val="16"/>
              </w:rPr>
              <w:t xml:space="preserve"> Sciences</w:t>
            </w:r>
          </w:p>
          <w:p w:rsidR="00F83F5D" w:rsidRPr="00EE44E3" w:rsidRDefault="00F83F5D" w:rsidP="004D30EB">
            <w:pPr>
              <w:spacing w:line="240" w:lineRule="exact"/>
              <w:ind w:firstLine="0"/>
              <w:jc w:val="left"/>
              <w:rPr>
                <w:rFonts w:ascii="Lucida Sans" w:hAnsi="Lucida Sans"/>
                <w:sz w:val="17"/>
                <w:szCs w:val="16"/>
              </w:rPr>
            </w:pPr>
            <w:smartTag w:uri="urn:schemas-microsoft-com:office:smarttags" w:element="place">
              <w:smartTag w:uri="urn:schemas-microsoft-com:office:smarttags" w:element="country-region">
                <w:r w:rsidRPr="00EE44E3">
                  <w:rPr>
                    <w:rFonts w:ascii="Lucida Sans" w:hAnsi="Lucida Sans"/>
                    <w:sz w:val="17"/>
                    <w:szCs w:val="16"/>
                  </w:rPr>
                  <w:t>U.S.</w:t>
                </w:r>
              </w:smartTag>
            </w:smartTag>
            <w:r w:rsidRPr="00EE44E3">
              <w:rPr>
                <w:rFonts w:ascii="Lucida Sans" w:hAnsi="Lucida Sans"/>
                <w:sz w:val="17"/>
                <w:szCs w:val="16"/>
              </w:rPr>
              <w:t xml:space="preserve"> Department of Education</w:t>
            </w:r>
          </w:p>
          <w:p w:rsidR="00F83F5D" w:rsidRPr="00EE44E3" w:rsidRDefault="00F83F5D" w:rsidP="004D30EB">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sidRPr="00EE44E3">
                  <w:rPr>
                    <w:rFonts w:ascii="Lucida Sans" w:hAnsi="Lucida Sans"/>
                    <w:sz w:val="17"/>
                    <w:szCs w:val="16"/>
                  </w:rPr>
                  <w:t>555 New Jersey Avenue, NW</w:t>
                </w:r>
              </w:smartTag>
            </w:smartTag>
          </w:p>
          <w:p w:rsidR="00F83F5D" w:rsidRPr="002B4293" w:rsidRDefault="00F83F5D" w:rsidP="004D30EB">
            <w:pPr>
              <w:spacing w:line="240" w:lineRule="exact"/>
              <w:ind w:firstLine="0"/>
              <w:jc w:val="left"/>
              <w:rPr>
                <w:rFonts w:ascii="Lucida Sans" w:hAnsi="Lucida Sans"/>
                <w:sz w:val="17"/>
                <w:szCs w:val="16"/>
                <w:highlight w:val="yellow"/>
              </w:rPr>
            </w:pPr>
            <w:smartTag w:uri="urn:schemas-microsoft-com:office:smarttags" w:element="place">
              <w:smartTag w:uri="urn:schemas-microsoft-com:office:smarttags" w:element="City">
                <w:r w:rsidRPr="00EE44E3">
                  <w:rPr>
                    <w:rFonts w:ascii="Lucida Sans" w:hAnsi="Lucida Sans"/>
                    <w:sz w:val="17"/>
                    <w:szCs w:val="16"/>
                  </w:rPr>
                  <w:t>Washington</w:t>
                </w:r>
              </w:smartTag>
              <w:r w:rsidRPr="00EE44E3">
                <w:rPr>
                  <w:rFonts w:ascii="Lucida Sans" w:hAnsi="Lucida Sans"/>
                  <w:sz w:val="17"/>
                  <w:szCs w:val="16"/>
                </w:rPr>
                <w:t xml:space="preserve">, </w:t>
              </w:r>
              <w:smartTag w:uri="urn:schemas-microsoft-com:office:smarttags" w:element="State">
                <w:r w:rsidRPr="00EE44E3">
                  <w:rPr>
                    <w:rFonts w:ascii="Lucida Sans" w:hAnsi="Lucida Sans"/>
                    <w:sz w:val="17"/>
                    <w:szCs w:val="16"/>
                  </w:rPr>
                  <w:t>DC</w:t>
                </w:r>
              </w:smartTag>
              <w:r w:rsidRPr="00EE44E3">
                <w:rPr>
                  <w:rFonts w:ascii="Lucida Sans" w:hAnsi="Lucida Sans"/>
                  <w:sz w:val="17"/>
                  <w:szCs w:val="16"/>
                </w:rPr>
                <w:t xml:space="preserve"> </w:t>
              </w:r>
              <w:smartTag w:uri="urn:schemas-microsoft-com:office:smarttags" w:element="PostalCode">
                <w:r w:rsidRPr="00EE44E3">
                  <w:rPr>
                    <w:rFonts w:ascii="Lucida Sans" w:hAnsi="Lucida Sans"/>
                    <w:sz w:val="17"/>
                    <w:szCs w:val="16"/>
                  </w:rPr>
                  <w:t>20208</w:t>
                </w:r>
              </w:smartTag>
            </w:smartTag>
          </w:p>
          <w:p w:rsidR="00F83F5D" w:rsidRPr="00993339" w:rsidRDefault="00F83F5D" w:rsidP="004D30EB">
            <w:pPr>
              <w:spacing w:after="180" w:line="240" w:lineRule="exact"/>
              <w:ind w:firstLine="0"/>
              <w:jc w:val="left"/>
              <w:rPr>
                <w:rFonts w:ascii="Lucida Sans" w:hAnsi="Lucida Sans"/>
                <w:sz w:val="17"/>
                <w:szCs w:val="16"/>
              </w:rPr>
            </w:pPr>
            <w:r w:rsidRPr="00A65E46">
              <w:rPr>
                <w:rFonts w:ascii="Lucida Sans" w:hAnsi="Lucida Sans"/>
                <w:sz w:val="17"/>
                <w:szCs w:val="16"/>
              </w:rPr>
              <w:t>Project Officer:</w:t>
            </w:r>
            <w:r>
              <w:rPr>
                <w:rFonts w:ascii="Lucida Sans" w:hAnsi="Lucida Sans"/>
                <w:sz w:val="17"/>
                <w:szCs w:val="16"/>
              </w:rPr>
              <w:t xml:space="preserve"> </w:t>
            </w:r>
            <w:bookmarkStart w:id="12" w:name="ProjOff"/>
            <w:bookmarkEnd w:id="12"/>
            <w:r w:rsidRPr="00A65E46">
              <w:rPr>
                <w:rFonts w:ascii="Lucida Sans" w:hAnsi="Lucida Sans"/>
                <w:sz w:val="17"/>
                <w:szCs w:val="16"/>
              </w:rPr>
              <w:t>Lauren Angelo</w:t>
            </w:r>
          </w:p>
          <w:p w:rsidR="00F83F5D" w:rsidRDefault="00F83F5D" w:rsidP="004D30EB">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F83F5D" w:rsidRPr="00993339" w:rsidRDefault="00F83F5D" w:rsidP="004D30EB">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F83F5D" w:rsidRDefault="00F83F5D" w:rsidP="004D30EB">
            <w:pPr>
              <w:spacing w:line="240" w:lineRule="exact"/>
              <w:ind w:firstLine="0"/>
              <w:jc w:val="left"/>
              <w:rPr>
                <w:rFonts w:ascii="Lucida Sans" w:hAnsi="Lucida Sans"/>
                <w:sz w:val="17"/>
                <w:szCs w:val="16"/>
              </w:rPr>
            </w:pPr>
            <w:bookmarkStart w:id="13" w:name="MPRAddress2"/>
            <w:bookmarkEnd w:id="13"/>
            <w:smartTag w:uri="urn:schemas-microsoft-com:office:smarttags" w:element="address">
              <w:smartTag w:uri="urn:schemas-microsoft-com:office:smarttags" w:element="Street">
                <w:r>
                  <w:rPr>
                    <w:rFonts w:ascii="Lucida Sans" w:hAnsi="Lucida Sans"/>
                    <w:sz w:val="17"/>
                    <w:szCs w:val="16"/>
                  </w:rPr>
                  <w:t>600 Maryland Avenue, SW</w:t>
                </w:r>
              </w:smartTag>
            </w:smartTag>
          </w:p>
          <w:p w:rsidR="00F83F5D" w:rsidRDefault="00F83F5D" w:rsidP="004D30EB">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Pr>
                    <w:rFonts w:ascii="Lucida Sans" w:hAnsi="Lucida Sans"/>
                    <w:sz w:val="17"/>
                    <w:szCs w:val="16"/>
                  </w:rPr>
                  <w:t>Suite</w:t>
                </w:r>
              </w:smartTag>
              <w:r>
                <w:rPr>
                  <w:rFonts w:ascii="Lucida Sans" w:hAnsi="Lucida Sans"/>
                  <w:sz w:val="17"/>
                  <w:szCs w:val="16"/>
                </w:rPr>
                <w:t xml:space="preserve"> 550</w:t>
              </w:r>
            </w:smartTag>
          </w:p>
          <w:p w:rsidR="00F83F5D" w:rsidRDefault="00F83F5D" w:rsidP="004D30EB">
            <w:pPr>
              <w:spacing w:line="240" w:lineRule="exact"/>
              <w:ind w:firstLine="0"/>
              <w:jc w:val="left"/>
              <w:rPr>
                <w:rFonts w:ascii="Lucida Sans" w:hAnsi="Lucida Sans"/>
                <w:sz w:val="17"/>
                <w:szCs w:val="16"/>
              </w:rPr>
            </w:pPr>
            <w:smartTag w:uri="urn:schemas-microsoft-com:office:smarttags" w:element="place">
              <w:smartTag w:uri="urn:schemas-microsoft-com:office:smarttags" w:element="City">
                <w:r>
                  <w:rPr>
                    <w:rFonts w:ascii="Lucida Sans" w:hAnsi="Lucida Sans"/>
                    <w:sz w:val="17"/>
                    <w:szCs w:val="16"/>
                  </w:rPr>
                  <w:t>Washington</w:t>
                </w:r>
              </w:smartTag>
              <w:r>
                <w:rPr>
                  <w:rFonts w:ascii="Lucida Sans" w:hAnsi="Lucida Sans"/>
                  <w:sz w:val="17"/>
                  <w:szCs w:val="16"/>
                </w:rPr>
                <w:t xml:space="preserve">, </w:t>
              </w:r>
              <w:smartTag w:uri="urn:schemas-microsoft-com:office:smarttags" w:element="State">
                <w:r>
                  <w:rPr>
                    <w:rFonts w:ascii="Lucida Sans" w:hAnsi="Lucida Sans"/>
                    <w:sz w:val="17"/>
                    <w:szCs w:val="16"/>
                  </w:rPr>
                  <w:t>DC</w:t>
                </w:r>
              </w:smartTag>
              <w:r>
                <w:rPr>
                  <w:rFonts w:ascii="Lucida Sans" w:hAnsi="Lucida Sans"/>
                  <w:sz w:val="17"/>
                  <w:szCs w:val="16"/>
                </w:rPr>
                <w:t xml:space="preserve"> </w:t>
              </w:r>
              <w:smartTag w:uri="urn:schemas-microsoft-com:office:smarttags" w:element="PostalCode">
                <w:r>
                  <w:rPr>
                    <w:rFonts w:ascii="Lucida Sans" w:hAnsi="Lucida Sans"/>
                    <w:sz w:val="17"/>
                    <w:szCs w:val="16"/>
                  </w:rPr>
                  <w:t>20024-2512</w:t>
                </w:r>
              </w:smartTag>
            </w:smartTag>
          </w:p>
          <w:p w:rsidR="00F83F5D" w:rsidRDefault="00F83F5D" w:rsidP="004D30EB">
            <w:pPr>
              <w:spacing w:line="240" w:lineRule="exact"/>
              <w:ind w:firstLine="0"/>
              <w:jc w:val="left"/>
              <w:rPr>
                <w:rFonts w:ascii="Lucida Sans" w:hAnsi="Lucida Sans"/>
                <w:sz w:val="17"/>
                <w:szCs w:val="16"/>
              </w:rPr>
            </w:pPr>
            <w:r>
              <w:rPr>
                <w:rFonts w:ascii="Lucida Sans" w:hAnsi="Lucida Sans"/>
                <w:sz w:val="17"/>
                <w:szCs w:val="16"/>
              </w:rPr>
              <w:t>Telephone: (202) 484-9220</w:t>
            </w:r>
          </w:p>
          <w:p w:rsidR="00F83F5D" w:rsidRDefault="00F83F5D" w:rsidP="004D30EB">
            <w:pPr>
              <w:spacing w:line="240" w:lineRule="exact"/>
              <w:ind w:firstLine="0"/>
              <w:jc w:val="left"/>
              <w:rPr>
                <w:rFonts w:ascii="Lucida Sans" w:hAnsi="Lucida Sans"/>
                <w:sz w:val="17"/>
                <w:szCs w:val="16"/>
              </w:rPr>
            </w:pPr>
            <w:r>
              <w:rPr>
                <w:rFonts w:ascii="Lucida Sans" w:hAnsi="Lucida Sans"/>
                <w:sz w:val="17"/>
                <w:szCs w:val="16"/>
              </w:rPr>
              <w:t>Facsimile: (202) 863-1763</w:t>
            </w:r>
          </w:p>
          <w:p w:rsidR="00F83F5D" w:rsidRPr="00451D9C" w:rsidRDefault="00F83F5D" w:rsidP="004D30EB">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4" w:name="ProjDir"/>
            <w:bookmarkEnd w:id="14"/>
            <w:smartTag w:uri="urn:schemas-microsoft-com:office:smarttags" w:element="PersonName">
              <w:r>
                <w:rPr>
                  <w:rFonts w:ascii="Lucida Sans" w:hAnsi="Lucida Sans"/>
                  <w:sz w:val="17"/>
                  <w:szCs w:val="16"/>
                </w:rPr>
                <w:t>Philip Gleason</w:t>
              </w:r>
            </w:smartTag>
          </w:p>
        </w:tc>
        <w:tc>
          <w:tcPr>
            <w:tcW w:w="4057" w:type="dxa"/>
          </w:tcPr>
          <w:p w:rsidR="00F83F5D" w:rsidRPr="002B4293" w:rsidRDefault="00897DBF" w:rsidP="002B4293">
            <w:pPr>
              <w:spacing w:after="144" w:line="312" w:lineRule="auto"/>
              <w:ind w:left="58" w:firstLine="0"/>
              <w:jc w:val="left"/>
              <w:rPr>
                <w:rFonts w:ascii="Lucida Sans" w:hAnsi="Lucida Sans"/>
                <w:b/>
              </w:rPr>
            </w:pPr>
            <w:bookmarkStart w:id="15" w:name="RepTitle2"/>
            <w:bookmarkEnd w:id="15"/>
            <w:r w:rsidRPr="002B4293">
              <w:rPr>
                <w:rFonts w:ascii="Lucida Sans" w:hAnsi="Lucida Sans"/>
                <w:b/>
                <w:sz w:val="22"/>
                <w:szCs w:val="22"/>
              </w:rPr>
              <w:t xml:space="preserve">Study </w:t>
            </w:r>
            <w:r>
              <w:rPr>
                <w:rFonts w:ascii="Lucida Sans" w:hAnsi="Lucida Sans"/>
                <w:b/>
                <w:sz w:val="22"/>
                <w:szCs w:val="22"/>
              </w:rPr>
              <w:t xml:space="preserve">of the Distribution of </w:t>
            </w:r>
            <w:r w:rsidR="00F83F5D" w:rsidRPr="002B4293">
              <w:rPr>
                <w:rFonts w:ascii="Lucida Sans" w:hAnsi="Lucida Sans"/>
                <w:b/>
                <w:sz w:val="22"/>
                <w:szCs w:val="22"/>
              </w:rPr>
              <w:t xml:space="preserve">Teacher </w:t>
            </w:r>
            <w:r w:rsidR="00E016A0">
              <w:rPr>
                <w:rFonts w:ascii="Lucida Sans" w:hAnsi="Lucida Sans"/>
                <w:b/>
                <w:sz w:val="22"/>
                <w:szCs w:val="22"/>
              </w:rPr>
              <w:t>Effectiveness</w:t>
            </w:r>
            <w:r w:rsidR="00E016A0" w:rsidRPr="002B4293">
              <w:rPr>
                <w:rFonts w:ascii="Lucida Sans" w:hAnsi="Lucida Sans"/>
                <w:b/>
                <w:sz w:val="22"/>
                <w:szCs w:val="22"/>
              </w:rPr>
              <w:t xml:space="preserve"> </w:t>
            </w:r>
          </w:p>
          <w:p w:rsidR="00F83F5D" w:rsidRPr="00451D9C" w:rsidRDefault="00F83F5D" w:rsidP="004D30EB">
            <w:pPr>
              <w:spacing w:before="144" w:line="360" w:lineRule="exact"/>
              <w:ind w:left="58" w:firstLine="0"/>
              <w:jc w:val="left"/>
              <w:rPr>
                <w:rFonts w:ascii="Lucida Sans" w:hAnsi="Lucida Sans"/>
              </w:rPr>
            </w:pPr>
            <w:bookmarkStart w:id="16" w:name="RepType2"/>
            <w:bookmarkEnd w:id="16"/>
            <w:r>
              <w:rPr>
                <w:rFonts w:ascii="Lucida Sans" w:hAnsi="Lucida Sans"/>
                <w:sz w:val="22"/>
                <w:szCs w:val="22"/>
              </w:rPr>
              <w:t>Part A</w:t>
            </w:r>
          </w:p>
          <w:p w:rsidR="00F83F5D" w:rsidRPr="00451D9C" w:rsidRDefault="006A5925" w:rsidP="004D30EB">
            <w:pPr>
              <w:spacing w:before="144" w:after="288" w:line="360" w:lineRule="exact"/>
              <w:ind w:left="58" w:firstLine="0"/>
              <w:jc w:val="left"/>
              <w:rPr>
                <w:rFonts w:ascii="Lucida Sans" w:hAnsi="Lucida Sans"/>
              </w:rPr>
            </w:pPr>
            <w:bookmarkStart w:id="17" w:name="DateMark2"/>
            <w:bookmarkEnd w:id="17"/>
            <w:r>
              <w:rPr>
                <w:rFonts w:ascii="Lucida Sans" w:hAnsi="Lucida Sans"/>
                <w:sz w:val="22"/>
                <w:szCs w:val="22"/>
              </w:rPr>
              <w:t>June 9</w:t>
            </w:r>
            <w:r w:rsidR="00F83F5D">
              <w:rPr>
                <w:rFonts w:ascii="Lucida Sans" w:hAnsi="Lucida Sans"/>
                <w:sz w:val="22"/>
                <w:szCs w:val="22"/>
              </w:rPr>
              <w:t>, 201</w:t>
            </w:r>
            <w:r w:rsidR="00897DBF">
              <w:rPr>
                <w:rFonts w:ascii="Lucida Sans" w:hAnsi="Lucida Sans"/>
                <w:sz w:val="22"/>
                <w:szCs w:val="22"/>
              </w:rPr>
              <w:t>1</w:t>
            </w:r>
          </w:p>
          <w:p w:rsidR="00F83F5D" w:rsidRDefault="00F83F5D" w:rsidP="004D30EB">
            <w:pPr>
              <w:spacing w:line="280" w:lineRule="exact"/>
              <w:ind w:left="58" w:firstLine="0"/>
              <w:jc w:val="left"/>
              <w:rPr>
                <w:rFonts w:ascii="Lucida Sans" w:hAnsi="Lucida Sans"/>
                <w:sz w:val="20"/>
                <w:szCs w:val="20"/>
              </w:rPr>
            </w:pPr>
          </w:p>
          <w:p w:rsidR="00F83F5D" w:rsidRDefault="00F83F5D" w:rsidP="004D30EB">
            <w:pPr>
              <w:spacing w:line="264" w:lineRule="auto"/>
              <w:ind w:left="58" w:firstLine="0"/>
              <w:jc w:val="left"/>
              <w:rPr>
                <w:rFonts w:ascii="Lucida Sans" w:hAnsi="Lucida Sans"/>
                <w:sz w:val="20"/>
                <w:szCs w:val="20"/>
              </w:rPr>
            </w:pPr>
          </w:p>
          <w:p w:rsidR="00F83F5D" w:rsidRPr="00451D9C" w:rsidRDefault="00F83F5D" w:rsidP="004D30EB">
            <w:pPr>
              <w:spacing w:line="264" w:lineRule="auto"/>
              <w:ind w:left="58" w:firstLine="0"/>
              <w:jc w:val="left"/>
              <w:rPr>
                <w:rFonts w:ascii="Lucida Sans" w:hAnsi="Lucida Sans"/>
              </w:rPr>
            </w:pPr>
          </w:p>
        </w:tc>
      </w:tr>
    </w:tbl>
    <w:p w:rsidR="00F83F5D" w:rsidRDefault="00F83F5D" w:rsidP="00A163D7">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F83F5D" w:rsidRDefault="00030B4D" w:rsidP="00A163D7">
      <w:pPr>
        <w:spacing w:line="264" w:lineRule="auto"/>
        <w:ind w:firstLine="0"/>
        <w:rPr>
          <w:rFonts w:ascii="Lucida Sans" w:hAnsi="Lucida Sans"/>
          <w:sz w:val="22"/>
          <w:szCs w:val="22"/>
        </w:rPr>
      </w:pPr>
      <w:r>
        <w:rPr>
          <w:noProof/>
        </w:rPr>
        <w:drawing>
          <wp:anchor distT="0" distB="0" distL="114300" distR="114300" simplePos="0" relativeHeight="25165721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4"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5"/>
                    <a:srcRect/>
                    <a:stretch>
                      <a:fillRect/>
                    </a:stretch>
                  </pic:blipFill>
                  <pic:spPr bwMode="auto">
                    <a:xfrm>
                      <a:off x="0" y="0"/>
                      <a:ext cx="1828800" cy="581025"/>
                    </a:xfrm>
                    <a:prstGeom prst="rect">
                      <a:avLst/>
                    </a:prstGeom>
                    <a:noFill/>
                  </pic:spPr>
                </pic:pic>
              </a:graphicData>
            </a:graphic>
          </wp:anchor>
        </w:drawing>
      </w:r>
      <w:r>
        <w:rPr>
          <w:noProof/>
        </w:rPr>
        <w:drawing>
          <wp:anchor distT="0" distB="0" distL="114300" distR="114300" simplePos="0" relativeHeight="251655168" behindDoc="0" locked="1" layoutInCell="1" allowOverlap="1">
            <wp:simplePos x="0" y="0"/>
            <wp:positionH relativeFrom="page">
              <wp:posOffset>-9525</wp:posOffset>
            </wp:positionH>
            <wp:positionV relativeFrom="page">
              <wp:posOffset>5724525</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7802880" cy="2562225"/>
                    </a:xfrm>
                    <a:prstGeom prst="rect">
                      <a:avLst/>
                    </a:prstGeom>
                    <a:noFill/>
                  </pic:spPr>
                </pic:pic>
              </a:graphicData>
            </a:graphic>
          </wp:anchor>
        </w:drawing>
      </w:r>
    </w:p>
    <w:p w:rsidR="00F83F5D" w:rsidRDefault="00F83F5D" w:rsidP="00A163D7">
      <w:pPr>
        <w:spacing w:line="264" w:lineRule="auto"/>
        <w:ind w:firstLine="0"/>
        <w:rPr>
          <w:rFonts w:ascii="Lucida Sans" w:hAnsi="Lucida Sans"/>
          <w:sz w:val="22"/>
          <w:szCs w:val="22"/>
        </w:rPr>
        <w:sectPr w:rsidR="00F83F5D" w:rsidSect="003A1506">
          <w:headerReference w:type="default" r:id="rId17"/>
          <w:footerReference w:type="default" r:id="rId18"/>
          <w:endnotePr>
            <w:numFmt w:val="decimal"/>
          </w:endnotePr>
          <w:pgSz w:w="12240" w:h="15840" w:code="1"/>
          <w:pgMar w:top="1440" w:right="1440" w:bottom="576" w:left="1440" w:header="720" w:footer="576" w:gutter="0"/>
          <w:cols w:space="720"/>
          <w:docGrid w:linePitch="150"/>
        </w:sectPr>
      </w:pPr>
    </w:p>
    <w:p w:rsidR="00F83F5D" w:rsidRDefault="00F83F5D" w:rsidP="00A163D7">
      <w:pPr>
        <w:pStyle w:val="References"/>
        <w:tabs>
          <w:tab w:val="clear" w:pos="432"/>
        </w:tabs>
        <w:spacing w:after="480"/>
        <w:ind w:left="0" w:firstLine="0"/>
        <w:jc w:val="center"/>
        <w:rPr>
          <w:rFonts w:ascii="Lucida Sans" w:hAnsi="Lucida Sans"/>
          <w:b/>
        </w:rPr>
        <w:sectPr w:rsidR="00F83F5D" w:rsidSect="004D30EB">
          <w:headerReference w:type="default" r:id="rId19"/>
          <w:footerReference w:type="default" r:id="rId20"/>
          <w:endnotePr>
            <w:numFmt w:val="decimal"/>
          </w:endnotePr>
          <w:pgSz w:w="12240" w:h="15840" w:code="1"/>
          <w:pgMar w:top="1440" w:right="1440" w:bottom="576" w:left="1440" w:header="720" w:footer="576" w:gutter="0"/>
          <w:pgNumType w:fmt="lowerRoman" w:start="5"/>
          <w:cols w:space="720"/>
          <w:docGrid w:linePitch="326"/>
        </w:sectPr>
      </w:pPr>
    </w:p>
    <w:p w:rsidR="00F83F5D" w:rsidRDefault="00F83F5D" w:rsidP="00A163D7">
      <w:pPr>
        <w:spacing w:after="480" w:line="240" w:lineRule="auto"/>
        <w:ind w:firstLine="0"/>
        <w:jc w:val="center"/>
        <w:rPr>
          <w:rFonts w:ascii="Lucida Sans" w:hAnsi="Lucida Sans"/>
          <w:b/>
          <w:color w:val="1F497D"/>
        </w:rPr>
      </w:pPr>
      <w:r w:rsidRPr="008C2007">
        <w:rPr>
          <w:rFonts w:ascii="Lucida Sans" w:hAnsi="Lucida Sans"/>
          <w:b/>
          <w:color w:val="1F497D"/>
        </w:rPr>
        <w:lastRenderedPageBreak/>
        <w:t>CONTENTS</w:t>
      </w:r>
    </w:p>
    <w:p w:rsidR="00F83F5D" w:rsidRPr="00215A0C" w:rsidRDefault="00F83F5D" w:rsidP="00215A0C">
      <w:pPr>
        <w:pStyle w:val="TOC1"/>
        <w:rPr>
          <w:noProof/>
        </w:rPr>
      </w:pPr>
      <w:r w:rsidRPr="002F6E81">
        <w:rPr>
          <w:noProof/>
        </w:rPr>
        <w:t>SUPPORTING STATEMENT For Paperwork REDUCTION ACT</w:t>
      </w:r>
    </w:p>
    <w:p w:rsidR="00F83F5D" w:rsidRDefault="007C1CA5">
      <w:pPr>
        <w:pStyle w:val="TOC1"/>
        <w:rPr>
          <w:rFonts w:ascii="Calibri" w:hAnsi="Calibri"/>
          <w:caps w:val="0"/>
          <w:noProof/>
          <w:szCs w:val="22"/>
        </w:rPr>
      </w:pPr>
      <w:r w:rsidRPr="007C1CA5">
        <w:rPr>
          <w:szCs w:val="22"/>
        </w:rPr>
        <w:fldChar w:fldCharType="begin"/>
      </w:r>
      <w:r w:rsidR="00F83F5D" w:rsidRPr="00DD7BA9">
        <w:rPr>
          <w:szCs w:val="22"/>
        </w:rPr>
        <w:instrText xml:space="preserve"> TOC \o "1-4" \t "Heading 1_Black,1,Heading 1_Red,1,Heading 1_Blue,1,Heading 2_Black,2,Heading 2_Red,2,Heading 2_Blue,2,Mark for Appendix Heading_Black,1,Mark for Appendix Heading_Red,1,Mark for Appendix Heading_Blue,1" </w:instrText>
      </w:r>
      <w:r w:rsidRPr="007C1CA5">
        <w:rPr>
          <w:szCs w:val="22"/>
        </w:rPr>
        <w:fldChar w:fldCharType="separate"/>
      </w:r>
      <w:r w:rsidR="00F83F5D">
        <w:rPr>
          <w:noProof/>
        </w:rPr>
        <w:t>Part A.  Justification</w:t>
      </w:r>
      <w:r w:rsidR="00F83F5D">
        <w:rPr>
          <w:noProof/>
        </w:rPr>
        <w:tab/>
      </w:r>
      <w:r>
        <w:rPr>
          <w:noProof/>
        </w:rPr>
        <w:fldChar w:fldCharType="begin"/>
      </w:r>
      <w:r w:rsidR="00F83F5D">
        <w:rPr>
          <w:noProof/>
        </w:rPr>
        <w:instrText xml:space="preserve"> PAGEREF _Toc280089706 \h </w:instrText>
      </w:r>
      <w:r>
        <w:rPr>
          <w:noProof/>
        </w:rPr>
      </w:r>
      <w:r>
        <w:rPr>
          <w:noProof/>
        </w:rPr>
        <w:fldChar w:fldCharType="separate"/>
      </w:r>
      <w:r w:rsidR="006A5925">
        <w:rPr>
          <w:noProof/>
        </w:rPr>
        <w:t>1</w:t>
      </w:r>
      <w:r>
        <w:rPr>
          <w:noProof/>
        </w:rPr>
        <w:fldChar w:fldCharType="end"/>
      </w:r>
    </w:p>
    <w:p w:rsidR="00F83F5D" w:rsidRDefault="00F83F5D">
      <w:pPr>
        <w:pStyle w:val="TOC2"/>
        <w:rPr>
          <w:rFonts w:ascii="Calibri" w:hAnsi="Calibri"/>
          <w:noProof/>
          <w:szCs w:val="22"/>
        </w:rPr>
      </w:pPr>
      <w:r>
        <w:rPr>
          <w:noProof/>
        </w:rPr>
        <w:t>1.</w:t>
      </w:r>
      <w:r>
        <w:rPr>
          <w:rFonts w:ascii="Calibri" w:hAnsi="Calibri"/>
          <w:noProof/>
          <w:szCs w:val="22"/>
        </w:rPr>
        <w:tab/>
      </w:r>
      <w:r>
        <w:rPr>
          <w:noProof/>
        </w:rPr>
        <w:t>Circumstances Necessitating the Collection of Information</w:t>
      </w:r>
      <w:r>
        <w:rPr>
          <w:noProof/>
        </w:rPr>
        <w:tab/>
      </w:r>
      <w:r w:rsidR="007C1CA5">
        <w:rPr>
          <w:noProof/>
        </w:rPr>
        <w:fldChar w:fldCharType="begin"/>
      </w:r>
      <w:r>
        <w:rPr>
          <w:noProof/>
        </w:rPr>
        <w:instrText xml:space="preserve"> PAGEREF _Toc280089707 \h </w:instrText>
      </w:r>
      <w:r w:rsidR="007C1CA5">
        <w:rPr>
          <w:noProof/>
        </w:rPr>
      </w:r>
      <w:r w:rsidR="007C1CA5">
        <w:rPr>
          <w:noProof/>
        </w:rPr>
        <w:fldChar w:fldCharType="separate"/>
      </w:r>
      <w:r w:rsidR="006A5925">
        <w:rPr>
          <w:noProof/>
        </w:rPr>
        <w:t>1</w:t>
      </w:r>
      <w:r w:rsidR="007C1CA5">
        <w:rPr>
          <w:noProof/>
        </w:rPr>
        <w:fldChar w:fldCharType="end"/>
      </w:r>
    </w:p>
    <w:p w:rsidR="00F83F5D" w:rsidRDefault="00F83F5D">
      <w:pPr>
        <w:pStyle w:val="TOC3"/>
        <w:rPr>
          <w:rFonts w:ascii="Calibri" w:hAnsi="Calibri"/>
          <w:noProof/>
          <w:szCs w:val="22"/>
        </w:rPr>
      </w:pPr>
      <w:r>
        <w:rPr>
          <w:noProof/>
        </w:rPr>
        <w:t>a.</w:t>
      </w:r>
      <w:r>
        <w:rPr>
          <w:rFonts w:ascii="Calibri" w:hAnsi="Calibri"/>
          <w:noProof/>
          <w:szCs w:val="22"/>
        </w:rPr>
        <w:tab/>
      </w:r>
      <w:r>
        <w:rPr>
          <w:noProof/>
        </w:rPr>
        <w:t xml:space="preserve">Statement of Need to Study the Distribution of Teacher </w:t>
      </w:r>
      <w:r w:rsidR="00E016A0">
        <w:rPr>
          <w:noProof/>
        </w:rPr>
        <w:t>Effectiveness</w:t>
      </w:r>
      <w:r>
        <w:rPr>
          <w:noProof/>
        </w:rPr>
        <w:tab/>
      </w:r>
      <w:r w:rsidR="007C1CA5">
        <w:rPr>
          <w:noProof/>
        </w:rPr>
        <w:fldChar w:fldCharType="begin"/>
      </w:r>
      <w:r>
        <w:rPr>
          <w:noProof/>
        </w:rPr>
        <w:instrText xml:space="preserve"> PAGEREF _Toc280089708 \h </w:instrText>
      </w:r>
      <w:r w:rsidR="007C1CA5">
        <w:rPr>
          <w:noProof/>
        </w:rPr>
      </w:r>
      <w:r w:rsidR="007C1CA5">
        <w:rPr>
          <w:noProof/>
        </w:rPr>
        <w:fldChar w:fldCharType="separate"/>
      </w:r>
      <w:r w:rsidR="006A5925">
        <w:rPr>
          <w:noProof/>
        </w:rPr>
        <w:t>1</w:t>
      </w:r>
      <w:r w:rsidR="007C1CA5">
        <w:rPr>
          <w:noProof/>
        </w:rPr>
        <w:fldChar w:fldCharType="end"/>
      </w:r>
    </w:p>
    <w:p w:rsidR="00F83F5D" w:rsidRDefault="00F83F5D">
      <w:pPr>
        <w:pStyle w:val="TOC3"/>
        <w:rPr>
          <w:rFonts w:ascii="Calibri" w:hAnsi="Calibri"/>
          <w:noProof/>
          <w:szCs w:val="22"/>
        </w:rPr>
      </w:pPr>
      <w:r>
        <w:rPr>
          <w:noProof/>
        </w:rPr>
        <w:t>b.</w:t>
      </w:r>
      <w:r>
        <w:rPr>
          <w:rFonts w:ascii="Calibri" w:hAnsi="Calibri"/>
          <w:noProof/>
          <w:szCs w:val="22"/>
        </w:rPr>
        <w:tab/>
      </w:r>
      <w:r>
        <w:rPr>
          <w:noProof/>
        </w:rPr>
        <w:t>Research Questions</w:t>
      </w:r>
      <w:r>
        <w:rPr>
          <w:noProof/>
        </w:rPr>
        <w:tab/>
      </w:r>
      <w:r w:rsidR="007C1CA5">
        <w:rPr>
          <w:noProof/>
        </w:rPr>
        <w:fldChar w:fldCharType="begin"/>
      </w:r>
      <w:r>
        <w:rPr>
          <w:noProof/>
        </w:rPr>
        <w:instrText xml:space="preserve"> PAGEREF _Toc280089709 \h </w:instrText>
      </w:r>
      <w:r w:rsidR="007C1CA5">
        <w:rPr>
          <w:noProof/>
        </w:rPr>
      </w:r>
      <w:r w:rsidR="007C1CA5">
        <w:rPr>
          <w:noProof/>
        </w:rPr>
        <w:fldChar w:fldCharType="separate"/>
      </w:r>
      <w:r w:rsidR="006A5925">
        <w:rPr>
          <w:noProof/>
        </w:rPr>
        <w:t>2</w:t>
      </w:r>
      <w:r w:rsidR="007C1CA5">
        <w:rPr>
          <w:noProof/>
        </w:rPr>
        <w:fldChar w:fldCharType="end"/>
      </w:r>
    </w:p>
    <w:p w:rsidR="00F83F5D" w:rsidRDefault="00F83F5D">
      <w:pPr>
        <w:pStyle w:val="TOC3"/>
        <w:rPr>
          <w:rFonts w:ascii="Calibri" w:hAnsi="Calibri"/>
          <w:noProof/>
          <w:szCs w:val="22"/>
        </w:rPr>
      </w:pPr>
      <w:r>
        <w:rPr>
          <w:noProof/>
        </w:rPr>
        <w:t>c.</w:t>
      </w:r>
      <w:r>
        <w:rPr>
          <w:rFonts w:ascii="Calibri" w:hAnsi="Calibri"/>
          <w:noProof/>
          <w:szCs w:val="22"/>
        </w:rPr>
        <w:tab/>
      </w:r>
      <w:r>
        <w:rPr>
          <w:noProof/>
        </w:rPr>
        <w:t>Study Overview</w:t>
      </w:r>
      <w:r>
        <w:rPr>
          <w:noProof/>
        </w:rPr>
        <w:tab/>
      </w:r>
      <w:r w:rsidR="007C1CA5">
        <w:rPr>
          <w:noProof/>
        </w:rPr>
        <w:fldChar w:fldCharType="begin"/>
      </w:r>
      <w:r>
        <w:rPr>
          <w:noProof/>
        </w:rPr>
        <w:instrText xml:space="preserve"> PAGEREF _Toc280089710 \h </w:instrText>
      </w:r>
      <w:r w:rsidR="007C1CA5">
        <w:rPr>
          <w:noProof/>
        </w:rPr>
      </w:r>
      <w:r w:rsidR="007C1CA5">
        <w:rPr>
          <w:noProof/>
        </w:rPr>
        <w:fldChar w:fldCharType="separate"/>
      </w:r>
      <w:r w:rsidR="006A5925">
        <w:rPr>
          <w:noProof/>
        </w:rPr>
        <w:t>2</w:t>
      </w:r>
      <w:r w:rsidR="007C1CA5">
        <w:rPr>
          <w:noProof/>
        </w:rPr>
        <w:fldChar w:fldCharType="end"/>
      </w:r>
    </w:p>
    <w:p w:rsidR="00F83F5D" w:rsidRDefault="00F83F5D">
      <w:pPr>
        <w:pStyle w:val="TOC3"/>
        <w:rPr>
          <w:rFonts w:ascii="Calibri" w:hAnsi="Calibri"/>
          <w:noProof/>
          <w:szCs w:val="22"/>
        </w:rPr>
      </w:pPr>
      <w:r>
        <w:rPr>
          <w:noProof/>
        </w:rPr>
        <w:t>d.</w:t>
      </w:r>
      <w:r>
        <w:rPr>
          <w:rFonts w:ascii="Calibri" w:hAnsi="Calibri"/>
          <w:noProof/>
          <w:szCs w:val="22"/>
        </w:rPr>
        <w:tab/>
      </w:r>
      <w:r>
        <w:rPr>
          <w:noProof/>
        </w:rPr>
        <w:t>Recruitment of Districts</w:t>
      </w:r>
      <w:r>
        <w:rPr>
          <w:noProof/>
        </w:rPr>
        <w:tab/>
      </w:r>
      <w:r w:rsidR="007C1CA5">
        <w:rPr>
          <w:noProof/>
        </w:rPr>
        <w:fldChar w:fldCharType="begin"/>
      </w:r>
      <w:r>
        <w:rPr>
          <w:noProof/>
        </w:rPr>
        <w:instrText xml:space="preserve"> PAGEREF _Toc280089711 \h </w:instrText>
      </w:r>
      <w:r w:rsidR="007C1CA5">
        <w:rPr>
          <w:noProof/>
        </w:rPr>
      </w:r>
      <w:r w:rsidR="007C1CA5">
        <w:rPr>
          <w:noProof/>
        </w:rPr>
        <w:fldChar w:fldCharType="separate"/>
      </w:r>
      <w:r w:rsidR="006A5925">
        <w:rPr>
          <w:noProof/>
        </w:rPr>
        <w:t>3</w:t>
      </w:r>
      <w:r w:rsidR="007C1CA5">
        <w:rPr>
          <w:noProof/>
        </w:rPr>
        <w:fldChar w:fldCharType="end"/>
      </w:r>
    </w:p>
    <w:p w:rsidR="00F83F5D" w:rsidRDefault="00F83F5D" w:rsidP="007B3CEA">
      <w:pPr>
        <w:pStyle w:val="TOC3LAST"/>
        <w:rPr>
          <w:rFonts w:ascii="Calibri" w:hAnsi="Calibri"/>
          <w:szCs w:val="22"/>
        </w:rPr>
      </w:pPr>
      <w:r>
        <w:t>e.</w:t>
      </w:r>
      <w:r>
        <w:rPr>
          <w:rFonts w:ascii="Calibri" w:hAnsi="Calibri"/>
          <w:szCs w:val="22"/>
        </w:rPr>
        <w:tab/>
      </w:r>
      <w:r>
        <w:t>Data Collection Plan and Study Timeline</w:t>
      </w:r>
      <w:r>
        <w:tab/>
      </w:r>
      <w:r w:rsidR="007C1CA5">
        <w:fldChar w:fldCharType="begin"/>
      </w:r>
      <w:r>
        <w:instrText xml:space="preserve"> PAGEREF _Toc280089712 \h </w:instrText>
      </w:r>
      <w:r w:rsidR="007C1CA5">
        <w:fldChar w:fldCharType="separate"/>
      </w:r>
      <w:r w:rsidR="006A5925">
        <w:t>5</w:t>
      </w:r>
      <w:r w:rsidR="007C1CA5">
        <w:fldChar w:fldCharType="end"/>
      </w:r>
    </w:p>
    <w:p w:rsidR="00F83F5D" w:rsidRDefault="00F83F5D">
      <w:pPr>
        <w:pStyle w:val="TOC2"/>
        <w:rPr>
          <w:rFonts w:ascii="Calibri" w:hAnsi="Calibri"/>
          <w:noProof/>
          <w:szCs w:val="22"/>
        </w:rPr>
      </w:pPr>
      <w:r>
        <w:rPr>
          <w:noProof/>
        </w:rPr>
        <w:t>2.</w:t>
      </w:r>
      <w:r>
        <w:rPr>
          <w:rFonts w:ascii="Calibri" w:hAnsi="Calibri"/>
          <w:noProof/>
          <w:szCs w:val="22"/>
        </w:rPr>
        <w:tab/>
      </w:r>
      <w:r>
        <w:rPr>
          <w:noProof/>
        </w:rPr>
        <w:t>Purposes and Uses of Data</w:t>
      </w:r>
      <w:r>
        <w:rPr>
          <w:noProof/>
        </w:rPr>
        <w:tab/>
      </w:r>
      <w:r w:rsidR="007C1CA5">
        <w:rPr>
          <w:noProof/>
        </w:rPr>
        <w:fldChar w:fldCharType="begin"/>
      </w:r>
      <w:r>
        <w:rPr>
          <w:noProof/>
        </w:rPr>
        <w:instrText xml:space="preserve"> PAGEREF _Toc280089713 \h </w:instrText>
      </w:r>
      <w:r w:rsidR="007C1CA5">
        <w:rPr>
          <w:noProof/>
        </w:rPr>
      </w:r>
      <w:r w:rsidR="007C1CA5">
        <w:rPr>
          <w:noProof/>
        </w:rPr>
        <w:fldChar w:fldCharType="separate"/>
      </w:r>
      <w:r w:rsidR="006A5925">
        <w:rPr>
          <w:noProof/>
        </w:rPr>
        <w:t>6</w:t>
      </w:r>
      <w:r w:rsidR="007C1CA5">
        <w:rPr>
          <w:noProof/>
        </w:rPr>
        <w:fldChar w:fldCharType="end"/>
      </w:r>
    </w:p>
    <w:p w:rsidR="00F83F5D" w:rsidRDefault="00F83F5D">
      <w:pPr>
        <w:pStyle w:val="TOC2"/>
        <w:rPr>
          <w:rFonts w:ascii="Calibri" w:hAnsi="Calibri"/>
          <w:noProof/>
          <w:szCs w:val="22"/>
        </w:rPr>
      </w:pPr>
      <w:r>
        <w:rPr>
          <w:noProof/>
        </w:rPr>
        <w:t>3.</w:t>
      </w:r>
      <w:r>
        <w:rPr>
          <w:rFonts w:ascii="Calibri" w:hAnsi="Calibri"/>
          <w:noProof/>
          <w:szCs w:val="22"/>
        </w:rPr>
        <w:tab/>
      </w:r>
      <w:r>
        <w:rPr>
          <w:noProof/>
        </w:rPr>
        <w:t>Use of Technology to Reduce Burden</w:t>
      </w:r>
      <w:r>
        <w:rPr>
          <w:noProof/>
        </w:rPr>
        <w:tab/>
      </w:r>
      <w:r w:rsidR="007C1CA5">
        <w:rPr>
          <w:noProof/>
        </w:rPr>
        <w:fldChar w:fldCharType="begin"/>
      </w:r>
      <w:r>
        <w:rPr>
          <w:noProof/>
        </w:rPr>
        <w:instrText xml:space="preserve"> PAGEREF _Toc280089714 \h </w:instrText>
      </w:r>
      <w:r w:rsidR="007C1CA5">
        <w:rPr>
          <w:noProof/>
        </w:rPr>
      </w:r>
      <w:r w:rsidR="007C1CA5">
        <w:rPr>
          <w:noProof/>
        </w:rPr>
        <w:fldChar w:fldCharType="separate"/>
      </w:r>
      <w:r w:rsidR="006A5925">
        <w:rPr>
          <w:noProof/>
        </w:rPr>
        <w:t>6</w:t>
      </w:r>
      <w:r w:rsidR="007C1CA5">
        <w:rPr>
          <w:noProof/>
        </w:rPr>
        <w:fldChar w:fldCharType="end"/>
      </w:r>
    </w:p>
    <w:p w:rsidR="00F83F5D" w:rsidRDefault="00F83F5D">
      <w:pPr>
        <w:pStyle w:val="TOC2"/>
        <w:rPr>
          <w:rFonts w:ascii="Calibri" w:hAnsi="Calibri"/>
          <w:noProof/>
          <w:szCs w:val="22"/>
        </w:rPr>
      </w:pPr>
      <w:r>
        <w:rPr>
          <w:noProof/>
        </w:rPr>
        <w:t>4.</w:t>
      </w:r>
      <w:r>
        <w:rPr>
          <w:rFonts w:ascii="Calibri" w:hAnsi="Calibri"/>
          <w:noProof/>
          <w:szCs w:val="22"/>
        </w:rPr>
        <w:tab/>
      </w:r>
      <w:r>
        <w:rPr>
          <w:noProof/>
        </w:rPr>
        <w:t>Efforts to Avoid Duplication</w:t>
      </w:r>
      <w:r>
        <w:rPr>
          <w:noProof/>
        </w:rPr>
        <w:tab/>
      </w:r>
      <w:r w:rsidR="007C1CA5">
        <w:rPr>
          <w:noProof/>
        </w:rPr>
        <w:fldChar w:fldCharType="begin"/>
      </w:r>
      <w:r>
        <w:rPr>
          <w:noProof/>
        </w:rPr>
        <w:instrText xml:space="preserve"> PAGEREF _Toc280089715 \h </w:instrText>
      </w:r>
      <w:r w:rsidR="007C1CA5">
        <w:rPr>
          <w:noProof/>
        </w:rPr>
      </w:r>
      <w:r w:rsidR="007C1CA5">
        <w:rPr>
          <w:noProof/>
        </w:rPr>
        <w:fldChar w:fldCharType="separate"/>
      </w:r>
      <w:r w:rsidR="006A5925">
        <w:rPr>
          <w:noProof/>
        </w:rPr>
        <w:t>7</w:t>
      </w:r>
      <w:r w:rsidR="007C1CA5">
        <w:rPr>
          <w:noProof/>
        </w:rPr>
        <w:fldChar w:fldCharType="end"/>
      </w:r>
    </w:p>
    <w:p w:rsidR="00F83F5D" w:rsidRDefault="00F83F5D">
      <w:pPr>
        <w:pStyle w:val="TOC2"/>
        <w:rPr>
          <w:rFonts w:ascii="Calibri" w:hAnsi="Calibri"/>
          <w:noProof/>
          <w:szCs w:val="22"/>
        </w:rPr>
      </w:pPr>
      <w:r>
        <w:rPr>
          <w:noProof/>
        </w:rPr>
        <w:t>5.</w:t>
      </w:r>
      <w:r>
        <w:rPr>
          <w:rFonts w:ascii="Calibri" w:hAnsi="Calibri"/>
          <w:noProof/>
          <w:szCs w:val="22"/>
        </w:rPr>
        <w:tab/>
      </w:r>
      <w:r>
        <w:rPr>
          <w:noProof/>
        </w:rPr>
        <w:t>Methods to Minimize Burden on Small Entities</w:t>
      </w:r>
      <w:r>
        <w:rPr>
          <w:noProof/>
        </w:rPr>
        <w:tab/>
      </w:r>
      <w:r w:rsidR="007C1CA5">
        <w:rPr>
          <w:noProof/>
        </w:rPr>
        <w:fldChar w:fldCharType="begin"/>
      </w:r>
      <w:r>
        <w:rPr>
          <w:noProof/>
        </w:rPr>
        <w:instrText xml:space="preserve"> PAGEREF _Toc280089716 \h </w:instrText>
      </w:r>
      <w:r w:rsidR="007C1CA5">
        <w:rPr>
          <w:noProof/>
        </w:rPr>
      </w:r>
      <w:r w:rsidR="007C1CA5">
        <w:rPr>
          <w:noProof/>
        </w:rPr>
        <w:fldChar w:fldCharType="separate"/>
      </w:r>
      <w:r w:rsidR="006A5925">
        <w:rPr>
          <w:noProof/>
        </w:rPr>
        <w:t>7</w:t>
      </w:r>
      <w:r w:rsidR="007C1CA5">
        <w:rPr>
          <w:noProof/>
        </w:rPr>
        <w:fldChar w:fldCharType="end"/>
      </w:r>
    </w:p>
    <w:p w:rsidR="00F83F5D" w:rsidRDefault="00F83F5D">
      <w:pPr>
        <w:pStyle w:val="TOC2"/>
        <w:rPr>
          <w:rFonts w:ascii="Calibri" w:hAnsi="Calibri"/>
          <w:noProof/>
          <w:szCs w:val="22"/>
        </w:rPr>
      </w:pPr>
      <w:r>
        <w:rPr>
          <w:noProof/>
        </w:rPr>
        <w:t>6.</w:t>
      </w:r>
      <w:r>
        <w:rPr>
          <w:rFonts w:ascii="Calibri" w:hAnsi="Calibri"/>
          <w:noProof/>
          <w:szCs w:val="22"/>
        </w:rPr>
        <w:tab/>
      </w:r>
      <w:r>
        <w:rPr>
          <w:noProof/>
        </w:rPr>
        <w:t>Consequences of Not Collecting Data</w:t>
      </w:r>
      <w:r>
        <w:rPr>
          <w:noProof/>
        </w:rPr>
        <w:tab/>
      </w:r>
      <w:r w:rsidR="007C1CA5">
        <w:rPr>
          <w:noProof/>
        </w:rPr>
        <w:fldChar w:fldCharType="begin"/>
      </w:r>
      <w:r>
        <w:rPr>
          <w:noProof/>
        </w:rPr>
        <w:instrText xml:space="preserve"> PAGEREF _Toc280089717 \h </w:instrText>
      </w:r>
      <w:r w:rsidR="007C1CA5">
        <w:rPr>
          <w:noProof/>
        </w:rPr>
      </w:r>
      <w:r w:rsidR="007C1CA5">
        <w:rPr>
          <w:noProof/>
        </w:rPr>
        <w:fldChar w:fldCharType="separate"/>
      </w:r>
      <w:r w:rsidR="006A5925">
        <w:rPr>
          <w:noProof/>
        </w:rPr>
        <w:t>7</w:t>
      </w:r>
      <w:r w:rsidR="007C1CA5">
        <w:rPr>
          <w:noProof/>
        </w:rPr>
        <w:fldChar w:fldCharType="end"/>
      </w:r>
    </w:p>
    <w:p w:rsidR="00F83F5D" w:rsidRDefault="00F83F5D">
      <w:pPr>
        <w:pStyle w:val="TOC2"/>
        <w:rPr>
          <w:rFonts w:ascii="Calibri" w:hAnsi="Calibri"/>
          <w:noProof/>
          <w:szCs w:val="22"/>
        </w:rPr>
      </w:pPr>
      <w:r>
        <w:rPr>
          <w:noProof/>
        </w:rPr>
        <w:t>7.</w:t>
      </w:r>
      <w:r>
        <w:rPr>
          <w:rFonts w:ascii="Calibri" w:hAnsi="Calibri"/>
          <w:noProof/>
          <w:szCs w:val="22"/>
        </w:rPr>
        <w:tab/>
      </w:r>
      <w:r>
        <w:rPr>
          <w:noProof/>
        </w:rPr>
        <w:t>Special Circumstances</w:t>
      </w:r>
      <w:r>
        <w:rPr>
          <w:noProof/>
        </w:rPr>
        <w:tab/>
      </w:r>
      <w:r w:rsidR="007C1CA5">
        <w:rPr>
          <w:noProof/>
        </w:rPr>
        <w:fldChar w:fldCharType="begin"/>
      </w:r>
      <w:r>
        <w:rPr>
          <w:noProof/>
        </w:rPr>
        <w:instrText xml:space="preserve"> PAGEREF _Toc280089718 \h </w:instrText>
      </w:r>
      <w:r w:rsidR="007C1CA5">
        <w:rPr>
          <w:noProof/>
        </w:rPr>
      </w:r>
      <w:r w:rsidR="007C1CA5">
        <w:rPr>
          <w:noProof/>
        </w:rPr>
        <w:fldChar w:fldCharType="separate"/>
      </w:r>
      <w:r w:rsidR="006A5925">
        <w:rPr>
          <w:noProof/>
        </w:rPr>
        <w:t>8</w:t>
      </w:r>
      <w:r w:rsidR="007C1CA5">
        <w:rPr>
          <w:noProof/>
        </w:rPr>
        <w:fldChar w:fldCharType="end"/>
      </w:r>
    </w:p>
    <w:p w:rsidR="00F83F5D" w:rsidRDefault="00F83F5D">
      <w:pPr>
        <w:pStyle w:val="TOC2"/>
        <w:rPr>
          <w:rFonts w:ascii="Calibri" w:hAnsi="Calibri"/>
          <w:noProof/>
          <w:szCs w:val="22"/>
        </w:rPr>
      </w:pPr>
      <w:r>
        <w:rPr>
          <w:noProof/>
        </w:rPr>
        <w:t>8.</w:t>
      </w:r>
      <w:r>
        <w:rPr>
          <w:rFonts w:ascii="Calibri" w:hAnsi="Calibri"/>
          <w:noProof/>
          <w:szCs w:val="22"/>
        </w:rPr>
        <w:tab/>
      </w:r>
      <w:r>
        <w:rPr>
          <w:noProof/>
        </w:rPr>
        <w:t>Federal Register Announcement and Consultation</w:t>
      </w:r>
      <w:r>
        <w:rPr>
          <w:noProof/>
        </w:rPr>
        <w:tab/>
      </w:r>
      <w:r w:rsidR="007C1CA5">
        <w:rPr>
          <w:noProof/>
        </w:rPr>
        <w:fldChar w:fldCharType="begin"/>
      </w:r>
      <w:r>
        <w:rPr>
          <w:noProof/>
        </w:rPr>
        <w:instrText xml:space="preserve"> PAGEREF _Toc280089719 \h </w:instrText>
      </w:r>
      <w:r w:rsidR="007C1CA5">
        <w:rPr>
          <w:noProof/>
        </w:rPr>
      </w:r>
      <w:r w:rsidR="007C1CA5">
        <w:rPr>
          <w:noProof/>
        </w:rPr>
        <w:fldChar w:fldCharType="separate"/>
      </w:r>
      <w:r w:rsidR="006A5925">
        <w:rPr>
          <w:noProof/>
        </w:rPr>
        <w:t>8</w:t>
      </w:r>
      <w:r w:rsidR="007C1CA5">
        <w:rPr>
          <w:noProof/>
        </w:rPr>
        <w:fldChar w:fldCharType="end"/>
      </w:r>
    </w:p>
    <w:p w:rsidR="00F83F5D" w:rsidRDefault="00F83F5D">
      <w:pPr>
        <w:pStyle w:val="TOC3"/>
        <w:rPr>
          <w:rFonts w:ascii="Calibri" w:hAnsi="Calibri"/>
          <w:noProof/>
          <w:szCs w:val="22"/>
        </w:rPr>
      </w:pPr>
      <w:r>
        <w:rPr>
          <w:noProof/>
        </w:rPr>
        <w:t>a.</w:t>
      </w:r>
      <w:r>
        <w:rPr>
          <w:rFonts w:ascii="Calibri" w:hAnsi="Calibri"/>
          <w:noProof/>
          <w:szCs w:val="22"/>
        </w:rPr>
        <w:tab/>
      </w:r>
      <w:r>
        <w:rPr>
          <w:noProof/>
        </w:rPr>
        <w:t>Federal Register Announcement</w:t>
      </w:r>
      <w:r>
        <w:rPr>
          <w:noProof/>
        </w:rPr>
        <w:tab/>
      </w:r>
      <w:r w:rsidR="007C1CA5">
        <w:rPr>
          <w:noProof/>
        </w:rPr>
        <w:fldChar w:fldCharType="begin"/>
      </w:r>
      <w:r>
        <w:rPr>
          <w:noProof/>
        </w:rPr>
        <w:instrText xml:space="preserve"> PAGEREF _Toc280089720 \h </w:instrText>
      </w:r>
      <w:r w:rsidR="007C1CA5">
        <w:rPr>
          <w:noProof/>
        </w:rPr>
      </w:r>
      <w:r w:rsidR="007C1CA5">
        <w:rPr>
          <w:noProof/>
        </w:rPr>
        <w:fldChar w:fldCharType="separate"/>
      </w:r>
      <w:r w:rsidR="006A5925">
        <w:rPr>
          <w:noProof/>
        </w:rPr>
        <w:t>8</w:t>
      </w:r>
      <w:r w:rsidR="007C1CA5">
        <w:rPr>
          <w:noProof/>
        </w:rPr>
        <w:fldChar w:fldCharType="end"/>
      </w:r>
    </w:p>
    <w:p w:rsidR="00F83F5D" w:rsidRDefault="00F83F5D">
      <w:pPr>
        <w:pStyle w:val="TOC3"/>
        <w:rPr>
          <w:rFonts w:ascii="Calibri" w:hAnsi="Calibri"/>
          <w:noProof/>
          <w:szCs w:val="22"/>
        </w:rPr>
      </w:pPr>
      <w:r>
        <w:rPr>
          <w:noProof/>
        </w:rPr>
        <w:t>b.</w:t>
      </w:r>
      <w:r>
        <w:rPr>
          <w:rFonts w:ascii="Calibri" w:hAnsi="Calibri"/>
          <w:noProof/>
          <w:szCs w:val="22"/>
        </w:rPr>
        <w:tab/>
      </w:r>
      <w:r>
        <w:rPr>
          <w:noProof/>
        </w:rPr>
        <w:t>Consultations Outside the Agency</w:t>
      </w:r>
      <w:r>
        <w:rPr>
          <w:noProof/>
        </w:rPr>
        <w:tab/>
      </w:r>
      <w:r w:rsidR="007C1CA5">
        <w:rPr>
          <w:noProof/>
        </w:rPr>
        <w:fldChar w:fldCharType="begin"/>
      </w:r>
      <w:r>
        <w:rPr>
          <w:noProof/>
        </w:rPr>
        <w:instrText xml:space="preserve"> PAGEREF _Toc280089721 \h </w:instrText>
      </w:r>
      <w:r w:rsidR="007C1CA5">
        <w:rPr>
          <w:noProof/>
        </w:rPr>
      </w:r>
      <w:r w:rsidR="007C1CA5">
        <w:rPr>
          <w:noProof/>
        </w:rPr>
        <w:fldChar w:fldCharType="separate"/>
      </w:r>
      <w:r w:rsidR="006A5925">
        <w:rPr>
          <w:noProof/>
        </w:rPr>
        <w:t>8</w:t>
      </w:r>
      <w:r w:rsidR="007C1CA5">
        <w:rPr>
          <w:noProof/>
        </w:rPr>
        <w:fldChar w:fldCharType="end"/>
      </w:r>
    </w:p>
    <w:p w:rsidR="00F83F5D" w:rsidRDefault="00F83F5D" w:rsidP="007B3CEA">
      <w:pPr>
        <w:pStyle w:val="TOC3LAST"/>
        <w:rPr>
          <w:rFonts w:ascii="Calibri" w:hAnsi="Calibri"/>
          <w:szCs w:val="22"/>
        </w:rPr>
      </w:pPr>
      <w:r>
        <w:t>c.</w:t>
      </w:r>
      <w:r>
        <w:rPr>
          <w:rFonts w:ascii="Calibri" w:hAnsi="Calibri"/>
          <w:szCs w:val="22"/>
        </w:rPr>
        <w:tab/>
      </w:r>
      <w:r>
        <w:t>Unresolved Issues</w:t>
      </w:r>
      <w:r>
        <w:tab/>
      </w:r>
      <w:r w:rsidR="007C1CA5">
        <w:fldChar w:fldCharType="begin"/>
      </w:r>
      <w:r>
        <w:instrText xml:space="preserve"> PAGEREF _Toc280089722 \h </w:instrText>
      </w:r>
      <w:r w:rsidR="007C1CA5">
        <w:fldChar w:fldCharType="separate"/>
      </w:r>
      <w:r w:rsidR="006A5925">
        <w:t>8</w:t>
      </w:r>
      <w:r w:rsidR="007C1CA5">
        <w:fldChar w:fldCharType="end"/>
      </w:r>
    </w:p>
    <w:p w:rsidR="00F83F5D" w:rsidRDefault="00F83F5D">
      <w:pPr>
        <w:pStyle w:val="TOC2"/>
        <w:rPr>
          <w:rFonts w:ascii="Calibri" w:hAnsi="Calibri"/>
          <w:noProof/>
          <w:szCs w:val="22"/>
        </w:rPr>
      </w:pPr>
      <w:r>
        <w:rPr>
          <w:noProof/>
        </w:rPr>
        <w:t>9.</w:t>
      </w:r>
      <w:r>
        <w:rPr>
          <w:rFonts w:ascii="Calibri" w:hAnsi="Calibri"/>
          <w:noProof/>
          <w:szCs w:val="22"/>
        </w:rPr>
        <w:tab/>
      </w:r>
      <w:r>
        <w:rPr>
          <w:noProof/>
        </w:rPr>
        <w:t>Payments or Gifts</w:t>
      </w:r>
      <w:r>
        <w:rPr>
          <w:noProof/>
        </w:rPr>
        <w:tab/>
      </w:r>
      <w:r w:rsidR="007C1CA5">
        <w:rPr>
          <w:noProof/>
        </w:rPr>
        <w:fldChar w:fldCharType="begin"/>
      </w:r>
      <w:r>
        <w:rPr>
          <w:noProof/>
        </w:rPr>
        <w:instrText xml:space="preserve"> PAGEREF _Toc280089723 \h </w:instrText>
      </w:r>
      <w:r w:rsidR="007C1CA5">
        <w:rPr>
          <w:noProof/>
        </w:rPr>
      </w:r>
      <w:r w:rsidR="007C1CA5">
        <w:rPr>
          <w:noProof/>
        </w:rPr>
        <w:fldChar w:fldCharType="separate"/>
      </w:r>
      <w:r w:rsidR="006A5925">
        <w:rPr>
          <w:noProof/>
        </w:rPr>
        <w:t>8</w:t>
      </w:r>
      <w:r w:rsidR="007C1CA5">
        <w:rPr>
          <w:noProof/>
        </w:rPr>
        <w:fldChar w:fldCharType="end"/>
      </w:r>
    </w:p>
    <w:p w:rsidR="00F83F5D" w:rsidRDefault="00F83F5D">
      <w:pPr>
        <w:pStyle w:val="TOC2"/>
        <w:rPr>
          <w:rFonts w:ascii="Calibri" w:hAnsi="Calibri"/>
          <w:noProof/>
          <w:szCs w:val="22"/>
        </w:rPr>
      </w:pPr>
      <w:r>
        <w:rPr>
          <w:noProof/>
        </w:rPr>
        <w:t>10.</w:t>
      </w:r>
      <w:r>
        <w:rPr>
          <w:rFonts w:ascii="Calibri" w:hAnsi="Calibri"/>
          <w:noProof/>
          <w:szCs w:val="22"/>
        </w:rPr>
        <w:tab/>
      </w:r>
      <w:r>
        <w:rPr>
          <w:noProof/>
        </w:rPr>
        <w:t>Assurances of Confidentiality</w:t>
      </w:r>
      <w:r>
        <w:rPr>
          <w:noProof/>
        </w:rPr>
        <w:tab/>
      </w:r>
      <w:r w:rsidR="007C1CA5">
        <w:rPr>
          <w:noProof/>
        </w:rPr>
        <w:fldChar w:fldCharType="begin"/>
      </w:r>
      <w:r>
        <w:rPr>
          <w:noProof/>
        </w:rPr>
        <w:instrText xml:space="preserve"> PAGEREF _Toc280089724 \h </w:instrText>
      </w:r>
      <w:r w:rsidR="007C1CA5">
        <w:rPr>
          <w:noProof/>
        </w:rPr>
      </w:r>
      <w:r w:rsidR="007C1CA5">
        <w:rPr>
          <w:noProof/>
        </w:rPr>
        <w:fldChar w:fldCharType="separate"/>
      </w:r>
      <w:r w:rsidR="006A5925">
        <w:rPr>
          <w:noProof/>
        </w:rPr>
        <w:t>8</w:t>
      </w:r>
      <w:r w:rsidR="007C1CA5">
        <w:rPr>
          <w:noProof/>
        </w:rPr>
        <w:fldChar w:fldCharType="end"/>
      </w:r>
    </w:p>
    <w:p w:rsidR="00F83F5D" w:rsidRDefault="00F83F5D">
      <w:pPr>
        <w:pStyle w:val="TOC2"/>
        <w:rPr>
          <w:rFonts w:ascii="Calibri" w:hAnsi="Calibri"/>
          <w:noProof/>
          <w:szCs w:val="22"/>
        </w:rPr>
      </w:pPr>
      <w:r>
        <w:rPr>
          <w:noProof/>
        </w:rPr>
        <w:t>11.</w:t>
      </w:r>
      <w:r>
        <w:rPr>
          <w:rFonts w:ascii="Calibri" w:hAnsi="Calibri"/>
          <w:noProof/>
          <w:szCs w:val="22"/>
        </w:rPr>
        <w:tab/>
      </w:r>
      <w:r>
        <w:rPr>
          <w:noProof/>
        </w:rPr>
        <w:t>Justification for Sensitive Questions</w:t>
      </w:r>
      <w:r>
        <w:rPr>
          <w:noProof/>
        </w:rPr>
        <w:tab/>
      </w:r>
      <w:r w:rsidR="007C1CA5">
        <w:rPr>
          <w:noProof/>
        </w:rPr>
        <w:fldChar w:fldCharType="begin"/>
      </w:r>
      <w:r>
        <w:rPr>
          <w:noProof/>
        </w:rPr>
        <w:instrText xml:space="preserve"> PAGEREF _Toc280089725 \h </w:instrText>
      </w:r>
      <w:r w:rsidR="007C1CA5">
        <w:rPr>
          <w:noProof/>
        </w:rPr>
      </w:r>
      <w:r w:rsidR="007C1CA5">
        <w:rPr>
          <w:noProof/>
        </w:rPr>
        <w:fldChar w:fldCharType="separate"/>
      </w:r>
      <w:r w:rsidR="006A5925">
        <w:rPr>
          <w:noProof/>
        </w:rPr>
        <w:t>9</w:t>
      </w:r>
      <w:r w:rsidR="007C1CA5">
        <w:rPr>
          <w:noProof/>
        </w:rPr>
        <w:fldChar w:fldCharType="end"/>
      </w:r>
    </w:p>
    <w:p w:rsidR="00F83F5D" w:rsidRDefault="00F83F5D">
      <w:pPr>
        <w:pStyle w:val="TOC2"/>
        <w:rPr>
          <w:rFonts w:ascii="Calibri" w:hAnsi="Calibri"/>
          <w:noProof/>
          <w:szCs w:val="22"/>
        </w:rPr>
      </w:pPr>
      <w:r>
        <w:rPr>
          <w:noProof/>
        </w:rPr>
        <w:t>12.</w:t>
      </w:r>
      <w:r>
        <w:rPr>
          <w:rFonts w:ascii="Calibri" w:hAnsi="Calibri"/>
          <w:noProof/>
          <w:szCs w:val="22"/>
        </w:rPr>
        <w:tab/>
      </w:r>
      <w:r>
        <w:rPr>
          <w:noProof/>
        </w:rPr>
        <w:t>Estimates of Burden Hours</w:t>
      </w:r>
      <w:r>
        <w:rPr>
          <w:noProof/>
        </w:rPr>
        <w:tab/>
      </w:r>
      <w:r w:rsidR="007C1CA5">
        <w:rPr>
          <w:noProof/>
        </w:rPr>
        <w:fldChar w:fldCharType="begin"/>
      </w:r>
      <w:r>
        <w:rPr>
          <w:noProof/>
        </w:rPr>
        <w:instrText xml:space="preserve"> PAGEREF _Toc280089726 \h </w:instrText>
      </w:r>
      <w:r w:rsidR="007C1CA5">
        <w:rPr>
          <w:noProof/>
        </w:rPr>
      </w:r>
      <w:r w:rsidR="007C1CA5">
        <w:rPr>
          <w:noProof/>
        </w:rPr>
        <w:fldChar w:fldCharType="separate"/>
      </w:r>
      <w:r w:rsidR="006A5925">
        <w:rPr>
          <w:noProof/>
        </w:rPr>
        <w:t>10</w:t>
      </w:r>
      <w:r w:rsidR="007C1CA5">
        <w:rPr>
          <w:noProof/>
        </w:rPr>
        <w:fldChar w:fldCharType="end"/>
      </w:r>
    </w:p>
    <w:p w:rsidR="00F83F5D" w:rsidRDefault="00F83F5D">
      <w:pPr>
        <w:pStyle w:val="TOC2"/>
        <w:rPr>
          <w:rFonts w:ascii="Calibri" w:hAnsi="Calibri"/>
          <w:noProof/>
          <w:szCs w:val="22"/>
        </w:rPr>
      </w:pPr>
      <w:r>
        <w:rPr>
          <w:noProof/>
        </w:rPr>
        <w:t>13.</w:t>
      </w:r>
      <w:r>
        <w:rPr>
          <w:rFonts w:ascii="Calibri" w:hAnsi="Calibri"/>
          <w:noProof/>
          <w:szCs w:val="22"/>
        </w:rPr>
        <w:tab/>
      </w:r>
      <w:r>
        <w:rPr>
          <w:noProof/>
        </w:rPr>
        <w:t>Estimates of Cost Burden to Respondents</w:t>
      </w:r>
      <w:r>
        <w:rPr>
          <w:noProof/>
        </w:rPr>
        <w:tab/>
      </w:r>
      <w:r w:rsidR="007C1CA5">
        <w:rPr>
          <w:noProof/>
        </w:rPr>
        <w:fldChar w:fldCharType="begin"/>
      </w:r>
      <w:r>
        <w:rPr>
          <w:noProof/>
        </w:rPr>
        <w:instrText xml:space="preserve"> PAGEREF _Toc280089727 \h </w:instrText>
      </w:r>
      <w:r w:rsidR="007C1CA5">
        <w:rPr>
          <w:noProof/>
        </w:rPr>
      </w:r>
      <w:r w:rsidR="007C1CA5">
        <w:rPr>
          <w:noProof/>
        </w:rPr>
        <w:fldChar w:fldCharType="separate"/>
      </w:r>
      <w:r w:rsidR="006A5925">
        <w:rPr>
          <w:noProof/>
        </w:rPr>
        <w:t>11</w:t>
      </w:r>
      <w:r w:rsidR="007C1CA5">
        <w:rPr>
          <w:noProof/>
        </w:rPr>
        <w:fldChar w:fldCharType="end"/>
      </w:r>
    </w:p>
    <w:p w:rsidR="00F83F5D" w:rsidRDefault="00F83F5D">
      <w:pPr>
        <w:pStyle w:val="TOC2"/>
        <w:rPr>
          <w:rFonts w:ascii="Calibri" w:hAnsi="Calibri"/>
          <w:noProof/>
          <w:szCs w:val="22"/>
        </w:rPr>
      </w:pPr>
      <w:r>
        <w:rPr>
          <w:noProof/>
        </w:rPr>
        <w:t>14.</w:t>
      </w:r>
      <w:r>
        <w:rPr>
          <w:rFonts w:ascii="Calibri" w:hAnsi="Calibri"/>
          <w:noProof/>
          <w:szCs w:val="22"/>
        </w:rPr>
        <w:tab/>
      </w:r>
      <w:r>
        <w:rPr>
          <w:noProof/>
        </w:rPr>
        <w:t>Annualized Cost to the Federal Government</w:t>
      </w:r>
      <w:r>
        <w:rPr>
          <w:noProof/>
        </w:rPr>
        <w:tab/>
      </w:r>
      <w:r w:rsidR="007C1CA5">
        <w:rPr>
          <w:noProof/>
        </w:rPr>
        <w:fldChar w:fldCharType="begin"/>
      </w:r>
      <w:r>
        <w:rPr>
          <w:noProof/>
        </w:rPr>
        <w:instrText xml:space="preserve"> PAGEREF _Toc280089728 \h </w:instrText>
      </w:r>
      <w:r w:rsidR="007C1CA5">
        <w:rPr>
          <w:noProof/>
        </w:rPr>
      </w:r>
      <w:r w:rsidR="007C1CA5">
        <w:rPr>
          <w:noProof/>
        </w:rPr>
        <w:fldChar w:fldCharType="separate"/>
      </w:r>
      <w:r w:rsidR="006A5925">
        <w:rPr>
          <w:noProof/>
        </w:rPr>
        <w:t>11</w:t>
      </w:r>
      <w:r w:rsidR="007C1CA5">
        <w:rPr>
          <w:noProof/>
        </w:rPr>
        <w:fldChar w:fldCharType="end"/>
      </w:r>
    </w:p>
    <w:p w:rsidR="00F83F5D" w:rsidRDefault="00F83F5D">
      <w:pPr>
        <w:pStyle w:val="TOC2"/>
        <w:rPr>
          <w:rFonts w:ascii="Calibri" w:hAnsi="Calibri"/>
          <w:noProof/>
          <w:szCs w:val="22"/>
        </w:rPr>
      </w:pPr>
      <w:r>
        <w:rPr>
          <w:noProof/>
        </w:rPr>
        <w:t>15.</w:t>
      </w:r>
      <w:r>
        <w:rPr>
          <w:rFonts w:ascii="Calibri" w:hAnsi="Calibri"/>
          <w:noProof/>
          <w:szCs w:val="22"/>
        </w:rPr>
        <w:tab/>
      </w:r>
      <w:r>
        <w:rPr>
          <w:noProof/>
        </w:rPr>
        <w:t>Reasons for Program Changes or Adjustments</w:t>
      </w:r>
      <w:r>
        <w:rPr>
          <w:noProof/>
        </w:rPr>
        <w:tab/>
      </w:r>
      <w:r w:rsidR="007C1CA5">
        <w:rPr>
          <w:noProof/>
        </w:rPr>
        <w:fldChar w:fldCharType="begin"/>
      </w:r>
      <w:r>
        <w:rPr>
          <w:noProof/>
        </w:rPr>
        <w:instrText xml:space="preserve"> PAGEREF _Toc280089729 \h </w:instrText>
      </w:r>
      <w:r w:rsidR="007C1CA5">
        <w:rPr>
          <w:noProof/>
        </w:rPr>
      </w:r>
      <w:r w:rsidR="007C1CA5">
        <w:rPr>
          <w:noProof/>
        </w:rPr>
        <w:fldChar w:fldCharType="separate"/>
      </w:r>
      <w:r w:rsidR="006A5925">
        <w:rPr>
          <w:noProof/>
        </w:rPr>
        <w:t>11</w:t>
      </w:r>
      <w:r w:rsidR="007C1CA5">
        <w:rPr>
          <w:noProof/>
        </w:rPr>
        <w:fldChar w:fldCharType="end"/>
      </w:r>
    </w:p>
    <w:p w:rsidR="00F83F5D" w:rsidRDefault="00F83F5D">
      <w:pPr>
        <w:pStyle w:val="TOC2"/>
        <w:rPr>
          <w:rFonts w:ascii="Calibri" w:hAnsi="Calibri"/>
          <w:noProof/>
          <w:szCs w:val="22"/>
        </w:rPr>
      </w:pPr>
      <w:r>
        <w:rPr>
          <w:noProof/>
        </w:rPr>
        <w:t>16.</w:t>
      </w:r>
      <w:r>
        <w:rPr>
          <w:rFonts w:ascii="Calibri" w:hAnsi="Calibri"/>
          <w:noProof/>
          <w:szCs w:val="22"/>
        </w:rPr>
        <w:tab/>
      </w:r>
      <w:r>
        <w:rPr>
          <w:noProof/>
        </w:rPr>
        <w:t>Plans for Tabulation and Publication of Results</w:t>
      </w:r>
      <w:r>
        <w:rPr>
          <w:noProof/>
        </w:rPr>
        <w:tab/>
      </w:r>
      <w:r w:rsidR="007C1CA5">
        <w:rPr>
          <w:noProof/>
        </w:rPr>
        <w:fldChar w:fldCharType="begin"/>
      </w:r>
      <w:r>
        <w:rPr>
          <w:noProof/>
        </w:rPr>
        <w:instrText xml:space="preserve"> PAGEREF _Toc280089730 \h </w:instrText>
      </w:r>
      <w:r w:rsidR="007C1CA5">
        <w:rPr>
          <w:noProof/>
        </w:rPr>
      </w:r>
      <w:r w:rsidR="007C1CA5">
        <w:rPr>
          <w:noProof/>
        </w:rPr>
        <w:fldChar w:fldCharType="separate"/>
      </w:r>
      <w:r w:rsidR="006A5925">
        <w:rPr>
          <w:noProof/>
        </w:rPr>
        <w:t>11</w:t>
      </w:r>
      <w:r w:rsidR="007C1CA5">
        <w:rPr>
          <w:noProof/>
        </w:rPr>
        <w:fldChar w:fldCharType="end"/>
      </w:r>
    </w:p>
    <w:p w:rsidR="00F83F5D" w:rsidRDefault="00F83F5D">
      <w:pPr>
        <w:pStyle w:val="TOC3"/>
        <w:rPr>
          <w:rFonts w:ascii="Calibri" w:hAnsi="Calibri"/>
          <w:noProof/>
          <w:szCs w:val="22"/>
        </w:rPr>
      </w:pPr>
      <w:r>
        <w:rPr>
          <w:noProof/>
        </w:rPr>
        <w:t>a.</w:t>
      </w:r>
      <w:r>
        <w:rPr>
          <w:rFonts w:ascii="Calibri" w:hAnsi="Calibri"/>
          <w:noProof/>
          <w:szCs w:val="22"/>
        </w:rPr>
        <w:tab/>
      </w:r>
      <w:r>
        <w:rPr>
          <w:noProof/>
        </w:rPr>
        <w:t>Tabulation Plans</w:t>
      </w:r>
      <w:r>
        <w:rPr>
          <w:noProof/>
        </w:rPr>
        <w:tab/>
      </w:r>
      <w:r w:rsidR="007C1CA5">
        <w:rPr>
          <w:noProof/>
        </w:rPr>
        <w:fldChar w:fldCharType="begin"/>
      </w:r>
      <w:r>
        <w:rPr>
          <w:noProof/>
        </w:rPr>
        <w:instrText xml:space="preserve"> PAGEREF _Toc280089731 \h </w:instrText>
      </w:r>
      <w:r w:rsidR="007C1CA5">
        <w:rPr>
          <w:noProof/>
        </w:rPr>
      </w:r>
      <w:r w:rsidR="007C1CA5">
        <w:rPr>
          <w:noProof/>
        </w:rPr>
        <w:fldChar w:fldCharType="separate"/>
      </w:r>
      <w:r w:rsidR="006A5925">
        <w:rPr>
          <w:noProof/>
        </w:rPr>
        <w:t>11</w:t>
      </w:r>
      <w:r w:rsidR="007C1CA5">
        <w:rPr>
          <w:noProof/>
        </w:rPr>
        <w:fldChar w:fldCharType="end"/>
      </w:r>
    </w:p>
    <w:p w:rsidR="00F83F5D" w:rsidRDefault="00F83F5D">
      <w:pPr>
        <w:pStyle w:val="TOC4"/>
        <w:rPr>
          <w:rFonts w:ascii="Calibri" w:hAnsi="Calibri"/>
          <w:szCs w:val="22"/>
        </w:rPr>
      </w:pPr>
      <w:r>
        <w:t>i.</w:t>
      </w:r>
      <w:r>
        <w:rPr>
          <w:rFonts w:ascii="Calibri" w:hAnsi="Calibri"/>
          <w:szCs w:val="22"/>
        </w:rPr>
        <w:tab/>
      </w:r>
      <w:r>
        <w:t>Describing District Policies to Address the Distribution of Teacher Effectiveness</w:t>
      </w:r>
      <w:r>
        <w:tab/>
      </w:r>
      <w:r w:rsidR="007C1CA5">
        <w:fldChar w:fldCharType="begin"/>
      </w:r>
      <w:r>
        <w:instrText xml:space="preserve"> PAGEREF _Toc280089732 \h </w:instrText>
      </w:r>
      <w:r w:rsidR="007C1CA5">
        <w:fldChar w:fldCharType="separate"/>
      </w:r>
      <w:r w:rsidR="006A5925">
        <w:t>11</w:t>
      </w:r>
      <w:r w:rsidR="007C1CA5">
        <w:fldChar w:fldCharType="end"/>
      </w:r>
    </w:p>
    <w:p w:rsidR="00F83F5D" w:rsidRDefault="00F83F5D">
      <w:pPr>
        <w:pStyle w:val="TOC4"/>
        <w:rPr>
          <w:rFonts w:ascii="Calibri" w:hAnsi="Calibri"/>
          <w:szCs w:val="22"/>
        </w:rPr>
      </w:pPr>
      <w:r>
        <w:lastRenderedPageBreak/>
        <w:t>ii.</w:t>
      </w:r>
      <w:r>
        <w:rPr>
          <w:rFonts w:ascii="Calibri" w:hAnsi="Calibri"/>
          <w:szCs w:val="22"/>
        </w:rPr>
        <w:tab/>
      </w:r>
      <w:r>
        <w:t>Measuring Teacher Effectiveness</w:t>
      </w:r>
      <w:r>
        <w:tab/>
      </w:r>
      <w:r w:rsidR="007C1CA5">
        <w:fldChar w:fldCharType="begin"/>
      </w:r>
      <w:r>
        <w:instrText xml:space="preserve"> PAGEREF _Toc280089733 \h </w:instrText>
      </w:r>
      <w:r w:rsidR="007C1CA5">
        <w:fldChar w:fldCharType="separate"/>
      </w:r>
      <w:r w:rsidR="006A5925">
        <w:t>12</w:t>
      </w:r>
      <w:r w:rsidR="007C1CA5">
        <w:fldChar w:fldCharType="end"/>
      </w:r>
    </w:p>
    <w:p w:rsidR="00F83F5D" w:rsidRDefault="00F83F5D">
      <w:pPr>
        <w:pStyle w:val="TOC4"/>
        <w:rPr>
          <w:rFonts w:ascii="Calibri" w:hAnsi="Calibri"/>
          <w:szCs w:val="22"/>
        </w:rPr>
      </w:pPr>
      <w:r>
        <w:t>iii.</w:t>
      </w:r>
      <w:r>
        <w:rPr>
          <w:rFonts w:ascii="Calibri" w:hAnsi="Calibri"/>
          <w:szCs w:val="22"/>
        </w:rPr>
        <w:tab/>
      </w:r>
      <w:r>
        <w:t>Measuring the Distribution of Teacher Effectiveness</w:t>
      </w:r>
      <w:r>
        <w:tab/>
      </w:r>
      <w:r w:rsidR="007C1CA5">
        <w:fldChar w:fldCharType="begin"/>
      </w:r>
      <w:r>
        <w:instrText xml:space="preserve"> PAGEREF _Toc280089734 \h </w:instrText>
      </w:r>
      <w:r w:rsidR="007C1CA5">
        <w:fldChar w:fldCharType="separate"/>
      </w:r>
      <w:r w:rsidR="006A5925">
        <w:t>14</w:t>
      </w:r>
      <w:r w:rsidR="007C1CA5">
        <w:fldChar w:fldCharType="end"/>
      </w:r>
    </w:p>
    <w:p w:rsidR="00F83F5D" w:rsidRDefault="00F83F5D">
      <w:pPr>
        <w:pStyle w:val="TOC4"/>
        <w:rPr>
          <w:rFonts w:ascii="Calibri" w:hAnsi="Calibri"/>
          <w:szCs w:val="22"/>
        </w:rPr>
      </w:pPr>
      <w:r>
        <w:t>iv.</w:t>
      </w:r>
      <w:r>
        <w:rPr>
          <w:rFonts w:ascii="Calibri" w:hAnsi="Calibri"/>
          <w:szCs w:val="22"/>
        </w:rPr>
        <w:tab/>
      </w:r>
      <w:r>
        <w:t>Analyzing the Distribution of Teacher Effectiveness Within and Across Districts</w:t>
      </w:r>
      <w:r>
        <w:tab/>
      </w:r>
      <w:r w:rsidR="007C1CA5">
        <w:fldChar w:fldCharType="begin"/>
      </w:r>
      <w:r>
        <w:instrText xml:space="preserve"> PAGEREF _Toc280089735 \h </w:instrText>
      </w:r>
      <w:r w:rsidR="007C1CA5">
        <w:fldChar w:fldCharType="separate"/>
      </w:r>
      <w:r w:rsidR="006A5925">
        <w:t>17</w:t>
      </w:r>
      <w:r w:rsidR="007C1CA5">
        <w:fldChar w:fldCharType="end"/>
      </w:r>
    </w:p>
    <w:p w:rsidR="00F83F5D" w:rsidRDefault="00F83F5D" w:rsidP="007B3CEA">
      <w:pPr>
        <w:pStyle w:val="TOC3LAST"/>
        <w:rPr>
          <w:rFonts w:ascii="Calibri" w:hAnsi="Calibri"/>
          <w:szCs w:val="22"/>
        </w:rPr>
      </w:pPr>
      <w:r>
        <w:t>b.</w:t>
      </w:r>
      <w:r>
        <w:rPr>
          <w:rFonts w:ascii="Calibri" w:hAnsi="Calibri"/>
          <w:szCs w:val="22"/>
        </w:rPr>
        <w:tab/>
      </w:r>
      <w:r>
        <w:t>Publication Plans</w:t>
      </w:r>
      <w:r>
        <w:tab/>
      </w:r>
      <w:r w:rsidR="007C1CA5">
        <w:fldChar w:fldCharType="begin"/>
      </w:r>
      <w:r>
        <w:instrText xml:space="preserve"> PAGEREF _Toc280089736 \h </w:instrText>
      </w:r>
      <w:r w:rsidR="007C1CA5">
        <w:fldChar w:fldCharType="separate"/>
      </w:r>
      <w:r w:rsidR="006A5925">
        <w:t>18</w:t>
      </w:r>
      <w:r w:rsidR="007C1CA5">
        <w:fldChar w:fldCharType="end"/>
      </w:r>
    </w:p>
    <w:p w:rsidR="00F83F5D" w:rsidRDefault="00F83F5D">
      <w:pPr>
        <w:pStyle w:val="TOC2"/>
        <w:rPr>
          <w:rFonts w:ascii="Calibri" w:hAnsi="Calibri"/>
          <w:noProof/>
          <w:szCs w:val="22"/>
        </w:rPr>
      </w:pPr>
      <w:r>
        <w:rPr>
          <w:noProof/>
        </w:rPr>
        <w:t>17.</w:t>
      </w:r>
      <w:r>
        <w:rPr>
          <w:rFonts w:ascii="Calibri" w:hAnsi="Calibri"/>
          <w:noProof/>
          <w:szCs w:val="22"/>
        </w:rPr>
        <w:tab/>
      </w:r>
      <w:r>
        <w:rPr>
          <w:noProof/>
        </w:rPr>
        <w:t>Approval Not to Display the Expiration Date for OMB Approval</w:t>
      </w:r>
      <w:r>
        <w:rPr>
          <w:noProof/>
        </w:rPr>
        <w:tab/>
      </w:r>
      <w:r w:rsidR="007C1CA5">
        <w:rPr>
          <w:noProof/>
        </w:rPr>
        <w:fldChar w:fldCharType="begin"/>
      </w:r>
      <w:r>
        <w:rPr>
          <w:noProof/>
        </w:rPr>
        <w:instrText xml:space="preserve"> PAGEREF _Toc280089737 \h </w:instrText>
      </w:r>
      <w:r w:rsidR="007C1CA5">
        <w:rPr>
          <w:noProof/>
        </w:rPr>
      </w:r>
      <w:r w:rsidR="007C1CA5">
        <w:rPr>
          <w:noProof/>
        </w:rPr>
        <w:fldChar w:fldCharType="separate"/>
      </w:r>
      <w:r w:rsidR="006A5925">
        <w:rPr>
          <w:noProof/>
        </w:rPr>
        <w:t>19</w:t>
      </w:r>
      <w:r w:rsidR="007C1CA5">
        <w:rPr>
          <w:noProof/>
        </w:rPr>
        <w:fldChar w:fldCharType="end"/>
      </w:r>
    </w:p>
    <w:p w:rsidR="00F83F5D" w:rsidRDefault="00F83F5D">
      <w:pPr>
        <w:pStyle w:val="TOC2"/>
        <w:rPr>
          <w:rFonts w:ascii="Calibri" w:hAnsi="Calibri"/>
          <w:noProof/>
          <w:szCs w:val="22"/>
        </w:rPr>
      </w:pPr>
      <w:r>
        <w:rPr>
          <w:noProof/>
        </w:rPr>
        <w:t>18.</w:t>
      </w:r>
      <w:r>
        <w:rPr>
          <w:rFonts w:ascii="Calibri" w:hAnsi="Calibri"/>
          <w:noProof/>
          <w:szCs w:val="22"/>
        </w:rPr>
        <w:tab/>
      </w:r>
      <w:r>
        <w:rPr>
          <w:noProof/>
        </w:rPr>
        <w:t>Exception to the Certification Statement</w:t>
      </w:r>
      <w:r>
        <w:rPr>
          <w:noProof/>
        </w:rPr>
        <w:tab/>
      </w:r>
      <w:r w:rsidR="007C1CA5">
        <w:rPr>
          <w:noProof/>
        </w:rPr>
        <w:fldChar w:fldCharType="begin"/>
      </w:r>
      <w:r>
        <w:rPr>
          <w:noProof/>
        </w:rPr>
        <w:instrText xml:space="preserve"> PAGEREF _Toc280089738 \h </w:instrText>
      </w:r>
      <w:r w:rsidR="007C1CA5">
        <w:rPr>
          <w:noProof/>
        </w:rPr>
      </w:r>
      <w:r w:rsidR="007C1CA5">
        <w:rPr>
          <w:noProof/>
        </w:rPr>
        <w:fldChar w:fldCharType="separate"/>
      </w:r>
      <w:r w:rsidR="006A5925">
        <w:rPr>
          <w:noProof/>
        </w:rPr>
        <w:t>19</w:t>
      </w:r>
      <w:r w:rsidR="007C1CA5">
        <w:rPr>
          <w:noProof/>
        </w:rPr>
        <w:fldChar w:fldCharType="end"/>
      </w:r>
    </w:p>
    <w:p w:rsidR="00F83F5D" w:rsidRDefault="00F83F5D">
      <w:pPr>
        <w:pStyle w:val="TOC1"/>
        <w:rPr>
          <w:rFonts w:ascii="Calibri" w:hAnsi="Calibri"/>
          <w:caps w:val="0"/>
          <w:noProof/>
          <w:szCs w:val="22"/>
        </w:rPr>
      </w:pPr>
      <w:r>
        <w:rPr>
          <w:noProof/>
        </w:rPr>
        <w:t>REFERENCES</w:t>
      </w:r>
      <w:r>
        <w:rPr>
          <w:noProof/>
        </w:rPr>
        <w:tab/>
      </w:r>
      <w:r w:rsidR="007C1CA5">
        <w:rPr>
          <w:noProof/>
        </w:rPr>
        <w:fldChar w:fldCharType="begin"/>
      </w:r>
      <w:r>
        <w:rPr>
          <w:noProof/>
        </w:rPr>
        <w:instrText xml:space="preserve"> PAGEREF _Toc280089739 \h </w:instrText>
      </w:r>
      <w:r w:rsidR="007C1CA5">
        <w:rPr>
          <w:noProof/>
        </w:rPr>
      </w:r>
      <w:r w:rsidR="007C1CA5">
        <w:rPr>
          <w:noProof/>
        </w:rPr>
        <w:fldChar w:fldCharType="separate"/>
      </w:r>
      <w:r w:rsidR="006A5925">
        <w:rPr>
          <w:noProof/>
        </w:rPr>
        <w:t>20</w:t>
      </w:r>
      <w:r w:rsidR="007C1CA5">
        <w:rPr>
          <w:noProof/>
        </w:rPr>
        <w:fldChar w:fldCharType="end"/>
      </w:r>
    </w:p>
    <w:p w:rsidR="00F83F5D" w:rsidRPr="003066FA" w:rsidRDefault="007C1CA5" w:rsidP="003066FA">
      <w:pPr>
        <w:pStyle w:val="APPENDIX"/>
        <w:rPr>
          <w:b w:val="0"/>
        </w:rPr>
      </w:pPr>
      <w:r w:rsidRPr="00DD7BA9">
        <w:fldChar w:fldCharType="end"/>
      </w:r>
      <w:r w:rsidR="00F83F5D" w:rsidRPr="003066FA">
        <w:rPr>
          <w:b w:val="0"/>
        </w:rPr>
        <w:t>APPENDIX A:</w:t>
      </w:r>
      <w:r w:rsidR="00F83F5D" w:rsidRPr="003066FA">
        <w:rPr>
          <w:b w:val="0"/>
        </w:rPr>
        <w:tab/>
        <w:t xml:space="preserve">DISTRICT NOTIFICATION LETTER </w:t>
      </w:r>
    </w:p>
    <w:p w:rsidR="00F83F5D" w:rsidRDefault="00F83F5D" w:rsidP="005511A7">
      <w:pPr>
        <w:spacing w:line="240" w:lineRule="auto"/>
        <w:ind w:firstLine="0"/>
        <w:jc w:val="left"/>
        <w:rPr>
          <w:rFonts w:ascii="Lucida Sans" w:hAnsi="Lucida Sans"/>
          <w:sz w:val="22"/>
          <w:szCs w:val="22"/>
        </w:rPr>
      </w:pPr>
    </w:p>
    <w:p w:rsidR="00F83F5D" w:rsidRPr="003066FA" w:rsidRDefault="00F83F5D" w:rsidP="003066FA">
      <w:pPr>
        <w:pStyle w:val="APPENDIX"/>
        <w:rPr>
          <w:b w:val="0"/>
        </w:rPr>
      </w:pPr>
      <w:r w:rsidRPr="003066FA">
        <w:rPr>
          <w:b w:val="0"/>
        </w:rPr>
        <w:t>APPENDIX B:</w:t>
      </w:r>
      <w:r w:rsidRPr="003066FA">
        <w:rPr>
          <w:b w:val="0"/>
        </w:rPr>
        <w:tab/>
        <w:t xml:space="preserve">DISTRICT RECRUITMENT </w:t>
      </w:r>
      <w:r>
        <w:rPr>
          <w:b w:val="0"/>
        </w:rPr>
        <w:t>CONVERSATION GUIDE</w:t>
      </w:r>
    </w:p>
    <w:p w:rsidR="00F83F5D" w:rsidRPr="003066FA" w:rsidRDefault="00F83F5D" w:rsidP="003066FA">
      <w:pPr>
        <w:pStyle w:val="APPENDIX"/>
        <w:rPr>
          <w:b w:val="0"/>
        </w:rPr>
      </w:pPr>
    </w:p>
    <w:p w:rsidR="00F83F5D" w:rsidRPr="003066FA" w:rsidRDefault="00F83F5D" w:rsidP="003066FA">
      <w:pPr>
        <w:pStyle w:val="APPENDIX"/>
        <w:rPr>
          <w:b w:val="0"/>
        </w:rPr>
      </w:pPr>
      <w:r w:rsidRPr="003066FA">
        <w:rPr>
          <w:b w:val="0"/>
        </w:rPr>
        <w:t>APPENDIX C:</w:t>
      </w:r>
      <w:r w:rsidRPr="003066FA">
        <w:rPr>
          <w:b w:val="0"/>
        </w:rPr>
        <w:tab/>
        <w:t>DISTRICT DATA REQUEST MEMO</w:t>
      </w:r>
    </w:p>
    <w:p w:rsidR="00F83F5D" w:rsidRPr="003066FA" w:rsidRDefault="00F83F5D" w:rsidP="003066FA">
      <w:pPr>
        <w:pStyle w:val="APPENDIX"/>
        <w:rPr>
          <w:b w:val="0"/>
        </w:rPr>
      </w:pPr>
    </w:p>
    <w:p w:rsidR="00F83F5D" w:rsidRDefault="00F83F5D" w:rsidP="003066FA">
      <w:pPr>
        <w:pStyle w:val="APPENDIX"/>
        <w:rPr>
          <w:b w:val="0"/>
        </w:rPr>
      </w:pPr>
      <w:r w:rsidRPr="003066FA">
        <w:rPr>
          <w:b w:val="0"/>
        </w:rPr>
        <w:t>APPENDIX D:</w:t>
      </w:r>
      <w:r w:rsidRPr="003066FA">
        <w:rPr>
          <w:b w:val="0"/>
        </w:rPr>
        <w:tab/>
        <w:t xml:space="preserve">DISTRICT </w:t>
      </w:r>
      <w:r>
        <w:rPr>
          <w:b w:val="0"/>
        </w:rPr>
        <w:t xml:space="preserve">STAFF </w:t>
      </w:r>
      <w:r w:rsidRPr="003066FA">
        <w:rPr>
          <w:b w:val="0"/>
        </w:rPr>
        <w:t>INTERVIEW PROTOCOL</w:t>
      </w:r>
    </w:p>
    <w:p w:rsidR="00F83F5D" w:rsidRPr="003066FA" w:rsidRDefault="00F83F5D" w:rsidP="003066FA">
      <w:pPr>
        <w:pStyle w:val="APPENDIX"/>
        <w:rPr>
          <w:b w:val="0"/>
        </w:rPr>
      </w:pPr>
    </w:p>
    <w:p w:rsidR="00F83F5D" w:rsidRPr="003066FA" w:rsidRDefault="00F83F5D" w:rsidP="003066FA">
      <w:pPr>
        <w:pStyle w:val="APPENDIX"/>
        <w:rPr>
          <w:b w:val="0"/>
        </w:rPr>
      </w:pPr>
      <w:r w:rsidRPr="003066FA">
        <w:rPr>
          <w:b w:val="0"/>
        </w:rPr>
        <w:t>APPENDIX E:</w:t>
      </w:r>
      <w:r w:rsidRPr="003066FA">
        <w:rPr>
          <w:b w:val="0"/>
        </w:rPr>
        <w:tab/>
        <w:t>STUDY SUMMARY</w:t>
      </w:r>
    </w:p>
    <w:p w:rsidR="00F83F5D" w:rsidRPr="003066FA" w:rsidRDefault="00F83F5D" w:rsidP="003066FA">
      <w:pPr>
        <w:pStyle w:val="APPENDIX"/>
        <w:rPr>
          <w:b w:val="0"/>
        </w:rPr>
      </w:pPr>
    </w:p>
    <w:p w:rsidR="00F83F5D" w:rsidRDefault="00F83F5D" w:rsidP="003066FA">
      <w:pPr>
        <w:pStyle w:val="APPENDIX"/>
        <w:rPr>
          <w:b w:val="0"/>
        </w:rPr>
      </w:pPr>
      <w:r w:rsidRPr="003066FA">
        <w:rPr>
          <w:b w:val="0"/>
        </w:rPr>
        <w:t>APPENDIX F:</w:t>
      </w:r>
      <w:r w:rsidRPr="003066FA">
        <w:rPr>
          <w:b w:val="0"/>
        </w:rPr>
        <w:tab/>
        <w:t>CONFIDENTIALITY PLEDGE</w:t>
      </w:r>
    </w:p>
    <w:p w:rsidR="00F83F5D" w:rsidRDefault="00F83F5D">
      <w:pPr>
        <w:tabs>
          <w:tab w:val="clear" w:pos="432"/>
        </w:tabs>
        <w:spacing w:line="240" w:lineRule="auto"/>
        <w:ind w:firstLine="0"/>
        <w:jc w:val="left"/>
        <w:rPr>
          <w:rFonts w:ascii="Lucida Sans" w:hAnsi="Lucida Sans"/>
          <w:b/>
        </w:rPr>
      </w:pPr>
    </w:p>
    <w:p w:rsidR="00F83F5D" w:rsidRDefault="00F83F5D" w:rsidP="00E4261B">
      <w:pPr>
        <w:spacing w:after="480" w:line="240" w:lineRule="auto"/>
        <w:ind w:firstLine="0"/>
        <w:jc w:val="center"/>
        <w:rPr>
          <w:rFonts w:ascii="Lucida Sans" w:hAnsi="Lucida Sans"/>
          <w:b/>
          <w:color w:val="1F497D"/>
        </w:rPr>
        <w:sectPr w:rsidR="00F83F5D" w:rsidSect="003E429F">
          <w:headerReference w:type="default" r:id="rId21"/>
          <w:footerReference w:type="default" r:id="rId22"/>
          <w:endnotePr>
            <w:numFmt w:val="decimal"/>
          </w:endnotePr>
          <w:pgSz w:w="12240" w:h="15840" w:code="1"/>
          <w:pgMar w:top="1440" w:right="1440" w:bottom="576" w:left="1440" w:header="720" w:footer="576" w:gutter="0"/>
          <w:pgNumType w:fmt="lowerRoman" w:start="5"/>
          <w:cols w:space="720"/>
          <w:docGrid w:linePitch="326"/>
        </w:sectPr>
      </w:pPr>
    </w:p>
    <w:p w:rsidR="00F83F5D" w:rsidRPr="008C2007" w:rsidRDefault="00F83F5D" w:rsidP="00E4261B">
      <w:pPr>
        <w:spacing w:after="480" w:line="240" w:lineRule="auto"/>
        <w:ind w:firstLine="0"/>
        <w:jc w:val="center"/>
        <w:rPr>
          <w:rFonts w:ascii="Lucida Sans" w:hAnsi="Lucida Sans"/>
          <w:b/>
          <w:color w:val="1F497D"/>
        </w:rPr>
      </w:pPr>
      <w:r w:rsidRPr="008C2007">
        <w:rPr>
          <w:rFonts w:ascii="Lucida Sans" w:hAnsi="Lucida Sans"/>
          <w:b/>
          <w:color w:val="1F497D"/>
        </w:rPr>
        <w:lastRenderedPageBreak/>
        <w:t>TABLES</w:t>
      </w:r>
    </w:p>
    <w:p w:rsidR="00F83F5D" w:rsidRDefault="007C1CA5">
      <w:pPr>
        <w:pStyle w:val="TableofFigures"/>
        <w:rPr>
          <w:rFonts w:ascii="Calibri" w:hAnsi="Calibri"/>
          <w:noProof/>
          <w:szCs w:val="22"/>
        </w:rPr>
      </w:pPr>
      <w:r>
        <w:rPr>
          <w:b/>
          <w:szCs w:val="22"/>
        </w:rPr>
        <w:fldChar w:fldCharType="begin"/>
      </w:r>
      <w:r w:rsidR="00F83F5D">
        <w:rPr>
          <w:b/>
          <w:szCs w:val="22"/>
        </w:rPr>
        <w:instrText xml:space="preserve"> TOC \z \t "Mark for Table Heading,1" \c "Figure" </w:instrText>
      </w:r>
      <w:r>
        <w:rPr>
          <w:b/>
          <w:szCs w:val="22"/>
        </w:rPr>
        <w:fldChar w:fldCharType="separate"/>
      </w:r>
      <w:r w:rsidR="00F83F5D">
        <w:rPr>
          <w:noProof/>
        </w:rPr>
        <w:t>1</w:t>
      </w:r>
      <w:r w:rsidR="00F83F5D">
        <w:rPr>
          <w:noProof/>
        </w:rPr>
        <w:tab/>
        <w:t>Data Collection Plan</w:t>
      </w:r>
      <w:r w:rsidR="00F83F5D">
        <w:rPr>
          <w:noProof/>
          <w:webHidden/>
        </w:rPr>
        <w:tab/>
      </w:r>
      <w:r>
        <w:rPr>
          <w:noProof/>
          <w:webHidden/>
        </w:rPr>
        <w:fldChar w:fldCharType="begin"/>
      </w:r>
      <w:r w:rsidR="00F83F5D">
        <w:rPr>
          <w:noProof/>
          <w:webHidden/>
        </w:rPr>
        <w:instrText xml:space="preserve"> PAGEREF _Toc277150896 \h </w:instrText>
      </w:r>
      <w:r>
        <w:rPr>
          <w:noProof/>
          <w:webHidden/>
        </w:rPr>
      </w:r>
      <w:r>
        <w:rPr>
          <w:noProof/>
          <w:webHidden/>
        </w:rPr>
        <w:fldChar w:fldCharType="separate"/>
      </w:r>
      <w:r w:rsidR="00D06015">
        <w:rPr>
          <w:noProof/>
          <w:webHidden/>
        </w:rPr>
        <w:t>5</w:t>
      </w:r>
      <w:r>
        <w:rPr>
          <w:noProof/>
          <w:webHidden/>
        </w:rPr>
        <w:fldChar w:fldCharType="end"/>
      </w:r>
    </w:p>
    <w:p w:rsidR="00F83F5D" w:rsidRDefault="00F83F5D">
      <w:pPr>
        <w:pStyle w:val="TableofFigures"/>
        <w:rPr>
          <w:rFonts w:ascii="Calibri" w:hAnsi="Calibri"/>
          <w:noProof/>
          <w:szCs w:val="22"/>
        </w:rPr>
      </w:pPr>
      <w:r>
        <w:rPr>
          <w:noProof/>
        </w:rPr>
        <w:t>2</w:t>
      </w:r>
      <w:r>
        <w:rPr>
          <w:noProof/>
        </w:rPr>
        <w:tab/>
        <w:t>Estimated Response Time for Data Collection</w:t>
      </w:r>
      <w:r>
        <w:rPr>
          <w:noProof/>
          <w:webHidden/>
        </w:rPr>
        <w:tab/>
      </w:r>
      <w:r w:rsidR="007C1CA5">
        <w:rPr>
          <w:noProof/>
          <w:webHidden/>
        </w:rPr>
        <w:fldChar w:fldCharType="begin"/>
      </w:r>
      <w:r>
        <w:rPr>
          <w:noProof/>
          <w:webHidden/>
        </w:rPr>
        <w:instrText xml:space="preserve"> PAGEREF _Toc277150897 \h </w:instrText>
      </w:r>
      <w:r w:rsidR="007C1CA5">
        <w:rPr>
          <w:noProof/>
          <w:webHidden/>
        </w:rPr>
      </w:r>
      <w:r w:rsidR="007C1CA5">
        <w:rPr>
          <w:noProof/>
          <w:webHidden/>
        </w:rPr>
        <w:fldChar w:fldCharType="separate"/>
      </w:r>
      <w:r w:rsidR="00D06015">
        <w:rPr>
          <w:noProof/>
          <w:webHidden/>
        </w:rPr>
        <w:t>10</w:t>
      </w:r>
      <w:r w:rsidR="007C1CA5">
        <w:rPr>
          <w:noProof/>
          <w:webHidden/>
        </w:rPr>
        <w:fldChar w:fldCharType="end"/>
      </w:r>
    </w:p>
    <w:p w:rsidR="00F83F5D" w:rsidRDefault="007C1CA5" w:rsidP="000B7469">
      <w:pPr>
        <w:pStyle w:val="TableofFigures"/>
      </w:pPr>
      <w:r>
        <w:rPr>
          <w:b/>
          <w:szCs w:val="22"/>
        </w:rPr>
        <w:fldChar w:fldCharType="end"/>
      </w:r>
      <w:r w:rsidR="00F83F5D">
        <w:rPr>
          <w:szCs w:val="22"/>
        </w:rPr>
        <w:br w:type="page"/>
      </w:r>
    </w:p>
    <w:p w:rsidR="00F83F5D" w:rsidRPr="004A730B" w:rsidRDefault="00F83F5D" w:rsidP="00A163D7">
      <w:pPr>
        <w:sectPr w:rsidR="00F83F5D" w:rsidRPr="004A730B" w:rsidSect="000B7469">
          <w:headerReference w:type="default" r:id="rId23"/>
          <w:footerReference w:type="default" r:id="rId24"/>
          <w:endnotePr>
            <w:numFmt w:val="decimal"/>
          </w:endnotePr>
          <w:pgSz w:w="12240" w:h="15840" w:code="1"/>
          <w:pgMar w:top="1440" w:right="1440" w:bottom="576" w:left="1440" w:header="720" w:footer="576" w:gutter="0"/>
          <w:pgNumType w:fmt="lowerRoman"/>
          <w:cols w:space="720"/>
          <w:docGrid w:linePitch="326"/>
        </w:sectPr>
      </w:pPr>
    </w:p>
    <w:p w:rsidR="00F83F5D" w:rsidRDefault="00F83F5D" w:rsidP="005511A7">
      <w:pPr>
        <w:pStyle w:val="OMBHeading1BlueNOHEAD"/>
      </w:pPr>
      <w:bookmarkStart w:id="18" w:name="_Toc269731487"/>
      <w:bookmarkStart w:id="19" w:name="_Toc277338261"/>
      <w:r w:rsidRPr="002F6E81">
        <w:lastRenderedPageBreak/>
        <w:t>SUPPORTING STATEMENT For Paperwork REDUCTION ACT</w:t>
      </w:r>
      <w:bookmarkStart w:id="20" w:name="_Toc115852067"/>
      <w:bookmarkStart w:id="21" w:name="_Toc256354800"/>
      <w:bookmarkStart w:id="22" w:name="_Toc256354829"/>
      <w:bookmarkStart w:id="23" w:name="_Toc256361054"/>
      <w:bookmarkEnd w:id="0"/>
      <w:bookmarkEnd w:id="1"/>
      <w:bookmarkEnd w:id="2"/>
      <w:bookmarkEnd w:id="3"/>
      <w:bookmarkEnd w:id="4"/>
      <w:bookmarkEnd w:id="5"/>
      <w:bookmarkEnd w:id="18"/>
      <w:bookmarkEnd w:id="19"/>
    </w:p>
    <w:p w:rsidR="00F83F5D" w:rsidRDefault="00F83F5D" w:rsidP="007D7238">
      <w:pPr>
        <w:spacing w:after="240" w:line="240" w:lineRule="auto"/>
      </w:pPr>
      <w:r>
        <w:t xml:space="preserve">This submission is a request for approval of recruitment and data collection activities that will be used to support the </w:t>
      </w:r>
      <w:r w:rsidR="00897DBF">
        <w:t xml:space="preserve">Study of the Distribution of </w:t>
      </w:r>
      <w:r>
        <w:t xml:space="preserve">Teacher </w:t>
      </w:r>
      <w:r w:rsidR="00E016A0">
        <w:t xml:space="preserve">Effectiveness </w:t>
      </w:r>
      <w:r w:rsidR="00E24B43">
        <w:t>(DTE)</w:t>
      </w:r>
      <w:r>
        <w:t xml:space="preserve">. The study is being funded by the Institute of Education Sciences (IES), U.S. Department of Education (ED), and is being implemented by Mathematica Policy Research and its subcontractor, the Urban Institute. </w:t>
      </w:r>
    </w:p>
    <w:p w:rsidR="00F83F5D" w:rsidRDefault="00F83F5D" w:rsidP="007D7238">
      <w:pPr>
        <w:spacing w:after="240" w:line="240" w:lineRule="auto"/>
      </w:pPr>
      <w:r>
        <w:t xml:space="preserve">The goal of the study is to examine the distribution of teacher </w:t>
      </w:r>
      <w:r w:rsidR="00E016A0">
        <w:t>effectiveness</w:t>
      </w:r>
      <w:r>
        <w:t xml:space="preserve"> in </w:t>
      </w:r>
      <w:r w:rsidR="00C178AB">
        <w:t xml:space="preserve">up to 30 </w:t>
      </w:r>
      <w:r>
        <w:t xml:space="preserve">school districts and document changes in the distribution over time. We will use a value-added analysis to measure teacher effectiveness and </w:t>
      </w:r>
      <w:r w:rsidR="00E75DDD">
        <w:t>compare the average</w:t>
      </w:r>
      <w:r>
        <w:t xml:space="preserve"> value-added scores </w:t>
      </w:r>
      <w:r w:rsidR="00E75DDD">
        <w:t xml:space="preserve">of teachers of </w:t>
      </w:r>
      <w:r w:rsidR="0006670D">
        <w:t>dis</w:t>
      </w:r>
      <w:r w:rsidR="00814D55">
        <w:t xml:space="preserve">advantaged and </w:t>
      </w:r>
      <w:r w:rsidR="0006670D">
        <w:t>non-</w:t>
      </w:r>
      <w:r w:rsidR="00814D55">
        <w:t>disadvantaged</w:t>
      </w:r>
      <w:r w:rsidR="00E75DDD">
        <w:t xml:space="preserve"> students</w:t>
      </w:r>
      <w:r w:rsidR="00814D55">
        <w:t>, with eligibility for free and reduced-price lunch</w:t>
      </w:r>
      <w:r w:rsidR="00C33477">
        <w:t xml:space="preserve"> (FRL)</w:t>
      </w:r>
      <w:r w:rsidR="00814D55">
        <w:t xml:space="preserve"> as the primary measure of student disadvantage</w:t>
      </w:r>
      <w:r>
        <w:t xml:space="preserve">. The study will provide information on the distribution of teacher effectiveness in participating districts for two baseline years and three follow-up years. Interviews with district staff will provide information on district strategies to promote an equitable distribution of teacher </w:t>
      </w:r>
      <w:r w:rsidR="00E016A0">
        <w:t>effectiveness</w:t>
      </w:r>
      <w:r>
        <w:t>, allowing us to analyze the relationship between district policies and the distribution.</w:t>
      </w:r>
      <w:r w:rsidR="00E75DDD">
        <w:t xml:space="preserve"> T</w:t>
      </w:r>
      <w:r w:rsidR="00E75DDD" w:rsidRPr="00E75DDD">
        <w:t>he study will also explore the relationship between teacher mobility and the distribution of teacher effectiveness</w:t>
      </w:r>
      <w:r w:rsidR="00B90494">
        <w:t>.</w:t>
      </w:r>
    </w:p>
    <w:p w:rsidR="00F83F5D" w:rsidRDefault="00F83F5D" w:rsidP="00101D5A">
      <w:pPr>
        <w:spacing w:after="240" w:line="240" w:lineRule="auto"/>
        <w:rPr>
          <w:color w:val="345294"/>
        </w:rPr>
      </w:pPr>
      <w:r>
        <w:t>This submission requests approval to recruit districts for the study, collect student records and teacher personnel data, and conduct telephone interviews with staff in participating districts.</w:t>
      </w:r>
      <w:bookmarkEnd w:id="20"/>
      <w:bookmarkEnd w:id="21"/>
      <w:bookmarkEnd w:id="22"/>
      <w:bookmarkEnd w:id="23"/>
    </w:p>
    <w:p w:rsidR="00F83F5D" w:rsidRDefault="00F83F5D" w:rsidP="005511A7">
      <w:pPr>
        <w:pStyle w:val="Heading1Blue"/>
        <w:spacing w:before="0"/>
        <w:jc w:val="left"/>
      </w:pPr>
      <w:bookmarkStart w:id="24" w:name="_Toc277338262"/>
      <w:bookmarkStart w:id="25" w:name="_Toc280021034"/>
      <w:bookmarkStart w:id="26" w:name="_Toc280089706"/>
      <w:r w:rsidRPr="002D5B7A">
        <w:t>Part A.</w:t>
      </w:r>
      <w:r>
        <w:t xml:space="preserve">  </w:t>
      </w:r>
      <w:r w:rsidRPr="002D5B7A">
        <w:t>Justification</w:t>
      </w:r>
      <w:bookmarkEnd w:id="24"/>
      <w:bookmarkEnd w:id="25"/>
      <w:bookmarkEnd w:id="26"/>
    </w:p>
    <w:p w:rsidR="00F83F5D" w:rsidRPr="00861B86" w:rsidRDefault="00F83F5D" w:rsidP="000F5701">
      <w:pPr>
        <w:pStyle w:val="Heading2Blue"/>
      </w:pPr>
      <w:bookmarkStart w:id="27" w:name="_Toc260295672"/>
      <w:bookmarkStart w:id="28" w:name="_Toc280089707"/>
      <w:bookmarkStart w:id="29" w:name="_Toc277338263"/>
      <w:r>
        <w:t>1</w:t>
      </w:r>
      <w:r w:rsidRPr="00861B86">
        <w:t>.</w:t>
      </w:r>
      <w:r w:rsidRPr="00861B86">
        <w:tab/>
        <w:t>Circumstances Necessitating the Collection of Information</w:t>
      </w:r>
      <w:bookmarkEnd w:id="27"/>
      <w:bookmarkEnd w:id="28"/>
      <w:bookmarkEnd w:id="29"/>
    </w:p>
    <w:p w:rsidR="00F83F5D" w:rsidRDefault="00F83F5D" w:rsidP="000F5701">
      <w:pPr>
        <w:pStyle w:val="Heading3"/>
      </w:pPr>
      <w:bookmarkStart w:id="30" w:name="_Toc260295673"/>
      <w:bookmarkStart w:id="31" w:name="_Toc277338264"/>
      <w:bookmarkStart w:id="32" w:name="_Toc280089708"/>
      <w:r>
        <w:t>a</w:t>
      </w:r>
      <w:r w:rsidRPr="00861B86">
        <w:t>.</w:t>
      </w:r>
      <w:r w:rsidRPr="00861B86">
        <w:tab/>
        <w:t xml:space="preserve">Statement of Need </w:t>
      </w:r>
      <w:bookmarkEnd w:id="30"/>
      <w:r>
        <w:t xml:space="preserve">to Study the Distribution of Teacher </w:t>
      </w:r>
      <w:bookmarkEnd w:id="31"/>
      <w:bookmarkEnd w:id="32"/>
      <w:r w:rsidR="00E016A0">
        <w:t>Effectiveness</w:t>
      </w:r>
    </w:p>
    <w:p w:rsidR="00F83F5D" w:rsidRDefault="00F83F5D" w:rsidP="007D7238">
      <w:pPr>
        <w:spacing w:after="240" w:line="240" w:lineRule="auto"/>
      </w:pPr>
      <w:r>
        <w:t xml:space="preserve">The specific legislation authorizing this data collection is Title II, Part A of the Elementary and Secondary Education Act (ESEA), Section 2121-2123, as amended by the No Child Left Behind Act (NCLB) (20 USC 6621-6623). Title II, Part A of </w:t>
      </w:r>
      <w:r w:rsidR="00740470">
        <w:t xml:space="preserve">ESEA </w:t>
      </w:r>
      <w:r>
        <w:t xml:space="preserve">provides funding to states to prepare, train, and recruit high-quality teachers to help school districts ensure that all students have effective teachers. One allowable use of Title II, Part A funds is to develop and implement initiatives to recruit and retain high-quality teachers in hard-to-staff schools. Part F, Section 9601 of </w:t>
      </w:r>
      <w:r w:rsidR="00740470">
        <w:t>ESEA</w:t>
      </w:r>
      <w:r>
        <w:t xml:space="preserve"> permits program funds to be used to evaluate activities authorized under the act.</w:t>
      </w:r>
    </w:p>
    <w:p w:rsidR="00F83F5D" w:rsidRDefault="00F83F5D" w:rsidP="007D7238">
      <w:pPr>
        <w:spacing w:after="240" w:line="240" w:lineRule="auto"/>
      </w:pPr>
      <w:r>
        <w:t xml:space="preserve">The focus of federal policy has shifted from targeting the distribution of highly qualified teachers to the distribution of highly effective teachers. While </w:t>
      </w:r>
      <w:r w:rsidR="00740470">
        <w:t xml:space="preserve">ESEA </w:t>
      </w:r>
      <w:r>
        <w:t xml:space="preserve">requires that states and districts ensure an equitable distribution of highly qualified teachers (HQT), the American Recovery and Reinvestment Act (ARRA) and other federal initiatives are aimed, at least in part, at improving the distribution of effective teachers. The ARRA-funded Race to the Top (RTT) grants require that states implement strategies to ensure that students in high poverty schools and schools with large minority populations have equal access to effective teachers. The Teacher Incentive Fund (TIF) grants, also funded by ARRA, promote an equitable distribution by supporting incentives that reward teachers based on their performance and attract effective teachers into high-need schools. </w:t>
      </w:r>
    </w:p>
    <w:p w:rsidR="00F83F5D" w:rsidRDefault="00F83F5D" w:rsidP="007D7238">
      <w:pPr>
        <w:spacing w:after="240" w:line="240" w:lineRule="auto"/>
      </w:pPr>
      <w:r>
        <w:t xml:space="preserve">Although there is growing concern that the nation’s most talented teachers are not working in the most disadvantaged schools, there is limited evidence on the distribution of effective teachers, defined as a teacher’s contribution to student learning (or value-added). The existing research shows an unequal distribution of teacher </w:t>
      </w:r>
      <w:r w:rsidR="00E016A0">
        <w:t>effectiveness</w:t>
      </w:r>
      <w:r>
        <w:t xml:space="preserve"> based on factors such as teaching experience, </w:t>
      </w:r>
      <w:r>
        <w:lastRenderedPageBreak/>
        <w:t xml:space="preserve">teacher test scores, and certification in the subject area being taught (Presley et al. 2005; Lankford et al. 2002; Education Trust 2008; </w:t>
      </w:r>
      <w:proofErr w:type="spellStart"/>
      <w:r>
        <w:t>Clotfelter</w:t>
      </w:r>
      <w:proofErr w:type="spellEnd"/>
      <w:r>
        <w:t xml:space="preserve"> et al. 2006; Carroll et al. 2000). Although these studies use teacher characteristics as a proxy for teacher quality, the link between teacher characteristics and teacher effectiveness has not been well established (</w:t>
      </w:r>
      <w:proofErr w:type="spellStart"/>
      <w:r>
        <w:t>Rivkin</w:t>
      </w:r>
      <w:proofErr w:type="spellEnd"/>
      <w:r>
        <w:t xml:space="preserve"> et al. 2005; Gordon et al. 2006; </w:t>
      </w:r>
      <w:proofErr w:type="spellStart"/>
      <w:r>
        <w:t>Rockoff</w:t>
      </w:r>
      <w:proofErr w:type="spellEnd"/>
      <w:r>
        <w:t xml:space="preserve"> et al. 2008; </w:t>
      </w:r>
      <w:proofErr w:type="spellStart"/>
      <w:r>
        <w:t>Buddin</w:t>
      </w:r>
      <w:proofErr w:type="spellEnd"/>
      <w:r>
        <w:t xml:space="preserve"> and </w:t>
      </w:r>
      <w:proofErr w:type="spellStart"/>
      <w:r>
        <w:t>Zamarro</w:t>
      </w:r>
      <w:proofErr w:type="spellEnd"/>
      <w:r>
        <w:t xml:space="preserve"> 2008). Emerging evidence suggests that highly effective teachers are less likely to teach in schools with disadvantaged students, but the research base is small. The existing evidence is derived from </w:t>
      </w:r>
      <w:smartTag w:uri="urn:schemas-microsoft-com:office:smarttags" w:element="State">
        <w:r>
          <w:t>Tennessee</w:t>
        </w:r>
      </w:smartTag>
      <w:r>
        <w:t xml:space="preserve"> (Sanders and Rivers 1996; Tennessee Department of Education 2007) and the </w:t>
      </w:r>
      <w:smartTag w:uri="urn:schemas-microsoft-com:office:smarttags" w:element="place">
        <w:smartTag w:uri="urn:schemas-microsoft-com:office:smarttags" w:element="PlaceName">
          <w:r>
            <w:t>Dallas</w:t>
          </w:r>
        </w:smartTag>
        <w:r>
          <w:t xml:space="preserve"> </w:t>
        </w:r>
        <w:smartTag w:uri="urn:schemas-microsoft-com:office:smarttags" w:element="PlaceType">
          <w:r>
            <w:t>School District</w:t>
          </w:r>
        </w:smartTag>
      </w:smartTag>
      <w:r>
        <w:t xml:space="preserve"> (Jordan et al. 1997).</w:t>
      </w:r>
    </w:p>
    <w:p w:rsidR="00F83F5D" w:rsidRDefault="00F83F5D" w:rsidP="007D7238">
      <w:pPr>
        <w:spacing w:after="240" w:line="240" w:lineRule="auto"/>
      </w:pPr>
      <w:r>
        <w:t xml:space="preserve">As more states and school districts implement policies to address the inequitable distribution of effective teachers, there is a greater need to understand the scope of the problem and promising strategies to address it. In light of this need, IES has commissioned a study to measure the distribution of teacher effectiveness in a diverse set of </w:t>
      </w:r>
      <w:r w:rsidR="00561F04">
        <w:t xml:space="preserve">30 </w:t>
      </w:r>
      <w:r>
        <w:t>districts and assess the relationship between that distribution and the policies and programs in each district. Results of the study will provide educators, policymakers, and researchers with critical information on how teacher effectiveness is distributed and the role of policies to promote an equitable distribution.</w:t>
      </w:r>
    </w:p>
    <w:p w:rsidR="00F83F5D" w:rsidRDefault="00F83F5D" w:rsidP="000F5701">
      <w:pPr>
        <w:pStyle w:val="Heading3"/>
      </w:pPr>
      <w:bookmarkStart w:id="33" w:name="_Toc277338265"/>
      <w:bookmarkStart w:id="34" w:name="_Toc280089709"/>
      <w:r>
        <w:t>b</w:t>
      </w:r>
      <w:r w:rsidRPr="00606B26">
        <w:t>.</w:t>
      </w:r>
      <w:r w:rsidRPr="00606B26">
        <w:tab/>
        <w:t>Research Questions</w:t>
      </w:r>
      <w:bookmarkEnd w:id="33"/>
      <w:bookmarkEnd w:id="34"/>
    </w:p>
    <w:p w:rsidR="00F83F5D" w:rsidRDefault="00F83F5D" w:rsidP="007143FA">
      <w:pPr>
        <w:pStyle w:val="NormalSS"/>
      </w:pPr>
      <w:r w:rsidRPr="00606B26">
        <w:t>The study’s primary research questions are:</w:t>
      </w:r>
    </w:p>
    <w:p w:rsidR="00F83F5D" w:rsidRDefault="00F83F5D" w:rsidP="00E4261B">
      <w:pPr>
        <w:pStyle w:val="BulletBlue"/>
      </w:pPr>
      <w:r>
        <w:t xml:space="preserve">What is the distribution of teacher </w:t>
      </w:r>
      <w:r w:rsidR="00E016A0">
        <w:t>effectiveness</w:t>
      </w:r>
      <w:r>
        <w:t xml:space="preserve"> across schools within each district?</w:t>
      </w:r>
    </w:p>
    <w:p w:rsidR="00F83F5D" w:rsidRDefault="00F83F5D" w:rsidP="00E4261B">
      <w:pPr>
        <w:pStyle w:val="BulletBlue"/>
      </w:pPr>
      <w:r>
        <w:t xml:space="preserve">What policies are districts using to address the inequitable distribution of teacher </w:t>
      </w:r>
      <w:r w:rsidR="00E016A0">
        <w:t>effectiveness</w:t>
      </w:r>
      <w:r>
        <w:t>?</w:t>
      </w:r>
    </w:p>
    <w:p w:rsidR="00F83F5D" w:rsidRDefault="00F83F5D" w:rsidP="00E4261B">
      <w:pPr>
        <w:pStyle w:val="BulletBlueLastSS"/>
      </w:pPr>
      <w:r>
        <w:t xml:space="preserve">What is the relationship between district policies or strategies and the distribution of teacher </w:t>
      </w:r>
      <w:r w:rsidR="00E016A0">
        <w:t>effectiveness</w:t>
      </w:r>
      <w:r>
        <w:t>?</w:t>
      </w:r>
    </w:p>
    <w:p w:rsidR="00F83F5D" w:rsidRDefault="00F83F5D" w:rsidP="000F5701">
      <w:pPr>
        <w:pStyle w:val="Heading3"/>
      </w:pPr>
      <w:bookmarkStart w:id="35" w:name="_Toc277338266"/>
      <w:bookmarkStart w:id="36" w:name="_Toc280089710"/>
      <w:r>
        <w:t>c</w:t>
      </w:r>
      <w:r w:rsidRPr="00606B26">
        <w:t>.</w:t>
      </w:r>
      <w:r w:rsidRPr="00606B26">
        <w:tab/>
      </w:r>
      <w:r>
        <w:t>Study Overview</w:t>
      </w:r>
      <w:bookmarkEnd w:id="35"/>
      <w:bookmarkEnd w:id="36"/>
    </w:p>
    <w:p w:rsidR="00F83F5D" w:rsidRDefault="00F83F5D" w:rsidP="007D7238">
      <w:pPr>
        <w:spacing w:line="240" w:lineRule="auto"/>
      </w:pPr>
      <w:r>
        <w:t xml:space="preserve">In this study, we will examine the distribution of teacher </w:t>
      </w:r>
      <w:r w:rsidR="00E016A0">
        <w:t>effectiveness</w:t>
      </w:r>
      <w:r>
        <w:t xml:space="preserve"> in a diverse set of </w:t>
      </w:r>
      <w:r w:rsidR="00C178AB">
        <w:t xml:space="preserve">up to 30 school </w:t>
      </w:r>
      <w:r>
        <w:t xml:space="preserve">districts, document changes in the distribution over time, and analyze the relationship between the distribution and district policies designed to promote an equitable distribution. </w:t>
      </w:r>
    </w:p>
    <w:p w:rsidR="00F83F5D" w:rsidRDefault="00F83F5D" w:rsidP="007D7238">
      <w:pPr>
        <w:spacing w:line="240" w:lineRule="auto"/>
      </w:pPr>
    </w:p>
    <w:p w:rsidR="00F83F5D" w:rsidRDefault="00F83F5D" w:rsidP="002D38F8">
      <w:pPr>
        <w:spacing w:line="240" w:lineRule="auto"/>
      </w:pPr>
      <w:r>
        <w:t xml:space="preserve">We will purposefully select a diverse set of 30 districts to participate in the study. The primary criterion for study participation will be the availability of data to conduct a value-added analysis. While the number of states and districts with the data capacity needed for a value-added analysis is increasing, a statistical sampling method is not possible given the limited number of districts that currently have the data needed to estimate value-added measures. </w:t>
      </w:r>
      <w:r w:rsidR="00F75E9C">
        <w:t xml:space="preserve">As a result, the sample of 30 districts selected for this study will not be nationally representative, and </w:t>
      </w:r>
      <w:r w:rsidR="00561F04">
        <w:t xml:space="preserve">are likely to be unique </w:t>
      </w:r>
      <w:r w:rsidR="00F75E9C">
        <w:t xml:space="preserve">because of the data capacity requirement. </w:t>
      </w:r>
      <w:r>
        <w:t>Additional criteria used to identify districts will include district size, geographic diversity, variation in equitable distribution policies</w:t>
      </w:r>
      <w:r w:rsidR="003920D4">
        <w:t>, and socioeconomic diversity</w:t>
      </w:r>
      <w:r>
        <w:t xml:space="preserve">. </w:t>
      </w:r>
    </w:p>
    <w:p w:rsidR="00F83F5D" w:rsidRDefault="00F83F5D" w:rsidP="002D38F8">
      <w:pPr>
        <w:spacing w:line="240" w:lineRule="auto"/>
      </w:pPr>
    </w:p>
    <w:p w:rsidR="00F83F5D" w:rsidRDefault="00F83F5D" w:rsidP="007D7238">
      <w:pPr>
        <w:spacing w:line="240" w:lineRule="auto"/>
      </w:pPr>
      <w:r>
        <w:t xml:space="preserve">We will use a value-added model to </w:t>
      </w:r>
      <w:r w:rsidR="00BA7F10">
        <w:t xml:space="preserve">estimate </w:t>
      </w:r>
      <w:r>
        <w:t xml:space="preserve">teacher effectiveness in each district. The value-added analysis will be conducted in two baseline years (2008-09 and 2009-10) and three subsequent years (2010-11 through 2012-13). The value-added measures will be used to </w:t>
      </w:r>
      <w:r w:rsidR="007F30FE">
        <w:t xml:space="preserve">measure the gap in effectiveness between the teachers of </w:t>
      </w:r>
      <w:r w:rsidR="0006670D">
        <w:t>dis</w:t>
      </w:r>
      <w:r w:rsidR="00814D55">
        <w:t xml:space="preserve">advantaged and </w:t>
      </w:r>
      <w:r w:rsidR="0006670D">
        <w:t>non-</w:t>
      </w:r>
      <w:r w:rsidR="00814D55">
        <w:t>disadvantaged</w:t>
      </w:r>
      <w:r w:rsidR="007F30FE">
        <w:t xml:space="preserve"> students for each year</w:t>
      </w:r>
      <w:r w:rsidR="00C33477">
        <w:t>, with student disadvantage measured by eligibility for FRL</w:t>
      </w:r>
      <w:r w:rsidR="007F30FE">
        <w:t xml:space="preserve">. </w:t>
      </w:r>
      <w:r>
        <w:t xml:space="preserve">We will </w:t>
      </w:r>
      <w:r w:rsidR="007F30FE">
        <w:t xml:space="preserve">calculate the Average Teacher Effectiveness Gap (ATEG), which is the difference in the average value added of the teachers of </w:t>
      </w:r>
      <w:r w:rsidR="0006670D">
        <w:lastRenderedPageBreak/>
        <w:t>disadvantaged</w:t>
      </w:r>
      <w:r w:rsidR="007F30FE">
        <w:t xml:space="preserve"> </w:t>
      </w:r>
      <w:r w:rsidR="00C33477">
        <w:t xml:space="preserve">(i.e. eligible for FRL) </w:t>
      </w:r>
      <w:r w:rsidR="007F30FE">
        <w:t>and non-</w:t>
      </w:r>
      <w:r w:rsidR="0006670D">
        <w:t>disadvantaged</w:t>
      </w:r>
      <w:r w:rsidR="00C33477">
        <w:t xml:space="preserve"> (ineligible for FRL)</w:t>
      </w:r>
      <w:r w:rsidR="007F30FE">
        <w:t xml:space="preserve"> students</w:t>
      </w:r>
      <w:r w:rsidR="00597992">
        <w:t xml:space="preserve">, as well as the </w:t>
      </w:r>
      <w:r w:rsidR="007F30FE">
        <w:t xml:space="preserve">Average School Effectiveness Gap (ASEG), </w:t>
      </w:r>
      <w:r w:rsidR="00597992">
        <w:t xml:space="preserve">the difference in average value added of schools attended by </w:t>
      </w:r>
      <w:r w:rsidR="006C3279">
        <w:t>disadvantaged</w:t>
      </w:r>
      <w:r w:rsidR="00597992">
        <w:t xml:space="preserve"> and </w:t>
      </w:r>
      <w:r w:rsidR="006C3279">
        <w:t>non-disadvantaged</w:t>
      </w:r>
      <w:r w:rsidR="006C3279" w:rsidRPr="008D1C62">
        <w:t xml:space="preserve"> </w:t>
      </w:r>
      <w:r w:rsidR="00597992">
        <w:t>students</w:t>
      </w:r>
      <w:r w:rsidR="007F30FE">
        <w:t xml:space="preserve">. </w:t>
      </w:r>
      <w:r w:rsidR="00C80F6C" w:rsidRPr="008D1C62">
        <w:t xml:space="preserve">These measures represent the amount by which the teacher or school quality experienced by </w:t>
      </w:r>
      <w:r w:rsidR="00C80F6C">
        <w:t>non-</w:t>
      </w:r>
      <w:r w:rsidR="00814C20">
        <w:t>disadvantaged</w:t>
      </w:r>
      <w:r w:rsidR="00814C20" w:rsidRPr="008D1C62">
        <w:t xml:space="preserve"> </w:t>
      </w:r>
      <w:r w:rsidR="00C80F6C" w:rsidRPr="008D1C62">
        <w:t xml:space="preserve">students </w:t>
      </w:r>
      <w:r w:rsidR="00EA3239">
        <w:t xml:space="preserve">differs from </w:t>
      </w:r>
      <w:r w:rsidR="00C80F6C" w:rsidRPr="008D1C62">
        <w:t xml:space="preserve">the teacher or school quality experienced by </w:t>
      </w:r>
      <w:r w:rsidR="00814C20">
        <w:t>disadvantaged</w:t>
      </w:r>
      <w:r w:rsidR="00814C20" w:rsidRPr="008D1C62">
        <w:t xml:space="preserve"> </w:t>
      </w:r>
      <w:r w:rsidR="00C80F6C" w:rsidRPr="008D1C62">
        <w:t>students.</w:t>
      </w:r>
    </w:p>
    <w:p w:rsidR="00F83F5D" w:rsidRDefault="00F83F5D" w:rsidP="007D7238">
      <w:pPr>
        <w:spacing w:line="240" w:lineRule="auto"/>
      </w:pPr>
    </w:p>
    <w:p w:rsidR="00EA3239" w:rsidRDefault="00C80F6C" w:rsidP="007D7238">
      <w:pPr>
        <w:spacing w:line="240" w:lineRule="auto"/>
      </w:pPr>
      <w:r w:rsidRPr="007F30FE">
        <w:t xml:space="preserve">The ATEG accounts for the distribution of teacher </w:t>
      </w:r>
      <w:r>
        <w:t>effectiveness</w:t>
      </w:r>
      <w:r w:rsidRPr="007F30FE">
        <w:t xml:space="preserve"> both between and within schools,</w:t>
      </w:r>
      <w:r>
        <w:t xml:space="preserve"> while the ASEG measures only the between-school component of this distribution. The ASEG</w:t>
      </w:r>
      <w:r w:rsidRPr="00C80F6C">
        <w:t xml:space="preserve"> relies only on school-student links rather than teacher-student links, and so can be computed even if there are incomplete data on teacher-student links.</w:t>
      </w:r>
      <w:r>
        <w:t xml:space="preserve"> </w:t>
      </w:r>
      <w:r w:rsidRPr="008D1C62">
        <w:t>By comparing the value of the ATEG and ASEG, we can measure the extent to which the distribution of teacher quality is driven by differences in the value added of teachers across schools or within schools. The AEG is a flexible metric that can be used with a variety of measures of student disadvantage and can be used to trace the distribution of teacher quality for a cohort of students through multiple school years.</w:t>
      </w:r>
    </w:p>
    <w:p w:rsidR="00F83F5D" w:rsidRDefault="00F83F5D" w:rsidP="007D7238">
      <w:pPr>
        <w:spacing w:line="240" w:lineRule="auto"/>
      </w:pPr>
    </w:p>
    <w:p w:rsidR="00F83F5D" w:rsidRDefault="00F83F5D" w:rsidP="00FA6990">
      <w:pPr>
        <w:spacing w:line="240" w:lineRule="auto"/>
      </w:pPr>
      <w:r>
        <w:t xml:space="preserve">Interviews with district staff will provide information on district policies designed to address the distribution of teacher </w:t>
      </w:r>
      <w:r w:rsidR="00E016A0">
        <w:t>effectiveness</w:t>
      </w:r>
      <w:r>
        <w:t xml:space="preserve"> for two baseline years and three subsequent years. The interviews will focus on how districts recruit, hire, evaluate, </w:t>
      </w:r>
      <w:r w:rsidR="00C80F6C">
        <w:t xml:space="preserve">develop, </w:t>
      </w:r>
      <w:r>
        <w:t>and compensate them, and handle their transfers from school to school. We will document the timing of when districts implement these policies and quantify the key dimensions of district policies.</w:t>
      </w:r>
    </w:p>
    <w:p w:rsidR="00F83F5D" w:rsidRDefault="00F83F5D" w:rsidP="00FA6990">
      <w:pPr>
        <w:spacing w:line="240" w:lineRule="auto"/>
      </w:pPr>
    </w:p>
    <w:p w:rsidR="00F83F5D" w:rsidRDefault="00F83F5D" w:rsidP="007D7238">
      <w:pPr>
        <w:spacing w:line="240" w:lineRule="auto"/>
      </w:pPr>
      <w:r>
        <w:t xml:space="preserve">In this study, we will also analyze the role of district policy in the distribution of effective teachers. We will analyze variations in policies and distributional outcomes over three years both within and across districts. </w:t>
      </w:r>
      <w:r w:rsidR="00561F04">
        <w:t xml:space="preserve">This </w:t>
      </w:r>
      <w:proofErr w:type="spellStart"/>
      <w:r w:rsidR="00561F04">
        <w:t>correlational</w:t>
      </w:r>
      <w:proofErr w:type="spellEnd"/>
      <w:r w:rsidR="00561F04">
        <w:t xml:space="preserve"> analysis is not designed to provide information about the effectiveness of these policies, but rather to offer new evidence about the relationship between strategies implemented by districts and the distribution</w:t>
      </w:r>
      <w:r w:rsidR="00AE60A9">
        <w:t xml:space="preserve"> of teacher effectiveness</w:t>
      </w:r>
      <w:r w:rsidR="0056434A">
        <w:t xml:space="preserve">. </w:t>
      </w:r>
      <w:r>
        <w:t xml:space="preserve">As a complement to this analysis, and to help provide a more detailed explanation of the observed trends, we will also conduct a within-district analysis to </w:t>
      </w:r>
      <w:r w:rsidR="00877897">
        <w:t>examine the factors related to teacher mobility</w:t>
      </w:r>
      <w:r>
        <w:t>. For example, we will estimate the effect of average student poverty status within a school on a teacher’s likelihood of remaining at the school.</w:t>
      </w:r>
    </w:p>
    <w:p w:rsidR="00F83F5D" w:rsidRDefault="00F83F5D" w:rsidP="007D7238">
      <w:pPr>
        <w:spacing w:line="240" w:lineRule="auto"/>
      </w:pPr>
    </w:p>
    <w:p w:rsidR="00F83F5D" w:rsidRDefault="00F83F5D" w:rsidP="000F5701">
      <w:pPr>
        <w:pStyle w:val="Heading3"/>
      </w:pPr>
      <w:bookmarkStart w:id="37" w:name="_Toc277338267"/>
      <w:bookmarkStart w:id="38" w:name="_Toc280089711"/>
      <w:r>
        <w:t>d</w:t>
      </w:r>
      <w:r w:rsidRPr="00606B26">
        <w:t>.</w:t>
      </w:r>
      <w:r>
        <w:tab/>
        <w:t>Recruitment of Districts</w:t>
      </w:r>
      <w:bookmarkEnd w:id="37"/>
      <w:bookmarkEnd w:id="38"/>
    </w:p>
    <w:p w:rsidR="00F83F5D" w:rsidRDefault="00F83F5D" w:rsidP="007D7238">
      <w:pPr>
        <w:spacing w:line="240" w:lineRule="auto"/>
      </w:pPr>
      <w:r>
        <w:t xml:space="preserve">To obtain a purposeful sample of 30 districts, we will begin by contacting </w:t>
      </w:r>
      <w:r w:rsidR="00A22012">
        <w:t xml:space="preserve">100 </w:t>
      </w:r>
      <w:r>
        <w:t>districts. Mathematica staff will contact the identified districts to gauge their interest in the study, confirm their data capacity for participation, and request their participation. We will begin the recruitment effort by mailing districts an introductory package, which will include the following two documents:</w:t>
      </w:r>
    </w:p>
    <w:p w:rsidR="00F83F5D" w:rsidRDefault="00F83F5D" w:rsidP="007D7238">
      <w:pPr>
        <w:spacing w:line="240" w:lineRule="auto"/>
      </w:pPr>
    </w:p>
    <w:p w:rsidR="00F83F5D" w:rsidRPr="00E4261B" w:rsidRDefault="00F83F5D" w:rsidP="00E4261B">
      <w:pPr>
        <w:pStyle w:val="BulletBlue"/>
      </w:pPr>
      <w:r w:rsidRPr="00E4261B">
        <w:rPr>
          <w:b/>
        </w:rPr>
        <w:t>Notification letter.</w:t>
      </w:r>
      <w:r w:rsidRPr="00E4261B">
        <w:t xml:space="preserve"> The one-page notification letter on ED letterhead and signed by the contracting officer’s representative describes the importance of studying the distribution of teacher effectiveness, provides an overview of the study design, summarizes the benefits of participating, and notes that a study team member will follow up by telephone to discuss the study in more detail (Appendix A).</w:t>
      </w:r>
    </w:p>
    <w:p w:rsidR="00F83F5D" w:rsidRDefault="00F83F5D" w:rsidP="00E4261B">
      <w:pPr>
        <w:pStyle w:val="BulletBlueLastSS"/>
      </w:pPr>
      <w:r w:rsidRPr="00E4261B">
        <w:rPr>
          <w:b/>
        </w:rPr>
        <w:t xml:space="preserve">Study </w:t>
      </w:r>
      <w:r>
        <w:rPr>
          <w:b/>
        </w:rPr>
        <w:t>s</w:t>
      </w:r>
      <w:r w:rsidRPr="00E4261B">
        <w:rPr>
          <w:b/>
        </w:rPr>
        <w:t>ummary.</w:t>
      </w:r>
      <w:r w:rsidRPr="00E4261B">
        <w:t xml:space="preserve"> The two-page summary describes the purpose of the study and the</w:t>
      </w:r>
      <w:r>
        <w:t xml:space="preserve"> benefits of participation, identifies the study team, and provides contact information for the project director and the ED project officer. It also discusses the activities required of participating districts and schools (Appendix E). </w:t>
      </w:r>
    </w:p>
    <w:p w:rsidR="00F83F5D" w:rsidRDefault="00F83F5D" w:rsidP="007D7238">
      <w:pPr>
        <w:spacing w:line="240" w:lineRule="auto"/>
      </w:pPr>
      <w:r>
        <w:lastRenderedPageBreak/>
        <w:t>W</w:t>
      </w:r>
      <w:r w:rsidRPr="000B594D">
        <w:t xml:space="preserve">e will send the </w:t>
      </w:r>
      <w:r>
        <w:t xml:space="preserve">notification </w:t>
      </w:r>
      <w:r w:rsidRPr="000B594D">
        <w:t xml:space="preserve">letter and study summary to </w:t>
      </w:r>
      <w:r>
        <w:t xml:space="preserve">each district’s </w:t>
      </w:r>
      <w:r w:rsidRPr="000B594D">
        <w:t xml:space="preserve">superintendent and director of human resources via FedEx to </w:t>
      </w:r>
      <w:r>
        <w:t>highlight the importance of the documents</w:t>
      </w:r>
      <w:r w:rsidRPr="000B594D">
        <w:t xml:space="preserve">. A </w:t>
      </w:r>
      <w:r>
        <w:t>Mathematica</w:t>
      </w:r>
      <w:r w:rsidRPr="000B594D">
        <w:t xml:space="preserve"> </w:t>
      </w:r>
      <w:r>
        <w:t xml:space="preserve">researcher </w:t>
      </w:r>
      <w:r w:rsidRPr="000B594D">
        <w:t xml:space="preserve">will follow up with the director of human resources within two days of the delivery date to begin discussing the study. </w:t>
      </w:r>
      <w:r>
        <w:t>We</w:t>
      </w:r>
      <w:r w:rsidRPr="000B594D">
        <w:t xml:space="preserve"> will </w:t>
      </w:r>
      <w:r>
        <w:t>schedule</w:t>
      </w:r>
      <w:r w:rsidRPr="000B594D">
        <w:t xml:space="preserve"> in-person meeting</w:t>
      </w:r>
      <w:r>
        <w:t>s</w:t>
      </w:r>
      <w:r w:rsidRPr="000B594D">
        <w:t xml:space="preserve"> or conference call</w:t>
      </w:r>
      <w:r>
        <w:t>s</w:t>
      </w:r>
      <w:r w:rsidRPr="000B594D">
        <w:t xml:space="preserve"> with key stakeholders in the district to describe the study, explain the benefits of participation, confirm the availability of data needed for the study, </w:t>
      </w:r>
      <w:r>
        <w:t xml:space="preserve">discuss confidentiality procedures, </w:t>
      </w:r>
      <w:r w:rsidRPr="000B594D">
        <w:t>and secure participation</w:t>
      </w:r>
      <w:r>
        <w:t xml:space="preserve"> (Appendix B)</w:t>
      </w:r>
      <w:r w:rsidRPr="000B594D">
        <w:t>.</w:t>
      </w:r>
    </w:p>
    <w:p w:rsidR="00F83F5D" w:rsidRPr="00C321CD" w:rsidRDefault="00F83F5D" w:rsidP="007D7238">
      <w:pPr>
        <w:spacing w:line="240" w:lineRule="auto"/>
      </w:pPr>
    </w:p>
    <w:p w:rsidR="00F83F5D" w:rsidRDefault="00F83F5D">
      <w:pPr>
        <w:tabs>
          <w:tab w:val="clear" w:pos="432"/>
        </w:tabs>
        <w:spacing w:line="240" w:lineRule="auto"/>
        <w:ind w:firstLine="0"/>
        <w:jc w:val="left"/>
        <w:rPr>
          <w:b/>
        </w:rPr>
      </w:pPr>
      <w:bookmarkStart w:id="39" w:name="_Toc277338268"/>
      <w:r>
        <w:br w:type="page"/>
      </w:r>
    </w:p>
    <w:p w:rsidR="00F83F5D" w:rsidRDefault="00F83F5D" w:rsidP="000F5701">
      <w:pPr>
        <w:pStyle w:val="Heading3"/>
      </w:pPr>
      <w:bookmarkStart w:id="40" w:name="_Toc280089712"/>
      <w:r>
        <w:lastRenderedPageBreak/>
        <w:t>e.</w:t>
      </w:r>
      <w:r>
        <w:tab/>
      </w:r>
      <w:r w:rsidRPr="00606B26">
        <w:t>Data Collection Plan and Study Timeline</w:t>
      </w:r>
      <w:bookmarkEnd w:id="39"/>
      <w:bookmarkEnd w:id="40"/>
    </w:p>
    <w:p w:rsidR="00F83F5D" w:rsidRDefault="00F83F5D" w:rsidP="00FC6ED6">
      <w:pPr>
        <w:pStyle w:val="NormalSS"/>
      </w:pPr>
      <w:r w:rsidRPr="00606B26">
        <w:t xml:space="preserve">The study </w:t>
      </w:r>
      <w:r>
        <w:t>consists of</w:t>
      </w:r>
      <w:r w:rsidRPr="00606B26">
        <w:t xml:space="preserve"> two data collection efforts</w:t>
      </w:r>
      <w:r>
        <w:t xml:space="preserve"> described below</w:t>
      </w:r>
      <w:r w:rsidRPr="00606B26">
        <w:t>:</w:t>
      </w:r>
    </w:p>
    <w:p w:rsidR="00F83F5D" w:rsidRDefault="00F83F5D" w:rsidP="00FC6ED6">
      <w:pPr>
        <w:pStyle w:val="BulletBlue"/>
        <w:spacing w:line="228" w:lineRule="auto"/>
      </w:pPr>
      <w:r w:rsidRPr="004A4541">
        <w:rPr>
          <w:b/>
        </w:rPr>
        <w:t>District administrative data collection</w:t>
      </w:r>
      <w:r w:rsidRPr="008C2007">
        <w:rPr>
          <w:b/>
        </w:rPr>
        <w:t>.</w:t>
      </w:r>
      <w:r w:rsidRPr="00606B26">
        <w:t xml:space="preserve"> Mathematica will </w:t>
      </w:r>
      <w:r>
        <w:t>collect</w:t>
      </w:r>
      <w:r w:rsidRPr="00606B26">
        <w:t xml:space="preserve"> data from districts to conduct a </w:t>
      </w:r>
      <w:r>
        <w:t>value-added</w:t>
      </w:r>
      <w:r w:rsidRPr="00606B26">
        <w:t xml:space="preserve"> analysis and track teacher assignments and mobility. </w:t>
      </w:r>
      <w:r>
        <w:t xml:space="preserve">We will collect </w:t>
      </w:r>
      <w:r w:rsidRPr="00606B26">
        <w:t>standardized test scores, student enrollment data with student</w:t>
      </w:r>
      <w:r>
        <w:t>–</w:t>
      </w:r>
      <w:r w:rsidRPr="00606B26">
        <w:t xml:space="preserve">teacher links, and student demographic characteristics such as special education status and other factors that help explain test scores (Appendix </w:t>
      </w:r>
      <w:r>
        <w:t>C)</w:t>
      </w:r>
      <w:r w:rsidRPr="00606B26">
        <w:t xml:space="preserve">. The teacher </w:t>
      </w:r>
      <w:r w:rsidR="00E230F5">
        <w:t>personnel</w:t>
      </w:r>
      <w:r w:rsidR="00E230F5" w:rsidRPr="00606B26">
        <w:t xml:space="preserve"> </w:t>
      </w:r>
      <w:r w:rsidRPr="00606B26">
        <w:t>data</w:t>
      </w:r>
      <w:r>
        <w:t xml:space="preserve"> </w:t>
      </w:r>
      <w:r w:rsidRPr="00606B26">
        <w:t xml:space="preserve">include information </w:t>
      </w:r>
      <w:r>
        <w:t xml:space="preserve">on teachers’ school assignments, </w:t>
      </w:r>
      <w:r w:rsidRPr="00606B26">
        <w:t>movement within and out of the district each year</w:t>
      </w:r>
      <w:r>
        <w:t>, background characteristics</w:t>
      </w:r>
      <w:r w:rsidR="00E230F5">
        <w:t>, and teacher performance measures</w:t>
      </w:r>
      <w:r w:rsidRPr="00606B26">
        <w:t xml:space="preserve"> (Appendix </w:t>
      </w:r>
      <w:r>
        <w:t>C</w:t>
      </w:r>
      <w:r w:rsidRPr="00606B26">
        <w:t xml:space="preserve">). Although we prefer to receive the data in electronic format, we will use data in whatever format is most convenient for each district. </w:t>
      </w:r>
      <w:r>
        <w:t>In the first round of data collection conducted in summer 2011, we will collect data for the past three school years (2007-08 through 2009-10). In the next three rounds of data collection, we will gather data for the next three school years (2010-11 through 2012-13). These three data collection rounds will begin in December 2011, 2012, and 2013 respectively.</w:t>
      </w:r>
    </w:p>
    <w:p w:rsidR="00F83F5D" w:rsidRDefault="00F83F5D" w:rsidP="00FC6ED6">
      <w:pPr>
        <w:pStyle w:val="BulletBlueLastSS"/>
        <w:spacing w:line="228" w:lineRule="auto"/>
      </w:pPr>
      <w:r w:rsidRPr="008945BC">
        <w:rPr>
          <w:b/>
        </w:rPr>
        <w:t>District staff interviews</w:t>
      </w:r>
      <w:r w:rsidRPr="008C2007">
        <w:rPr>
          <w:b/>
        </w:rPr>
        <w:t>.</w:t>
      </w:r>
      <w:r w:rsidRPr="00E44753">
        <w:t xml:space="preserve"> We will conduct telephone interviews with district staff who are knowledgeable </w:t>
      </w:r>
      <w:r>
        <w:t>about</w:t>
      </w:r>
      <w:r w:rsidRPr="00E44753">
        <w:t xml:space="preserve"> district policies </w:t>
      </w:r>
      <w:r>
        <w:t xml:space="preserve">designed </w:t>
      </w:r>
      <w:r w:rsidRPr="00E44753">
        <w:t xml:space="preserve">to promote the equitable distribution of teacher quality. </w:t>
      </w:r>
      <w:r>
        <w:t xml:space="preserve">In the interviews, we will </w:t>
      </w:r>
      <w:r w:rsidRPr="00E44753">
        <w:t xml:space="preserve">gather information on district policies related to the recruitment, hiring, transfer, </w:t>
      </w:r>
      <w:r>
        <w:t>evaluation</w:t>
      </w:r>
      <w:r w:rsidRPr="00E44753">
        <w:t xml:space="preserve">, and compensation of teachers, as well as policies that affect school working conditions (Appendix </w:t>
      </w:r>
      <w:r>
        <w:t>D</w:t>
      </w:r>
      <w:r w:rsidRPr="00E44753">
        <w:t xml:space="preserve">). </w:t>
      </w:r>
      <w:r>
        <w:t>Since it is unlikely that one person in the district will have sufficiently detailed information about each area, w</w:t>
      </w:r>
      <w:r w:rsidRPr="00E44753">
        <w:t xml:space="preserve">e will conduct </w:t>
      </w:r>
      <w:r>
        <w:t>interviews with three staff</w:t>
      </w:r>
      <w:r w:rsidRPr="00E44753">
        <w:t xml:space="preserve"> in each district</w:t>
      </w:r>
      <w:r>
        <w:t>.</w:t>
      </w:r>
      <w:r w:rsidRPr="00E44753">
        <w:t xml:space="preserve"> </w:t>
      </w:r>
      <w:r>
        <w:t>We will interview one staff person familiar with staffing (including recruitment, hiring, and transfer), another who is knowledgeable about compensation, and a third who is involved with school turnaround efforts. In the first round of interviews in summer 2011, we will gather data on district policies in the 2008-09 through 2010-11 school years. Interviews in spring 2012 will focus on district policies in the 2011-12 school year and those held in spring 2013 will concentrate on policies in the 2012-13 school year.</w:t>
      </w:r>
    </w:p>
    <w:p w:rsidR="00F83F5D" w:rsidRDefault="00F83F5D" w:rsidP="00E35168">
      <w:pPr>
        <w:pStyle w:val="MarkforTableHeading"/>
      </w:pPr>
      <w:bookmarkStart w:id="41" w:name="_Toc277150896"/>
      <w:r>
        <w:t>Table 1. Data Collection Plan</w:t>
      </w:r>
      <w:bookmarkEnd w:id="41"/>
    </w:p>
    <w:tbl>
      <w:tblPr>
        <w:tblW w:w="5000" w:type="pct"/>
        <w:jc w:val="center"/>
        <w:tblBorders>
          <w:top w:val="single" w:sz="12" w:space="0" w:color="345294"/>
          <w:bottom w:val="single" w:sz="4" w:space="0" w:color="345294"/>
        </w:tblBorders>
        <w:tblLayout w:type="fixed"/>
        <w:tblLook w:val="0000"/>
      </w:tblPr>
      <w:tblGrid>
        <w:gridCol w:w="3528"/>
        <w:gridCol w:w="1079"/>
        <w:gridCol w:w="989"/>
        <w:gridCol w:w="989"/>
        <w:gridCol w:w="989"/>
        <w:gridCol w:w="989"/>
        <w:gridCol w:w="1013"/>
      </w:tblGrid>
      <w:tr w:rsidR="00F83F5D" w:rsidRPr="00E35168" w:rsidTr="00E40EB5">
        <w:trPr>
          <w:trHeight w:val="555"/>
          <w:jc w:val="center"/>
        </w:trPr>
        <w:tc>
          <w:tcPr>
            <w:tcW w:w="3528" w:type="dxa"/>
            <w:tcBorders>
              <w:top w:val="single" w:sz="12" w:space="0" w:color="345294"/>
              <w:bottom w:val="single" w:sz="4" w:space="0" w:color="auto"/>
            </w:tcBorders>
            <w:vAlign w:val="bottom"/>
          </w:tcPr>
          <w:p w:rsidR="00F83F5D" w:rsidRPr="00E35168" w:rsidRDefault="00F83F5D" w:rsidP="00E40EB5">
            <w:pPr>
              <w:pStyle w:val="TableHeaderCenter"/>
              <w:jc w:val="left"/>
            </w:pPr>
            <w:r w:rsidRPr="00E35168">
              <w:t>Activity</w:t>
            </w:r>
          </w:p>
        </w:tc>
        <w:tc>
          <w:tcPr>
            <w:tcW w:w="1079" w:type="dxa"/>
            <w:tcBorders>
              <w:top w:val="single" w:sz="12" w:space="0" w:color="345294"/>
              <w:bottom w:val="single" w:sz="4" w:space="0" w:color="auto"/>
            </w:tcBorders>
            <w:vAlign w:val="center"/>
          </w:tcPr>
          <w:p w:rsidR="00F83F5D" w:rsidRPr="00E35168" w:rsidRDefault="00F83F5D" w:rsidP="002624A3">
            <w:pPr>
              <w:pStyle w:val="TableHeaderCenter"/>
            </w:pPr>
            <w:r w:rsidRPr="00E35168">
              <w:t>Summer 2011</w:t>
            </w:r>
          </w:p>
        </w:tc>
        <w:tc>
          <w:tcPr>
            <w:tcW w:w="989" w:type="dxa"/>
            <w:tcBorders>
              <w:top w:val="single" w:sz="12" w:space="0" w:color="345294"/>
              <w:bottom w:val="single" w:sz="4" w:space="0" w:color="auto"/>
            </w:tcBorders>
            <w:vAlign w:val="center"/>
          </w:tcPr>
          <w:p w:rsidR="00F83F5D" w:rsidRPr="00E35168" w:rsidRDefault="00F83F5D" w:rsidP="002624A3">
            <w:pPr>
              <w:pStyle w:val="TableHeaderCenter"/>
            </w:pPr>
            <w:r w:rsidRPr="00E35168">
              <w:t>Winter 2011</w:t>
            </w:r>
          </w:p>
        </w:tc>
        <w:tc>
          <w:tcPr>
            <w:tcW w:w="989" w:type="dxa"/>
            <w:tcBorders>
              <w:top w:val="single" w:sz="12" w:space="0" w:color="345294"/>
              <w:bottom w:val="single" w:sz="4" w:space="0" w:color="auto"/>
            </w:tcBorders>
            <w:vAlign w:val="center"/>
          </w:tcPr>
          <w:p w:rsidR="00F83F5D" w:rsidRPr="00E35168" w:rsidRDefault="00F83F5D" w:rsidP="002624A3">
            <w:pPr>
              <w:pStyle w:val="TableHeaderCenter"/>
            </w:pPr>
            <w:r w:rsidRPr="00E35168">
              <w:t>Spring 2012</w:t>
            </w:r>
          </w:p>
        </w:tc>
        <w:tc>
          <w:tcPr>
            <w:tcW w:w="989" w:type="dxa"/>
            <w:tcBorders>
              <w:top w:val="single" w:sz="12" w:space="0" w:color="345294"/>
              <w:bottom w:val="single" w:sz="4" w:space="0" w:color="auto"/>
            </w:tcBorders>
            <w:vAlign w:val="center"/>
          </w:tcPr>
          <w:p w:rsidR="00F83F5D" w:rsidRPr="00E35168" w:rsidRDefault="00F83F5D" w:rsidP="002624A3">
            <w:pPr>
              <w:pStyle w:val="TableHeaderCenter"/>
            </w:pPr>
            <w:r w:rsidRPr="00E35168">
              <w:t>Winter 2012</w:t>
            </w:r>
          </w:p>
        </w:tc>
        <w:tc>
          <w:tcPr>
            <w:tcW w:w="989" w:type="dxa"/>
            <w:tcBorders>
              <w:top w:val="single" w:sz="12" w:space="0" w:color="345294"/>
              <w:bottom w:val="single" w:sz="4" w:space="0" w:color="auto"/>
            </w:tcBorders>
            <w:vAlign w:val="center"/>
          </w:tcPr>
          <w:p w:rsidR="00F83F5D" w:rsidRPr="00E35168" w:rsidRDefault="00F83F5D" w:rsidP="002624A3">
            <w:pPr>
              <w:pStyle w:val="TableHeaderCenter"/>
            </w:pPr>
            <w:r w:rsidRPr="00E35168">
              <w:t>Spring 2013</w:t>
            </w:r>
          </w:p>
        </w:tc>
        <w:tc>
          <w:tcPr>
            <w:tcW w:w="1013" w:type="dxa"/>
            <w:tcBorders>
              <w:top w:val="single" w:sz="12" w:space="0" w:color="345294"/>
              <w:bottom w:val="single" w:sz="4" w:space="0" w:color="auto"/>
            </w:tcBorders>
            <w:vAlign w:val="center"/>
          </w:tcPr>
          <w:p w:rsidR="00F83F5D" w:rsidRPr="00E35168" w:rsidRDefault="00F83F5D" w:rsidP="002624A3">
            <w:pPr>
              <w:pStyle w:val="TableHeaderCenter"/>
            </w:pPr>
            <w:r w:rsidRPr="00E35168">
              <w:t>Winter 2013</w:t>
            </w:r>
          </w:p>
        </w:tc>
      </w:tr>
      <w:tr w:rsidR="00F83F5D" w:rsidTr="00E40EB5">
        <w:trPr>
          <w:jc w:val="center"/>
        </w:trPr>
        <w:tc>
          <w:tcPr>
            <w:tcW w:w="3528" w:type="dxa"/>
            <w:tcBorders>
              <w:top w:val="single" w:sz="4" w:space="0" w:color="auto"/>
              <w:bottom w:val="nil"/>
            </w:tcBorders>
          </w:tcPr>
          <w:p w:rsidR="00F83F5D" w:rsidRPr="00E40EB5" w:rsidRDefault="00F83F5D" w:rsidP="00E40EB5">
            <w:pPr>
              <w:pStyle w:val="TableText"/>
              <w:spacing w:before="60" w:after="60"/>
              <w:rPr>
                <w:b/>
              </w:rPr>
            </w:pPr>
            <w:r w:rsidRPr="00E40EB5">
              <w:rPr>
                <w:b/>
              </w:rPr>
              <w:t>Collect student data and teacher personnel data from districts</w:t>
            </w:r>
          </w:p>
        </w:tc>
        <w:tc>
          <w:tcPr>
            <w:tcW w:w="1079" w:type="dxa"/>
            <w:tcBorders>
              <w:top w:val="single" w:sz="4" w:space="0" w:color="auto"/>
              <w:bottom w:val="nil"/>
            </w:tcBorders>
          </w:tcPr>
          <w:p w:rsidR="00F83F5D" w:rsidRDefault="00F83F5D" w:rsidP="00E40EB5">
            <w:pPr>
              <w:pStyle w:val="TableText"/>
              <w:spacing w:before="60" w:after="60"/>
              <w:jc w:val="center"/>
            </w:pPr>
          </w:p>
        </w:tc>
        <w:tc>
          <w:tcPr>
            <w:tcW w:w="989" w:type="dxa"/>
            <w:tcBorders>
              <w:top w:val="single" w:sz="4" w:space="0" w:color="auto"/>
              <w:bottom w:val="nil"/>
            </w:tcBorders>
          </w:tcPr>
          <w:p w:rsidR="00F83F5D" w:rsidRDefault="00F83F5D" w:rsidP="00E40EB5">
            <w:pPr>
              <w:pStyle w:val="TableText"/>
              <w:spacing w:before="60" w:after="60"/>
              <w:jc w:val="center"/>
            </w:pPr>
          </w:p>
        </w:tc>
        <w:tc>
          <w:tcPr>
            <w:tcW w:w="989" w:type="dxa"/>
            <w:tcBorders>
              <w:top w:val="single" w:sz="4" w:space="0" w:color="auto"/>
              <w:bottom w:val="nil"/>
            </w:tcBorders>
          </w:tcPr>
          <w:p w:rsidR="00F83F5D" w:rsidRPr="00CE7AA3" w:rsidRDefault="00F83F5D" w:rsidP="00E40EB5">
            <w:pPr>
              <w:pStyle w:val="TableText"/>
              <w:spacing w:before="60" w:after="60"/>
              <w:jc w:val="center"/>
            </w:pPr>
          </w:p>
        </w:tc>
        <w:tc>
          <w:tcPr>
            <w:tcW w:w="989" w:type="dxa"/>
            <w:tcBorders>
              <w:top w:val="single" w:sz="4" w:space="0" w:color="auto"/>
              <w:bottom w:val="nil"/>
            </w:tcBorders>
          </w:tcPr>
          <w:p w:rsidR="00F83F5D" w:rsidRDefault="00F83F5D" w:rsidP="00E40EB5">
            <w:pPr>
              <w:pStyle w:val="TableText"/>
              <w:spacing w:before="60" w:after="60"/>
              <w:jc w:val="center"/>
            </w:pPr>
          </w:p>
        </w:tc>
        <w:tc>
          <w:tcPr>
            <w:tcW w:w="989" w:type="dxa"/>
            <w:tcBorders>
              <w:top w:val="single" w:sz="4" w:space="0" w:color="auto"/>
              <w:bottom w:val="nil"/>
            </w:tcBorders>
          </w:tcPr>
          <w:p w:rsidR="00F83F5D" w:rsidRPr="00CE7AA3" w:rsidRDefault="00F83F5D" w:rsidP="00E40EB5">
            <w:pPr>
              <w:pStyle w:val="TableText"/>
              <w:spacing w:before="60" w:after="60"/>
              <w:jc w:val="center"/>
            </w:pPr>
          </w:p>
        </w:tc>
        <w:tc>
          <w:tcPr>
            <w:tcW w:w="1013" w:type="dxa"/>
            <w:tcBorders>
              <w:top w:val="single" w:sz="4" w:space="0" w:color="auto"/>
              <w:bottom w:val="nil"/>
            </w:tcBorders>
          </w:tcPr>
          <w:p w:rsidR="00F83F5D" w:rsidRDefault="00F83F5D" w:rsidP="00E40EB5">
            <w:pPr>
              <w:pStyle w:val="TableText"/>
              <w:spacing w:before="60" w:after="60"/>
              <w:jc w:val="center"/>
            </w:pPr>
          </w:p>
        </w:tc>
      </w:tr>
      <w:tr w:rsidR="00F83F5D" w:rsidTr="00E40EB5">
        <w:trPr>
          <w:jc w:val="center"/>
        </w:trPr>
        <w:tc>
          <w:tcPr>
            <w:tcW w:w="3528" w:type="dxa"/>
            <w:tcBorders>
              <w:top w:val="nil"/>
              <w:bottom w:val="nil"/>
            </w:tcBorders>
          </w:tcPr>
          <w:p w:rsidR="00F83F5D" w:rsidRDefault="00F83F5D" w:rsidP="00E40EB5">
            <w:pPr>
              <w:pStyle w:val="TableText"/>
              <w:spacing w:before="60"/>
              <w:ind w:left="331"/>
            </w:pPr>
            <w:r>
              <w:t xml:space="preserve">Data for 2007-08 through </w:t>
            </w:r>
          </w:p>
          <w:p w:rsidR="00F83F5D" w:rsidRDefault="00F83F5D" w:rsidP="00E40EB5">
            <w:pPr>
              <w:pStyle w:val="TableText"/>
              <w:spacing w:after="60"/>
              <w:ind w:left="331"/>
            </w:pPr>
            <w:r>
              <w:t>2009-10 school years</w:t>
            </w:r>
          </w:p>
        </w:tc>
        <w:tc>
          <w:tcPr>
            <w:tcW w:w="1079" w:type="dxa"/>
            <w:tcBorders>
              <w:top w:val="nil"/>
              <w:bottom w:val="nil"/>
            </w:tcBorders>
            <w:vAlign w:val="center"/>
          </w:tcPr>
          <w:p w:rsidR="00F83F5D" w:rsidRDefault="00F83F5D" w:rsidP="00E40EB5">
            <w:pPr>
              <w:pStyle w:val="TableText"/>
              <w:spacing w:before="60" w:after="60"/>
              <w:jc w:val="center"/>
            </w:pPr>
            <w:r>
              <w:t>X</w:t>
            </w:r>
          </w:p>
        </w:tc>
        <w:tc>
          <w:tcPr>
            <w:tcW w:w="98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1013" w:type="dxa"/>
            <w:tcBorders>
              <w:top w:val="nil"/>
              <w:bottom w:val="nil"/>
            </w:tcBorders>
            <w:vAlign w:val="center"/>
          </w:tcPr>
          <w:p w:rsidR="00F83F5D" w:rsidRDefault="00F83F5D" w:rsidP="00E40EB5">
            <w:pPr>
              <w:pStyle w:val="TableText"/>
              <w:spacing w:before="60" w:after="60"/>
              <w:jc w:val="center"/>
            </w:pPr>
          </w:p>
        </w:tc>
      </w:tr>
      <w:tr w:rsidR="00F83F5D" w:rsidTr="00E40EB5">
        <w:trPr>
          <w:jc w:val="center"/>
        </w:trPr>
        <w:tc>
          <w:tcPr>
            <w:tcW w:w="3528" w:type="dxa"/>
            <w:tcBorders>
              <w:top w:val="nil"/>
              <w:bottom w:val="nil"/>
            </w:tcBorders>
          </w:tcPr>
          <w:p w:rsidR="00F83F5D" w:rsidRDefault="00F83F5D" w:rsidP="00E40EB5">
            <w:pPr>
              <w:pStyle w:val="TableText"/>
              <w:spacing w:before="60" w:after="60"/>
              <w:ind w:left="335"/>
            </w:pPr>
            <w:r>
              <w:t>Data for 2010-11 school year</w:t>
            </w:r>
          </w:p>
        </w:tc>
        <w:tc>
          <w:tcPr>
            <w:tcW w:w="107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Default="00F83F5D" w:rsidP="00E40EB5">
            <w:pPr>
              <w:pStyle w:val="TableText"/>
              <w:spacing w:before="60" w:after="60"/>
              <w:jc w:val="center"/>
            </w:pPr>
            <w:r>
              <w:t>X</w:t>
            </w: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1013" w:type="dxa"/>
            <w:tcBorders>
              <w:top w:val="nil"/>
              <w:bottom w:val="nil"/>
            </w:tcBorders>
            <w:vAlign w:val="center"/>
          </w:tcPr>
          <w:p w:rsidR="00F83F5D" w:rsidRDefault="00F83F5D" w:rsidP="00E40EB5">
            <w:pPr>
              <w:pStyle w:val="TableText"/>
              <w:spacing w:before="60" w:after="60"/>
              <w:jc w:val="center"/>
            </w:pPr>
          </w:p>
        </w:tc>
      </w:tr>
      <w:tr w:rsidR="00F83F5D" w:rsidTr="00E40EB5">
        <w:trPr>
          <w:jc w:val="center"/>
        </w:trPr>
        <w:tc>
          <w:tcPr>
            <w:tcW w:w="3528" w:type="dxa"/>
            <w:tcBorders>
              <w:top w:val="nil"/>
              <w:bottom w:val="nil"/>
            </w:tcBorders>
          </w:tcPr>
          <w:p w:rsidR="00F83F5D" w:rsidRDefault="00F83F5D" w:rsidP="00E40EB5">
            <w:pPr>
              <w:pStyle w:val="TableText"/>
              <w:spacing w:before="60" w:after="60"/>
              <w:ind w:left="335"/>
            </w:pPr>
            <w:r>
              <w:t>Data for 2011-12 school year</w:t>
            </w:r>
          </w:p>
        </w:tc>
        <w:tc>
          <w:tcPr>
            <w:tcW w:w="107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Default="00F83F5D" w:rsidP="00E40EB5">
            <w:pPr>
              <w:pStyle w:val="TableText"/>
              <w:spacing w:before="60" w:after="60"/>
              <w:jc w:val="center"/>
            </w:pPr>
            <w:r>
              <w:t>X</w:t>
            </w: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1013" w:type="dxa"/>
            <w:tcBorders>
              <w:top w:val="nil"/>
              <w:bottom w:val="nil"/>
            </w:tcBorders>
            <w:vAlign w:val="center"/>
          </w:tcPr>
          <w:p w:rsidR="00F83F5D" w:rsidRDefault="00F83F5D" w:rsidP="00E40EB5">
            <w:pPr>
              <w:pStyle w:val="TableText"/>
              <w:spacing w:before="60" w:after="60"/>
              <w:jc w:val="center"/>
            </w:pPr>
          </w:p>
        </w:tc>
      </w:tr>
      <w:tr w:rsidR="00F83F5D" w:rsidTr="00E40EB5">
        <w:trPr>
          <w:jc w:val="center"/>
        </w:trPr>
        <w:tc>
          <w:tcPr>
            <w:tcW w:w="3528" w:type="dxa"/>
            <w:tcBorders>
              <w:top w:val="nil"/>
              <w:bottom w:val="nil"/>
            </w:tcBorders>
          </w:tcPr>
          <w:p w:rsidR="00F83F5D" w:rsidRDefault="00F83F5D" w:rsidP="00E40EB5">
            <w:pPr>
              <w:pStyle w:val="TableText"/>
              <w:spacing w:before="60" w:after="60"/>
              <w:ind w:left="335"/>
            </w:pPr>
            <w:r>
              <w:t>Data for 2012-13 school year</w:t>
            </w:r>
          </w:p>
        </w:tc>
        <w:tc>
          <w:tcPr>
            <w:tcW w:w="107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1013" w:type="dxa"/>
            <w:tcBorders>
              <w:top w:val="nil"/>
              <w:bottom w:val="nil"/>
            </w:tcBorders>
            <w:vAlign w:val="center"/>
          </w:tcPr>
          <w:p w:rsidR="00F83F5D" w:rsidRDefault="00F83F5D" w:rsidP="00E40EB5">
            <w:pPr>
              <w:pStyle w:val="TableText"/>
              <w:spacing w:before="60" w:after="60"/>
              <w:jc w:val="center"/>
            </w:pPr>
            <w:r>
              <w:t>X</w:t>
            </w:r>
          </w:p>
        </w:tc>
      </w:tr>
      <w:tr w:rsidR="00F83F5D" w:rsidRPr="00CE7AA3" w:rsidTr="00E40EB5">
        <w:trPr>
          <w:jc w:val="center"/>
        </w:trPr>
        <w:tc>
          <w:tcPr>
            <w:tcW w:w="3528" w:type="dxa"/>
            <w:tcBorders>
              <w:top w:val="nil"/>
              <w:bottom w:val="nil"/>
            </w:tcBorders>
            <w:vAlign w:val="center"/>
          </w:tcPr>
          <w:p w:rsidR="00F83F5D" w:rsidRPr="00E40EB5" w:rsidRDefault="00F83F5D" w:rsidP="00E40EB5">
            <w:pPr>
              <w:pStyle w:val="TableText"/>
              <w:spacing w:before="60" w:after="60"/>
              <w:rPr>
                <w:b/>
              </w:rPr>
            </w:pPr>
            <w:r w:rsidRPr="00E40EB5">
              <w:rPr>
                <w:b/>
              </w:rPr>
              <w:t>Conduct interviews with district staff</w:t>
            </w:r>
          </w:p>
        </w:tc>
        <w:tc>
          <w:tcPr>
            <w:tcW w:w="107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1013" w:type="dxa"/>
            <w:tcBorders>
              <w:top w:val="nil"/>
              <w:bottom w:val="nil"/>
            </w:tcBorders>
            <w:vAlign w:val="center"/>
          </w:tcPr>
          <w:p w:rsidR="00F83F5D" w:rsidRPr="00CE7AA3" w:rsidRDefault="00F83F5D" w:rsidP="00E40EB5">
            <w:pPr>
              <w:pStyle w:val="TableText"/>
              <w:spacing w:before="60" w:after="60"/>
              <w:jc w:val="center"/>
            </w:pPr>
          </w:p>
        </w:tc>
      </w:tr>
      <w:tr w:rsidR="00F83F5D" w:rsidRPr="00CE7AA3" w:rsidTr="00E40EB5">
        <w:trPr>
          <w:jc w:val="center"/>
        </w:trPr>
        <w:tc>
          <w:tcPr>
            <w:tcW w:w="3528" w:type="dxa"/>
            <w:tcBorders>
              <w:top w:val="nil"/>
              <w:bottom w:val="nil"/>
            </w:tcBorders>
            <w:vAlign w:val="center"/>
          </w:tcPr>
          <w:p w:rsidR="00F83F5D" w:rsidRDefault="00F83F5D" w:rsidP="00E40EB5">
            <w:pPr>
              <w:pStyle w:val="TableText"/>
              <w:spacing w:before="60" w:after="60"/>
              <w:ind w:left="335"/>
            </w:pPr>
            <w:r>
              <w:t>Data on policies for 2008-09 through 2010-11 school years</w:t>
            </w:r>
          </w:p>
        </w:tc>
        <w:tc>
          <w:tcPr>
            <w:tcW w:w="1079" w:type="dxa"/>
            <w:tcBorders>
              <w:top w:val="nil"/>
              <w:bottom w:val="nil"/>
            </w:tcBorders>
            <w:vAlign w:val="center"/>
          </w:tcPr>
          <w:p w:rsidR="00F83F5D" w:rsidRPr="00CE7AA3" w:rsidRDefault="00F83F5D" w:rsidP="00E40EB5">
            <w:pPr>
              <w:pStyle w:val="TableText"/>
              <w:spacing w:before="60" w:after="60"/>
              <w:jc w:val="center"/>
            </w:pPr>
            <w:r>
              <w:t>X</w:t>
            </w: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1013" w:type="dxa"/>
            <w:tcBorders>
              <w:top w:val="nil"/>
              <w:bottom w:val="nil"/>
            </w:tcBorders>
            <w:vAlign w:val="center"/>
          </w:tcPr>
          <w:p w:rsidR="00F83F5D" w:rsidRPr="00CE7AA3" w:rsidRDefault="00F83F5D" w:rsidP="00E40EB5">
            <w:pPr>
              <w:pStyle w:val="TableText"/>
              <w:spacing w:before="60" w:after="60"/>
              <w:jc w:val="center"/>
            </w:pPr>
          </w:p>
        </w:tc>
      </w:tr>
      <w:tr w:rsidR="00F83F5D" w:rsidRPr="00CE7AA3" w:rsidTr="00E40EB5">
        <w:trPr>
          <w:jc w:val="center"/>
        </w:trPr>
        <w:tc>
          <w:tcPr>
            <w:tcW w:w="3528" w:type="dxa"/>
            <w:tcBorders>
              <w:top w:val="nil"/>
              <w:bottom w:val="nil"/>
            </w:tcBorders>
            <w:vAlign w:val="center"/>
          </w:tcPr>
          <w:p w:rsidR="00F83F5D" w:rsidRDefault="00F83F5D" w:rsidP="00E40EB5">
            <w:pPr>
              <w:pStyle w:val="TableText"/>
              <w:spacing w:before="60" w:after="60"/>
              <w:ind w:left="335"/>
            </w:pPr>
            <w:r>
              <w:t>Data on policies for 2011-12 school year</w:t>
            </w:r>
          </w:p>
        </w:tc>
        <w:tc>
          <w:tcPr>
            <w:tcW w:w="107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r>
              <w:t>X</w:t>
            </w: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989" w:type="dxa"/>
            <w:tcBorders>
              <w:top w:val="nil"/>
              <w:bottom w:val="nil"/>
            </w:tcBorders>
            <w:vAlign w:val="center"/>
          </w:tcPr>
          <w:p w:rsidR="00F83F5D" w:rsidRPr="00CE7AA3" w:rsidRDefault="00F83F5D" w:rsidP="00E40EB5">
            <w:pPr>
              <w:pStyle w:val="TableText"/>
              <w:spacing w:before="60" w:after="60"/>
              <w:jc w:val="center"/>
            </w:pPr>
          </w:p>
        </w:tc>
        <w:tc>
          <w:tcPr>
            <w:tcW w:w="1013" w:type="dxa"/>
            <w:tcBorders>
              <w:top w:val="nil"/>
              <w:bottom w:val="nil"/>
            </w:tcBorders>
            <w:vAlign w:val="center"/>
          </w:tcPr>
          <w:p w:rsidR="00F83F5D" w:rsidRPr="00CE7AA3" w:rsidRDefault="00F83F5D" w:rsidP="00E40EB5">
            <w:pPr>
              <w:pStyle w:val="TableText"/>
              <w:spacing w:before="60" w:after="60"/>
              <w:jc w:val="center"/>
            </w:pPr>
          </w:p>
        </w:tc>
      </w:tr>
      <w:tr w:rsidR="00F83F5D" w:rsidRPr="00CE7AA3" w:rsidTr="00E40EB5">
        <w:trPr>
          <w:jc w:val="center"/>
        </w:trPr>
        <w:tc>
          <w:tcPr>
            <w:tcW w:w="3528" w:type="dxa"/>
            <w:tcBorders>
              <w:top w:val="nil"/>
              <w:bottom w:val="single" w:sz="4" w:space="0" w:color="auto"/>
            </w:tcBorders>
            <w:vAlign w:val="center"/>
          </w:tcPr>
          <w:p w:rsidR="00F83F5D" w:rsidRDefault="00F83F5D" w:rsidP="00E40EB5">
            <w:pPr>
              <w:pStyle w:val="TableText"/>
              <w:spacing w:before="60" w:after="60"/>
              <w:ind w:left="335"/>
            </w:pPr>
            <w:r>
              <w:t>Data on policies for 2012-13 school year</w:t>
            </w:r>
          </w:p>
        </w:tc>
        <w:tc>
          <w:tcPr>
            <w:tcW w:w="1079" w:type="dxa"/>
            <w:tcBorders>
              <w:top w:val="nil"/>
              <w:bottom w:val="single" w:sz="4" w:space="0" w:color="auto"/>
            </w:tcBorders>
            <w:vAlign w:val="center"/>
          </w:tcPr>
          <w:p w:rsidR="00F83F5D" w:rsidRPr="00CE7AA3" w:rsidRDefault="00F83F5D" w:rsidP="00E40EB5">
            <w:pPr>
              <w:pStyle w:val="TableText"/>
              <w:spacing w:before="60" w:after="60"/>
              <w:jc w:val="center"/>
            </w:pPr>
          </w:p>
        </w:tc>
        <w:tc>
          <w:tcPr>
            <w:tcW w:w="989" w:type="dxa"/>
            <w:tcBorders>
              <w:top w:val="nil"/>
              <w:bottom w:val="single" w:sz="4" w:space="0" w:color="auto"/>
            </w:tcBorders>
            <w:vAlign w:val="center"/>
          </w:tcPr>
          <w:p w:rsidR="00F83F5D" w:rsidRPr="00CE7AA3" w:rsidRDefault="00F83F5D" w:rsidP="00E40EB5">
            <w:pPr>
              <w:pStyle w:val="TableText"/>
              <w:spacing w:before="60" w:after="60"/>
              <w:jc w:val="center"/>
            </w:pPr>
          </w:p>
        </w:tc>
        <w:tc>
          <w:tcPr>
            <w:tcW w:w="989" w:type="dxa"/>
            <w:tcBorders>
              <w:top w:val="nil"/>
              <w:bottom w:val="single" w:sz="4" w:space="0" w:color="auto"/>
            </w:tcBorders>
            <w:vAlign w:val="center"/>
          </w:tcPr>
          <w:p w:rsidR="00F83F5D" w:rsidRPr="00CE7AA3" w:rsidRDefault="00F83F5D" w:rsidP="00E40EB5">
            <w:pPr>
              <w:pStyle w:val="TableText"/>
              <w:spacing w:before="60" w:after="60"/>
              <w:jc w:val="center"/>
            </w:pPr>
          </w:p>
        </w:tc>
        <w:tc>
          <w:tcPr>
            <w:tcW w:w="989" w:type="dxa"/>
            <w:tcBorders>
              <w:top w:val="nil"/>
              <w:bottom w:val="single" w:sz="4" w:space="0" w:color="auto"/>
            </w:tcBorders>
            <w:vAlign w:val="center"/>
          </w:tcPr>
          <w:p w:rsidR="00F83F5D" w:rsidRPr="00CE7AA3" w:rsidRDefault="00F83F5D" w:rsidP="00E40EB5">
            <w:pPr>
              <w:pStyle w:val="TableText"/>
              <w:spacing w:before="60" w:after="60"/>
              <w:jc w:val="center"/>
            </w:pPr>
          </w:p>
        </w:tc>
        <w:tc>
          <w:tcPr>
            <w:tcW w:w="989" w:type="dxa"/>
            <w:tcBorders>
              <w:top w:val="nil"/>
              <w:bottom w:val="single" w:sz="4" w:space="0" w:color="auto"/>
            </w:tcBorders>
            <w:vAlign w:val="center"/>
          </w:tcPr>
          <w:p w:rsidR="00F83F5D" w:rsidRPr="00CE7AA3" w:rsidRDefault="00F83F5D" w:rsidP="00E40EB5">
            <w:pPr>
              <w:pStyle w:val="TableText"/>
              <w:spacing w:before="60" w:after="60"/>
              <w:jc w:val="center"/>
            </w:pPr>
            <w:r>
              <w:t>X</w:t>
            </w:r>
          </w:p>
        </w:tc>
        <w:tc>
          <w:tcPr>
            <w:tcW w:w="1013" w:type="dxa"/>
            <w:tcBorders>
              <w:top w:val="nil"/>
              <w:bottom w:val="single" w:sz="4" w:space="0" w:color="auto"/>
            </w:tcBorders>
            <w:vAlign w:val="center"/>
          </w:tcPr>
          <w:p w:rsidR="00F83F5D" w:rsidRPr="00CE7AA3" w:rsidRDefault="00F83F5D" w:rsidP="00E40EB5">
            <w:pPr>
              <w:pStyle w:val="TableText"/>
              <w:spacing w:before="60" w:after="60"/>
              <w:jc w:val="center"/>
            </w:pPr>
          </w:p>
        </w:tc>
      </w:tr>
    </w:tbl>
    <w:p w:rsidR="00BC7B5B" w:rsidRDefault="00BC7B5B" w:rsidP="000F5701">
      <w:pPr>
        <w:pStyle w:val="Heading2Blue"/>
      </w:pPr>
      <w:bookmarkStart w:id="42" w:name="_Toc280089713"/>
      <w:bookmarkStart w:id="43" w:name="_Toc277338269"/>
    </w:p>
    <w:p w:rsidR="00F83F5D" w:rsidRDefault="00F83F5D" w:rsidP="000F5701">
      <w:pPr>
        <w:pStyle w:val="Heading2Blue"/>
      </w:pPr>
      <w:r>
        <w:t>2.</w:t>
      </w:r>
      <w:r>
        <w:tab/>
        <w:t>Purposes and Uses of Data</w:t>
      </w:r>
      <w:bookmarkEnd w:id="42"/>
      <w:bookmarkEnd w:id="43"/>
    </w:p>
    <w:p w:rsidR="00F83F5D" w:rsidRDefault="00F83F5D" w:rsidP="002E14BA">
      <w:pPr>
        <w:tabs>
          <w:tab w:val="left" w:pos="540"/>
        </w:tabs>
        <w:spacing w:line="240" w:lineRule="auto"/>
      </w:pPr>
      <w:r w:rsidRPr="00775D16">
        <w:t xml:space="preserve">Mathematica and the Urban Institute will collect and analyze the data for the </w:t>
      </w:r>
      <w:r w:rsidR="00897DBF">
        <w:t>S</w:t>
      </w:r>
      <w:r w:rsidRPr="00775D16">
        <w:t>tudy</w:t>
      </w:r>
      <w:r w:rsidR="00897DBF">
        <w:t xml:space="preserve"> of the Distribution of Teacher Effectiveness</w:t>
      </w:r>
      <w:r w:rsidRPr="00775D16">
        <w:t xml:space="preserve"> under contract number ED-IES-10-C-0065</w:t>
      </w:r>
      <w:r>
        <w:t xml:space="preserve">. </w:t>
      </w:r>
    </w:p>
    <w:p w:rsidR="00F83F5D" w:rsidRDefault="00F83F5D" w:rsidP="001728FC">
      <w:pPr>
        <w:spacing w:line="240" w:lineRule="auto"/>
      </w:pPr>
    </w:p>
    <w:p w:rsidR="00F83F5D" w:rsidRDefault="00F83F5D" w:rsidP="001728FC">
      <w:pPr>
        <w:spacing w:line="240" w:lineRule="auto"/>
      </w:pPr>
      <w:r>
        <w:t>The primary purpose of the study is to document the distribution of teacher effectiveness and changes in the distribution over time, and to analyze the role of district policies in distributional outcomes. This information will provide new evidence on the distribution of teacher effectiveness and inform the efforts of states and districts to track the distribution of teacher effectiveness and promote an equitable distribution. Through an analysis of data across school districts, the study will offer insights into the relationship between equitable distribution policies and the distribution of teacher effectiveness. The study will also provide information on how teacher mobility patterns affect the distribution of teacher effectiveness.</w:t>
      </w:r>
    </w:p>
    <w:p w:rsidR="00F83F5D" w:rsidRDefault="00F83F5D" w:rsidP="001728FC">
      <w:pPr>
        <w:spacing w:line="240" w:lineRule="auto"/>
      </w:pPr>
    </w:p>
    <w:p w:rsidR="00F83F5D" w:rsidRDefault="00F83F5D" w:rsidP="007D7238">
      <w:pPr>
        <w:spacing w:line="240" w:lineRule="auto"/>
      </w:pPr>
      <w:r w:rsidRPr="002D454B">
        <w:t xml:space="preserve">The data to be collected will be obtained from </w:t>
      </w:r>
      <w:r>
        <w:t>student</w:t>
      </w:r>
      <w:r w:rsidRPr="002D454B">
        <w:t xml:space="preserve"> records, </w:t>
      </w:r>
      <w:r>
        <w:t>teacher personnel</w:t>
      </w:r>
      <w:r w:rsidRPr="002D454B">
        <w:t xml:space="preserve"> data, </w:t>
      </w:r>
      <w:r>
        <w:t>and district staff interviews:</w:t>
      </w:r>
    </w:p>
    <w:p w:rsidR="00F83F5D" w:rsidRDefault="00F83F5D" w:rsidP="007D7238">
      <w:pPr>
        <w:spacing w:line="240" w:lineRule="auto"/>
      </w:pPr>
    </w:p>
    <w:p w:rsidR="00F83F5D" w:rsidRPr="00E35168" w:rsidRDefault="00F83F5D" w:rsidP="00E35168">
      <w:pPr>
        <w:pStyle w:val="BulletBlue"/>
      </w:pPr>
      <w:r w:rsidRPr="00E35168">
        <w:rPr>
          <w:b/>
        </w:rPr>
        <w:t>Student records data.</w:t>
      </w:r>
      <w:r w:rsidRPr="00E35168">
        <w:t xml:space="preserve"> We will use existing state and district test score data, enrollment data with student–teacher links, and student background data to conduct a value-added analysis of teachers in the study districts. The teacher effect estimates from the value- added analysis will be used to measure the distribution of teacher effectiveness in each district and changes in the distribution over time.</w:t>
      </w:r>
    </w:p>
    <w:p w:rsidR="00F83F5D" w:rsidRPr="00E35168" w:rsidRDefault="00F83F5D" w:rsidP="00E35168">
      <w:pPr>
        <w:pStyle w:val="BulletBlue"/>
      </w:pPr>
      <w:r w:rsidRPr="00E35168">
        <w:rPr>
          <w:b/>
        </w:rPr>
        <w:t>Teacher personnel data.</w:t>
      </w:r>
      <w:r w:rsidRPr="00E35168">
        <w:t xml:space="preserve"> These data will be used to analyze the role of teacher mobility and attrition for the distribution of teacher effectiveness. We will also use the data to explore the association between teachers’ value-added scores and their decisions to transfer schools or exit the district.</w:t>
      </w:r>
    </w:p>
    <w:p w:rsidR="00F83F5D" w:rsidRDefault="00F83F5D" w:rsidP="00E35168">
      <w:pPr>
        <w:pStyle w:val="BulletBlueLastSS"/>
      </w:pPr>
      <w:r w:rsidRPr="00E35168">
        <w:rPr>
          <w:b/>
        </w:rPr>
        <w:t>District staff interviews.</w:t>
      </w:r>
      <w:r w:rsidRPr="00E35168">
        <w:t xml:space="preserve"> We will use the interview data to examine the relationship between district policies and changes in the distribution of teacher effectiveness over time. These data will also be used to document the types of policies that districts use to promote an equitable distribution of teachers</w:t>
      </w:r>
      <w:r>
        <w:t>.</w:t>
      </w:r>
    </w:p>
    <w:p w:rsidR="00F83F5D" w:rsidRPr="007A489F" w:rsidRDefault="00F83F5D" w:rsidP="00DB6186">
      <w:pPr>
        <w:pStyle w:val="BodyTextIndent2"/>
      </w:pPr>
    </w:p>
    <w:p w:rsidR="00F83F5D" w:rsidRPr="00D65688" w:rsidRDefault="00F83F5D" w:rsidP="000F5701">
      <w:pPr>
        <w:pStyle w:val="Heading2Blue"/>
      </w:pPr>
      <w:bookmarkStart w:id="44" w:name="_Toc256354803"/>
      <w:bookmarkStart w:id="45" w:name="_Toc256354832"/>
      <w:bookmarkStart w:id="46" w:name="_Toc256361057"/>
      <w:bookmarkStart w:id="47" w:name="_Toc260295680"/>
      <w:bookmarkStart w:id="48" w:name="_Toc280089714"/>
      <w:bookmarkStart w:id="49" w:name="_Toc277338270"/>
      <w:r>
        <w:t>3</w:t>
      </w:r>
      <w:r w:rsidRPr="00D65688">
        <w:t>.</w:t>
      </w:r>
      <w:r w:rsidRPr="00D65688">
        <w:tab/>
      </w:r>
      <w:r w:rsidRPr="00647672">
        <w:t>Use</w:t>
      </w:r>
      <w:r w:rsidRPr="00D65688">
        <w:t xml:space="preserve"> of Technology to Reduce Burden</w:t>
      </w:r>
      <w:bookmarkEnd w:id="44"/>
      <w:bookmarkEnd w:id="45"/>
      <w:bookmarkEnd w:id="46"/>
      <w:bookmarkEnd w:id="47"/>
      <w:bookmarkEnd w:id="48"/>
      <w:bookmarkEnd w:id="49"/>
    </w:p>
    <w:p w:rsidR="00F83F5D" w:rsidRDefault="00F83F5D" w:rsidP="00DB6186">
      <w:pPr>
        <w:pStyle w:val="ParagraphLAST"/>
        <w:spacing w:line="240" w:lineRule="auto"/>
      </w:pPr>
      <w:r>
        <w:t xml:space="preserve">We will examine district websites and the Data Quality Campaign website to determine the nature of data available at the district and state levels. We will also request website links from districts to collect additional details about the policies and strategies not uncovered during preliminary website searches. </w:t>
      </w:r>
      <w:r w:rsidRPr="00A6176B">
        <w:t xml:space="preserve">Where feasible, </w:t>
      </w:r>
      <w:r>
        <w:t xml:space="preserve">we will gather </w:t>
      </w:r>
      <w:r w:rsidRPr="00A6176B">
        <w:t xml:space="preserve">information from existing </w:t>
      </w:r>
      <w:r>
        <w:t>databases</w:t>
      </w:r>
      <w:r w:rsidRPr="00A6176B">
        <w:t>,</w:t>
      </w:r>
      <w:r>
        <w:t xml:space="preserve"> including</w:t>
      </w:r>
      <w:r w:rsidRPr="00A6176B">
        <w:t xml:space="preserve"> </w:t>
      </w:r>
      <w:r>
        <w:t>student achievement</w:t>
      </w:r>
      <w:r w:rsidRPr="00A6176B">
        <w:t xml:space="preserve"> test</w:t>
      </w:r>
      <w:r>
        <w:t xml:space="preserve"> scores and </w:t>
      </w:r>
      <w:r w:rsidRPr="00A6176B">
        <w:t>demographic information</w:t>
      </w:r>
      <w:r>
        <w:t xml:space="preserve">. </w:t>
      </w:r>
      <w:r w:rsidRPr="00A6176B">
        <w:t>This information will be obtained in the form of computer files provided by school district</w:t>
      </w:r>
      <w:r>
        <w:t>s</w:t>
      </w:r>
      <w:r w:rsidRPr="00A6176B">
        <w:t>.</w:t>
      </w:r>
      <w:r>
        <w:t xml:space="preserve"> We will provide clear instructions on the data requested and methods of transmitting the data securely. </w:t>
      </w:r>
      <w:r w:rsidRPr="00632571">
        <w:t xml:space="preserve">If it is too burdensome or not possible for a </w:t>
      </w:r>
      <w:r>
        <w:t>district</w:t>
      </w:r>
      <w:r w:rsidRPr="00632571">
        <w:t xml:space="preserve"> to provide this information </w:t>
      </w:r>
      <w:r>
        <w:t>electronically</w:t>
      </w:r>
      <w:r w:rsidRPr="00632571">
        <w:t xml:space="preserve">, </w:t>
      </w:r>
      <w:r>
        <w:t>we will ask the district</w:t>
      </w:r>
      <w:r w:rsidRPr="00632571">
        <w:t xml:space="preserve"> to provide</w:t>
      </w:r>
      <w:r>
        <w:t xml:space="preserve"> hard</w:t>
      </w:r>
      <w:r w:rsidRPr="00632571">
        <w:t xml:space="preserve"> copies of the relevant information, which will be coded by the study team.</w:t>
      </w:r>
      <w:r>
        <w:t xml:space="preserve"> A program analyst will assist district staff in transferring data, as needed. </w:t>
      </w:r>
    </w:p>
    <w:p w:rsidR="00F83F5D" w:rsidRDefault="00F83F5D" w:rsidP="00DB6186">
      <w:pPr>
        <w:pStyle w:val="ParagraphLAST"/>
        <w:spacing w:line="240" w:lineRule="auto"/>
      </w:pPr>
      <w:r w:rsidRPr="007D0429">
        <w:t>To track progress of data collection</w:t>
      </w:r>
      <w:r>
        <w:t xml:space="preserve"> and minimize multiple contacts with districts</w:t>
      </w:r>
      <w:r w:rsidRPr="007D0429">
        <w:t xml:space="preserve">, we will develop custom SharePoint lists and summary views to monitor </w:t>
      </w:r>
      <w:r>
        <w:t xml:space="preserve">both </w:t>
      </w:r>
      <w:r w:rsidRPr="007D0429">
        <w:t>completion of the semi-</w:t>
      </w:r>
      <w:r w:rsidRPr="007D0429">
        <w:lastRenderedPageBreak/>
        <w:t xml:space="preserve">structured interviews and acquisition and processing of student and </w:t>
      </w:r>
      <w:r>
        <w:t>teacher</w:t>
      </w:r>
      <w:r w:rsidRPr="007D0429">
        <w:t xml:space="preserve"> records from the districts</w:t>
      </w:r>
      <w:r>
        <w:t xml:space="preserve">. </w:t>
      </w:r>
    </w:p>
    <w:p w:rsidR="00F83F5D" w:rsidRDefault="00F83F5D" w:rsidP="00F65DEA">
      <w:pPr>
        <w:spacing w:after="240" w:line="240" w:lineRule="auto"/>
      </w:pPr>
      <w:r>
        <w:t>Data from the semi-structured interviews cannot, however, be collected through such methods as web surveys or computer-assisted telephone interviews. The proposed telephone interviews will be necessary to allow in-depth, conversational exchanges with respondents, and to obtain answers to both open-ended and detailed questions. Prior to conducting the interviews, we will obtain information on district policies from the Teacher Rules, Roles, and Rights database developed by the National Council on Teacher Quality.</w:t>
      </w:r>
    </w:p>
    <w:p w:rsidR="00F83F5D" w:rsidRPr="00D65688" w:rsidRDefault="00F83F5D" w:rsidP="000F5701">
      <w:pPr>
        <w:pStyle w:val="Heading2Blue"/>
      </w:pPr>
      <w:bookmarkStart w:id="50" w:name="_Toc256354804"/>
      <w:bookmarkStart w:id="51" w:name="_Toc256354833"/>
      <w:bookmarkStart w:id="52" w:name="_Toc256361058"/>
      <w:bookmarkStart w:id="53" w:name="_Toc260295681"/>
      <w:bookmarkStart w:id="54" w:name="_Toc280089715"/>
      <w:bookmarkStart w:id="55" w:name="_Toc277338271"/>
      <w:r>
        <w:t>4</w:t>
      </w:r>
      <w:r w:rsidRPr="00D65688">
        <w:t>.</w:t>
      </w:r>
      <w:r w:rsidRPr="00D65688">
        <w:tab/>
      </w:r>
      <w:r w:rsidRPr="004A43CC">
        <w:t>Efforts</w:t>
      </w:r>
      <w:r w:rsidRPr="0078541F">
        <w:t xml:space="preserve"> to Avoid Duplication</w:t>
      </w:r>
      <w:bookmarkEnd w:id="50"/>
      <w:bookmarkEnd w:id="51"/>
      <w:bookmarkEnd w:id="52"/>
      <w:bookmarkEnd w:id="53"/>
      <w:bookmarkEnd w:id="54"/>
      <w:bookmarkEnd w:id="55"/>
    </w:p>
    <w:p w:rsidR="00F83F5D" w:rsidRDefault="00F83F5D" w:rsidP="00751D69">
      <w:pPr>
        <w:spacing w:line="240" w:lineRule="auto"/>
      </w:pPr>
      <w:r>
        <w:t>N</w:t>
      </w:r>
      <w:r w:rsidRPr="008B3E85">
        <w:t xml:space="preserve">o national study has been conducted or is </w:t>
      </w:r>
      <w:r>
        <w:t>under way</w:t>
      </w:r>
      <w:r w:rsidRPr="008B3E85">
        <w:t xml:space="preserve"> to address the research questions </w:t>
      </w:r>
      <w:r>
        <w:t xml:space="preserve">presented in </w:t>
      </w:r>
      <w:r w:rsidRPr="008B3E85">
        <w:t xml:space="preserve">this study. </w:t>
      </w:r>
      <w:r>
        <w:t xml:space="preserve">The </w:t>
      </w:r>
      <w:r w:rsidRPr="00BF141B">
        <w:t>Policy and Program Studies Service</w:t>
      </w:r>
      <w:r>
        <w:t xml:space="preserve"> (PPSS)</w:t>
      </w:r>
      <w:r w:rsidRPr="00BF141B">
        <w:t xml:space="preserve"> of ED </w:t>
      </w:r>
      <w:r>
        <w:t xml:space="preserve">is conducting a study of state and local teacher quality policies. The PPSS study will focus on gathering information about the design, development, and use of teacher quality measures. </w:t>
      </w:r>
      <w:r w:rsidR="00610224" w:rsidRPr="00610224">
        <w:t xml:space="preserve">PPSS will not </w:t>
      </w:r>
      <w:r w:rsidR="00610224">
        <w:t>conduct</w:t>
      </w:r>
      <w:r w:rsidR="00610224" w:rsidRPr="00610224">
        <w:t xml:space="preserve"> interviews or surveys in the districts participating in </w:t>
      </w:r>
      <w:r w:rsidR="00610224">
        <w:t xml:space="preserve">the DTE </w:t>
      </w:r>
      <w:r w:rsidR="00610224" w:rsidRPr="00610224">
        <w:t>study in order to reduce the burden on these districts</w:t>
      </w:r>
      <w:r>
        <w:t>. IES and PPSS will work together to ensure that the two studies do not duplicate efforts. Four studies have examined the distribution of teacher effectiveness, two of which researched the prevalence of high value-added teachers in Tennessee (</w:t>
      </w:r>
      <w:r w:rsidRPr="00497367">
        <w:t>Sanders and Rivers 1996</w:t>
      </w:r>
      <w:r>
        <w:t>; Tennessee Department of Education 2007). The third study examined the distribution in Dallas (</w:t>
      </w:r>
      <w:r w:rsidRPr="00497367">
        <w:t>Jordan et al. 1997</w:t>
      </w:r>
      <w:r>
        <w:t>). These studies found that schools with a high proportion of poverty and minority students had a lower percentage of highest-performing teachers and a greater percentage of lowest-performing teachers as measured by value-added.</w:t>
      </w:r>
      <w:r w:rsidRPr="00CA0462">
        <w:t xml:space="preserve"> </w:t>
      </w:r>
      <w:r>
        <w:t xml:space="preserve">A forthcoming study will examine the distribution of teacher effectiveness in ten districts, but will be limited to one point in time (Glazerman and Max, forthcoming). </w:t>
      </w:r>
      <w:r w:rsidRPr="008B3E85">
        <w:t>To date</w:t>
      </w:r>
      <w:r>
        <w:t>,</w:t>
      </w:r>
      <w:r w:rsidRPr="008B3E85">
        <w:t xml:space="preserve"> this type of analysis has not been conducted </w:t>
      </w:r>
      <w:r>
        <w:t>on</w:t>
      </w:r>
      <w:r w:rsidRPr="008B3E85">
        <w:t xml:space="preserve"> a larger or national scale, and there is no alternative source for the information to be collected.</w:t>
      </w:r>
      <w:r>
        <w:t xml:space="preserve"> </w:t>
      </w:r>
    </w:p>
    <w:p w:rsidR="00F83F5D" w:rsidRDefault="00F83F5D" w:rsidP="00751D69">
      <w:pPr>
        <w:spacing w:line="240" w:lineRule="auto"/>
      </w:pPr>
    </w:p>
    <w:p w:rsidR="00F83F5D" w:rsidRPr="00D65688" w:rsidRDefault="00F83F5D" w:rsidP="000F5701">
      <w:pPr>
        <w:pStyle w:val="Heading2Blue"/>
      </w:pPr>
      <w:bookmarkStart w:id="56" w:name="_Toc256354805"/>
      <w:bookmarkStart w:id="57" w:name="_Toc256354834"/>
      <w:bookmarkStart w:id="58" w:name="_Toc256361059"/>
      <w:bookmarkStart w:id="59" w:name="_Toc260295682"/>
      <w:bookmarkStart w:id="60" w:name="_Toc280089716"/>
      <w:bookmarkStart w:id="61" w:name="_Toc277338272"/>
      <w:r>
        <w:t>5</w:t>
      </w:r>
      <w:r w:rsidRPr="00D65688">
        <w:t>.</w:t>
      </w:r>
      <w:r w:rsidRPr="00D65688">
        <w:tab/>
      </w:r>
      <w:r w:rsidRPr="0043634E">
        <w:t>Methods</w:t>
      </w:r>
      <w:r w:rsidRPr="00D65688">
        <w:t xml:space="preserve"> to Minimize Burden on Small Entities</w:t>
      </w:r>
      <w:bookmarkEnd w:id="56"/>
      <w:bookmarkEnd w:id="57"/>
      <w:bookmarkEnd w:id="58"/>
      <w:bookmarkEnd w:id="59"/>
      <w:bookmarkEnd w:id="60"/>
      <w:bookmarkEnd w:id="61"/>
    </w:p>
    <w:p w:rsidR="00F83F5D" w:rsidRDefault="00F83F5D" w:rsidP="006B2611">
      <w:pPr>
        <w:spacing w:after="240" w:line="240" w:lineRule="auto"/>
      </w:pPr>
      <w:r>
        <w:t>We will minimize burden for school districts in the study by using existing data whenever possible and by requesting only the minimum data required to meet study objectives.</w:t>
      </w:r>
      <w:r w:rsidRPr="009470EF">
        <w:t xml:space="preserve"> </w:t>
      </w:r>
      <w:r>
        <w:t>Burden on districts will be further minimized through the careful specification of information needs. Data request documents will include the list of data items needed for the study (</w:t>
      </w:r>
      <w:r w:rsidRPr="00D93F8A">
        <w:t>Appendix C</w:t>
      </w:r>
      <w:r>
        <w:t xml:space="preserve">). </w:t>
      </w:r>
    </w:p>
    <w:p w:rsidR="00F83F5D" w:rsidRDefault="00F83F5D" w:rsidP="006B2611">
      <w:pPr>
        <w:spacing w:after="240" w:line="240" w:lineRule="auto"/>
      </w:pPr>
      <w:r w:rsidRPr="00D20F8E">
        <w:t xml:space="preserve">We </w:t>
      </w:r>
      <w:r>
        <w:t>have developed an efficient</w:t>
      </w:r>
      <w:r w:rsidRPr="00D20F8E">
        <w:t xml:space="preserve"> </w:t>
      </w:r>
      <w:r>
        <w:t>interview protocol</w:t>
      </w:r>
      <w:r w:rsidRPr="00D20F8E">
        <w:t xml:space="preserve"> </w:t>
      </w:r>
      <w:r>
        <w:t xml:space="preserve">that focuses </w:t>
      </w:r>
      <w:r w:rsidRPr="00D20F8E">
        <w:t xml:space="preserve">on the </w:t>
      </w:r>
      <w:r w:rsidRPr="00006EFD">
        <w:t>data of most interest. We will also speak with relatively few respondents in person—</w:t>
      </w:r>
      <w:r>
        <w:t>during in-person visits to recruit districts.</w:t>
      </w:r>
      <w:r w:rsidRPr="00006EFD">
        <w:t xml:space="preserve"> The sample</w:t>
      </w:r>
      <w:r>
        <w:t xml:space="preserve"> </w:t>
      </w:r>
      <w:r w:rsidRPr="00D65688">
        <w:t>size</w:t>
      </w:r>
      <w:r>
        <w:t xml:space="preserve"> </w:t>
      </w:r>
      <w:r w:rsidRPr="00D65688">
        <w:t>and data requirements were determined by careful consideration of the information needed</w:t>
      </w:r>
      <w:r>
        <w:t xml:space="preserve"> </w:t>
      </w:r>
      <w:r w:rsidRPr="00D65688">
        <w:t xml:space="preserve">to meet study objectives and </w:t>
      </w:r>
      <w:r>
        <w:t>will be</w:t>
      </w:r>
      <w:r w:rsidRPr="00D65688">
        <w:t xml:space="preserve"> reviewed by the study’s technical working group (TWG).</w:t>
      </w:r>
    </w:p>
    <w:p w:rsidR="00F83F5D" w:rsidRPr="00D65688" w:rsidRDefault="00F83F5D" w:rsidP="000F5701">
      <w:pPr>
        <w:pStyle w:val="Heading2Blue"/>
      </w:pPr>
      <w:bookmarkStart w:id="62" w:name="_Toc280089717"/>
      <w:bookmarkStart w:id="63" w:name="_Toc277338273"/>
      <w:r>
        <w:t>6</w:t>
      </w:r>
      <w:r w:rsidRPr="00D65688">
        <w:t>.</w:t>
      </w:r>
      <w:r w:rsidRPr="00D65688">
        <w:tab/>
      </w:r>
      <w:r w:rsidRPr="00647672">
        <w:t>Consequences</w:t>
      </w:r>
      <w:r w:rsidRPr="00D65688">
        <w:t xml:space="preserve"> of Not Collecting Data</w:t>
      </w:r>
      <w:bookmarkEnd w:id="62"/>
      <w:bookmarkEnd w:id="63"/>
    </w:p>
    <w:p w:rsidR="00F83F5D" w:rsidRDefault="00F83F5D" w:rsidP="00DB6186">
      <w:pPr>
        <w:pStyle w:val="ParagraphLAST"/>
        <w:spacing w:line="240" w:lineRule="auto"/>
      </w:pPr>
      <w:r>
        <w:t xml:space="preserve">The data collection activities described in this submission are necessary for ED to document the distribution of teacher </w:t>
      </w:r>
      <w:r w:rsidR="00E016A0">
        <w:t>effectiveness</w:t>
      </w:r>
      <w:r>
        <w:t xml:space="preserve"> within districts over time and any changes in that distribution associated with district policies to promote an equitable distribution of teachers. The study represents a significant step in examining how low- and high-performing teachers are distributed on a larger and more national scale. Extending the data collection over time will allow us to implement the longitudinal data model relating district policies to the distribution of teacher effectiveness over the five-year period of the study.</w:t>
      </w:r>
      <w:r w:rsidR="005A562D" w:rsidRPr="005A562D">
        <w:t xml:space="preserve"> </w:t>
      </w:r>
      <w:r w:rsidR="005A562D" w:rsidRPr="00E03020">
        <w:t xml:space="preserve">Without the data collected in this </w:t>
      </w:r>
      <w:r w:rsidR="005A562D">
        <w:t>study</w:t>
      </w:r>
      <w:r w:rsidR="005A562D" w:rsidRPr="00E03020">
        <w:t xml:space="preserve">, ED will </w:t>
      </w:r>
      <w:r w:rsidR="005A562D">
        <w:lastRenderedPageBreak/>
        <w:t xml:space="preserve">not attain an understanding </w:t>
      </w:r>
      <w:r w:rsidR="00F32DEB">
        <w:t xml:space="preserve">of </w:t>
      </w:r>
      <w:r w:rsidR="005A562D">
        <w:t xml:space="preserve">the distribution of teacher effectiveness and any changes related to district policies.  </w:t>
      </w:r>
    </w:p>
    <w:p w:rsidR="00F83F5D" w:rsidRPr="00D65688" w:rsidRDefault="00F83F5D" w:rsidP="000F5701">
      <w:pPr>
        <w:pStyle w:val="Heading2Blue"/>
      </w:pPr>
      <w:bookmarkStart w:id="64" w:name="_Toc198100696"/>
      <w:bookmarkStart w:id="65" w:name="_Toc228592169"/>
      <w:bookmarkStart w:id="66" w:name="_Toc228593420"/>
      <w:bookmarkStart w:id="67" w:name="_Toc256354807"/>
      <w:bookmarkStart w:id="68" w:name="_Toc256354836"/>
      <w:bookmarkStart w:id="69" w:name="_Toc256361061"/>
      <w:bookmarkStart w:id="70" w:name="_Toc260295684"/>
      <w:bookmarkStart w:id="71" w:name="_Toc280089718"/>
      <w:bookmarkStart w:id="72" w:name="_Toc277338274"/>
      <w:r>
        <w:t>7</w:t>
      </w:r>
      <w:r w:rsidRPr="00D65688">
        <w:t>.</w:t>
      </w:r>
      <w:r w:rsidRPr="00D65688">
        <w:tab/>
      </w:r>
      <w:r w:rsidRPr="00647672">
        <w:t>Special</w:t>
      </w:r>
      <w:r w:rsidRPr="00D65688">
        <w:t xml:space="preserve"> Circumstances</w:t>
      </w:r>
      <w:bookmarkEnd w:id="64"/>
      <w:bookmarkEnd w:id="65"/>
      <w:bookmarkEnd w:id="66"/>
      <w:bookmarkEnd w:id="67"/>
      <w:bookmarkEnd w:id="68"/>
      <w:bookmarkEnd w:id="69"/>
      <w:bookmarkEnd w:id="70"/>
      <w:bookmarkEnd w:id="71"/>
      <w:bookmarkEnd w:id="72"/>
    </w:p>
    <w:p w:rsidR="00F83F5D" w:rsidRPr="00D65688" w:rsidRDefault="00F83F5D" w:rsidP="004E2D12">
      <w:pPr>
        <w:pStyle w:val="ParagraphLAST"/>
        <w:spacing w:line="240" w:lineRule="auto"/>
      </w:pPr>
      <w:r w:rsidRPr="00D65688">
        <w:t>There are no special circumstances associated with this data collection.</w:t>
      </w:r>
    </w:p>
    <w:p w:rsidR="00F83F5D" w:rsidRPr="00D65688" w:rsidRDefault="00F83F5D" w:rsidP="000F5701">
      <w:pPr>
        <w:pStyle w:val="Heading2Blue"/>
      </w:pPr>
      <w:bookmarkStart w:id="73" w:name="_Toc256354808"/>
      <w:bookmarkStart w:id="74" w:name="_Toc256354837"/>
      <w:bookmarkStart w:id="75" w:name="_Toc256361062"/>
      <w:bookmarkStart w:id="76" w:name="_Toc260295685"/>
      <w:bookmarkStart w:id="77" w:name="_Toc280089719"/>
      <w:bookmarkStart w:id="78" w:name="_Toc277338275"/>
      <w:r>
        <w:t>8</w:t>
      </w:r>
      <w:r w:rsidRPr="00D65688">
        <w:t>.</w:t>
      </w:r>
      <w:r w:rsidRPr="00D65688">
        <w:tab/>
      </w:r>
      <w:bookmarkStart w:id="79" w:name="_Toc198100697"/>
      <w:bookmarkStart w:id="80" w:name="_Toc228592170"/>
      <w:bookmarkStart w:id="81" w:name="_Toc228593421"/>
      <w:r w:rsidRPr="000F5701">
        <w:t>Federal Register</w:t>
      </w:r>
      <w:r w:rsidRPr="00D65688">
        <w:t xml:space="preserve"> Announcement and Consultation</w:t>
      </w:r>
      <w:bookmarkEnd w:id="73"/>
      <w:bookmarkEnd w:id="74"/>
      <w:bookmarkEnd w:id="75"/>
      <w:bookmarkEnd w:id="76"/>
      <w:bookmarkEnd w:id="77"/>
      <w:bookmarkEnd w:id="78"/>
      <w:bookmarkEnd w:id="79"/>
      <w:bookmarkEnd w:id="80"/>
      <w:bookmarkEnd w:id="81"/>
    </w:p>
    <w:p w:rsidR="00F83F5D" w:rsidRDefault="00F83F5D" w:rsidP="000F5701">
      <w:pPr>
        <w:pStyle w:val="Heading3"/>
      </w:pPr>
      <w:bookmarkStart w:id="82" w:name="_Toc277338276"/>
      <w:bookmarkStart w:id="83" w:name="_Toc280089720"/>
      <w:bookmarkStart w:id="84" w:name="_Toc228592173"/>
      <w:bookmarkStart w:id="85" w:name="_Toc228593424"/>
      <w:bookmarkStart w:id="86" w:name="_Toc256354809"/>
      <w:bookmarkStart w:id="87" w:name="_Toc256354838"/>
      <w:bookmarkStart w:id="88" w:name="_Toc256361063"/>
      <w:bookmarkStart w:id="89" w:name="_Toc260295690"/>
      <w:r>
        <w:t>a.</w:t>
      </w:r>
      <w:r>
        <w:tab/>
      </w:r>
      <w:r w:rsidRPr="000F5701">
        <w:t>Federal Register</w:t>
      </w:r>
      <w:r>
        <w:t xml:space="preserve"> Announcement</w:t>
      </w:r>
      <w:bookmarkEnd w:id="82"/>
      <w:bookmarkEnd w:id="83"/>
    </w:p>
    <w:p w:rsidR="0036799F" w:rsidRDefault="00F83F5D">
      <w:pPr>
        <w:spacing w:line="240" w:lineRule="auto"/>
      </w:pPr>
      <w:r w:rsidRPr="004F73A4">
        <w:t xml:space="preserve">The 60-day notice to solicit public comments was published in </w:t>
      </w:r>
      <w:r>
        <w:t xml:space="preserve">the </w:t>
      </w:r>
      <w:r w:rsidRPr="002E14BA">
        <w:rPr>
          <w:i/>
        </w:rPr>
        <w:t>Federal Register</w:t>
      </w:r>
      <w:r w:rsidR="0054089A">
        <w:t xml:space="preserve">, </w:t>
      </w:r>
      <w:r>
        <w:t xml:space="preserve">on </w:t>
      </w:r>
      <w:r w:rsidR="0054089A">
        <w:t>January 19, 2011 (Volume 76)</w:t>
      </w:r>
      <w:r w:rsidR="00F32DEB">
        <w:t>.</w:t>
      </w:r>
      <w:r w:rsidR="0054089A">
        <w:t xml:space="preserve"> The study did not receive any public comments.</w:t>
      </w:r>
      <w:r w:rsidR="00AD5C43" w:rsidRPr="00AD5C43">
        <w:t xml:space="preserve"> </w:t>
      </w:r>
      <w:r w:rsidR="00C642A4" w:rsidRPr="004F73A4">
        <w:t xml:space="preserve">The </w:t>
      </w:r>
      <w:r w:rsidR="00C642A4">
        <w:t>30</w:t>
      </w:r>
      <w:r w:rsidR="00C642A4" w:rsidRPr="004F73A4">
        <w:t xml:space="preserve">-day notice to solicit public comments was published in </w:t>
      </w:r>
      <w:r w:rsidR="00C642A4">
        <w:t xml:space="preserve">the </w:t>
      </w:r>
      <w:r w:rsidR="00C642A4" w:rsidRPr="002E14BA">
        <w:rPr>
          <w:i/>
        </w:rPr>
        <w:t>Federal Register</w:t>
      </w:r>
      <w:r w:rsidR="00C642A4">
        <w:t xml:space="preserve">, on April 13, 2011 (Volume 76). </w:t>
      </w:r>
      <w:r w:rsidR="00B83F84">
        <w:t>One set of public comments were received</w:t>
      </w:r>
      <w:r w:rsidR="0039190D">
        <w:t xml:space="preserve"> on 5/13/11 from the National Education Association. A copy of the responses are included in a separate file.</w:t>
      </w:r>
      <w:r w:rsidR="00AD5C43">
        <w:t xml:space="preserve"> </w:t>
      </w:r>
    </w:p>
    <w:p w:rsidR="0036799F" w:rsidRDefault="0036799F">
      <w:pPr>
        <w:spacing w:line="240" w:lineRule="auto"/>
      </w:pPr>
    </w:p>
    <w:p w:rsidR="00F83F5D" w:rsidRDefault="00F83F5D" w:rsidP="000F5701">
      <w:pPr>
        <w:pStyle w:val="Heading3"/>
      </w:pPr>
      <w:bookmarkStart w:id="90" w:name="_Toc277338277"/>
      <w:bookmarkStart w:id="91" w:name="_Toc280089721"/>
      <w:r>
        <w:t>b.</w:t>
      </w:r>
      <w:r>
        <w:tab/>
        <w:t>Consultations Outside the Agency</w:t>
      </w:r>
      <w:bookmarkEnd w:id="90"/>
      <w:bookmarkEnd w:id="91"/>
    </w:p>
    <w:p w:rsidR="00F83F5D" w:rsidRDefault="00F83F5D" w:rsidP="008C677E">
      <w:pPr>
        <w:spacing w:line="240" w:lineRule="auto"/>
      </w:pPr>
      <w:r w:rsidRPr="00CA16DD">
        <w:t xml:space="preserve">The study team will work with IES to identify experts in teacher </w:t>
      </w:r>
      <w:r>
        <w:t>quality</w:t>
      </w:r>
      <w:r w:rsidRPr="00CA16DD">
        <w:t xml:space="preserve">, </w:t>
      </w:r>
      <w:r>
        <w:t xml:space="preserve">value-added analysis, and evaluation methodology </w:t>
      </w:r>
      <w:r w:rsidRPr="00CA16DD">
        <w:t xml:space="preserve">to become members of the TWG. Once they have been determined, we will seek their input on the </w:t>
      </w:r>
      <w:r>
        <w:t>study</w:t>
      </w:r>
      <w:r w:rsidRPr="00CA16DD">
        <w:t>’s design.</w:t>
      </w:r>
    </w:p>
    <w:p w:rsidR="00F83F5D" w:rsidRPr="00CA16DD" w:rsidRDefault="00F83F5D" w:rsidP="008C677E">
      <w:pPr>
        <w:spacing w:line="240" w:lineRule="auto"/>
      </w:pPr>
    </w:p>
    <w:p w:rsidR="00F83F5D" w:rsidRDefault="00F83F5D" w:rsidP="000F5701">
      <w:pPr>
        <w:pStyle w:val="Heading3"/>
      </w:pPr>
      <w:bookmarkStart w:id="92" w:name="_Toc277338278"/>
      <w:bookmarkStart w:id="93" w:name="_Toc280089722"/>
      <w:r>
        <w:t>c.</w:t>
      </w:r>
      <w:r>
        <w:tab/>
        <w:t>Unresolved Issues</w:t>
      </w:r>
      <w:bookmarkEnd w:id="92"/>
      <w:bookmarkEnd w:id="93"/>
    </w:p>
    <w:p w:rsidR="00F83F5D" w:rsidRPr="00960190" w:rsidRDefault="00F83F5D" w:rsidP="008C677E">
      <w:pPr>
        <w:spacing w:after="240" w:line="240" w:lineRule="auto"/>
      </w:pPr>
      <w:r>
        <w:t>There are no unresolved issues</w:t>
      </w:r>
      <w:r w:rsidRPr="00960190">
        <w:t>.</w:t>
      </w:r>
    </w:p>
    <w:p w:rsidR="00F83F5D" w:rsidRPr="00D65688" w:rsidRDefault="00F83F5D" w:rsidP="000F5701">
      <w:pPr>
        <w:pStyle w:val="Heading2Blue"/>
      </w:pPr>
      <w:bookmarkStart w:id="94" w:name="_Toc280089723"/>
      <w:bookmarkStart w:id="95" w:name="_Toc277338279"/>
      <w:r>
        <w:t>9</w:t>
      </w:r>
      <w:r w:rsidRPr="00D65688">
        <w:t>.</w:t>
      </w:r>
      <w:r w:rsidRPr="00D65688">
        <w:tab/>
      </w:r>
      <w:r w:rsidRPr="00DD0BA5">
        <w:t>Payments</w:t>
      </w:r>
      <w:r w:rsidRPr="003766CD">
        <w:t xml:space="preserve"> or Gifts</w:t>
      </w:r>
      <w:bookmarkEnd w:id="84"/>
      <w:bookmarkEnd w:id="85"/>
      <w:bookmarkEnd w:id="86"/>
      <w:bookmarkEnd w:id="87"/>
      <w:bookmarkEnd w:id="88"/>
      <w:bookmarkEnd w:id="89"/>
      <w:bookmarkEnd w:id="94"/>
      <w:bookmarkEnd w:id="95"/>
    </w:p>
    <w:p w:rsidR="00F83F5D" w:rsidRDefault="00F83F5D" w:rsidP="00517B7D">
      <w:pPr>
        <w:spacing w:line="240" w:lineRule="auto"/>
      </w:pPr>
      <w:r>
        <w:t>We</w:t>
      </w:r>
      <w:r w:rsidRPr="00CB745F">
        <w:t xml:space="preserve"> </w:t>
      </w:r>
      <w:r w:rsidR="00F32DEB">
        <w:t>do not plan to give gifts</w:t>
      </w:r>
      <w:r w:rsidRPr="00CB745F">
        <w:t xml:space="preserve"> to </w:t>
      </w:r>
      <w:r>
        <w:t>districts</w:t>
      </w:r>
      <w:r w:rsidRPr="00CB745F">
        <w:t xml:space="preserve"> for completing the interview</w:t>
      </w:r>
      <w:r>
        <w:t xml:space="preserve"> or providing other study data</w:t>
      </w:r>
      <w:r w:rsidRPr="00CB745F">
        <w:t>.</w:t>
      </w:r>
      <w:r>
        <w:t xml:space="preserve"> </w:t>
      </w:r>
    </w:p>
    <w:p w:rsidR="00F83F5D" w:rsidRPr="00D65688" w:rsidRDefault="00F83F5D" w:rsidP="00517B7D">
      <w:pPr>
        <w:spacing w:line="240" w:lineRule="auto"/>
        <w:rPr>
          <w:b/>
        </w:rPr>
      </w:pPr>
    </w:p>
    <w:p w:rsidR="00F83F5D" w:rsidRPr="00D65688" w:rsidRDefault="00F83F5D" w:rsidP="000F5701">
      <w:pPr>
        <w:pStyle w:val="Heading2Blue"/>
      </w:pPr>
      <w:bookmarkStart w:id="96" w:name="_Toc256354810"/>
      <w:bookmarkStart w:id="97" w:name="_Toc256354839"/>
      <w:bookmarkStart w:id="98" w:name="_Toc256361064"/>
      <w:bookmarkStart w:id="99" w:name="_Toc260295691"/>
      <w:bookmarkStart w:id="100" w:name="_Toc280089724"/>
      <w:bookmarkStart w:id="101" w:name="_Toc277338280"/>
      <w:r>
        <w:t>10</w:t>
      </w:r>
      <w:r w:rsidRPr="00D65688">
        <w:t>.</w:t>
      </w:r>
      <w:r w:rsidRPr="00D65688">
        <w:tab/>
      </w:r>
      <w:r w:rsidRPr="00DD0BA5">
        <w:t>Assurances</w:t>
      </w:r>
      <w:r w:rsidRPr="00D65688">
        <w:t xml:space="preserve"> of Confidentiality</w:t>
      </w:r>
      <w:bookmarkEnd w:id="96"/>
      <w:bookmarkEnd w:id="97"/>
      <w:bookmarkEnd w:id="98"/>
      <w:bookmarkEnd w:id="99"/>
      <w:bookmarkEnd w:id="100"/>
      <w:bookmarkEnd w:id="101"/>
    </w:p>
    <w:p w:rsidR="00F83F5D" w:rsidRDefault="00F83F5D" w:rsidP="007D6893">
      <w:pPr>
        <w:spacing w:after="240" w:line="240" w:lineRule="auto"/>
      </w:pPr>
      <w:r w:rsidRPr="00861B86">
        <w:t>The data collection efforts that are the focus of this clearance package will be conducted in accordance with all relevant regulations and requirements</w:t>
      </w:r>
      <w:r>
        <w:t>, including the following:</w:t>
      </w:r>
    </w:p>
    <w:p w:rsidR="00F83F5D" w:rsidRPr="00516752" w:rsidRDefault="00F83F5D" w:rsidP="00E35168">
      <w:pPr>
        <w:pStyle w:val="BulletBlue"/>
      </w:pPr>
      <w:r w:rsidRPr="00516752">
        <w:t>The Privacy Act of 1974, P.L. 93-579 (5 U.S.C. 552a)</w:t>
      </w:r>
      <w:r>
        <w:t>.</w:t>
      </w:r>
      <w:r w:rsidRPr="00516752">
        <w:t xml:space="preserve"> </w:t>
      </w:r>
    </w:p>
    <w:p w:rsidR="00F83F5D" w:rsidRPr="00516752" w:rsidRDefault="00F83F5D" w:rsidP="00E35168">
      <w:pPr>
        <w:pStyle w:val="BulletBlue"/>
      </w:pPr>
      <w:r w:rsidRPr="00516752">
        <w:t>The Family Educational and Rights and Privacy Act (FERPA) (20 U.S.C. 1232g; 34 CFR Part 99)</w:t>
      </w:r>
      <w:r>
        <w:t>.</w:t>
      </w:r>
    </w:p>
    <w:p w:rsidR="00F83F5D" w:rsidRPr="00516752" w:rsidRDefault="00F83F5D" w:rsidP="00E35168">
      <w:pPr>
        <w:pStyle w:val="BulletBlue"/>
      </w:pPr>
      <w:r w:rsidRPr="00516752">
        <w:t>The Education Sciences Reform Act, P.L. 107-279 (20 U.S.C. 9573)</w:t>
      </w:r>
      <w:r>
        <w:t>.</w:t>
      </w:r>
    </w:p>
    <w:p w:rsidR="00F83F5D" w:rsidRDefault="00F83F5D" w:rsidP="00CB745F">
      <w:pPr>
        <w:spacing w:line="240" w:lineRule="auto"/>
      </w:pPr>
      <w:r w:rsidRPr="00D65688">
        <w:t xml:space="preserve">Mathematica </w:t>
      </w:r>
      <w:r>
        <w:t>and the Urban Institute will</w:t>
      </w:r>
      <w:r w:rsidRPr="00D65688">
        <w:t xml:space="preserve"> protect the confidentiality of information for the study and will use it for research purposes only.</w:t>
      </w:r>
      <w:r>
        <w:t xml:space="preserve"> The </w:t>
      </w:r>
      <w:r w:rsidRPr="00861B86">
        <w:t xml:space="preserve">project director will ensure that information about </w:t>
      </w:r>
      <w:r>
        <w:t xml:space="preserve">study members </w:t>
      </w:r>
      <w:r w:rsidRPr="00861B86">
        <w:t>remain</w:t>
      </w:r>
      <w:r>
        <w:t>s</w:t>
      </w:r>
      <w:r w:rsidRPr="00861B86">
        <w:t xml:space="preserve"> confidential</w:t>
      </w:r>
      <w:r>
        <w:t xml:space="preserve">. </w:t>
      </w:r>
      <w:r w:rsidRPr="00D65688">
        <w:t>All data will be kept in secured locations.</w:t>
      </w:r>
      <w:r>
        <w:t xml:space="preserve"> </w:t>
      </w:r>
      <w:r w:rsidRPr="00D65688">
        <w:t>All members of the study team having access to the data will be trained and certified on the importance of confidentiality and data security.</w:t>
      </w:r>
      <w:r>
        <w:t xml:space="preserve"> </w:t>
      </w:r>
      <w:r w:rsidRPr="00D65688">
        <w:t xml:space="preserve">When reporting the results, </w:t>
      </w:r>
      <w:r>
        <w:t xml:space="preserve">we will present </w:t>
      </w:r>
      <w:r w:rsidRPr="00D65688">
        <w:t>data in aggregate form</w:t>
      </w:r>
      <w:r>
        <w:t xml:space="preserve"> only so</w:t>
      </w:r>
      <w:r w:rsidRPr="00D65688">
        <w:t xml:space="preserve"> that individuals and institutions will not be identified.</w:t>
      </w:r>
      <w:r>
        <w:t xml:space="preserve">  We will also include the following statement in the requests for data:  </w:t>
      </w:r>
    </w:p>
    <w:p w:rsidR="00F83F5D" w:rsidRDefault="00F83F5D" w:rsidP="00CB745F">
      <w:pPr>
        <w:spacing w:line="240" w:lineRule="auto"/>
      </w:pPr>
    </w:p>
    <w:p w:rsidR="00F83F5D" w:rsidRPr="00221AD4" w:rsidRDefault="00F83F5D" w:rsidP="00E35168">
      <w:pPr>
        <w:pStyle w:val="BulletBlue"/>
      </w:pPr>
      <w:r w:rsidRPr="002E14BA">
        <w:lastRenderedPageBreak/>
        <w:t>Responses to the data collection activities will be used for research purposes</w:t>
      </w:r>
      <w:r w:rsidRPr="00221AD4">
        <w:t xml:space="preserve"> only</w:t>
      </w:r>
      <w:r w:rsidRPr="002E14BA">
        <w:t xml:space="preserve">. The reports prepared for the study will summarize findings across the sample and will not associate responses with a specific school or individual. We will not provide information that identifies you or your district to anyone outside the study team, except as required by law. </w:t>
      </w:r>
    </w:p>
    <w:p w:rsidR="00F83F5D" w:rsidRDefault="00F83F5D" w:rsidP="00E35168">
      <w:pPr>
        <w:pStyle w:val="BulletBlueLastSS"/>
        <w:rPr>
          <w:i/>
        </w:rPr>
      </w:pPr>
      <w:r w:rsidRPr="002E14BA">
        <w:t xml:space="preserve">The contractor follows the confidentiality and data protection requirements of </w:t>
      </w:r>
      <w:r w:rsidRPr="00221AD4">
        <w:t xml:space="preserve">the Institute of Education Sciences </w:t>
      </w:r>
      <w:r w:rsidRPr="002E14BA">
        <w:t>(The Education Sciences Reform Act of 2002, Title I, Part E, Section 183). The contractor will protect the confidentiality of all information collected for the study and will use it for research purposes only. No information that identifies any study participant will be released. Information on respondents will be linked to their institution but not to any individually identifiable information. No individually identifiable information will be maintained by the study team. All institution-level identifiable information will be kept in secured locations and identifiers will be destroyed as soon as they are no longer required.</w:t>
      </w:r>
    </w:p>
    <w:p w:rsidR="00F83F5D" w:rsidRPr="000D0DD6" w:rsidRDefault="00F83F5D" w:rsidP="00892EAE">
      <w:pPr>
        <w:pStyle w:val="ParagraphLAST"/>
        <w:spacing w:line="240" w:lineRule="auto"/>
      </w:pPr>
      <w:r w:rsidRPr="00D65688">
        <w:t>The following safeguards</w:t>
      </w:r>
      <w:r>
        <w:t>, which</w:t>
      </w:r>
      <w:r w:rsidRPr="00D65688">
        <w:t xml:space="preserve"> are routinely employed by Mathematica to carry out confidentiality </w:t>
      </w:r>
      <w:r w:rsidRPr="000D0DD6">
        <w:t>assurances</w:t>
      </w:r>
      <w:r>
        <w:t>, will be applied consistently during the study</w:t>
      </w:r>
      <w:r w:rsidRPr="000D0DD6">
        <w:t xml:space="preserve">: </w:t>
      </w:r>
    </w:p>
    <w:p w:rsidR="00F83F5D" w:rsidRDefault="00F83F5D" w:rsidP="00E35168">
      <w:pPr>
        <w:pStyle w:val="BulletBlue"/>
      </w:pPr>
      <w:r w:rsidRPr="000D0DD6">
        <w:t>All employees sign a confidentiality pledge (</w:t>
      </w:r>
      <w:r w:rsidRPr="00A57909">
        <w:t>Appendix</w:t>
      </w:r>
      <w:r w:rsidRPr="000D0DD6">
        <w:t xml:space="preserve"> </w:t>
      </w:r>
      <w:r>
        <w:t>F</w:t>
      </w:r>
      <w:r w:rsidRPr="000D0DD6">
        <w:t>)</w:t>
      </w:r>
      <w:r>
        <w:t xml:space="preserve">, which describes both the importance of and the employee’s obligation to discretion. </w:t>
      </w:r>
    </w:p>
    <w:p w:rsidR="00F83F5D" w:rsidRDefault="00F83F5D" w:rsidP="00E35168">
      <w:pPr>
        <w:pStyle w:val="BulletBlue"/>
      </w:pPr>
      <w:r w:rsidRPr="000D0DD6">
        <w:t>Access to hard copy documents is strictly limited.</w:t>
      </w:r>
      <w:r>
        <w:t xml:space="preserve"> </w:t>
      </w:r>
      <w:r w:rsidRPr="000D0DD6">
        <w:t>Documents are stored in locked files and cabinets</w:t>
      </w:r>
      <w:r>
        <w:t>, and d</w:t>
      </w:r>
      <w:r w:rsidRPr="000D0DD6">
        <w:t>iscarded materials are shredded.</w:t>
      </w:r>
    </w:p>
    <w:p w:rsidR="00F83F5D" w:rsidRDefault="00F83F5D" w:rsidP="00E35168">
      <w:pPr>
        <w:pStyle w:val="BulletBlue"/>
      </w:pPr>
      <w:r>
        <w:t>Access to computer data files is protected by secure user names and passwords, which are available to specific users only.</w:t>
      </w:r>
    </w:p>
    <w:p w:rsidR="00F83F5D" w:rsidRPr="000D0DD6" w:rsidRDefault="00F83F5D" w:rsidP="00E35168">
      <w:pPr>
        <w:pStyle w:val="BulletBlueLastSS"/>
      </w:pPr>
      <w:r w:rsidRPr="000D0DD6">
        <w:t xml:space="preserve">Especially sensitive data </w:t>
      </w:r>
      <w:r>
        <w:t>is encrypted and stored on removable storage devices that are kept physically secure when not in use.</w:t>
      </w:r>
    </w:p>
    <w:p w:rsidR="00F83F5D" w:rsidRDefault="00F83F5D" w:rsidP="00391996">
      <w:pPr>
        <w:pStyle w:val="NormalSS"/>
      </w:pPr>
      <w:r>
        <w:t xml:space="preserve">The plan for maintaining confidentiality includes ensuring that all personnel with access to </w:t>
      </w:r>
      <w:r w:rsidR="00E84230">
        <w:t>study data</w:t>
      </w:r>
      <w:r>
        <w:t xml:space="preserve"> sign confidentiality agreements and provide notarized nondisclosure affidavits. Also included in the plan is personnel training regarding (1) the meaning of confidentiality, particularly as it relates to handling requests for information and providing assurance to respondents about the protection of their responses; (2) controlled and protected access to computer files under the control of a single database manager; (3) built-in safeguards concerning status monitoring and receipt control systems; and (4) a secured and operator-controlled, in-house computing facility.</w:t>
      </w:r>
    </w:p>
    <w:p w:rsidR="00F83F5D" w:rsidRPr="00D65688" w:rsidRDefault="00F83F5D" w:rsidP="000F5701">
      <w:pPr>
        <w:pStyle w:val="Heading2Blue"/>
      </w:pPr>
      <w:bookmarkStart w:id="102" w:name="_Toc198100703"/>
      <w:bookmarkStart w:id="103" w:name="_Toc228592174"/>
      <w:bookmarkStart w:id="104" w:name="_Toc228593426"/>
      <w:bookmarkStart w:id="105" w:name="_Toc256354811"/>
      <w:bookmarkStart w:id="106" w:name="_Toc256354840"/>
      <w:bookmarkStart w:id="107" w:name="_Toc256361065"/>
      <w:bookmarkStart w:id="108" w:name="_Toc260295692"/>
      <w:bookmarkStart w:id="109" w:name="_Toc280089725"/>
      <w:bookmarkStart w:id="110" w:name="_Toc277338281"/>
      <w:r>
        <w:t>11</w:t>
      </w:r>
      <w:r w:rsidRPr="00D65688">
        <w:t>.</w:t>
      </w:r>
      <w:r w:rsidRPr="00D65688">
        <w:tab/>
      </w:r>
      <w:r w:rsidRPr="00647672">
        <w:t>Justification</w:t>
      </w:r>
      <w:r w:rsidRPr="00D65688">
        <w:t xml:space="preserve"> for Sensitive Questions</w:t>
      </w:r>
      <w:bookmarkEnd w:id="102"/>
      <w:bookmarkEnd w:id="103"/>
      <w:bookmarkEnd w:id="104"/>
      <w:bookmarkEnd w:id="105"/>
      <w:bookmarkEnd w:id="106"/>
      <w:bookmarkEnd w:id="107"/>
      <w:bookmarkEnd w:id="108"/>
      <w:bookmarkEnd w:id="109"/>
      <w:bookmarkEnd w:id="110"/>
    </w:p>
    <w:p w:rsidR="00F83F5D" w:rsidRDefault="00F83F5D" w:rsidP="00DB6186">
      <w:pPr>
        <w:pStyle w:val="NormalSS"/>
      </w:pPr>
      <w:r>
        <w:t xml:space="preserve">The interviews, which will gather information about the design and implementation of school district policies, contain no questions of a sensitive nature. Test scores and some demographic information about the students may be sensitive. Test score data is essential for this study because student achievement is a key variable in </w:t>
      </w:r>
      <w:r w:rsidRPr="00DF57BC">
        <w:t xml:space="preserve">our estimation of </w:t>
      </w:r>
      <w:r>
        <w:t>value-added</w:t>
      </w:r>
      <w:r w:rsidRPr="00DF57BC">
        <w:t>.</w:t>
      </w:r>
      <w:r>
        <w:t xml:space="preserve"> </w:t>
      </w:r>
      <w:r w:rsidRPr="002E14BA">
        <w:t>Demographic information is important to control for differences in student characteristics across classrooms that may have arisen by chance, and thus is also a necessary input in the value-added analysis.</w:t>
      </w:r>
      <w:r>
        <w:t xml:space="preserve"> For the teacher personnel data, we will gather background information such as date of birth, years of experience, certification status, and undergraduate education </w:t>
      </w:r>
      <w:r w:rsidRPr="002E14BA">
        <w:t xml:space="preserve">to control for factors that potentially affect mobility </w:t>
      </w:r>
      <w:r>
        <w:t>beyond</w:t>
      </w:r>
      <w:r w:rsidRPr="002E14BA">
        <w:t xml:space="preserve"> a teacher’s value-added score.</w:t>
      </w:r>
      <w:r>
        <w:t xml:space="preserve"> </w:t>
      </w:r>
    </w:p>
    <w:p w:rsidR="00F83F5D" w:rsidRPr="00D65688" w:rsidRDefault="00F83F5D" w:rsidP="000F5701">
      <w:pPr>
        <w:pStyle w:val="Heading2Blue"/>
      </w:pPr>
      <w:bookmarkStart w:id="111" w:name="_Toc198100704"/>
      <w:bookmarkStart w:id="112" w:name="_Toc228592175"/>
      <w:bookmarkStart w:id="113" w:name="_Toc228593427"/>
      <w:bookmarkStart w:id="114" w:name="_Toc256354812"/>
      <w:bookmarkStart w:id="115" w:name="_Toc256354841"/>
      <w:bookmarkStart w:id="116" w:name="_Toc256361066"/>
      <w:bookmarkStart w:id="117" w:name="_Toc260295693"/>
      <w:bookmarkStart w:id="118" w:name="_Toc280089726"/>
      <w:bookmarkStart w:id="119" w:name="_Toc277338282"/>
      <w:r>
        <w:lastRenderedPageBreak/>
        <w:t>12</w:t>
      </w:r>
      <w:r w:rsidRPr="00D65688">
        <w:t>.</w:t>
      </w:r>
      <w:r w:rsidRPr="00D65688">
        <w:tab/>
      </w:r>
      <w:r w:rsidRPr="007D3E9E">
        <w:t>Estimates</w:t>
      </w:r>
      <w:r w:rsidRPr="00D65688">
        <w:t xml:space="preserve"> of </w:t>
      </w:r>
      <w:bookmarkEnd w:id="111"/>
      <w:bookmarkEnd w:id="112"/>
      <w:bookmarkEnd w:id="113"/>
      <w:bookmarkEnd w:id="114"/>
      <w:bookmarkEnd w:id="115"/>
      <w:bookmarkEnd w:id="116"/>
      <w:bookmarkEnd w:id="117"/>
      <w:r>
        <w:t>Burden Hours</w:t>
      </w:r>
      <w:bookmarkEnd w:id="118"/>
      <w:bookmarkEnd w:id="119"/>
    </w:p>
    <w:p w:rsidR="00F83F5D" w:rsidRDefault="00F83F5D" w:rsidP="00892EAE">
      <w:pPr>
        <w:pStyle w:val="ParagraphLAST"/>
        <w:spacing w:line="240" w:lineRule="auto"/>
      </w:pPr>
      <w:r w:rsidRPr="00854A71">
        <w:t xml:space="preserve">Table </w:t>
      </w:r>
      <w:r>
        <w:t>2</w:t>
      </w:r>
      <w:r w:rsidRPr="00854A71">
        <w:t xml:space="preserve"> </w:t>
      </w:r>
      <w:r>
        <w:t>shows</w:t>
      </w:r>
      <w:r w:rsidRPr="00854A71">
        <w:t xml:space="preserve"> the estimated burden hours for </w:t>
      </w:r>
      <w:r>
        <w:t xml:space="preserve">district staff </w:t>
      </w:r>
      <w:r w:rsidRPr="00854A71">
        <w:t xml:space="preserve">who </w:t>
      </w:r>
      <w:r>
        <w:t xml:space="preserve">will </w:t>
      </w:r>
      <w:r w:rsidRPr="00854A71">
        <w:t xml:space="preserve">participate in </w:t>
      </w:r>
      <w:r>
        <w:t xml:space="preserve">data collection. </w:t>
      </w:r>
      <w:r w:rsidRPr="00244699">
        <w:t xml:space="preserve">These estimates are based on our experience </w:t>
      </w:r>
      <w:r>
        <w:t>collecting such data from district staff</w:t>
      </w:r>
      <w:r w:rsidRPr="00244699">
        <w:t xml:space="preserve"> for similar </w:t>
      </w:r>
      <w:r>
        <w:t>studies</w:t>
      </w:r>
      <w:bookmarkStart w:id="120" w:name="_Toc228592176"/>
      <w:bookmarkStart w:id="121" w:name="_Toc228593428"/>
      <w:bookmarkStart w:id="122" w:name="_Toc256354813"/>
      <w:bookmarkStart w:id="123" w:name="_Toc256354842"/>
      <w:bookmarkStart w:id="124" w:name="_Toc256361067"/>
      <w:r>
        <w:t xml:space="preserve">. </w:t>
      </w:r>
    </w:p>
    <w:p w:rsidR="00F83F5D" w:rsidRDefault="00F83F5D" w:rsidP="00892EAE">
      <w:pPr>
        <w:pStyle w:val="ParagraphLAST"/>
        <w:spacing w:line="240" w:lineRule="auto"/>
        <w:rPr>
          <w:szCs w:val="18"/>
        </w:rPr>
      </w:pPr>
      <w:r>
        <w:t xml:space="preserve">The number of respondents targeted for data collection is provided in the column </w:t>
      </w:r>
      <w:r w:rsidRPr="001146AF">
        <w:rPr>
          <w:i/>
          <w:szCs w:val="18"/>
        </w:rPr>
        <w:t>Number of Targeted Respondents</w:t>
      </w:r>
      <w:r>
        <w:rPr>
          <w:szCs w:val="18"/>
        </w:rPr>
        <w:t xml:space="preserve"> in Table 2. There are three data requests (phone interview, student records data collection rounds 2-4, and teacher personnel data collection rounds 2-4) that will occur three times. All other data requests occur once (recruitment by phone, recruitment by site visit, student records data collection round 1, and teacher personnel data collection round 1).  Therefore, the total number of respondents is </w:t>
      </w:r>
      <w:r w:rsidR="001C6BA1">
        <w:rPr>
          <w:szCs w:val="18"/>
        </w:rPr>
        <w:t xml:space="preserve">640 </w:t>
      </w:r>
      <w:r>
        <w:rPr>
          <w:szCs w:val="18"/>
        </w:rPr>
        <w:t xml:space="preserve">(the sum of the number of respondents for the data collections that occur once plus the sum of the number of respondents for data collections that occur three times multiplied by three). The number of annual responses is </w:t>
      </w:r>
      <w:r w:rsidR="001C6BA1">
        <w:rPr>
          <w:szCs w:val="18"/>
        </w:rPr>
        <w:t xml:space="preserve">213 </w:t>
      </w:r>
      <w:r>
        <w:rPr>
          <w:szCs w:val="18"/>
        </w:rPr>
        <w:t>(</w:t>
      </w:r>
      <w:r w:rsidR="001C6BA1">
        <w:rPr>
          <w:szCs w:val="18"/>
        </w:rPr>
        <w:t xml:space="preserve">640 </w:t>
      </w:r>
      <w:r>
        <w:rPr>
          <w:szCs w:val="18"/>
        </w:rPr>
        <w:t>divided by three years). Lastly, the total burden hours for data collection are provided in</w:t>
      </w:r>
      <w:r w:rsidR="00AC24C5">
        <w:rPr>
          <w:szCs w:val="18"/>
        </w:rPr>
        <w:t xml:space="preserve"> the last column of the table (4,130</w:t>
      </w:r>
      <w:r>
        <w:rPr>
          <w:szCs w:val="18"/>
        </w:rPr>
        <w:t>). The number of annual burden hours is 1,</w:t>
      </w:r>
      <w:r w:rsidR="00AC24C5">
        <w:rPr>
          <w:szCs w:val="18"/>
        </w:rPr>
        <w:t>377</w:t>
      </w:r>
      <w:r w:rsidR="001A02BB">
        <w:rPr>
          <w:szCs w:val="18"/>
        </w:rPr>
        <w:t xml:space="preserve"> </w:t>
      </w:r>
      <w:r>
        <w:rPr>
          <w:szCs w:val="18"/>
        </w:rPr>
        <w:t>(</w:t>
      </w:r>
      <w:r w:rsidR="00AC24C5">
        <w:rPr>
          <w:szCs w:val="18"/>
        </w:rPr>
        <w:t xml:space="preserve">4,130 </w:t>
      </w:r>
      <w:r>
        <w:rPr>
          <w:szCs w:val="18"/>
        </w:rPr>
        <w:t xml:space="preserve">divided by three years). </w:t>
      </w:r>
    </w:p>
    <w:p w:rsidR="00F83F5D" w:rsidRPr="002715F1" w:rsidRDefault="00F83F5D" w:rsidP="00BB05B0">
      <w:pPr>
        <w:pStyle w:val="MarkforTableHeading"/>
      </w:pPr>
      <w:bookmarkStart w:id="125" w:name="_Toc277150897"/>
      <w:r>
        <w:t xml:space="preserve">Table </w:t>
      </w:r>
      <w:r w:rsidRPr="00463E1B">
        <w:t>2.</w:t>
      </w:r>
      <w:r>
        <w:t xml:space="preserve"> </w:t>
      </w:r>
      <w:r w:rsidRPr="002715F1">
        <w:t xml:space="preserve">Estimated Response Time for </w:t>
      </w:r>
      <w:r>
        <w:t>Data Collection</w:t>
      </w:r>
      <w:bookmarkEnd w:id="125"/>
    </w:p>
    <w:tbl>
      <w:tblPr>
        <w:tblW w:w="5000" w:type="pct"/>
        <w:tblBorders>
          <w:top w:val="single" w:sz="12" w:space="0" w:color="auto"/>
          <w:bottom w:val="single" w:sz="4" w:space="0" w:color="auto"/>
        </w:tblBorders>
        <w:tblLayout w:type="fixed"/>
        <w:tblLook w:val="00A0"/>
      </w:tblPr>
      <w:tblGrid>
        <w:gridCol w:w="2178"/>
        <w:gridCol w:w="1440"/>
        <w:gridCol w:w="1170"/>
        <w:gridCol w:w="1350"/>
        <w:gridCol w:w="1080"/>
        <w:gridCol w:w="1397"/>
        <w:gridCol w:w="961"/>
      </w:tblGrid>
      <w:tr w:rsidR="00F83F5D" w:rsidRPr="00552A97" w:rsidTr="002A05AB">
        <w:trPr>
          <w:trHeight w:val="870"/>
        </w:trPr>
        <w:tc>
          <w:tcPr>
            <w:tcW w:w="2178" w:type="dxa"/>
            <w:tcBorders>
              <w:top w:val="single" w:sz="12" w:space="0" w:color="1F497D"/>
              <w:left w:val="nil"/>
              <w:bottom w:val="single" w:sz="2" w:space="0" w:color="auto"/>
              <w:right w:val="nil"/>
            </w:tcBorders>
            <w:vAlign w:val="bottom"/>
          </w:tcPr>
          <w:p w:rsidR="00F83F5D" w:rsidRPr="00552A97" w:rsidRDefault="00F83F5D" w:rsidP="00BB05B0">
            <w:pPr>
              <w:pStyle w:val="TableHeaderLeft"/>
              <w:spacing w:line="228" w:lineRule="auto"/>
              <w:rPr>
                <w:szCs w:val="18"/>
              </w:rPr>
            </w:pPr>
            <w:r w:rsidRPr="00552A97">
              <w:rPr>
                <w:szCs w:val="18"/>
              </w:rPr>
              <w:t>Respondent/</w:t>
            </w:r>
            <w:r>
              <w:rPr>
                <w:szCs w:val="18"/>
              </w:rPr>
              <w:br/>
            </w:r>
            <w:r w:rsidRPr="00552A97">
              <w:rPr>
                <w:szCs w:val="18"/>
              </w:rPr>
              <w:t>Data Request</w:t>
            </w:r>
          </w:p>
        </w:tc>
        <w:tc>
          <w:tcPr>
            <w:tcW w:w="1440" w:type="dxa"/>
            <w:tcBorders>
              <w:top w:val="single" w:sz="12" w:space="0" w:color="1F497D"/>
              <w:left w:val="nil"/>
              <w:bottom w:val="single" w:sz="2" w:space="0" w:color="auto"/>
              <w:right w:val="nil"/>
            </w:tcBorders>
            <w:vAlign w:val="bottom"/>
          </w:tcPr>
          <w:p w:rsidR="00F83F5D" w:rsidRPr="00552A97" w:rsidRDefault="00F83F5D" w:rsidP="003344D3">
            <w:pPr>
              <w:pStyle w:val="TableHeaderCenter"/>
              <w:spacing w:line="228" w:lineRule="auto"/>
              <w:rPr>
                <w:szCs w:val="18"/>
              </w:rPr>
            </w:pPr>
            <w:r w:rsidRPr="00552A97">
              <w:rPr>
                <w:szCs w:val="18"/>
              </w:rPr>
              <w:t>Number of</w:t>
            </w:r>
            <w:r>
              <w:rPr>
                <w:szCs w:val="18"/>
              </w:rPr>
              <w:t xml:space="preserve"> </w:t>
            </w:r>
            <w:r w:rsidRPr="00552A97">
              <w:rPr>
                <w:szCs w:val="18"/>
              </w:rPr>
              <w:t>Respondents</w:t>
            </w:r>
          </w:p>
        </w:tc>
        <w:tc>
          <w:tcPr>
            <w:tcW w:w="1170" w:type="dxa"/>
            <w:tcBorders>
              <w:top w:val="single" w:sz="12" w:space="0" w:color="1F497D"/>
              <w:left w:val="nil"/>
              <w:bottom w:val="single" w:sz="2" w:space="0" w:color="auto"/>
              <w:right w:val="nil"/>
            </w:tcBorders>
            <w:vAlign w:val="bottom"/>
          </w:tcPr>
          <w:p w:rsidR="00F83F5D" w:rsidRPr="00552A97" w:rsidRDefault="00F83F5D" w:rsidP="00E05E8E">
            <w:pPr>
              <w:pStyle w:val="TableHeaderCenter"/>
              <w:spacing w:line="228" w:lineRule="auto"/>
              <w:rPr>
                <w:szCs w:val="18"/>
              </w:rPr>
            </w:pPr>
            <w:r>
              <w:rPr>
                <w:szCs w:val="18"/>
              </w:rPr>
              <w:t>Expected Response Rate (%)</w:t>
            </w:r>
          </w:p>
        </w:tc>
        <w:tc>
          <w:tcPr>
            <w:tcW w:w="1350" w:type="dxa"/>
            <w:tcBorders>
              <w:top w:val="single" w:sz="12" w:space="0" w:color="1F497D"/>
              <w:left w:val="nil"/>
              <w:bottom w:val="single" w:sz="2" w:space="0" w:color="auto"/>
              <w:right w:val="nil"/>
            </w:tcBorders>
            <w:vAlign w:val="bottom"/>
          </w:tcPr>
          <w:p w:rsidR="00F83F5D" w:rsidRPr="00552A97" w:rsidRDefault="001161D5" w:rsidP="001161D5">
            <w:pPr>
              <w:pStyle w:val="TableHeaderCenter"/>
              <w:spacing w:line="228" w:lineRule="auto"/>
              <w:rPr>
                <w:szCs w:val="18"/>
              </w:rPr>
            </w:pPr>
            <w:r>
              <w:rPr>
                <w:szCs w:val="18"/>
              </w:rPr>
              <w:t xml:space="preserve">Total </w:t>
            </w:r>
            <w:r w:rsidR="00F83F5D">
              <w:rPr>
                <w:szCs w:val="18"/>
              </w:rPr>
              <w:t>Number of R</w:t>
            </w:r>
            <w:r>
              <w:rPr>
                <w:szCs w:val="18"/>
              </w:rPr>
              <w:t>esponses</w:t>
            </w:r>
          </w:p>
        </w:tc>
        <w:tc>
          <w:tcPr>
            <w:tcW w:w="1080" w:type="dxa"/>
            <w:tcBorders>
              <w:top w:val="single" w:sz="12" w:space="0" w:color="1F497D"/>
              <w:left w:val="nil"/>
              <w:bottom w:val="single" w:sz="2" w:space="0" w:color="auto"/>
              <w:right w:val="nil"/>
            </w:tcBorders>
            <w:vAlign w:val="bottom"/>
          </w:tcPr>
          <w:p w:rsidR="00F83F5D" w:rsidRPr="00552A97" w:rsidRDefault="00F83F5D" w:rsidP="00E05E8E">
            <w:pPr>
              <w:pStyle w:val="TableHeaderCenter"/>
              <w:spacing w:line="228" w:lineRule="auto"/>
              <w:rPr>
                <w:szCs w:val="18"/>
              </w:rPr>
            </w:pPr>
            <w:r w:rsidRPr="00552A97">
              <w:rPr>
                <w:szCs w:val="18"/>
              </w:rPr>
              <w:t>Unit Response Time (Hours)</w:t>
            </w:r>
          </w:p>
        </w:tc>
        <w:tc>
          <w:tcPr>
            <w:tcW w:w="1397" w:type="dxa"/>
            <w:tcBorders>
              <w:top w:val="single" w:sz="12" w:space="0" w:color="1F497D"/>
              <w:left w:val="nil"/>
              <w:bottom w:val="single" w:sz="2" w:space="0" w:color="auto"/>
              <w:right w:val="nil"/>
            </w:tcBorders>
            <w:vAlign w:val="bottom"/>
          </w:tcPr>
          <w:p w:rsidR="00F83F5D" w:rsidRPr="00552A97" w:rsidRDefault="00F83F5D" w:rsidP="00824CD4">
            <w:pPr>
              <w:pStyle w:val="TableHeaderCenter"/>
              <w:tabs>
                <w:tab w:val="clear" w:pos="432"/>
              </w:tabs>
              <w:spacing w:line="228" w:lineRule="auto"/>
              <w:rPr>
                <w:szCs w:val="18"/>
              </w:rPr>
            </w:pPr>
            <w:r w:rsidRPr="00552A97">
              <w:rPr>
                <w:szCs w:val="18"/>
              </w:rPr>
              <w:t>Total Response Time (Hours</w:t>
            </w:r>
            <w:r>
              <w:rPr>
                <w:szCs w:val="18"/>
              </w:rPr>
              <w:t>/Year</w:t>
            </w:r>
            <w:r w:rsidRPr="00552A97">
              <w:rPr>
                <w:szCs w:val="18"/>
              </w:rPr>
              <w:t>)</w:t>
            </w:r>
          </w:p>
        </w:tc>
        <w:tc>
          <w:tcPr>
            <w:tcW w:w="961" w:type="dxa"/>
            <w:tcBorders>
              <w:top w:val="single" w:sz="12" w:space="0" w:color="1F497D"/>
              <w:left w:val="nil"/>
              <w:bottom w:val="single" w:sz="2" w:space="0" w:color="auto"/>
              <w:right w:val="nil"/>
            </w:tcBorders>
            <w:vAlign w:val="bottom"/>
          </w:tcPr>
          <w:p w:rsidR="00F83F5D" w:rsidRPr="00552A97" w:rsidRDefault="00F83F5D" w:rsidP="00DD36C0">
            <w:pPr>
              <w:pStyle w:val="TableHeaderCenter"/>
              <w:tabs>
                <w:tab w:val="clear" w:pos="432"/>
              </w:tabs>
              <w:spacing w:line="228" w:lineRule="auto"/>
              <w:rPr>
                <w:szCs w:val="18"/>
              </w:rPr>
            </w:pPr>
            <w:r w:rsidRPr="00552A97">
              <w:rPr>
                <w:szCs w:val="18"/>
              </w:rPr>
              <w:t xml:space="preserve">Total </w:t>
            </w:r>
            <w:r>
              <w:rPr>
                <w:szCs w:val="18"/>
              </w:rPr>
              <w:t>Burden</w:t>
            </w:r>
            <w:r w:rsidRPr="00552A97">
              <w:rPr>
                <w:szCs w:val="18"/>
              </w:rPr>
              <w:t xml:space="preserve"> Time (Hours)</w:t>
            </w:r>
          </w:p>
        </w:tc>
      </w:tr>
      <w:tr w:rsidR="00F83F5D" w:rsidRPr="00552A97" w:rsidTr="002A05AB">
        <w:trPr>
          <w:trHeight w:val="328"/>
        </w:trPr>
        <w:tc>
          <w:tcPr>
            <w:tcW w:w="2178" w:type="dxa"/>
          </w:tcPr>
          <w:p w:rsidR="00F83F5D" w:rsidRPr="00B858FD" w:rsidRDefault="00F83F5D" w:rsidP="000D4D27">
            <w:pPr>
              <w:pStyle w:val="TableText"/>
              <w:spacing w:before="60" w:after="60"/>
              <w:rPr>
                <w:b/>
              </w:rPr>
            </w:pPr>
            <w:r w:rsidRPr="005511A7">
              <w:rPr>
                <w:b/>
              </w:rPr>
              <w:t>District staff</w:t>
            </w:r>
          </w:p>
        </w:tc>
        <w:tc>
          <w:tcPr>
            <w:tcW w:w="1440" w:type="dxa"/>
          </w:tcPr>
          <w:p w:rsidR="00F83F5D" w:rsidRPr="00552A97" w:rsidRDefault="00F83F5D" w:rsidP="004D30EB">
            <w:pPr>
              <w:pStyle w:val="TableText"/>
              <w:rPr>
                <w:szCs w:val="18"/>
              </w:rPr>
            </w:pPr>
          </w:p>
        </w:tc>
        <w:tc>
          <w:tcPr>
            <w:tcW w:w="1170" w:type="dxa"/>
          </w:tcPr>
          <w:p w:rsidR="00F83F5D" w:rsidRPr="00552A97" w:rsidRDefault="00F83F5D" w:rsidP="004D30EB">
            <w:pPr>
              <w:pStyle w:val="TableText"/>
              <w:rPr>
                <w:szCs w:val="18"/>
              </w:rPr>
            </w:pPr>
          </w:p>
        </w:tc>
        <w:tc>
          <w:tcPr>
            <w:tcW w:w="1350" w:type="dxa"/>
          </w:tcPr>
          <w:p w:rsidR="00F83F5D" w:rsidRPr="00552A97" w:rsidRDefault="00F83F5D" w:rsidP="004D30EB">
            <w:pPr>
              <w:pStyle w:val="TableText"/>
              <w:rPr>
                <w:szCs w:val="18"/>
              </w:rPr>
            </w:pPr>
          </w:p>
        </w:tc>
        <w:tc>
          <w:tcPr>
            <w:tcW w:w="1080" w:type="dxa"/>
          </w:tcPr>
          <w:p w:rsidR="00F83F5D" w:rsidRPr="00552A97" w:rsidRDefault="00F83F5D" w:rsidP="004D30EB">
            <w:pPr>
              <w:pStyle w:val="TableText"/>
              <w:rPr>
                <w:szCs w:val="18"/>
              </w:rPr>
            </w:pPr>
          </w:p>
        </w:tc>
        <w:tc>
          <w:tcPr>
            <w:tcW w:w="1397" w:type="dxa"/>
          </w:tcPr>
          <w:p w:rsidR="00F83F5D" w:rsidRPr="00552A97" w:rsidRDefault="00F83F5D" w:rsidP="004D30EB">
            <w:pPr>
              <w:pStyle w:val="TableText"/>
              <w:rPr>
                <w:szCs w:val="18"/>
              </w:rPr>
            </w:pPr>
          </w:p>
        </w:tc>
        <w:tc>
          <w:tcPr>
            <w:tcW w:w="961" w:type="dxa"/>
          </w:tcPr>
          <w:p w:rsidR="00F83F5D" w:rsidRPr="00552A97" w:rsidRDefault="00F83F5D" w:rsidP="004D30EB">
            <w:pPr>
              <w:pStyle w:val="TableText"/>
              <w:rPr>
                <w:szCs w:val="18"/>
              </w:rPr>
            </w:pPr>
          </w:p>
        </w:tc>
      </w:tr>
      <w:tr w:rsidR="00F83F5D" w:rsidRPr="00552A97" w:rsidTr="002A05AB">
        <w:tc>
          <w:tcPr>
            <w:tcW w:w="2178" w:type="dxa"/>
          </w:tcPr>
          <w:p w:rsidR="00F83F5D" w:rsidRDefault="00F83F5D" w:rsidP="005511A7">
            <w:pPr>
              <w:pStyle w:val="TableText"/>
              <w:tabs>
                <w:tab w:val="left" w:pos="245"/>
              </w:tabs>
              <w:spacing w:before="60" w:after="60"/>
              <w:rPr>
                <w:szCs w:val="18"/>
              </w:rPr>
            </w:pPr>
            <w:r>
              <w:rPr>
                <w:szCs w:val="18"/>
              </w:rPr>
              <w:t xml:space="preserve">Recruitment by phone (once)  </w:t>
            </w:r>
          </w:p>
        </w:tc>
        <w:tc>
          <w:tcPr>
            <w:tcW w:w="1440" w:type="dxa"/>
            <w:vAlign w:val="bottom"/>
          </w:tcPr>
          <w:p w:rsidR="00F83F5D" w:rsidRPr="00552A97" w:rsidRDefault="00BC7B5B" w:rsidP="00BC7B5B">
            <w:pPr>
              <w:pStyle w:val="TableText"/>
              <w:spacing w:before="60" w:after="60"/>
              <w:jc w:val="center"/>
              <w:rPr>
                <w:szCs w:val="18"/>
              </w:rPr>
            </w:pPr>
            <w:r>
              <w:rPr>
                <w:szCs w:val="18"/>
              </w:rPr>
              <w:t>1</w:t>
            </w:r>
            <w:r w:rsidR="001B55B6">
              <w:rPr>
                <w:szCs w:val="18"/>
              </w:rPr>
              <w:t>0</w:t>
            </w:r>
            <w:r>
              <w:rPr>
                <w:szCs w:val="18"/>
              </w:rPr>
              <w:t>0</w:t>
            </w:r>
          </w:p>
        </w:tc>
        <w:tc>
          <w:tcPr>
            <w:tcW w:w="1170" w:type="dxa"/>
            <w:vAlign w:val="bottom"/>
          </w:tcPr>
          <w:p w:rsidR="00F83F5D" w:rsidRPr="00552A97" w:rsidRDefault="00F83F5D" w:rsidP="00F91980">
            <w:pPr>
              <w:pStyle w:val="TableText"/>
              <w:spacing w:before="60" w:after="60"/>
              <w:jc w:val="center"/>
              <w:rPr>
                <w:szCs w:val="18"/>
              </w:rPr>
            </w:pPr>
            <w:r>
              <w:rPr>
                <w:szCs w:val="18"/>
              </w:rPr>
              <w:t>100</w:t>
            </w:r>
          </w:p>
        </w:tc>
        <w:tc>
          <w:tcPr>
            <w:tcW w:w="1350" w:type="dxa"/>
            <w:vAlign w:val="bottom"/>
          </w:tcPr>
          <w:p w:rsidR="00F83F5D" w:rsidRPr="00552A97" w:rsidRDefault="00BC7B5B" w:rsidP="00BC7B5B">
            <w:pPr>
              <w:pStyle w:val="TableText"/>
              <w:spacing w:before="60" w:after="60"/>
              <w:jc w:val="center"/>
              <w:rPr>
                <w:szCs w:val="18"/>
              </w:rPr>
            </w:pPr>
            <w:r>
              <w:rPr>
                <w:szCs w:val="18"/>
              </w:rPr>
              <w:t>1</w:t>
            </w:r>
            <w:r w:rsidR="001B55B6">
              <w:rPr>
                <w:szCs w:val="18"/>
              </w:rPr>
              <w:t>0</w:t>
            </w:r>
            <w:r>
              <w:rPr>
                <w:szCs w:val="18"/>
              </w:rPr>
              <w:t>0</w:t>
            </w:r>
          </w:p>
        </w:tc>
        <w:tc>
          <w:tcPr>
            <w:tcW w:w="1080" w:type="dxa"/>
            <w:vAlign w:val="bottom"/>
          </w:tcPr>
          <w:p w:rsidR="00F83F5D" w:rsidRPr="00552A97" w:rsidRDefault="00F83F5D" w:rsidP="00F91980">
            <w:pPr>
              <w:pStyle w:val="TableText"/>
              <w:spacing w:before="60" w:after="60"/>
              <w:jc w:val="center"/>
              <w:rPr>
                <w:szCs w:val="18"/>
              </w:rPr>
            </w:pPr>
            <w:r>
              <w:rPr>
                <w:szCs w:val="18"/>
              </w:rPr>
              <w:t>2</w:t>
            </w:r>
          </w:p>
        </w:tc>
        <w:tc>
          <w:tcPr>
            <w:tcW w:w="1397" w:type="dxa"/>
            <w:vAlign w:val="bottom"/>
          </w:tcPr>
          <w:p w:rsidR="00F83F5D" w:rsidRPr="00552A97" w:rsidRDefault="001B55B6" w:rsidP="00BC7B5B">
            <w:pPr>
              <w:pStyle w:val="TableText"/>
              <w:spacing w:before="60" w:after="60"/>
              <w:jc w:val="center"/>
              <w:rPr>
                <w:szCs w:val="18"/>
              </w:rPr>
            </w:pPr>
            <w:r>
              <w:rPr>
                <w:szCs w:val="18"/>
              </w:rPr>
              <w:t>2</w:t>
            </w:r>
            <w:r w:rsidR="00BC7B5B">
              <w:rPr>
                <w:szCs w:val="18"/>
              </w:rPr>
              <w:t>00</w:t>
            </w:r>
          </w:p>
        </w:tc>
        <w:tc>
          <w:tcPr>
            <w:tcW w:w="961" w:type="dxa"/>
            <w:vAlign w:val="bottom"/>
          </w:tcPr>
          <w:p w:rsidR="00F83F5D" w:rsidRDefault="001B55B6">
            <w:pPr>
              <w:pStyle w:val="TableText"/>
              <w:spacing w:before="60" w:after="60"/>
              <w:jc w:val="center"/>
              <w:rPr>
                <w:szCs w:val="18"/>
              </w:rPr>
            </w:pPr>
            <w:r>
              <w:rPr>
                <w:szCs w:val="18"/>
              </w:rPr>
              <w:t>2</w:t>
            </w:r>
            <w:r w:rsidR="00BC7B5B">
              <w:rPr>
                <w:szCs w:val="18"/>
              </w:rPr>
              <w:t>00</w:t>
            </w:r>
          </w:p>
        </w:tc>
      </w:tr>
      <w:tr w:rsidR="00F83F5D" w:rsidRPr="00552A97" w:rsidTr="002A05AB">
        <w:tc>
          <w:tcPr>
            <w:tcW w:w="2178" w:type="dxa"/>
          </w:tcPr>
          <w:p w:rsidR="00F83F5D" w:rsidRDefault="00F83F5D" w:rsidP="005511A7">
            <w:pPr>
              <w:pStyle w:val="TableText"/>
              <w:tabs>
                <w:tab w:val="left" w:pos="245"/>
              </w:tabs>
              <w:spacing w:before="60" w:after="60"/>
              <w:rPr>
                <w:szCs w:val="18"/>
              </w:rPr>
            </w:pPr>
            <w:r>
              <w:rPr>
                <w:szCs w:val="18"/>
              </w:rPr>
              <w:t xml:space="preserve">Recruitment by site </w:t>
            </w:r>
            <w:proofErr w:type="spellStart"/>
            <w:r>
              <w:rPr>
                <w:szCs w:val="18"/>
              </w:rPr>
              <w:t>visit</w:t>
            </w:r>
            <w:r w:rsidRPr="002C7FED">
              <w:rPr>
                <w:sz w:val="20"/>
                <w:szCs w:val="20"/>
                <w:vertAlign w:val="superscript"/>
              </w:rPr>
              <w:t>a</w:t>
            </w:r>
            <w:proofErr w:type="spellEnd"/>
            <w:r w:rsidRPr="002C7FED">
              <w:rPr>
                <w:sz w:val="20"/>
                <w:szCs w:val="20"/>
                <w:vertAlign w:val="superscript"/>
              </w:rPr>
              <w:t xml:space="preserve"> </w:t>
            </w:r>
            <w:r>
              <w:rPr>
                <w:szCs w:val="18"/>
              </w:rPr>
              <w:t>(once)</w:t>
            </w:r>
          </w:p>
        </w:tc>
        <w:tc>
          <w:tcPr>
            <w:tcW w:w="1440" w:type="dxa"/>
            <w:vAlign w:val="bottom"/>
          </w:tcPr>
          <w:p w:rsidR="00F83F5D" w:rsidRPr="00552A97" w:rsidRDefault="00F83F5D" w:rsidP="00824CD4">
            <w:pPr>
              <w:pStyle w:val="TableText"/>
              <w:spacing w:before="60" w:after="60"/>
              <w:jc w:val="center"/>
              <w:rPr>
                <w:szCs w:val="18"/>
              </w:rPr>
            </w:pPr>
            <w:r>
              <w:rPr>
                <w:szCs w:val="18"/>
              </w:rPr>
              <w:t>30</w:t>
            </w:r>
          </w:p>
        </w:tc>
        <w:tc>
          <w:tcPr>
            <w:tcW w:w="1170" w:type="dxa"/>
            <w:vAlign w:val="bottom"/>
          </w:tcPr>
          <w:p w:rsidR="00F83F5D" w:rsidRPr="00552A97" w:rsidRDefault="00F83F5D" w:rsidP="00F91980">
            <w:pPr>
              <w:pStyle w:val="TableText"/>
              <w:spacing w:before="60" w:after="60"/>
              <w:jc w:val="center"/>
              <w:rPr>
                <w:szCs w:val="18"/>
              </w:rPr>
            </w:pPr>
            <w:r>
              <w:rPr>
                <w:szCs w:val="18"/>
              </w:rPr>
              <w:t>100</w:t>
            </w:r>
          </w:p>
        </w:tc>
        <w:tc>
          <w:tcPr>
            <w:tcW w:w="1350" w:type="dxa"/>
            <w:vAlign w:val="bottom"/>
          </w:tcPr>
          <w:p w:rsidR="00F83F5D" w:rsidRPr="00552A97" w:rsidRDefault="00F83F5D" w:rsidP="00824CD4">
            <w:pPr>
              <w:pStyle w:val="TableText"/>
              <w:spacing w:before="60" w:after="60"/>
              <w:jc w:val="center"/>
              <w:rPr>
                <w:szCs w:val="18"/>
              </w:rPr>
            </w:pPr>
            <w:r>
              <w:rPr>
                <w:szCs w:val="18"/>
              </w:rPr>
              <w:t>30</w:t>
            </w:r>
          </w:p>
        </w:tc>
        <w:tc>
          <w:tcPr>
            <w:tcW w:w="1080" w:type="dxa"/>
            <w:vAlign w:val="bottom"/>
          </w:tcPr>
          <w:p w:rsidR="00F83F5D" w:rsidRPr="00552A97" w:rsidRDefault="00F83F5D" w:rsidP="00F91980">
            <w:pPr>
              <w:pStyle w:val="TableText"/>
              <w:spacing w:before="60" w:after="60"/>
              <w:jc w:val="center"/>
              <w:rPr>
                <w:szCs w:val="18"/>
              </w:rPr>
            </w:pPr>
            <w:r>
              <w:rPr>
                <w:szCs w:val="18"/>
              </w:rPr>
              <w:t>2</w:t>
            </w:r>
          </w:p>
        </w:tc>
        <w:tc>
          <w:tcPr>
            <w:tcW w:w="1397" w:type="dxa"/>
            <w:vAlign w:val="bottom"/>
          </w:tcPr>
          <w:p w:rsidR="00F83F5D" w:rsidRPr="00552A97" w:rsidRDefault="00F83F5D" w:rsidP="00824CD4">
            <w:pPr>
              <w:pStyle w:val="TableText"/>
              <w:spacing w:before="60" w:after="60"/>
              <w:jc w:val="center"/>
              <w:rPr>
                <w:szCs w:val="18"/>
              </w:rPr>
            </w:pPr>
            <w:r>
              <w:rPr>
                <w:szCs w:val="18"/>
              </w:rPr>
              <w:t>60</w:t>
            </w:r>
          </w:p>
        </w:tc>
        <w:tc>
          <w:tcPr>
            <w:tcW w:w="961" w:type="dxa"/>
            <w:vAlign w:val="bottom"/>
          </w:tcPr>
          <w:p w:rsidR="00F83F5D" w:rsidRDefault="00F83F5D">
            <w:pPr>
              <w:pStyle w:val="TableText"/>
              <w:spacing w:before="60" w:after="60"/>
              <w:jc w:val="center"/>
              <w:rPr>
                <w:szCs w:val="18"/>
              </w:rPr>
            </w:pPr>
            <w:r>
              <w:rPr>
                <w:szCs w:val="18"/>
              </w:rPr>
              <w:t>60</w:t>
            </w:r>
          </w:p>
        </w:tc>
      </w:tr>
      <w:tr w:rsidR="00F83F5D" w:rsidRPr="00552A97" w:rsidTr="002A05AB">
        <w:tc>
          <w:tcPr>
            <w:tcW w:w="2178" w:type="dxa"/>
          </w:tcPr>
          <w:p w:rsidR="00F83F5D" w:rsidRPr="00552A97" w:rsidRDefault="00F83F5D" w:rsidP="000D4D27">
            <w:pPr>
              <w:pStyle w:val="TableText"/>
              <w:spacing w:before="60" w:after="60"/>
              <w:rPr>
                <w:szCs w:val="18"/>
              </w:rPr>
            </w:pPr>
            <w:r>
              <w:rPr>
                <w:szCs w:val="18"/>
              </w:rPr>
              <w:t>Phone interview (three staff at each district; 3 rounds)</w:t>
            </w:r>
          </w:p>
        </w:tc>
        <w:tc>
          <w:tcPr>
            <w:tcW w:w="1440" w:type="dxa"/>
            <w:vAlign w:val="bottom"/>
          </w:tcPr>
          <w:p w:rsidR="00F83F5D" w:rsidRPr="00552A97" w:rsidRDefault="00F83F5D" w:rsidP="00824CD4">
            <w:pPr>
              <w:pStyle w:val="TableText"/>
              <w:spacing w:before="60" w:after="60"/>
              <w:jc w:val="center"/>
              <w:rPr>
                <w:szCs w:val="18"/>
              </w:rPr>
            </w:pPr>
            <w:r>
              <w:rPr>
                <w:szCs w:val="18"/>
              </w:rPr>
              <w:t>90</w:t>
            </w:r>
          </w:p>
        </w:tc>
        <w:tc>
          <w:tcPr>
            <w:tcW w:w="1170" w:type="dxa"/>
            <w:vAlign w:val="bottom"/>
          </w:tcPr>
          <w:p w:rsidR="00F83F5D" w:rsidRPr="00552A97" w:rsidRDefault="00F83F5D" w:rsidP="00F91980">
            <w:pPr>
              <w:pStyle w:val="TableText"/>
              <w:spacing w:before="60" w:after="60"/>
              <w:jc w:val="center"/>
              <w:rPr>
                <w:szCs w:val="18"/>
              </w:rPr>
            </w:pPr>
            <w:r>
              <w:rPr>
                <w:szCs w:val="18"/>
              </w:rPr>
              <w:t>100</w:t>
            </w:r>
          </w:p>
        </w:tc>
        <w:tc>
          <w:tcPr>
            <w:tcW w:w="1350" w:type="dxa"/>
            <w:vAlign w:val="bottom"/>
          </w:tcPr>
          <w:p w:rsidR="00F83F5D" w:rsidRPr="00552A97" w:rsidRDefault="003344D3" w:rsidP="00824CD4">
            <w:pPr>
              <w:pStyle w:val="TableText"/>
              <w:spacing w:before="60" w:after="60"/>
              <w:jc w:val="center"/>
              <w:rPr>
                <w:szCs w:val="18"/>
              </w:rPr>
            </w:pPr>
            <w:r>
              <w:rPr>
                <w:szCs w:val="18"/>
              </w:rPr>
              <w:t>27</w:t>
            </w:r>
            <w:r w:rsidR="00F83F5D">
              <w:rPr>
                <w:szCs w:val="18"/>
              </w:rPr>
              <w:t>0</w:t>
            </w:r>
          </w:p>
        </w:tc>
        <w:tc>
          <w:tcPr>
            <w:tcW w:w="1080" w:type="dxa"/>
            <w:vAlign w:val="bottom"/>
          </w:tcPr>
          <w:p w:rsidR="00F83F5D" w:rsidRPr="00552A97" w:rsidRDefault="00F83F5D" w:rsidP="00F91980">
            <w:pPr>
              <w:pStyle w:val="TableText"/>
              <w:spacing w:before="60" w:after="60"/>
              <w:jc w:val="center"/>
              <w:rPr>
                <w:szCs w:val="18"/>
              </w:rPr>
            </w:pPr>
            <w:r>
              <w:rPr>
                <w:szCs w:val="18"/>
              </w:rPr>
              <w:t>1</w:t>
            </w:r>
          </w:p>
        </w:tc>
        <w:tc>
          <w:tcPr>
            <w:tcW w:w="1397" w:type="dxa"/>
            <w:vAlign w:val="bottom"/>
          </w:tcPr>
          <w:p w:rsidR="00F83F5D" w:rsidRPr="00552A97" w:rsidRDefault="00F83F5D" w:rsidP="00824CD4">
            <w:pPr>
              <w:pStyle w:val="TableText"/>
              <w:spacing w:before="60" w:after="60"/>
              <w:jc w:val="center"/>
              <w:rPr>
                <w:szCs w:val="18"/>
              </w:rPr>
            </w:pPr>
            <w:r>
              <w:rPr>
                <w:szCs w:val="18"/>
              </w:rPr>
              <w:t>90</w:t>
            </w:r>
          </w:p>
        </w:tc>
        <w:tc>
          <w:tcPr>
            <w:tcW w:w="961" w:type="dxa"/>
            <w:vAlign w:val="bottom"/>
          </w:tcPr>
          <w:p w:rsidR="00F83F5D" w:rsidRDefault="00F83F5D">
            <w:pPr>
              <w:pStyle w:val="TableText"/>
              <w:spacing w:before="60" w:after="60"/>
              <w:jc w:val="center"/>
              <w:rPr>
                <w:szCs w:val="18"/>
              </w:rPr>
            </w:pPr>
            <w:r>
              <w:rPr>
                <w:szCs w:val="18"/>
              </w:rPr>
              <w:t>270</w:t>
            </w:r>
          </w:p>
        </w:tc>
      </w:tr>
      <w:tr w:rsidR="00F83F5D" w:rsidRPr="00552A97" w:rsidTr="002A05AB">
        <w:tc>
          <w:tcPr>
            <w:tcW w:w="2178" w:type="dxa"/>
          </w:tcPr>
          <w:p w:rsidR="00F83F5D" w:rsidRDefault="00F83F5D">
            <w:pPr>
              <w:pStyle w:val="TableText"/>
              <w:spacing w:before="60" w:after="60"/>
              <w:rPr>
                <w:szCs w:val="18"/>
              </w:rPr>
            </w:pPr>
            <w:r>
              <w:rPr>
                <w:szCs w:val="18"/>
              </w:rPr>
              <w:t>S</w:t>
            </w:r>
            <w:r w:rsidRPr="00552A97">
              <w:rPr>
                <w:szCs w:val="18"/>
              </w:rPr>
              <w:t>tudent records data</w:t>
            </w:r>
            <w:r>
              <w:rPr>
                <w:szCs w:val="18"/>
              </w:rPr>
              <w:t>, Round 1</w:t>
            </w:r>
            <w:r w:rsidRPr="002C7FED">
              <w:rPr>
                <w:sz w:val="20"/>
                <w:szCs w:val="20"/>
                <w:vertAlign w:val="superscript"/>
              </w:rPr>
              <w:t>b</w:t>
            </w:r>
            <w:r>
              <w:rPr>
                <w:szCs w:val="18"/>
              </w:rPr>
              <w:t xml:space="preserve"> (once)</w:t>
            </w:r>
          </w:p>
        </w:tc>
        <w:tc>
          <w:tcPr>
            <w:tcW w:w="1440" w:type="dxa"/>
            <w:vAlign w:val="bottom"/>
          </w:tcPr>
          <w:p w:rsidR="00F83F5D" w:rsidRPr="00552A97" w:rsidRDefault="00F83F5D" w:rsidP="00824CD4">
            <w:pPr>
              <w:pStyle w:val="TableText"/>
              <w:spacing w:before="60" w:after="60"/>
              <w:jc w:val="center"/>
              <w:rPr>
                <w:szCs w:val="18"/>
              </w:rPr>
            </w:pPr>
            <w:r>
              <w:rPr>
                <w:szCs w:val="18"/>
              </w:rPr>
              <w:t>30</w:t>
            </w:r>
          </w:p>
        </w:tc>
        <w:tc>
          <w:tcPr>
            <w:tcW w:w="1170" w:type="dxa"/>
            <w:vAlign w:val="bottom"/>
          </w:tcPr>
          <w:p w:rsidR="00F83F5D" w:rsidRPr="00552A97" w:rsidRDefault="00F83F5D" w:rsidP="00F91980">
            <w:pPr>
              <w:pStyle w:val="TableText"/>
              <w:spacing w:before="60" w:after="60"/>
              <w:jc w:val="center"/>
              <w:rPr>
                <w:szCs w:val="18"/>
              </w:rPr>
            </w:pPr>
            <w:r>
              <w:rPr>
                <w:szCs w:val="18"/>
              </w:rPr>
              <w:t>100</w:t>
            </w:r>
          </w:p>
        </w:tc>
        <w:tc>
          <w:tcPr>
            <w:tcW w:w="1350" w:type="dxa"/>
            <w:vAlign w:val="bottom"/>
          </w:tcPr>
          <w:p w:rsidR="00F83F5D" w:rsidRPr="00552A97" w:rsidRDefault="00F83F5D" w:rsidP="00824CD4">
            <w:pPr>
              <w:pStyle w:val="TableText"/>
              <w:spacing w:before="60" w:after="60"/>
              <w:jc w:val="center"/>
              <w:rPr>
                <w:szCs w:val="18"/>
              </w:rPr>
            </w:pPr>
            <w:r>
              <w:rPr>
                <w:szCs w:val="18"/>
              </w:rPr>
              <w:t>30</w:t>
            </w:r>
          </w:p>
        </w:tc>
        <w:tc>
          <w:tcPr>
            <w:tcW w:w="1080" w:type="dxa"/>
            <w:vAlign w:val="bottom"/>
          </w:tcPr>
          <w:p w:rsidR="00F83F5D" w:rsidRPr="00552A97" w:rsidRDefault="00F83F5D" w:rsidP="00F91980">
            <w:pPr>
              <w:pStyle w:val="TableText"/>
              <w:spacing w:before="60" w:after="60"/>
              <w:jc w:val="center"/>
              <w:rPr>
                <w:szCs w:val="18"/>
              </w:rPr>
            </w:pPr>
            <w:r>
              <w:rPr>
                <w:szCs w:val="18"/>
              </w:rPr>
              <w:t>20</w:t>
            </w:r>
          </w:p>
        </w:tc>
        <w:tc>
          <w:tcPr>
            <w:tcW w:w="1397" w:type="dxa"/>
            <w:vAlign w:val="bottom"/>
          </w:tcPr>
          <w:p w:rsidR="00F83F5D" w:rsidRPr="00552A97" w:rsidRDefault="00F83F5D" w:rsidP="00824CD4">
            <w:pPr>
              <w:pStyle w:val="TableText"/>
              <w:spacing w:before="60" w:after="60"/>
              <w:jc w:val="center"/>
              <w:rPr>
                <w:szCs w:val="18"/>
              </w:rPr>
            </w:pPr>
            <w:r>
              <w:rPr>
                <w:szCs w:val="18"/>
              </w:rPr>
              <w:t>600</w:t>
            </w:r>
          </w:p>
        </w:tc>
        <w:tc>
          <w:tcPr>
            <w:tcW w:w="961" w:type="dxa"/>
            <w:vAlign w:val="bottom"/>
          </w:tcPr>
          <w:p w:rsidR="00F83F5D" w:rsidRDefault="00F83F5D">
            <w:pPr>
              <w:pStyle w:val="TableText"/>
              <w:spacing w:before="60" w:after="60"/>
              <w:jc w:val="center"/>
              <w:rPr>
                <w:szCs w:val="18"/>
              </w:rPr>
            </w:pPr>
            <w:r>
              <w:rPr>
                <w:szCs w:val="18"/>
              </w:rPr>
              <w:t>600</w:t>
            </w:r>
          </w:p>
        </w:tc>
      </w:tr>
      <w:tr w:rsidR="00F83F5D" w:rsidRPr="00552A97" w:rsidTr="002A05AB">
        <w:tc>
          <w:tcPr>
            <w:tcW w:w="2178" w:type="dxa"/>
          </w:tcPr>
          <w:p w:rsidR="00F83F5D" w:rsidRDefault="00F83F5D">
            <w:pPr>
              <w:pStyle w:val="TableText"/>
              <w:spacing w:before="60" w:after="60"/>
              <w:ind w:left="-25" w:firstLine="25"/>
              <w:rPr>
                <w:szCs w:val="18"/>
              </w:rPr>
            </w:pPr>
            <w:r>
              <w:rPr>
                <w:szCs w:val="18"/>
              </w:rPr>
              <w:t>S</w:t>
            </w:r>
            <w:r w:rsidRPr="00552A97">
              <w:rPr>
                <w:szCs w:val="18"/>
              </w:rPr>
              <w:t>tudent records data</w:t>
            </w:r>
            <w:r>
              <w:rPr>
                <w:szCs w:val="18"/>
              </w:rPr>
              <w:t xml:space="preserve">, </w:t>
            </w:r>
            <w:r>
              <w:rPr>
                <w:szCs w:val="18"/>
              </w:rPr>
              <w:br/>
              <w:t>Rounds 2-4</w:t>
            </w:r>
            <w:r w:rsidRPr="002C7FED">
              <w:rPr>
                <w:sz w:val="20"/>
                <w:szCs w:val="20"/>
                <w:vertAlign w:val="superscript"/>
              </w:rPr>
              <w:t>b</w:t>
            </w:r>
            <w:r>
              <w:rPr>
                <w:szCs w:val="18"/>
              </w:rPr>
              <w:t xml:space="preserve"> (three times)</w:t>
            </w:r>
          </w:p>
        </w:tc>
        <w:tc>
          <w:tcPr>
            <w:tcW w:w="1440" w:type="dxa"/>
            <w:vAlign w:val="bottom"/>
          </w:tcPr>
          <w:p w:rsidR="00F83F5D" w:rsidRDefault="00F83F5D" w:rsidP="00824CD4">
            <w:pPr>
              <w:pStyle w:val="TableText"/>
              <w:spacing w:before="60" w:after="60"/>
              <w:jc w:val="center"/>
              <w:rPr>
                <w:szCs w:val="18"/>
              </w:rPr>
            </w:pPr>
            <w:r>
              <w:rPr>
                <w:szCs w:val="18"/>
              </w:rPr>
              <w:t>30</w:t>
            </w:r>
          </w:p>
        </w:tc>
        <w:tc>
          <w:tcPr>
            <w:tcW w:w="1170" w:type="dxa"/>
            <w:vAlign w:val="bottom"/>
          </w:tcPr>
          <w:p w:rsidR="00F83F5D" w:rsidRDefault="00F83F5D" w:rsidP="00F91980">
            <w:pPr>
              <w:pStyle w:val="TableText"/>
              <w:spacing w:before="60" w:after="60"/>
              <w:jc w:val="center"/>
              <w:rPr>
                <w:szCs w:val="18"/>
              </w:rPr>
            </w:pPr>
            <w:r>
              <w:rPr>
                <w:szCs w:val="18"/>
              </w:rPr>
              <w:t>100</w:t>
            </w:r>
          </w:p>
        </w:tc>
        <w:tc>
          <w:tcPr>
            <w:tcW w:w="1350" w:type="dxa"/>
            <w:vAlign w:val="bottom"/>
          </w:tcPr>
          <w:p w:rsidR="00F83F5D" w:rsidRDefault="003344D3" w:rsidP="00824CD4">
            <w:pPr>
              <w:pStyle w:val="TableText"/>
              <w:spacing w:before="60" w:after="60"/>
              <w:jc w:val="center"/>
              <w:rPr>
                <w:szCs w:val="18"/>
              </w:rPr>
            </w:pPr>
            <w:r>
              <w:rPr>
                <w:szCs w:val="18"/>
              </w:rPr>
              <w:t>9</w:t>
            </w:r>
            <w:r w:rsidR="00F83F5D">
              <w:rPr>
                <w:szCs w:val="18"/>
              </w:rPr>
              <w:t>0</w:t>
            </w:r>
          </w:p>
        </w:tc>
        <w:tc>
          <w:tcPr>
            <w:tcW w:w="1080" w:type="dxa"/>
            <w:vAlign w:val="bottom"/>
          </w:tcPr>
          <w:p w:rsidR="00F83F5D" w:rsidRPr="00BB01CD" w:rsidRDefault="00F83F5D" w:rsidP="00F91980">
            <w:pPr>
              <w:pStyle w:val="TableText"/>
              <w:spacing w:before="60" w:after="60"/>
              <w:jc w:val="center"/>
              <w:rPr>
                <w:szCs w:val="18"/>
              </w:rPr>
            </w:pPr>
            <w:r w:rsidRPr="00BB01CD">
              <w:rPr>
                <w:szCs w:val="18"/>
              </w:rPr>
              <w:t>16</w:t>
            </w:r>
          </w:p>
        </w:tc>
        <w:tc>
          <w:tcPr>
            <w:tcW w:w="1397" w:type="dxa"/>
            <w:vAlign w:val="bottom"/>
          </w:tcPr>
          <w:p w:rsidR="00F83F5D" w:rsidRPr="00BB01CD" w:rsidRDefault="00F83F5D" w:rsidP="00824CD4">
            <w:pPr>
              <w:pStyle w:val="TableText"/>
              <w:spacing w:before="60" w:after="60"/>
              <w:jc w:val="center"/>
              <w:rPr>
                <w:szCs w:val="18"/>
              </w:rPr>
            </w:pPr>
            <w:r>
              <w:rPr>
                <w:szCs w:val="18"/>
              </w:rPr>
              <w:t>480</w:t>
            </w:r>
          </w:p>
        </w:tc>
        <w:tc>
          <w:tcPr>
            <w:tcW w:w="961" w:type="dxa"/>
            <w:vAlign w:val="bottom"/>
          </w:tcPr>
          <w:p w:rsidR="00F83F5D" w:rsidRDefault="00F83F5D">
            <w:pPr>
              <w:pStyle w:val="TableText"/>
              <w:spacing w:before="60" w:after="60"/>
              <w:jc w:val="center"/>
              <w:rPr>
                <w:szCs w:val="18"/>
              </w:rPr>
            </w:pPr>
            <w:r>
              <w:rPr>
                <w:szCs w:val="18"/>
              </w:rPr>
              <w:t>1,440</w:t>
            </w:r>
          </w:p>
        </w:tc>
      </w:tr>
      <w:tr w:rsidR="00F83F5D" w:rsidRPr="00552A97" w:rsidTr="002A05AB">
        <w:tc>
          <w:tcPr>
            <w:tcW w:w="2178" w:type="dxa"/>
          </w:tcPr>
          <w:p w:rsidR="00F83F5D" w:rsidRDefault="00F83F5D">
            <w:pPr>
              <w:pStyle w:val="TableText"/>
              <w:spacing w:before="60" w:after="60"/>
              <w:rPr>
                <w:vertAlign w:val="superscript"/>
              </w:rPr>
            </w:pPr>
            <w:r>
              <w:rPr>
                <w:szCs w:val="18"/>
              </w:rPr>
              <w:t>Teacher personnel data, Round 1 (once)</w:t>
            </w:r>
            <w:r>
              <w:rPr>
                <w:szCs w:val="18"/>
                <w:vertAlign w:val="superscript"/>
              </w:rPr>
              <w:t>c</w:t>
            </w:r>
          </w:p>
        </w:tc>
        <w:tc>
          <w:tcPr>
            <w:tcW w:w="1440" w:type="dxa"/>
            <w:vAlign w:val="bottom"/>
          </w:tcPr>
          <w:p w:rsidR="00F83F5D" w:rsidRPr="00552A97" w:rsidRDefault="00F83F5D" w:rsidP="00824CD4">
            <w:pPr>
              <w:pStyle w:val="TableText"/>
              <w:spacing w:before="60" w:after="60"/>
              <w:jc w:val="center"/>
              <w:rPr>
                <w:szCs w:val="18"/>
              </w:rPr>
            </w:pPr>
            <w:r>
              <w:rPr>
                <w:szCs w:val="18"/>
              </w:rPr>
              <w:t>30</w:t>
            </w:r>
          </w:p>
        </w:tc>
        <w:tc>
          <w:tcPr>
            <w:tcW w:w="1170" w:type="dxa"/>
            <w:vAlign w:val="bottom"/>
          </w:tcPr>
          <w:p w:rsidR="00F83F5D" w:rsidRPr="00552A97" w:rsidRDefault="00F83F5D" w:rsidP="00F91980">
            <w:pPr>
              <w:pStyle w:val="TableText"/>
              <w:spacing w:before="60" w:after="60"/>
              <w:jc w:val="center"/>
              <w:rPr>
                <w:szCs w:val="18"/>
              </w:rPr>
            </w:pPr>
            <w:r>
              <w:rPr>
                <w:szCs w:val="18"/>
              </w:rPr>
              <w:t>100</w:t>
            </w:r>
          </w:p>
        </w:tc>
        <w:tc>
          <w:tcPr>
            <w:tcW w:w="1350" w:type="dxa"/>
            <w:vAlign w:val="bottom"/>
          </w:tcPr>
          <w:p w:rsidR="00F83F5D" w:rsidRPr="00552A97" w:rsidRDefault="00F83F5D" w:rsidP="00824CD4">
            <w:pPr>
              <w:pStyle w:val="TableText"/>
              <w:spacing w:before="60" w:after="60"/>
              <w:jc w:val="center"/>
              <w:rPr>
                <w:szCs w:val="18"/>
              </w:rPr>
            </w:pPr>
            <w:r>
              <w:rPr>
                <w:szCs w:val="18"/>
              </w:rPr>
              <w:t>30</w:t>
            </w:r>
          </w:p>
        </w:tc>
        <w:tc>
          <w:tcPr>
            <w:tcW w:w="1080" w:type="dxa"/>
            <w:vAlign w:val="bottom"/>
          </w:tcPr>
          <w:p w:rsidR="00F83F5D" w:rsidRPr="00BB01CD" w:rsidRDefault="00E230F5" w:rsidP="00F91980">
            <w:pPr>
              <w:pStyle w:val="TableText"/>
              <w:spacing w:before="60" w:after="60"/>
              <w:jc w:val="center"/>
              <w:rPr>
                <w:szCs w:val="18"/>
              </w:rPr>
            </w:pPr>
            <w:r>
              <w:rPr>
                <w:szCs w:val="18"/>
              </w:rPr>
              <w:t>16</w:t>
            </w:r>
          </w:p>
        </w:tc>
        <w:tc>
          <w:tcPr>
            <w:tcW w:w="1397" w:type="dxa"/>
            <w:vAlign w:val="bottom"/>
          </w:tcPr>
          <w:p w:rsidR="00F83F5D" w:rsidRDefault="00E230F5">
            <w:pPr>
              <w:pStyle w:val="TableText"/>
              <w:spacing w:before="60" w:after="60"/>
              <w:jc w:val="center"/>
              <w:rPr>
                <w:szCs w:val="18"/>
              </w:rPr>
            </w:pPr>
            <w:r>
              <w:rPr>
                <w:szCs w:val="18"/>
              </w:rPr>
              <w:t>480</w:t>
            </w:r>
          </w:p>
        </w:tc>
        <w:tc>
          <w:tcPr>
            <w:tcW w:w="961" w:type="dxa"/>
            <w:vAlign w:val="bottom"/>
          </w:tcPr>
          <w:p w:rsidR="00F83F5D" w:rsidRDefault="00E230F5">
            <w:pPr>
              <w:pStyle w:val="TableText"/>
              <w:spacing w:before="60" w:after="60"/>
              <w:jc w:val="center"/>
              <w:rPr>
                <w:szCs w:val="18"/>
              </w:rPr>
            </w:pPr>
            <w:r>
              <w:rPr>
                <w:szCs w:val="18"/>
              </w:rPr>
              <w:t>480</w:t>
            </w:r>
          </w:p>
        </w:tc>
      </w:tr>
      <w:tr w:rsidR="00F83F5D" w:rsidRPr="00552A97" w:rsidTr="002A05AB">
        <w:tc>
          <w:tcPr>
            <w:tcW w:w="2178" w:type="dxa"/>
          </w:tcPr>
          <w:p w:rsidR="00F83F5D" w:rsidRDefault="00F83F5D">
            <w:pPr>
              <w:pStyle w:val="TableText"/>
              <w:spacing w:before="60" w:after="60"/>
              <w:rPr>
                <w:vertAlign w:val="superscript"/>
              </w:rPr>
            </w:pPr>
            <w:r>
              <w:rPr>
                <w:szCs w:val="18"/>
              </w:rPr>
              <w:t>Teacher personnel data, Rounds 2-4 (three times)</w:t>
            </w:r>
            <w:r>
              <w:rPr>
                <w:szCs w:val="18"/>
                <w:vertAlign w:val="superscript"/>
              </w:rPr>
              <w:t>c</w:t>
            </w:r>
          </w:p>
        </w:tc>
        <w:tc>
          <w:tcPr>
            <w:tcW w:w="1440" w:type="dxa"/>
            <w:vAlign w:val="bottom"/>
          </w:tcPr>
          <w:p w:rsidR="00F83F5D" w:rsidRDefault="00F83F5D" w:rsidP="00824CD4">
            <w:pPr>
              <w:pStyle w:val="TableText"/>
              <w:spacing w:before="60" w:after="60"/>
              <w:jc w:val="center"/>
              <w:rPr>
                <w:szCs w:val="18"/>
              </w:rPr>
            </w:pPr>
            <w:r>
              <w:rPr>
                <w:szCs w:val="18"/>
              </w:rPr>
              <w:t>30</w:t>
            </w:r>
          </w:p>
        </w:tc>
        <w:tc>
          <w:tcPr>
            <w:tcW w:w="1170" w:type="dxa"/>
            <w:vAlign w:val="bottom"/>
          </w:tcPr>
          <w:p w:rsidR="00F83F5D" w:rsidRDefault="00F83F5D" w:rsidP="00F91980">
            <w:pPr>
              <w:pStyle w:val="TableText"/>
              <w:spacing w:before="60" w:after="60"/>
              <w:jc w:val="center"/>
              <w:rPr>
                <w:szCs w:val="18"/>
              </w:rPr>
            </w:pPr>
            <w:r>
              <w:rPr>
                <w:szCs w:val="18"/>
              </w:rPr>
              <w:t>100</w:t>
            </w:r>
          </w:p>
        </w:tc>
        <w:tc>
          <w:tcPr>
            <w:tcW w:w="1350" w:type="dxa"/>
            <w:vAlign w:val="bottom"/>
          </w:tcPr>
          <w:p w:rsidR="00F83F5D" w:rsidRDefault="003344D3" w:rsidP="00824CD4">
            <w:pPr>
              <w:pStyle w:val="TableText"/>
              <w:spacing w:before="60" w:after="60"/>
              <w:jc w:val="center"/>
              <w:rPr>
                <w:szCs w:val="18"/>
              </w:rPr>
            </w:pPr>
            <w:r>
              <w:rPr>
                <w:szCs w:val="18"/>
              </w:rPr>
              <w:t>9</w:t>
            </w:r>
            <w:r w:rsidR="00F83F5D">
              <w:rPr>
                <w:szCs w:val="18"/>
              </w:rPr>
              <w:t>0</w:t>
            </w:r>
          </w:p>
        </w:tc>
        <w:tc>
          <w:tcPr>
            <w:tcW w:w="1080" w:type="dxa"/>
            <w:vAlign w:val="bottom"/>
          </w:tcPr>
          <w:p w:rsidR="00F83F5D" w:rsidRPr="00BB01CD" w:rsidRDefault="00E230F5" w:rsidP="00F91980">
            <w:pPr>
              <w:pStyle w:val="TableText"/>
              <w:spacing w:before="60" w:after="60"/>
              <w:jc w:val="center"/>
              <w:rPr>
                <w:szCs w:val="18"/>
              </w:rPr>
            </w:pPr>
            <w:r>
              <w:rPr>
                <w:szCs w:val="18"/>
              </w:rPr>
              <w:t>12</w:t>
            </w:r>
          </w:p>
        </w:tc>
        <w:tc>
          <w:tcPr>
            <w:tcW w:w="1397" w:type="dxa"/>
            <w:vAlign w:val="bottom"/>
          </w:tcPr>
          <w:p w:rsidR="00F83F5D" w:rsidRDefault="00E230F5">
            <w:pPr>
              <w:pStyle w:val="TableText"/>
              <w:spacing w:before="60" w:after="60"/>
              <w:jc w:val="center"/>
              <w:rPr>
                <w:szCs w:val="18"/>
              </w:rPr>
            </w:pPr>
            <w:r>
              <w:rPr>
                <w:szCs w:val="18"/>
              </w:rPr>
              <w:t>360</w:t>
            </w:r>
          </w:p>
        </w:tc>
        <w:tc>
          <w:tcPr>
            <w:tcW w:w="961" w:type="dxa"/>
            <w:vAlign w:val="bottom"/>
          </w:tcPr>
          <w:p w:rsidR="00F83F5D" w:rsidRDefault="00E230F5">
            <w:pPr>
              <w:pStyle w:val="TableText"/>
              <w:spacing w:before="60" w:after="60"/>
              <w:jc w:val="center"/>
              <w:rPr>
                <w:szCs w:val="18"/>
              </w:rPr>
            </w:pPr>
            <w:r>
              <w:rPr>
                <w:szCs w:val="18"/>
              </w:rPr>
              <w:t>1,080</w:t>
            </w:r>
          </w:p>
        </w:tc>
      </w:tr>
      <w:tr w:rsidR="00F83F5D" w:rsidRPr="00552A97" w:rsidTr="002A05AB">
        <w:tc>
          <w:tcPr>
            <w:tcW w:w="2178" w:type="dxa"/>
            <w:tcBorders>
              <w:top w:val="single" w:sz="4" w:space="0" w:color="auto"/>
              <w:bottom w:val="single" w:sz="4" w:space="0" w:color="auto"/>
            </w:tcBorders>
          </w:tcPr>
          <w:p w:rsidR="00F83F5D" w:rsidRDefault="00F83F5D" w:rsidP="005511A7">
            <w:pPr>
              <w:pStyle w:val="TableText"/>
              <w:spacing w:before="120" w:after="60"/>
              <w:rPr>
                <w:b/>
                <w:szCs w:val="18"/>
              </w:rPr>
            </w:pPr>
            <w:r w:rsidRPr="00552A97">
              <w:rPr>
                <w:b/>
                <w:szCs w:val="18"/>
              </w:rPr>
              <w:t>Total</w:t>
            </w:r>
          </w:p>
        </w:tc>
        <w:tc>
          <w:tcPr>
            <w:tcW w:w="1440" w:type="dxa"/>
            <w:tcBorders>
              <w:top w:val="single" w:sz="4" w:space="0" w:color="auto"/>
              <w:bottom w:val="single" w:sz="4" w:space="0" w:color="auto"/>
            </w:tcBorders>
            <w:vAlign w:val="center"/>
          </w:tcPr>
          <w:p w:rsidR="00F83F5D" w:rsidRDefault="001A02BB" w:rsidP="001161D5">
            <w:pPr>
              <w:pStyle w:val="TableText"/>
              <w:tabs>
                <w:tab w:val="decimal" w:pos="882"/>
              </w:tabs>
              <w:spacing w:before="120" w:after="60"/>
              <w:jc w:val="both"/>
              <w:rPr>
                <w:b/>
                <w:szCs w:val="18"/>
              </w:rPr>
            </w:pPr>
            <w:r>
              <w:rPr>
                <w:b/>
                <w:szCs w:val="18"/>
              </w:rPr>
              <w:t xml:space="preserve">340      </w:t>
            </w:r>
          </w:p>
        </w:tc>
        <w:tc>
          <w:tcPr>
            <w:tcW w:w="1170" w:type="dxa"/>
            <w:tcBorders>
              <w:top w:val="single" w:sz="4" w:space="0" w:color="auto"/>
              <w:bottom w:val="single" w:sz="4" w:space="0" w:color="auto"/>
            </w:tcBorders>
            <w:vAlign w:val="center"/>
          </w:tcPr>
          <w:p w:rsidR="00F83F5D" w:rsidRDefault="00F83F5D" w:rsidP="005511A7">
            <w:pPr>
              <w:pStyle w:val="TableText"/>
              <w:spacing w:before="120" w:after="60"/>
              <w:jc w:val="center"/>
              <w:rPr>
                <w:b/>
                <w:szCs w:val="18"/>
              </w:rPr>
            </w:pPr>
          </w:p>
        </w:tc>
        <w:tc>
          <w:tcPr>
            <w:tcW w:w="1350" w:type="dxa"/>
            <w:tcBorders>
              <w:top w:val="single" w:sz="4" w:space="0" w:color="auto"/>
              <w:bottom w:val="single" w:sz="4" w:space="0" w:color="auto"/>
            </w:tcBorders>
            <w:vAlign w:val="center"/>
          </w:tcPr>
          <w:p w:rsidR="00F83F5D" w:rsidRDefault="001A02BB" w:rsidP="005511A7">
            <w:pPr>
              <w:pStyle w:val="TableText"/>
              <w:spacing w:before="120" w:after="60"/>
              <w:jc w:val="center"/>
              <w:rPr>
                <w:b/>
                <w:szCs w:val="18"/>
              </w:rPr>
            </w:pPr>
            <w:r>
              <w:rPr>
                <w:b/>
                <w:szCs w:val="18"/>
              </w:rPr>
              <w:t>640</w:t>
            </w:r>
          </w:p>
        </w:tc>
        <w:tc>
          <w:tcPr>
            <w:tcW w:w="1080" w:type="dxa"/>
            <w:tcBorders>
              <w:top w:val="single" w:sz="4" w:space="0" w:color="auto"/>
              <w:bottom w:val="single" w:sz="4" w:space="0" w:color="auto"/>
            </w:tcBorders>
            <w:vAlign w:val="center"/>
          </w:tcPr>
          <w:p w:rsidR="00F83F5D" w:rsidRDefault="00F83F5D" w:rsidP="005511A7">
            <w:pPr>
              <w:pStyle w:val="TableText"/>
              <w:spacing w:before="120" w:after="60"/>
              <w:jc w:val="center"/>
              <w:rPr>
                <w:b/>
                <w:szCs w:val="18"/>
              </w:rPr>
            </w:pPr>
          </w:p>
        </w:tc>
        <w:tc>
          <w:tcPr>
            <w:tcW w:w="1397" w:type="dxa"/>
            <w:tcBorders>
              <w:top w:val="single" w:sz="4" w:space="0" w:color="auto"/>
              <w:bottom w:val="single" w:sz="4" w:space="0" w:color="auto"/>
            </w:tcBorders>
            <w:vAlign w:val="center"/>
          </w:tcPr>
          <w:p w:rsidR="00F83F5D" w:rsidRPr="00F91980" w:rsidRDefault="00B366F2" w:rsidP="00B366F2">
            <w:pPr>
              <w:pStyle w:val="TableText"/>
              <w:spacing w:before="120" w:after="60"/>
              <w:jc w:val="center"/>
              <w:rPr>
                <w:b/>
                <w:szCs w:val="18"/>
              </w:rPr>
            </w:pPr>
            <w:r>
              <w:rPr>
                <w:b/>
                <w:szCs w:val="18"/>
              </w:rPr>
              <w:t>2,270</w:t>
            </w:r>
          </w:p>
        </w:tc>
        <w:tc>
          <w:tcPr>
            <w:tcW w:w="961" w:type="dxa"/>
            <w:tcBorders>
              <w:top w:val="single" w:sz="4" w:space="0" w:color="auto"/>
              <w:bottom w:val="single" w:sz="4" w:space="0" w:color="auto"/>
            </w:tcBorders>
          </w:tcPr>
          <w:p w:rsidR="00F83F5D" w:rsidRDefault="00B366F2" w:rsidP="00BC7B5B">
            <w:pPr>
              <w:pStyle w:val="TableText"/>
              <w:spacing w:before="120" w:after="60"/>
              <w:jc w:val="center"/>
              <w:rPr>
                <w:b/>
                <w:szCs w:val="18"/>
              </w:rPr>
            </w:pPr>
            <w:r>
              <w:rPr>
                <w:b/>
                <w:szCs w:val="18"/>
              </w:rPr>
              <w:t>4,130</w:t>
            </w:r>
          </w:p>
        </w:tc>
      </w:tr>
    </w:tbl>
    <w:p w:rsidR="00F83F5D" w:rsidRPr="00A80E0B" w:rsidRDefault="00F83F5D" w:rsidP="002A05AB">
      <w:pPr>
        <w:pStyle w:val="TableSignificanceCaption"/>
        <w:spacing w:before="240" w:after="120"/>
        <w:ind w:left="0" w:firstLine="0"/>
        <w:jc w:val="left"/>
        <w:rPr>
          <w:szCs w:val="18"/>
        </w:rPr>
      </w:pPr>
      <w:bookmarkStart w:id="126" w:name="_Toc277338283"/>
      <w:proofErr w:type="spellStart"/>
      <w:r w:rsidRPr="002A05AB">
        <w:rPr>
          <w:szCs w:val="18"/>
          <w:vertAlign w:val="superscript"/>
        </w:rPr>
        <w:t>a</w:t>
      </w:r>
      <w:r>
        <w:rPr>
          <w:szCs w:val="18"/>
        </w:rPr>
        <w:t>Of</w:t>
      </w:r>
      <w:proofErr w:type="spellEnd"/>
      <w:r>
        <w:rPr>
          <w:szCs w:val="18"/>
        </w:rPr>
        <w:t xml:space="preserve"> the</w:t>
      </w:r>
      <w:r w:rsidRPr="002C7FED">
        <w:rPr>
          <w:szCs w:val="18"/>
        </w:rPr>
        <w:t xml:space="preserve"> </w:t>
      </w:r>
      <w:r w:rsidR="001A02BB">
        <w:rPr>
          <w:szCs w:val="18"/>
        </w:rPr>
        <w:t>10</w:t>
      </w:r>
      <w:r w:rsidR="001A02BB" w:rsidRPr="002C7FED">
        <w:rPr>
          <w:szCs w:val="18"/>
        </w:rPr>
        <w:t xml:space="preserve">0 </w:t>
      </w:r>
      <w:r w:rsidRPr="002C7FED">
        <w:rPr>
          <w:szCs w:val="18"/>
        </w:rPr>
        <w:t>districts initially contacted for recruitment by phone</w:t>
      </w:r>
      <w:r>
        <w:rPr>
          <w:szCs w:val="18"/>
        </w:rPr>
        <w:t>, we expect to conduct site visits to 30 of those districts</w:t>
      </w:r>
      <w:r w:rsidRPr="002C7FED">
        <w:rPr>
          <w:szCs w:val="18"/>
        </w:rPr>
        <w:t>.</w:t>
      </w:r>
    </w:p>
    <w:p w:rsidR="00F83F5D" w:rsidRPr="00A80E0B" w:rsidRDefault="00F83F5D" w:rsidP="002A05AB">
      <w:pPr>
        <w:pStyle w:val="TableSignificanceCaption"/>
        <w:spacing w:after="120"/>
        <w:ind w:left="0" w:firstLine="0"/>
        <w:jc w:val="left"/>
        <w:rPr>
          <w:szCs w:val="18"/>
        </w:rPr>
      </w:pPr>
      <w:proofErr w:type="spellStart"/>
      <w:r w:rsidRPr="002A05AB">
        <w:rPr>
          <w:szCs w:val="18"/>
          <w:vertAlign w:val="superscript"/>
        </w:rPr>
        <w:t>b</w:t>
      </w:r>
      <w:r w:rsidRPr="002C7FED">
        <w:rPr>
          <w:szCs w:val="18"/>
        </w:rPr>
        <w:t>We</w:t>
      </w:r>
      <w:proofErr w:type="spellEnd"/>
      <w:r w:rsidRPr="002C7FED">
        <w:rPr>
          <w:szCs w:val="18"/>
        </w:rPr>
        <w:t xml:space="preserve"> assume that the collection of student records data will take</w:t>
      </w:r>
      <w:r>
        <w:rPr>
          <w:szCs w:val="18"/>
        </w:rPr>
        <w:t xml:space="preserve"> </w:t>
      </w:r>
      <w:r w:rsidRPr="002C7FED">
        <w:rPr>
          <w:szCs w:val="18"/>
        </w:rPr>
        <w:t xml:space="preserve">more time in the first year (Round 1) than in subsequent years (Rounds 2-4). </w:t>
      </w:r>
      <w:r>
        <w:rPr>
          <w:szCs w:val="18"/>
        </w:rPr>
        <w:t>We estimate that providing the student records data will require 20 hours of time in the first year and 16 hours in later years.</w:t>
      </w:r>
    </w:p>
    <w:p w:rsidR="00F83F5D" w:rsidRPr="00A80E0B" w:rsidRDefault="00F83F5D" w:rsidP="00A82878">
      <w:pPr>
        <w:pStyle w:val="TableSignificanceCaption"/>
        <w:ind w:left="0" w:firstLine="0"/>
        <w:jc w:val="left"/>
        <w:rPr>
          <w:szCs w:val="18"/>
        </w:rPr>
      </w:pPr>
      <w:proofErr w:type="spellStart"/>
      <w:r w:rsidRPr="002A05AB">
        <w:rPr>
          <w:szCs w:val="18"/>
          <w:vertAlign w:val="superscript"/>
        </w:rPr>
        <w:t>c</w:t>
      </w:r>
      <w:r>
        <w:rPr>
          <w:szCs w:val="18"/>
        </w:rPr>
        <w:t>We</w:t>
      </w:r>
      <w:proofErr w:type="spellEnd"/>
      <w:r>
        <w:rPr>
          <w:szCs w:val="18"/>
        </w:rPr>
        <w:t xml:space="preserve"> assume that the collection of teacher personnel data will take more time in the first year (Round 1) than in subsequent years (Rounds 2-4). We estimate providing the personnel data will require </w:t>
      </w:r>
      <w:r w:rsidR="00B366F2">
        <w:rPr>
          <w:szCs w:val="18"/>
        </w:rPr>
        <w:t>16</w:t>
      </w:r>
      <w:r>
        <w:rPr>
          <w:szCs w:val="18"/>
        </w:rPr>
        <w:t xml:space="preserve"> hours in the first year and </w:t>
      </w:r>
      <w:r w:rsidR="00B366F2">
        <w:rPr>
          <w:szCs w:val="18"/>
        </w:rPr>
        <w:t>12</w:t>
      </w:r>
      <w:r>
        <w:rPr>
          <w:szCs w:val="18"/>
        </w:rPr>
        <w:t xml:space="preserve"> hours in later years.</w:t>
      </w:r>
    </w:p>
    <w:p w:rsidR="00F83F5D" w:rsidRPr="00A82878" w:rsidRDefault="00F83F5D" w:rsidP="00A82878">
      <w:pPr>
        <w:pStyle w:val="TableSignificanceCaption"/>
        <w:ind w:left="0" w:firstLine="0"/>
        <w:jc w:val="left"/>
        <w:rPr>
          <w:sz w:val="24"/>
        </w:rPr>
      </w:pPr>
    </w:p>
    <w:p w:rsidR="00F83F5D" w:rsidRPr="00D65688" w:rsidRDefault="00F83F5D" w:rsidP="000F5701">
      <w:pPr>
        <w:pStyle w:val="Heading2Blue"/>
      </w:pPr>
      <w:bookmarkStart w:id="127" w:name="_Toc260295694"/>
      <w:bookmarkStart w:id="128" w:name="_Toc280089727"/>
      <w:r>
        <w:t>13</w:t>
      </w:r>
      <w:r w:rsidRPr="00D65688">
        <w:t>.</w:t>
      </w:r>
      <w:r w:rsidRPr="00D65688">
        <w:tab/>
      </w:r>
      <w:r w:rsidRPr="00647672">
        <w:t>Estimates</w:t>
      </w:r>
      <w:r w:rsidRPr="00D65688">
        <w:t xml:space="preserve"> of </w:t>
      </w:r>
      <w:bookmarkEnd w:id="120"/>
      <w:bookmarkEnd w:id="121"/>
      <w:r w:rsidRPr="00D65688">
        <w:t>Cost Burden to Respondents</w:t>
      </w:r>
      <w:bookmarkEnd w:id="122"/>
      <w:bookmarkEnd w:id="123"/>
      <w:bookmarkEnd w:id="124"/>
      <w:bookmarkEnd w:id="126"/>
      <w:bookmarkEnd w:id="127"/>
      <w:bookmarkEnd w:id="128"/>
    </w:p>
    <w:p w:rsidR="00F83F5D" w:rsidRPr="00D65688" w:rsidRDefault="00F83F5D" w:rsidP="00A3255F">
      <w:pPr>
        <w:pStyle w:val="ParagraphLAST"/>
        <w:spacing w:line="240" w:lineRule="auto"/>
      </w:pPr>
      <w:r w:rsidRPr="00D65688">
        <w:t xml:space="preserve">There are no </w:t>
      </w:r>
      <w:r>
        <w:t>direct</w:t>
      </w:r>
      <w:r w:rsidRPr="00D65688">
        <w:t xml:space="preserve"> costs for respondents.</w:t>
      </w:r>
    </w:p>
    <w:p w:rsidR="00F83F5D" w:rsidRPr="00D65688" w:rsidRDefault="00F83F5D" w:rsidP="000F5701">
      <w:pPr>
        <w:pStyle w:val="Heading2Blue"/>
      </w:pPr>
      <w:bookmarkStart w:id="129" w:name="_Toc198100706"/>
      <w:bookmarkStart w:id="130" w:name="_Toc228592177"/>
      <w:bookmarkStart w:id="131" w:name="_Toc228593429"/>
      <w:bookmarkStart w:id="132" w:name="_Toc256354814"/>
      <w:bookmarkStart w:id="133" w:name="_Toc256354843"/>
      <w:bookmarkStart w:id="134" w:name="_Toc256361068"/>
      <w:bookmarkStart w:id="135" w:name="_Toc260295695"/>
      <w:bookmarkStart w:id="136" w:name="_Toc277338284"/>
      <w:bookmarkStart w:id="137" w:name="_Toc280089728"/>
      <w:r>
        <w:t>14</w:t>
      </w:r>
      <w:r w:rsidRPr="00D65688">
        <w:t>.</w:t>
      </w:r>
      <w:r w:rsidRPr="00D65688">
        <w:tab/>
      </w:r>
      <w:bookmarkEnd w:id="129"/>
      <w:bookmarkEnd w:id="130"/>
      <w:bookmarkEnd w:id="131"/>
      <w:bookmarkEnd w:id="132"/>
      <w:bookmarkEnd w:id="133"/>
      <w:bookmarkEnd w:id="134"/>
      <w:r w:rsidRPr="00647672">
        <w:t>Annualized</w:t>
      </w:r>
      <w:r w:rsidRPr="00F732FD">
        <w:t xml:space="preserve"> Cost to the Federal Government</w:t>
      </w:r>
      <w:bookmarkEnd w:id="135"/>
      <w:bookmarkEnd w:id="136"/>
      <w:bookmarkEnd w:id="137"/>
    </w:p>
    <w:p w:rsidR="00F83F5D" w:rsidRDefault="00F83F5D" w:rsidP="00E35168">
      <w:pPr>
        <w:pStyle w:val="NormalSS"/>
        <w:rPr>
          <w:bCs/>
        </w:rPr>
      </w:pPr>
      <w:r>
        <w:t xml:space="preserve">The estimated annual cost of the study to the federal government is </w:t>
      </w:r>
      <w:r w:rsidRPr="009B76B1">
        <w:t>$1,590,3</w:t>
      </w:r>
      <w:r>
        <w:t xml:space="preserve">79. The estimated total cost of the five-year contract is </w:t>
      </w:r>
      <w:r w:rsidRPr="009B76B1">
        <w:t>$7,951,897</w:t>
      </w:r>
      <w:r>
        <w:t xml:space="preserve">. </w:t>
      </w:r>
    </w:p>
    <w:p w:rsidR="00F83F5D" w:rsidRPr="00D65688" w:rsidRDefault="00F83F5D" w:rsidP="000F5701">
      <w:pPr>
        <w:pStyle w:val="Heading2Blue"/>
      </w:pPr>
      <w:bookmarkStart w:id="138" w:name="_Toc256354815"/>
      <w:bookmarkStart w:id="139" w:name="_Toc256354844"/>
      <w:bookmarkStart w:id="140" w:name="_Toc256361069"/>
      <w:bookmarkStart w:id="141" w:name="_Toc260295696"/>
      <w:bookmarkStart w:id="142" w:name="_Toc280089729"/>
      <w:bookmarkStart w:id="143" w:name="_Toc277338285"/>
      <w:r>
        <w:t>15</w:t>
      </w:r>
      <w:r w:rsidRPr="00D65688">
        <w:t>.</w:t>
      </w:r>
      <w:r w:rsidRPr="00D65688">
        <w:tab/>
      </w:r>
      <w:r w:rsidRPr="00647672">
        <w:t>Reasons</w:t>
      </w:r>
      <w:r w:rsidRPr="00D65688">
        <w:t xml:space="preserve"> for Program Changes or Adjustments</w:t>
      </w:r>
      <w:bookmarkEnd w:id="138"/>
      <w:bookmarkEnd w:id="139"/>
      <w:bookmarkEnd w:id="140"/>
      <w:bookmarkEnd w:id="141"/>
      <w:bookmarkEnd w:id="142"/>
      <w:bookmarkEnd w:id="143"/>
    </w:p>
    <w:p w:rsidR="00F83F5D" w:rsidRPr="00D65688" w:rsidRDefault="00F83F5D" w:rsidP="00A3255F">
      <w:pPr>
        <w:pStyle w:val="ParagraphLAST"/>
        <w:spacing w:line="240" w:lineRule="auto"/>
      </w:pPr>
      <w:r w:rsidRPr="00D65688">
        <w:t>This is a new data collection.</w:t>
      </w:r>
    </w:p>
    <w:p w:rsidR="00F83F5D" w:rsidRPr="00D511FE" w:rsidRDefault="00F83F5D" w:rsidP="000F5701">
      <w:pPr>
        <w:pStyle w:val="Heading2Blue"/>
      </w:pPr>
      <w:bookmarkStart w:id="144" w:name="_Toc198100708"/>
      <w:bookmarkStart w:id="145" w:name="_Toc228592179"/>
      <w:bookmarkStart w:id="146" w:name="_Toc228593431"/>
      <w:bookmarkStart w:id="147" w:name="_Toc280089730"/>
      <w:bookmarkStart w:id="148" w:name="_Toc277338286"/>
      <w:bookmarkStart w:id="149" w:name="_Toc256354817"/>
      <w:bookmarkStart w:id="150" w:name="_Toc256354846"/>
      <w:bookmarkStart w:id="151" w:name="_Toc256361071"/>
      <w:bookmarkStart w:id="152" w:name="_Toc260295700"/>
      <w:r>
        <w:t>16.</w:t>
      </w:r>
      <w:r>
        <w:tab/>
      </w:r>
      <w:r w:rsidRPr="00D511FE">
        <w:t>Plans for Tabulation and Publication of Results</w:t>
      </w:r>
      <w:bookmarkEnd w:id="144"/>
      <w:bookmarkEnd w:id="145"/>
      <w:bookmarkEnd w:id="146"/>
      <w:bookmarkEnd w:id="147"/>
      <w:bookmarkEnd w:id="148"/>
    </w:p>
    <w:p w:rsidR="00F83F5D" w:rsidRDefault="00F83F5D" w:rsidP="008A6D60">
      <w:pPr>
        <w:pStyle w:val="ParagraphLASTSS"/>
        <w:spacing w:after="0"/>
        <w:rPr>
          <w:rFonts w:ascii="Garamond" w:hAnsi="Garamond"/>
        </w:rPr>
      </w:pPr>
      <w:r w:rsidRPr="00A75C23">
        <w:rPr>
          <w:rFonts w:ascii="Garamond" w:hAnsi="Garamond"/>
        </w:rPr>
        <w:t xml:space="preserve">Our tabulation plans for the study include the following analyses: </w:t>
      </w:r>
    </w:p>
    <w:p w:rsidR="00F83F5D" w:rsidRDefault="00F83F5D" w:rsidP="008A6D60">
      <w:pPr>
        <w:pStyle w:val="ParagraphLASTSS"/>
        <w:spacing w:after="0"/>
        <w:rPr>
          <w:rFonts w:ascii="Garamond" w:hAnsi="Garamond"/>
        </w:rPr>
      </w:pPr>
    </w:p>
    <w:p w:rsidR="00F83F5D" w:rsidRDefault="00F83F5D" w:rsidP="00E35168">
      <w:pPr>
        <w:pStyle w:val="BulletBlue"/>
      </w:pPr>
      <w:r>
        <w:t>D</w:t>
      </w:r>
      <w:r w:rsidRPr="00A75C23">
        <w:t>escribing district policies to address the distribution of teacher effectiveness</w:t>
      </w:r>
      <w:r>
        <w:t>.</w:t>
      </w:r>
    </w:p>
    <w:p w:rsidR="00F83F5D" w:rsidRDefault="00F83F5D" w:rsidP="00E35168">
      <w:pPr>
        <w:pStyle w:val="BulletBlue"/>
      </w:pPr>
      <w:r>
        <w:t>M</w:t>
      </w:r>
      <w:r w:rsidRPr="00A75C23">
        <w:t xml:space="preserve">easuring teacher effectiveness in the classroom (using </w:t>
      </w:r>
      <w:r>
        <w:t>value-added</w:t>
      </w:r>
      <w:r w:rsidRPr="00A75C23">
        <w:t xml:space="preserve"> analysis)</w:t>
      </w:r>
      <w:r>
        <w:t>.</w:t>
      </w:r>
    </w:p>
    <w:p w:rsidR="00F83F5D" w:rsidRDefault="00F83F5D" w:rsidP="00E35168">
      <w:pPr>
        <w:pStyle w:val="BulletBlue"/>
      </w:pPr>
      <w:r>
        <w:t>M</w:t>
      </w:r>
      <w:r w:rsidRPr="00A75C23">
        <w:t>easuring the distribution of teacher effectiveness</w:t>
      </w:r>
      <w:r>
        <w:t>.</w:t>
      </w:r>
    </w:p>
    <w:p w:rsidR="00F83F5D" w:rsidRDefault="00F83F5D" w:rsidP="005511A7">
      <w:pPr>
        <w:pStyle w:val="BulletBlueLastSS"/>
      </w:pPr>
      <w:r>
        <w:t>A</w:t>
      </w:r>
      <w:r w:rsidRPr="00A75C23">
        <w:t>nalyzing the distribution of teacher effectiveness within and among districts</w:t>
      </w:r>
      <w:r>
        <w:t>.</w:t>
      </w:r>
    </w:p>
    <w:p w:rsidR="00F83F5D" w:rsidRPr="00D511FE" w:rsidRDefault="00F83F5D" w:rsidP="000F5701">
      <w:pPr>
        <w:pStyle w:val="Heading3"/>
      </w:pPr>
      <w:bookmarkStart w:id="153" w:name="_Toc277338287"/>
      <w:bookmarkStart w:id="154" w:name="_Toc280089731"/>
      <w:r>
        <w:t>a</w:t>
      </w:r>
      <w:r w:rsidRPr="00D511FE">
        <w:t>.</w:t>
      </w:r>
      <w:r>
        <w:tab/>
      </w:r>
      <w:r w:rsidRPr="00D511FE">
        <w:t>Tabulation Plans</w:t>
      </w:r>
      <w:bookmarkEnd w:id="153"/>
      <w:bookmarkEnd w:id="154"/>
    </w:p>
    <w:p w:rsidR="00F83F5D" w:rsidRPr="00675D51" w:rsidRDefault="00F83F5D" w:rsidP="000F5701">
      <w:pPr>
        <w:pStyle w:val="Heading4"/>
      </w:pPr>
      <w:bookmarkStart w:id="155" w:name="_Toc277338288"/>
      <w:bookmarkStart w:id="156" w:name="_Toc280089732"/>
      <w:proofErr w:type="spellStart"/>
      <w:r>
        <w:t>i</w:t>
      </w:r>
      <w:proofErr w:type="spellEnd"/>
      <w:r w:rsidRPr="004F4C18">
        <w:t>.</w:t>
      </w:r>
      <w:r>
        <w:tab/>
      </w:r>
      <w:r w:rsidRPr="004F4C18">
        <w:t>Describing District Policies to Address the Distribution of Teacher Effectiveness</w:t>
      </w:r>
      <w:bookmarkEnd w:id="155"/>
      <w:bookmarkEnd w:id="156"/>
    </w:p>
    <w:p w:rsidR="00721E7A" w:rsidRDefault="00721E7A" w:rsidP="00721E7A">
      <w:pPr>
        <w:pStyle w:val="NormalSS"/>
      </w:pPr>
      <w:r w:rsidRPr="000F04E3">
        <w:t xml:space="preserve">We will construct a set of policy variables to analyze the relationship between district policies and the distribution of teacher effectiveness. </w:t>
      </w:r>
      <w:r w:rsidR="00FB187C" w:rsidRPr="008D1C62">
        <w:t xml:space="preserve">During interviews, we will gather information on 16 policies and practices within the policy categories described </w:t>
      </w:r>
      <w:r w:rsidR="00FB187C">
        <w:t>in</w:t>
      </w:r>
      <w:r w:rsidR="00FB187C" w:rsidRPr="008D1C62">
        <w:t xml:space="preserve"> Table </w:t>
      </w:r>
      <w:r w:rsidR="00FB187C">
        <w:t>3</w:t>
      </w:r>
      <w:r w:rsidR="00FB187C" w:rsidRPr="008D1C62">
        <w:t xml:space="preserve">. The interviews will be conducted at multiple points in time to capture new policies and policy changes implemented during </w:t>
      </w:r>
      <w:r w:rsidR="00FB187C">
        <w:t>t</w:t>
      </w:r>
      <w:r w:rsidR="00FB187C" w:rsidRPr="008D1C62">
        <w:t>he study period (2008-09 through 2012-13 school years).</w:t>
      </w:r>
      <w:r w:rsidR="00FB187C">
        <w:t xml:space="preserve"> </w:t>
      </w:r>
    </w:p>
    <w:p w:rsidR="006A5925" w:rsidRDefault="006A5925" w:rsidP="006A5925">
      <w:pPr>
        <w:pStyle w:val="NormalSS"/>
      </w:pPr>
      <w:r>
        <w:t xml:space="preserve">We will consider three approaches to creating policy variables for the analysis. </w:t>
      </w:r>
      <w:r w:rsidRPr="00F70927">
        <w:t>One approach is to create a single variable for each of the 16 policies listed in Table</w:t>
      </w:r>
      <w:r>
        <w:t xml:space="preserve"> 3. </w:t>
      </w:r>
      <w:r w:rsidRPr="00F70927">
        <w:t>The main drawback of this approach is that because there are only 30 districts in the analysis, this would leave few degrees of freedom in a statistical analysis.</w:t>
      </w:r>
      <w:r>
        <w:t xml:space="preserve"> </w:t>
      </w:r>
      <w:r w:rsidRPr="00F70927">
        <w:t>Another option is to define variables based on the sev</w:t>
      </w:r>
      <w:r>
        <w:t xml:space="preserve">en policy types shown in Table 3. </w:t>
      </w:r>
      <w:r w:rsidRPr="00F70927">
        <w:t>These variables would provide a broader perspective on whether a district implemented each type of policy, and would reduce the number of policy variables to seven.</w:t>
      </w:r>
      <w:r>
        <w:t xml:space="preserve"> </w:t>
      </w:r>
      <w:r w:rsidRPr="008D1C62">
        <w:t xml:space="preserve">For each district, we will sum the number of policies implemented within each policy type to indicate the </w:t>
      </w:r>
      <w:r w:rsidRPr="008D1C62">
        <w:rPr>
          <w:i/>
        </w:rPr>
        <w:t>extent</w:t>
      </w:r>
      <w:r w:rsidRPr="008D1C62">
        <w:t xml:space="preserve"> of policy implementation within each type. For individual policies coded as categorical </w:t>
      </w:r>
      <w:r w:rsidRPr="008D1C62">
        <w:lastRenderedPageBreak/>
        <w:t>variables based on the extent of implementation, we will create decision rules to determine the level of implementation for the overall policy type.</w:t>
      </w:r>
      <w:r w:rsidRPr="008D1C62">
        <w:rPr>
          <w:vertAlign w:val="superscript"/>
        </w:rPr>
        <w:footnoteReference w:id="2"/>
      </w:r>
    </w:p>
    <w:p w:rsidR="00721E7A" w:rsidRDefault="00721E7A" w:rsidP="00721E7A">
      <w:pPr>
        <w:pStyle w:val="MarkforTableHeading"/>
      </w:pPr>
      <w:r>
        <w:t>Table 3. District Policies</w:t>
      </w:r>
    </w:p>
    <w:tbl>
      <w:tblPr>
        <w:tblStyle w:val="TableGrid"/>
        <w:tblW w:w="5213"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143"/>
        <w:gridCol w:w="6841"/>
      </w:tblGrid>
      <w:tr w:rsidR="00721E7A" w:rsidTr="00721E7A">
        <w:trPr>
          <w:tblHeader/>
        </w:trPr>
        <w:tc>
          <w:tcPr>
            <w:tcW w:w="1574" w:type="pct"/>
            <w:tcBorders>
              <w:top w:val="single" w:sz="12" w:space="0" w:color="auto"/>
              <w:bottom w:val="single" w:sz="4" w:space="0" w:color="auto"/>
            </w:tcBorders>
            <w:shd w:val="clear" w:color="auto" w:fill="auto"/>
          </w:tcPr>
          <w:p w:rsidR="00721E7A" w:rsidRPr="008D1C62" w:rsidRDefault="00721E7A" w:rsidP="00721E7A">
            <w:pPr>
              <w:pStyle w:val="TableHeaderLeft"/>
            </w:pPr>
            <w:r w:rsidRPr="008D1C62">
              <w:t>Policy Type</w:t>
            </w:r>
          </w:p>
        </w:tc>
        <w:tc>
          <w:tcPr>
            <w:tcW w:w="3426" w:type="pct"/>
            <w:tcBorders>
              <w:top w:val="single" w:sz="12" w:space="0" w:color="auto"/>
              <w:bottom w:val="single" w:sz="4" w:space="0" w:color="auto"/>
            </w:tcBorders>
            <w:shd w:val="clear" w:color="auto" w:fill="auto"/>
            <w:vAlign w:val="center"/>
          </w:tcPr>
          <w:p w:rsidR="00721E7A" w:rsidRDefault="00721E7A" w:rsidP="00721E7A">
            <w:pPr>
              <w:pStyle w:val="TableHeaderCenter"/>
            </w:pPr>
            <w:r w:rsidRPr="008D1C62">
              <w:rPr>
                <w:b/>
              </w:rPr>
              <w:t>Policies and Practices</w:t>
            </w:r>
          </w:p>
        </w:tc>
      </w:tr>
      <w:tr w:rsidR="00721E7A" w:rsidTr="00721E7A">
        <w:tc>
          <w:tcPr>
            <w:tcW w:w="1574" w:type="pct"/>
            <w:tcBorders>
              <w:top w:val="single" w:sz="4" w:space="0" w:color="auto"/>
              <w:bottom w:val="single" w:sz="4" w:space="0" w:color="auto"/>
            </w:tcBorders>
            <w:shd w:val="clear" w:color="auto" w:fill="auto"/>
          </w:tcPr>
          <w:p w:rsidR="00721E7A" w:rsidRPr="008D1C62" w:rsidRDefault="00721E7A" w:rsidP="00721E7A">
            <w:pPr>
              <w:pStyle w:val="TableText"/>
              <w:spacing w:before="120"/>
            </w:pPr>
            <w:r w:rsidRPr="008D1C62">
              <w:t>Teacher recruitment and hiring</w:t>
            </w:r>
          </w:p>
        </w:tc>
        <w:tc>
          <w:tcPr>
            <w:tcW w:w="3426" w:type="pct"/>
            <w:tcBorders>
              <w:top w:val="single" w:sz="4" w:space="0" w:color="auto"/>
              <w:bottom w:val="single" w:sz="4" w:space="0" w:color="auto"/>
            </w:tcBorders>
            <w:shd w:val="clear" w:color="auto" w:fill="auto"/>
          </w:tcPr>
          <w:p w:rsidR="00721E7A" w:rsidRPr="008D1C62" w:rsidRDefault="00721E7A" w:rsidP="00721E7A">
            <w:pPr>
              <w:pStyle w:val="TableText"/>
              <w:spacing w:before="120" w:after="60"/>
            </w:pPr>
            <w:r w:rsidRPr="008D1C62">
              <w:t xml:space="preserve">Recruitment activities that target high need schools </w:t>
            </w:r>
          </w:p>
          <w:p w:rsidR="00721E7A" w:rsidRPr="008D1C62" w:rsidRDefault="00721E7A" w:rsidP="00721E7A">
            <w:pPr>
              <w:pStyle w:val="TableText"/>
              <w:spacing w:before="60" w:after="60"/>
            </w:pPr>
            <w:r w:rsidRPr="008D1C62">
              <w:t>Programs that recruit and hire teachers for high need schools</w:t>
            </w:r>
            <w:r>
              <w:br/>
            </w:r>
            <w:r w:rsidRPr="008D1C62">
              <w:t>(for example, TFA, Teaching Fellows, and so forth)</w:t>
            </w:r>
          </w:p>
          <w:p w:rsidR="00721E7A" w:rsidRPr="008D1C62" w:rsidRDefault="00721E7A" w:rsidP="00721E7A">
            <w:pPr>
              <w:pStyle w:val="TableText"/>
              <w:spacing w:before="60" w:after="60"/>
            </w:pPr>
            <w:r w:rsidRPr="008D1C62">
              <w:t>Training and resources to improve recruitment and hiring by high need schools</w:t>
            </w:r>
          </w:p>
          <w:p w:rsidR="00721E7A" w:rsidRPr="008D1C62" w:rsidRDefault="00721E7A" w:rsidP="00721E7A">
            <w:pPr>
              <w:pStyle w:val="TableText"/>
              <w:spacing w:before="60" w:after="60"/>
            </w:pPr>
            <w:r w:rsidRPr="008D1C62">
              <w:t xml:space="preserve">Early hiring timeline for high need schools </w:t>
            </w:r>
          </w:p>
        </w:tc>
      </w:tr>
      <w:tr w:rsidR="00721E7A" w:rsidTr="00721E7A">
        <w:tc>
          <w:tcPr>
            <w:tcW w:w="1574" w:type="pct"/>
            <w:tcBorders>
              <w:top w:val="single" w:sz="4" w:space="0" w:color="auto"/>
              <w:bottom w:val="single" w:sz="4" w:space="0" w:color="auto"/>
            </w:tcBorders>
            <w:shd w:val="clear" w:color="auto" w:fill="auto"/>
          </w:tcPr>
          <w:p w:rsidR="00721E7A" w:rsidRPr="008D1C62" w:rsidRDefault="00721E7A" w:rsidP="00721E7A">
            <w:pPr>
              <w:pStyle w:val="TableText"/>
              <w:spacing w:before="120"/>
            </w:pPr>
            <w:r w:rsidRPr="008D1C62">
              <w:t xml:space="preserve">Teacher transfer </w:t>
            </w:r>
          </w:p>
        </w:tc>
        <w:tc>
          <w:tcPr>
            <w:tcW w:w="3426" w:type="pct"/>
            <w:tcBorders>
              <w:top w:val="single" w:sz="4" w:space="0" w:color="auto"/>
              <w:bottom w:val="single" w:sz="4" w:space="0" w:color="auto"/>
            </w:tcBorders>
            <w:shd w:val="clear" w:color="auto" w:fill="auto"/>
          </w:tcPr>
          <w:p w:rsidR="00721E7A" w:rsidRPr="008D1C62" w:rsidRDefault="00721E7A" w:rsidP="00721E7A">
            <w:pPr>
              <w:pStyle w:val="TableText"/>
              <w:spacing w:before="120" w:after="60"/>
            </w:pPr>
            <w:r w:rsidRPr="008D1C62">
              <w:t xml:space="preserve">School choice in hiring voluntary transfers </w:t>
            </w:r>
          </w:p>
          <w:p w:rsidR="00721E7A" w:rsidRPr="008D1C62" w:rsidRDefault="00721E7A" w:rsidP="00721E7A">
            <w:pPr>
              <w:pStyle w:val="TableText"/>
              <w:spacing w:before="60" w:after="60"/>
            </w:pPr>
            <w:r w:rsidRPr="008D1C62">
              <w:t>School choice in hiring involuntary transfers</w:t>
            </w:r>
          </w:p>
        </w:tc>
      </w:tr>
      <w:tr w:rsidR="00721E7A" w:rsidTr="00721E7A">
        <w:tc>
          <w:tcPr>
            <w:tcW w:w="1574" w:type="pct"/>
            <w:tcBorders>
              <w:top w:val="single" w:sz="4" w:space="0" w:color="auto"/>
              <w:bottom w:val="single" w:sz="4" w:space="0" w:color="auto"/>
            </w:tcBorders>
            <w:shd w:val="clear" w:color="auto" w:fill="auto"/>
          </w:tcPr>
          <w:p w:rsidR="00721E7A" w:rsidRPr="008D1C62" w:rsidRDefault="00721E7A" w:rsidP="00721E7A">
            <w:pPr>
              <w:pStyle w:val="TableText"/>
              <w:spacing w:before="120"/>
            </w:pPr>
            <w:r w:rsidRPr="008D1C62">
              <w:t xml:space="preserve">Teacher compensation </w:t>
            </w:r>
          </w:p>
        </w:tc>
        <w:tc>
          <w:tcPr>
            <w:tcW w:w="3426" w:type="pct"/>
            <w:tcBorders>
              <w:top w:val="single" w:sz="4" w:space="0" w:color="auto"/>
              <w:bottom w:val="single" w:sz="4" w:space="0" w:color="auto"/>
            </w:tcBorders>
            <w:shd w:val="clear" w:color="auto" w:fill="auto"/>
          </w:tcPr>
          <w:p w:rsidR="00721E7A" w:rsidRPr="008D1C62" w:rsidRDefault="00721E7A" w:rsidP="00721E7A">
            <w:pPr>
              <w:pStyle w:val="TableText"/>
              <w:spacing w:before="120" w:after="60"/>
            </w:pPr>
            <w:r w:rsidRPr="008D1C62">
              <w:t xml:space="preserve">Additional pay for teaching in high need schools </w:t>
            </w:r>
          </w:p>
          <w:p w:rsidR="00721E7A" w:rsidRPr="008D1C62" w:rsidRDefault="00721E7A" w:rsidP="00BF5B30">
            <w:pPr>
              <w:pStyle w:val="TableText"/>
              <w:spacing w:before="60" w:after="60"/>
            </w:pPr>
            <w:r w:rsidRPr="008D1C62">
              <w:t>Additional pay based on performance</w:t>
            </w:r>
          </w:p>
        </w:tc>
      </w:tr>
      <w:tr w:rsidR="00721E7A" w:rsidTr="00721E7A">
        <w:tc>
          <w:tcPr>
            <w:tcW w:w="1574" w:type="pct"/>
            <w:tcBorders>
              <w:top w:val="single" w:sz="4" w:space="0" w:color="auto"/>
              <w:bottom w:val="single" w:sz="4" w:space="0" w:color="auto"/>
            </w:tcBorders>
            <w:shd w:val="clear" w:color="auto" w:fill="auto"/>
          </w:tcPr>
          <w:p w:rsidR="00721E7A" w:rsidRPr="008D1C62" w:rsidRDefault="00721E7A" w:rsidP="00721E7A">
            <w:pPr>
              <w:pStyle w:val="TableText"/>
              <w:spacing w:before="120"/>
            </w:pPr>
            <w:r w:rsidRPr="008D1C62">
              <w:t>Teacher layoffs</w:t>
            </w:r>
          </w:p>
        </w:tc>
        <w:tc>
          <w:tcPr>
            <w:tcW w:w="3426" w:type="pct"/>
            <w:tcBorders>
              <w:top w:val="single" w:sz="4" w:space="0" w:color="auto"/>
              <w:bottom w:val="single" w:sz="4" w:space="0" w:color="auto"/>
            </w:tcBorders>
            <w:shd w:val="clear" w:color="auto" w:fill="auto"/>
          </w:tcPr>
          <w:p w:rsidR="00721E7A" w:rsidRPr="008D1C62" w:rsidRDefault="00721E7A" w:rsidP="00721E7A">
            <w:pPr>
              <w:pStyle w:val="TableText"/>
              <w:spacing w:before="120" w:after="60"/>
            </w:pPr>
            <w:r w:rsidRPr="008D1C62">
              <w:t xml:space="preserve">Teacher performance as a criterion in teacher layoffs </w:t>
            </w:r>
          </w:p>
          <w:p w:rsidR="00721E7A" w:rsidRPr="008D1C62" w:rsidRDefault="00721E7A" w:rsidP="00721E7A">
            <w:pPr>
              <w:pStyle w:val="TableText"/>
              <w:spacing w:before="60" w:after="60"/>
            </w:pPr>
            <w:r w:rsidRPr="008D1C62">
              <w:t>Use of teacher performance as a factor in calling back and placing laid  off teachers</w:t>
            </w:r>
          </w:p>
        </w:tc>
      </w:tr>
      <w:tr w:rsidR="00721E7A" w:rsidTr="00721E7A">
        <w:tc>
          <w:tcPr>
            <w:tcW w:w="1574" w:type="pct"/>
            <w:tcBorders>
              <w:top w:val="single" w:sz="4" w:space="0" w:color="auto"/>
              <w:bottom w:val="single" w:sz="4" w:space="0" w:color="auto"/>
            </w:tcBorders>
            <w:shd w:val="clear" w:color="auto" w:fill="auto"/>
          </w:tcPr>
          <w:p w:rsidR="00721E7A" w:rsidRPr="008D1C62" w:rsidRDefault="00721E7A" w:rsidP="00721E7A">
            <w:pPr>
              <w:pStyle w:val="TableText"/>
              <w:spacing w:before="120"/>
            </w:pPr>
            <w:r w:rsidRPr="008D1C62">
              <w:t>Teacher development</w:t>
            </w:r>
          </w:p>
        </w:tc>
        <w:tc>
          <w:tcPr>
            <w:tcW w:w="3426" w:type="pct"/>
            <w:tcBorders>
              <w:top w:val="single" w:sz="4" w:space="0" w:color="auto"/>
              <w:bottom w:val="single" w:sz="4" w:space="0" w:color="auto"/>
            </w:tcBorders>
            <w:shd w:val="clear" w:color="auto" w:fill="auto"/>
          </w:tcPr>
          <w:p w:rsidR="00721E7A" w:rsidRPr="008D1C62" w:rsidRDefault="00721E7A" w:rsidP="00721E7A">
            <w:pPr>
              <w:pStyle w:val="TableText"/>
              <w:spacing w:before="120" w:after="60"/>
            </w:pPr>
            <w:r w:rsidRPr="008D1C62">
              <w:t xml:space="preserve">Professional development activities targeted to teachers in high need schools </w:t>
            </w:r>
          </w:p>
          <w:p w:rsidR="00721E7A" w:rsidRPr="008D1C62" w:rsidRDefault="00721E7A" w:rsidP="00721E7A">
            <w:pPr>
              <w:pStyle w:val="TableText"/>
              <w:spacing w:before="60" w:after="60"/>
            </w:pPr>
            <w:r w:rsidRPr="008D1C62">
              <w:t>Comprehensive induction programs that provide mentoring or support for new teachers</w:t>
            </w:r>
          </w:p>
        </w:tc>
      </w:tr>
      <w:tr w:rsidR="00721E7A" w:rsidTr="00721E7A">
        <w:tc>
          <w:tcPr>
            <w:tcW w:w="1574" w:type="pct"/>
            <w:tcBorders>
              <w:top w:val="single" w:sz="4" w:space="0" w:color="auto"/>
              <w:bottom w:val="single" w:sz="4" w:space="0" w:color="auto"/>
            </w:tcBorders>
            <w:shd w:val="clear" w:color="auto" w:fill="auto"/>
            <w:vAlign w:val="center"/>
          </w:tcPr>
          <w:p w:rsidR="00721E7A" w:rsidRPr="008D1C62" w:rsidRDefault="00721E7A" w:rsidP="00721E7A">
            <w:pPr>
              <w:pStyle w:val="TableText"/>
            </w:pPr>
            <w:r w:rsidRPr="008D1C62">
              <w:t>Teacher tenure</w:t>
            </w:r>
          </w:p>
        </w:tc>
        <w:tc>
          <w:tcPr>
            <w:tcW w:w="3426" w:type="pct"/>
            <w:tcBorders>
              <w:top w:val="single" w:sz="4" w:space="0" w:color="auto"/>
              <w:bottom w:val="single" w:sz="4" w:space="0" w:color="auto"/>
            </w:tcBorders>
            <w:shd w:val="clear" w:color="auto" w:fill="auto"/>
          </w:tcPr>
          <w:p w:rsidR="00721E7A" w:rsidRPr="008D1C62" w:rsidRDefault="00721E7A" w:rsidP="00721E7A">
            <w:pPr>
              <w:pStyle w:val="TableText"/>
              <w:spacing w:before="120" w:after="60"/>
            </w:pPr>
            <w:r w:rsidRPr="008D1C62">
              <w:t>Teacher performance as a criterion for tenure decisions</w:t>
            </w:r>
          </w:p>
        </w:tc>
      </w:tr>
      <w:tr w:rsidR="00721E7A" w:rsidTr="00721E7A">
        <w:tc>
          <w:tcPr>
            <w:tcW w:w="1574" w:type="pct"/>
            <w:tcBorders>
              <w:top w:val="single" w:sz="4" w:space="0" w:color="auto"/>
            </w:tcBorders>
            <w:shd w:val="clear" w:color="auto" w:fill="auto"/>
          </w:tcPr>
          <w:p w:rsidR="00721E7A" w:rsidRPr="008D1C62" w:rsidRDefault="00721E7A" w:rsidP="00721E7A">
            <w:pPr>
              <w:pStyle w:val="TableText"/>
              <w:spacing w:before="120"/>
            </w:pPr>
            <w:r w:rsidRPr="008D1C62">
              <w:t>School improvement policies</w:t>
            </w:r>
          </w:p>
        </w:tc>
        <w:tc>
          <w:tcPr>
            <w:tcW w:w="3426" w:type="pct"/>
            <w:tcBorders>
              <w:top w:val="single" w:sz="4" w:space="0" w:color="auto"/>
            </w:tcBorders>
            <w:shd w:val="clear" w:color="auto" w:fill="auto"/>
          </w:tcPr>
          <w:p w:rsidR="00721E7A" w:rsidRPr="008D1C62" w:rsidRDefault="00721E7A" w:rsidP="00721E7A">
            <w:pPr>
              <w:pStyle w:val="TableText"/>
              <w:spacing w:before="120" w:after="60"/>
            </w:pPr>
            <w:r w:rsidRPr="008D1C62">
              <w:t xml:space="preserve">School turnaround activities (that is, closure, reconstitution, external management) </w:t>
            </w:r>
          </w:p>
          <w:p w:rsidR="00721E7A" w:rsidRPr="008D1C62" w:rsidRDefault="00721E7A" w:rsidP="00721E7A">
            <w:pPr>
              <w:pStyle w:val="TableText"/>
              <w:spacing w:before="60" w:after="60"/>
            </w:pPr>
            <w:r w:rsidRPr="008D1C62">
              <w:t xml:space="preserve">Initiatives to improve working conditions in high need schools </w:t>
            </w:r>
          </w:p>
          <w:p w:rsidR="00721E7A" w:rsidRPr="008D1C62" w:rsidRDefault="00721E7A" w:rsidP="00721E7A">
            <w:pPr>
              <w:pStyle w:val="TableText"/>
              <w:spacing w:before="60" w:after="60"/>
            </w:pPr>
            <w:r w:rsidRPr="008D1C62">
              <w:t>Initiatives to improve principal quality in high need schools</w:t>
            </w:r>
          </w:p>
        </w:tc>
      </w:tr>
    </w:tbl>
    <w:p w:rsidR="00721E7A" w:rsidRDefault="00721E7A" w:rsidP="00721E7A">
      <w:pPr>
        <w:pStyle w:val="MarkforTableHeading"/>
      </w:pPr>
    </w:p>
    <w:p w:rsidR="00721E7A" w:rsidRDefault="00721E7A" w:rsidP="00721E7A">
      <w:pPr>
        <w:pStyle w:val="NormalSS"/>
      </w:pPr>
      <w:r w:rsidRPr="00F70927">
        <w:t>Rather than grouping the individual policies based on the seven policy types, we can also group the individual policies based on which policies are typically implemented together by districts. An e</w:t>
      </w:r>
      <w:r>
        <w:t>xploratory factor analysis</w:t>
      </w:r>
      <w:r w:rsidRPr="00F70927">
        <w:t xml:space="preserve"> </w:t>
      </w:r>
      <w:r>
        <w:t xml:space="preserve">(EFA) </w:t>
      </w:r>
      <w:r w:rsidRPr="00F70927">
        <w:t>would be used to determine which policies are highly correlated (that is, are implemented in similar combinations across districts) and could be grouped together in a policy package</w:t>
      </w:r>
      <w:r>
        <w:t>.</w:t>
      </w:r>
      <w:r w:rsidRPr="00721E7A">
        <w:t xml:space="preserve"> </w:t>
      </w:r>
      <w:r w:rsidRPr="008D1C62">
        <w:t>For example, based on the EFA, we might determine that districts tend to enact targeted recruitment efforts, early hiring timelines, and additional pay for teaching in high need schools as a package of policies. The EFA is a data-driven procedure to identify the packages of policies most commonly used (or not used) together by the districts in the study, and to create variables based on these policy packages. We will</w:t>
      </w:r>
      <w:r>
        <w:t xml:space="preserve"> explore</w:t>
      </w:r>
      <w:r w:rsidRPr="008D1C62">
        <w:t xml:space="preserve"> us</w:t>
      </w:r>
      <w:r>
        <w:t>ing</w:t>
      </w:r>
      <w:r w:rsidRPr="008D1C62">
        <w:t xml:space="preserve"> the results of the EFA to create a continuous scale that indicates a district’s overall prevalence of policy implementation of a particular package of policies (that is, the scale represents the weighted average of the policy indicator variables in a particular package).</w:t>
      </w:r>
      <w:r>
        <w:t xml:space="preserve"> A disadvantage of EFA is that it may yield cluster groups of policies for </w:t>
      </w:r>
      <w:r>
        <w:lastRenderedPageBreak/>
        <w:t>which there is no obvious connection, making the resulting summary variables more difficult to interpret. An alternative approach to combining the policy variables will be to use a more informal method for grouping those that share some common conceptual or theoretical characteristic.</w:t>
      </w:r>
    </w:p>
    <w:p w:rsidR="00F83F5D" w:rsidRPr="00A82878" w:rsidRDefault="00F83F5D" w:rsidP="000F5701">
      <w:pPr>
        <w:pStyle w:val="Heading4"/>
      </w:pPr>
      <w:bookmarkStart w:id="157" w:name="_Toc277338289"/>
      <w:bookmarkStart w:id="158" w:name="_Toc280089733"/>
      <w:r>
        <w:t>ii.</w:t>
      </w:r>
      <w:r>
        <w:tab/>
      </w:r>
      <w:r w:rsidRPr="00A82878">
        <w:t>Measuring Teacher Effectiveness</w:t>
      </w:r>
      <w:bookmarkEnd w:id="157"/>
      <w:bookmarkEnd w:id="158"/>
    </w:p>
    <w:p w:rsidR="00F83F5D" w:rsidRDefault="00BC69A4" w:rsidP="00BC69A4">
      <w:pPr>
        <w:pStyle w:val="NormalSS"/>
      </w:pPr>
      <w:r w:rsidRPr="00BC69A4">
        <w:t xml:space="preserve"> </w:t>
      </w:r>
      <w:r>
        <w:t xml:space="preserve">To </w:t>
      </w:r>
      <w:r w:rsidR="00877377">
        <w:t>measure</w:t>
      </w:r>
      <w:r>
        <w:t xml:space="preserve"> </w:t>
      </w:r>
      <w:r w:rsidR="00BA7F10">
        <w:t>teachers’ value added</w:t>
      </w:r>
      <w:r w:rsidR="00877377">
        <w:t xml:space="preserve"> scores</w:t>
      </w:r>
      <w:r>
        <w:t xml:space="preserve">, we rely on a regression model that controls for a series of baseline student characteristics that could be related to academic achievement, which might otherwise be confounded with the assignment of students to teachers. Specifically, we assume that a student’s posttest score depends on prior achievement, background characteristics, their teachers, and additional unmeasured factors that are unrelated to teaching assignments. </w:t>
      </w:r>
      <w:r w:rsidRPr="008D1C62">
        <w:t>For each district,</w:t>
      </w:r>
      <w:r w:rsidRPr="008D1C62">
        <w:rPr>
          <w:i/>
        </w:rPr>
        <w:t xml:space="preserve"> </w:t>
      </w:r>
      <w:r w:rsidRPr="008D1C62">
        <w:t>grade level, and subject (math or reading), the regression equation can be expressed as:</w:t>
      </w:r>
    </w:p>
    <w:p w:rsidR="00677678" w:rsidRDefault="00DC3E91" w:rsidP="00677678">
      <w:pPr>
        <w:pStyle w:val="NormalSS"/>
        <w:tabs>
          <w:tab w:val="clear" w:pos="432"/>
          <w:tab w:val="left" w:pos="0"/>
          <w:tab w:val="left" w:pos="720"/>
          <w:tab w:val="center" w:pos="4320"/>
          <w:tab w:val="right" w:pos="9360"/>
        </w:tabs>
        <w:ind w:firstLine="0"/>
        <w:jc w:val="left"/>
      </w:pPr>
      <w:r>
        <w:rPr>
          <w:position w:val="-14"/>
        </w:rPr>
        <w:t>(1)</w:t>
      </w:r>
      <w:r w:rsidR="005775D5">
        <w:rPr>
          <w:position w:val="-14"/>
        </w:rPr>
        <w:tab/>
      </w:r>
      <w:r w:rsidR="00BC69A4" w:rsidRPr="008D1C62">
        <w:rPr>
          <w:position w:val="-12"/>
        </w:rPr>
        <w:object w:dxaOrig="2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4pt;height:19.25pt" o:ole="">
            <v:imagedata r:id="rId25" o:title=""/>
          </v:shape>
          <o:OLEObject Type="Embed" ProgID="Equation.DSMT4" ShapeID="_x0000_i1025" DrawAspect="Content" ObjectID="_1374045164" r:id="rId26"/>
        </w:object>
      </w:r>
      <w:r w:rsidR="00F83F5D" w:rsidRPr="00D74708">
        <w:t>.</w:t>
      </w:r>
      <w:r w:rsidR="00F83F5D" w:rsidRPr="00D74708">
        <w:rPr>
          <w:position w:val="-14"/>
        </w:rPr>
        <w:tab/>
      </w:r>
    </w:p>
    <w:p w:rsidR="00F83F5D" w:rsidRDefault="00BC69A4" w:rsidP="006221F3">
      <w:pPr>
        <w:pStyle w:val="NormalSS"/>
        <w:ind w:firstLine="0"/>
      </w:pPr>
      <w:r w:rsidRPr="008D1C62">
        <w:t xml:space="preserve">where </w:t>
      </w:r>
      <w:r w:rsidRPr="008D1C62">
        <w:rPr>
          <w:rFonts w:ascii="Times New Roman Italic" w:hAnsi="Times New Roman Italic"/>
          <w:i/>
        </w:rPr>
        <w:t>Y</w:t>
      </w:r>
      <w:r w:rsidRPr="008D1C62">
        <w:rPr>
          <w:rFonts w:ascii="Times New Roman Italic" w:hAnsi="Times New Roman Italic"/>
          <w:i/>
          <w:vertAlign w:val="subscript"/>
        </w:rPr>
        <w:t>i</w:t>
      </w:r>
      <w:r w:rsidRPr="008D1C62">
        <w:t xml:space="preserve"> is the posttest score for student </w:t>
      </w:r>
      <w:r w:rsidRPr="008D1C62">
        <w:rPr>
          <w:rFonts w:ascii="Times New Roman Italic" w:hAnsi="Times New Roman Italic"/>
          <w:i/>
        </w:rPr>
        <w:t>i</w:t>
      </w:r>
      <w:r w:rsidRPr="008D1C62">
        <w:t xml:space="preserve">, and </w:t>
      </w:r>
      <w:r w:rsidRPr="008D1C62">
        <w:rPr>
          <w:rFonts w:ascii="Times New Roman" w:hAnsi="Times New Roman"/>
          <w:b/>
        </w:rPr>
        <w:t>W</w:t>
      </w:r>
      <w:r w:rsidRPr="008D1C62">
        <w:rPr>
          <w:rFonts w:ascii="Times New Roman" w:hAnsi="Times New Roman"/>
          <w:i/>
          <w:vertAlign w:val="subscript"/>
        </w:rPr>
        <w:t>i</w:t>
      </w:r>
      <w:r w:rsidRPr="008D1C62">
        <w:t xml:space="preserve"> represents a vector of pretests</w:t>
      </w:r>
      <w:r w:rsidRPr="008D1C62">
        <w:rPr>
          <w:i/>
        </w:rPr>
        <w:t xml:space="preserve">, </w:t>
      </w:r>
      <w:r w:rsidRPr="008D1C62">
        <w:t xml:space="preserve">including, at minimum, the test score for that student in the same subject in the prior year. The pretest scores capture prior inputs into student achievement. Control variables for student background characteristics are included in </w:t>
      </w:r>
      <w:r w:rsidRPr="008D1C62">
        <w:rPr>
          <w:rFonts w:ascii="Times New Roman" w:hAnsi="Times New Roman"/>
          <w:b/>
        </w:rPr>
        <w:t>X</w:t>
      </w:r>
      <w:r w:rsidRPr="008D1C62">
        <w:rPr>
          <w:rFonts w:ascii="Times New Roman" w:hAnsi="Times New Roman"/>
          <w:i/>
          <w:vertAlign w:val="subscript"/>
        </w:rPr>
        <w:t>i</w:t>
      </w:r>
      <w:r w:rsidRPr="008D1C62">
        <w:t xml:space="preserve">, and </w:t>
      </w:r>
      <w:r w:rsidRPr="008D1C62">
        <w:rPr>
          <w:rFonts w:ascii="Times New Roman" w:hAnsi="Times New Roman"/>
          <w:b/>
        </w:rPr>
        <w:t>T</w:t>
      </w:r>
      <w:r w:rsidRPr="008D1C62">
        <w:rPr>
          <w:rFonts w:ascii="Times New Roman" w:hAnsi="Times New Roman"/>
          <w:i/>
          <w:vertAlign w:val="subscript"/>
        </w:rPr>
        <w:t>i</w:t>
      </w:r>
      <w:r w:rsidRPr="008D1C62">
        <w:t xml:space="preserve"> represents a set of variables for the teachers in the sample. Finally, </w:t>
      </w:r>
      <w:r w:rsidRPr="008D1C62">
        <w:rPr>
          <w:rFonts w:ascii="Symbol" w:hAnsi="Symbol"/>
          <w:i/>
        </w:rPr>
        <w:t></w:t>
      </w:r>
      <w:r w:rsidRPr="008D1C62">
        <w:rPr>
          <w:rFonts w:ascii="Times New Roman Italic" w:hAnsi="Times New Roman Italic"/>
          <w:i/>
          <w:vertAlign w:val="subscript"/>
        </w:rPr>
        <w:t>i</w:t>
      </w:r>
      <w:r w:rsidRPr="008D1C62">
        <w:t xml:space="preserve"> represents an error term.</w:t>
      </w:r>
    </w:p>
    <w:p w:rsidR="00BC69A4" w:rsidRDefault="00BC69A4" w:rsidP="006221F3">
      <w:pPr>
        <w:pStyle w:val="NormalSS"/>
        <w:ind w:firstLine="0"/>
      </w:pPr>
      <w:r>
        <w:tab/>
      </w:r>
      <w:r w:rsidRPr="008D1C62">
        <w:t xml:space="preserve">In an educational setting in which students are taught by only one teacher for the entire school year, </w:t>
      </w:r>
      <w:r w:rsidRPr="008D1C62">
        <w:rPr>
          <w:rFonts w:ascii="Times New Roman" w:hAnsi="Times New Roman"/>
          <w:b/>
        </w:rPr>
        <w:t>T</w:t>
      </w:r>
      <w:r w:rsidRPr="008D1C62">
        <w:rPr>
          <w:rFonts w:ascii="Times New Roman" w:hAnsi="Times New Roman"/>
          <w:i/>
          <w:vertAlign w:val="subscript"/>
        </w:rPr>
        <w:t>i</w:t>
      </w:r>
      <w:r w:rsidRPr="008D1C62">
        <w:t xml:space="preserve"> would contain a series of binary variables that indicate the link between teachers and students. For example, if teacher </w:t>
      </w:r>
      <w:r w:rsidRPr="008D1C62">
        <w:rPr>
          <w:i/>
        </w:rPr>
        <w:t>j</w:t>
      </w:r>
      <w:r w:rsidRPr="008D1C62">
        <w:t xml:space="preserve"> had sole instructional responsibility for student </w:t>
      </w:r>
      <w:r w:rsidRPr="008D1C62">
        <w:rPr>
          <w:i/>
        </w:rPr>
        <w:t>i</w:t>
      </w:r>
      <w:r w:rsidRPr="008D1C62">
        <w:t xml:space="preserve">, then the </w:t>
      </w:r>
      <w:r w:rsidRPr="008D1C62">
        <w:rPr>
          <w:i/>
        </w:rPr>
        <w:t>j</w:t>
      </w:r>
      <w:r w:rsidRPr="008D1C62">
        <w:t xml:space="preserve">th element of </w:t>
      </w:r>
      <w:r w:rsidRPr="008D1C62">
        <w:rPr>
          <w:rFonts w:ascii="Times New Roman" w:hAnsi="Times New Roman"/>
          <w:b/>
        </w:rPr>
        <w:t>T</w:t>
      </w:r>
      <w:r w:rsidRPr="008D1C62">
        <w:rPr>
          <w:rFonts w:ascii="Times New Roman" w:hAnsi="Times New Roman"/>
          <w:i/>
          <w:vertAlign w:val="subscript"/>
        </w:rPr>
        <w:t>i</w:t>
      </w:r>
      <w:r w:rsidRPr="008D1C62">
        <w:t xml:space="preserve"> would be one and the remaining elements would be zero. Similarly, the average effect of teacher </w:t>
      </w:r>
      <w:r w:rsidRPr="008D1C62">
        <w:rPr>
          <w:i/>
        </w:rPr>
        <w:t>j</w:t>
      </w:r>
      <w:r w:rsidRPr="008D1C62">
        <w:t xml:space="preserve"> on the achievement of his or her students, after controlling for the other variables in</w:t>
      </w:r>
      <w:r>
        <w:t xml:space="preserve"> the above equation</w:t>
      </w:r>
      <w:r w:rsidRPr="008D1C62">
        <w:t xml:space="preserve">, is represented in this case by </w:t>
      </w:r>
      <w:r w:rsidRPr="008D1C62">
        <w:rPr>
          <w:rFonts w:ascii="Symbol" w:hAnsi="Symbol"/>
          <w:i/>
        </w:rPr>
        <w:t></w:t>
      </w:r>
      <w:r w:rsidRPr="008D1C62">
        <w:rPr>
          <w:rFonts w:ascii="Times New Roman" w:hAnsi="Times New Roman"/>
          <w:i/>
          <w:vertAlign w:val="subscript"/>
        </w:rPr>
        <w:t>j</w:t>
      </w:r>
      <w:r w:rsidRPr="008D1C62">
        <w:t xml:space="preserve">, the </w:t>
      </w:r>
      <w:r w:rsidRPr="008D1C62">
        <w:rPr>
          <w:rFonts w:ascii="Times New Roman" w:hAnsi="Times New Roman"/>
          <w:i/>
        </w:rPr>
        <w:t>j</w:t>
      </w:r>
      <w:r w:rsidRPr="008D1C62">
        <w:t xml:space="preserve">th element of the coefficient vector </w:t>
      </w:r>
      <w:r w:rsidRPr="008D1C62">
        <w:rPr>
          <w:rFonts w:ascii="Symbol" w:hAnsi="Symbol"/>
          <w:b/>
        </w:rPr>
        <w:t></w:t>
      </w:r>
      <w:r w:rsidRPr="008D1C62">
        <w:rPr>
          <w:i/>
        </w:rPr>
        <w:t>.</w:t>
      </w:r>
    </w:p>
    <w:p w:rsidR="00BC69A4" w:rsidRPr="008D1C62" w:rsidRDefault="00BC69A4" w:rsidP="00BC69A4">
      <w:pPr>
        <w:pStyle w:val="NormalSS"/>
      </w:pPr>
      <w:r w:rsidRPr="008D1C62">
        <w:t xml:space="preserve">In our main analyses, we will control for a set of student characteristics, </w:t>
      </w:r>
      <w:r w:rsidRPr="008D1C62">
        <w:rPr>
          <w:rFonts w:ascii="Times New Roman" w:hAnsi="Times New Roman"/>
          <w:b/>
        </w:rPr>
        <w:t>X</w:t>
      </w:r>
      <w:r w:rsidRPr="008D1C62">
        <w:rPr>
          <w:rFonts w:ascii="Times New Roman" w:hAnsi="Times New Roman"/>
          <w:i/>
          <w:vertAlign w:val="subscript"/>
        </w:rPr>
        <w:t>i</w:t>
      </w:r>
      <w:r w:rsidRPr="008D1C62">
        <w:t>, that is common to all study districts. This approach ensures that any differences we document in the distribution of teacher effectiveness across districts are not a result of using a different statistical model. The common value-added model will include the following student characteristics, which are generally available from district administrative records:</w:t>
      </w:r>
    </w:p>
    <w:p w:rsidR="00BC69A4" w:rsidRPr="008D1C62" w:rsidRDefault="00BC69A4" w:rsidP="00BC69A4">
      <w:pPr>
        <w:pStyle w:val="BulletBlack"/>
        <w:ind w:left="720" w:hanging="288"/>
      </w:pPr>
      <w:r w:rsidRPr="008D1C62">
        <w:t>Math and reading scores from the prior school year (regardless of the posttest subject)</w:t>
      </w:r>
    </w:p>
    <w:p w:rsidR="00BC69A4" w:rsidRPr="008D1C62" w:rsidRDefault="00BC69A4" w:rsidP="00BC69A4">
      <w:pPr>
        <w:pStyle w:val="BulletBlack"/>
        <w:ind w:left="720" w:hanging="288"/>
      </w:pPr>
      <w:r w:rsidRPr="008D1C62">
        <w:t>Free or reduced-price lunch eligibility</w:t>
      </w:r>
    </w:p>
    <w:p w:rsidR="00BC69A4" w:rsidRPr="008D1C62" w:rsidRDefault="00BC69A4" w:rsidP="00BC69A4">
      <w:pPr>
        <w:pStyle w:val="BulletBlack"/>
        <w:ind w:left="720" w:hanging="288"/>
      </w:pPr>
      <w:r w:rsidRPr="008D1C62">
        <w:t xml:space="preserve">Limited English proficiency </w:t>
      </w:r>
    </w:p>
    <w:p w:rsidR="00BC69A4" w:rsidRPr="008D1C62" w:rsidRDefault="00BC69A4" w:rsidP="00BC69A4">
      <w:pPr>
        <w:pStyle w:val="BulletBlack"/>
        <w:ind w:left="720" w:hanging="288"/>
      </w:pPr>
      <w:r w:rsidRPr="008D1C62">
        <w:t>Special education status</w:t>
      </w:r>
    </w:p>
    <w:p w:rsidR="00BC69A4" w:rsidRPr="008D1C62" w:rsidRDefault="00BC69A4" w:rsidP="00BC69A4">
      <w:pPr>
        <w:pStyle w:val="BulletBlack"/>
        <w:ind w:left="720" w:hanging="288"/>
      </w:pPr>
      <w:r w:rsidRPr="008D1C62">
        <w:t>Gender</w:t>
      </w:r>
    </w:p>
    <w:p w:rsidR="00677678" w:rsidRDefault="00BC69A4" w:rsidP="00677678">
      <w:pPr>
        <w:pStyle w:val="BulletBlack"/>
        <w:ind w:left="720" w:hanging="288"/>
      </w:pPr>
      <w:r w:rsidRPr="008D1C62">
        <w:t xml:space="preserve">Student race/ethnicity </w:t>
      </w:r>
    </w:p>
    <w:p w:rsidR="00F70927" w:rsidRPr="008D1C62" w:rsidRDefault="00F70927" w:rsidP="00F70927">
      <w:pPr>
        <w:pStyle w:val="NormalSS"/>
      </w:pPr>
      <w:r w:rsidRPr="008D1C62">
        <w:t>We will also check the sensitivity of the results by estimating district-specific models that include additional control variables not available in all districts. For example, we may include additional student background characteristics available in a subset of districts, such as parental education levels, days in attendance in the prior year, or multiple years of pretest scores.</w:t>
      </w:r>
    </w:p>
    <w:p w:rsidR="00F70927" w:rsidRPr="008D1C62" w:rsidRDefault="00F70927" w:rsidP="00F70927">
      <w:pPr>
        <w:pStyle w:val="NormalSS"/>
      </w:pPr>
      <w:r w:rsidRPr="008D1C62">
        <w:lastRenderedPageBreak/>
        <w:t xml:space="preserve">We are planning to base our analysis of the distribution of teacher effectiveness on the </w:t>
      </w:r>
      <w:r w:rsidR="0022073A">
        <w:t>Average Teacher Effectiveness Gap (</w:t>
      </w:r>
      <w:r w:rsidRPr="008D1C62">
        <w:t>ATEG</w:t>
      </w:r>
      <w:r w:rsidR="0022073A">
        <w:t>)</w:t>
      </w:r>
      <w:r w:rsidRPr="008D1C62">
        <w:t xml:space="preserve">, the average difference between the value-added scores of the teachers of </w:t>
      </w:r>
      <w:r w:rsidR="0006670D">
        <w:t>dis</w:t>
      </w:r>
      <w:r w:rsidR="00610224">
        <w:t xml:space="preserve">advantaged and </w:t>
      </w:r>
      <w:r w:rsidR="0006670D">
        <w:t>non-</w:t>
      </w:r>
      <w:r w:rsidR="00610224">
        <w:t>disadvantaged</w:t>
      </w:r>
      <w:r w:rsidRPr="008D1C62">
        <w:t xml:space="preserve"> students within district, grade, year, and subject. </w:t>
      </w:r>
      <w:r w:rsidR="00BA7F10">
        <w:t xml:space="preserve">Additional details about the ATEG are provided in the next section. </w:t>
      </w:r>
      <w:r w:rsidRPr="008D1C62">
        <w:t>This measure will be analyzed separately for math and for reading. Within each subject, we will aggregate the grade-specific ATEG across grades within a district-year and then compare this aggregate ATEG across years within a district and across districts within a year.</w:t>
      </w:r>
    </w:p>
    <w:p w:rsidR="00F70927" w:rsidRPr="008D1C62" w:rsidRDefault="00F70927" w:rsidP="00F70927">
      <w:pPr>
        <w:pStyle w:val="NormalSS"/>
      </w:pPr>
      <w:r w:rsidRPr="008D1C62">
        <w:t xml:space="preserve">Because we are interested in measuring the ATEG each year, we will estimate </w:t>
      </w:r>
      <w:r w:rsidR="00331650">
        <w:t>value added</w:t>
      </w:r>
      <w:r w:rsidRPr="008D1C62">
        <w:t xml:space="preserve"> using only the data for that year. In some contexts, researchers use multiple years of data to estimate teacher value added to generate more precise estimates of the component of teacher effectiveness that remains constant (McCaffrey et al. 2009). For our analysis, however, multi-year estimates could be disadvantageous if they mask true changes in teacher effectiveness from year to year, as we seek to quantify changes over time. Further, the ATEG pools information from multiple teachers, which implies that the precision gains to using multiple years of data are expected to be far smaller than if we were considering individual teacher value-added measures. Considering both the bias and the precision, we believe that using single-year measures will increase the overall accuracy of ATEG estimates for our distribution analysis.</w:t>
      </w:r>
    </w:p>
    <w:p w:rsidR="00677678" w:rsidRDefault="00F70927" w:rsidP="00677678">
      <w:pPr>
        <w:pStyle w:val="NormalSS"/>
      </w:pPr>
      <w:r w:rsidRPr="008D1C62">
        <w:t>Because value-added measures are designed to make comparisons only among teachers whose students took the same pretests and posttests, we will convert all scale scores to z-scores by subtracting the mean and dividing by the standard deviation of a reference group. We assume that the underlying distribution of student ability is constant across grades, districts, and time. As a result, normalizing student scores within each grade, district, year, and subject reference group will yield value-added measures that are always stated in terms of standard deviations of student ability, or effect size units. This implies that the ATEG will also be expressed in effect size units</w:t>
      </w:r>
      <w:r w:rsidR="001E5A88">
        <w:t xml:space="preserve"> of student achie</w:t>
      </w:r>
      <w:r w:rsidR="000D7DFC">
        <w:t>vement</w:t>
      </w:r>
      <w:r w:rsidRPr="008D1C62">
        <w:t>, which allows us to make the desired comparisons across districts and time.</w:t>
      </w:r>
      <w:r w:rsidR="000D7DFC">
        <w:t xml:space="preserve"> We will conduct sensitivity analysis to check if our results are robust to alternate ways of aggregating grade-level ATEG measures across grades, including (1) using alternate reference groups for defining the population mean and standard deviation, and (2) </w:t>
      </w:r>
      <w:r w:rsidR="001E5A88">
        <w:t>expressing effect sizes in terms of the distribution of teacher quality instead of the distribution of student achievement.</w:t>
      </w:r>
    </w:p>
    <w:p w:rsidR="00F83F5D" w:rsidRPr="00A82878" w:rsidRDefault="00F83F5D" w:rsidP="000F5701">
      <w:pPr>
        <w:pStyle w:val="Heading4"/>
      </w:pPr>
      <w:bookmarkStart w:id="159" w:name="_Toc277338290"/>
      <w:bookmarkStart w:id="160" w:name="_Toc280089734"/>
      <w:r>
        <w:t>iii.</w:t>
      </w:r>
      <w:r>
        <w:tab/>
      </w:r>
      <w:r w:rsidRPr="00A82878">
        <w:t>Measuring the Distribution of Teacher Effectiveness</w:t>
      </w:r>
      <w:bookmarkEnd w:id="159"/>
      <w:bookmarkEnd w:id="160"/>
    </w:p>
    <w:p w:rsidR="00DC3E91" w:rsidRDefault="00DC3E91" w:rsidP="006221F3">
      <w:pPr>
        <w:pStyle w:val="NormalSS"/>
      </w:pPr>
      <w:r w:rsidRPr="008D1C62">
        <w:t>The primary goal of the study is to document the distribution of teacher effectiveness in a diverse set of districts. The measure of the distribution of teacher effectiveness will be used both to describe the distribution in each district and the key outcome variable in the analysis of the relationship between the distribution and district policies. The goal of the distribution measure is to describe the extent to which disadvantaged and non-disadvantaged students have equal access to effective teaching, defined here as teachers with high value-added scores.</w:t>
      </w:r>
    </w:p>
    <w:p w:rsidR="00DC3E91" w:rsidRDefault="00DC3E91" w:rsidP="00DC3E91">
      <w:pPr>
        <w:pStyle w:val="NormalSS"/>
      </w:pPr>
      <w:r w:rsidRPr="008D1C62">
        <w:t xml:space="preserve">The </w:t>
      </w:r>
      <w:r w:rsidR="006D01FE">
        <w:t>Average Effectiveness Gap (</w:t>
      </w:r>
      <w:r w:rsidRPr="008D1C62">
        <w:t>AEG</w:t>
      </w:r>
      <w:r w:rsidR="006D01FE">
        <w:t>)</w:t>
      </w:r>
      <w:r w:rsidRPr="008D1C62">
        <w:t xml:space="preserve"> is </w:t>
      </w:r>
      <w:r w:rsidR="00C33477">
        <w:t>a</w:t>
      </w:r>
      <w:r w:rsidRPr="008D1C62">
        <w:t xml:space="preserve"> summary measure of the distribution of teacher effectiveness between </w:t>
      </w:r>
      <w:r w:rsidR="0006670D">
        <w:t>dis</w:t>
      </w:r>
      <w:r w:rsidR="00B22CCA">
        <w:t xml:space="preserve">advantaged and </w:t>
      </w:r>
      <w:r w:rsidR="0006670D">
        <w:t>non-</w:t>
      </w:r>
      <w:r w:rsidR="00B22CCA">
        <w:t>disadvantaged</w:t>
      </w:r>
      <w:r w:rsidRPr="008D1C62">
        <w:t xml:space="preserve"> students, as defined by FRL status</w:t>
      </w:r>
      <w:r w:rsidR="00610224">
        <w:t>.</w:t>
      </w:r>
      <w:r w:rsidRPr="008D1C62">
        <w:t xml:space="preserve"> We define two variants of this measure, the Average Teacher Effectiveness Gap (ATEG) and Average School Effectiveness Gap (ASEG), that depend on the level at which we are measuring effectiveness.</w:t>
      </w:r>
      <w:r>
        <w:t xml:space="preserve"> The ATEG accounts for the distribution of teacher quality both between and within schools, and so is generally preferred to the ASEG, which measures only the between-school component of this distribution. The ASEG, however, relies only on school-student links rather than teacher-student links, and so can be computed even if there are incomplete data on teacher-student links.</w:t>
      </w:r>
    </w:p>
    <w:p w:rsidR="00DC3E91" w:rsidRPr="008D1C62" w:rsidRDefault="00DC3E91" w:rsidP="00DC3E91">
      <w:pPr>
        <w:pStyle w:val="NormalSS"/>
      </w:pPr>
      <w:r w:rsidRPr="008D1C62">
        <w:lastRenderedPageBreak/>
        <w:t xml:space="preserve">The ATEG is the average value added of the teachers of </w:t>
      </w:r>
      <w:r w:rsidR="00DA3119">
        <w:t>non-disadvantaged</w:t>
      </w:r>
      <w:r w:rsidR="00DA3119" w:rsidRPr="008D1C62">
        <w:t xml:space="preserve"> </w:t>
      </w:r>
      <w:r w:rsidRPr="008D1C62">
        <w:t xml:space="preserve">students, </w:t>
      </w:r>
      <w:r w:rsidR="007E63C7" w:rsidRPr="008D1C62">
        <w:rPr>
          <w:position w:val="-12"/>
        </w:rPr>
        <w:object w:dxaOrig="360" w:dyaOrig="380">
          <v:shape id="_x0000_i1026" type="#_x0000_t75" style="width:18.4pt;height:19.25pt" o:ole="">
            <v:imagedata r:id="rId27" o:title=""/>
          </v:shape>
          <o:OLEObject Type="Embed" ProgID="Equation.DSMT4" ShapeID="_x0000_i1026" DrawAspect="Content" ObjectID="_1374045165" r:id="rId28"/>
        </w:object>
      </w:r>
      <w:r w:rsidRPr="008D1C62">
        <w:t xml:space="preserve">, minus the average teacher value added of teachers of </w:t>
      </w:r>
      <w:r w:rsidR="00DA3119">
        <w:t>disadvantaged</w:t>
      </w:r>
      <w:r w:rsidR="00DA3119" w:rsidRPr="008D1C62">
        <w:t xml:space="preserve"> </w:t>
      </w:r>
      <w:r w:rsidRPr="008D1C62">
        <w:t xml:space="preserve">students, </w:t>
      </w:r>
      <w:r w:rsidR="007E63C7" w:rsidRPr="007E63C7">
        <w:rPr>
          <w:position w:val="-12"/>
        </w:rPr>
        <w:object w:dxaOrig="279" w:dyaOrig="380">
          <v:shape id="_x0000_i1027" type="#_x0000_t75" style="width:14.25pt;height:19.25pt" o:ole="">
            <v:imagedata r:id="rId29" o:title=""/>
          </v:shape>
          <o:OLEObject Type="Embed" ProgID="Equation.DSMT4" ShapeID="_x0000_i1027" DrawAspect="Content" ObjectID="_1374045166" r:id="rId30"/>
        </w:object>
      </w:r>
      <w:r w:rsidRPr="008D1C62">
        <w:t xml:space="preserve">: </w:t>
      </w:r>
    </w:p>
    <w:p w:rsidR="00DC3E91" w:rsidRPr="008D1C62" w:rsidRDefault="00DC3E91" w:rsidP="00DC3E91">
      <w:pPr>
        <w:tabs>
          <w:tab w:val="clear" w:pos="432"/>
          <w:tab w:val="left" w:pos="1080"/>
          <w:tab w:val="center" w:pos="4770"/>
          <w:tab w:val="right" w:pos="9360"/>
        </w:tabs>
        <w:spacing w:after="240" w:line="240" w:lineRule="auto"/>
        <w:ind w:firstLine="446"/>
        <w:rPr>
          <w:color w:val="000000"/>
        </w:rPr>
      </w:pPr>
      <w:r w:rsidRPr="008D1C62">
        <w:rPr>
          <w:color w:val="000000"/>
        </w:rPr>
        <w:t>(2)</w:t>
      </w:r>
      <w:r>
        <w:rPr>
          <w:color w:val="000000"/>
        </w:rPr>
        <w:tab/>
      </w:r>
      <w:r w:rsidR="007E63C7" w:rsidRPr="007E63C7">
        <w:rPr>
          <w:position w:val="-12"/>
        </w:rPr>
        <w:object w:dxaOrig="1660" w:dyaOrig="380">
          <v:shape id="_x0000_i1028" type="#_x0000_t75" style="width:82.9pt;height:19.25pt" o:ole="">
            <v:imagedata r:id="rId31" o:title=""/>
          </v:shape>
          <o:OLEObject Type="Embed" ProgID="Equation.DSMT4" ShapeID="_x0000_i1028" DrawAspect="Content" ObjectID="_1374045167" r:id="rId32"/>
        </w:object>
      </w:r>
    </w:p>
    <w:p w:rsidR="00DC3E91" w:rsidRPr="008D1C62" w:rsidRDefault="00DC3E91" w:rsidP="00DC3E91">
      <w:pPr>
        <w:pStyle w:val="NormalSScontinued"/>
      </w:pPr>
      <w:r w:rsidRPr="008D1C62">
        <w:t xml:space="preserve">Teachers who have both types of students in their classrooms will count toward both </w:t>
      </w:r>
      <w:r w:rsidR="007E63C7" w:rsidRPr="008D1C62">
        <w:rPr>
          <w:position w:val="-12"/>
        </w:rPr>
        <w:object w:dxaOrig="360" w:dyaOrig="360">
          <v:shape id="_x0000_i1029" type="#_x0000_t75" style="width:18.4pt;height:19.25pt" o:ole="">
            <v:imagedata r:id="rId33" o:title=""/>
          </v:shape>
          <o:OLEObject Type="Embed" ProgID="Equation.DSMT4" ShapeID="_x0000_i1029" DrawAspect="Content" ObjectID="_1374045168" r:id="rId34"/>
        </w:object>
      </w:r>
      <w:r w:rsidRPr="008D1C62">
        <w:t xml:space="preserve"> and </w:t>
      </w:r>
      <w:r w:rsidR="007E63C7" w:rsidRPr="007E63C7">
        <w:rPr>
          <w:position w:val="-12"/>
        </w:rPr>
        <w:object w:dxaOrig="279" w:dyaOrig="360">
          <v:shape id="_x0000_i1030" type="#_x0000_t75" style="width:14.25pt;height:18.4pt" o:ole="">
            <v:imagedata r:id="rId35" o:title=""/>
          </v:shape>
          <o:OLEObject Type="Embed" ProgID="Equation.DSMT4" ShapeID="_x0000_i1030" DrawAspect="Content" ObjectID="_1374045169" r:id="rId36"/>
        </w:object>
      </w:r>
      <w:r w:rsidRPr="008D1C62">
        <w:t xml:space="preserve"> in proportion to the number of </w:t>
      </w:r>
      <w:r w:rsidR="00CC210F">
        <w:t>disadvantaged</w:t>
      </w:r>
      <w:r w:rsidR="00CC210F" w:rsidRPr="008D1C62">
        <w:t xml:space="preserve"> </w:t>
      </w:r>
      <w:r w:rsidRPr="008D1C62">
        <w:t xml:space="preserve">and </w:t>
      </w:r>
      <w:r w:rsidR="00CC210F">
        <w:t>non-disadvantaged</w:t>
      </w:r>
      <w:r w:rsidR="00CC210F" w:rsidRPr="008D1C62">
        <w:t xml:space="preserve"> </w:t>
      </w:r>
      <w:r w:rsidRPr="008D1C62">
        <w:t>students they have.</w:t>
      </w:r>
    </w:p>
    <w:p w:rsidR="00DC3E91" w:rsidRPr="008D1C62" w:rsidRDefault="00DC3E91" w:rsidP="00DC3E91">
      <w:pPr>
        <w:pStyle w:val="NormalSS"/>
      </w:pPr>
      <w:r w:rsidRPr="008D1C62">
        <w:t xml:space="preserve">Similarly, the ASEG is the average value added of the schools attended by </w:t>
      </w:r>
      <w:r w:rsidR="00CC210F">
        <w:t>non-disadvantaged</w:t>
      </w:r>
      <w:r w:rsidR="00CC210F" w:rsidRPr="008D1C62">
        <w:t xml:space="preserve"> </w:t>
      </w:r>
      <w:r w:rsidRPr="008D1C62">
        <w:t xml:space="preserve">students minus the average value added of the schools attended by </w:t>
      </w:r>
      <w:r w:rsidR="00CC210F">
        <w:t>disadvantaged</w:t>
      </w:r>
      <w:r w:rsidR="00CC210F" w:rsidRPr="008D1C62">
        <w:t xml:space="preserve"> </w:t>
      </w:r>
      <w:r w:rsidRPr="008D1C62">
        <w:t>students. Schools that have both types of students count toward the average value added for both types of students.</w:t>
      </w:r>
    </w:p>
    <w:p w:rsidR="00DC3E91" w:rsidRPr="008D1C62" w:rsidRDefault="00DC3E91" w:rsidP="00DC3E91">
      <w:pPr>
        <w:pStyle w:val="NormalSS"/>
      </w:pPr>
      <w:r w:rsidRPr="008D1C62">
        <w:t xml:space="preserve">These measures represent the amount by which the teacher or school quality experienced by </w:t>
      </w:r>
      <w:r w:rsidR="00CC210F">
        <w:t>non-disadvantaged</w:t>
      </w:r>
      <w:r w:rsidR="00CC210F" w:rsidRPr="008D1C62">
        <w:t xml:space="preserve"> </w:t>
      </w:r>
      <w:r w:rsidRPr="008D1C62">
        <w:t xml:space="preserve">students exceeds (if the AEG is positive) or is less than (if AEG is negative) the teacher or school quality experienced by </w:t>
      </w:r>
      <w:r w:rsidR="00CC210F">
        <w:t>disadvantaged</w:t>
      </w:r>
      <w:r w:rsidR="00CC210F" w:rsidRPr="008D1C62">
        <w:t xml:space="preserve"> </w:t>
      </w:r>
      <w:r w:rsidRPr="008D1C62">
        <w:t>students. It is numerically equal to the coefficient on FRL in the following regression of value-added scores on FRL:</w:t>
      </w:r>
    </w:p>
    <w:p w:rsidR="00DC3E91" w:rsidRPr="008D1C62" w:rsidRDefault="00DC3E91" w:rsidP="00DC3E91">
      <w:pPr>
        <w:tabs>
          <w:tab w:val="clear" w:pos="432"/>
          <w:tab w:val="left" w:pos="1080"/>
          <w:tab w:val="center" w:pos="4770"/>
          <w:tab w:val="right" w:pos="9360"/>
        </w:tabs>
        <w:spacing w:after="240" w:line="240" w:lineRule="auto"/>
        <w:ind w:firstLine="446"/>
      </w:pPr>
      <w:r w:rsidRPr="008D1C62">
        <w:t>(3)</w:t>
      </w:r>
      <w:r w:rsidRPr="008D1C62">
        <w:tab/>
      </w:r>
      <w:r w:rsidRPr="008D1C62">
        <w:rPr>
          <w:position w:val="-14"/>
        </w:rPr>
        <w:object w:dxaOrig="2020" w:dyaOrig="400">
          <v:shape id="_x0000_i1031" type="#_x0000_t75" style="width:101.3pt;height:20.1pt" o:ole="">
            <v:imagedata r:id="rId37" o:title=""/>
          </v:shape>
          <o:OLEObject Type="Embed" ProgID="Equation.DSMT4" ShapeID="_x0000_i1031" DrawAspect="Content" ObjectID="_1374045170" r:id="rId38"/>
        </w:object>
      </w:r>
      <w:r w:rsidRPr="008D1C62">
        <w:t>,</w:t>
      </w:r>
    </w:p>
    <w:p w:rsidR="00DC3E91" w:rsidRDefault="00DC3E91" w:rsidP="00DC3E91">
      <w:pPr>
        <w:pStyle w:val="NormalSScontinued"/>
      </w:pPr>
      <w:r w:rsidRPr="008D1C62">
        <w:t xml:space="preserve">where </w:t>
      </w:r>
      <w:r w:rsidRPr="008D1C62">
        <w:rPr>
          <w:position w:val="-14"/>
        </w:rPr>
        <w:object w:dxaOrig="279" w:dyaOrig="400">
          <v:shape id="_x0000_i1032" type="#_x0000_t75" style="width:14.25pt;height:20.1pt" o:ole="">
            <v:imagedata r:id="rId39" o:title=""/>
          </v:shape>
          <o:OLEObject Type="Embed" ProgID="Equation.DSMT4" ShapeID="_x0000_i1032" DrawAspect="Content" ObjectID="_1374045171" r:id="rId40"/>
        </w:object>
      </w:r>
      <w:r w:rsidRPr="008D1C62">
        <w:t xml:space="preserve"> is the value added of teacher or school </w:t>
      </w:r>
      <w:r w:rsidRPr="008D1C62">
        <w:rPr>
          <w:rFonts w:ascii="Times New Roman Italic" w:hAnsi="Times New Roman Italic"/>
          <w:i/>
        </w:rPr>
        <w:t>j</w:t>
      </w:r>
      <w:r w:rsidRPr="008D1C62">
        <w:t xml:space="preserve"> of student </w:t>
      </w:r>
      <w:r w:rsidRPr="008D1C62">
        <w:rPr>
          <w:rFonts w:ascii="Times New Roman Italic" w:hAnsi="Times New Roman Italic"/>
          <w:i/>
        </w:rPr>
        <w:t>i</w:t>
      </w:r>
      <w:r w:rsidRPr="008D1C62">
        <w:rPr>
          <w:i/>
        </w:rPr>
        <w:t xml:space="preserve">, </w:t>
      </w:r>
      <w:r w:rsidRPr="008D1C62">
        <w:t xml:space="preserve">regressed on </w:t>
      </w:r>
      <w:r w:rsidRPr="008D1C62">
        <w:rPr>
          <w:rFonts w:ascii="Times New Roman" w:hAnsi="Times New Roman"/>
          <w:i/>
        </w:rPr>
        <w:t>FRL</w:t>
      </w:r>
      <w:r w:rsidRPr="008D1C62">
        <w:rPr>
          <w:rFonts w:ascii="Times New Roman" w:hAnsi="Times New Roman"/>
          <w:i/>
          <w:vertAlign w:val="subscript"/>
        </w:rPr>
        <w:t>ij</w:t>
      </w:r>
      <w:r w:rsidRPr="008D1C62">
        <w:rPr>
          <w:i/>
        </w:rPr>
        <w:t>,</w:t>
      </w:r>
      <w:r w:rsidRPr="008D1C62">
        <w:t xml:space="preserve"> a binary variable that takes a value of one if the student is </w:t>
      </w:r>
      <w:r w:rsidRPr="008D1C62">
        <w:rPr>
          <w:i/>
        </w:rPr>
        <w:t>not</w:t>
      </w:r>
      <w:r w:rsidRPr="008D1C62">
        <w:t xml:space="preserve"> FRL-eligible and zero if the student is eligible. The estimated coefficient </w:t>
      </w:r>
      <w:r w:rsidRPr="008D1C62">
        <w:rPr>
          <w:rFonts w:ascii="Symbol" w:hAnsi="Symbol"/>
          <w:i/>
        </w:rPr>
        <w:t></w:t>
      </w:r>
      <w:r w:rsidRPr="008D1C62">
        <w:t xml:space="preserve"> measures the estimated mean difference in teacher or school effectiveness between </w:t>
      </w:r>
      <w:r w:rsidR="00482642">
        <w:t>non-disadvantaged</w:t>
      </w:r>
      <w:r w:rsidR="00482642" w:rsidRPr="008D1C62">
        <w:t xml:space="preserve"> </w:t>
      </w:r>
      <w:r w:rsidRPr="008D1C62">
        <w:t xml:space="preserve">and </w:t>
      </w:r>
      <w:r w:rsidR="00482642">
        <w:t>disadvantaged</w:t>
      </w:r>
      <w:r w:rsidR="00482642" w:rsidRPr="008D1C62">
        <w:t xml:space="preserve"> </w:t>
      </w:r>
      <w:r w:rsidRPr="008D1C62">
        <w:t xml:space="preserve">students in the district, with a positive </w:t>
      </w:r>
      <w:r w:rsidRPr="008D1C62">
        <w:rPr>
          <w:rFonts w:ascii="Symbol" w:hAnsi="Symbol"/>
          <w:i/>
        </w:rPr>
        <w:t></w:t>
      </w:r>
      <w:r w:rsidRPr="008D1C62">
        <w:t xml:space="preserve"> indicating an inequitable distribution and a negative </w:t>
      </w:r>
      <w:r w:rsidRPr="008D1C62">
        <w:rPr>
          <w:rFonts w:ascii="Symbol" w:hAnsi="Symbol"/>
          <w:i/>
        </w:rPr>
        <w:t></w:t>
      </w:r>
      <w:r w:rsidRPr="008D1C62">
        <w:t xml:space="preserve"> indicating a compensatory distribution. The AEG can be used as a credible measure of the distribution of teacher or school effectiveness regardless of whether the value-added model used to generate measures of teacher or school effectiveness includes FRL as a control variable.</w:t>
      </w:r>
    </w:p>
    <w:p w:rsidR="005775D5" w:rsidRPr="008D1C62" w:rsidRDefault="005775D5" w:rsidP="005775D5">
      <w:pPr>
        <w:pStyle w:val="NormalSS"/>
      </w:pPr>
      <w:r w:rsidRPr="008D1C62">
        <w:rPr>
          <w:b/>
        </w:rPr>
        <w:t xml:space="preserve">Within- and Between-School Differences in the Distribution of Teachers. </w:t>
      </w:r>
      <w:r w:rsidRPr="008D1C62">
        <w:t>By comparing the value of the ATEG and ASEG, we can measure the extent to which the distribution of teacher quality is driven by differences in the value added of teachers across schools or within schools. This can be useful for diagnosing the source of an inequitable distribution of teachers, suggesting whether policymakers in a particular school district would be better off focusing on policies like hiring and retention reforms that equalize teacher quality across schools or are better off focusing on tracking policies that determine teacher-student matches within schools.</w:t>
      </w:r>
    </w:p>
    <w:p w:rsidR="005775D5" w:rsidRPr="008D1C62" w:rsidRDefault="005775D5" w:rsidP="005775D5">
      <w:pPr>
        <w:pStyle w:val="BulletBlack"/>
        <w:ind w:left="720" w:hanging="288"/>
      </w:pPr>
      <w:r w:rsidRPr="008D1C62">
        <w:t xml:space="preserve">If the ASEG is larger than the ATEG, that suggests that principals assign </w:t>
      </w:r>
      <w:r w:rsidR="00482642">
        <w:t>disadvantaged</w:t>
      </w:r>
      <w:r w:rsidR="00482642" w:rsidRPr="008D1C62">
        <w:t xml:space="preserve"> </w:t>
      </w:r>
      <w:r w:rsidRPr="008D1C62">
        <w:t>students to the higher value-added teachers within schools. The matching of students to teachers across schools is the source of any inequity in the distribution of teacher effectiveness, with within-school assignment serving as a compensatory mechanism.</w:t>
      </w:r>
    </w:p>
    <w:p w:rsidR="005775D5" w:rsidRPr="008D1C62" w:rsidRDefault="005775D5" w:rsidP="005775D5">
      <w:pPr>
        <w:pStyle w:val="BulletBlack"/>
        <w:ind w:left="720" w:hanging="288"/>
      </w:pPr>
      <w:r w:rsidRPr="008D1C62">
        <w:t>If the ASEG and ATEG are equal, this suggests that any difference in teacher effectiveness (whether inequitable or compensatory) is across schools, and that teacher assignments within school, although not compensatory, are not responsible for the overall difference in the distribution of teacher effectiveness.</w:t>
      </w:r>
    </w:p>
    <w:p w:rsidR="005775D5" w:rsidRPr="008D1C62" w:rsidRDefault="005775D5" w:rsidP="005775D5">
      <w:pPr>
        <w:pStyle w:val="BulletBlack"/>
        <w:ind w:left="720" w:hanging="288"/>
      </w:pPr>
      <w:r w:rsidRPr="008D1C62">
        <w:t xml:space="preserve">If the ATEG is larger than the ASEG, that suggests that within-school sorting of students is exacerbating any inequity in the distribution of teacher effectiveness </w:t>
      </w:r>
      <w:r w:rsidRPr="008D1C62">
        <w:lastRenderedPageBreak/>
        <w:t>associated with between-school sorting. For example, if the ASEG were zero and the ATEG were positive, this would suggest that all of the inequity is due to within-school sorting of students to teachers.</w:t>
      </w:r>
    </w:p>
    <w:p w:rsidR="005775D5" w:rsidRPr="008D1C62" w:rsidRDefault="005775D5" w:rsidP="005775D5">
      <w:pPr>
        <w:pStyle w:val="NormalSS"/>
        <w:rPr>
          <w:b/>
        </w:rPr>
      </w:pPr>
      <w:r w:rsidRPr="008D1C62">
        <w:t xml:space="preserve">The degree to which the ASEG and ATEG can differ depends on the amount of segregation of </w:t>
      </w:r>
      <w:r w:rsidR="00482642">
        <w:t>non-disadvantaged</w:t>
      </w:r>
      <w:r w:rsidR="00482642" w:rsidRPr="008D1C62">
        <w:t xml:space="preserve"> </w:t>
      </w:r>
      <w:r w:rsidRPr="008D1C62">
        <w:t xml:space="preserve">and </w:t>
      </w:r>
      <w:r w:rsidR="00482642">
        <w:t>disadvantaged</w:t>
      </w:r>
      <w:r w:rsidR="00482642" w:rsidRPr="008D1C62">
        <w:t xml:space="preserve"> </w:t>
      </w:r>
      <w:r w:rsidRPr="008D1C62">
        <w:t xml:space="preserve">students across schools. For example, if </w:t>
      </w:r>
      <w:r w:rsidR="00482642">
        <w:t>non-disadvantaged</w:t>
      </w:r>
      <w:r w:rsidR="00482642" w:rsidRPr="008D1C62">
        <w:t xml:space="preserve"> </w:t>
      </w:r>
      <w:r w:rsidRPr="008D1C62">
        <w:t xml:space="preserve">and </w:t>
      </w:r>
      <w:r w:rsidR="00482642">
        <w:t>disadvantaged</w:t>
      </w:r>
      <w:r w:rsidR="00482642" w:rsidRPr="008D1C62">
        <w:t xml:space="preserve"> </w:t>
      </w:r>
      <w:r w:rsidRPr="008D1C62">
        <w:t xml:space="preserve">students are completely segregated into different schools, there will be a negligible difference between the two measures, as there would be little opportunity for principals to differentially assign </w:t>
      </w:r>
      <w:r w:rsidR="008B0EAF">
        <w:t>disadvantaged</w:t>
      </w:r>
      <w:r w:rsidR="008B0EAF" w:rsidRPr="008D1C62">
        <w:t xml:space="preserve"> </w:t>
      </w:r>
      <w:r w:rsidRPr="008D1C62">
        <w:t xml:space="preserve">or </w:t>
      </w:r>
      <w:r w:rsidR="008B0EAF">
        <w:t>non-disadvantaged</w:t>
      </w:r>
      <w:r w:rsidR="008B0EAF" w:rsidRPr="008D1C62">
        <w:t xml:space="preserve"> </w:t>
      </w:r>
      <w:r w:rsidRPr="008D1C62">
        <w:t xml:space="preserve">students to different teachers within schools. This would also be the case if teacher quality did not vary within schools, even if </w:t>
      </w:r>
      <w:r w:rsidR="008B0EAF">
        <w:t>disadvantaged</w:t>
      </w:r>
      <w:r w:rsidR="008B0EAF" w:rsidRPr="008D1C62">
        <w:t xml:space="preserve"> </w:t>
      </w:r>
      <w:r w:rsidRPr="008D1C62">
        <w:t xml:space="preserve">and </w:t>
      </w:r>
      <w:r w:rsidR="008B0EAF">
        <w:t>non-</w:t>
      </w:r>
      <w:r w:rsidR="008B0EAF" w:rsidRPr="008B0EAF">
        <w:t xml:space="preserve"> </w:t>
      </w:r>
      <w:r w:rsidR="008B0EAF">
        <w:t>disadvantaged</w:t>
      </w:r>
      <w:r w:rsidR="008B0EAF" w:rsidRPr="008D1C62">
        <w:t xml:space="preserve"> </w:t>
      </w:r>
      <w:r w:rsidRPr="008D1C62">
        <w:t>students were well integrated. To make the AEG more useful to policymakers seeking to target policies to redress inequities, we will present the ATEG alongside the ASEG, the percentage of students in the district who are FRL-eligible, the across-school and within-school variation in teacher quality, and a measure of student segregation across schools.</w:t>
      </w:r>
    </w:p>
    <w:p w:rsidR="005775D5" w:rsidRPr="008D1C62" w:rsidRDefault="005775D5" w:rsidP="005775D5">
      <w:pPr>
        <w:pStyle w:val="NormalSS"/>
      </w:pPr>
      <w:r w:rsidRPr="008D1C62">
        <w:rPr>
          <w:b/>
        </w:rPr>
        <w:t xml:space="preserve">Extensions of the AEG. </w:t>
      </w:r>
      <w:r w:rsidRPr="008D1C62">
        <w:t>The AEG is a flexible metric that can be used with a variety of measures of student disadvantage and can be used to trace the distribution of teacher quality for a cohort of students through multiple school years.</w:t>
      </w:r>
    </w:p>
    <w:p w:rsidR="005775D5" w:rsidRPr="008D1C62" w:rsidRDefault="005775D5" w:rsidP="005775D5">
      <w:pPr>
        <w:pStyle w:val="NormalSS"/>
      </w:pPr>
      <w:r w:rsidRPr="008D1C62">
        <w:t>One extension would be to replace FRL with an alternate measure of inequality. For example, by replacing FRL with race/ethnicity, we can use a similar analysis to measure black/white or Hispanic/white gaps in the distribution of effective teachers. By replacing a binary variable of student disadvantage with the student pretest score (ideally measured before a student enters a school), we can extend the AEG to a case where the measure of student inequality is a continuous rather than a discrete variable.</w:t>
      </w:r>
    </w:p>
    <w:p w:rsidR="005775D5" w:rsidRDefault="005775D5" w:rsidP="005775D5">
      <w:pPr>
        <w:pStyle w:val="NormalSS"/>
      </w:pPr>
      <w:r w:rsidRPr="008D1C62">
        <w:t>A second extension to measuring the AEG in a single year would be to consider the AEG as it affects students over multiple years. Because we will collect data that allow us to compute value-added in a school district over five years, we can trace the effectiveness of teachers of one cohort of students for every year between grades 4 and 8, and for other cohorts for multiple years within the range of grades 4 to 8. By measuring the AEG annually over multiple years, we will be able to examine whether there is a cumulative gap that grows larger each year or whether inequitable distributions in some years are offset by compensatory distributions in others.</w:t>
      </w:r>
    </w:p>
    <w:p w:rsidR="00C85653" w:rsidRDefault="00A76EA8" w:rsidP="00E16FCA">
      <w:pPr>
        <w:pStyle w:val="NormalSS"/>
      </w:pPr>
      <w:r>
        <w:t>A third extension that w</w:t>
      </w:r>
      <w:r w:rsidR="00B366F2">
        <w:t xml:space="preserve">ould serve as a sensitivity test, is to calculate the AEG </w:t>
      </w:r>
      <w:r>
        <w:t>based on</w:t>
      </w:r>
      <w:r w:rsidR="00B366F2">
        <w:t xml:space="preserve"> </w:t>
      </w:r>
      <w:r>
        <w:t xml:space="preserve">a district-specific measure of teacher performance rather than </w:t>
      </w:r>
      <w:r w:rsidR="00B21D02">
        <w:t>a</w:t>
      </w:r>
      <w:r>
        <w:t xml:space="preserve"> </w:t>
      </w:r>
      <w:r w:rsidR="00794A14">
        <w:t xml:space="preserve">common </w:t>
      </w:r>
      <w:r>
        <w:t xml:space="preserve">value-added model. </w:t>
      </w:r>
      <w:r w:rsidR="00117725">
        <w:t xml:space="preserve">While </w:t>
      </w:r>
      <w:r w:rsidR="00530DCC">
        <w:t>a</w:t>
      </w:r>
      <w:r w:rsidR="00117725">
        <w:t xml:space="preserve"> common value added model provides a consistent </w:t>
      </w:r>
      <w:r w:rsidR="00530DCC">
        <w:t xml:space="preserve">performance measure </w:t>
      </w:r>
      <w:r w:rsidR="00117725">
        <w:t xml:space="preserve">for all participating districts, </w:t>
      </w:r>
      <w:r w:rsidR="00530DCC">
        <w:t xml:space="preserve">a district’s policies </w:t>
      </w:r>
      <w:r w:rsidR="00117725">
        <w:t xml:space="preserve">may </w:t>
      </w:r>
      <w:r w:rsidR="00530DCC">
        <w:t xml:space="preserve">be based </w:t>
      </w:r>
      <w:r w:rsidR="00117725">
        <w:t xml:space="preserve">on a different type of measure, such as </w:t>
      </w:r>
      <w:r w:rsidR="00C85653">
        <w:t>a classroom observation rubric, or based on a combination of measures, such as a classroom observation rubric and student achievement growth measure. We will request teacher performance measure</w:t>
      </w:r>
      <w:r w:rsidR="00530DCC">
        <w:t>s</w:t>
      </w:r>
      <w:r w:rsidR="00C85653">
        <w:t xml:space="preserve"> as part o</w:t>
      </w:r>
      <w:r w:rsidR="002E2D51">
        <w:t xml:space="preserve">f the teacher personnel </w:t>
      </w:r>
      <w:r w:rsidR="00117725">
        <w:t xml:space="preserve">data </w:t>
      </w:r>
      <w:r w:rsidR="002E2D51">
        <w:t>request</w:t>
      </w:r>
      <w:r w:rsidR="00530DCC">
        <w:t xml:space="preserve">, collecting </w:t>
      </w:r>
      <w:r w:rsidR="002E2D51">
        <w:t>teacher evaluation results</w:t>
      </w:r>
      <w:r w:rsidR="00A07B27">
        <w:t xml:space="preserve"> or other evaluation tools that lead to a numeric rating of teachers</w:t>
      </w:r>
      <w:r w:rsidR="002E2D51" w:rsidRPr="002E2D51">
        <w:t>,</w:t>
      </w:r>
      <w:r w:rsidR="00A07B27">
        <w:t xml:space="preserve"> as well as</w:t>
      </w:r>
      <w:r w:rsidR="002E2D51" w:rsidRPr="002E2D51">
        <w:t xml:space="preserve"> performance measure</w:t>
      </w:r>
      <w:r w:rsidR="002E2D51">
        <w:t>s</w:t>
      </w:r>
      <w:r w:rsidR="002E2D51" w:rsidRPr="002E2D51">
        <w:t xml:space="preserve"> </w:t>
      </w:r>
      <w:r w:rsidR="00A07B27">
        <w:t xml:space="preserve">that are </w:t>
      </w:r>
      <w:r w:rsidR="002E2D51" w:rsidRPr="002E2D51">
        <w:t xml:space="preserve">used </w:t>
      </w:r>
      <w:r w:rsidR="002E2D51">
        <w:t>as the basis for</w:t>
      </w:r>
      <w:r w:rsidR="002E2D51" w:rsidRPr="002E2D51">
        <w:t xml:space="preserve"> teacher compensation, te</w:t>
      </w:r>
      <w:r w:rsidR="002E2D51">
        <w:t>acher tenure, or teacher layoff policies</w:t>
      </w:r>
      <w:r w:rsidR="002E2D51" w:rsidRPr="002E2D51">
        <w:t xml:space="preserve">. </w:t>
      </w:r>
      <w:r w:rsidR="00E16FCA">
        <w:t xml:space="preserve">When these data are available, we will </w:t>
      </w:r>
      <w:r w:rsidR="00C85653">
        <w:t xml:space="preserve">test the sensitivity of the </w:t>
      </w:r>
      <w:r w:rsidR="00E16FCA">
        <w:t xml:space="preserve">distribution results and the </w:t>
      </w:r>
      <w:r w:rsidR="00C85653">
        <w:t>policy analysis described in the next section</w:t>
      </w:r>
      <w:r w:rsidR="00E16FCA">
        <w:t>, t</w:t>
      </w:r>
      <w:r w:rsidR="00C85653">
        <w:t xml:space="preserve">o see if district policies have a </w:t>
      </w:r>
      <w:r w:rsidR="00E16FCA">
        <w:t>stronger</w:t>
      </w:r>
      <w:r w:rsidR="00C85653">
        <w:t xml:space="preserve"> relationship with the distribution </w:t>
      </w:r>
      <w:r w:rsidR="00E16FCA">
        <w:t xml:space="preserve">when </w:t>
      </w:r>
      <w:r w:rsidR="00C85653">
        <w:t>measured with district-specific measures of teacher performance.</w:t>
      </w:r>
    </w:p>
    <w:p w:rsidR="005775D5" w:rsidRPr="008D1C62" w:rsidRDefault="005775D5" w:rsidP="005775D5">
      <w:pPr>
        <w:pStyle w:val="NormalSS"/>
      </w:pPr>
      <w:r w:rsidRPr="008D1C62">
        <w:t xml:space="preserve">Finally, rather than focusing only on the average gap, one can plot a histogram of teacher effectiveness for </w:t>
      </w:r>
      <w:r w:rsidR="00813386">
        <w:t>non-disadvantaged</w:t>
      </w:r>
      <w:r w:rsidR="00813386" w:rsidRPr="008D1C62">
        <w:t xml:space="preserve"> </w:t>
      </w:r>
      <w:r w:rsidRPr="008D1C62">
        <w:t xml:space="preserve">students and the same for </w:t>
      </w:r>
      <w:r w:rsidR="00813386">
        <w:t>disadvantaged</w:t>
      </w:r>
      <w:r w:rsidR="00813386" w:rsidRPr="008D1C62">
        <w:t xml:space="preserve"> </w:t>
      </w:r>
      <w:r w:rsidRPr="008D1C62">
        <w:t xml:space="preserve">students. The effectiveness of teachers who teach both types of students will be represented in both histograms, </w:t>
      </w:r>
      <w:r w:rsidRPr="008D1C62">
        <w:lastRenderedPageBreak/>
        <w:t xml:space="preserve">weighted by the number of </w:t>
      </w:r>
      <w:r w:rsidR="00813386">
        <w:t>disadvantaged</w:t>
      </w:r>
      <w:r w:rsidR="00813386" w:rsidRPr="008D1C62">
        <w:t xml:space="preserve"> </w:t>
      </w:r>
      <w:r w:rsidRPr="008D1C62">
        <w:t xml:space="preserve">and </w:t>
      </w:r>
      <w:r w:rsidR="00813386">
        <w:t>non-disadvantaged</w:t>
      </w:r>
      <w:r w:rsidR="00813386" w:rsidRPr="008D1C62">
        <w:t xml:space="preserve"> </w:t>
      </w:r>
      <w:r w:rsidRPr="008D1C62">
        <w:t xml:space="preserve">students they teach. This will show the degree of overlap, and the degree to which average differences may be due to a greater likelihood of one group or another being assigned to teachers at the tails of the distribution. Sass et al. (2010) use this technique to show how the distribution of teacher value added compares across schools with 70 percent or more FRL students compared to 70 percent or fewer FRL students, and find a thicker tail of ineffective teachers in the higher-poverty schools. Our approach would be slightly different, as the histograms would represent teachers of </w:t>
      </w:r>
      <w:r w:rsidR="00D360A7">
        <w:t>disadvantaged</w:t>
      </w:r>
      <w:r w:rsidR="00D360A7" w:rsidRPr="008D1C62">
        <w:t xml:space="preserve"> </w:t>
      </w:r>
      <w:r w:rsidRPr="008D1C62">
        <w:t xml:space="preserve">students in all schools compared to teachers of </w:t>
      </w:r>
      <w:r w:rsidR="00D360A7">
        <w:t>non-disadvantaged</w:t>
      </w:r>
      <w:r w:rsidR="00D360A7" w:rsidRPr="008D1C62">
        <w:t xml:space="preserve"> </w:t>
      </w:r>
      <w:r w:rsidRPr="008D1C62">
        <w:t>students in all schools.</w:t>
      </w:r>
    </w:p>
    <w:p w:rsidR="00F83F5D" w:rsidRDefault="00F83F5D" w:rsidP="000F5701">
      <w:pPr>
        <w:pStyle w:val="Heading4"/>
      </w:pPr>
      <w:bookmarkStart w:id="161" w:name="_Toc277338291"/>
      <w:bookmarkStart w:id="162" w:name="_Toc280089735"/>
      <w:r>
        <w:t>iv</w:t>
      </w:r>
      <w:r w:rsidRPr="00A82878">
        <w:t>.</w:t>
      </w:r>
      <w:r>
        <w:tab/>
      </w:r>
      <w:r w:rsidRPr="00A82878">
        <w:t xml:space="preserve">Analyzing the </w:t>
      </w:r>
      <w:bookmarkEnd w:id="161"/>
      <w:bookmarkEnd w:id="162"/>
      <w:r w:rsidR="005775D5">
        <w:t>Relationship Between Policies and the Distribution</w:t>
      </w:r>
      <w:r w:rsidRPr="00A82878">
        <w:t xml:space="preserve"> </w:t>
      </w:r>
    </w:p>
    <w:p w:rsidR="000F6BB4" w:rsidRDefault="000F04E3" w:rsidP="00721E7A">
      <w:pPr>
        <w:pStyle w:val="NormalSS"/>
      </w:pPr>
      <w:r w:rsidRPr="008D1C62">
        <w:t>The goal of this analysis is to provide an initial understanding of the relationship between district policies and the teacher effectiveness gap. While all of the</w:t>
      </w:r>
      <w:r>
        <w:t>se</w:t>
      </w:r>
      <w:r w:rsidRPr="008D1C62">
        <w:t xml:space="preserve"> proposed analyses are exploratory (that is, non-causal), they can suggest policies and practices that should be examined using more rigorous methods in the future. </w:t>
      </w:r>
    </w:p>
    <w:p w:rsidR="00F70927" w:rsidRDefault="00F70927" w:rsidP="000F04E3">
      <w:pPr>
        <w:pStyle w:val="NormalSS"/>
      </w:pPr>
      <w:r w:rsidRPr="00F70927">
        <w:t>To summarize the relationship between district policies and the distribution of teacher effectiveness in a given subject, we will create a series of tables and graphs that illustrate the ATEG and ASEG mean and standard deviation across those districts with and without each of the policies identified. In this analysis, we will incorporate all five years of data for each district to compare the average difference in ATEG and ASEG for districts that ever implemented a policy or groups of policies and districts that never implemented the policy. The difference in ATEG and ASEG scores will provide an initial sense for how the distribution in these districts differs, and we will test the significance of these differences.</w:t>
      </w:r>
    </w:p>
    <w:p w:rsidR="00F70927" w:rsidRDefault="00F70927" w:rsidP="000F04E3">
      <w:pPr>
        <w:pStyle w:val="NormalSS"/>
      </w:pPr>
      <w:r w:rsidRPr="00F70927">
        <w:t>We will also examine changes in the ATEG and ASEG over time to see whether the gap is improving across districts during the course of the study. We will analyze how the change in ATEG or ASEG over the course of the five-year period correlates with policy implementation. Also, we will account for whether districts implement policies for the entire study period (potentially including years prior to the study period), a portion of the study period, or never during the study period, with a variable indicating the number of study years in which a district implemented the policy (ranging from zero to five). We will correlate the change in ATEG from 2008-09 to 2012-13 with the number of years of implementation to initially examine the relationship between policy implementation and the ATEG.</w:t>
      </w:r>
    </w:p>
    <w:p w:rsidR="00F70927" w:rsidRPr="008D1C62" w:rsidRDefault="00F70927" w:rsidP="00F70927">
      <w:pPr>
        <w:pStyle w:val="NormalSS"/>
      </w:pPr>
      <w:r w:rsidRPr="008D1C62">
        <w:t>We will extend the summary statistics described above by estimating a model that relates district policies to the distribution of teacher effectiveness. This model will include control variables that are likely to be correlated with both the policy variables as well as the ATEG. To measure the relationships between policies and the distribution, we would estimate:</w:t>
      </w:r>
    </w:p>
    <w:p w:rsidR="00F70927" w:rsidRPr="008D1C62" w:rsidRDefault="00F70927" w:rsidP="00F70927">
      <w:pPr>
        <w:tabs>
          <w:tab w:val="clear" w:pos="432"/>
          <w:tab w:val="left" w:pos="1080"/>
          <w:tab w:val="center" w:pos="4770"/>
          <w:tab w:val="right" w:pos="9360"/>
        </w:tabs>
        <w:spacing w:after="240" w:line="240" w:lineRule="auto"/>
        <w:ind w:firstLine="446"/>
      </w:pPr>
      <w:r w:rsidRPr="008D1C62">
        <w:t>(</w:t>
      </w:r>
      <w:r>
        <w:t>4</w:t>
      </w:r>
      <w:r w:rsidRPr="008D1C62">
        <w:t>)</w:t>
      </w:r>
      <w:r w:rsidRPr="008D1C62">
        <w:tab/>
      </w:r>
      <w:r w:rsidRPr="008D1C62">
        <w:rPr>
          <w:position w:val="-12"/>
        </w:rPr>
        <w:object w:dxaOrig="3680" w:dyaOrig="360">
          <v:shape id="_x0000_i1033" type="#_x0000_t75" style="width:184.2pt;height:19.25pt" o:ole="">
            <v:imagedata r:id="rId41" o:title=""/>
          </v:shape>
          <o:OLEObject Type="Embed" ProgID="Equation.DSMT4" ShapeID="_x0000_i1033" DrawAspect="Content" ObjectID="_1374045172" r:id="rId42"/>
        </w:object>
      </w:r>
      <w:r w:rsidRPr="008D1C62">
        <w:t>,</w:t>
      </w:r>
    </w:p>
    <w:p w:rsidR="00677678" w:rsidRDefault="00F70927" w:rsidP="00677678">
      <w:pPr>
        <w:pStyle w:val="NormalSS"/>
        <w:ind w:firstLine="0"/>
      </w:pPr>
      <w:r w:rsidRPr="008D1C62">
        <w:t xml:space="preserve">where </w:t>
      </w:r>
      <w:proofErr w:type="spellStart"/>
      <w:r w:rsidRPr="008D1C62">
        <w:rPr>
          <w:rFonts w:ascii="Times New Roman" w:hAnsi="Times New Roman"/>
          <w:i/>
        </w:rPr>
        <w:t>ATEG</w:t>
      </w:r>
      <w:r w:rsidRPr="008D1C62">
        <w:rPr>
          <w:rFonts w:ascii="Times New Roman" w:hAnsi="Times New Roman"/>
          <w:i/>
          <w:vertAlign w:val="subscript"/>
        </w:rPr>
        <w:t>it</w:t>
      </w:r>
      <w:proofErr w:type="spellEnd"/>
      <w:r w:rsidRPr="008D1C62">
        <w:t xml:space="preserve"> represents the average teacher effectiveness gap for district</w:t>
      </w:r>
      <w:r w:rsidRPr="008D1C62">
        <w:rPr>
          <w:i/>
        </w:rPr>
        <w:t xml:space="preserve"> </w:t>
      </w:r>
      <w:r w:rsidRPr="008D1C62">
        <w:rPr>
          <w:rFonts w:ascii="Times New Roman" w:hAnsi="Times New Roman"/>
          <w:i/>
        </w:rPr>
        <w:t>i</w:t>
      </w:r>
      <w:r w:rsidRPr="008D1C62">
        <w:t xml:space="preserve"> in year </w:t>
      </w:r>
      <w:r w:rsidRPr="008D1C62">
        <w:rPr>
          <w:rFonts w:ascii="Times New Roman" w:hAnsi="Times New Roman"/>
          <w:i/>
        </w:rPr>
        <w:t>t</w:t>
      </w:r>
      <w:r w:rsidRPr="008D1C62">
        <w:t>;</w:t>
      </w:r>
      <w:r w:rsidRPr="008D1C62">
        <w:rPr>
          <w:b/>
        </w:rPr>
        <w:t xml:space="preserve"> </w:t>
      </w:r>
      <w:r w:rsidRPr="008D1C62">
        <w:rPr>
          <w:rFonts w:ascii="Times New Roman" w:hAnsi="Times New Roman"/>
          <w:b/>
        </w:rPr>
        <w:t>P</w:t>
      </w:r>
      <w:r w:rsidRPr="008D1C62">
        <w:rPr>
          <w:rFonts w:ascii="Times New Roman" w:hAnsi="Times New Roman"/>
          <w:i/>
          <w:vertAlign w:val="subscript"/>
        </w:rPr>
        <w:t>it</w:t>
      </w:r>
      <w:r w:rsidRPr="008D1C62">
        <w:rPr>
          <w:i/>
        </w:rPr>
        <w:t xml:space="preserve"> </w:t>
      </w:r>
      <w:r w:rsidRPr="008D1C62">
        <w:t xml:space="preserve">is a vector of policy variables that represent the district’s implementation of policies in year </w:t>
      </w:r>
      <w:r w:rsidRPr="008D1C62">
        <w:rPr>
          <w:rFonts w:ascii="Times New Roman" w:hAnsi="Times New Roman"/>
          <w:i/>
        </w:rPr>
        <w:t>t</w:t>
      </w:r>
      <w:r w:rsidRPr="008D1C62">
        <w:t>;</w:t>
      </w:r>
      <w:r w:rsidRPr="008D1C62">
        <w:rPr>
          <w:b/>
        </w:rPr>
        <w:t xml:space="preserve"> </w:t>
      </w:r>
      <w:r w:rsidRPr="008D1C62">
        <w:rPr>
          <w:rFonts w:ascii="Times New Roman" w:hAnsi="Times New Roman"/>
          <w:b/>
        </w:rPr>
        <w:t>X</w:t>
      </w:r>
      <w:r w:rsidRPr="008D1C62">
        <w:rPr>
          <w:rFonts w:ascii="Times New Roman" w:hAnsi="Times New Roman"/>
          <w:i/>
          <w:vertAlign w:val="subscript"/>
        </w:rPr>
        <w:t>i</w:t>
      </w:r>
      <w:r w:rsidRPr="008D1C62">
        <w:rPr>
          <w:i/>
        </w:rPr>
        <w:t xml:space="preserve"> </w:t>
      </w:r>
      <w:r w:rsidRPr="008D1C62">
        <w:t xml:space="preserve">is a vector of time invariant district characteristics; </w:t>
      </w:r>
      <w:r w:rsidRPr="008D1C62">
        <w:rPr>
          <w:rFonts w:ascii="Symbol" w:hAnsi="Symbol"/>
          <w:i/>
        </w:rPr>
        <w:t></w:t>
      </w:r>
      <w:r w:rsidRPr="008D1C62">
        <w:rPr>
          <w:rFonts w:ascii="Times New Roman" w:hAnsi="Times New Roman"/>
          <w:i/>
          <w:vertAlign w:val="subscript"/>
        </w:rPr>
        <w:t>t</w:t>
      </w:r>
      <w:r w:rsidRPr="008D1C62">
        <w:t xml:space="preserve"> captures time-specific shocks in the ATEG</w:t>
      </w:r>
      <w:r w:rsidRPr="008D1C62">
        <w:rPr>
          <w:i/>
        </w:rPr>
        <w:t xml:space="preserve"> </w:t>
      </w:r>
      <w:r w:rsidRPr="008D1C62">
        <w:t xml:space="preserve">across districts; </w:t>
      </w:r>
      <w:r w:rsidRPr="008D1C62">
        <w:rPr>
          <w:rFonts w:ascii="Times New Roman" w:hAnsi="Times New Roman"/>
          <w:i/>
        </w:rPr>
        <w:t>u</w:t>
      </w:r>
      <w:r w:rsidRPr="008D1C62">
        <w:rPr>
          <w:rFonts w:ascii="Times New Roman" w:hAnsi="Times New Roman"/>
          <w:i/>
          <w:vertAlign w:val="subscript"/>
        </w:rPr>
        <w:t>i</w:t>
      </w:r>
      <w:r w:rsidRPr="008D1C62">
        <w:rPr>
          <w:i/>
        </w:rPr>
        <w:t xml:space="preserve"> </w:t>
      </w:r>
      <w:r w:rsidRPr="008D1C62">
        <w:t>is a district random effect term to adjust the standard errors associated with having multiple years of data for each district;</w:t>
      </w:r>
      <w:r w:rsidRPr="008D1C62">
        <w:rPr>
          <w:i/>
        </w:rPr>
        <w:t xml:space="preserve"> </w:t>
      </w:r>
      <w:r w:rsidRPr="008D1C62">
        <w:t>and</w:t>
      </w:r>
      <w:r w:rsidRPr="008D1C62">
        <w:rPr>
          <w:i/>
        </w:rPr>
        <w:t xml:space="preserve"> ε</w:t>
      </w:r>
      <w:r w:rsidRPr="008D1C62">
        <w:rPr>
          <w:rFonts w:ascii="Times New Roman" w:hAnsi="Times New Roman"/>
          <w:i/>
          <w:vertAlign w:val="subscript"/>
        </w:rPr>
        <w:t>it</w:t>
      </w:r>
      <w:r w:rsidRPr="008D1C62">
        <w:rPr>
          <w:vertAlign w:val="subscript"/>
        </w:rPr>
        <w:t xml:space="preserve"> </w:t>
      </w:r>
      <w:r w:rsidRPr="008D1C62">
        <w:t xml:space="preserve">is an error term with subscripts </w:t>
      </w:r>
      <w:r w:rsidRPr="008D1C62">
        <w:rPr>
          <w:rFonts w:ascii="Times New Roman Italic" w:hAnsi="Times New Roman Italic"/>
          <w:i/>
        </w:rPr>
        <w:t>i</w:t>
      </w:r>
      <w:r w:rsidRPr="008D1C62">
        <w:t xml:space="preserve"> and </w:t>
      </w:r>
      <w:r w:rsidRPr="008D1C62">
        <w:rPr>
          <w:rFonts w:ascii="Times New Roman Italic" w:hAnsi="Times New Roman Italic"/>
          <w:i/>
        </w:rPr>
        <w:t>t</w:t>
      </w:r>
      <w:r w:rsidRPr="008D1C62">
        <w:t xml:space="preserve"> representing districts and time, respectively. In an alternate specification, we will also consider including district fixed effects instead of time invariant district characteristics (see below). Because some policies are expected to affect the </w:t>
      </w:r>
      <w:r w:rsidRPr="008D1C62">
        <w:lastRenderedPageBreak/>
        <w:t xml:space="preserve">distribution in the year after they are implemented, we will define some policies based on their implementation in the prior year. For example, a layoff policy implemented in year </w:t>
      </w:r>
      <w:r w:rsidRPr="008D1C62">
        <w:rPr>
          <w:rFonts w:ascii="Times New Roman Italic" w:hAnsi="Times New Roman Italic"/>
          <w:i/>
        </w:rPr>
        <w:t>t</w:t>
      </w:r>
      <w:r w:rsidRPr="008D1C62">
        <w:t xml:space="preserve">-1 would be expected to have an effect on the distribution in year </w:t>
      </w:r>
      <w:r w:rsidRPr="008D1C62">
        <w:rPr>
          <w:rFonts w:ascii="Times New Roman Italic" w:hAnsi="Times New Roman Italic"/>
          <w:i/>
        </w:rPr>
        <w:t>t</w:t>
      </w:r>
      <w:r w:rsidRPr="008D1C62">
        <w:t>.</w:t>
      </w:r>
      <w:r w:rsidRPr="008D1C62">
        <w:rPr>
          <w:vertAlign w:val="superscript"/>
        </w:rPr>
        <w:footnoteReference w:id="3"/>
      </w:r>
    </w:p>
    <w:p w:rsidR="00F70927" w:rsidRPr="008D1C62" w:rsidRDefault="00F70927" w:rsidP="00F70927">
      <w:pPr>
        <w:pStyle w:val="NormalSS"/>
      </w:pPr>
      <w:r w:rsidRPr="008D1C62">
        <w:t>The analysis will control for a set of district characteristics that are potentially related to the distribution.</w:t>
      </w:r>
      <w:r w:rsidRPr="008D1C62">
        <w:rPr>
          <w:vertAlign w:val="superscript"/>
        </w:rPr>
        <w:footnoteReference w:id="4"/>
      </w:r>
      <w:r w:rsidRPr="008D1C62">
        <w:t xml:space="preserve"> This includes the geographic region of the district, the size of the district, and the level of urbanicity. Because the distribution of teacher effectiveness may vary based on whether the teacher labor market is a single district or a group of neighboring districts, we will include a measure of the extent to which students in a metropolitan area are concentrated in a single district.</w:t>
      </w:r>
      <w:r w:rsidRPr="008D1C62">
        <w:rPr>
          <w:vertAlign w:val="superscript"/>
        </w:rPr>
        <w:footnoteReference w:id="5"/>
      </w:r>
      <w:r w:rsidRPr="008D1C62">
        <w:t xml:space="preserve"> To account for the distribution of parents’ income, we include the median household income and variability of household income in the district or metropolitan statistical area.</w:t>
      </w:r>
      <w:r w:rsidRPr="008D1C62">
        <w:rPr>
          <w:vertAlign w:val="superscript"/>
        </w:rPr>
        <w:footnoteReference w:id="6"/>
      </w:r>
      <w:r w:rsidRPr="008D1C62">
        <w:t xml:space="preserve"> We will also capture district activity that might be related to the distribution, but unrelated to the policies included in the analysis (for example, enrollment trends that could lead to changes in the number of schools). Finally, we will consider other contextual factors described during district staff interviews that might be associated with the distribution of teacher effectiveness.</w:t>
      </w:r>
    </w:p>
    <w:p w:rsidR="00677678" w:rsidRDefault="005775D5" w:rsidP="00677678">
      <w:pPr>
        <w:spacing w:line="240" w:lineRule="auto"/>
        <w:ind w:firstLine="0"/>
        <w:rPr>
          <w:b/>
        </w:rPr>
      </w:pPr>
      <w:r>
        <w:rPr>
          <w:b/>
        </w:rPr>
        <w:t xml:space="preserve">v. </w:t>
      </w:r>
      <w:r w:rsidR="00F83F5D">
        <w:rPr>
          <w:b/>
        </w:rPr>
        <w:t xml:space="preserve">Modeling changes to the distribution of teacher </w:t>
      </w:r>
      <w:r w:rsidR="00E016A0">
        <w:rPr>
          <w:b/>
        </w:rPr>
        <w:t>effectiveness</w:t>
      </w:r>
      <w:r w:rsidR="00F83F5D">
        <w:rPr>
          <w:b/>
        </w:rPr>
        <w:t xml:space="preserve"> through teacher mobility. </w:t>
      </w:r>
    </w:p>
    <w:p w:rsidR="00677678" w:rsidRDefault="00677678" w:rsidP="00677678">
      <w:pPr>
        <w:spacing w:line="240" w:lineRule="auto"/>
        <w:ind w:firstLine="0"/>
        <w:rPr>
          <w:b/>
        </w:rPr>
      </w:pPr>
    </w:p>
    <w:p w:rsidR="00677678" w:rsidRDefault="0022073A" w:rsidP="00677678">
      <w:pPr>
        <w:spacing w:line="240" w:lineRule="auto"/>
        <w:ind w:firstLine="0"/>
      </w:pPr>
      <w:r>
        <w:rPr>
          <w:b/>
        </w:rPr>
        <w:tab/>
      </w:r>
      <w:r w:rsidR="005775D5" w:rsidRPr="008D1C62">
        <w:t>Changes over time in the distribution of teacher effectiveness can occur for a number of reasons: hiring of new teachers, within-district transfers of teachers, teachers leaving the district, changes in the effectiveness of teachers, and demographic changes across schools. The purpose of this analysis is to better understand the role of teacher mobility in changes in the distribution of teacher effectiveness. We will examine the relationship between a teacher value added and the probability that a teacher continues teaching at the same school, transfers to another school within the district, or leaves the district. We are especially interested in the relationship between attrition, value added, and school characteristics (for example, whether high value-added teachers are more likely to transfer out of high poverty or low achieving schools). In addition, we will look at the characteristics of schools that teachers move to, investigating whether high value-added teachers might see relatively larger improvements in school characteristics associated with a move.</w:t>
      </w:r>
    </w:p>
    <w:p w:rsidR="00F83F5D" w:rsidRDefault="00F83F5D" w:rsidP="006221F3">
      <w:pPr>
        <w:tabs>
          <w:tab w:val="clear" w:pos="432"/>
        </w:tabs>
        <w:autoSpaceDE w:val="0"/>
        <w:autoSpaceDN w:val="0"/>
        <w:adjustRightInd w:val="0"/>
        <w:spacing w:line="240" w:lineRule="auto"/>
        <w:ind w:firstLine="0"/>
        <w:rPr>
          <w:rFonts w:cs="MS Shell Dlg"/>
        </w:rPr>
      </w:pPr>
      <w:r w:rsidRPr="00D74708">
        <w:rPr>
          <w:b/>
        </w:rPr>
        <w:tab/>
      </w:r>
    </w:p>
    <w:p w:rsidR="00F83F5D" w:rsidRDefault="00F83F5D" w:rsidP="000F5701">
      <w:pPr>
        <w:pStyle w:val="Heading3"/>
      </w:pPr>
      <w:bookmarkStart w:id="163" w:name="_Toc277338292"/>
      <w:bookmarkStart w:id="164" w:name="_Toc280089736"/>
      <w:r>
        <w:t>b.</w:t>
      </w:r>
      <w:r>
        <w:tab/>
        <w:t>Publication Plans</w:t>
      </w:r>
      <w:bookmarkEnd w:id="163"/>
      <w:bookmarkEnd w:id="164"/>
    </w:p>
    <w:p w:rsidR="00F83F5D" w:rsidRDefault="00F83F5D" w:rsidP="008C677E">
      <w:pPr>
        <w:spacing w:line="240" w:lineRule="auto"/>
      </w:pPr>
      <w:r>
        <w:t xml:space="preserve">We will prepare two reports and two evaluation briefs presenting the results of the tabulations described above. The first report, with a projected release </w:t>
      </w:r>
      <w:r w:rsidR="00892E4D">
        <w:t>in</w:t>
      </w:r>
      <w:r>
        <w:t xml:space="preserve"> 2012, will address the distribution of </w:t>
      </w:r>
      <w:r>
        <w:lastRenderedPageBreak/>
        <w:t xml:space="preserve">teacher </w:t>
      </w:r>
      <w:r w:rsidR="00E016A0">
        <w:t>effectiveness</w:t>
      </w:r>
      <w:r>
        <w:t xml:space="preserve"> across schools within districts for the baseline years. The two annual evaluation briefs will provide descriptive information about study sites’ strategies to promote an equitable distribution of teachers and information on the distribution of teacher </w:t>
      </w:r>
      <w:r w:rsidR="00E016A0">
        <w:t>effectiveness</w:t>
      </w:r>
      <w:r>
        <w:t xml:space="preserve"> within study districts. The first brief is expected to be released </w:t>
      </w:r>
      <w:r w:rsidR="00892E4D">
        <w:t xml:space="preserve">in </w:t>
      </w:r>
      <w:r>
        <w:t xml:space="preserve">2013, and the second </w:t>
      </w:r>
      <w:r w:rsidR="00892E4D">
        <w:t>in</w:t>
      </w:r>
      <w:r>
        <w:t xml:space="preserve"> 2014. </w:t>
      </w:r>
      <w:r w:rsidRPr="001A1B5C">
        <w:t>The second report</w:t>
      </w:r>
      <w:r>
        <w:t xml:space="preserve">, with a projected release </w:t>
      </w:r>
      <w:r w:rsidR="00892E4D">
        <w:t xml:space="preserve">in </w:t>
      </w:r>
      <w:r>
        <w:t>2015,</w:t>
      </w:r>
      <w:r w:rsidRPr="001A1B5C">
        <w:t xml:space="preserve"> will examine the association between districts’ strategies and the distribution of teacher </w:t>
      </w:r>
      <w:r w:rsidR="00E016A0">
        <w:t>effectiveness</w:t>
      </w:r>
      <w:r w:rsidRPr="001A1B5C">
        <w:t xml:space="preserve"> within districts and discuss patterns over time.</w:t>
      </w:r>
      <w:r>
        <w:t xml:space="preserve"> </w:t>
      </w:r>
      <w:r w:rsidRPr="001A1B5C">
        <w:t xml:space="preserve">Reports will be written in a style and format </w:t>
      </w:r>
      <w:r>
        <w:t xml:space="preserve">that are </w:t>
      </w:r>
      <w:r w:rsidRPr="001A1B5C">
        <w:t>accessible to policymakers and practitioners and will comply fully with the standards set by the National Center for Education Statistics.</w:t>
      </w:r>
      <w:r>
        <w:t xml:space="preserve"> These study reports will be available in hard copy and on the ED website.</w:t>
      </w:r>
    </w:p>
    <w:p w:rsidR="00F83F5D" w:rsidRDefault="00F83F5D" w:rsidP="008C677E">
      <w:pPr>
        <w:spacing w:line="240" w:lineRule="auto"/>
      </w:pPr>
    </w:p>
    <w:p w:rsidR="00F83F5D" w:rsidRPr="00D65688" w:rsidRDefault="00F83F5D" w:rsidP="000F5701">
      <w:pPr>
        <w:pStyle w:val="Heading2Blue"/>
      </w:pPr>
      <w:bookmarkStart w:id="165" w:name="_Toc280089737"/>
      <w:bookmarkStart w:id="166" w:name="_Toc277338293"/>
      <w:r>
        <w:t>17</w:t>
      </w:r>
      <w:r w:rsidRPr="00D65688">
        <w:t>.</w:t>
      </w:r>
      <w:r w:rsidRPr="00D65688">
        <w:tab/>
      </w:r>
      <w:r w:rsidRPr="00647672">
        <w:t>Approval</w:t>
      </w:r>
      <w:r w:rsidRPr="00D65688">
        <w:t xml:space="preserve"> Not to Display the </w:t>
      </w:r>
      <w:bookmarkEnd w:id="149"/>
      <w:bookmarkEnd w:id="150"/>
      <w:bookmarkEnd w:id="151"/>
      <w:r>
        <w:t>Expiration Date for OMB Approval</w:t>
      </w:r>
      <w:bookmarkEnd w:id="152"/>
      <w:bookmarkEnd w:id="165"/>
      <w:bookmarkEnd w:id="166"/>
    </w:p>
    <w:p w:rsidR="00F83F5D" w:rsidRPr="00D65688" w:rsidRDefault="00F83F5D" w:rsidP="00BA161F">
      <w:pPr>
        <w:pStyle w:val="ParagraphLAST"/>
        <w:spacing w:line="240" w:lineRule="auto"/>
      </w:pPr>
      <w:r w:rsidRPr="00D65688">
        <w:t>The study will display the OMB expiration date.</w:t>
      </w:r>
    </w:p>
    <w:p w:rsidR="00F83F5D" w:rsidRPr="00D65688" w:rsidRDefault="00F83F5D" w:rsidP="000F5701">
      <w:pPr>
        <w:pStyle w:val="Heading2Blue"/>
      </w:pPr>
      <w:bookmarkStart w:id="167" w:name="_Toc256354818"/>
      <w:bookmarkStart w:id="168" w:name="_Toc256354847"/>
      <w:bookmarkStart w:id="169" w:name="_Toc256361072"/>
      <w:bookmarkStart w:id="170" w:name="_Toc260295701"/>
      <w:bookmarkStart w:id="171" w:name="_Toc280089738"/>
      <w:bookmarkStart w:id="172" w:name="_Toc277338294"/>
      <w:r>
        <w:t>18</w:t>
      </w:r>
      <w:r w:rsidRPr="00D65688">
        <w:t>.</w:t>
      </w:r>
      <w:r w:rsidRPr="00D65688">
        <w:tab/>
      </w:r>
      <w:bookmarkEnd w:id="167"/>
      <w:bookmarkEnd w:id="168"/>
      <w:bookmarkEnd w:id="169"/>
      <w:r w:rsidRPr="00647672">
        <w:t>Exception</w:t>
      </w:r>
      <w:r>
        <w:t xml:space="preserve"> to the Certification Statement</w:t>
      </w:r>
      <w:bookmarkEnd w:id="170"/>
      <w:bookmarkEnd w:id="171"/>
      <w:bookmarkEnd w:id="172"/>
    </w:p>
    <w:p w:rsidR="00F83F5D" w:rsidRDefault="00F83F5D" w:rsidP="00BA161F">
      <w:pPr>
        <w:spacing w:line="240" w:lineRule="auto"/>
      </w:pPr>
      <w:r w:rsidRPr="00D65688">
        <w:t>No exceptions are being sought.</w:t>
      </w:r>
      <w:r>
        <w:t xml:space="preserve"> </w:t>
      </w:r>
    </w:p>
    <w:p w:rsidR="00F83F5D" w:rsidRDefault="00F83F5D" w:rsidP="00A163D7">
      <w:pPr>
        <w:pStyle w:val="Heading1Black"/>
        <w:sectPr w:rsidR="00F83F5D" w:rsidSect="009C55BD">
          <w:headerReference w:type="default" r:id="rId43"/>
          <w:footerReference w:type="default" r:id="rId44"/>
          <w:endnotePr>
            <w:numFmt w:val="decimal"/>
          </w:endnotePr>
          <w:type w:val="oddPage"/>
          <w:pgSz w:w="12240" w:h="15840" w:code="1"/>
          <w:pgMar w:top="1440" w:right="1440" w:bottom="576" w:left="1440" w:header="720" w:footer="576" w:gutter="0"/>
          <w:pgNumType w:start="1"/>
          <w:cols w:space="720"/>
          <w:docGrid w:linePitch="326"/>
        </w:sectPr>
      </w:pPr>
    </w:p>
    <w:p w:rsidR="00F83F5D" w:rsidRPr="007F42D0" w:rsidRDefault="00F83F5D" w:rsidP="00A82878">
      <w:pPr>
        <w:pStyle w:val="Heading1Blue"/>
      </w:pPr>
      <w:bookmarkStart w:id="173" w:name="_Toc260295702"/>
      <w:bookmarkStart w:id="174" w:name="_Toc280089739"/>
      <w:bookmarkStart w:id="175" w:name="_Toc277338295"/>
      <w:r w:rsidRPr="007F42D0">
        <w:lastRenderedPageBreak/>
        <w:t>REFERENCES</w:t>
      </w:r>
      <w:bookmarkEnd w:id="173"/>
      <w:bookmarkEnd w:id="174"/>
      <w:bookmarkEnd w:id="175"/>
    </w:p>
    <w:p w:rsidR="00F83F5D" w:rsidRDefault="00F83F5D" w:rsidP="00082CAF">
      <w:pPr>
        <w:pStyle w:val="References"/>
      </w:pPr>
      <w:r>
        <w:t>Boyd, Donald, Pam Grossman, Hamilton Lankford, Susanna Loeb, and James Wyckoff. “Who Leaves? Teacher Attrition and Student Achievement.</w:t>
      </w:r>
      <w:r>
        <w:rPr>
          <w:rFonts w:ascii="Times New Roman" w:hAnsi="Times New Roman"/>
        </w:rPr>
        <w:t>”</w:t>
      </w:r>
      <w:r>
        <w:rPr>
          <w:rFonts w:cs="Garamond"/>
        </w:rPr>
        <w:t xml:space="preserve"> National Bureau of Economic R</w:t>
      </w:r>
      <w:r>
        <w:t>esearch, Inc., NBER Working Papers: 14022, 2008.</w:t>
      </w:r>
    </w:p>
    <w:p w:rsidR="00F83F5D" w:rsidRDefault="00F83F5D" w:rsidP="00082CAF">
      <w:pPr>
        <w:pStyle w:val="References"/>
      </w:pPr>
      <w:r w:rsidRPr="00E92D9C">
        <w:t>Buddin, Richard, and Gema Zamarro. “Teacher Quality, Teacher Licensure Tests, and Student Achievement.” Santa Monica, CA: RAND, May 2008.</w:t>
      </w:r>
    </w:p>
    <w:p w:rsidR="00F83F5D" w:rsidRDefault="00F83F5D" w:rsidP="00A163D7">
      <w:pPr>
        <w:pStyle w:val="References"/>
      </w:pPr>
      <w:r w:rsidRPr="00E92D9C">
        <w:t>Carroll, Stephen, Robert Reichardt, and Cassandra Guarino. “The Distribution of Teachers Among California’s Districts and Schools.” Santa Monica, CA: RAND, October 2000.</w:t>
      </w:r>
    </w:p>
    <w:p w:rsidR="00F83F5D" w:rsidRDefault="00F83F5D" w:rsidP="00A163D7">
      <w:pPr>
        <w:pStyle w:val="References"/>
      </w:pPr>
      <w:r w:rsidRPr="00E92D9C">
        <w:t>Clotfelter, Charles, Helen Ladd, Jacob Vigdor, and Justin Wheeler. “High</w:t>
      </w:r>
      <w:r>
        <w:t>-</w:t>
      </w:r>
      <w:r w:rsidRPr="00E92D9C">
        <w:t>Poverty Schools and the Distribution of Teachers and Principals.” Washington, DC: National Center for Analysis of Longitudinal Data in Education Research, December 2006.</w:t>
      </w:r>
    </w:p>
    <w:p w:rsidR="00F83F5D" w:rsidRDefault="00F83F5D" w:rsidP="00A163D7">
      <w:pPr>
        <w:pStyle w:val="References"/>
      </w:pPr>
      <w:r w:rsidRPr="00E92D9C">
        <w:t>Education Trust. “Their FAIR Share: How Texas-Sized Gaps in Teacher Quality Shortchange Low-Income and Minority Students.” Washington, DC: EdTrust, February 2008.</w:t>
      </w:r>
    </w:p>
    <w:p w:rsidR="00F83F5D" w:rsidRPr="00836007" w:rsidRDefault="00F83F5D" w:rsidP="00836007">
      <w:pPr>
        <w:pStyle w:val="References"/>
        <w:rPr>
          <w:rFonts w:cs="Garamond"/>
        </w:rPr>
      </w:pPr>
      <w:r>
        <w:t>Glazerman, Steven, and Jeffrey Max. “Mapping the Prevalence of High-Performing Teachers.”</w:t>
      </w:r>
      <w:r>
        <w:rPr>
          <w:rFonts w:ascii="Times New Roman" w:hAnsi="Times New Roman"/>
        </w:rPr>
        <w:t xml:space="preserve"> </w:t>
      </w:r>
      <w:r>
        <w:t>Washington, DC: Mathematica Policy Research, forthcoming.</w:t>
      </w:r>
      <w:r w:rsidRPr="00E92D9C">
        <w:t xml:space="preserve"> </w:t>
      </w:r>
    </w:p>
    <w:p w:rsidR="00F83F5D" w:rsidRDefault="00F83F5D" w:rsidP="00836007">
      <w:pPr>
        <w:pStyle w:val="References"/>
      </w:pPr>
      <w:r w:rsidRPr="00E92D9C">
        <w:t xml:space="preserve">Gordon, Robert, Thomas Kane, and Douglas Staiger. “Identifying Effective Teachers Using Performance on the Job.” Washington, DC: Hamilton Project, Brookings Institution, </w:t>
      </w:r>
      <w:r>
        <w:br/>
      </w:r>
      <w:r w:rsidRPr="00E92D9C">
        <w:t>April 2006.</w:t>
      </w:r>
    </w:p>
    <w:p w:rsidR="00F83F5D" w:rsidRDefault="00F83F5D" w:rsidP="00A163D7">
      <w:pPr>
        <w:pStyle w:val="References"/>
      </w:pPr>
      <w:r w:rsidRPr="00E92D9C">
        <w:t>Jordan, Heather, Robert Mendro, and Dash Weerasinghe. “Teacher Effects on Longitudinal Student Achievement.” Paper presented at the CREATE Annual Meeting, Indianapolis, IN, July 1997.</w:t>
      </w:r>
    </w:p>
    <w:p w:rsidR="00F83F5D" w:rsidRDefault="00F83F5D" w:rsidP="00A163D7">
      <w:pPr>
        <w:pStyle w:val="References"/>
      </w:pPr>
      <w:r w:rsidRPr="00E92D9C">
        <w:t xml:space="preserve">Lankford, Hamilton, Susanna Loeb, and James Wyckoff. “Teacher Sorting and the Plight of Urban Schools: A Descriptive Analysis.” </w:t>
      </w:r>
      <w:r w:rsidRPr="00E92D9C">
        <w:rPr>
          <w:i/>
        </w:rPr>
        <w:t>Educational Evaluation and Policy Analysis</w:t>
      </w:r>
      <w:r w:rsidRPr="00E92D9C">
        <w:t xml:space="preserve">, vol. 24, no. 1, </w:t>
      </w:r>
      <w:r>
        <w:br/>
      </w:r>
      <w:r w:rsidRPr="00E92D9C">
        <w:t>spr</w:t>
      </w:r>
      <w:r>
        <w:t>ing 2002, pp. 37-</w:t>
      </w:r>
      <w:r w:rsidRPr="00E92D9C">
        <w:t>62.</w:t>
      </w:r>
    </w:p>
    <w:p w:rsidR="007045A8" w:rsidRPr="00210E97" w:rsidRDefault="007045A8" w:rsidP="007045A8">
      <w:pPr>
        <w:pStyle w:val="References"/>
      </w:pPr>
      <w:r w:rsidRPr="00210E97">
        <w:t>McCaffrey</w:t>
      </w:r>
      <w:r>
        <w:t>, Dan,</w:t>
      </w:r>
      <w:r w:rsidRPr="00210E97">
        <w:t xml:space="preserve"> </w:t>
      </w:r>
      <w:r>
        <w:t xml:space="preserve">Tim </w:t>
      </w:r>
      <w:r w:rsidRPr="00210E97">
        <w:t xml:space="preserve">Sass, </w:t>
      </w:r>
      <w:r>
        <w:t xml:space="preserve">J.R. </w:t>
      </w:r>
      <w:r w:rsidRPr="00210E97">
        <w:t xml:space="preserve">Lockwood, </w:t>
      </w:r>
      <w:r>
        <w:t xml:space="preserve">and Kata </w:t>
      </w:r>
      <w:r w:rsidRPr="00210E97">
        <w:t>Mihaly</w:t>
      </w:r>
      <w:r>
        <w:t xml:space="preserve">. </w:t>
      </w:r>
      <w:r w:rsidRPr="00210E97">
        <w:t>"The Intertemporal Variability of Teach</w:t>
      </w:r>
      <w:r>
        <w:t xml:space="preserve">er Effect Estimates", </w:t>
      </w:r>
      <w:r w:rsidRPr="00434F7F">
        <w:rPr>
          <w:i/>
        </w:rPr>
        <w:t>Education Finance and Policy</w:t>
      </w:r>
      <w:r w:rsidRPr="00210E97">
        <w:t xml:space="preserve">, </w:t>
      </w:r>
      <w:r>
        <w:t xml:space="preserve">vol. </w:t>
      </w:r>
      <w:r w:rsidRPr="00210E97">
        <w:t>4</w:t>
      </w:r>
      <w:r>
        <w:t xml:space="preserve">, no. </w:t>
      </w:r>
      <w:r w:rsidRPr="00210E97">
        <w:t>4</w:t>
      </w:r>
      <w:r>
        <w:t>,</w:t>
      </w:r>
      <w:r w:rsidRPr="00210E97">
        <w:t xml:space="preserve"> </w:t>
      </w:r>
      <w:r>
        <w:t xml:space="preserve">Fall </w:t>
      </w:r>
      <w:r w:rsidRPr="00210E97">
        <w:t>2009</w:t>
      </w:r>
      <w:r>
        <w:t>,</w:t>
      </w:r>
      <w:r w:rsidRPr="00972F3F">
        <w:t xml:space="preserve"> </w:t>
      </w:r>
      <w:r>
        <w:t>pp.</w:t>
      </w:r>
      <w:r w:rsidRPr="00210E97">
        <w:t xml:space="preserve"> 572-606</w:t>
      </w:r>
      <w:r>
        <w:t>.</w:t>
      </w:r>
    </w:p>
    <w:p w:rsidR="00F83F5D" w:rsidRPr="00082CAF" w:rsidRDefault="00F83F5D" w:rsidP="00082CAF">
      <w:pPr>
        <w:pStyle w:val="References"/>
      </w:pPr>
      <w:r w:rsidRPr="00082CAF">
        <w:t xml:space="preserve">Presley, Jennifer, Bradford White, and Yuqin Gong. </w:t>
      </w:r>
      <w:r>
        <w:t>“</w:t>
      </w:r>
      <w:r w:rsidRPr="00082CAF">
        <w:t>Examining the Distribution and Impact of</w:t>
      </w:r>
      <w:r>
        <w:t xml:space="preserve"> </w:t>
      </w:r>
      <w:r w:rsidRPr="00082CAF">
        <w:t>Teacher Quality in Illinois.</w:t>
      </w:r>
      <w:r>
        <w:rPr>
          <w:rFonts w:ascii="Times New Roman" w:hAnsi="Times New Roman"/>
        </w:rPr>
        <w:t>”</w:t>
      </w:r>
      <w:r w:rsidRPr="00082CAF">
        <w:rPr>
          <w:rFonts w:cs="Garamond"/>
        </w:rPr>
        <w:t xml:space="preserve"> Edwardsville, IL: Illinois Education Research Council, 2005.</w:t>
      </w:r>
    </w:p>
    <w:p w:rsidR="00F83F5D" w:rsidRPr="00836007" w:rsidRDefault="00F83F5D" w:rsidP="00836007">
      <w:pPr>
        <w:pStyle w:val="References"/>
        <w:rPr>
          <w:rFonts w:cs="Garamond"/>
        </w:rPr>
      </w:pPr>
      <w:r>
        <w:t>Reardon, S.F., and G. Firebaugh. “Measures of Multigroup Segregation.</w:t>
      </w:r>
      <w:r>
        <w:rPr>
          <w:rFonts w:ascii="Times New Roman" w:hAnsi="Times New Roman"/>
        </w:rPr>
        <w:t>”</w:t>
      </w:r>
      <w:r>
        <w:rPr>
          <w:rFonts w:cs="Garamond"/>
        </w:rPr>
        <w:t xml:space="preserve"> Sociological Methodology, </w:t>
      </w:r>
      <w:r>
        <w:t>vol. 32, January 2002, pp. 33-67.</w:t>
      </w:r>
      <w:r w:rsidRPr="00E92D9C">
        <w:t xml:space="preserve"> </w:t>
      </w:r>
    </w:p>
    <w:p w:rsidR="00F83F5D" w:rsidRDefault="00F83F5D" w:rsidP="00836007">
      <w:pPr>
        <w:pStyle w:val="References"/>
      </w:pPr>
      <w:r w:rsidRPr="00E92D9C">
        <w:t xml:space="preserve">Rivkin, Steven, Erick Hanushek, and John Kain. “Teachers, Schools, and Academic Achievement.” </w:t>
      </w:r>
      <w:r w:rsidRPr="00E92D9C">
        <w:rPr>
          <w:i/>
        </w:rPr>
        <w:t>Econometrica</w:t>
      </w:r>
      <w:r w:rsidRPr="00E92D9C">
        <w:t>, vol. 73, no. 2, March 2005, pp. 417–458.</w:t>
      </w:r>
    </w:p>
    <w:p w:rsidR="00F83F5D" w:rsidRDefault="00F83F5D" w:rsidP="00A163D7">
      <w:pPr>
        <w:pStyle w:val="References"/>
      </w:pPr>
      <w:r w:rsidRPr="00E92D9C">
        <w:t>Rockoff, Jonah, Brian Jacob, Thomas Kane, and Douglas Staiger. “Can You Recognize an Effective Teacher When You Recruit One?” Cambridge, MA: National Bureau of Economic Research, November 2008.</w:t>
      </w:r>
    </w:p>
    <w:p w:rsidR="00F83F5D" w:rsidRDefault="00F83F5D" w:rsidP="00A163D7">
      <w:pPr>
        <w:pStyle w:val="References"/>
        <w:rPr>
          <w:rFonts w:cs="Garamond"/>
        </w:rPr>
      </w:pPr>
      <w:r w:rsidRPr="00082CAF">
        <w:t>Sakoda, James. A Generalized Index of Dissimilarity.</w:t>
      </w:r>
      <w:r w:rsidRPr="00082CAF">
        <w:rPr>
          <w:rFonts w:cs="Garamond"/>
        </w:rPr>
        <w:t xml:space="preserve"> Demography, vol. 18, no. 2, 1981, pp. 245-250.</w:t>
      </w:r>
    </w:p>
    <w:p w:rsidR="00F83F5D" w:rsidRDefault="00F83F5D" w:rsidP="00A163D7">
      <w:pPr>
        <w:pStyle w:val="References"/>
      </w:pPr>
      <w:r w:rsidRPr="00E92D9C">
        <w:lastRenderedPageBreak/>
        <w:t>Sanders, William, and June Rivers. “Cumulative and Residual Effects of Teachers on Future Student Academic Achievement.” Knoxville, TN: University of Tennessee Value-Added Research and Assessment Center, November 1996.</w:t>
      </w:r>
    </w:p>
    <w:p w:rsidR="006D01FE" w:rsidRDefault="006D01FE" w:rsidP="00A163D7">
      <w:pPr>
        <w:pStyle w:val="References"/>
      </w:pPr>
      <w:r>
        <w:t>Sass, Tim, Jane Hannaway, Zeyu Xu, David Figlio, Li Feng</w:t>
      </w:r>
      <w:r w:rsidR="00251390">
        <w:t>. “</w:t>
      </w:r>
      <w:r w:rsidRPr="006D01FE">
        <w:t>Value Added of Teachers in High-Poverty Schools and Lower-Poverty Schools</w:t>
      </w:r>
      <w:r>
        <w:t>.</w:t>
      </w:r>
      <w:r w:rsidR="00251390">
        <w:t>”</w:t>
      </w:r>
      <w:r>
        <w:t xml:space="preserve"> Washington, DC: The Urban Institute, November 2010. </w:t>
      </w:r>
    </w:p>
    <w:p w:rsidR="00F83F5D" w:rsidRDefault="00F83F5D" w:rsidP="00A163D7">
      <w:pPr>
        <w:pStyle w:val="References"/>
      </w:pPr>
      <w:r w:rsidRPr="00E92D9C">
        <w:t>Tennessee Department of Education. “Tennessee’s Most Effective Teachers: Are They Assigned to the Schools That Need Them Most?” Nashville, TN: Tennessee Department of Education, 2007.</w:t>
      </w:r>
    </w:p>
    <w:p w:rsidR="00F83F5D" w:rsidRDefault="00F83F5D" w:rsidP="00A163D7">
      <w:pPr>
        <w:pStyle w:val="References"/>
        <w:sectPr w:rsidR="00F83F5D" w:rsidSect="007C0CD8">
          <w:headerReference w:type="default" r:id="rId45"/>
          <w:endnotePr>
            <w:numFmt w:val="decimal"/>
          </w:endnotePr>
          <w:pgSz w:w="12240" w:h="15840" w:code="1"/>
          <w:pgMar w:top="1440" w:right="1440" w:bottom="576" w:left="1440" w:header="720" w:footer="576" w:gutter="0"/>
          <w:cols w:space="720"/>
          <w:docGrid w:linePitch="326"/>
        </w:sectPr>
      </w:pPr>
    </w:p>
    <w:p w:rsidR="00F83F5D" w:rsidRDefault="00F83F5D" w:rsidP="00A163D7">
      <w:pPr>
        <w:pStyle w:val="References"/>
      </w:pPr>
    </w:p>
    <w:p w:rsidR="00F83F5D" w:rsidRDefault="00F83F5D" w:rsidP="00A163D7">
      <w:pPr>
        <w:pStyle w:val="References"/>
      </w:pPr>
    </w:p>
    <w:p w:rsidR="00F83F5D" w:rsidRPr="007C49C0" w:rsidRDefault="007C1CA5" w:rsidP="00A163D7">
      <w:pPr>
        <w:spacing w:after="960" w:line="264" w:lineRule="auto"/>
        <w:ind w:firstLine="0"/>
        <w:rPr>
          <w:rFonts w:ascii="Lucida Sans" w:hAnsi="Lucida Sans"/>
          <w:sz w:val="22"/>
          <w:szCs w:val="22"/>
        </w:rPr>
      </w:pPr>
      <w:r w:rsidRPr="007C1CA5">
        <w:rPr>
          <w:noProof/>
        </w:rPr>
        <w:pict>
          <v:shapetype id="_x0000_t202" coordsize="21600,21600" o:spt="202" path="m,l,21600r21600,l21600,xe">
            <v:stroke joinstyle="miter"/>
            <v:path gradientshapeok="t" o:connecttype="rect"/>
          </v:shapetype>
          <v:shape id="_x0000_s1030" type="#_x0000_t202" alt="" style="position:absolute;left:0;text-align:left;margin-left:-56.95pt;margin-top:404.25pt;width:581.9pt;height:78pt;z-index:251659264" filled="f" stroked="f" strokeweight="0">
            <v:textbox style="mso-next-textbox:#_x0000_s1030">
              <w:txbxContent>
                <w:p w:rsidR="0039190D" w:rsidRPr="000F53E2" w:rsidRDefault="0039190D" w:rsidP="00A163D7">
                  <w:pPr>
                    <w:tabs>
                      <w:tab w:val="clear" w:pos="432"/>
                    </w:tabs>
                    <w:spacing w:after="200" w:line="264" w:lineRule="auto"/>
                    <w:ind w:firstLine="0"/>
                    <w:jc w:val="center"/>
                    <w:rPr>
                      <w:rFonts w:ascii="Lucida Sans" w:hAnsi="Lucida Sans"/>
                      <w:sz w:val="17"/>
                      <w:szCs w:val="18"/>
                    </w:rPr>
                  </w:pPr>
                  <w:bookmarkStart w:id="176" w:name="RepTitle"/>
                  <w:bookmarkEnd w:id="176"/>
                  <w:r w:rsidRPr="000F53E2">
                    <w:rPr>
                      <w:rFonts w:ascii="Lucida Sans" w:hAnsi="Lucida Sans"/>
                      <w:sz w:val="17"/>
                      <w:szCs w:val="18"/>
                    </w:rPr>
                    <w:t>Improving public well-being by conducting high-quality, objective research and surveys</w:t>
                  </w:r>
                </w:p>
                <w:p w:rsidR="0039190D" w:rsidRDefault="0039190D" w:rsidP="00A163D7">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39190D" w:rsidRDefault="0039190D" w:rsidP="00A163D7">
                  <w:pPr>
                    <w:tabs>
                      <w:tab w:val="clear" w:pos="432"/>
                    </w:tabs>
                    <w:spacing w:line="264" w:lineRule="auto"/>
                    <w:ind w:firstLine="0"/>
                    <w:jc w:val="center"/>
                    <w:rPr>
                      <w:rFonts w:ascii="Lucida Sans" w:hAnsi="Lucida Sans"/>
                      <w:sz w:val="17"/>
                      <w:szCs w:val="18"/>
                    </w:rPr>
                  </w:pPr>
                </w:p>
                <w:p w:rsidR="0039190D" w:rsidRPr="000F53E2" w:rsidRDefault="0039190D" w:rsidP="00A163D7">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sidRPr="007C1CA5">
        <w:rPr>
          <w:noProof/>
        </w:rPr>
        <w:pict>
          <v:shape id="_x0000_s1031" type="#_x0000_t202" alt="" style="position:absolute;left:0;text-align:left;margin-left:333.25pt;margin-top:412.55pt;width:154.45pt;height:138.2pt;z-index:-251655168;mso-position-horizontal-relative:page;mso-position-vertical-relative:page" wrapcoords="0 0 21600 0 21600 21600 0 21600 0 0" filled="f" stroked="f">
            <v:textbox style="mso-next-textbox:#_x0000_s1031;mso-fit-shape-to-text:t">
              <w:txbxContent>
                <w:p w:rsidR="0039190D" w:rsidRPr="00347DD8" w:rsidRDefault="0039190D" w:rsidP="00A163D7">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030B4D">
        <w:rPr>
          <w:noProof/>
        </w:rPr>
        <w:drawing>
          <wp:anchor distT="0" distB="0" distL="114300" distR="114300" simplePos="0" relativeHeight="251660288"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8" name="Picture 8"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hematica Policy Research logo."/>
                    <pic:cNvPicPr>
                      <a:picLocks noChangeAspect="1" noChangeArrowheads="1"/>
                    </pic:cNvPicPr>
                  </pic:nvPicPr>
                  <pic:blipFill>
                    <a:blip r:embed="rId15"/>
                    <a:srcRect/>
                    <a:stretch>
                      <a:fillRect/>
                    </a:stretch>
                  </pic:blipFill>
                  <pic:spPr bwMode="auto">
                    <a:xfrm>
                      <a:off x="0" y="0"/>
                      <a:ext cx="1828800" cy="581025"/>
                    </a:xfrm>
                    <a:prstGeom prst="rect">
                      <a:avLst/>
                    </a:prstGeom>
                    <a:noFill/>
                  </pic:spPr>
                </pic:pic>
              </a:graphicData>
            </a:graphic>
          </wp:anchor>
        </w:drawing>
      </w:r>
      <w:r w:rsidR="00030B4D">
        <w:rPr>
          <w:noProof/>
        </w:rPr>
        <w:drawing>
          <wp:anchor distT="0" distB="0" distL="114300" distR="114300" simplePos="0" relativeHeight="251658240"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srcRect/>
                    <a:stretch>
                      <a:fillRect/>
                    </a:stretch>
                  </pic:blipFill>
                  <pic:spPr bwMode="auto">
                    <a:xfrm>
                      <a:off x="0" y="0"/>
                      <a:ext cx="7879080" cy="2562225"/>
                    </a:xfrm>
                    <a:prstGeom prst="rect">
                      <a:avLst/>
                    </a:prstGeom>
                    <a:noFill/>
                  </pic:spPr>
                </pic:pic>
              </a:graphicData>
            </a:graphic>
          </wp:anchor>
        </w:drawing>
      </w:r>
    </w:p>
    <w:sectPr w:rsidR="00F83F5D" w:rsidRPr="007C49C0" w:rsidSect="007C0CD8">
      <w:headerReference w:type="default" r:id="rId47"/>
      <w:footerReference w:type="default" r:id="rId4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90D" w:rsidRDefault="0039190D">
      <w:pPr>
        <w:spacing w:line="240" w:lineRule="auto"/>
        <w:ind w:firstLine="0"/>
      </w:pPr>
    </w:p>
  </w:endnote>
  <w:endnote w:type="continuationSeparator" w:id="0">
    <w:p w:rsidR="0039190D" w:rsidRDefault="0039190D">
      <w:pPr>
        <w:spacing w:line="240" w:lineRule="auto"/>
        <w:ind w:firstLine="0"/>
      </w:pPr>
    </w:p>
  </w:endnote>
  <w:endnote w:type="continuationNotice" w:id="1">
    <w:p w:rsidR="0039190D" w:rsidRDefault="0039190D">
      <w:pPr>
        <w:spacing w:line="240" w:lineRule="auto"/>
        <w:ind w:firstLine="0"/>
      </w:pPr>
    </w:p>
    <w:p w:rsidR="0039190D" w:rsidRDefault="0039190D"/>
    <w:p w:rsidR="0039190D" w:rsidRDefault="0039190D">
      <w:r>
        <w:rPr>
          <w:b/>
          <w:snapToGrid w:val="0"/>
        </w:rPr>
        <w:t>DRAFT</w:t>
      </w:r>
      <w:r>
        <w:rPr>
          <w:snapToGrid w:val="0"/>
          <w:sz w:val="16"/>
        </w:rPr>
        <w:t xml:space="preserve"> </w:t>
      </w:r>
      <w:r w:rsidR="007C1CA5">
        <w:rPr>
          <w:snapToGrid w:val="0"/>
          <w:sz w:val="16"/>
        </w:rPr>
        <w:fldChar w:fldCharType="begin"/>
      </w:r>
      <w:r>
        <w:rPr>
          <w:snapToGrid w:val="0"/>
          <w:sz w:val="16"/>
        </w:rPr>
        <w:instrText xml:space="preserve"> FILENAME \p </w:instrText>
      </w:r>
      <w:r w:rsidR="007C1CA5">
        <w:rPr>
          <w:snapToGrid w:val="0"/>
          <w:sz w:val="16"/>
        </w:rPr>
        <w:fldChar w:fldCharType="separate"/>
      </w:r>
      <w:r>
        <w:rPr>
          <w:noProof/>
          <w:snapToGrid w:val="0"/>
          <w:sz w:val="16"/>
        </w:rPr>
        <w:t>https://tqdstudy.mathematica-mpr.com/410OMB Package/Package/Step 2 - Revisions sent to ED/Part A.docx</w:t>
      </w:r>
      <w:r w:rsidR="007C1CA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MS Shell Dlg">
    <w:panose1 w:val="020B0604020202020204"/>
    <w:charset w:val="00"/>
    <w:family w:val="swiss"/>
    <w:pitch w:val="variable"/>
    <w:sig w:usb0="21002A87" w:usb1="80000000" w:usb2="00000008" w:usb3="00000000" w:csb0="000101FF" w:csb1="00000000"/>
  </w:font>
  <w:font w:name="Lucida Sans Std">
    <w:panose1 w:val="00000000000000000000"/>
    <w:charset w:val="00"/>
    <w:family w:val="swiss"/>
    <w:notTrueType/>
    <w:pitch w:val="variable"/>
    <w:sig w:usb0="800000EF" w:usb1="5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8F1A3F" w:rsidRDefault="0039190D" w:rsidP="004D30EB">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8F1A3F" w:rsidRDefault="0039190D" w:rsidP="004D30EB">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8F1A3F" w:rsidRDefault="0039190D" w:rsidP="004D30EB">
    <w:pPr>
      <w:pStyle w:val="Footer"/>
      <w:ind w:firstLine="0"/>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8F1A3F" w:rsidRDefault="0039190D" w:rsidP="004D30EB">
    <w:pPr>
      <w:pStyle w:val="Footer"/>
      <w:spacing w:before="120"/>
      <w:ind w:firstLine="0"/>
      <w:jc w:val="center"/>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8F1A3F" w:rsidRDefault="007C1CA5" w:rsidP="004D30EB">
    <w:pPr>
      <w:pStyle w:val="Footer"/>
      <w:spacing w:before="120"/>
      <w:ind w:firstLine="0"/>
      <w:jc w:val="center"/>
      <w:rPr>
        <w:rStyle w:val="PageNumber"/>
      </w:rPr>
    </w:pPr>
    <w:r w:rsidRPr="00957F7E">
      <w:rPr>
        <w:rStyle w:val="PageNumber"/>
      </w:rPr>
      <w:fldChar w:fldCharType="begin"/>
    </w:r>
    <w:r w:rsidR="0039190D" w:rsidRPr="00957F7E">
      <w:rPr>
        <w:rStyle w:val="PageNumber"/>
      </w:rPr>
      <w:instrText xml:space="preserve"> PAGE   \* MERGEFORMAT </w:instrText>
    </w:r>
    <w:r w:rsidRPr="00957F7E">
      <w:rPr>
        <w:rStyle w:val="PageNumber"/>
      </w:rPr>
      <w:fldChar w:fldCharType="separate"/>
    </w:r>
    <w:r w:rsidR="001A2A34">
      <w:rPr>
        <w:rStyle w:val="PageNumber"/>
        <w:noProof/>
      </w:rPr>
      <w:t>vi</w:t>
    </w:r>
    <w:r w:rsidRPr="00957F7E">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5511A7" w:rsidRDefault="0039190D" w:rsidP="005511A7">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C05BC0" w:rsidRDefault="0039190D" w:rsidP="004D30EB">
    <w:pPr>
      <w:pStyle w:val="Footer"/>
      <w:tabs>
        <w:tab w:val="clear" w:pos="432"/>
        <w:tab w:val="clear" w:pos="4320"/>
        <w:tab w:val="clear" w:pos="8640"/>
        <w:tab w:val="center" w:pos="4770"/>
        <w:tab w:val="right" w:pos="9360"/>
      </w:tabs>
      <w:spacing w:before="120"/>
      <w:ind w:firstLine="0"/>
      <w:rPr>
        <w:rStyle w:val="PageNumber"/>
        <w:b/>
      </w:rPr>
    </w:pPr>
    <w:r w:rsidRPr="007E4436">
      <w:rPr>
        <w:b/>
      </w:rPr>
      <w:t>DRAFT</w:t>
    </w:r>
    <w:r w:rsidRPr="00C05BC0">
      <w:tab/>
    </w:r>
    <w:r w:rsidR="007C1CA5" w:rsidRPr="00C05BC0">
      <w:rPr>
        <w:rStyle w:val="PageNumber"/>
      </w:rPr>
      <w:fldChar w:fldCharType="begin"/>
    </w:r>
    <w:r w:rsidRPr="00C05BC0">
      <w:rPr>
        <w:rStyle w:val="PageNumber"/>
      </w:rPr>
      <w:instrText xml:space="preserve"> PAGE </w:instrText>
    </w:r>
    <w:r w:rsidR="007C1CA5" w:rsidRPr="00C05BC0">
      <w:rPr>
        <w:rStyle w:val="PageNumber"/>
      </w:rPr>
      <w:fldChar w:fldCharType="separate"/>
    </w:r>
    <w:r w:rsidR="001A2A34">
      <w:rPr>
        <w:rStyle w:val="PageNumber"/>
        <w:noProof/>
      </w:rPr>
      <w:t>21</w:t>
    </w:r>
    <w:r w:rsidR="007C1CA5" w:rsidRPr="00C05BC0">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Default="0039190D"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90D" w:rsidRDefault="0039190D">
      <w:pPr>
        <w:spacing w:line="240" w:lineRule="auto"/>
        <w:ind w:firstLine="0"/>
      </w:pPr>
      <w:r>
        <w:separator/>
      </w:r>
    </w:p>
  </w:footnote>
  <w:footnote w:type="continuationSeparator" w:id="0">
    <w:p w:rsidR="0039190D" w:rsidRDefault="0039190D">
      <w:pPr>
        <w:spacing w:line="240" w:lineRule="auto"/>
        <w:ind w:firstLine="0"/>
      </w:pPr>
      <w:r>
        <w:separator/>
      </w:r>
    </w:p>
    <w:p w:rsidR="0039190D" w:rsidRDefault="0039190D">
      <w:pPr>
        <w:spacing w:line="240" w:lineRule="auto"/>
        <w:ind w:firstLine="0"/>
        <w:rPr>
          <w:i/>
        </w:rPr>
      </w:pPr>
      <w:r>
        <w:rPr>
          <w:i/>
        </w:rPr>
        <w:t>(continued)</w:t>
      </w:r>
    </w:p>
  </w:footnote>
  <w:footnote w:type="continuationNotice" w:id="1">
    <w:p w:rsidR="0039190D" w:rsidRDefault="0039190D">
      <w:pPr>
        <w:pStyle w:val="Footer"/>
      </w:pPr>
    </w:p>
  </w:footnote>
  <w:footnote w:id="2">
    <w:p w:rsidR="0039190D" w:rsidRPr="00FA1F70" w:rsidRDefault="0039190D" w:rsidP="006A5925">
      <w:pPr>
        <w:pStyle w:val="FootnoteText"/>
      </w:pPr>
      <w:r>
        <w:rPr>
          <w:rStyle w:val="FootnoteReference"/>
        </w:rPr>
        <w:footnoteRef/>
      </w:r>
      <w:r>
        <w:t xml:space="preserve"> For the </w:t>
      </w:r>
      <w:r w:rsidRPr="00A724A4">
        <w:t>extent</w:t>
      </w:r>
      <w:r>
        <w:t xml:space="preserve"> of policy implementation variable, we will code each of the 16 policies as whether or not the district has such a policy (or has the policy at a particular level). The seven policy category variables will then be constructed as the sum of the number of policies within that category for a district.</w:t>
      </w:r>
    </w:p>
  </w:footnote>
  <w:footnote w:id="3">
    <w:p w:rsidR="0039190D" w:rsidRDefault="0039190D" w:rsidP="00F70927">
      <w:pPr>
        <w:pStyle w:val="FootnoteText"/>
      </w:pPr>
      <w:r>
        <w:rPr>
          <w:rStyle w:val="FootnoteReference"/>
        </w:rPr>
        <w:footnoteRef/>
      </w:r>
      <w:r>
        <w:t xml:space="preserve"> In addition, we will also consider whether a lag is expected between when a policy is implemented and when it affects the distribution. For example, teacher induction programs were found to have an impact in the third year after implementation, but not in the first two years.</w:t>
      </w:r>
    </w:p>
  </w:footnote>
  <w:footnote w:id="4">
    <w:p w:rsidR="0039190D" w:rsidRDefault="0039190D" w:rsidP="00F70927">
      <w:pPr>
        <w:pStyle w:val="FootnoteText"/>
      </w:pPr>
      <w:r>
        <w:rPr>
          <w:rStyle w:val="FootnoteReference"/>
        </w:rPr>
        <w:footnoteRef/>
      </w:r>
      <w:r>
        <w:t xml:space="preserve"> Our model supports the use of time-varying district characteristics, and in situations where we are able to utilize time-varying data, we will do so. However, many of these district variables will remain stable over time, and many of the data sources we will use to track these variables are not updated frequently enough to monitor changes over time.</w:t>
      </w:r>
    </w:p>
  </w:footnote>
  <w:footnote w:id="5">
    <w:p w:rsidR="0039190D" w:rsidRDefault="0039190D" w:rsidP="00F70927">
      <w:pPr>
        <w:pStyle w:val="FootnoteText"/>
      </w:pPr>
      <w:r>
        <w:rPr>
          <w:rStyle w:val="FootnoteReference"/>
        </w:rPr>
        <w:footnoteRef/>
      </w:r>
      <w:r>
        <w:t xml:space="preserve"> We will use the </w:t>
      </w:r>
      <w:proofErr w:type="spellStart"/>
      <w:r>
        <w:t>Herfindahl</w:t>
      </w:r>
      <w:proofErr w:type="spellEnd"/>
      <w:r>
        <w:t xml:space="preserve"> Index, which is calculated by taking </w:t>
      </w:r>
      <w:r w:rsidRPr="0081235A">
        <w:t xml:space="preserve">the proportion of students from each district in the </w:t>
      </w:r>
      <w:r>
        <w:t>MSA</w:t>
      </w:r>
      <w:r w:rsidRPr="0081235A">
        <w:t>, squaring each value, and taking the sum of these squared values. It is highly correlated with the percentage of students in the largest district</w:t>
      </w:r>
      <w:r>
        <w:t xml:space="preserve"> in the MSA. As the number of equal sized districts grows larger, the </w:t>
      </w:r>
      <w:proofErr w:type="spellStart"/>
      <w:r>
        <w:t>Herfindahl</w:t>
      </w:r>
      <w:proofErr w:type="spellEnd"/>
      <w:r>
        <w:t xml:space="preserve"> Index approaches zero. As the number of dominant districts claiming a larger share of the region’s population grows smaller, the index approaches one.</w:t>
      </w:r>
    </w:p>
  </w:footnote>
  <w:footnote w:id="6">
    <w:p w:rsidR="0039190D" w:rsidRDefault="0039190D" w:rsidP="00F70927">
      <w:pPr>
        <w:pStyle w:val="FootnoteText"/>
      </w:pPr>
      <w:r>
        <w:rPr>
          <w:rStyle w:val="FootnoteReference"/>
        </w:rPr>
        <w:footnoteRef/>
      </w:r>
      <w:r>
        <w:t xml:space="preserve"> We would parameterize the level of income as the logarithm of the median income and the variability of income as the standard deviation of the logarithm of income, the </w:t>
      </w:r>
      <w:proofErr w:type="spellStart"/>
      <w:r>
        <w:t>Gini</w:t>
      </w:r>
      <w:proofErr w:type="spellEnd"/>
      <w:r>
        <w:t xml:space="preserve"> coefficient of income, or the percentage in poverty.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Default="003919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Default="003919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Default="0039190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0A4439" w:rsidRDefault="0039190D" w:rsidP="004D30EB">
    <w:pPr>
      <w:pStyle w:val="Header"/>
      <w:rPr>
        <w:szCs w:val="22"/>
      </w:rPr>
    </w:pPr>
    <w:r>
      <w:rPr>
        <w:szCs w:val="22"/>
      </w:rPr>
      <w:t>Contents</w:t>
    </w:r>
    <w:r w:rsidRPr="000A4439">
      <w:rPr>
        <w:szCs w:val="22"/>
      </w:rPr>
      <w:tab/>
    </w:r>
    <w:r w:rsidRPr="000A4439">
      <w:rPr>
        <w:szCs w:val="22"/>
      </w:rPr>
      <w:tab/>
      <w:t>Mathematica Policy Research</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0A4439" w:rsidRDefault="0039190D" w:rsidP="004D30EB">
    <w:pPr>
      <w:pStyle w:val="Header"/>
      <w:rPr>
        <w:szCs w:val="22"/>
      </w:rPr>
    </w:pPr>
    <w:r>
      <w:rPr>
        <w:szCs w:val="22"/>
      </w:rPr>
      <w:t>Tables</w:t>
    </w:r>
    <w:r w:rsidRPr="000A4439">
      <w:rPr>
        <w:szCs w:val="22"/>
      </w:rPr>
      <w:tab/>
    </w:r>
    <w:r w:rsidRPr="000A4439">
      <w:rPr>
        <w:szCs w:val="22"/>
      </w:rPr>
      <w:tab/>
      <w:t>Mathematica Policy Research</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0A4439" w:rsidRDefault="0039190D" w:rsidP="004D30EB">
    <w:pPr>
      <w:pStyle w:val="Header"/>
      <w:rPr>
        <w:szCs w:val="22"/>
      </w:rPr>
    </w:pPr>
    <w:r w:rsidRPr="004D1CBA">
      <w:rPr>
        <w:szCs w:val="22"/>
      </w:rPr>
      <w:t>ED-IES-10-C-0065</w:t>
    </w:r>
    <w:r w:rsidRPr="000A4439">
      <w:rPr>
        <w:szCs w:val="22"/>
      </w:rPr>
      <w:tab/>
    </w:r>
    <w:r w:rsidRPr="000A4439">
      <w:rPr>
        <w:szCs w:val="22"/>
      </w:rPr>
      <w:tab/>
      <w:t>Mathematica Policy Research</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0A4439" w:rsidRDefault="0039190D" w:rsidP="004D30EB">
    <w:pPr>
      <w:pStyle w:val="Header"/>
      <w:rPr>
        <w:szCs w:val="22"/>
      </w:rPr>
    </w:pPr>
    <w:r>
      <w:rPr>
        <w:szCs w:val="22"/>
      </w:rPr>
      <w:t>References</w:t>
    </w:r>
    <w:r w:rsidRPr="000A4439">
      <w:rPr>
        <w:szCs w:val="22"/>
      </w:rPr>
      <w:tab/>
    </w:r>
    <w:r w:rsidRPr="000A4439">
      <w:rPr>
        <w:szCs w:val="22"/>
      </w:rPr>
      <w:tab/>
      <w:t>Mathematica Policy Research</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90D" w:rsidRPr="000A4439" w:rsidRDefault="0039190D" w:rsidP="006C5B99">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2F6"/>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
    <w:nsid w:val="0A826135"/>
    <w:multiLevelType w:val="hybridMultilevel"/>
    <w:tmpl w:val="EA2409B8"/>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
    <w:nsid w:val="0CFA75AF"/>
    <w:multiLevelType w:val="hybridMultilevel"/>
    <w:tmpl w:val="A7DE9E64"/>
    <w:lvl w:ilvl="0" w:tplc="10DC239E">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C67001"/>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
    <w:nsid w:val="0F665E6A"/>
    <w:multiLevelType w:val="hybridMultilevel"/>
    <w:tmpl w:val="833290C6"/>
    <w:lvl w:ilvl="0" w:tplc="CA00E19A">
      <w:start w:val="1"/>
      <w:numFmt w:val="bullet"/>
      <w:lvlText w:val=""/>
      <w:lvlJc w:val="left"/>
      <w:pPr>
        <w:ind w:left="1152" w:hanging="360"/>
      </w:pPr>
      <w:rPr>
        <w:rFonts w:ascii="Symbol" w:hAnsi="Symbol" w:hint="default"/>
        <w:sz w:val="22"/>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14A6F61"/>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10">
    <w:nsid w:val="13722580"/>
    <w:multiLevelType w:val="hybridMultilevel"/>
    <w:tmpl w:val="64D6EC38"/>
    <w:lvl w:ilvl="0" w:tplc="8DA8EE3E">
      <w:start w:val="1"/>
      <w:numFmt w:val="bullet"/>
      <w:lvlText w:val=""/>
      <w:lvlJc w:val="left"/>
      <w:pPr>
        <w:ind w:left="990" w:hanging="360"/>
      </w:pPr>
      <w:rPr>
        <w:rFonts w:ascii="Symbol" w:hAnsi="Symbol" w:hint="default"/>
        <w:sz w:val="24"/>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0B5D34"/>
    <w:multiLevelType w:val="hybridMultilevel"/>
    <w:tmpl w:val="5944E8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1D487A3F"/>
    <w:multiLevelType w:val="hybridMultilevel"/>
    <w:tmpl w:val="1DFE09EA"/>
    <w:lvl w:ilvl="0" w:tplc="32ECD3C8">
      <w:start w:val="1"/>
      <w:numFmt w:val="bullet"/>
      <w:lvlText w:val=""/>
      <w:lvlJc w:val="left"/>
      <w:pPr>
        <w:ind w:left="1152" w:hanging="360"/>
      </w:pPr>
      <w:rPr>
        <w:rFonts w:ascii="Symbol" w:hAnsi="Symbol" w:hint="default"/>
        <w:sz w:val="2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DEA5E76"/>
    <w:multiLevelType w:val="hybridMultilevel"/>
    <w:tmpl w:val="3FC6FEB0"/>
    <w:lvl w:ilvl="0" w:tplc="A2566132">
      <w:start w:val="1"/>
      <w:numFmt w:val="upperLetter"/>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F7513D4"/>
    <w:multiLevelType w:val="hybridMultilevel"/>
    <w:tmpl w:val="2B969660"/>
    <w:lvl w:ilvl="0" w:tplc="B5C4D508">
      <w:start w:val="1"/>
      <w:numFmt w:val="bullet"/>
      <w:pStyle w:val="BulletBlack"/>
      <w:lvlText w:val=""/>
      <w:lvlJc w:val="left"/>
      <w:pPr>
        <w:ind w:left="720" w:hanging="360"/>
      </w:pPr>
      <w:rPr>
        <w:rFonts w:ascii="Symbol" w:hAnsi="Symbol" w:hint="default"/>
        <w:color w:val="000000"/>
      </w:rPr>
    </w:lvl>
    <w:lvl w:ilvl="1" w:tplc="04090003" w:tentative="1">
      <w:start w:val="1"/>
      <w:numFmt w:val="bullet"/>
      <w:lvlText w:val="o"/>
      <w:lvlJc w:val="left"/>
      <w:pPr>
        <w:ind w:left="162" w:hanging="360"/>
      </w:pPr>
      <w:rPr>
        <w:rFonts w:ascii="Courier New" w:hAnsi="Courier New" w:hint="default"/>
      </w:rPr>
    </w:lvl>
    <w:lvl w:ilvl="2" w:tplc="04090005" w:tentative="1">
      <w:start w:val="1"/>
      <w:numFmt w:val="bullet"/>
      <w:lvlText w:val=""/>
      <w:lvlJc w:val="left"/>
      <w:pPr>
        <w:ind w:left="882" w:hanging="360"/>
      </w:pPr>
      <w:rPr>
        <w:rFonts w:ascii="Wingdings" w:hAnsi="Wingdings" w:hint="default"/>
      </w:rPr>
    </w:lvl>
    <w:lvl w:ilvl="3" w:tplc="04090001" w:tentative="1">
      <w:start w:val="1"/>
      <w:numFmt w:val="bullet"/>
      <w:lvlText w:val=""/>
      <w:lvlJc w:val="left"/>
      <w:pPr>
        <w:ind w:left="1602" w:hanging="360"/>
      </w:pPr>
      <w:rPr>
        <w:rFonts w:ascii="Symbol" w:hAnsi="Symbol" w:hint="default"/>
      </w:rPr>
    </w:lvl>
    <w:lvl w:ilvl="4" w:tplc="04090003" w:tentative="1">
      <w:start w:val="1"/>
      <w:numFmt w:val="bullet"/>
      <w:lvlText w:val="o"/>
      <w:lvlJc w:val="left"/>
      <w:pPr>
        <w:ind w:left="2322" w:hanging="360"/>
      </w:pPr>
      <w:rPr>
        <w:rFonts w:ascii="Courier New" w:hAnsi="Courier New" w:hint="default"/>
      </w:rPr>
    </w:lvl>
    <w:lvl w:ilvl="5" w:tplc="04090005" w:tentative="1">
      <w:start w:val="1"/>
      <w:numFmt w:val="bullet"/>
      <w:lvlText w:val=""/>
      <w:lvlJc w:val="left"/>
      <w:pPr>
        <w:ind w:left="3042" w:hanging="360"/>
      </w:pPr>
      <w:rPr>
        <w:rFonts w:ascii="Wingdings" w:hAnsi="Wingdings" w:hint="default"/>
      </w:rPr>
    </w:lvl>
    <w:lvl w:ilvl="6" w:tplc="04090001" w:tentative="1">
      <w:start w:val="1"/>
      <w:numFmt w:val="bullet"/>
      <w:lvlText w:val=""/>
      <w:lvlJc w:val="left"/>
      <w:pPr>
        <w:ind w:left="3762" w:hanging="360"/>
      </w:pPr>
      <w:rPr>
        <w:rFonts w:ascii="Symbol" w:hAnsi="Symbol" w:hint="default"/>
      </w:rPr>
    </w:lvl>
    <w:lvl w:ilvl="7" w:tplc="04090003" w:tentative="1">
      <w:start w:val="1"/>
      <w:numFmt w:val="bullet"/>
      <w:lvlText w:val="o"/>
      <w:lvlJc w:val="left"/>
      <w:pPr>
        <w:ind w:left="4482" w:hanging="360"/>
      </w:pPr>
      <w:rPr>
        <w:rFonts w:ascii="Courier New" w:hAnsi="Courier New" w:hint="default"/>
      </w:rPr>
    </w:lvl>
    <w:lvl w:ilvl="8" w:tplc="04090005" w:tentative="1">
      <w:start w:val="1"/>
      <w:numFmt w:val="bullet"/>
      <w:lvlText w:val=""/>
      <w:lvlJc w:val="left"/>
      <w:pPr>
        <w:ind w:left="5202" w:hanging="360"/>
      </w:pPr>
      <w:rPr>
        <w:rFonts w:ascii="Wingdings" w:hAnsi="Wingdings" w:hint="default"/>
      </w:rPr>
    </w:lvl>
  </w:abstractNum>
  <w:abstractNum w:abstractNumId="1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12F4488"/>
    <w:multiLevelType w:val="hybridMultilevel"/>
    <w:tmpl w:val="CD281E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215D210C"/>
    <w:multiLevelType w:val="hybridMultilevel"/>
    <w:tmpl w:val="90EE8C5A"/>
    <w:lvl w:ilvl="0" w:tplc="97C2522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220138"/>
    <w:multiLevelType w:val="hybridMultilevel"/>
    <w:tmpl w:val="01324F08"/>
    <w:lvl w:ilvl="0" w:tplc="2F146B3C">
      <w:start w:val="1"/>
      <w:numFmt w:val="bullet"/>
      <w:lvlText w:val=""/>
      <w:lvlJc w:val="left"/>
      <w:pPr>
        <w:tabs>
          <w:tab w:val="num" w:pos="1656"/>
        </w:tabs>
        <w:ind w:left="1656"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0E0345"/>
    <w:multiLevelType w:val="hybridMultilevel"/>
    <w:tmpl w:val="3AF2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4E12A8"/>
    <w:multiLevelType w:val="hybridMultilevel"/>
    <w:tmpl w:val="B8BC7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4014472"/>
    <w:multiLevelType w:val="hybridMultilevel"/>
    <w:tmpl w:val="DB445AB4"/>
    <w:lvl w:ilvl="0" w:tplc="CE540F5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5">
    <w:nsid w:val="35C86DB2"/>
    <w:multiLevelType w:val="hybridMultilevel"/>
    <w:tmpl w:val="08DE846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36150E0C"/>
    <w:multiLevelType w:val="hybridMultilevel"/>
    <w:tmpl w:val="14CC27C6"/>
    <w:lvl w:ilvl="0" w:tplc="32ECD3C8">
      <w:start w:val="1"/>
      <w:numFmt w:val="bullet"/>
      <w:lvlText w:val=""/>
      <w:lvlJc w:val="left"/>
      <w:pPr>
        <w:ind w:left="1152" w:hanging="360"/>
      </w:pPr>
      <w:rPr>
        <w:rFonts w:ascii="Symbol" w:hAnsi="Symbol" w:hint="default"/>
        <w:sz w:val="2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365800AE"/>
    <w:multiLevelType w:val="hybridMultilevel"/>
    <w:tmpl w:val="9A54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3F2A4B"/>
    <w:multiLevelType w:val="hybridMultilevel"/>
    <w:tmpl w:val="BBF667F4"/>
    <w:lvl w:ilvl="0" w:tplc="95B02562">
      <w:start w:val="1"/>
      <w:numFmt w:val="decimal"/>
      <w:lvlText w:val="%1."/>
      <w:lvlJc w:val="left"/>
      <w:pPr>
        <w:ind w:left="720" w:hanging="360"/>
      </w:pPr>
      <w:rPr>
        <w:rFonts w:cs="Times New Roman"/>
        <w:b/>
      </w:rPr>
    </w:lvl>
    <w:lvl w:ilvl="1" w:tplc="78D0567A">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8E56691"/>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30">
    <w:nsid w:val="3D674B3F"/>
    <w:multiLevelType w:val="hybridMultilevel"/>
    <w:tmpl w:val="5B0C45EC"/>
    <w:lvl w:ilvl="0" w:tplc="52307ABE">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31">
    <w:nsid w:val="422D7E0A"/>
    <w:multiLevelType w:val="hybridMultilevel"/>
    <w:tmpl w:val="3EBE87CA"/>
    <w:lvl w:ilvl="0" w:tplc="32ECD3C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40225D"/>
    <w:multiLevelType w:val="hybridMultilevel"/>
    <w:tmpl w:val="13F28D02"/>
    <w:lvl w:ilvl="0" w:tplc="04090001">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C3108C"/>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34">
    <w:nsid w:val="49C6048B"/>
    <w:multiLevelType w:val="singleLevel"/>
    <w:tmpl w:val="04090001"/>
    <w:lvl w:ilvl="0">
      <w:start w:val="1"/>
      <w:numFmt w:val="bullet"/>
      <w:lvlText w:val=""/>
      <w:lvlJc w:val="left"/>
      <w:pPr>
        <w:ind w:left="792" w:hanging="360"/>
      </w:pPr>
      <w:rPr>
        <w:rFonts w:ascii="Symbol" w:hAnsi="Symbol" w:hint="default"/>
      </w:rPr>
    </w:lvl>
  </w:abstractNum>
  <w:abstractNum w:abstractNumId="35">
    <w:nsid w:val="4A323250"/>
    <w:multiLevelType w:val="hybridMultilevel"/>
    <w:tmpl w:val="D976FF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B385BE1"/>
    <w:multiLevelType w:val="hybridMultilevel"/>
    <w:tmpl w:val="C46A933C"/>
    <w:lvl w:ilvl="0" w:tplc="C90C87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4E637135"/>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38">
    <w:nsid w:val="4E736A57"/>
    <w:multiLevelType w:val="hybridMultilevel"/>
    <w:tmpl w:val="974CE3F6"/>
    <w:lvl w:ilvl="0" w:tplc="6A7C75E8">
      <w:start w:val="1"/>
      <w:numFmt w:val="bullet"/>
      <w:lvlText w:val=""/>
      <w:lvlJc w:val="left"/>
      <w:pPr>
        <w:ind w:left="1152" w:hanging="360"/>
      </w:pPr>
      <w:rPr>
        <w:rFonts w:ascii="Symbol" w:hAnsi="Symbol" w:hint="default"/>
        <w:color w:val="0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4EA26BCB"/>
    <w:multiLevelType w:val="hybridMultilevel"/>
    <w:tmpl w:val="67C67086"/>
    <w:lvl w:ilvl="0" w:tplc="BCB4F7A6">
      <w:start w:val="1"/>
      <w:numFmt w:val="low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40">
    <w:nsid w:val="560D72E3"/>
    <w:multiLevelType w:val="hybridMultilevel"/>
    <w:tmpl w:val="84EA6DBA"/>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41">
    <w:nsid w:val="58335316"/>
    <w:multiLevelType w:val="hybridMultilevel"/>
    <w:tmpl w:val="F8C2C3EA"/>
    <w:lvl w:ilvl="0" w:tplc="32ECD3C8">
      <w:start w:val="1"/>
      <w:numFmt w:val="bullet"/>
      <w:lvlText w:val=""/>
      <w:lvlJc w:val="left"/>
      <w:pPr>
        <w:ind w:left="1512" w:hanging="360"/>
      </w:pPr>
      <w:rPr>
        <w:rFonts w:ascii="Symbol" w:hAnsi="Symbol" w:hint="default"/>
        <w:sz w:val="20"/>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2">
    <w:nsid w:val="58835E93"/>
    <w:multiLevelType w:val="hybridMultilevel"/>
    <w:tmpl w:val="A7F863FE"/>
    <w:lvl w:ilvl="0" w:tplc="73A01E96">
      <w:start w:val="1"/>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nsid w:val="5B7147D1"/>
    <w:multiLevelType w:val="hybridMultilevel"/>
    <w:tmpl w:val="D864FE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C4D40DB"/>
    <w:multiLevelType w:val="hybridMultilevel"/>
    <w:tmpl w:val="BF9AF986"/>
    <w:lvl w:ilvl="0" w:tplc="32ECD3C8">
      <w:start w:val="1"/>
      <w:numFmt w:val="bullet"/>
      <w:lvlText w:val=""/>
      <w:lvlJc w:val="left"/>
      <w:pPr>
        <w:ind w:left="990" w:hanging="360"/>
      </w:pPr>
      <w:rPr>
        <w:rFonts w:ascii="Symbol" w:hAnsi="Symbol" w:hint="default"/>
        <w:sz w:val="20"/>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8">
    <w:nsid w:val="649C0931"/>
    <w:multiLevelType w:val="hybridMultilevel"/>
    <w:tmpl w:val="B03ED5B8"/>
    <w:lvl w:ilvl="0" w:tplc="32ECD3C8">
      <w:start w:val="1"/>
      <w:numFmt w:val="bullet"/>
      <w:lvlText w:val=""/>
      <w:lvlJc w:val="left"/>
      <w:pPr>
        <w:ind w:left="990" w:hanging="360"/>
      </w:pPr>
      <w:rPr>
        <w:rFonts w:ascii="Symbol" w:hAnsi="Symbol" w:hint="default"/>
        <w:sz w:val="20"/>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0">
    <w:nsid w:val="66300906"/>
    <w:multiLevelType w:val="hybridMultilevel"/>
    <w:tmpl w:val="DB003E80"/>
    <w:lvl w:ilvl="0" w:tplc="32ECD3C8">
      <w:start w:val="1"/>
      <w:numFmt w:val="bullet"/>
      <w:lvlText w:val=""/>
      <w:lvlJc w:val="left"/>
      <w:pPr>
        <w:ind w:left="1170" w:hanging="360"/>
      </w:pPr>
      <w:rPr>
        <w:rFonts w:ascii="Symbol" w:hAnsi="Symbol" w:hint="default"/>
        <w:sz w:val="20"/>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94B3729"/>
    <w:multiLevelType w:val="hybridMultilevel"/>
    <w:tmpl w:val="BEC04936"/>
    <w:lvl w:ilvl="0" w:tplc="6A7C75E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866306"/>
    <w:multiLevelType w:val="hybridMultilevel"/>
    <w:tmpl w:val="35AA3752"/>
    <w:lvl w:ilvl="0" w:tplc="D0DE4BD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79090E"/>
    <w:multiLevelType w:val="hybridMultilevel"/>
    <w:tmpl w:val="03BA4C68"/>
    <w:lvl w:ilvl="0" w:tplc="04090001">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8E0E42"/>
    <w:multiLevelType w:val="hybridMultilevel"/>
    <w:tmpl w:val="41F0F768"/>
    <w:lvl w:ilvl="0" w:tplc="6A7C75E8">
      <w:start w:val="1"/>
      <w:numFmt w:val="bullet"/>
      <w:lvlText w:val=""/>
      <w:lvlJc w:val="left"/>
      <w:pPr>
        <w:ind w:left="1152" w:hanging="360"/>
      </w:pPr>
      <w:rPr>
        <w:rFonts w:ascii="Symbol" w:hAnsi="Symbol" w:hint="default"/>
        <w:color w:val="0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6">
    <w:nsid w:val="70FD5F46"/>
    <w:multiLevelType w:val="hybridMultilevel"/>
    <w:tmpl w:val="7E82DB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19669EA"/>
    <w:multiLevelType w:val="hybridMultilevel"/>
    <w:tmpl w:val="EEF850D4"/>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1EB0252"/>
    <w:multiLevelType w:val="hybridMultilevel"/>
    <w:tmpl w:val="6436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A85F7F"/>
    <w:multiLevelType w:val="hybridMultilevel"/>
    <w:tmpl w:val="C7908BF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0">
    <w:nsid w:val="72E932E6"/>
    <w:multiLevelType w:val="hybridMultilevel"/>
    <w:tmpl w:val="DB445AB4"/>
    <w:lvl w:ilvl="0" w:tplc="CE540F50">
      <w:start w:val="1"/>
      <w:numFmt w:val="decimal"/>
      <w:lvlText w:val="%1."/>
      <w:lvlJc w:val="left"/>
      <w:pPr>
        <w:ind w:left="2352" w:hanging="360"/>
      </w:pPr>
      <w:rPr>
        <w:rFonts w:cs="Times New Roman" w:hint="default"/>
      </w:rPr>
    </w:lvl>
    <w:lvl w:ilvl="1" w:tplc="04090019" w:tentative="1">
      <w:start w:val="1"/>
      <w:numFmt w:val="lowerLetter"/>
      <w:lvlText w:val="%2."/>
      <w:lvlJc w:val="left"/>
      <w:pPr>
        <w:ind w:left="3072" w:hanging="360"/>
      </w:pPr>
      <w:rPr>
        <w:rFonts w:cs="Times New Roman"/>
      </w:rPr>
    </w:lvl>
    <w:lvl w:ilvl="2" w:tplc="0409001B" w:tentative="1">
      <w:start w:val="1"/>
      <w:numFmt w:val="lowerRoman"/>
      <w:lvlText w:val="%3."/>
      <w:lvlJc w:val="right"/>
      <w:pPr>
        <w:ind w:left="3792" w:hanging="180"/>
      </w:pPr>
      <w:rPr>
        <w:rFonts w:cs="Times New Roman"/>
      </w:rPr>
    </w:lvl>
    <w:lvl w:ilvl="3" w:tplc="0409000F" w:tentative="1">
      <w:start w:val="1"/>
      <w:numFmt w:val="decimal"/>
      <w:lvlText w:val="%4."/>
      <w:lvlJc w:val="left"/>
      <w:pPr>
        <w:ind w:left="4512" w:hanging="360"/>
      </w:pPr>
      <w:rPr>
        <w:rFonts w:cs="Times New Roman"/>
      </w:rPr>
    </w:lvl>
    <w:lvl w:ilvl="4" w:tplc="04090019" w:tentative="1">
      <w:start w:val="1"/>
      <w:numFmt w:val="lowerLetter"/>
      <w:lvlText w:val="%5."/>
      <w:lvlJc w:val="left"/>
      <w:pPr>
        <w:ind w:left="5232" w:hanging="360"/>
      </w:pPr>
      <w:rPr>
        <w:rFonts w:cs="Times New Roman"/>
      </w:rPr>
    </w:lvl>
    <w:lvl w:ilvl="5" w:tplc="0409001B" w:tentative="1">
      <w:start w:val="1"/>
      <w:numFmt w:val="lowerRoman"/>
      <w:lvlText w:val="%6."/>
      <w:lvlJc w:val="right"/>
      <w:pPr>
        <w:ind w:left="5952" w:hanging="180"/>
      </w:pPr>
      <w:rPr>
        <w:rFonts w:cs="Times New Roman"/>
      </w:rPr>
    </w:lvl>
    <w:lvl w:ilvl="6" w:tplc="0409000F" w:tentative="1">
      <w:start w:val="1"/>
      <w:numFmt w:val="decimal"/>
      <w:lvlText w:val="%7."/>
      <w:lvlJc w:val="left"/>
      <w:pPr>
        <w:ind w:left="6672" w:hanging="360"/>
      </w:pPr>
      <w:rPr>
        <w:rFonts w:cs="Times New Roman"/>
      </w:rPr>
    </w:lvl>
    <w:lvl w:ilvl="7" w:tplc="04090019" w:tentative="1">
      <w:start w:val="1"/>
      <w:numFmt w:val="lowerLetter"/>
      <w:lvlText w:val="%8."/>
      <w:lvlJc w:val="left"/>
      <w:pPr>
        <w:ind w:left="7392" w:hanging="360"/>
      </w:pPr>
      <w:rPr>
        <w:rFonts w:cs="Times New Roman"/>
      </w:rPr>
    </w:lvl>
    <w:lvl w:ilvl="8" w:tplc="0409001B" w:tentative="1">
      <w:start w:val="1"/>
      <w:numFmt w:val="lowerRoman"/>
      <w:lvlText w:val="%9."/>
      <w:lvlJc w:val="right"/>
      <w:pPr>
        <w:ind w:left="8112" w:hanging="180"/>
      </w:pPr>
      <w:rPr>
        <w:rFonts w:cs="Times New Roman"/>
      </w:rPr>
    </w:lvl>
  </w:abstractNum>
  <w:abstractNum w:abstractNumId="61">
    <w:nsid w:val="736365C2"/>
    <w:multiLevelType w:val="hybridMultilevel"/>
    <w:tmpl w:val="0436C9F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62">
    <w:nsid w:val="73FF5648"/>
    <w:multiLevelType w:val="hybridMultilevel"/>
    <w:tmpl w:val="93362170"/>
    <w:lvl w:ilvl="0" w:tplc="0409000F">
      <w:start w:val="1"/>
      <w:numFmt w:val="decimal"/>
      <w:lvlText w:val="%1."/>
      <w:lvlJc w:val="left"/>
      <w:pPr>
        <w:ind w:left="1152" w:hanging="360"/>
      </w:pPr>
      <w:rPr>
        <w:rFonts w:cs="Times New Roman"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3">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64">
    <w:nsid w:val="7622360F"/>
    <w:multiLevelType w:val="hybridMultilevel"/>
    <w:tmpl w:val="8A344DC2"/>
    <w:lvl w:ilvl="0" w:tplc="2040A6B6">
      <w:start w:val="1"/>
      <w:numFmt w:val="lowerLetter"/>
      <w:lvlText w:val="%1."/>
      <w:lvlJc w:val="left"/>
      <w:pPr>
        <w:ind w:left="792" w:hanging="360"/>
      </w:pPr>
      <w:rPr>
        <w:rFonts w:cs="Times New Roman" w:hint="default"/>
        <w:b/>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65">
    <w:nsid w:val="7BFF2AA9"/>
    <w:multiLevelType w:val="hybridMultilevel"/>
    <w:tmpl w:val="C576F508"/>
    <w:lvl w:ilvl="0" w:tplc="32ECD3C8">
      <w:start w:val="1"/>
      <w:numFmt w:val="bullet"/>
      <w:lvlText w:val=""/>
      <w:lvlJc w:val="left"/>
      <w:pPr>
        <w:ind w:left="990" w:hanging="360"/>
      </w:pPr>
      <w:rPr>
        <w:rFonts w:ascii="Symbol" w:hAnsi="Symbol" w:hint="default"/>
        <w:sz w:val="20"/>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7">
    <w:nsid w:val="7FDA1294"/>
    <w:multiLevelType w:val="hybridMultilevel"/>
    <w:tmpl w:val="D674B6C6"/>
    <w:lvl w:ilvl="0" w:tplc="32ECD3C8">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6"/>
  </w:num>
  <w:num w:numId="2">
    <w:abstractNumId w:val="11"/>
  </w:num>
  <w:num w:numId="3">
    <w:abstractNumId w:val="15"/>
  </w:num>
  <w:num w:numId="4">
    <w:abstractNumId w:val="19"/>
  </w:num>
  <w:num w:numId="5">
    <w:abstractNumId w:val="5"/>
  </w:num>
  <w:num w:numId="6">
    <w:abstractNumId w:val="47"/>
  </w:num>
  <w:num w:numId="7">
    <w:abstractNumId w:val="8"/>
  </w:num>
  <w:num w:numId="8">
    <w:abstractNumId w:val="45"/>
  </w:num>
  <w:num w:numId="9">
    <w:abstractNumId w:val="49"/>
  </w:num>
  <w:num w:numId="10">
    <w:abstractNumId w:val="20"/>
  </w:num>
  <w:num w:numId="11">
    <w:abstractNumId w:val="34"/>
  </w:num>
  <w:num w:numId="12">
    <w:abstractNumId w:val="63"/>
  </w:num>
  <w:num w:numId="13">
    <w:abstractNumId w:val="46"/>
  </w:num>
  <w:num w:numId="14">
    <w:abstractNumId w:val="4"/>
  </w:num>
  <w:num w:numId="15">
    <w:abstractNumId w:val="3"/>
  </w:num>
  <w:num w:numId="16">
    <w:abstractNumId w:val="51"/>
  </w:num>
  <w:num w:numId="17">
    <w:abstractNumId w:val="16"/>
  </w:num>
  <w:num w:numId="18">
    <w:abstractNumId w:val="14"/>
  </w:num>
  <w:num w:numId="19">
    <w:abstractNumId w:val="40"/>
  </w:num>
  <w:num w:numId="20">
    <w:abstractNumId w:val="12"/>
  </w:num>
  <w:num w:numId="21">
    <w:abstractNumId w:val="56"/>
  </w:num>
  <w:num w:numId="22">
    <w:abstractNumId w:val="17"/>
  </w:num>
  <w:num w:numId="23">
    <w:abstractNumId w:val="1"/>
  </w:num>
  <w:num w:numId="24">
    <w:abstractNumId w:val="58"/>
  </w:num>
  <w:num w:numId="25">
    <w:abstractNumId w:val="27"/>
  </w:num>
  <w:num w:numId="26">
    <w:abstractNumId w:val="53"/>
  </w:num>
  <w:num w:numId="27">
    <w:abstractNumId w:val="22"/>
  </w:num>
  <w:num w:numId="28">
    <w:abstractNumId w:val="57"/>
  </w:num>
  <w:num w:numId="29">
    <w:abstractNumId w:val="25"/>
  </w:num>
  <w:num w:numId="30">
    <w:abstractNumId w:val="61"/>
  </w:num>
  <w:num w:numId="31">
    <w:abstractNumId w:val="2"/>
  </w:num>
  <w:num w:numId="32">
    <w:abstractNumId w:val="54"/>
  </w:num>
  <w:num w:numId="33">
    <w:abstractNumId w:val="32"/>
  </w:num>
  <w:num w:numId="34">
    <w:abstractNumId w:val="52"/>
  </w:num>
  <w:num w:numId="3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55"/>
  </w:num>
  <w:num w:numId="38">
    <w:abstractNumId w:val="38"/>
  </w:num>
  <w:num w:numId="39">
    <w:abstractNumId w:val="60"/>
  </w:num>
  <w:num w:numId="40">
    <w:abstractNumId w:val="29"/>
  </w:num>
  <w:num w:numId="41">
    <w:abstractNumId w:val="37"/>
  </w:num>
  <w:num w:numId="42">
    <w:abstractNumId w:val="24"/>
  </w:num>
  <w:num w:numId="43">
    <w:abstractNumId w:val="0"/>
  </w:num>
  <w:num w:numId="44">
    <w:abstractNumId w:val="6"/>
  </w:num>
  <w:num w:numId="45">
    <w:abstractNumId w:val="9"/>
  </w:num>
  <w:num w:numId="46">
    <w:abstractNumId w:val="30"/>
  </w:num>
  <w:num w:numId="47">
    <w:abstractNumId w:val="18"/>
  </w:num>
  <w:num w:numId="48">
    <w:abstractNumId w:val="33"/>
  </w:num>
  <w:num w:numId="49">
    <w:abstractNumId w:val="62"/>
  </w:num>
  <w:num w:numId="50">
    <w:abstractNumId w:val="34"/>
    <w:lvlOverride w:ilvl="0">
      <w:startOverride w:val="1"/>
    </w:lvlOverride>
  </w:num>
  <w:num w:numId="51">
    <w:abstractNumId w:val="36"/>
  </w:num>
  <w:num w:numId="52">
    <w:abstractNumId w:val="43"/>
  </w:num>
  <w:num w:numId="53">
    <w:abstractNumId w:val="35"/>
  </w:num>
  <w:num w:numId="54">
    <w:abstractNumId w:val="21"/>
  </w:num>
  <w:num w:numId="55">
    <w:abstractNumId w:val="64"/>
  </w:num>
  <w:num w:numId="56">
    <w:abstractNumId w:val="59"/>
  </w:num>
  <w:num w:numId="57">
    <w:abstractNumId w:val="28"/>
  </w:num>
  <w:num w:numId="58">
    <w:abstractNumId w:val="23"/>
  </w:num>
  <w:num w:numId="59">
    <w:abstractNumId w:val="13"/>
  </w:num>
  <w:num w:numId="60">
    <w:abstractNumId w:val="26"/>
  </w:num>
  <w:num w:numId="61">
    <w:abstractNumId w:val="39"/>
  </w:num>
  <w:num w:numId="62">
    <w:abstractNumId w:val="41"/>
  </w:num>
  <w:num w:numId="63">
    <w:abstractNumId w:val="31"/>
  </w:num>
  <w:num w:numId="64">
    <w:abstractNumId w:val="67"/>
  </w:num>
  <w:num w:numId="65">
    <w:abstractNumId w:val="50"/>
  </w:num>
  <w:num w:numId="66">
    <w:abstractNumId w:val="65"/>
  </w:num>
  <w:num w:numId="67">
    <w:abstractNumId w:val="44"/>
  </w:num>
  <w:num w:numId="68">
    <w:abstractNumId w:val="48"/>
  </w:num>
  <w:num w:numId="69">
    <w:abstractNumId w:val="1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8045F6"/>
    <w:rsid w:val="00000AC0"/>
    <w:rsid w:val="000015FB"/>
    <w:rsid w:val="000019C7"/>
    <w:rsid w:val="00001CC3"/>
    <w:rsid w:val="00001F58"/>
    <w:rsid w:val="00002D5B"/>
    <w:rsid w:val="000033F6"/>
    <w:rsid w:val="00004685"/>
    <w:rsid w:val="00004AD8"/>
    <w:rsid w:val="00004DDA"/>
    <w:rsid w:val="00005C9C"/>
    <w:rsid w:val="00006E1F"/>
    <w:rsid w:val="00006EFD"/>
    <w:rsid w:val="00007A19"/>
    <w:rsid w:val="00007CA0"/>
    <w:rsid w:val="000103E1"/>
    <w:rsid w:val="0001104B"/>
    <w:rsid w:val="00011DD2"/>
    <w:rsid w:val="00012372"/>
    <w:rsid w:val="00012863"/>
    <w:rsid w:val="00014F60"/>
    <w:rsid w:val="000152C3"/>
    <w:rsid w:val="00016893"/>
    <w:rsid w:val="00017652"/>
    <w:rsid w:val="00017DD1"/>
    <w:rsid w:val="00020701"/>
    <w:rsid w:val="00021A62"/>
    <w:rsid w:val="000226E4"/>
    <w:rsid w:val="0002311B"/>
    <w:rsid w:val="000271C1"/>
    <w:rsid w:val="000300AF"/>
    <w:rsid w:val="00030B4D"/>
    <w:rsid w:val="0003179D"/>
    <w:rsid w:val="00037098"/>
    <w:rsid w:val="000403ED"/>
    <w:rsid w:val="00040950"/>
    <w:rsid w:val="00041493"/>
    <w:rsid w:val="000416E5"/>
    <w:rsid w:val="000425D4"/>
    <w:rsid w:val="0004276A"/>
    <w:rsid w:val="000438EE"/>
    <w:rsid w:val="00045A85"/>
    <w:rsid w:val="00045B56"/>
    <w:rsid w:val="00046CA3"/>
    <w:rsid w:val="00046E51"/>
    <w:rsid w:val="0005208D"/>
    <w:rsid w:val="00052499"/>
    <w:rsid w:val="00052E3D"/>
    <w:rsid w:val="00053968"/>
    <w:rsid w:val="00054B47"/>
    <w:rsid w:val="000600AC"/>
    <w:rsid w:val="000603C2"/>
    <w:rsid w:val="0006063D"/>
    <w:rsid w:val="000619F6"/>
    <w:rsid w:val="00063123"/>
    <w:rsid w:val="00063FEF"/>
    <w:rsid w:val="00064BE9"/>
    <w:rsid w:val="00064D00"/>
    <w:rsid w:val="0006670D"/>
    <w:rsid w:val="00066AB9"/>
    <w:rsid w:val="00070824"/>
    <w:rsid w:val="00070979"/>
    <w:rsid w:val="000716DC"/>
    <w:rsid w:val="000728D3"/>
    <w:rsid w:val="000745AD"/>
    <w:rsid w:val="000769A1"/>
    <w:rsid w:val="00076CF0"/>
    <w:rsid w:val="00077082"/>
    <w:rsid w:val="000776C6"/>
    <w:rsid w:val="00080DFA"/>
    <w:rsid w:val="000812AE"/>
    <w:rsid w:val="0008188C"/>
    <w:rsid w:val="00081D47"/>
    <w:rsid w:val="000826F7"/>
    <w:rsid w:val="00082CAF"/>
    <w:rsid w:val="00083134"/>
    <w:rsid w:val="00083FA8"/>
    <w:rsid w:val="00084946"/>
    <w:rsid w:val="000854B0"/>
    <w:rsid w:val="000857C6"/>
    <w:rsid w:val="00085FBF"/>
    <w:rsid w:val="0008694F"/>
    <w:rsid w:val="00090529"/>
    <w:rsid w:val="00091579"/>
    <w:rsid w:val="0009624A"/>
    <w:rsid w:val="000968A2"/>
    <w:rsid w:val="00097326"/>
    <w:rsid w:val="000A232A"/>
    <w:rsid w:val="000A4439"/>
    <w:rsid w:val="000A544F"/>
    <w:rsid w:val="000A61EE"/>
    <w:rsid w:val="000A7003"/>
    <w:rsid w:val="000A7CE2"/>
    <w:rsid w:val="000B214E"/>
    <w:rsid w:val="000B2BD0"/>
    <w:rsid w:val="000B3A77"/>
    <w:rsid w:val="000B4097"/>
    <w:rsid w:val="000B5611"/>
    <w:rsid w:val="000B594D"/>
    <w:rsid w:val="000B5FF8"/>
    <w:rsid w:val="000B7081"/>
    <w:rsid w:val="000B7469"/>
    <w:rsid w:val="000B7840"/>
    <w:rsid w:val="000B7E70"/>
    <w:rsid w:val="000C0118"/>
    <w:rsid w:val="000C15B4"/>
    <w:rsid w:val="000C2EA3"/>
    <w:rsid w:val="000C4E82"/>
    <w:rsid w:val="000C5D72"/>
    <w:rsid w:val="000C5EC3"/>
    <w:rsid w:val="000C70DC"/>
    <w:rsid w:val="000C72F8"/>
    <w:rsid w:val="000C7388"/>
    <w:rsid w:val="000D0DD6"/>
    <w:rsid w:val="000D12E5"/>
    <w:rsid w:val="000D16B8"/>
    <w:rsid w:val="000D2FE3"/>
    <w:rsid w:val="000D4D27"/>
    <w:rsid w:val="000D5258"/>
    <w:rsid w:val="000D6D5D"/>
    <w:rsid w:val="000D709F"/>
    <w:rsid w:val="000D7DFC"/>
    <w:rsid w:val="000E0F34"/>
    <w:rsid w:val="000E11D7"/>
    <w:rsid w:val="000E1288"/>
    <w:rsid w:val="000E15AD"/>
    <w:rsid w:val="000E16D4"/>
    <w:rsid w:val="000E1C81"/>
    <w:rsid w:val="000E1D9E"/>
    <w:rsid w:val="000E6D11"/>
    <w:rsid w:val="000F032F"/>
    <w:rsid w:val="000F04E3"/>
    <w:rsid w:val="000F0C27"/>
    <w:rsid w:val="000F2D09"/>
    <w:rsid w:val="000F5375"/>
    <w:rsid w:val="000F53E2"/>
    <w:rsid w:val="000F5701"/>
    <w:rsid w:val="000F6BB4"/>
    <w:rsid w:val="000F79B9"/>
    <w:rsid w:val="001010F3"/>
    <w:rsid w:val="001014CE"/>
    <w:rsid w:val="00101C0D"/>
    <w:rsid w:val="00101D5A"/>
    <w:rsid w:val="00103AAD"/>
    <w:rsid w:val="0010494E"/>
    <w:rsid w:val="00105D23"/>
    <w:rsid w:val="001073C9"/>
    <w:rsid w:val="00110723"/>
    <w:rsid w:val="001146AF"/>
    <w:rsid w:val="00114731"/>
    <w:rsid w:val="00115A3E"/>
    <w:rsid w:val="00115BA4"/>
    <w:rsid w:val="001161D5"/>
    <w:rsid w:val="00117725"/>
    <w:rsid w:val="001225C9"/>
    <w:rsid w:val="00124639"/>
    <w:rsid w:val="0012480C"/>
    <w:rsid w:val="00124CC0"/>
    <w:rsid w:val="00125355"/>
    <w:rsid w:val="00130424"/>
    <w:rsid w:val="0013282C"/>
    <w:rsid w:val="00132E2F"/>
    <w:rsid w:val="001334E2"/>
    <w:rsid w:val="00133730"/>
    <w:rsid w:val="00134DE8"/>
    <w:rsid w:val="00135AF5"/>
    <w:rsid w:val="00136AB9"/>
    <w:rsid w:val="00136DA5"/>
    <w:rsid w:val="00137205"/>
    <w:rsid w:val="00141646"/>
    <w:rsid w:val="001416CF"/>
    <w:rsid w:val="00141705"/>
    <w:rsid w:val="00141A0B"/>
    <w:rsid w:val="00142586"/>
    <w:rsid w:val="0014258A"/>
    <w:rsid w:val="001425AF"/>
    <w:rsid w:val="00142AE3"/>
    <w:rsid w:val="0014310E"/>
    <w:rsid w:val="00144D64"/>
    <w:rsid w:val="00144DA7"/>
    <w:rsid w:val="001462FD"/>
    <w:rsid w:val="00147272"/>
    <w:rsid w:val="00151082"/>
    <w:rsid w:val="00152E83"/>
    <w:rsid w:val="001531EE"/>
    <w:rsid w:val="00153435"/>
    <w:rsid w:val="00154963"/>
    <w:rsid w:val="00155A1E"/>
    <w:rsid w:val="00157C10"/>
    <w:rsid w:val="00160306"/>
    <w:rsid w:val="00160B34"/>
    <w:rsid w:val="00160DEB"/>
    <w:rsid w:val="00160E09"/>
    <w:rsid w:val="00162191"/>
    <w:rsid w:val="00162C28"/>
    <w:rsid w:val="00162D2B"/>
    <w:rsid w:val="0016325E"/>
    <w:rsid w:val="0016396A"/>
    <w:rsid w:val="001719C3"/>
    <w:rsid w:val="00171CB8"/>
    <w:rsid w:val="001728FC"/>
    <w:rsid w:val="00174B82"/>
    <w:rsid w:val="001768A7"/>
    <w:rsid w:val="00176E59"/>
    <w:rsid w:val="00177084"/>
    <w:rsid w:val="00177F42"/>
    <w:rsid w:val="00181F53"/>
    <w:rsid w:val="00182165"/>
    <w:rsid w:val="001838A4"/>
    <w:rsid w:val="00184179"/>
    <w:rsid w:val="00184524"/>
    <w:rsid w:val="0018564C"/>
    <w:rsid w:val="00186BB9"/>
    <w:rsid w:val="001933B1"/>
    <w:rsid w:val="0019419D"/>
    <w:rsid w:val="001A02BB"/>
    <w:rsid w:val="001A07D4"/>
    <w:rsid w:val="001A0BB5"/>
    <w:rsid w:val="001A1B5C"/>
    <w:rsid w:val="001A2A34"/>
    <w:rsid w:val="001A70BE"/>
    <w:rsid w:val="001A74A8"/>
    <w:rsid w:val="001A7C12"/>
    <w:rsid w:val="001A7D7B"/>
    <w:rsid w:val="001B1C2E"/>
    <w:rsid w:val="001B360E"/>
    <w:rsid w:val="001B404B"/>
    <w:rsid w:val="001B55B6"/>
    <w:rsid w:val="001B5D28"/>
    <w:rsid w:val="001B61FF"/>
    <w:rsid w:val="001B77E3"/>
    <w:rsid w:val="001B7E6A"/>
    <w:rsid w:val="001C1C2E"/>
    <w:rsid w:val="001C3EA3"/>
    <w:rsid w:val="001C4A39"/>
    <w:rsid w:val="001C6BA1"/>
    <w:rsid w:val="001C6D08"/>
    <w:rsid w:val="001C7464"/>
    <w:rsid w:val="001D0E9A"/>
    <w:rsid w:val="001D247C"/>
    <w:rsid w:val="001D2685"/>
    <w:rsid w:val="001D3C2F"/>
    <w:rsid w:val="001D3C41"/>
    <w:rsid w:val="001D4333"/>
    <w:rsid w:val="001D4764"/>
    <w:rsid w:val="001D634E"/>
    <w:rsid w:val="001E03FC"/>
    <w:rsid w:val="001E084B"/>
    <w:rsid w:val="001E0AB2"/>
    <w:rsid w:val="001E150F"/>
    <w:rsid w:val="001E18F7"/>
    <w:rsid w:val="001E43FB"/>
    <w:rsid w:val="001E466A"/>
    <w:rsid w:val="001E4AC0"/>
    <w:rsid w:val="001E5A88"/>
    <w:rsid w:val="001E6609"/>
    <w:rsid w:val="001E7B45"/>
    <w:rsid w:val="001F491A"/>
    <w:rsid w:val="001F5410"/>
    <w:rsid w:val="001F669B"/>
    <w:rsid w:val="001F71F0"/>
    <w:rsid w:val="00200B10"/>
    <w:rsid w:val="00202C51"/>
    <w:rsid w:val="00202F88"/>
    <w:rsid w:val="002053F3"/>
    <w:rsid w:val="00206B25"/>
    <w:rsid w:val="0020710E"/>
    <w:rsid w:val="00207B75"/>
    <w:rsid w:val="00210E71"/>
    <w:rsid w:val="00211913"/>
    <w:rsid w:val="00211B7E"/>
    <w:rsid w:val="00214353"/>
    <w:rsid w:val="00215119"/>
    <w:rsid w:val="00215A0C"/>
    <w:rsid w:val="002161BA"/>
    <w:rsid w:val="00216EEC"/>
    <w:rsid w:val="0022073A"/>
    <w:rsid w:val="00221AD4"/>
    <w:rsid w:val="00223937"/>
    <w:rsid w:val="0022402B"/>
    <w:rsid w:val="002263BE"/>
    <w:rsid w:val="00226783"/>
    <w:rsid w:val="002322A4"/>
    <w:rsid w:val="00232362"/>
    <w:rsid w:val="00233B7E"/>
    <w:rsid w:val="00234CEC"/>
    <w:rsid w:val="0023502B"/>
    <w:rsid w:val="0023503A"/>
    <w:rsid w:val="00235285"/>
    <w:rsid w:val="00236122"/>
    <w:rsid w:val="00236228"/>
    <w:rsid w:val="002412D5"/>
    <w:rsid w:val="00241E97"/>
    <w:rsid w:val="00242213"/>
    <w:rsid w:val="0024371C"/>
    <w:rsid w:val="00243909"/>
    <w:rsid w:val="00243DEE"/>
    <w:rsid w:val="00244699"/>
    <w:rsid w:val="0024559E"/>
    <w:rsid w:val="002459FC"/>
    <w:rsid w:val="00247F1B"/>
    <w:rsid w:val="0025017D"/>
    <w:rsid w:val="00251390"/>
    <w:rsid w:val="0025182E"/>
    <w:rsid w:val="00252EBC"/>
    <w:rsid w:val="002613D2"/>
    <w:rsid w:val="00261474"/>
    <w:rsid w:val="002624A3"/>
    <w:rsid w:val="002631E2"/>
    <w:rsid w:val="0026379E"/>
    <w:rsid w:val="00264716"/>
    <w:rsid w:val="00267F6C"/>
    <w:rsid w:val="002715F1"/>
    <w:rsid w:val="00271B2B"/>
    <w:rsid w:val="00272475"/>
    <w:rsid w:val="0027251A"/>
    <w:rsid w:val="00275E21"/>
    <w:rsid w:val="002800DD"/>
    <w:rsid w:val="00280AB2"/>
    <w:rsid w:val="002815D7"/>
    <w:rsid w:val="00281688"/>
    <w:rsid w:val="00281C08"/>
    <w:rsid w:val="00281E98"/>
    <w:rsid w:val="00282D77"/>
    <w:rsid w:val="00282E7A"/>
    <w:rsid w:val="00282FD0"/>
    <w:rsid w:val="00284557"/>
    <w:rsid w:val="00284734"/>
    <w:rsid w:val="002849EE"/>
    <w:rsid w:val="00287FD7"/>
    <w:rsid w:val="002921C5"/>
    <w:rsid w:val="002923AC"/>
    <w:rsid w:val="0029333F"/>
    <w:rsid w:val="002942FB"/>
    <w:rsid w:val="00295156"/>
    <w:rsid w:val="0029607A"/>
    <w:rsid w:val="00297335"/>
    <w:rsid w:val="00297382"/>
    <w:rsid w:val="00297F24"/>
    <w:rsid w:val="002A05AB"/>
    <w:rsid w:val="002A0847"/>
    <w:rsid w:val="002A1ADA"/>
    <w:rsid w:val="002A28C9"/>
    <w:rsid w:val="002A6CED"/>
    <w:rsid w:val="002A70E7"/>
    <w:rsid w:val="002A7359"/>
    <w:rsid w:val="002B100D"/>
    <w:rsid w:val="002B14AE"/>
    <w:rsid w:val="002B1593"/>
    <w:rsid w:val="002B4293"/>
    <w:rsid w:val="002B47CD"/>
    <w:rsid w:val="002B68A5"/>
    <w:rsid w:val="002B6C56"/>
    <w:rsid w:val="002B6EAB"/>
    <w:rsid w:val="002C0C33"/>
    <w:rsid w:val="002C0CA7"/>
    <w:rsid w:val="002C166A"/>
    <w:rsid w:val="002C2519"/>
    <w:rsid w:val="002C28F7"/>
    <w:rsid w:val="002C413C"/>
    <w:rsid w:val="002C4688"/>
    <w:rsid w:val="002C5332"/>
    <w:rsid w:val="002C64E8"/>
    <w:rsid w:val="002C7011"/>
    <w:rsid w:val="002C734A"/>
    <w:rsid w:val="002C7BC5"/>
    <w:rsid w:val="002C7FED"/>
    <w:rsid w:val="002D0678"/>
    <w:rsid w:val="002D0A34"/>
    <w:rsid w:val="002D2275"/>
    <w:rsid w:val="002D26C1"/>
    <w:rsid w:val="002D279D"/>
    <w:rsid w:val="002D31FD"/>
    <w:rsid w:val="002D38F8"/>
    <w:rsid w:val="002D397C"/>
    <w:rsid w:val="002D454B"/>
    <w:rsid w:val="002D5B7A"/>
    <w:rsid w:val="002D5FBA"/>
    <w:rsid w:val="002D6999"/>
    <w:rsid w:val="002D6FD3"/>
    <w:rsid w:val="002D7C6E"/>
    <w:rsid w:val="002E122B"/>
    <w:rsid w:val="002E13B8"/>
    <w:rsid w:val="002E14BA"/>
    <w:rsid w:val="002E1FA9"/>
    <w:rsid w:val="002E2158"/>
    <w:rsid w:val="002E2D51"/>
    <w:rsid w:val="002E39EE"/>
    <w:rsid w:val="002E3C65"/>
    <w:rsid w:val="002E3CF6"/>
    <w:rsid w:val="002E4209"/>
    <w:rsid w:val="002E486C"/>
    <w:rsid w:val="002E654F"/>
    <w:rsid w:val="002F1D84"/>
    <w:rsid w:val="002F1E71"/>
    <w:rsid w:val="002F2408"/>
    <w:rsid w:val="002F422B"/>
    <w:rsid w:val="002F440B"/>
    <w:rsid w:val="002F48F5"/>
    <w:rsid w:val="002F5B19"/>
    <w:rsid w:val="002F5BD5"/>
    <w:rsid w:val="002F6E81"/>
    <w:rsid w:val="002F71D4"/>
    <w:rsid w:val="002F7C83"/>
    <w:rsid w:val="002F7F41"/>
    <w:rsid w:val="00300CE3"/>
    <w:rsid w:val="00301FBF"/>
    <w:rsid w:val="003027E2"/>
    <w:rsid w:val="00303CF8"/>
    <w:rsid w:val="00306094"/>
    <w:rsid w:val="003066FA"/>
    <w:rsid w:val="00307403"/>
    <w:rsid w:val="00310586"/>
    <w:rsid w:val="00310ACB"/>
    <w:rsid w:val="00310B2B"/>
    <w:rsid w:val="00313603"/>
    <w:rsid w:val="00313671"/>
    <w:rsid w:val="00313CBE"/>
    <w:rsid w:val="00313E69"/>
    <w:rsid w:val="003142E6"/>
    <w:rsid w:val="00314FEC"/>
    <w:rsid w:val="00315DD8"/>
    <w:rsid w:val="00317B15"/>
    <w:rsid w:val="00317EDA"/>
    <w:rsid w:val="00320EB3"/>
    <w:rsid w:val="00321E25"/>
    <w:rsid w:val="003236BE"/>
    <w:rsid w:val="003258CD"/>
    <w:rsid w:val="00326284"/>
    <w:rsid w:val="00330781"/>
    <w:rsid w:val="00331319"/>
    <w:rsid w:val="00331650"/>
    <w:rsid w:val="0033302C"/>
    <w:rsid w:val="003330EF"/>
    <w:rsid w:val="00333A48"/>
    <w:rsid w:val="003344D3"/>
    <w:rsid w:val="00334E19"/>
    <w:rsid w:val="00334E36"/>
    <w:rsid w:val="00334E39"/>
    <w:rsid w:val="00336A60"/>
    <w:rsid w:val="00337BA7"/>
    <w:rsid w:val="00337F22"/>
    <w:rsid w:val="003404F5"/>
    <w:rsid w:val="00340781"/>
    <w:rsid w:val="00342560"/>
    <w:rsid w:val="00342CD8"/>
    <w:rsid w:val="00342F85"/>
    <w:rsid w:val="00343A0C"/>
    <w:rsid w:val="00344B38"/>
    <w:rsid w:val="00344E8B"/>
    <w:rsid w:val="00347DD8"/>
    <w:rsid w:val="0035020D"/>
    <w:rsid w:val="00350399"/>
    <w:rsid w:val="00350E63"/>
    <w:rsid w:val="00351E81"/>
    <w:rsid w:val="00353544"/>
    <w:rsid w:val="00353E51"/>
    <w:rsid w:val="00354899"/>
    <w:rsid w:val="00354942"/>
    <w:rsid w:val="00354C34"/>
    <w:rsid w:val="00355697"/>
    <w:rsid w:val="00355787"/>
    <w:rsid w:val="003557AA"/>
    <w:rsid w:val="003559D8"/>
    <w:rsid w:val="0035674B"/>
    <w:rsid w:val="00357225"/>
    <w:rsid w:val="0036002B"/>
    <w:rsid w:val="00360288"/>
    <w:rsid w:val="003607F3"/>
    <w:rsid w:val="00362133"/>
    <w:rsid w:val="003633CA"/>
    <w:rsid w:val="003639DB"/>
    <w:rsid w:val="003655BF"/>
    <w:rsid w:val="00365B3F"/>
    <w:rsid w:val="003668C0"/>
    <w:rsid w:val="0036799F"/>
    <w:rsid w:val="003709EF"/>
    <w:rsid w:val="003728F4"/>
    <w:rsid w:val="00372AB1"/>
    <w:rsid w:val="00374549"/>
    <w:rsid w:val="003766CD"/>
    <w:rsid w:val="00377F95"/>
    <w:rsid w:val="00380B9C"/>
    <w:rsid w:val="00381412"/>
    <w:rsid w:val="0038146D"/>
    <w:rsid w:val="00381A96"/>
    <w:rsid w:val="00381B5C"/>
    <w:rsid w:val="0038282B"/>
    <w:rsid w:val="003852C8"/>
    <w:rsid w:val="00386508"/>
    <w:rsid w:val="003870DA"/>
    <w:rsid w:val="0039000F"/>
    <w:rsid w:val="00390312"/>
    <w:rsid w:val="0039063F"/>
    <w:rsid w:val="0039190D"/>
    <w:rsid w:val="00391996"/>
    <w:rsid w:val="003920D4"/>
    <w:rsid w:val="00394752"/>
    <w:rsid w:val="00397E97"/>
    <w:rsid w:val="003A0FFC"/>
    <w:rsid w:val="003A1506"/>
    <w:rsid w:val="003A1774"/>
    <w:rsid w:val="003A17E0"/>
    <w:rsid w:val="003A244A"/>
    <w:rsid w:val="003A2593"/>
    <w:rsid w:val="003A26BB"/>
    <w:rsid w:val="003A327F"/>
    <w:rsid w:val="003A5AAD"/>
    <w:rsid w:val="003B1392"/>
    <w:rsid w:val="003B1A34"/>
    <w:rsid w:val="003B1FFC"/>
    <w:rsid w:val="003B303A"/>
    <w:rsid w:val="003B63B5"/>
    <w:rsid w:val="003C0A5F"/>
    <w:rsid w:val="003C10B5"/>
    <w:rsid w:val="003C27A1"/>
    <w:rsid w:val="003C57EB"/>
    <w:rsid w:val="003C70B1"/>
    <w:rsid w:val="003D0FCE"/>
    <w:rsid w:val="003D1118"/>
    <w:rsid w:val="003D1300"/>
    <w:rsid w:val="003D146D"/>
    <w:rsid w:val="003D17B5"/>
    <w:rsid w:val="003D2F70"/>
    <w:rsid w:val="003D2FB9"/>
    <w:rsid w:val="003D3A95"/>
    <w:rsid w:val="003D77B2"/>
    <w:rsid w:val="003E0A97"/>
    <w:rsid w:val="003E0D48"/>
    <w:rsid w:val="003E18BF"/>
    <w:rsid w:val="003E2C53"/>
    <w:rsid w:val="003E429F"/>
    <w:rsid w:val="003E4DE6"/>
    <w:rsid w:val="003E5D89"/>
    <w:rsid w:val="003E676D"/>
    <w:rsid w:val="003E7327"/>
    <w:rsid w:val="003E771B"/>
    <w:rsid w:val="003F6A93"/>
    <w:rsid w:val="00401627"/>
    <w:rsid w:val="00403D7E"/>
    <w:rsid w:val="00405B17"/>
    <w:rsid w:val="00405E87"/>
    <w:rsid w:val="0040780A"/>
    <w:rsid w:val="0041055C"/>
    <w:rsid w:val="00410D8F"/>
    <w:rsid w:val="00410F60"/>
    <w:rsid w:val="004116C8"/>
    <w:rsid w:val="004118E0"/>
    <w:rsid w:val="00412D08"/>
    <w:rsid w:val="00414FF6"/>
    <w:rsid w:val="004163BD"/>
    <w:rsid w:val="004178CB"/>
    <w:rsid w:val="00417B7A"/>
    <w:rsid w:val="004202EB"/>
    <w:rsid w:val="004217AE"/>
    <w:rsid w:val="00421B09"/>
    <w:rsid w:val="0042391D"/>
    <w:rsid w:val="00423F89"/>
    <w:rsid w:val="0042461E"/>
    <w:rsid w:val="004300B8"/>
    <w:rsid w:val="004338D1"/>
    <w:rsid w:val="00433EBA"/>
    <w:rsid w:val="004359F9"/>
    <w:rsid w:val="00435C64"/>
    <w:rsid w:val="0043634E"/>
    <w:rsid w:val="00436C9E"/>
    <w:rsid w:val="0044022B"/>
    <w:rsid w:val="004439EE"/>
    <w:rsid w:val="0044495F"/>
    <w:rsid w:val="00444A29"/>
    <w:rsid w:val="0044551C"/>
    <w:rsid w:val="00446472"/>
    <w:rsid w:val="004465E3"/>
    <w:rsid w:val="00446AE6"/>
    <w:rsid w:val="00446CE2"/>
    <w:rsid w:val="00447B7C"/>
    <w:rsid w:val="00447C62"/>
    <w:rsid w:val="00450802"/>
    <w:rsid w:val="00450873"/>
    <w:rsid w:val="00451D9C"/>
    <w:rsid w:val="0045216C"/>
    <w:rsid w:val="00455C7B"/>
    <w:rsid w:val="00455D2B"/>
    <w:rsid w:val="00456EBC"/>
    <w:rsid w:val="004575D1"/>
    <w:rsid w:val="00457644"/>
    <w:rsid w:val="0045797D"/>
    <w:rsid w:val="00457D3F"/>
    <w:rsid w:val="00460428"/>
    <w:rsid w:val="00460AD4"/>
    <w:rsid w:val="00461462"/>
    <w:rsid w:val="00463045"/>
    <w:rsid w:val="00463E1B"/>
    <w:rsid w:val="00464495"/>
    <w:rsid w:val="00466AB7"/>
    <w:rsid w:val="00466AD3"/>
    <w:rsid w:val="00473DCE"/>
    <w:rsid w:val="00473F70"/>
    <w:rsid w:val="00473F76"/>
    <w:rsid w:val="00474405"/>
    <w:rsid w:val="0047478B"/>
    <w:rsid w:val="00474A21"/>
    <w:rsid w:val="00474ECC"/>
    <w:rsid w:val="00475483"/>
    <w:rsid w:val="00476CB1"/>
    <w:rsid w:val="0048023D"/>
    <w:rsid w:val="0048168E"/>
    <w:rsid w:val="00482642"/>
    <w:rsid w:val="00486EF0"/>
    <w:rsid w:val="00486F8D"/>
    <w:rsid w:val="004875EF"/>
    <w:rsid w:val="00487C7D"/>
    <w:rsid w:val="00490847"/>
    <w:rsid w:val="00491DCB"/>
    <w:rsid w:val="00492B73"/>
    <w:rsid w:val="00492E58"/>
    <w:rsid w:val="004931B7"/>
    <w:rsid w:val="00494594"/>
    <w:rsid w:val="004953BE"/>
    <w:rsid w:val="004958E7"/>
    <w:rsid w:val="00497367"/>
    <w:rsid w:val="004A0392"/>
    <w:rsid w:val="004A071B"/>
    <w:rsid w:val="004A148D"/>
    <w:rsid w:val="004A148F"/>
    <w:rsid w:val="004A1F4C"/>
    <w:rsid w:val="004A4230"/>
    <w:rsid w:val="004A43CC"/>
    <w:rsid w:val="004A4541"/>
    <w:rsid w:val="004A46CC"/>
    <w:rsid w:val="004A62C4"/>
    <w:rsid w:val="004A730B"/>
    <w:rsid w:val="004B0D54"/>
    <w:rsid w:val="004B1992"/>
    <w:rsid w:val="004B296A"/>
    <w:rsid w:val="004B42C1"/>
    <w:rsid w:val="004B4CF8"/>
    <w:rsid w:val="004C1265"/>
    <w:rsid w:val="004C1312"/>
    <w:rsid w:val="004C184A"/>
    <w:rsid w:val="004C337C"/>
    <w:rsid w:val="004C53BF"/>
    <w:rsid w:val="004D1CBA"/>
    <w:rsid w:val="004D2C01"/>
    <w:rsid w:val="004D30EB"/>
    <w:rsid w:val="004D52C9"/>
    <w:rsid w:val="004D5419"/>
    <w:rsid w:val="004D62CD"/>
    <w:rsid w:val="004D642F"/>
    <w:rsid w:val="004D7530"/>
    <w:rsid w:val="004E044F"/>
    <w:rsid w:val="004E12C4"/>
    <w:rsid w:val="004E1C55"/>
    <w:rsid w:val="004E2024"/>
    <w:rsid w:val="004E2D12"/>
    <w:rsid w:val="004E303D"/>
    <w:rsid w:val="004E3643"/>
    <w:rsid w:val="004E6E8F"/>
    <w:rsid w:val="004E7D79"/>
    <w:rsid w:val="004F065F"/>
    <w:rsid w:val="004F0B74"/>
    <w:rsid w:val="004F4755"/>
    <w:rsid w:val="004F493C"/>
    <w:rsid w:val="004F4C18"/>
    <w:rsid w:val="004F5B09"/>
    <w:rsid w:val="004F71AB"/>
    <w:rsid w:val="004F73A4"/>
    <w:rsid w:val="00500815"/>
    <w:rsid w:val="00501559"/>
    <w:rsid w:val="005018BB"/>
    <w:rsid w:val="005025B1"/>
    <w:rsid w:val="00502833"/>
    <w:rsid w:val="00502848"/>
    <w:rsid w:val="005072D7"/>
    <w:rsid w:val="00510417"/>
    <w:rsid w:val="0051101A"/>
    <w:rsid w:val="0051233D"/>
    <w:rsid w:val="0051357E"/>
    <w:rsid w:val="00514703"/>
    <w:rsid w:val="00514996"/>
    <w:rsid w:val="00516752"/>
    <w:rsid w:val="0051713E"/>
    <w:rsid w:val="00517B7D"/>
    <w:rsid w:val="005203B7"/>
    <w:rsid w:val="0052152D"/>
    <w:rsid w:val="00523F2E"/>
    <w:rsid w:val="0052422A"/>
    <w:rsid w:val="00525772"/>
    <w:rsid w:val="00525EFA"/>
    <w:rsid w:val="00525F0A"/>
    <w:rsid w:val="005274F3"/>
    <w:rsid w:val="00530DCC"/>
    <w:rsid w:val="00531424"/>
    <w:rsid w:val="00532B55"/>
    <w:rsid w:val="00532D3E"/>
    <w:rsid w:val="00535221"/>
    <w:rsid w:val="0053556A"/>
    <w:rsid w:val="0053579C"/>
    <w:rsid w:val="0053650C"/>
    <w:rsid w:val="00536E42"/>
    <w:rsid w:val="00537767"/>
    <w:rsid w:val="00537913"/>
    <w:rsid w:val="00537F22"/>
    <w:rsid w:val="0054089A"/>
    <w:rsid w:val="00542523"/>
    <w:rsid w:val="00543722"/>
    <w:rsid w:val="00546625"/>
    <w:rsid w:val="00546F58"/>
    <w:rsid w:val="005473B8"/>
    <w:rsid w:val="005511A7"/>
    <w:rsid w:val="005518A6"/>
    <w:rsid w:val="00551E52"/>
    <w:rsid w:val="005528D7"/>
    <w:rsid w:val="00552A97"/>
    <w:rsid w:val="00552F5D"/>
    <w:rsid w:val="00554FF0"/>
    <w:rsid w:val="00557FE1"/>
    <w:rsid w:val="0056026A"/>
    <w:rsid w:val="005604DC"/>
    <w:rsid w:val="00561F04"/>
    <w:rsid w:val="005623C3"/>
    <w:rsid w:val="00562D17"/>
    <w:rsid w:val="005637D0"/>
    <w:rsid w:val="0056434A"/>
    <w:rsid w:val="0056487B"/>
    <w:rsid w:val="00564ADD"/>
    <w:rsid w:val="0056778C"/>
    <w:rsid w:val="00567D78"/>
    <w:rsid w:val="00572799"/>
    <w:rsid w:val="0057640E"/>
    <w:rsid w:val="00576884"/>
    <w:rsid w:val="00576A42"/>
    <w:rsid w:val="005771F9"/>
    <w:rsid w:val="005775D5"/>
    <w:rsid w:val="005811B3"/>
    <w:rsid w:val="00581C7F"/>
    <w:rsid w:val="00581EE2"/>
    <w:rsid w:val="00582304"/>
    <w:rsid w:val="0058296D"/>
    <w:rsid w:val="00582CD2"/>
    <w:rsid w:val="00583141"/>
    <w:rsid w:val="005834C5"/>
    <w:rsid w:val="0058367B"/>
    <w:rsid w:val="00584664"/>
    <w:rsid w:val="00584E73"/>
    <w:rsid w:val="0058505D"/>
    <w:rsid w:val="005851D8"/>
    <w:rsid w:val="0058753C"/>
    <w:rsid w:val="00587577"/>
    <w:rsid w:val="00591AE6"/>
    <w:rsid w:val="00591CA9"/>
    <w:rsid w:val="00592E1A"/>
    <w:rsid w:val="00594F76"/>
    <w:rsid w:val="00595DE5"/>
    <w:rsid w:val="005967F5"/>
    <w:rsid w:val="005975E2"/>
    <w:rsid w:val="0059763E"/>
    <w:rsid w:val="00597992"/>
    <w:rsid w:val="00597C9C"/>
    <w:rsid w:val="00597FEB"/>
    <w:rsid w:val="005A13AF"/>
    <w:rsid w:val="005A19C0"/>
    <w:rsid w:val="005A225D"/>
    <w:rsid w:val="005A3631"/>
    <w:rsid w:val="005A3D02"/>
    <w:rsid w:val="005A41BF"/>
    <w:rsid w:val="005A4E2C"/>
    <w:rsid w:val="005A52EB"/>
    <w:rsid w:val="005A562D"/>
    <w:rsid w:val="005A66CB"/>
    <w:rsid w:val="005A7809"/>
    <w:rsid w:val="005A7C3D"/>
    <w:rsid w:val="005B0472"/>
    <w:rsid w:val="005B2BFE"/>
    <w:rsid w:val="005B3F72"/>
    <w:rsid w:val="005B4BAC"/>
    <w:rsid w:val="005B594A"/>
    <w:rsid w:val="005B5A50"/>
    <w:rsid w:val="005B63C5"/>
    <w:rsid w:val="005B77CD"/>
    <w:rsid w:val="005C07A6"/>
    <w:rsid w:val="005C210D"/>
    <w:rsid w:val="005C228F"/>
    <w:rsid w:val="005C22D0"/>
    <w:rsid w:val="005C272F"/>
    <w:rsid w:val="005C3276"/>
    <w:rsid w:val="005C39C2"/>
    <w:rsid w:val="005C3BBD"/>
    <w:rsid w:val="005C3BFB"/>
    <w:rsid w:val="005C4A2B"/>
    <w:rsid w:val="005D01A8"/>
    <w:rsid w:val="005D06B8"/>
    <w:rsid w:val="005D07D7"/>
    <w:rsid w:val="005D152B"/>
    <w:rsid w:val="005D1E3E"/>
    <w:rsid w:val="005D20D5"/>
    <w:rsid w:val="005D2638"/>
    <w:rsid w:val="005D615E"/>
    <w:rsid w:val="005D69B0"/>
    <w:rsid w:val="005E0F6C"/>
    <w:rsid w:val="005E1295"/>
    <w:rsid w:val="005E1375"/>
    <w:rsid w:val="005E1F57"/>
    <w:rsid w:val="005E32D0"/>
    <w:rsid w:val="005E35F8"/>
    <w:rsid w:val="005E39CB"/>
    <w:rsid w:val="005E5D98"/>
    <w:rsid w:val="005E5EF3"/>
    <w:rsid w:val="005E61E6"/>
    <w:rsid w:val="005E62E6"/>
    <w:rsid w:val="005E652E"/>
    <w:rsid w:val="005E7245"/>
    <w:rsid w:val="005E7695"/>
    <w:rsid w:val="005F09FF"/>
    <w:rsid w:val="005F1527"/>
    <w:rsid w:val="005F162C"/>
    <w:rsid w:val="005F38E4"/>
    <w:rsid w:val="005F430F"/>
    <w:rsid w:val="005F4BF1"/>
    <w:rsid w:val="005F4E79"/>
    <w:rsid w:val="005F53E1"/>
    <w:rsid w:val="005F6575"/>
    <w:rsid w:val="00603EEA"/>
    <w:rsid w:val="00605194"/>
    <w:rsid w:val="006057A0"/>
    <w:rsid w:val="00606B26"/>
    <w:rsid w:val="00607E45"/>
    <w:rsid w:val="00610224"/>
    <w:rsid w:val="00611823"/>
    <w:rsid w:val="0061183A"/>
    <w:rsid w:val="0061241F"/>
    <w:rsid w:val="00612D4F"/>
    <w:rsid w:val="006139A0"/>
    <w:rsid w:val="006140FF"/>
    <w:rsid w:val="0061420C"/>
    <w:rsid w:val="00614F97"/>
    <w:rsid w:val="006150A8"/>
    <w:rsid w:val="0061678B"/>
    <w:rsid w:val="006177D7"/>
    <w:rsid w:val="006221F3"/>
    <w:rsid w:val="006240C1"/>
    <w:rsid w:val="006251FE"/>
    <w:rsid w:val="0062522C"/>
    <w:rsid w:val="0062556F"/>
    <w:rsid w:val="006259A8"/>
    <w:rsid w:val="00626C58"/>
    <w:rsid w:val="00630D8E"/>
    <w:rsid w:val="006314E2"/>
    <w:rsid w:val="00631581"/>
    <w:rsid w:val="00632571"/>
    <w:rsid w:val="00635EC3"/>
    <w:rsid w:val="006361EB"/>
    <w:rsid w:val="00636860"/>
    <w:rsid w:val="00636C98"/>
    <w:rsid w:val="00637A61"/>
    <w:rsid w:val="0064008B"/>
    <w:rsid w:val="0064036E"/>
    <w:rsid w:val="0064083E"/>
    <w:rsid w:val="00641AC0"/>
    <w:rsid w:val="00643B5C"/>
    <w:rsid w:val="00644140"/>
    <w:rsid w:val="00645D61"/>
    <w:rsid w:val="00645FA6"/>
    <w:rsid w:val="0064678A"/>
    <w:rsid w:val="00647194"/>
    <w:rsid w:val="00647672"/>
    <w:rsid w:val="00647B74"/>
    <w:rsid w:val="006532A7"/>
    <w:rsid w:val="00653F1E"/>
    <w:rsid w:val="00655F25"/>
    <w:rsid w:val="00656171"/>
    <w:rsid w:val="00660373"/>
    <w:rsid w:val="00660E34"/>
    <w:rsid w:val="00665C76"/>
    <w:rsid w:val="006661EE"/>
    <w:rsid w:val="00666769"/>
    <w:rsid w:val="00666BB1"/>
    <w:rsid w:val="00670448"/>
    <w:rsid w:val="00670574"/>
    <w:rsid w:val="006714AC"/>
    <w:rsid w:val="00671CC4"/>
    <w:rsid w:val="00671E2B"/>
    <w:rsid w:val="00672F90"/>
    <w:rsid w:val="00675AE3"/>
    <w:rsid w:val="00675D51"/>
    <w:rsid w:val="0067684B"/>
    <w:rsid w:val="00677678"/>
    <w:rsid w:val="006776FF"/>
    <w:rsid w:val="00677BF6"/>
    <w:rsid w:val="00680699"/>
    <w:rsid w:val="00681F2A"/>
    <w:rsid w:val="006826BB"/>
    <w:rsid w:val="00682BCD"/>
    <w:rsid w:val="00683519"/>
    <w:rsid w:val="006847F8"/>
    <w:rsid w:val="006851E0"/>
    <w:rsid w:val="00686809"/>
    <w:rsid w:val="006907A0"/>
    <w:rsid w:val="00690AD2"/>
    <w:rsid w:val="00690B57"/>
    <w:rsid w:val="0069181A"/>
    <w:rsid w:val="0069238D"/>
    <w:rsid w:val="006956E0"/>
    <w:rsid w:val="006959AF"/>
    <w:rsid w:val="00696107"/>
    <w:rsid w:val="0069782E"/>
    <w:rsid w:val="006A154B"/>
    <w:rsid w:val="006A23C3"/>
    <w:rsid w:val="006A2683"/>
    <w:rsid w:val="006A3DE8"/>
    <w:rsid w:val="006A5367"/>
    <w:rsid w:val="006A5925"/>
    <w:rsid w:val="006A5CF1"/>
    <w:rsid w:val="006A5F54"/>
    <w:rsid w:val="006A7614"/>
    <w:rsid w:val="006B03AF"/>
    <w:rsid w:val="006B0652"/>
    <w:rsid w:val="006B0750"/>
    <w:rsid w:val="006B0756"/>
    <w:rsid w:val="006B174F"/>
    <w:rsid w:val="006B2611"/>
    <w:rsid w:val="006B2B5D"/>
    <w:rsid w:val="006B2FD9"/>
    <w:rsid w:val="006B43E8"/>
    <w:rsid w:val="006B48B5"/>
    <w:rsid w:val="006B4A81"/>
    <w:rsid w:val="006B7A2E"/>
    <w:rsid w:val="006C0308"/>
    <w:rsid w:val="006C115D"/>
    <w:rsid w:val="006C2A12"/>
    <w:rsid w:val="006C2CD4"/>
    <w:rsid w:val="006C3279"/>
    <w:rsid w:val="006C43BC"/>
    <w:rsid w:val="006C551C"/>
    <w:rsid w:val="006C5B99"/>
    <w:rsid w:val="006C5F78"/>
    <w:rsid w:val="006C6833"/>
    <w:rsid w:val="006C6E88"/>
    <w:rsid w:val="006D01FE"/>
    <w:rsid w:val="006D0607"/>
    <w:rsid w:val="006D1031"/>
    <w:rsid w:val="006D1733"/>
    <w:rsid w:val="006D3183"/>
    <w:rsid w:val="006D413F"/>
    <w:rsid w:val="006D44FA"/>
    <w:rsid w:val="006D553E"/>
    <w:rsid w:val="006D5591"/>
    <w:rsid w:val="006D5A0F"/>
    <w:rsid w:val="006D67B8"/>
    <w:rsid w:val="006D6B4E"/>
    <w:rsid w:val="006D6D28"/>
    <w:rsid w:val="006E0857"/>
    <w:rsid w:val="006E0E9A"/>
    <w:rsid w:val="006E2871"/>
    <w:rsid w:val="006E2AEF"/>
    <w:rsid w:val="006E2BD8"/>
    <w:rsid w:val="006E3DE1"/>
    <w:rsid w:val="006E792A"/>
    <w:rsid w:val="006F053F"/>
    <w:rsid w:val="006F223B"/>
    <w:rsid w:val="006F2252"/>
    <w:rsid w:val="006F2BA3"/>
    <w:rsid w:val="006F33B1"/>
    <w:rsid w:val="006F3E22"/>
    <w:rsid w:val="006F6D6D"/>
    <w:rsid w:val="0070093C"/>
    <w:rsid w:val="00700E2A"/>
    <w:rsid w:val="007017B0"/>
    <w:rsid w:val="00702D34"/>
    <w:rsid w:val="007045A8"/>
    <w:rsid w:val="00706302"/>
    <w:rsid w:val="00707664"/>
    <w:rsid w:val="00707FD5"/>
    <w:rsid w:val="007109F4"/>
    <w:rsid w:val="00710E1F"/>
    <w:rsid w:val="00711CA6"/>
    <w:rsid w:val="0071244B"/>
    <w:rsid w:val="00712A21"/>
    <w:rsid w:val="007143FA"/>
    <w:rsid w:val="00717B10"/>
    <w:rsid w:val="007205A9"/>
    <w:rsid w:val="0072090F"/>
    <w:rsid w:val="00720A3E"/>
    <w:rsid w:val="00720F11"/>
    <w:rsid w:val="007214EF"/>
    <w:rsid w:val="00721E7A"/>
    <w:rsid w:val="00722DFE"/>
    <w:rsid w:val="007235C0"/>
    <w:rsid w:val="00723BCE"/>
    <w:rsid w:val="00723C00"/>
    <w:rsid w:val="00726410"/>
    <w:rsid w:val="00726DD4"/>
    <w:rsid w:val="00730892"/>
    <w:rsid w:val="00731A32"/>
    <w:rsid w:val="00733322"/>
    <w:rsid w:val="00740470"/>
    <w:rsid w:val="00742342"/>
    <w:rsid w:val="007429C2"/>
    <w:rsid w:val="00742C8C"/>
    <w:rsid w:val="00743CD4"/>
    <w:rsid w:val="00744CFB"/>
    <w:rsid w:val="007451D5"/>
    <w:rsid w:val="0074653C"/>
    <w:rsid w:val="00747001"/>
    <w:rsid w:val="00747B99"/>
    <w:rsid w:val="00750035"/>
    <w:rsid w:val="007502E2"/>
    <w:rsid w:val="00751D69"/>
    <w:rsid w:val="00752575"/>
    <w:rsid w:val="007525FD"/>
    <w:rsid w:val="00753C79"/>
    <w:rsid w:val="00754E03"/>
    <w:rsid w:val="00761001"/>
    <w:rsid w:val="00762A27"/>
    <w:rsid w:val="00763A57"/>
    <w:rsid w:val="00764ADD"/>
    <w:rsid w:val="00765DB9"/>
    <w:rsid w:val="007675A3"/>
    <w:rsid w:val="0077042A"/>
    <w:rsid w:val="00773734"/>
    <w:rsid w:val="0077373B"/>
    <w:rsid w:val="00775A41"/>
    <w:rsid w:val="00775B14"/>
    <w:rsid w:val="00775D16"/>
    <w:rsid w:val="007761AF"/>
    <w:rsid w:val="00776BE1"/>
    <w:rsid w:val="007809F2"/>
    <w:rsid w:val="0078127B"/>
    <w:rsid w:val="00782242"/>
    <w:rsid w:val="0078272A"/>
    <w:rsid w:val="007832B2"/>
    <w:rsid w:val="00784BA2"/>
    <w:rsid w:val="00785375"/>
    <w:rsid w:val="0078541F"/>
    <w:rsid w:val="0078549A"/>
    <w:rsid w:val="00785C1C"/>
    <w:rsid w:val="0078626B"/>
    <w:rsid w:val="00786EA4"/>
    <w:rsid w:val="00787A3D"/>
    <w:rsid w:val="007906CE"/>
    <w:rsid w:val="00790805"/>
    <w:rsid w:val="00794A14"/>
    <w:rsid w:val="007959C1"/>
    <w:rsid w:val="007969EB"/>
    <w:rsid w:val="00796A3F"/>
    <w:rsid w:val="00796F41"/>
    <w:rsid w:val="0079732D"/>
    <w:rsid w:val="00797784"/>
    <w:rsid w:val="00797A7A"/>
    <w:rsid w:val="007A21E6"/>
    <w:rsid w:val="007A408B"/>
    <w:rsid w:val="007A44AF"/>
    <w:rsid w:val="007A489F"/>
    <w:rsid w:val="007A5803"/>
    <w:rsid w:val="007A68D5"/>
    <w:rsid w:val="007A79D1"/>
    <w:rsid w:val="007B0766"/>
    <w:rsid w:val="007B0865"/>
    <w:rsid w:val="007B2015"/>
    <w:rsid w:val="007B3CEA"/>
    <w:rsid w:val="007B5799"/>
    <w:rsid w:val="007B6D9E"/>
    <w:rsid w:val="007B705F"/>
    <w:rsid w:val="007C04D4"/>
    <w:rsid w:val="007C04F6"/>
    <w:rsid w:val="007C0CD8"/>
    <w:rsid w:val="007C1CA5"/>
    <w:rsid w:val="007C1E2F"/>
    <w:rsid w:val="007C21D9"/>
    <w:rsid w:val="007C22BB"/>
    <w:rsid w:val="007C3668"/>
    <w:rsid w:val="007C4167"/>
    <w:rsid w:val="007C454E"/>
    <w:rsid w:val="007C49C0"/>
    <w:rsid w:val="007C4D27"/>
    <w:rsid w:val="007C5524"/>
    <w:rsid w:val="007C7CEA"/>
    <w:rsid w:val="007D0429"/>
    <w:rsid w:val="007D25CB"/>
    <w:rsid w:val="007D3E8F"/>
    <w:rsid w:val="007D3E9E"/>
    <w:rsid w:val="007D4181"/>
    <w:rsid w:val="007D4918"/>
    <w:rsid w:val="007D4EE1"/>
    <w:rsid w:val="007D5651"/>
    <w:rsid w:val="007D59C8"/>
    <w:rsid w:val="007D64C8"/>
    <w:rsid w:val="007D67DF"/>
    <w:rsid w:val="007D6893"/>
    <w:rsid w:val="007D7238"/>
    <w:rsid w:val="007D7B25"/>
    <w:rsid w:val="007D7E28"/>
    <w:rsid w:val="007E0E36"/>
    <w:rsid w:val="007E1553"/>
    <w:rsid w:val="007E272E"/>
    <w:rsid w:val="007E2AFC"/>
    <w:rsid w:val="007E32F1"/>
    <w:rsid w:val="007E336E"/>
    <w:rsid w:val="007E389C"/>
    <w:rsid w:val="007E4436"/>
    <w:rsid w:val="007E4B90"/>
    <w:rsid w:val="007E63C7"/>
    <w:rsid w:val="007E6625"/>
    <w:rsid w:val="007F0DA1"/>
    <w:rsid w:val="007F0EC2"/>
    <w:rsid w:val="007F1C0F"/>
    <w:rsid w:val="007F2742"/>
    <w:rsid w:val="007F30FE"/>
    <w:rsid w:val="007F3E0A"/>
    <w:rsid w:val="007F42D0"/>
    <w:rsid w:val="007F58E6"/>
    <w:rsid w:val="007F686C"/>
    <w:rsid w:val="007F76BA"/>
    <w:rsid w:val="00802799"/>
    <w:rsid w:val="00804264"/>
    <w:rsid w:val="008045F6"/>
    <w:rsid w:val="00806376"/>
    <w:rsid w:val="00813386"/>
    <w:rsid w:val="00813568"/>
    <w:rsid w:val="00813D37"/>
    <w:rsid w:val="00814346"/>
    <w:rsid w:val="00814C20"/>
    <w:rsid w:val="00814D55"/>
    <w:rsid w:val="00815187"/>
    <w:rsid w:val="00815ABB"/>
    <w:rsid w:val="008169DF"/>
    <w:rsid w:val="00816DF1"/>
    <w:rsid w:val="00816EAC"/>
    <w:rsid w:val="00822984"/>
    <w:rsid w:val="00824CD4"/>
    <w:rsid w:val="00825485"/>
    <w:rsid w:val="0082758F"/>
    <w:rsid w:val="00830D9E"/>
    <w:rsid w:val="00833128"/>
    <w:rsid w:val="00833EE5"/>
    <w:rsid w:val="008352B8"/>
    <w:rsid w:val="00836007"/>
    <w:rsid w:val="00836648"/>
    <w:rsid w:val="00836C46"/>
    <w:rsid w:val="00837C6C"/>
    <w:rsid w:val="00840361"/>
    <w:rsid w:val="0084060A"/>
    <w:rsid w:val="00840E7C"/>
    <w:rsid w:val="008421A1"/>
    <w:rsid w:val="008432EE"/>
    <w:rsid w:val="00846524"/>
    <w:rsid w:val="008468F1"/>
    <w:rsid w:val="00847A8C"/>
    <w:rsid w:val="00850CF2"/>
    <w:rsid w:val="008513D8"/>
    <w:rsid w:val="00851DFB"/>
    <w:rsid w:val="00853969"/>
    <w:rsid w:val="00854A71"/>
    <w:rsid w:val="008552CF"/>
    <w:rsid w:val="0085586E"/>
    <w:rsid w:val="00856A53"/>
    <w:rsid w:val="00860F83"/>
    <w:rsid w:val="00861B86"/>
    <w:rsid w:val="00861BA8"/>
    <w:rsid w:val="00862A16"/>
    <w:rsid w:val="00862D84"/>
    <w:rsid w:val="0086314C"/>
    <w:rsid w:val="008632F9"/>
    <w:rsid w:val="00863C71"/>
    <w:rsid w:val="0086513B"/>
    <w:rsid w:val="0086519F"/>
    <w:rsid w:val="00865D38"/>
    <w:rsid w:val="00866C9E"/>
    <w:rsid w:val="0087036A"/>
    <w:rsid w:val="00873211"/>
    <w:rsid w:val="008735CC"/>
    <w:rsid w:val="008735DC"/>
    <w:rsid w:val="00874265"/>
    <w:rsid w:val="00876489"/>
    <w:rsid w:val="00877377"/>
    <w:rsid w:val="00877897"/>
    <w:rsid w:val="00880337"/>
    <w:rsid w:val="00881124"/>
    <w:rsid w:val="008840EE"/>
    <w:rsid w:val="008852D3"/>
    <w:rsid w:val="008857F9"/>
    <w:rsid w:val="0088681E"/>
    <w:rsid w:val="00887567"/>
    <w:rsid w:val="00887EBF"/>
    <w:rsid w:val="00892E4D"/>
    <w:rsid w:val="00892EAE"/>
    <w:rsid w:val="0089383E"/>
    <w:rsid w:val="00893B1D"/>
    <w:rsid w:val="00893D10"/>
    <w:rsid w:val="00894485"/>
    <w:rsid w:val="008945BC"/>
    <w:rsid w:val="008953B6"/>
    <w:rsid w:val="00895A2A"/>
    <w:rsid w:val="00897DBF"/>
    <w:rsid w:val="008A0E1D"/>
    <w:rsid w:val="008A20EF"/>
    <w:rsid w:val="008A286F"/>
    <w:rsid w:val="008A3A9E"/>
    <w:rsid w:val="008A3B53"/>
    <w:rsid w:val="008A4363"/>
    <w:rsid w:val="008A562D"/>
    <w:rsid w:val="008A65DF"/>
    <w:rsid w:val="008A6D60"/>
    <w:rsid w:val="008A763F"/>
    <w:rsid w:val="008A768A"/>
    <w:rsid w:val="008A7D24"/>
    <w:rsid w:val="008B032B"/>
    <w:rsid w:val="008B0EAF"/>
    <w:rsid w:val="008B0FE3"/>
    <w:rsid w:val="008B1E04"/>
    <w:rsid w:val="008B1F5A"/>
    <w:rsid w:val="008B23F0"/>
    <w:rsid w:val="008B3E85"/>
    <w:rsid w:val="008B43D6"/>
    <w:rsid w:val="008B5631"/>
    <w:rsid w:val="008B72C2"/>
    <w:rsid w:val="008C03A1"/>
    <w:rsid w:val="008C0EA3"/>
    <w:rsid w:val="008C1234"/>
    <w:rsid w:val="008C1919"/>
    <w:rsid w:val="008C2007"/>
    <w:rsid w:val="008C300B"/>
    <w:rsid w:val="008C4666"/>
    <w:rsid w:val="008C4804"/>
    <w:rsid w:val="008C52D5"/>
    <w:rsid w:val="008C677E"/>
    <w:rsid w:val="008C79DB"/>
    <w:rsid w:val="008C7EF5"/>
    <w:rsid w:val="008D0097"/>
    <w:rsid w:val="008D0DC0"/>
    <w:rsid w:val="008D129A"/>
    <w:rsid w:val="008D16B4"/>
    <w:rsid w:val="008D418E"/>
    <w:rsid w:val="008D4241"/>
    <w:rsid w:val="008D591C"/>
    <w:rsid w:val="008D5B53"/>
    <w:rsid w:val="008D5E41"/>
    <w:rsid w:val="008D66E4"/>
    <w:rsid w:val="008D759A"/>
    <w:rsid w:val="008D781C"/>
    <w:rsid w:val="008E0C5F"/>
    <w:rsid w:val="008E12AE"/>
    <w:rsid w:val="008E27F1"/>
    <w:rsid w:val="008E547C"/>
    <w:rsid w:val="008E5E1B"/>
    <w:rsid w:val="008E602B"/>
    <w:rsid w:val="008F03B6"/>
    <w:rsid w:val="008F131F"/>
    <w:rsid w:val="008F1A3F"/>
    <w:rsid w:val="008F3060"/>
    <w:rsid w:val="008F312B"/>
    <w:rsid w:val="008F3EC5"/>
    <w:rsid w:val="008F5A8F"/>
    <w:rsid w:val="008F6B32"/>
    <w:rsid w:val="0090039D"/>
    <w:rsid w:val="009005CA"/>
    <w:rsid w:val="009009D0"/>
    <w:rsid w:val="00900AE8"/>
    <w:rsid w:val="00901D64"/>
    <w:rsid w:val="00902B68"/>
    <w:rsid w:val="00903CAA"/>
    <w:rsid w:val="00905F1D"/>
    <w:rsid w:val="00906EA9"/>
    <w:rsid w:val="00906F29"/>
    <w:rsid w:val="009070BB"/>
    <w:rsid w:val="00911708"/>
    <w:rsid w:val="009120EF"/>
    <w:rsid w:val="00912344"/>
    <w:rsid w:val="009156D2"/>
    <w:rsid w:val="00916225"/>
    <w:rsid w:val="00916463"/>
    <w:rsid w:val="00916BE5"/>
    <w:rsid w:val="009203B2"/>
    <w:rsid w:val="0092134D"/>
    <w:rsid w:val="0092250D"/>
    <w:rsid w:val="009227A7"/>
    <w:rsid w:val="009229F4"/>
    <w:rsid w:val="00922C3D"/>
    <w:rsid w:val="00923843"/>
    <w:rsid w:val="00924DF0"/>
    <w:rsid w:val="00926678"/>
    <w:rsid w:val="009268C7"/>
    <w:rsid w:val="00926AB5"/>
    <w:rsid w:val="00926C92"/>
    <w:rsid w:val="00927B43"/>
    <w:rsid w:val="009304D9"/>
    <w:rsid w:val="00931BDB"/>
    <w:rsid w:val="00932471"/>
    <w:rsid w:val="00932748"/>
    <w:rsid w:val="009345F9"/>
    <w:rsid w:val="00934A2D"/>
    <w:rsid w:val="00936037"/>
    <w:rsid w:val="0093747A"/>
    <w:rsid w:val="00940825"/>
    <w:rsid w:val="00941D5E"/>
    <w:rsid w:val="009420AD"/>
    <w:rsid w:val="00942CDC"/>
    <w:rsid w:val="00944558"/>
    <w:rsid w:val="00944D67"/>
    <w:rsid w:val="00946FFD"/>
    <w:rsid w:val="009470EF"/>
    <w:rsid w:val="00950199"/>
    <w:rsid w:val="00950ED6"/>
    <w:rsid w:val="00950FF2"/>
    <w:rsid w:val="00951956"/>
    <w:rsid w:val="009527CF"/>
    <w:rsid w:val="00952FE4"/>
    <w:rsid w:val="00953311"/>
    <w:rsid w:val="00953A00"/>
    <w:rsid w:val="00955CD5"/>
    <w:rsid w:val="00956512"/>
    <w:rsid w:val="00956E56"/>
    <w:rsid w:val="00956F27"/>
    <w:rsid w:val="0095754B"/>
    <w:rsid w:val="00957E7D"/>
    <w:rsid w:val="00957F7E"/>
    <w:rsid w:val="00960190"/>
    <w:rsid w:val="009603FE"/>
    <w:rsid w:val="0096174A"/>
    <w:rsid w:val="00964346"/>
    <w:rsid w:val="00966B4B"/>
    <w:rsid w:val="009672E4"/>
    <w:rsid w:val="00967C01"/>
    <w:rsid w:val="00970503"/>
    <w:rsid w:val="00972701"/>
    <w:rsid w:val="009769E1"/>
    <w:rsid w:val="00980DB0"/>
    <w:rsid w:val="009813AD"/>
    <w:rsid w:val="0098198F"/>
    <w:rsid w:val="0098464C"/>
    <w:rsid w:val="00984B0B"/>
    <w:rsid w:val="009860E6"/>
    <w:rsid w:val="009871CF"/>
    <w:rsid w:val="00990C4D"/>
    <w:rsid w:val="00991337"/>
    <w:rsid w:val="00991958"/>
    <w:rsid w:val="00992222"/>
    <w:rsid w:val="009927D5"/>
    <w:rsid w:val="00993339"/>
    <w:rsid w:val="0099440F"/>
    <w:rsid w:val="00994EDD"/>
    <w:rsid w:val="00997361"/>
    <w:rsid w:val="00997375"/>
    <w:rsid w:val="009A1E06"/>
    <w:rsid w:val="009A66D6"/>
    <w:rsid w:val="009A6853"/>
    <w:rsid w:val="009A7541"/>
    <w:rsid w:val="009A7893"/>
    <w:rsid w:val="009A7B6C"/>
    <w:rsid w:val="009B20BD"/>
    <w:rsid w:val="009B4A52"/>
    <w:rsid w:val="009B53D2"/>
    <w:rsid w:val="009B61A1"/>
    <w:rsid w:val="009B7547"/>
    <w:rsid w:val="009B7574"/>
    <w:rsid w:val="009B76B1"/>
    <w:rsid w:val="009C0EAF"/>
    <w:rsid w:val="009C1831"/>
    <w:rsid w:val="009C1F87"/>
    <w:rsid w:val="009C2CF0"/>
    <w:rsid w:val="009C32A4"/>
    <w:rsid w:val="009C48E4"/>
    <w:rsid w:val="009C4947"/>
    <w:rsid w:val="009C55BD"/>
    <w:rsid w:val="009C5974"/>
    <w:rsid w:val="009C5AC2"/>
    <w:rsid w:val="009C5E91"/>
    <w:rsid w:val="009C67C5"/>
    <w:rsid w:val="009C6ADE"/>
    <w:rsid w:val="009C6B6F"/>
    <w:rsid w:val="009D00DF"/>
    <w:rsid w:val="009D15BF"/>
    <w:rsid w:val="009D264D"/>
    <w:rsid w:val="009D281B"/>
    <w:rsid w:val="009D371F"/>
    <w:rsid w:val="009D6F33"/>
    <w:rsid w:val="009E0C65"/>
    <w:rsid w:val="009E1375"/>
    <w:rsid w:val="009E2A55"/>
    <w:rsid w:val="009E5032"/>
    <w:rsid w:val="009E522D"/>
    <w:rsid w:val="009E7EE8"/>
    <w:rsid w:val="009F001D"/>
    <w:rsid w:val="009F3614"/>
    <w:rsid w:val="009F3745"/>
    <w:rsid w:val="00A01202"/>
    <w:rsid w:val="00A0411C"/>
    <w:rsid w:val="00A050B4"/>
    <w:rsid w:val="00A06EA9"/>
    <w:rsid w:val="00A0718C"/>
    <w:rsid w:val="00A07B27"/>
    <w:rsid w:val="00A07F79"/>
    <w:rsid w:val="00A10ACD"/>
    <w:rsid w:val="00A129F1"/>
    <w:rsid w:val="00A13A05"/>
    <w:rsid w:val="00A155AB"/>
    <w:rsid w:val="00A163D7"/>
    <w:rsid w:val="00A16D17"/>
    <w:rsid w:val="00A170E6"/>
    <w:rsid w:val="00A17A47"/>
    <w:rsid w:val="00A20D41"/>
    <w:rsid w:val="00A214A2"/>
    <w:rsid w:val="00A22012"/>
    <w:rsid w:val="00A22B73"/>
    <w:rsid w:val="00A2485E"/>
    <w:rsid w:val="00A26CF0"/>
    <w:rsid w:val="00A26FD5"/>
    <w:rsid w:val="00A27031"/>
    <w:rsid w:val="00A270EF"/>
    <w:rsid w:val="00A274D2"/>
    <w:rsid w:val="00A30490"/>
    <w:rsid w:val="00A31B09"/>
    <w:rsid w:val="00A31BC3"/>
    <w:rsid w:val="00A3255F"/>
    <w:rsid w:val="00A3304F"/>
    <w:rsid w:val="00A3400F"/>
    <w:rsid w:val="00A3436E"/>
    <w:rsid w:val="00A356E7"/>
    <w:rsid w:val="00A35934"/>
    <w:rsid w:val="00A36752"/>
    <w:rsid w:val="00A37976"/>
    <w:rsid w:val="00A37C2F"/>
    <w:rsid w:val="00A4254A"/>
    <w:rsid w:val="00A43B1C"/>
    <w:rsid w:val="00A43DF0"/>
    <w:rsid w:val="00A456DC"/>
    <w:rsid w:val="00A467CE"/>
    <w:rsid w:val="00A468E4"/>
    <w:rsid w:val="00A47C6D"/>
    <w:rsid w:val="00A514AE"/>
    <w:rsid w:val="00A5366E"/>
    <w:rsid w:val="00A54B9F"/>
    <w:rsid w:val="00A55276"/>
    <w:rsid w:val="00A553D5"/>
    <w:rsid w:val="00A55C74"/>
    <w:rsid w:val="00A5640A"/>
    <w:rsid w:val="00A56BB5"/>
    <w:rsid w:val="00A56C6B"/>
    <w:rsid w:val="00A571A1"/>
    <w:rsid w:val="00A57909"/>
    <w:rsid w:val="00A60F12"/>
    <w:rsid w:val="00A60FFF"/>
    <w:rsid w:val="00A6176B"/>
    <w:rsid w:val="00A61A2C"/>
    <w:rsid w:val="00A6306A"/>
    <w:rsid w:val="00A634CC"/>
    <w:rsid w:val="00A63890"/>
    <w:rsid w:val="00A64552"/>
    <w:rsid w:val="00A64D47"/>
    <w:rsid w:val="00A65E46"/>
    <w:rsid w:val="00A66E86"/>
    <w:rsid w:val="00A678FC"/>
    <w:rsid w:val="00A67AFD"/>
    <w:rsid w:val="00A67F01"/>
    <w:rsid w:val="00A71A08"/>
    <w:rsid w:val="00A71B7A"/>
    <w:rsid w:val="00A726FE"/>
    <w:rsid w:val="00A72CF0"/>
    <w:rsid w:val="00A75C23"/>
    <w:rsid w:val="00A76EA8"/>
    <w:rsid w:val="00A76F6C"/>
    <w:rsid w:val="00A80A4F"/>
    <w:rsid w:val="00A80E0B"/>
    <w:rsid w:val="00A81D9E"/>
    <w:rsid w:val="00A82878"/>
    <w:rsid w:val="00A83008"/>
    <w:rsid w:val="00A83CBE"/>
    <w:rsid w:val="00A847AD"/>
    <w:rsid w:val="00A91891"/>
    <w:rsid w:val="00A922D1"/>
    <w:rsid w:val="00A92C32"/>
    <w:rsid w:val="00A948BE"/>
    <w:rsid w:val="00A9613A"/>
    <w:rsid w:val="00A973B2"/>
    <w:rsid w:val="00AA0036"/>
    <w:rsid w:val="00AA0376"/>
    <w:rsid w:val="00AA0A6C"/>
    <w:rsid w:val="00AA153B"/>
    <w:rsid w:val="00AA6A3C"/>
    <w:rsid w:val="00AA73B8"/>
    <w:rsid w:val="00AB0F92"/>
    <w:rsid w:val="00AB16E8"/>
    <w:rsid w:val="00AB29B9"/>
    <w:rsid w:val="00AB39AE"/>
    <w:rsid w:val="00AB3E27"/>
    <w:rsid w:val="00AB4A81"/>
    <w:rsid w:val="00AB567E"/>
    <w:rsid w:val="00AB65A4"/>
    <w:rsid w:val="00AB65B4"/>
    <w:rsid w:val="00AB7CA8"/>
    <w:rsid w:val="00AC0747"/>
    <w:rsid w:val="00AC08A8"/>
    <w:rsid w:val="00AC1823"/>
    <w:rsid w:val="00AC24C5"/>
    <w:rsid w:val="00AC26C7"/>
    <w:rsid w:val="00AC38DB"/>
    <w:rsid w:val="00AC3943"/>
    <w:rsid w:val="00AC4317"/>
    <w:rsid w:val="00AC5EBF"/>
    <w:rsid w:val="00AC6667"/>
    <w:rsid w:val="00AC6981"/>
    <w:rsid w:val="00AC7130"/>
    <w:rsid w:val="00AC7D7B"/>
    <w:rsid w:val="00AD0BF3"/>
    <w:rsid w:val="00AD4163"/>
    <w:rsid w:val="00AD5BB7"/>
    <w:rsid w:val="00AD5C43"/>
    <w:rsid w:val="00AD791B"/>
    <w:rsid w:val="00AE11C2"/>
    <w:rsid w:val="00AE21F6"/>
    <w:rsid w:val="00AE2AEA"/>
    <w:rsid w:val="00AE3A26"/>
    <w:rsid w:val="00AE5A8A"/>
    <w:rsid w:val="00AE60A9"/>
    <w:rsid w:val="00AE665D"/>
    <w:rsid w:val="00AF06F9"/>
    <w:rsid w:val="00AF0F7D"/>
    <w:rsid w:val="00AF1B2F"/>
    <w:rsid w:val="00AF2A50"/>
    <w:rsid w:val="00AF3BDF"/>
    <w:rsid w:val="00AF5132"/>
    <w:rsid w:val="00AF6902"/>
    <w:rsid w:val="00B006F2"/>
    <w:rsid w:val="00B00BA0"/>
    <w:rsid w:val="00B012EA"/>
    <w:rsid w:val="00B035C2"/>
    <w:rsid w:val="00B0572F"/>
    <w:rsid w:val="00B06E54"/>
    <w:rsid w:val="00B070E7"/>
    <w:rsid w:val="00B11E0F"/>
    <w:rsid w:val="00B1241C"/>
    <w:rsid w:val="00B13000"/>
    <w:rsid w:val="00B13AC0"/>
    <w:rsid w:val="00B141CD"/>
    <w:rsid w:val="00B16AEA"/>
    <w:rsid w:val="00B1720A"/>
    <w:rsid w:val="00B178AB"/>
    <w:rsid w:val="00B17D49"/>
    <w:rsid w:val="00B21550"/>
    <w:rsid w:val="00B21D02"/>
    <w:rsid w:val="00B21E44"/>
    <w:rsid w:val="00B227AD"/>
    <w:rsid w:val="00B22CCA"/>
    <w:rsid w:val="00B23100"/>
    <w:rsid w:val="00B24137"/>
    <w:rsid w:val="00B30841"/>
    <w:rsid w:val="00B31FEF"/>
    <w:rsid w:val="00B3221B"/>
    <w:rsid w:val="00B325E1"/>
    <w:rsid w:val="00B338FC"/>
    <w:rsid w:val="00B33DC9"/>
    <w:rsid w:val="00B34FA7"/>
    <w:rsid w:val="00B3588C"/>
    <w:rsid w:val="00B366F2"/>
    <w:rsid w:val="00B374A9"/>
    <w:rsid w:val="00B400BB"/>
    <w:rsid w:val="00B40195"/>
    <w:rsid w:val="00B41148"/>
    <w:rsid w:val="00B43736"/>
    <w:rsid w:val="00B45C75"/>
    <w:rsid w:val="00B476A4"/>
    <w:rsid w:val="00B505A0"/>
    <w:rsid w:val="00B512AC"/>
    <w:rsid w:val="00B51820"/>
    <w:rsid w:val="00B528FB"/>
    <w:rsid w:val="00B5313E"/>
    <w:rsid w:val="00B5510A"/>
    <w:rsid w:val="00B559AA"/>
    <w:rsid w:val="00B564BC"/>
    <w:rsid w:val="00B5754C"/>
    <w:rsid w:val="00B611E7"/>
    <w:rsid w:val="00B614C7"/>
    <w:rsid w:val="00B63270"/>
    <w:rsid w:val="00B63C38"/>
    <w:rsid w:val="00B64400"/>
    <w:rsid w:val="00B64DEA"/>
    <w:rsid w:val="00B65228"/>
    <w:rsid w:val="00B65670"/>
    <w:rsid w:val="00B6757E"/>
    <w:rsid w:val="00B676E9"/>
    <w:rsid w:val="00B67AC8"/>
    <w:rsid w:val="00B70713"/>
    <w:rsid w:val="00B70CD9"/>
    <w:rsid w:val="00B7108A"/>
    <w:rsid w:val="00B71206"/>
    <w:rsid w:val="00B71319"/>
    <w:rsid w:val="00B714B7"/>
    <w:rsid w:val="00B815B2"/>
    <w:rsid w:val="00B82D7F"/>
    <w:rsid w:val="00B82E71"/>
    <w:rsid w:val="00B83493"/>
    <w:rsid w:val="00B83F84"/>
    <w:rsid w:val="00B85892"/>
    <w:rsid w:val="00B858FD"/>
    <w:rsid w:val="00B86210"/>
    <w:rsid w:val="00B86E77"/>
    <w:rsid w:val="00B8767E"/>
    <w:rsid w:val="00B90494"/>
    <w:rsid w:val="00B905C0"/>
    <w:rsid w:val="00B90FE9"/>
    <w:rsid w:val="00B9201F"/>
    <w:rsid w:val="00B928E5"/>
    <w:rsid w:val="00B9316E"/>
    <w:rsid w:val="00B940DD"/>
    <w:rsid w:val="00B94EB0"/>
    <w:rsid w:val="00B95847"/>
    <w:rsid w:val="00B96463"/>
    <w:rsid w:val="00B9646A"/>
    <w:rsid w:val="00B966ED"/>
    <w:rsid w:val="00B96E95"/>
    <w:rsid w:val="00B97652"/>
    <w:rsid w:val="00BA0696"/>
    <w:rsid w:val="00BA161F"/>
    <w:rsid w:val="00BA268A"/>
    <w:rsid w:val="00BA2761"/>
    <w:rsid w:val="00BA32AE"/>
    <w:rsid w:val="00BA3D8F"/>
    <w:rsid w:val="00BA49AE"/>
    <w:rsid w:val="00BA50E2"/>
    <w:rsid w:val="00BA5CF2"/>
    <w:rsid w:val="00BA65A5"/>
    <w:rsid w:val="00BA6F79"/>
    <w:rsid w:val="00BA70CC"/>
    <w:rsid w:val="00BA7903"/>
    <w:rsid w:val="00BA7F10"/>
    <w:rsid w:val="00BB01CD"/>
    <w:rsid w:val="00BB03F0"/>
    <w:rsid w:val="00BB05B0"/>
    <w:rsid w:val="00BB30D0"/>
    <w:rsid w:val="00BB4B13"/>
    <w:rsid w:val="00BB5A09"/>
    <w:rsid w:val="00BB5D37"/>
    <w:rsid w:val="00BB6A0B"/>
    <w:rsid w:val="00BB756B"/>
    <w:rsid w:val="00BC0B49"/>
    <w:rsid w:val="00BC15E4"/>
    <w:rsid w:val="00BC2B66"/>
    <w:rsid w:val="00BC4004"/>
    <w:rsid w:val="00BC4412"/>
    <w:rsid w:val="00BC641B"/>
    <w:rsid w:val="00BC69A4"/>
    <w:rsid w:val="00BC7B5B"/>
    <w:rsid w:val="00BD1A05"/>
    <w:rsid w:val="00BD1A47"/>
    <w:rsid w:val="00BD1B80"/>
    <w:rsid w:val="00BD1E3C"/>
    <w:rsid w:val="00BD3761"/>
    <w:rsid w:val="00BD4691"/>
    <w:rsid w:val="00BD5BC7"/>
    <w:rsid w:val="00BD5F0D"/>
    <w:rsid w:val="00BD7287"/>
    <w:rsid w:val="00BD72C3"/>
    <w:rsid w:val="00BD79D8"/>
    <w:rsid w:val="00BE02BF"/>
    <w:rsid w:val="00BE3205"/>
    <w:rsid w:val="00BE335A"/>
    <w:rsid w:val="00BE3966"/>
    <w:rsid w:val="00BE489E"/>
    <w:rsid w:val="00BE70EC"/>
    <w:rsid w:val="00BE7AF0"/>
    <w:rsid w:val="00BF02E2"/>
    <w:rsid w:val="00BF06AD"/>
    <w:rsid w:val="00BF141B"/>
    <w:rsid w:val="00BF187B"/>
    <w:rsid w:val="00BF33C1"/>
    <w:rsid w:val="00BF4409"/>
    <w:rsid w:val="00BF50D7"/>
    <w:rsid w:val="00BF5B30"/>
    <w:rsid w:val="00BF7469"/>
    <w:rsid w:val="00BF773E"/>
    <w:rsid w:val="00C02961"/>
    <w:rsid w:val="00C02B5E"/>
    <w:rsid w:val="00C0409D"/>
    <w:rsid w:val="00C04DE6"/>
    <w:rsid w:val="00C057EF"/>
    <w:rsid w:val="00C05BC0"/>
    <w:rsid w:val="00C10B0D"/>
    <w:rsid w:val="00C11A96"/>
    <w:rsid w:val="00C11D47"/>
    <w:rsid w:val="00C13082"/>
    <w:rsid w:val="00C14296"/>
    <w:rsid w:val="00C1454D"/>
    <w:rsid w:val="00C16B6E"/>
    <w:rsid w:val="00C178AB"/>
    <w:rsid w:val="00C221B7"/>
    <w:rsid w:val="00C222F0"/>
    <w:rsid w:val="00C22D05"/>
    <w:rsid w:val="00C2333D"/>
    <w:rsid w:val="00C2373A"/>
    <w:rsid w:val="00C2452C"/>
    <w:rsid w:val="00C250CB"/>
    <w:rsid w:val="00C2695D"/>
    <w:rsid w:val="00C27100"/>
    <w:rsid w:val="00C321CD"/>
    <w:rsid w:val="00C32246"/>
    <w:rsid w:val="00C33477"/>
    <w:rsid w:val="00C360E0"/>
    <w:rsid w:val="00C41693"/>
    <w:rsid w:val="00C42341"/>
    <w:rsid w:val="00C4260B"/>
    <w:rsid w:val="00C43792"/>
    <w:rsid w:val="00C450AE"/>
    <w:rsid w:val="00C451E8"/>
    <w:rsid w:val="00C4713C"/>
    <w:rsid w:val="00C50B90"/>
    <w:rsid w:val="00C50CB7"/>
    <w:rsid w:val="00C524B0"/>
    <w:rsid w:val="00C53387"/>
    <w:rsid w:val="00C5380D"/>
    <w:rsid w:val="00C546B7"/>
    <w:rsid w:val="00C565E9"/>
    <w:rsid w:val="00C5680F"/>
    <w:rsid w:val="00C56A6B"/>
    <w:rsid w:val="00C56ED2"/>
    <w:rsid w:val="00C570C2"/>
    <w:rsid w:val="00C642A4"/>
    <w:rsid w:val="00C64B15"/>
    <w:rsid w:val="00C6623A"/>
    <w:rsid w:val="00C673E2"/>
    <w:rsid w:val="00C704C9"/>
    <w:rsid w:val="00C70B6C"/>
    <w:rsid w:val="00C70C6A"/>
    <w:rsid w:val="00C74089"/>
    <w:rsid w:val="00C75746"/>
    <w:rsid w:val="00C758F5"/>
    <w:rsid w:val="00C76533"/>
    <w:rsid w:val="00C80F6C"/>
    <w:rsid w:val="00C82E9B"/>
    <w:rsid w:val="00C8520B"/>
    <w:rsid w:val="00C8533C"/>
    <w:rsid w:val="00C85653"/>
    <w:rsid w:val="00C85F50"/>
    <w:rsid w:val="00C902BB"/>
    <w:rsid w:val="00C90E85"/>
    <w:rsid w:val="00C91E6C"/>
    <w:rsid w:val="00C92E5D"/>
    <w:rsid w:val="00C93509"/>
    <w:rsid w:val="00C938F2"/>
    <w:rsid w:val="00C94B8D"/>
    <w:rsid w:val="00C9542F"/>
    <w:rsid w:val="00C95EA7"/>
    <w:rsid w:val="00C962B9"/>
    <w:rsid w:val="00C96475"/>
    <w:rsid w:val="00C9777C"/>
    <w:rsid w:val="00CA0455"/>
    <w:rsid w:val="00CA0462"/>
    <w:rsid w:val="00CA16DD"/>
    <w:rsid w:val="00CA26BF"/>
    <w:rsid w:val="00CA4A39"/>
    <w:rsid w:val="00CA4B60"/>
    <w:rsid w:val="00CA4C69"/>
    <w:rsid w:val="00CA55B1"/>
    <w:rsid w:val="00CA5662"/>
    <w:rsid w:val="00CA58CB"/>
    <w:rsid w:val="00CA5A00"/>
    <w:rsid w:val="00CA6134"/>
    <w:rsid w:val="00CA6BD6"/>
    <w:rsid w:val="00CB137C"/>
    <w:rsid w:val="00CB1403"/>
    <w:rsid w:val="00CB367C"/>
    <w:rsid w:val="00CB3E91"/>
    <w:rsid w:val="00CB4E54"/>
    <w:rsid w:val="00CB6181"/>
    <w:rsid w:val="00CB6AA7"/>
    <w:rsid w:val="00CB745F"/>
    <w:rsid w:val="00CC0848"/>
    <w:rsid w:val="00CC0CA1"/>
    <w:rsid w:val="00CC210F"/>
    <w:rsid w:val="00CC215D"/>
    <w:rsid w:val="00CC3F2F"/>
    <w:rsid w:val="00CC5302"/>
    <w:rsid w:val="00CC5ECC"/>
    <w:rsid w:val="00CC602E"/>
    <w:rsid w:val="00CC62E0"/>
    <w:rsid w:val="00CC71AE"/>
    <w:rsid w:val="00CC7902"/>
    <w:rsid w:val="00CD0EB5"/>
    <w:rsid w:val="00CD47DE"/>
    <w:rsid w:val="00CD66CF"/>
    <w:rsid w:val="00CD6D27"/>
    <w:rsid w:val="00CD6F65"/>
    <w:rsid w:val="00CD7A23"/>
    <w:rsid w:val="00CE16E0"/>
    <w:rsid w:val="00CE35A1"/>
    <w:rsid w:val="00CE3642"/>
    <w:rsid w:val="00CE5831"/>
    <w:rsid w:val="00CE7AA3"/>
    <w:rsid w:val="00CF3066"/>
    <w:rsid w:val="00CF3A26"/>
    <w:rsid w:val="00CF4911"/>
    <w:rsid w:val="00CF5581"/>
    <w:rsid w:val="00CF5E20"/>
    <w:rsid w:val="00D00585"/>
    <w:rsid w:val="00D00A6F"/>
    <w:rsid w:val="00D00D54"/>
    <w:rsid w:val="00D00DE8"/>
    <w:rsid w:val="00D01296"/>
    <w:rsid w:val="00D01FEF"/>
    <w:rsid w:val="00D03435"/>
    <w:rsid w:val="00D046DB"/>
    <w:rsid w:val="00D04C5E"/>
    <w:rsid w:val="00D04EB3"/>
    <w:rsid w:val="00D05903"/>
    <w:rsid w:val="00D05D2D"/>
    <w:rsid w:val="00D06015"/>
    <w:rsid w:val="00D063B4"/>
    <w:rsid w:val="00D06DCF"/>
    <w:rsid w:val="00D07D90"/>
    <w:rsid w:val="00D10B0D"/>
    <w:rsid w:val="00D11C16"/>
    <w:rsid w:val="00D1214E"/>
    <w:rsid w:val="00D12FE9"/>
    <w:rsid w:val="00D1356F"/>
    <w:rsid w:val="00D14F54"/>
    <w:rsid w:val="00D14FDB"/>
    <w:rsid w:val="00D150CA"/>
    <w:rsid w:val="00D156A2"/>
    <w:rsid w:val="00D15D3F"/>
    <w:rsid w:val="00D16900"/>
    <w:rsid w:val="00D17545"/>
    <w:rsid w:val="00D20BD0"/>
    <w:rsid w:val="00D20F8E"/>
    <w:rsid w:val="00D2278F"/>
    <w:rsid w:val="00D229A1"/>
    <w:rsid w:val="00D22E0D"/>
    <w:rsid w:val="00D22F09"/>
    <w:rsid w:val="00D2311D"/>
    <w:rsid w:val="00D2323B"/>
    <w:rsid w:val="00D25BA0"/>
    <w:rsid w:val="00D263B3"/>
    <w:rsid w:val="00D264D0"/>
    <w:rsid w:val="00D2707F"/>
    <w:rsid w:val="00D27605"/>
    <w:rsid w:val="00D27959"/>
    <w:rsid w:val="00D3299D"/>
    <w:rsid w:val="00D33267"/>
    <w:rsid w:val="00D34E94"/>
    <w:rsid w:val="00D360A7"/>
    <w:rsid w:val="00D3638A"/>
    <w:rsid w:val="00D36521"/>
    <w:rsid w:val="00D36EBD"/>
    <w:rsid w:val="00D401D2"/>
    <w:rsid w:val="00D4083B"/>
    <w:rsid w:val="00D42C39"/>
    <w:rsid w:val="00D43F99"/>
    <w:rsid w:val="00D44C86"/>
    <w:rsid w:val="00D451FE"/>
    <w:rsid w:val="00D4667B"/>
    <w:rsid w:val="00D46C2F"/>
    <w:rsid w:val="00D46FA4"/>
    <w:rsid w:val="00D47B12"/>
    <w:rsid w:val="00D511FE"/>
    <w:rsid w:val="00D53B43"/>
    <w:rsid w:val="00D547B6"/>
    <w:rsid w:val="00D55BF3"/>
    <w:rsid w:val="00D5631D"/>
    <w:rsid w:val="00D567F6"/>
    <w:rsid w:val="00D5710F"/>
    <w:rsid w:val="00D57CD9"/>
    <w:rsid w:val="00D61300"/>
    <w:rsid w:val="00D6263A"/>
    <w:rsid w:val="00D62AA3"/>
    <w:rsid w:val="00D62DF9"/>
    <w:rsid w:val="00D65688"/>
    <w:rsid w:val="00D668BA"/>
    <w:rsid w:val="00D67274"/>
    <w:rsid w:val="00D67B62"/>
    <w:rsid w:val="00D70100"/>
    <w:rsid w:val="00D74708"/>
    <w:rsid w:val="00D74AA5"/>
    <w:rsid w:val="00D75B6D"/>
    <w:rsid w:val="00D77317"/>
    <w:rsid w:val="00D77566"/>
    <w:rsid w:val="00D77B37"/>
    <w:rsid w:val="00D80719"/>
    <w:rsid w:val="00D80B01"/>
    <w:rsid w:val="00D81BEC"/>
    <w:rsid w:val="00D82471"/>
    <w:rsid w:val="00D83E1B"/>
    <w:rsid w:val="00D84838"/>
    <w:rsid w:val="00D85ABD"/>
    <w:rsid w:val="00D85EF5"/>
    <w:rsid w:val="00D90DB4"/>
    <w:rsid w:val="00D9154E"/>
    <w:rsid w:val="00D92E94"/>
    <w:rsid w:val="00D93523"/>
    <w:rsid w:val="00D93F8A"/>
    <w:rsid w:val="00D94283"/>
    <w:rsid w:val="00D954CF"/>
    <w:rsid w:val="00D95919"/>
    <w:rsid w:val="00D975E8"/>
    <w:rsid w:val="00DA05E8"/>
    <w:rsid w:val="00DA1F96"/>
    <w:rsid w:val="00DA257C"/>
    <w:rsid w:val="00DA260D"/>
    <w:rsid w:val="00DA3119"/>
    <w:rsid w:val="00DA371A"/>
    <w:rsid w:val="00DA39C5"/>
    <w:rsid w:val="00DA4A0D"/>
    <w:rsid w:val="00DA52ED"/>
    <w:rsid w:val="00DA621C"/>
    <w:rsid w:val="00DA6B2C"/>
    <w:rsid w:val="00DB011F"/>
    <w:rsid w:val="00DB0471"/>
    <w:rsid w:val="00DB20BD"/>
    <w:rsid w:val="00DB2D95"/>
    <w:rsid w:val="00DB393E"/>
    <w:rsid w:val="00DB405E"/>
    <w:rsid w:val="00DB4896"/>
    <w:rsid w:val="00DB535A"/>
    <w:rsid w:val="00DB5A55"/>
    <w:rsid w:val="00DB6186"/>
    <w:rsid w:val="00DB6227"/>
    <w:rsid w:val="00DB625D"/>
    <w:rsid w:val="00DB6A8C"/>
    <w:rsid w:val="00DB783D"/>
    <w:rsid w:val="00DC05C1"/>
    <w:rsid w:val="00DC0975"/>
    <w:rsid w:val="00DC37ED"/>
    <w:rsid w:val="00DC3E91"/>
    <w:rsid w:val="00DC4038"/>
    <w:rsid w:val="00DC4263"/>
    <w:rsid w:val="00DC4E87"/>
    <w:rsid w:val="00DC667C"/>
    <w:rsid w:val="00DC6908"/>
    <w:rsid w:val="00DC7319"/>
    <w:rsid w:val="00DD0BA5"/>
    <w:rsid w:val="00DD36C0"/>
    <w:rsid w:val="00DD39A4"/>
    <w:rsid w:val="00DD4219"/>
    <w:rsid w:val="00DD5A7A"/>
    <w:rsid w:val="00DD6781"/>
    <w:rsid w:val="00DD6FB7"/>
    <w:rsid w:val="00DD7BA9"/>
    <w:rsid w:val="00DE14FA"/>
    <w:rsid w:val="00DE1DED"/>
    <w:rsid w:val="00DE264C"/>
    <w:rsid w:val="00DE4987"/>
    <w:rsid w:val="00DE5628"/>
    <w:rsid w:val="00DE6AD2"/>
    <w:rsid w:val="00DE6E1C"/>
    <w:rsid w:val="00DE7635"/>
    <w:rsid w:val="00DF02F6"/>
    <w:rsid w:val="00DF57BC"/>
    <w:rsid w:val="00DF6189"/>
    <w:rsid w:val="00E008D5"/>
    <w:rsid w:val="00E016A0"/>
    <w:rsid w:val="00E03020"/>
    <w:rsid w:val="00E03491"/>
    <w:rsid w:val="00E04753"/>
    <w:rsid w:val="00E04D09"/>
    <w:rsid w:val="00E0544B"/>
    <w:rsid w:val="00E05E8E"/>
    <w:rsid w:val="00E12C39"/>
    <w:rsid w:val="00E13871"/>
    <w:rsid w:val="00E143B2"/>
    <w:rsid w:val="00E15BB4"/>
    <w:rsid w:val="00E16A37"/>
    <w:rsid w:val="00E16CF8"/>
    <w:rsid w:val="00E16DC7"/>
    <w:rsid w:val="00E16FCA"/>
    <w:rsid w:val="00E1777A"/>
    <w:rsid w:val="00E20905"/>
    <w:rsid w:val="00E230F5"/>
    <w:rsid w:val="00E23437"/>
    <w:rsid w:val="00E24B32"/>
    <w:rsid w:val="00E24B43"/>
    <w:rsid w:val="00E32B42"/>
    <w:rsid w:val="00E33FB4"/>
    <w:rsid w:val="00E35168"/>
    <w:rsid w:val="00E35802"/>
    <w:rsid w:val="00E35DD8"/>
    <w:rsid w:val="00E36FE2"/>
    <w:rsid w:val="00E3716E"/>
    <w:rsid w:val="00E40EB5"/>
    <w:rsid w:val="00E414E7"/>
    <w:rsid w:val="00E4261B"/>
    <w:rsid w:val="00E44753"/>
    <w:rsid w:val="00E451C9"/>
    <w:rsid w:val="00E45A19"/>
    <w:rsid w:val="00E45EB6"/>
    <w:rsid w:val="00E47BA2"/>
    <w:rsid w:val="00E51F41"/>
    <w:rsid w:val="00E52B45"/>
    <w:rsid w:val="00E52F3B"/>
    <w:rsid w:val="00E5329A"/>
    <w:rsid w:val="00E53B7A"/>
    <w:rsid w:val="00E53FE0"/>
    <w:rsid w:val="00E541C5"/>
    <w:rsid w:val="00E54257"/>
    <w:rsid w:val="00E54A87"/>
    <w:rsid w:val="00E56DFA"/>
    <w:rsid w:val="00E5706C"/>
    <w:rsid w:val="00E571CC"/>
    <w:rsid w:val="00E572A0"/>
    <w:rsid w:val="00E57D09"/>
    <w:rsid w:val="00E6158B"/>
    <w:rsid w:val="00E6397B"/>
    <w:rsid w:val="00E63ACD"/>
    <w:rsid w:val="00E63F18"/>
    <w:rsid w:val="00E64B26"/>
    <w:rsid w:val="00E65CE6"/>
    <w:rsid w:val="00E663B5"/>
    <w:rsid w:val="00E6661F"/>
    <w:rsid w:val="00E673D2"/>
    <w:rsid w:val="00E701E0"/>
    <w:rsid w:val="00E7023D"/>
    <w:rsid w:val="00E71245"/>
    <w:rsid w:val="00E72220"/>
    <w:rsid w:val="00E722AE"/>
    <w:rsid w:val="00E73235"/>
    <w:rsid w:val="00E73C95"/>
    <w:rsid w:val="00E74213"/>
    <w:rsid w:val="00E75DDD"/>
    <w:rsid w:val="00E76387"/>
    <w:rsid w:val="00E76BB8"/>
    <w:rsid w:val="00E76CD9"/>
    <w:rsid w:val="00E7733D"/>
    <w:rsid w:val="00E80549"/>
    <w:rsid w:val="00E83BD8"/>
    <w:rsid w:val="00E83FF3"/>
    <w:rsid w:val="00E84230"/>
    <w:rsid w:val="00E849C6"/>
    <w:rsid w:val="00E84EBD"/>
    <w:rsid w:val="00E85272"/>
    <w:rsid w:val="00E85CF1"/>
    <w:rsid w:val="00E91B21"/>
    <w:rsid w:val="00E91E19"/>
    <w:rsid w:val="00E92D9C"/>
    <w:rsid w:val="00E94CCC"/>
    <w:rsid w:val="00E95106"/>
    <w:rsid w:val="00E97002"/>
    <w:rsid w:val="00EA023E"/>
    <w:rsid w:val="00EA0EBF"/>
    <w:rsid w:val="00EA0F0F"/>
    <w:rsid w:val="00EA2B5F"/>
    <w:rsid w:val="00EA2E60"/>
    <w:rsid w:val="00EA3239"/>
    <w:rsid w:val="00EA7ACB"/>
    <w:rsid w:val="00EB132E"/>
    <w:rsid w:val="00EB3422"/>
    <w:rsid w:val="00EB3976"/>
    <w:rsid w:val="00EB3D1C"/>
    <w:rsid w:val="00EB6403"/>
    <w:rsid w:val="00EB76E1"/>
    <w:rsid w:val="00EB79CE"/>
    <w:rsid w:val="00EC062F"/>
    <w:rsid w:val="00EC0716"/>
    <w:rsid w:val="00EC0B2E"/>
    <w:rsid w:val="00EC0C30"/>
    <w:rsid w:val="00EC0F6A"/>
    <w:rsid w:val="00EC452A"/>
    <w:rsid w:val="00EC50CE"/>
    <w:rsid w:val="00EC6956"/>
    <w:rsid w:val="00EC7AF1"/>
    <w:rsid w:val="00ED1CC5"/>
    <w:rsid w:val="00ED25AA"/>
    <w:rsid w:val="00ED40DB"/>
    <w:rsid w:val="00ED47C6"/>
    <w:rsid w:val="00ED74EC"/>
    <w:rsid w:val="00ED79BB"/>
    <w:rsid w:val="00EE0957"/>
    <w:rsid w:val="00EE0E4E"/>
    <w:rsid w:val="00EE1F4F"/>
    <w:rsid w:val="00EE22EF"/>
    <w:rsid w:val="00EE36AC"/>
    <w:rsid w:val="00EE44E3"/>
    <w:rsid w:val="00EE6320"/>
    <w:rsid w:val="00EE796C"/>
    <w:rsid w:val="00EF000A"/>
    <w:rsid w:val="00EF06A1"/>
    <w:rsid w:val="00EF0715"/>
    <w:rsid w:val="00EF0B7C"/>
    <w:rsid w:val="00EF0B95"/>
    <w:rsid w:val="00EF1732"/>
    <w:rsid w:val="00EF3ABF"/>
    <w:rsid w:val="00EF50DA"/>
    <w:rsid w:val="00EF61A8"/>
    <w:rsid w:val="00EF636A"/>
    <w:rsid w:val="00EF6795"/>
    <w:rsid w:val="00EF71C6"/>
    <w:rsid w:val="00EF776D"/>
    <w:rsid w:val="00F00C2F"/>
    <w:rsid w:val="00F00D61"/>
    <w:rsid w:val="00F03412"/>
    <w:rsid w:val="00F05C67"/>
    <w:rsid w:val="00F05DFB"/>
    <w:rsid w:val="00F076D0"/>
    <w:rsid w:val="00F07AA2"/>
    <w:rsid w:val="00F11FE7"/>
    <w:rsid w:val="00F1210C"/>
    <w:rsid w:val="00F142BF"/>
    <w:rsid w:val="00F1508D"/>
    <w:rsid w:val="00F17CAF"/>
    <w:rsid w:val="00F20CA0"/>
    <w:rsid w:val="00F225FB"/>
    <w:rsid w:val="00F230D0"/>
    <w:rsid w:val="00F24999"/>
    <w:rsid w:val="00F30663"/>
    <w:rsid w:val="00F30F6D"/>
    <w:rsid w:val="00F31921"/>
    <w:rsid w:val="00F32DEB"/>
    <w:rsid w:val="00F336F6"/>
    <w:rsid w:val="00F34849"/>
    <w:rsid w:val="00F34969"/>
    <w:rsid w:val="00F35301"/>
    <w:rsid w:val="00F35574"/>
    <w:rsid w:val="00F35860"/>
    <w:rsid w:val="00F35E84"/>
    <w:rsid w:val="00F36C1D"/>
    <w:rsid w:val="00F40D1C"/>
    <w:rsid w:val="00F40E54"/>
    <w:rsid w:val="00F42C01"/>
    <w:rsid w:val="00F45261"/>
    <w:rsid w:val="00F45DCA"/>
    <w:rsid w:val="00F47064"/>
    <w:rsid w:val="00F5068B"/>
    <w:rsid w:val="00F51D0F"/>
    <w:rsid w:val="00F5243D"/>
    <w:rsid w:val="00F54BB3"/>
    <w:rsid w:val="00F570F0"/>
    <w:rsid w:val="00F574D6"/>
    <w:rsid w:val="00F5755F"/>
    <w:rsid w:val="00F61403"/>
    <w:rsid w:val="00F62807"/>
    <w:rsid w:val="00F647CA"/>
    <w:rsid w:val="00F6573A"/>
    <w:rsid w:val="00F65B96"/>
    <w:rsid w:val="00F65DEA"/>
    <w:rsid w:val="00F6793B"/>
    <w:rsid w:val="00F67E1B"/>
    <w:rsid w:val="00F70927"/>
    <w:rsid w:val="00F7230A"/>
    <w:rsid w:val="00F731D3"/>
    <w:rsid w:val="00F732FD"/>
    <w:rsid w:val="00F74FED"/>
    <w:rsid w:val="00F75245"/>
    <w:rsid w:val="00F75E9C"/>
    <w:rsid w:val="00F77B6A"/>
    <w:rsid w:val="00F8018E"/>
    <w:rsid w:val="00F80FD6"/>
    <w:rsid w:val="00F811CF"/>
    <w:rsid w:val="00F81CC5"/>
    <w:rsid w:val="00F821D2"/>
    <w:rsid w:val="00F8323E"/>
    <w:rsid w:val="00F83F5D"/>
    <w:rsid w:val="00F85642"/>
    <w:rsid w:val="00F872CB"/>
    <w:rsid w:val="00F87FE4"/>
    <w:rsid w:val="00F9094D"/>
    <w:rsid w:val="00F91161"/>
    <w:rsid w:val="00F91980"/>
    <w:rsid w:val="00F92B35"/>
    <w:rsid w:val="00F95387"/>
    <w:rsid w:val="00F9628C"/>
    <w:rsid w:val="00F96808"/>
    <w:rsid w:val="00F968DD"/>
    <w:rsid w:val="00F972DC"/>
    <w:rsid w:val="00FA0B00"/>
    <w:rsid w:val="00FA194A"/>
    <w:rsid w:val="00FA2139"/>
    <w:rsid w:val="00FA63D5"/>
    <w:rsid w:val="00FA6990"/>
    <w:rsid w:val="00FA6E22"/>
    <w:rsid w:val="00FA7099"/>
    <w:rsid w:val="00FA7F74"/>
    <w:rsid w:val="00FB0335"/>
    <w:rsid w:val="00FB187C"/>
    <w:rsid w:val="00FB18B2"/>
    <w:rsid w:val="00FB1C09"/>
    <w:rsid w:val="00FB2992"/>
    <w:rsid w:val="00FB2AF3"/>
    <w:rsid w:val="00FB3929"/>
    <w:rsid w:val="00FB3C46"/>
    <w:rsid w:val="00FB3CE5"/>
    <w:rsid w:val="00FB3F3B"/>
    <w:rsid w:val="00FB51E5"/>
    <w:rsid w:val="00FB6B35"/>
    <w:rsid w:val="00FB6B9E"/>
    <w:rsid w:val="00FB6FD1"/>
    <w:rsid w:val="00FB777B"/>
    <w:rsid w:val="00FC0CF8"/>
    <w:rsid w:val="00FC0EF5"/>
    <w:rsid w:val="00FC1A71"/>
    <w:rsid w:val="00FC31A7"/>
    <w:rsid w:val="00FC5611"/>
    <w:rsid w:val="00FC5F8C"/>
    <w:rsid w:val="00FC6ED6"/>
    <w:rsid w:val="00FC72E0"/>
    <w:rsid w:val="00FC78E1"/>
    <w:rsid w:val="00FC79B6"/>
    <w:rsid w:val="00FD1CCB"/>
    <w:rsid w:val="00FD74DC"/>
    <w:rsid w:val="00FE130F"/>
    <w:rsid w:val="00FE1DDC"/>
    <w:rsid w:val="00FE1FB3"/>
    <w:rsid w:val="00FE230F"/>
    <w:rsid w:val="00FE2767"/>
    <w:rsid w:val="00FE4163"/>
    <w:rsid w:val="00FE46CC"/>
    <w:rsid w:val="00FE66EF"/>
    <w:rsid w:val="00FE7AA0"/>
    <w:rsid w:val="00FF0DCF"/>
    <w:rsid w:val="00FF5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BC4004"/>
    <w:pPr>
      <w:keepNext/>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1B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871B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locked/>
    <w:rsid w:val="00A163D7"/>
    <w:rPr>
      <w:rFonts w:cs="Times New Roman"/>
      <w:b/>
    </w:rPr>
  </w:style>
  <w:style w:type="character" w:customStyle="1" w:styleId="Heading4Char">
    <w:name w:val="Heading 4 Char"/>
    <w:aliases w:val="Heading 4 (business proposal only) Char"/>
    <w:basedOn w:val="DefaultParagraphFont"/>
    <w:link w:val="Heading4"/>
    <w:uiPriority w:val="99"/>
    <w:locked/>
    <w:rsid w:val="00BC4004"/>
    <w:rPr>
      <w:rFonts w:cs="Times New Roman"/>
      <w:b/>
    </w:rPr>
  </w:style>
  <w:style w:type="character" w:customStyle="1" w:styleId="Heading5Char">
    <w:name w:val="Heading 5 Char"/>
    <w:aliases w:val="Heading 5 (business proposal only) Char"/>
    <w:basedOn w:val="DefaultParagraphFont"/>
    <w:link w:val="Heading5"/>
    <w:uiPriority w:val="9"/>
    <w:semiHidden/>
    <w:rsid w:val="005871BD"/>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5871BD"/>
    <w:rPr>
      <w:rFonts w:ascii="Calibri" w:eastAsia="Times New Roman" w:hAnsi="Calibri" w:cs="Times New Roman"/>
      <w:b/>
      <w:bCs/>
    </w:rPr>
  </w:style>
  <w:style w:type="character" w:customStyle="1" w:styleId="Heading7Char">
    <w:name w:val="Heading 7 Char"/>
    <w:aliases w:val="Heading 7 (business proposal only) Char"/>
    <w:basedOn w:val="DefaultParagraphFont"/>
    <w:link w:val="Heading7"/>
    <w:uiPriority w:val="9"/>
    <w:semiHidden/>
    <w:rsid w:val="005871BD"/>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uiPriority w:val="9"/>
    <w:semiHidden/>
    <w:rsid w:val="005871BD"/>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
    <w:semiHidden/>
    <w:rsid w:val="005871BD"/>
    <w:rPr>
      <w:rFonts w:ascii="Cambria" w:eastAsia="Times New Roman" w:hAnsi="Cambria" w:cs="Times New Roman"/>
    </w:rPr>
  </w:style>
  <w:style w:type="paragraph" w:styleId="TOC1">
    <w:name w:val="toc 1"/>
    <w:basedOn w:val="Normal"/>
    <w:next w:val="Normalcontinued"/>
    <w:autoRedefine/>
    <w:uiPriority w:val="99"/>
    <w:rsid w:val="00DD7BA9"/>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link w:val="NormalSSChar"/>
    <w:uiPriority w:val="99"/>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rsid w:val="005871BD"/>
    <w:rPr>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C2007"/>
    <w:pPr>
      <w:tabs>
        <w:tab w:val="clear" w:pos="432"/>
        <w:tab w:val="left" w:pos="1008"/>
        <w:tab w:val="left" w:pos="1440"/>
        <w:tab w:val="left" w:pos="1917"/>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8C2007"/>
    <w:pPr>
      <w:tabs>
        <w:tab w:val="clear" w:pos="432"/>
        <w:tab w:val="left" w:pos="1440"/>
        <w:tab w:val="left" w:pos="2390"/>
        <w:tab w:val="right" w:leader="dot" w:pos="9360"/>
      </w:tabs>
      <w:spacing w:line="240" w:lineRule="auto"/>
      <w:ind w:left="2390" w:right="360" w:hanging="475"/>
      <w:jc w:val="left"/>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character" w:customStyle="1" w:styleId="FootnoteTextChar">
    <w:name w:val="Footnote Text Char"/>
    <w:basedOn w:val="DefaultParagraphFont"/>
    <w:link w:val="FootnoteText"/>
    <w:rsid w:val="005871BD"/>
    <w:rPr>
      <w:sz w:val="20"/>
      <w:szCs w:val="20"/>
    </w:rPr>
  </w:style>
  <w:style w:type="paragraph" w:customStyle="1" w:styleId="Dash">
    <w:name w:val="Dash"/>
    <w:qFormat/>
    <w:rsid w:val="00850CF2"/>
    <w:pPr>
      <w:numPr>
        <w:numId w:val="2"/>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tabs>
        <w:tab w:val="clear" w:pos="432"/>
        <w:tab w:val="left" w:pos="360"/>
      </w:tabs>
      <w:spacing w:after="120" w:line="240" w:lineRule="auto"/>
      <w:ind w:right="360" w:firstLine="0"/>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rsid w:val="005871BD"/>
    <w:rPr>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qFormat/>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1"/>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qFormat/>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qFormat/>
    <w:rsid w:val="009A1E06"/>
    <w:pPr>
      <w:numPr>
        <w:numId w:val="3"/>
      </w:numPr>
      <w:tabs>
        <w:tab w:val="clear" w:pos="432"/>
        <w:tab w:val="left" w:pos="360"/>
      </w:tabs>
      <w:spacing w:after="120" w:line="240" w:lineRule="auto"/>
      <w:ind w:left="792" w:right="360"/>
    </w:pPr>
  </w:style>
  <w:style w:type="paragraph" w:customStyle="1" w:styleId="BulletRed">
    <w:name w:val="Bullet_Red"/>
    <w:basedOn w:val="BulletBlack"/>
    <w:uiPriority w:val="99"/>
    <w:rsid w:val="00AC5EBF"/>
    <w:pPr>
      <w:numPr>
        <w:numId w:val="6"/>
      </w:numPr>
      <w:ind w:left="720" w:hanging="288"/>
    </w:pPr>
  </w:style>
  <w:style w:type="paragraph" w:customStyle="1" w:styleId="BulletBlue">
    <w:name w:val="Bullet_Blue"/>
    <w:basedOn w:val="BulletBlack"/>
    <w:uiPriority w:val="99"/>
    <w:rsid w:val="00C2452C"/>
    <w:pPr>
      <w:numPr>
        <w:numId w:val="4"/>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7"/>
      </w:numPr>
      <w:ind w:left="720" w:hanging="288"/>
    </w:pPr>
  </w:style>
  <w:style w:type="paragraph" w:customStyle="1" w:styleId="BulletBlueLastSS">
    <w:name w:val="Bullet_Blue (Last SS)"/>
    <w:basedOn w:val="BulletBlackLastSS"/>
    <w:next w:val="NormalSS"/>
    <w:uiPriority w:val="99"/>
    <w:rsid w:val="00C2452C"/>
    <w:pPr>
      <w:numPr>
        <w:numId w:val="5"/>
      </w:numPr>
      <w:ind w:left="720" w:hanging="288"/>
    </w:pPr>
  </w:style>
  <w:style w:type="paragraph" w:customStyle="1" w:styleId="BulletBlackLastDS">
    <w:name w:val="Bullet_Black (Last DS)"/>
    <w:basedOn w:val="BulletBlackLastSS"/>
    <w:next w:val="Normal"/>
    <w:uiPriority w:val="99"/>
    <w:rsid w:val="009A1E06"/>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8"/>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Bullet">
    <w:name w:val="Bullet"/>
    <w:uiPriority w:val="99"/>
    <w:rsid w:val="00A163D7"/>
    <w:pPr>
      <w:numPr>
        <w:numId w:val="10"/>
      </w:numPr>
      <w:spacing w:after="180"/>
      <w:ind w:right="360"/>
      <w:jc w:val="both"/>
    </w:pPr>
    <w:rPr>
      <w:rFonts w:ascii="Times New Roman" w:hAnsi="Times New Roman"/>
      <w:sz w:val="24"/>
    </w:rPr>
  </w:style>
  <w:style w:type="character" w:styleId="CommentReference">
    <w:name w:val="annotation reference"/>
    <w:basedOn w:val="DefaultParagraphFont"/>
    <w:uiPriority w:val="99"/>
    <w:semiHidden/>
    <w:rsid w:val="00A163D7"/>
    <w:rPr>
      <w:rFonts w:cs="Times New Roman"/>
      <w:sz w:val="16"/>
      <w:szCs w:val="16"/>
    </w:rPr>
  </w:style>
  <w:style w:type="paragraph" w:styleId="CommentText">
    <w:name w:val="annotation text"/>
    <w:basedOn w:val="Normal"/>
    <w:link w:val="CommentTextChar"/>
    <w:uiPriority w:val="99"/>
    <w:semiHidden/>
    <w:rsid w:val="00A163D7"/>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semiHidden/>
    <w:locked/>
    <w:rsid w:val="00A163D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163D7"/>
    <w:pPr>
      <w:tabs>
        <w:tab w:val="left" w:pos="432"/>
      </w:tabs>
      <w:spacing w:after="0"/>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A163D7"/>
    <w:rPr>
      <w:b/>
      <w:bCs/>
    </w:rPr>
  </w:style>
  <w:style w:type="character" w:styleId="Emphasis">
    <w:name w:val="Emphasis"/>
    <w:basedOn w:val="DefaultParagraphFont"/>
    <w:uiPriority w:val="99"/>
    <w:qFormat/>
    <w:rsid w:val="00A163D7"/>
    <w:rPr>
      <w:rFonts w:cs="Times New Roman"/>
      <w:i/>
    </w:rPr>
  </w:style>
  <w:style w:type="paragraph" w:styleId="Revision">
    <w:name w:val="Revision"/>
    <w:hidden/>
    <w:uiPriority w:val="99"/>
    <w:semiHidden/>
    <w:rsid w:val="00A163D7"/>
    <w:rPr>
      <w:sz w:val="24"/>
      <w:szCs w:val="24"/>
    </w:rPr>
  </w:style>
  <w:style w:type="paragraph" w:customStyle="1" w:styleId="Default">
    <w:name w:val="Default"/>
    <w:uiPriority w:val="99"/>
    <w:rsid w:val="00A163D7"/>
    <w:pPr>
      <w:autoSpaceDE w:val="0"/>
      <w:autoSpaceDN w:val="0"/>
      <w:adjustRightInd w:val="0"/>
    </w:pPr>
    <w:rPr>
      <w:rFonts w:ascii="Arial" w:hAnsi="Arial" w:cs="Arial"/>
      <w:color w:val="000000"/>
      <w:sz w:val="24"/>
      <w:szCs w:val="24"/>
    </w:rPr>
  </w:style>
  <w:style w:type="paragraph" w:customStyle="1" w:styleId="Gnormal">
    <w:name w:val="G_normal"/>
    <w:basedOn w:val="Normal"/>
    <w:uiPriority w:val="99"/>
    <w:rsid w:val="00A163D7"/>
    <w:pPr>
      <w:spacing w:after="120" w:line="240" w:lineRule="auto"/>
    </w:pPr>
    <w:rPr>
      <w:szCs w:val="20"/>
    </w:rPr>
  </w:style>
  <w:style w:type="paragraph" w:customStyle="1" w:styleId="ParagraphSSLAST">
    <w:name w:val="ParagraphSS (LAST)"/>
    <w:basedOn w:val="NormalSS"/>
    <w:next w:val="Normal"/>
    <w:uiPriority w:val="99"/>
    <w:rsid w:val="00E83BD8"/>
    <w:pPr>
      <w:spacing w:after="480"/>
    </w:pPr>
    <w:rPr>
      <w:rFonts w:ascii="Times New Roman" w:hAnsi="Times New Roman"/>
    </w:rPr>
  </w:style>
  <w:style w:type="paragraph" w:styleId="BodyTextIndent2">
    <w:name w:val="Body Text Indent 2"/>
    <w:basedOn w:val="Normal"/>
    <w:link w:val="BodyTextIndent2Char"/>
    <w:uiPriority w:val="99"/>
    <w:rsid w:val="001D476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hanging="432"/>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1D4764"/>
    <w:rPr>
      <w:rFonts w:ascii="Times New Roman" w:hAnsi="Times New Roman" w:cs="Times New Roman"/>
      <w:sz w:val="20"/>
      <w:szCs w:val="20"/>
    </w:rPr>
  </w:style>
  <w:style w:type="character" w:styleId="Strong">
    <w:name w:val="Strong"/>
    <w:basedOn w:val="DefaultParagraphFont"/>
    <w:uiPriority w:val="99"/>
    <w:qFormat/>
    <w:rsid w:val="005B77CD"/>
    <w:rPr>
      <w:rFonts w:cs="Times New Roman"/>
      <w:b/>
      <w:bCs/>
    </w:rPr>
  </w:style>
  <w:style w:type="paragraph" w:customStyle="1" w:styleId="ParagraphLASTSS">
    <w:name w:val="Paragraph (LAST SS)"/>
    <w:basedOn w:val="ParagraphLAST"/>
    <w:uiPriority w:val="99"/>
    <w:rsid w:val="005B77CD"/>
    <w:pPr>
      <w:spacing w:after="480" w:line="240" w:lineRule="auto"/>
    </w:pPr>
    <w:rPr>
      <w:rFonts w:ascii="Times New Roman" w:hAnsi="Times New Roman"/>
      <w:szCs w:val="20"/>
    </w:rPr>
  </w:style>
  <w:style w:type="paragraph" w:styleId="NormalWeb">
    <w:name w:val="Normal (Web)"/>
    <w:basedOn w:val="Normal"/>
    <w:uiPriority w:val="99"/>
    <w:semiHidden/>
    <w:rsid w:val="00162D2B"/>
    <w:pPr>
      <w:tabs>
        <w:tab w:val="clear" w:pos="432"/>
      </w:tabs>
      <w:spacing w:before="100" w:beforeAutospacing="1" w:after="100" w:afterAutospacing="1" w:line="240" w:lineRule="auto"/>
      <w:ind w:firstLine="0"/>
      <w:jc w:val="left"/>
    </w:pPr>
    <w:rPr>
      <w:rFonts w:ascii="Times New Roman" w:hAnsi="Times New Roman"/>
    </w:rPr>
  </w:style>
  <w:style w:type="character" w:styleId="Hyperlink">
    <w:name w:val="Hyperlink"/>
    <w:basedOn w:val="DefaultParagraphFont"/>
    <w:uiPriority w:val="99"/>
    <w:rsid w:val="00162D2B"/>
    <w:rPr>
      <w:rFonts w:cs="Times New Roman"/>
      <w:color w:val="0000FF"/>
      <w:u w:val="single"/>
    </w:rPr>
  </w:style>
  <w:style w:type="paragraph" w:customStyle="1" w:styleId="NormalSS12continued">
    <w:name w:val="NormalSS 12 (continued)"/>
    <w:basedOn w:val="Normal"/>
    <w:uiPriority w:val="99"/>
    <w:rsid w:val="000226E4"/>
    <w:pPr>
      <w:spacing w:after="240" w:line="240" w:lineRule="auto"/>
      <w:ind w:firstLine="0"/>
    </w:pPr>
    <w:rPr>
      <w:rFonts w:ascii="Times New Roman" w:hAnsi="Times New Roman"/>
    </w:rPr>
  </w:style>
  <w:style w:type="paragraph" w:customStyle="1" w:styleId="BulletLAST">
    <w:name w:val="Bullet (LAST)"/>
    <w:basedOn w:val="Bullet"/>
    <w:next w:val="Normal"/>
    <w:uiPriority w:val="99"/>
    <w:rsid w:val="00344B38"/>
    <w:pPr>
      <w:numPr>
        <w:numId w:val="0"/>
      </w:numPr>
      <w:tabs>
        <w:tab w:val="num" w:pos="360"/>
      </w:tabs>
      <w:spacing w:after="480"/>
    </w:pPr>
    <w:rPr>
      <w:szCs w:val="24"/>
    </w:rPr>
  </w:style>
  <w:style w:type="character" w:customStyle="1" w:styleId="NormalSSChar">
    <w:name w:val="NormalSS Char"/>
    <w:basedOn w:val="DefaultParagraphFont"/>
    <w:link w:val="NormalSS"/>
    <w:uiPriority w:val="99"/>
    <w:locked/>
    <w:rsid w:val="006221F3"/>
    <w:rPr>
      <w:rFonts w:cs="Times New Roman"/>
    </w:rPr>
  </w:style>
  <w:style w:type="paragraph" w:customStyle="1" w:styleId="Center">
    <w:name w:val="Center"/>
    <w:basedOn w:val="Normal"/>
    <w:uiPriority w:val="99"/>
    <w:rsid w:val="00E35168"/>
    <w:pPr>
      <w:spacing w:after="240" w:line="240" w:lineRule="auto"/>
      <w:ind w:firstLine="0"/>
      <w:jc w:val="center"/>
    </w:pPr>
    <w:rPr>
      <w:position w:val="-14"/>
    </w:rPr>
  </w:style>
  <w:style w:type="paragraph" w:customStyle="1" w:styleId="Heading1BlueNOHEAD">
    <w:name w:val="Heading 1_Blue NO HEAD"/>
    <w:basedOn w:val="Heading1Blue"/>
    <w:uiPriority w:val="99"/>
    <w:rsid w:val="000F5701"/>
    <w:pPr>
      <w:tabs>
        <w:tab w:val="clear" w:pos="432"/>
        <w:tab w:val="left" w:pos="1080"/>
      </w:tabs>
      <w:spacing w:before="0"/>
      <w:jc w:val="left"/>
    </w:pPr>
  </w:style>
  <w:style w:type="paragraph" w:customStyle="1" w:styleId="TOC3LAST">
    <w:name w:val="TOC 3 (LAST)"/>
    <w:basedOn w:val="TOC3"/>
    <w:uiPriority w:val="99"/>
    <w:rsid w:val="003066FA"/>
    <w:pPr>
      <w:spacing w:after="240"/>
    </w:pPr>
    <w:rPr>
      <w:noProof/>
    </w:rPr>
  </w:style>
  <w:style w:type="paragraph" w:customStyle="1" w:styleId="APPENDIX">
    <w:name w:val="APPENDIX"/>
    <w:basedOn w:val="NormalSScontinued"/>
    <w:uiPriority w:val="99"/>
    <w:rsid w:val="003066FA"/>
    <w:pPr>
      <w:tabs>
        <w:tab w:val="clear" w:pos="432"/>
      </w:tabs>
      <w:spacing w:after="0"/>
      <w:ind w:left="1530" w:hanging="1530"/>
    </w:pPr>
    <w:rPr>
      <w:rFonts w:ascii="Lucida Sans" w:hAnsi="Lucida Sans"/>
      <w:b/>
      <w:sz w:val="22"/>
      <w:szCs w:val="22"/>
    </w:rPr>
  </w:style>
  <w:style w:type="paragraph" w:customStyle="1" w:styleId="OMBHeading1Blue">
    <w:name w:val="OMB Heading 1_Blue"/>
    <w:basedOn w:val="Heading1Blue"/>
    <w:uiPriority w:val="99"/>
    <w:rsid w:val="00215A0C"/>
    <w:pPr>
      <w:spacing w:before="0"/>
      <w:jc w:val="left"/>
    </w:pPr>
  </w:style>
  <w:style w:type="paragraph" w:customStyle="1" w:styleId="OMBHeading1BlueNOHEAD">
    <w:name w:val="OMB Heading 1_Blue NO HEAD"/>
    <w:basedOn w:val="Heading1BlueNOHEAD"/>
    <w:uiPriority w:val="99"/>
    <w:rsid w:val="00215A0C"/>
    <w:pPr>
      <w:spacing w:before="240"/>
      <w:jc w:val="center"/>
    </w:pPr>
  </w:style>
  <w:style w:type="numbering" w:customStyle="1" w:styleId="MPROutline">
    <w:name w:val="MPROutline"/>
    <w:rsid w:val="005871BD"/>
    <w:pPr>
      <w:numPr>
        <w:numId w:val="9"/>
      </w:numPr>
    </w:pPr>
  </w:style>
</w:styles>
</file>

<file path=word/webSettings.xml><?xml version="1.0" encoding="utf-8"?>
<w:webSettings xmlns:r="http://schemas.openxmlformats.org/officeDocument/2006/relationships" xmlns:w="http://schemas.openxmlformats.org/wordprocessingml/2006/main">
  <w:divs>
    <w:div w:id="851989384">
      <w:marLeft w:val="0"/>
      <w:marRight w:val="0"/>
      <w:marTop w:val="0"/>
      <w:marBottom w:val="0"/>
      <w:divBdr>
        <w:top w:val="none" w:sz="0" w:space="0" w:color="auto"/>
        <w:left w:val="none" w:sz="0" w:space="0" w:color="auto"/>
        <w:bottom w:val="none" w:sz="0" w:space="0" w:color="auto"/>
        <w:right w:val="none" w:sz="0" w:space="0" w:color="auto"/>
      </w:divBdr>
    </w:div>
    <w:div w:id="851989385">
      <w:marLeft w:val="0"/>
      <w:marRight w:val="0"/>
      <w:marTop w:val="0"/>
      <w:marBottom w:val="0"/>
      <w:divBdr>
        <w:top w:val="none" w:sz="0" w:space="0" w:color="auto"/>
        <w:left w:val="none" w:sz="0" w:space="0" w:color="auto"/>
        <w:bottom w:val="none" w:sz="0" w:space="0" w:color="auto"/>
        <w:right w:val="none" w:sz="0" w:space="0" w:color="auto"/>
      </w:divBdr>
    </w:div>
    <w:div w:id="851989386">
      <w:marLeft w:val="0"/>
      <w:marRight w:val="0"/>
      <w:marTop w:val="0"/>
      <w:marBottom w:val="0"/>
      <w:divBdr>
        <w:top w:val="none" w:sz="0" w:space="0" w:color="auto"/>
        <w:left w:val="none" w:sz="0" w:space="0" w:color="auto"/>
        <w:bottom w:val="none" w:sz="0" w:space="0" w:color="auto"/>
        <w:right w:val="none" w:sz="0" w:space="0" w:color="auto"/>
      </w:divBdr>
      <w:divsChild>
        <w:div w:id="851989395">
          <w:marLeft w:val="0"/>
          <w:marRight w:val="0"/>
          <w:marTop w:val="0"/>
          <w:marBottom w:val="0"/>
          <w:divBdr>
            <w:top w:val="none" w:sz="0" w:space="0" w:color="auto"/>
            <w:left w:val="none" w:sz="0" w:space="0" w:color="auto"/>
            <w:bottom w:val="none" w:sz="0" w:space="0" w:color="auto"/>
            <w:right w:val="none" w:sz="0" w:space="0" w:color="auto"/>
          </w:divBdr>
        </w:div>
      </w:divsChild>
    </w:div>
    <w:div w:id="851989387">
      <w:marLeft w:val="0"/>
      <w:marRight w:val="0"/>
      <w:marTop w:val="0"/>
      <w:marBottom w:val="0"/>
      <w:divBdr>
        <w:top w:val="none" w:sz="0" w:space="0" w:color="auto"/>
        <w:left w:val="none" w:sz="0" w:space="0" w:color="auto"/>
        <w:bottom w:val="none" w:sz="0" w:space="0" w:color="auto"/>
        <w:right w:val="none" w:sz="0" w:space="0" w:color="auto"/>
      </w:divBdr>
    </w:div>
    <w:div w:id="851989388">
      <w:marLeft w:val="0"/>
      <w:marRight w:val="0"/>
      <w:marTop w:val="0"/>
      <w:marBottom w:val="0"/>
      <w:divBdr>
        <w:top w:val="none" w:sz="0" w:space="0" w:color="auto"/>
        <w:left w:val="none" w:sz="0" w:space="0" w:color="auto"/>
        <w:bottom w:val="none" w:sz="0" w:space="0" w:color="auto"/>
        <w:right w:val="none" w:sz="0" w:space="0" w:color="auto"/>
      </w:divBdr>
    </w:div>
    <w:div w:id="851989389">
      <w:marLeft w:val="0"/>
      <w:marRight w:val="0"/>
      <w:marTop w:val="0"/>
      <w:marBottom w:val="0"/>
      <w:divBdr>
        <w:top w:val="none" w:sz="0" w:space="0" w:color="auto"/>
        <w:left w:val="none" w:sz="0" w:space="0" w:color="auto"/>
        <w:bottom w:val="none" w:sz="0" w:space="0" w:color="auto"/>
        <w:right w:val="none" w:sz="0" w:space="0" w:color="auto"/>
      </w:divBdr>
    </w:div>
    <w:div w:id="851989390">
      <w:marLeft w:val="0"/>
      <w:marRight w:val="0"/>
      <w:marTop w:val="0"/>
      <w:marBottom w:val="0"/>
      <w:divBdr>
        <w:top w:val="none" w:sz="0" w:space="0" w:color="auto"/>
        <w:left w:val="none" w:sz="0" w:space="0" w:color="auto"/>
        <w:bottom w:val="none" w:sz="0" w:space="0" w:color="auto"/>
        <w:right w:val="none" w:sz="0" w:space="0" w:color="auto"/>
      </w:divBdr>
    </w:div>
    <w:div w:id="851989391">
      <w:marLeft w:val="0"/>
      <w:marRight w:val="0"/>
      <w:marTop w:val="0"/>
      <w:marBottom w:val="0"/>
      <w:divBdr>
        <w:top w:val="none" w:sz="0" w:space="0" w:color="auto"/>
        <w:left w:val="none" w:sz="0" w:space="0" w:color="auto"/>
        <w:bottom w:val="none" w:sz="0" w:space="0" w:color="auto"/>
        <w:right w:val="none" w:sz="0" w:space="0" w:color="auto"/>
      </w:divBdr>
    </w:div>
    <w:div w:id="851989392">
      <w:marLeft w:val="0"/>
      <w:marRight w:val="0"/>
      <w:marTop w:val="0"/>
      <w:marBottom w:val="0"/>
      <w:divBdr>
        <w:top w:val="none" w:sz="0" w:space="0" w:color="auto"/>
        <w:left w:val="none" w:sz="0" w:space="0" w:color="auto"/>
        <w:bottom w:val="none" w:sz="0" w:space="0" w:color="auto"/>
        <w:right w:val="none" w:sz="0" w:space="0" w:color="auto"/>
      </w:divBdr>
    </w:div>
    <w:div w:id="851989393">
      <w:marLeft w:val="0"/>
      <w:marRight w:val="0"/>
      <w:marTop w:val="0"/>
      <w:marBottom w:val="0"/>
      <w:divBdr>
        <w:top w:val="none" w:sz="0" w:space="0" w:color="auto"/>
        <w:left w:val="none" w:sz="0" w:space="0" w:color="auto"/>
        <w:bottom w:val="none" w:sz="0" w:space="0" w:color="auto"/>
        <w:right w:val="none" w:sz="0" w:space="0" w:color="auto"/>
      </w:divBdr>
    </w:div>
    <w:div w:id="851989394">
      <w:marLeft w:val="0"/>
      <w:marRight w:val="0"/>
      <w:marTop w:val="0"/>
      <w:marBottom w:val="0"/>
      <w:divBdr>
        <w:top w:val="none" w:sz="0" w:space="0" w:color="auto"/>
        <w:left w:val="none" w:sz="0" w:space="0" w:color="auto"/>
        <w:bottom w:val="none" w:sz="0" w:space="0" w:color="auto"/>
        <w:right w:val="none" w:sz="0" w:space="0" w:color="auto"/>
      </w:divBdr>
    </w:div>
    <w:div w:id="851989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1.bin"/><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7.bin"/><Relationship Id="rId46"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4.xml"/><Relationship Id="rId29" Type="http://schemas.openxmlformats.org/officeDocument/2006/relationships/image" Target="media/image7.wmf"/><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6.xml"/><Relationship Id="rId32" Type="http://schemas.openxmlformats.org/officeDocument/2006/relationships/oleObject" Target="embeddings/oleObject4.bin"/><Relationship Id="rId37" Type="http://schemas.openxmlformats.org/officeDocument/2006/relationships/image" Target="media/image11.wmf"/><Relationship Id="rId40" Type="http://schemas.openxmlformats.org/officeDocument/2006/relationships/oleObject" Target="embeddings/oleObject8.bin"/><Relationship Id="rId45" Type="http://schemas.openxmlformats.org/officeDocument/2006/relationships/header" Target="header7.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5.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3.xml"/><Relationship Id="rId31" Type="http://schemas.openxmlformats.org/officeDocument/2006/relationships/image" Target="media/image8.wmf"/><Relationship Id="rId44"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image" Target="media/image6.wmf"/><Relationship Id="rId30" Type="http://schemas.openxmlformats.org/officeDocument/2006/relationships/oleObject" Target="embeddings/oleObject3.bin"/><Relationship Id="rId35" Type="http://schemas.openxmlformats.org/officeDocument/2006/relationships/image" Target="media/image10.wmf"/><Relationship Id="rId43" Type="http://schemas.openxmlformats.org/officeDocument/2006/relationships/header" Target="header6.xml"/><Relationship Id="rId48" Type="http://schemas.openxmlformats.org/officeDocument/2006/relationships/footer" Target="footer8.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0DB8FA25EA1149B6E3D20D221B4669" ma:contentTypeVersion="0" ma:contentTypeDescription="Create a new document." ma:contentTypeScope="" ma:versionID="24e1bb1f948b9cd5bb5d22f7fd2259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05984-1D2E-4F8C-B96A-E933A60CEF9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E98BD16B-4179-4EE9-A121-CED4B8EA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5FA134-D5B8-4247-90E6-451E78874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29</Pages>
  <Words>9330</Words>
  <Characters>53780</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and Network Services</dc:creator>
  <cp:lastModifiedBy>katrina.ingalls</cp:lastModifiedBy>
  <cp:revision>2</cp:revision>
  <cp:lastPrinted>2011-03-17T17:21:00Z</cp:lastPrinted>
  <dcterms:created xsi:type="dcterms:W3CDTF">2011-08-05T14:26:00Z</dcterms:created>
  <dcterms:modified xsi:type="dcterms:W3CDTF">2011-08-05T14:26:00Z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0x010100D90DB8FA25EA1149B6E3D20D221B4669</vt:lpwstr>
  </property>
</Properties>
</file>