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1C0" w:rsidRDefault="005B11C0" w:rsidP="005B11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5B11C0" w:rsidRDefault="005B11C0" w:rsidP="005B11C0">
      <w:pPr>
        <w:pStyle w:val="Heading3"/>
        <w:numPr>
          <w:ilvl w:val="0"/>
          <w:numId w:val="0"/>
        </w:numPr>
        <w:ind w:left="720"/>
        <w:rPr>
          <w:sz w:val="24"/>
        </w:rPr>
      </w:pPr>
    </w:p>
    <w:p w:rsidR="005B11C0" w:rsidRDefault="005B11C0" w:rsidP="005B11C0">
      <w:pPr>
        <w:pStyle w:val="Heading3"/>
        <w:rPr>
          <w:sz w:val="24"/>
        </w:rPr>
      </w:pPr>
      <w:r>
        <w:rPr>
          <w:sz w:val="24"/>
        </w:rPr>
        <w:t>CONTINUATION OF INTEREST REDUCTION PAYMENTS</w:t>
      </w:r>
    </w:p>
    <w:p w:rsidR="005B11C0" w:rsidRDefault="005B11C0" w:rsidP="005B11C0">
      <w:pPr>
        <w:pStyle w:val="Heading3"/>
        <w:numPr>
          <w:ilvl w:val="0"/>
          <w:numId w:val="0"/>
        </w:numPr>
        <w:ind w:left="720"/>
        <w:rPr>
          <w:sz w:val="24"/>
        </w:rPr>
      </w:pPr>
      <w:r>
        <w:rPr>
          <w:sz w:val="24"/>
        </w:rPr>
        <w:t>AFTER REFINANCING OF SECTION 236 PROJECTS</w:t>
      </w:r>
    </w:p>
    <w:p w:rsidR="005B11C0" w:rsidRPr="005B11C0" w:rsidRDefault="005B11C0" w:rsidP="005B11C0"/>
    <w:p w:rsidR="005B11C0" w:rsidRDefault="005B11C0" w:rsidP="005B11C0">
      <w:pPr>
        <w:pStyle w:val="Heading4"/>
      </w:pPr>
      <w:r>
        <w:t>OMB 2502-0572</w:t>
      </w:r>
    </w:p>
    <w:p w:rsidR="005B11C0" w:rsidRDefault="005B11C0" w:rsidP="005B11C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5B11C0" w:rsidRDefault="005B11C0" w:rsidP="005B11C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rPr>
      </w:pPr>
    </w:p>
    <w:p w:rsidR="005B11C0" w:rsidRDefault="005B11C0" w:rsidP="005B11C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beforeAutospacing="1" w:after="100" w:afterAutospacing="1"/>
        <w:rPr>
          <w:rFonts w:ascii="Arial" w:hAnsi="Arial" w:cs="Arial"/>
          <w:color w:val="000000"/>
        </w:rPr>
      </w:pPr>
      <w:r>
        <w:rPr>
          <w:rFonts w:ascii="Arial" w:hAnsi="Arial" w:cs="Arial"/>
          <w:b/>
        </w:rPr>
        <w:t xml:space="preserve">A. </w:t>
      </w:r>
      <w:r>
        <w:rPr>
          <w:rFonts w:ascii="Arial" w:hAnsi="Arial" w:cs="Arial"/>
          <w:b/>
        </w:rPr>
        <w:tab/>
        <w:t>Justi</w:t>
      </w:r>
      <w:r>
        <w:rPr>
          <w:rFonts w:ascii="Arial" w:hAnsi="Arial" w:cs="Arial"/>
          <w:b/>
          <w:color w:val="000000"/>
        </w:rPr>
        <w:t>fication</w:t>
      </w:r>
    </w:p>
    <w:p w:rsidR="003020FA" w:rsidRPr="00AC71A5" w:rsidRDefault="003020FA" w:rsidP="003020FA">
      <w:pPr>
        <w:pStyle w:val="ListParagraph"/>
        <w:ind w:left="360"/>
        <w:rPr>
          <w:rFonts w:asciiTheme="minorHAnsi" w:hAnsiTheme="minorHAnsi"/>
          <w:b/>
        </w:rPr>
      </w:pPr>
      <w:r w:rsidRPr="00AC71A5">
        <w:rPr>
          <w:rFonts w:asciiTheme="minorHAnsi" w:hAnsiTheme="minorHAnsi"/>
        </w:rPr>
        <w:t xml:space="preserve">1.  </w:t>
      </w:r>
      <w:r w:rsidRPr="00AC71A5">
        <w:rPr>
          <w:rFonts w:asciiTheme="minorHAnsi" w:hAnsiTheme="minorHAnsi"/>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B11C0" w:rsidRPr="00682ADD" w:rsidRDefault="00FE60E8" w:rsidP="00A1168E">
      <w:pPr>
        <w:keepLines/>
        <w:numPr>
          <w:ilvl w:val="0"/>
          <w:numId w:val="11"/>
        </w:numPr>
        <w:spacing w:before="100" w:beforeAutospacing="1" w:after="100" w:afterAutospacing="1"/>
        <w:rPr>
          <w:color w:val="000000"/>
          <w:sz w:val="24"/>
        </w:rPr>
      </w:pPr>
      <w:r>
        <w:rPr>
          <w:sz w:val="24"/>
        </w:rPr>
        <w:t>Section</w:t>
      </w:r>
      <w:r w:rsidRPr="00FE60E8">
        <w:rPr>
          <w:sz w:val="24"/>
        </w:rPr>
        <w:t xml:space="preserve"> 1715z–1. </w:t>
      </w:r>
      <w:r>
        <w:rPr>
          <w:sz w:val="24"/>
        </w:rPr>
        <w:t>“</w:t>
      </w:r>
      <w:r w:rsidRPr="00FE60E8">
        <w:rPr>
          <w:sz w:val="24"/>
        </w:rPr>
        <w:t>Rental and cooperative housing for lower income families</w:t>
      </w:r>
      <w:r>
        <w:rPr>
          <w:sz w:val="24"/>
        </w:rPr>
        <w:t>”</w:t>
      </w:r>
      <w:r w:rsidRPr="00FE60E8">
        <w:rPr>
          <w:sz w:val="24"/>
        </w:rPr>
        <w:t xml:space="preserve"> </w:t>
      </w:r>
      <w:r w:rsidR="005B11C0">
        <w:rPr>
          <w:sz w:val="24"/>
        </w:rPr>
        <w:t>established Section 236(e</w:t>
      </w:r>
      <w:proofErr w:type="gramStart"/>
      <w:r w:rsidR="005B11C0">
        <w:rPr>
          <w:sz w:val="24"/>
        </w:rPr>
        <w:t>)(</w:t>
      </w:r>
      <w:proofErr w:type="gramEnd"/>
      <w:r w:rsidR="005B11C0">
        <w:rPr>
          <w:sz w:val="24"/>
        </w:rPr>
        <w:t xml:space="preserve">2) which authorizes the Secretary, under certain terms and conditions, </w:t>
      </w:r>
      <w:r>
        <w:rPr>
          <w:sz w:val="24"/>
        </w:rPr>
        <w:t>provides for the</w:t>
      </w:r>
      <w:r w:rsidR="005B11C0">
        <w:rPr>
          <w:sz w:val="24"/>
        </w:rPr>
        <w:t xml:space="preserve"> continu</w:t>
      </w:r>
      <w:r>
        <w:rPr>
          <w:sz w:val="24"/>
        </w:rPr>
        <w:t>ation of</w:t>
      </w:r>
      <w:r w:rsidR="005B11C0">
        <w:rPr>
          <w:sz w:val="24"/>
        </w:rPr>
        <w:t xml:space="preserve"> Interest Reduction Payments (IRP) after the prepayment of a Section 236 mortgage.  </w:t>
      </w:r>
      <w:r>
        <w:rPr>
          <w:sz w:val="24"/>
        </w:rPr>
        <w:t xml:space="preserve">This section also established Section 236(b) which provides </w:t>
      </w:r>
      <w:proofErr w:type="gramStart"/>
      <w:r>
        <w:rPr>
          <w:sz w:val="24"/>
        </w:rPr>
        <w:t xml:space="preserve">for  </w:t>
      </w:r>
      <w:r w:rsidRPr="00FE60E8">
        <w:rPr>
          <w:sz w:val="24"/>
        </w:rPr>
        <w:t>payments</w:t>
      </w:r>
      <w:proofErr w:type="gramEnd"/>
      <w:r w:rsidRPr="00FE60E8">
        <w:rPr>
          <w:sz w:val="24"/>
        </w:rPr>
        <w:t xml:space="preserve"> with respect to projects financed under State or local programs</w:t>
      </w:r>
      <w:r>
        <w:rPr>
          <w:sz w:val="24"/>
        </w:rPr>
        <w:t>.</w:t>
      </w:r>
    </w:p>
    <w:p w:rsidR="00682ADD" w:rsidRDefault="00682ADD" w:rsidP="00682ADD">
      <w:pPr>
        <w:pStyle w:val="ListParagraph"/>
        <w:ind w:left="360"/>
        <w:rPr>
          <w:rFonts w:asciiTheme="minorHAnsi" w:hAnsiTheme="minorHAnsi"/>
          <w:b/>
        </w:rPr>
      </w:pPr>
      <w:r>
        <w:rPr>
          <w:rFonts w:asciiTheme="minorHAnsi" w:hAnsiTheme="minorHAnsi"/>
          <w:b/>
        </w:rPr>
        <w:t>2.  Indicate how, by whom, and for what purpose the information is to be used.  Except for a new collection, indicate the actual use the agency has made of the information received from the current collection.</w:t>
      </w:r>
    </w:p>
    <w:p w:rsidR="00B31E28" w:rsidRDefault="005B11C0" w:rsidP="005B11C0">
      <w:pPr>
        <w:numPr>
          <w:ilvl w:val="0"/>
          <w:numId w:val="11"/>
        </w:numPr>
        <w:tabs>
          <w:tab w:val="left" w:pos="0"/>
        </w:tabs>
        <w:suppressAutoHyphens/>
        <w:spacing w:before="100" w:beforeAutospacing="1" w:after="100" w:afterAutospacing="1"/>
        <w:rPr>
          <w:sz w:val="24"/>
        </w:rPr>
      </w:pPr>
      <w:r>
        <w:rPr>
          <w:sz w:val="24"/>
        </w:rPr>
        <w:t xml:space="preserve">Owners of Section 236 projects that prepay their mortgages may request continuation of IRP under </w:t>
      </w:r>
      <w:r w:rsidR="0051791A">
        <w:rPr>
          <w:sz w:val="24"/>
        </w:rPr>
        <w:t>one of two</w:t>
      </w:r>
      <w:r>
        <w:rPr>
          <w:sz w:val="24"/>
        </w:rPr>
        <w:t xml:space="preserve"> options, Section 236(e</w:t>
      </w:r>
      <w:proofErr w:type="gramStart"/>
      <w:r>
        <w:rPr>
          <w:sz w:val="24"/>
        </w:rPr>
        <w:t>)(</w:t>
      </w:r>
      <w:proofErr w:type="gramEnd"/>
      <w:r>
        <w:rPr>
          <w:sz w:val="24"/>
        </w:rPr>
        <w:t xml:space="preserve">2) or Section 236(b).  HUD uses the information provided to ensure that owners </w:t>
      </w:r>
      <w:r w:rsidR="00FE60E8">
        <w:rPr>
          <w:sz w:val="24"/>
        </w:rPr>
        <w:t xml:space="preserve">agree to </w:t>
      </w:r>
      <w:r>
        <w:rPr>
          <w:sz w:val="24"/>
        </w:rPr>
        <w:t>maintain the projects as low-income housing resources</w:t>
      </w:r>
      <w:r w:rsidR="00B31E28">
        <w:rPr>
          <w:sz w:val="24"/>
        </w:rPr>
        <w:t xml:space="preserve"> through various agreements:</w:t>
      </w:r>
    </w:p>
    <w:p w:rsidR="00B31E28" w:rsidRDefault="00B31E28" w:rsidP="00B31E28">
      <w:pPr>
        <w:pStyle w:val="ListParagraph"/>
        <w:numPr>
          <w:ilvl w:val="0"/>
          <w:numId w:val="17"/>
        </w:numPr>
        <w:tabs>
          <w:tab w:val="left" w:pos="0"/>
        </w:tabs>
        <w:suppressAutoHyphens/>
        <w:spacing w:before="100" w:beforeAutospacing="1" w:after="100" w:afterAutospacing="1"/>
        <w:rPr>
          <w:sz w:val="24"/>
        </w:rPr>
      </w:pPr>
      <w:r>
        <w:rPr>
          <w:sz w:val="24"/>
        </w:rPr>
        <w:t>form HUD-93173 Agreement for Interest Reduction Payments (§236(e)(2)</w:t>
      </w:r>
    </w:p>
    <w:p w:rsidR="00B31E28" w:rsidRDefault="00B31E28" w:rsidP="00B31E28">
      <w:pPr>
        <w:pStyle w:val="ListParagraph"/>
        <w:numPr>
          <w:ilvl w:val="0"/>
          <w:numId w:val="17"/>
        </w:numPr>
        <w:tabs>
          <w:tab w:val="left" w:pos="0"/>
        </w:tabs>
        <w:suppressAutoHyphens/>
        <w:spacing w:before="100" w:beforeAutospacing="1" w:after="100" w:afterAutospacing="1"/>
        <w:rPr>
          <w:sz w:val="24"/>
        </w:rPr>
      </w:pPr>
      <w:r>
        <w:rPr>
          <w:sz w:val="24"/>
        </w:rPr>
        <w:t>form HUD-93175 Agreement for Interest Reduction Payments (§236(b)</w:t>
      </w:r>
    </w:p>
    <w:p w:rsidR="00B31E28" w:rsidRDefault="00B31E28" w:rsidP="00B31E28">
      <w:pPr>
        <w:pStyle w:val="ListParagraph"/>
        <w:numPr>
          <w:ilvl w:val="0"/>
          <w:numId w:val="17"/>
        </w:numPr>
        <w:tabs>
          <w:tab w:val="left" w:pos="0"/>
        </w:tabs>
        <w:suppressAutoHyphens/>
        <w:spacing w:before="100" w:beforeAutospacing="1" w:after="100" w:afterAutospacing="1"/>
        <w:rPr>
          <w:sz w:val="24"/>
        </w:rPr>
      </w:pPr>
      <w:r>
        <w:rPr>
          <w:sz w:val="24"/>
        </w:rPr>
        <w:t>form HUD-93174 Use Agreement (§236(e)(2)</w:t>
      </w:r>
    </w:p>
    <w:p w:rsidR="00B31E28" w:rsidRPr="00B31E28" w:rsidRDefault="00B31E28" w:rsidP="00B31E28">
      <w:pPr>
        <w:pStyle w:val="ListParagraph"/>
        <w:numPr>
          <w:ilvl w:val="0"/>
          <w:numId w:val="17"/>
        </w:numPr>
        <w:tabs>
          <w:tab w:val="left" w:pos="0"/>
        </w:tabs>
        <w:suppressAutoHyphens/>
        <w:spacing w:before="100" w:beforeAutospacing="1" w:after="100" w:afterAutospacing="1"/>
        <w:rPr>
          <w:sz w:val="24"/>
        </w:rPr>
      </w:pPr>
      <w:r>
        <w:rPr>
          <w:sz w:val="24"/>
        </w:rPr>
        <w:t>form HUD-93176 Use Agreement (§236(b)</w:t>
      </w:r>
    </w:p>
    <w:p w:rsidR="005B11C0" w:rsidRDefault="005B11C0" w:rsidP="00B31E28">
      <w:pPr>
        <w:tabs>
          <w:tab w:val="left" w:pos="0"/>
        </w:tabs>
        <w:suppressAutoHyphens/>
        <w:spacing w:before="100" w:beforeAutospacing="1" w:after="100" w:afterAutospacing="1"/>
        <w:ind w:left="360"/>
        <w:rPr>
          <w:sz w:val="24"/>
        </w:rPr>
      </w:pPr>
      <w:r>
        <w:rPr>
          <w:sz w:val="24"/>
        </w:rPr>
        <w:t xml:space="preserve">  These agreements</w:t>
      </w:r>
      <w:r w:rsidR="00B31E28">
        <w:rPr>
          <w:sz w:val="24"/>
        </w:rPr>
        <w:t xml:space="preserve">, </w:t>
      </w:r>
      <w:r>
        <w:rPr>
          <w:sz w:val="24"/>
        </w:rPr>
        <w:t>will allow HUD to preserve low-incoming housing units</w:t>
      </w:r>
      <w:r w:rsidR="0051791A">
        <w:rPr>
          <w:sz w:val="24"/>
        </w:rPr>
        <w:t xml:space="preserve"> that may otherwise be lost</w:t>
      </w:r>
      <w:r>
        <w:rPr>
          <w:sz w:val="24"/>
        </w:rPr>
        <w:t>.  All transactions are subject to the requirements of HUD’s Tenant Participation in Multifamily Housing Project Regulations at 24 CFR Part 245.</w:t>
      </w:r>
    </w:p>
    <w:p w:rsidR="005B11C0" w:rsidRDefault="005B11C0" w:rsidP="005B11C0">
      <w:pPr>
        <w:tabs>
          <w:tab w:val="left" w:pos="0"/>
        </w:tabs>
        <w:suppressAutoHyphens/>
        <w:spacing w:before="100" w:beforeAutospacing="1" w:after="100" w:afterAutospacing="1"/>
        <w:ind w:left="720"/>
        <w:rPr>
          <w:b/>
          <w:bCs/>
          <w:sz w:val="24"/>
        </w:rPr>
      </w:pPr>
      <w:r>
        <w:rPr>
          <w:b/>
          <w:bCs/>
          <w:sz w:val="24"/>
        </w:rPr>
        <w:t>Section 236(e</w:t>
      </w:r>
      <w:proofErr w:type="gramStart"/>
      <w:r>
        <w:rPr>
          <w:b/>
          <w:bCs/>
          <w:sz w:val="24"/>
        </w:rPr>
        <w:t>)(</w:t>
      </w:r>
      <w:proofErr w:type="gramEnd"/>
      <w:r>
        <w:rPr>
          <w:b/>
          <w:bCs/>
          <w:sz w:val="24"/>
        </w:rPr>
        <w:t>2)</w:t>
      </w:r>
    </w:p>
    <w:p w:rsidR="005B11C0" w:rsidRDefault="005B11C0" w:rsidP="005B11C0">
      <w:pPr>
        <w:tabs>
          <w:tab w:val="left" w:pos="0"/>
        </w:tabs>
        <w:suppressAutoHyphens/>
        <w:spacing w:before="100" w:beforeAutospacing="1" w:after="100" w:afterAutospacing="1"/>
        <w:ind w:left="720"/>
        <w:rPr>
          <w:sz w:val="24"/>
        </w:rPr>
      </w:pPr>
      <w:r>
        <w:rPr>
          <w:sz w:val="24"/>
        </w:rPr>
        <w:t xml:space="preserve">Under this option, a project owner may prepay a Section 236 mortgage, and HUD may continue the IRP subsidy, provided the owner enters into IRP and Use Agreements that require the continuation of the low-income housing resource for 5 years beyond the new IRP term.  Any mortgagee may refinance the project if a public agency agrees to be the oversight entity (i.e., becomes a party to the IRP Agreement) to ensure compliance with the requirements of the IRP Agreement.  If no public agency agrees to participate as the oversight entity, then the mortgagee must be a HUD-approved multifamily mortgagee, </w:t>
      </w:r>
      <w:r>
        <w:rPr>
          <w:sz w:val="24"/>
        </w:rPr>
        <w:lastRenderedPageBreak/>
        <w:t>the refinancing must be through an FHA insured mortgage, and HUD will perform the oversight functions.</w:t>
      </w:r>
    </w:p>
    <w:p w:rsidR="005B11C0" w:rsidRDefault="005B11C0" w:rsidP="005B11C0">
      <w:pPr>
        <w:tabs>
          <w:tab w:val="left" w:pos="0"/>
        </w:tabs>
        <w:suppressAutoHyphens/>
        <w:spacing w:before="100" w:beforeAutospacing="1" w:after="100" w:afterAutospacing="1"/>
        <w:ind w:left="720"/>
        <w:rPr>
          <w:b/>
          <w:bCs/>
          <w:sz w:val="24"/>
        </w:rPr>
      </w:pPr>
      <w:r>
        <w:rPr>
          <w:b/>
          <w:bCs/>
          <w:sz w:val="24"/>
        </w:rPr>
        <w:t>Section 236(b)</w:t>
      </w:r>
    </w:p>
    <w:p w:rsidR="005B11C0" w:rsidRDefault="005B11C0" w:rsidP="005B11C0">
      <w:pPr>
        <w:tabs>
          <w:tab w:val="left" w:pos="0"/>
        </w:tabs>
        <w:suppressAutoHyphens/>
        <w:spacing w:before="100" w:beforeAutospacing="1" w:after="100" w:afterAutospacing="1"/>
        <w:ind w:left="720"/>
        <w:rPr>
          <w:sz w:val="24"/>
        </w:rPr>
      </w:pPr>
      <w:r>
        <w:rPr>
          <w:sz w:val="24"/>
        </w:rPr>
        <w:t xml:space="preserve">Under this option, an approved State or local agency Section 236(b) mortgagee must purchase the insured Section 236 mortgage, terminate the FHA insurance, and keep the Section 236 mortgage intact, and the owner must enter into new IRP and Use Agreements to maintain the property as a low-income housing resource.  The original Section 236 note and mortgage must remain intact.  FHA insurance will be terminated.  The original Section 236 mortgage, which may be modified, restated, and enveloped in the closing transaction, must remain identifiable as the basis for the continued IRP assistance.  </w:t>
      </w:r>
    </w:p>
    <w:p w:rsidR="005B11C0" w:rsidRDefault="005B11C0" w:rsidP="00682ADD">
      <w:pPr>
        <w:pStyle w:val="BodyTextIndent"/>
        <w:spacing w:before="100" w:beforeAutospacing="1" w:after="100" w:afterAutospacing="1"/>
        <w:ind w:left="720" w:firstLine="0"/>
        <w:rPr>
          <w:color w:val="000000"/>
        </w:rPr>
      </w:pPr>
      <w:proofErr w:type="gramStart"/>
      <w:r>
        <w:rPr>
          <w:color w:val="000000"/>
          <w:u w:val="single"/>
        </w:rPr>
        <w:t>Interest Reduction Payment Agreement</w:t>
      </w:r>
      <w:r>
        <w:rPr>
          <w:color w:val="000000"/>
        </w:rPr>
        <w:t>.</w:t>
      </w:r>
      <w:proofErr w:type="gramEnd"/>
      <w:r>
        <w:rPr>
          <w:color w:val="000000"/>
        </w:rPr>
        <w:t xml:space="preserve">  The IRP Agreement establishes the terms and conditions under which HUD shall continue to make interest reduction payments to the owner.  There are two types of IRP Agreements</w:t>
      </w:r>
      <w:r w:rsidR="00B31E28">
        <w:rPr>
          <w:color w:val="000000"/>
        </w:rPr>
        <w:t>.</w:t>
      </w:r>
      <w:r>
        <w:rPr>
          <w:color w:val="000000"/>
        </w:rPr>
        <w:t xml:space="preserve">  </w:t>
      </w:r>
      <w:r w:rsidR="00B31E28">
        <w:rPr>
          <w:color w:val="000000"/>
        </w:rPr>
        <w:t>O</w:t>
      </w:r>
      <w:r>
        <w:rPr>
          <w:color w:val="000000"/>
        </w:rPr>
        <w:t>ne for Section 236(e</w:t>
      </w:r>
      <w:proofErr w:type="gramStart"/>
      <w:r>
        <w:rPr>
          <w:color w:val="000000"/>
        </w:rPr>
        <w:t>)(</w:t>
      </w:r>
      <w:proofErr w:type="gramEnd"/>
      <w:r>
        <w:rPr>
          <w:color w:val="000000"/>
        </w:rPr>
        <w:t>2) and one for Section 236(b).</w:t>
      </w:r>
    </w:p>
    <w:p w:rsidR="005B11C0" w:rsidRDefault="005B11C0" w:rsidP="00A1168E">
      <w:pPr>
        <w:keepNext/>
        <w:tabs>
          <w:tab w:val="left" w:pos="360"/>
          <w:tab w:val="left" w:pos="720"/>
        </w:tabs>
        <w:spacing w:before="100" w:beforeAutospacing="1" w:after="100" w:afterAutospacing="1"/>
        <w:ind w:left="720"/>
        <w:rPr>
          <w:color w:val="000000"/>
          <w:sz w:val="24"/>
        </w:rPr>
      </w:pPr>
      <w:r>
        <w:rPr>
          <w:color w:val="000000"/>
          <w:sz w:val="24"/>
          <w:u w:val="single"/>
        </w:rPr>
        <w:t>Use Agreement</w:t>
      </w:r>
      <w:r>
        <w:rPr>
          <w:color w:val="000000"/>
          <w:sz w:val="24"/>
        </w:rPr>
        <w:t>.  In this agreement, the owner agrees to maintain the property as low-income housing.  There are two types of Use Agreements</w:t>
      </w:r>
      <w:r w:rsidR="00B31E28">
        <w:rPr>
          <w:color w:val="000000"/>
          <w:sz w:val="24"/>
        </w:rPr>
        <w:t>.</w:t>
      </w:r>
      <w:r>
        <w:rPr>
          <w:color w:val="000000"/>
          <w:sz w:val="24"/>
        </w:rPr>
        <w:t xml:space="preserve"> </w:t>
      </w:r>
      <w:r w:rsidR="00B31E28">
        <w:rPr>
          <w:color w:val="000000"/>
          <w:sz w:val="24"/>
        </w:rPr>
        <w:t xml:space="preserve"> </w:t>
      </w:r>
      <w:r>
        <w:rPr>
          <w:color w:val="000000"/>
          <w:sz w:val="24"/>
        </w:rPr>
        <w:t xml:space="preserve"> </w:t>
      </w:r>
      <w:r w:rsidR="00B31E28">
        <w:rPr>
          <w:color w:val="000000"/>
          <w:sz w:val="24"/>
        </w:rPr>
        <w:t>O</w:t>
      </w:r>
      <w:r>
        <w:rPr>
          <w:color w:val="000000"/>
          <w:sz w:val="24"/>
        </w:rPr>
        <w:t>ne for Section 236(e</w:t>
      </w:r>
      <w:proofErr w:type="gramStart"/>
      <w:r>
        <w:rPr>
          <w:color w:val="000000"/>
          <w:sz w:val="24"/>
        </w:rPr>
        <w:t>)(</w:t>
      </w:r>
      <w:proofErr w:type="gramEnd"/>
      <w:r>
        <w:rPr>
          <w:color w:val="000000"/>
          <w:sz w:val="24"/>
        </w:rPr>
        <w:t>2) and one for Section 236(b).</w:t>
      </w:r>
    </w:p>
    <w:p w:rsidR="00682ADD" w:rsidRDefault="00682ADD" w:rsidP="00682ADD">
      <w:pPr>
        <w:pStyle w:val="ListParagraph"/>
        <w:ind w:left="360"/>
        <w:rPr>
          <w:rFonts w:asciiTheme="minorHAnsi" w:hAnsiTheme="minorHAnsi"/>
        </w:rPr>
      </w:pPr>
      <w:r>
        <w:rPr>
          <w:rFonts w:asciiTheme="minorHAnsi" w:hAnsiTheme="minorHAnsi"/>
          <w:b/>
        </w:rPr>
        <w:t>3.  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B11C0" w:rsidRDefault="005B11C0" w:rsidP="00A1168E">
      <w:pPr>
        <w:keepLines/>
        <w:numPr>
          <w:ilvl w:val="0"/>
          <w:numId w:val="11"/>
        </w:numPr>
        <w:spacing w:before="100" w:beforeAutospacing="1" w:after="100" w:afterAutospacing="1"/>
        <w:rPr>
          <w:color w:val="000000"/>
          <w:sz w:val="24"/>
        </w:rPr>
      </w:pPr>
      <w:r>
        <w:rPr>
          <w:color w:val="000000"/>
          <w:sz w:val="24"/>
        </w:rPr>
        <w:t>Automation of this information collection is not feasible because these agreements must be executed by the new mortgagee or public entity, the owner, and then submitted to HUD Headquarters for HUD execution.</w:t>
      </w:r>
      <w:r w:rsidR="002D7EDC">
        <w:rPr>
          <w:color w:val="000000"/>
          <w:sz w:val="24"/>
        </w:rPr>
        <w:t xml:space="preserve"> However, in an effort to automate where possible the forms used for this program are </w:t>
      </w:r>
      <w:proofErr w:type="spellStart"/>
      <w:r w:rsidR="002D7EDC">
        <w:rPr>
          <w:color w:val="000000"/>
          <w:sz w:val="24"/>
        </w:rPr>
        <w:t>pdf</w:t>
      </w:r>
      <w:proofErr w:type="spellEnd"/>
      <w:r w:rsidR="002D7EDC">
        <w:rPr>
          <w:color w:val="000000"/>
          <w:sz w:val="24"/>
        </w:rPr>
        <w:t xml:space="preserve"> </w:t>
      </w:r>
      <w:proofErr w:type="spellStart"/>
      <w:r w:rsidR="002D7EDC">
        <w:rPr>
          <w:color w:val="000000"/>
          <w:sz w:val="24"/>
        </w:rPr>
        <w:t>fillable</w:t>
      </w:r>
      <w:proofErr w:type="spellEnd"/>
      <w:r w:rsidR="002D7EDC">
        <w:rPr>
          <w:color w:val="000000"/>
          <w:sz w:val="24"/>
        </w:rPr>
        <w:t xml:space="preserve"> and available electronically on HUDClips.</w:t>
      </w:r>
    </w:p>
    <w:p w:rsidR="00682ADD" w:rsidRDefault="00682ADD" w:rsidP="00682ADD">
      <w:pPr>
        <w:pStyle w:val="ListParagraph"/>
        <w:ind w:left="360"/>
        <w:rPr>
          <w:rFonts w:asciiTheme="minorHAnsi" w:hAnsiTheme="minorHAnsi"/>
        </w:rPr>
      </w:pPr>
      <w:r>
        <w:rPr>
          <w:rFonts w:asciiTheme="minorHAnsi" w:hAnsiTheme="minorHAnsi"/>
          <w:b/>
        </w:rPr>
        <w:t>4.  Describe efforts to identify duplication.  Show specifically why any similar information already available cannot be used or modified for use for the purposes described in Item 2 above.</w:t>
      </w:r>
    </w:p>
    <w:p w:rsidR="005B11C0" w:rsidRDefault="005B11C0" w:rsidP="00A1168E">
      <w:pPr>
        <w:keepLines/>
        <w:numPr>
          <w:ilvl w:val="0"/>
          <w:numId w:val="11"/>
        </w:numPr>
        <w:spacing w:before="100" w:beforeAutospacing="1" w:after="100" w:afterAutospacing="1"/>
        <w:rPr>
          <w:color w:val="000000"/>
          <w:sz w:val="24"/>
        </w:rPr>
      </w:pPr>
      <w:r>
        <w:rPr>
          <w:color w:val="000000"/>
          <w:sz w:val="24"/>
        </w:rPr>
        <w:t>There is no duplication of other sources for this information.</w:t>
      </w:r>
    </w:p>
    <w:p w:rsidR="00682ADD" w:rsidRDefault="00682ADD" w:rsidP="00682ADD">
      <w:pPr>
        <w:pStyle w:val="ListParagraph"/>
        <w:ind w:left="360"/>
        <w:rPr>
          <w:rFonts w:asciiTheme="minorHAnsi" w:hAnsiTheme="minorHAnsi"/>
        </w:rPr>
      </w:pPr>
      <w:r>
        <w:rPr>
          <w:rFonts w:asciiTheme="minorHAnsi" w:hAnsiTheme="minorHAnsi"/>
          <w:b/>
        </w:rPr>
        <w:t>5.  If the collection of information impacts small businesses or other small entities (Item 5 of OMB form 83-I) describe any methods used to minimize burden.</w:t>
      </w:r>
    </w:p>
    <w:p w:rsidR="005B11C0" w:rsidRDefault="005B11C0" w:rsidP="00A1168E">
      <w:pPr>
        <w:numPr>
          <w:ilvl w:val="0"/>
          <w:numId w:val="11"/>
        </w:numPr>
        <w:spacing w:before="100" w:beforeAutospacing="1" w:after="100" w:afterAutospacing="1"/>
        <w:rPr>
          <w:sz w:val="24"/>
        </w:rPr>
      </w:pPr>
      <w:r>
        <w:rPr>
          <w:sz w:val="24"/>
        </w:rPr>
        <w:t xml:space="preserve">The collection of information </w:t>
      </w:r>
      <w:r w:rsidR="00A1168E">
        <w:rPr>
          <w:sz w:val="24"/>
        </w:rPr>
        <w:t xml:space="preserve">does not impact </w:t>
      </w:r>
      <w:r>
        <w:rPr>
          <w:sz w:val="24"/>
        </w:rPr>
        <w:t>small businesses.</w:t>
      </w:r>
    </w:p>
    <w:p w:rsidR="006A4306" w:rsidRDefault="006A4306" w:rsidP="006A4306">
      <w:pPr>
        <w:pStyle w:val="ListParagraph"/>
        <w:ind w:left="360"/>
        <w:rPr>
          <w:rFonts w:asciiTheme="minorHAnsi" w:hAnsiTheme="minorHAnsi"/>
          <w:b/>
        </w:rPr>
      </w:pPr>
      <w:proofErr w:type="gramStart"/>
      <w:r>
        <w:rPr>
          <w:rFonts w:asciiTheme="minorHAnsi" w:hAnsiTheme="minorHAnsi"/>
          <w:b/>
        </w:rPr>
        <w:t>6.  Describe the consequence to Federal program or policy activities if the collection is not conducted or is conducted less frequently, as well as any technical or legal obstacles to reducing burden.</w:t>
      </w:r>
      <w:proofErr w:type="gramEnd"/>
    </w:p>
    <w:p w:rsidR="005B11C0" w:rsidRDefault="005B11C0" w:rsidP="00A1168E">
      <w:pPr>
        <w:pStyle w:val="BodyTextIndent2"/>
        <w:numPr>
          <w:ilvl w:val="0"/>
          <w:numId w:val="11"/>
        </w:numPr>
        <w:spacing w:before="100" w:beforeAutospacing="1" w:after="100" w:afterAutospacing="1"/>
        <w:rPr>
          <w:rFonts w:ascii="Times New Roman" w:hAnsi="Times New Roman" w:cs="Times New Roman"/>
          <w:sz w:val="24"/>
        </w:rPr>
      </w:pPr>
      <w:r>
        <w:rPr>
          <w:rFonts w:ascii="Times New Roman" w:hAnsi="Times New Roman" w:cs="Times New Roman"/>
          <w:sz w:val="24"/>
        </w:rPr>
        <w:t>HUD would risk improper payment of IRP assistance and the inability to preserve low-income housing resources if these binding commitments were not collected.</w:t>
      </w:r>
    </w:p>
    <w:p w:rsidR="006A4306" w:rsidRDefault="006A4306" w:rsidP="006A4306">
      <w:pPr>
        <w:pStyle w:val="ListParagraph"/>
        <w:ind w:left="360"/>
        <w:rPr>
          <w:rFonts w:asciiTheme="minorHAnsi" w:hAnsiTheme="minorHAnsi"/>
          <w:b/>
        </w:rPr>
      </w:pPr>
      <w:r>
        <w:rPr>
          <w:rFonts w:asciiTheme="minorHAnsi" w:hAnsiTheme="minorHAnsi"/>
          <w:b/>
        </w:rPr>
        <w:lastRenderedPageBreak/>
        <w:t>7.  Explain any special circumstances that would cause an information collection to be conducted in a manner:</w:t>
      </w:r>
    </w:p>
    <w:p w:rsidR="006A4306" w:rsidRDefault="006A4306" w:rsidP="006A4306">
      <w:pPr>
        <w:pStyle w:val="ListParagraph"/>
        <w:ind w:left="360"/>
        <w:rPr>
          <w:rFonts w:asciiTheme="minorHAnsi" w:hAnsiTheme="minorHAnsi"/>
          <w:b/>
        </w:rPr>
      </w:pPr>
    </w:p>
    <w:p w:rsidR="006A4306" w:rsidRDefault="006A4306" w:rsidP="006A4306">
      <w:pPr>
        <w:pStyle w:val="ListParagraph"/>
        <w:numPr>
          <w:ilvl w:val="0"/>
          <w:numId w:val="12"/>
        </w:numPr>
        <w:overflowPunct/>
        <w:autoSpaceDE/>
        <w:autoSpaceDN/>
        <w:adjustRightInd/>
        <w:textAlignment w:val="auto"/>
        <w:rPr>
          <w:rFonts w:asciiTheme="minorHAnsi" w:hAnsiTheme="minorHAnsi"/>
          <w:b/>
        </w:rPr>
      </w:pPr>
      <w:r>
        <w:rPr>
          <w:rFonts w:asciiTheme="minorHAnsi" w:hAnsiTheme="minorHAnsi"/>
          <w:b/>
        </w:rPr>
        <w:t>requiring respondents to report information to the agency more than quarterly;</w:t>
      </w:r>
    </w:p>
    <w:p w:rsidR="006A4306" w:rsidRPr="006A4306" w:rsidRDefault="006A4306" w:rsidP="006A4306">
      <w:pPr>
        <w:pStyle w:val="BodyTextIndent2"/>
        <w:spacing w:before="100" w:beforeAutospacing="1" w:after="100" w:afterAutospacing="1"/>
        <w:ind w:left="360" w:firstLine="0"/>
        <w:rPr>
          <w:rFonts w:ascii="Times New Roman" w:hAnsi="Times New Roman" w:cs="Times New Roman"/>
          <w:sz w:val="24"/>
        </w:rPr>
      </w:pPr>
      <w:r w:rsidRPr="006A4306">
        <w:rPr>
          <w:rFonts w:ascii="Times New Roman" w:hAnsi="Times New Roman" w:cs="Times New Roman"/>
          <w:sz w:val="24"/>
        </w:rPr>
        <w:t>There is no requirement for respondents to report the information more than quarterly.</w:t>
      </w:r>
    </w:p>
    <w:p w:rsidR="006A4306" w:rsidRDefault="006A4306" w:rsidP="006A4306">
      <w:pPr>
        <w:pStyle w:val="ListParagraph"/>
        <w:numPr>
          <w:ilvl w:val="0"/>
          <w:numId w:val="12"/>
        </w:numPr>
        <w:overflowPunct/>
        <w:autoSpaceDE/>
        <w:autoSpaceDN/>
        <w:adjustRightInd/>
        <w:textAlignment w:val="auto"/>
        <w:rPr>
          <w:rFonts w:asciiTheme="minorHAnsi" w:hAnsiTheme="minorHAnsi"/>
        </w:rPr>
      </w:pPr>
      <w:r>
        <w:rPr>
          <w:rFonts w:asciiTheme="minorHAnsi" w:hAnsiTheme="minorHAnsi"/>
          <w:b/>
        </w:rPr>
        <w:t>requiring respondents to prepare a written response to a collection of information in fewer than 30 days after receipt of it;</w:t>
      </w:r>
    </w:p>
    <w:p w:rsidR="006A4306" w:rsidRPr="006A4306" w:rsidRDefault="006A4306" w:rsidP="006A4306">
      <w:pPr>
        <w:pStyle w:val="BodyTextIndent2"/>
        <w:spacing w:before="100" w:beforeAutospacing="1" w:after="100" w:afterAutospacing="1"/>
        <w:ind w:left="360" w:firstLine="0"/>
        <w:rPr>
          <w:rFonts w:ascii="Times New Roman" w:hAnsi="Times New Roman" w:cs="Times New Roman"/>
          <w:sz w:val="24"/>
        </w:rPr>
      </w:pPr>
      <w:r w:rsidRPr="006A4306">
        <w:rPr>
          <w:rFonts w:ascii="Times New Roman" w:hAnsi="Times New Roman" w:cs="Times New Roman"/>
          <w:sz w:val="24"/>
        </w:rPr>
        <w:t>There is no requirement for respondents to prepare a written response to a collection in fewer than 30 days.</w:t>
      </w:r>
    </w:p>
    <w:p w:rsidR="006A4306" w:rsidRPr="00905777" w:rsidRDefault="006A4306" w:rsidP="006A4306">
      <w:pPr>
        <w:pStyle w:val="ListParagraph"/>
        <w:numPr>
          <w:ilvl w:val="0"/>
          <w:numId w:val="12"/>
        </w:numPr>
        <w:overflowPunct/>
        <w:autoSpaceDE/>
        <w:autoSpaceDN/>
        <w:adjustRightInd/>
        <w:textAlignment w:val="auto"/>
        <w:rPr>
          <w:rFonts w:asciiTheme="minorHAnsi" w:hAnsiTheme="minorHAnsi"/>
        </w:rPr>
      </w:pPr>
      <w:r>
        <w:rPr>
          <w:rFonts w:asciiTheme="minorHAnsi" w:hAnsiTheme="minorHAnsi"/>
          <w:b/>
        </w:rPr>
        <w:t>requiring respondents to submit more than an original and two copies of any document;</w:t>
      </w:r>
    </w:p>
    <w:p w:rsidR="006A4306" w:rsidRPr="006A4306" w:rsidRDefault="006A4306" w:rsidP="006A4306">
      <w:pPr>
        <w:pStyle w:val="BodyTextIndent2"/>
        <w:spacing w:before="100" w:beforeAutospacing="1" w:after="100" w:afterAutospacing="1"/>
        <w:ind w:left="360" w:firstLine="0"/>
        <w:rPr>
          <w:rFonts w:ascii="Times New Roman" w:hAnsi="Times New Roman" w:cs="Times New Roman"/>
          <w:sz w:val="24"/>
        </w:rPr>
      </w:pPr>
      <w:r w:rsidRPr="006A4306">
        <w:rPr>
          <w:rFonts w:ascii="Times New Roman" w:hAnsi="Times New Roman" w:cs="Times New Roman"/>
          <w:sz w:val="24"/>
        </w:rPr>
        <w:t>There is no requirement for respondents to submit more than an original and two copies of any document.</w:t>
      </w:r>
    </w:p>
    <w:p w:rsidR="006A4306" w:rsidRPr="006A4306" w:rsidRDefault="006A4306" w:rsidP="006A4306">
      <w:pPr>
        <w:pStyle w:val="ListParagraph"/>
        <w:numPr>
          <w:ilvl w:val="0"/>
          <w:numId w:val="12"/>
        </w:numPr>
        <w:overflowPunct/>
        <w:autoSpaceDE/>
        <w:autoSpaceDN/>
        <w:adjustRightInd/>
        <w:textAlignment w:val="auto"/>
        <w:rPr>
          <w:rFonts w:asciiTheme="minorHAnsi" w:hAnsiTheme="minorHAnsi"/>
        </w:rPr>
      </w:pPr>
      <w:r>
        <w:rPr>
          <w:rFonts w:asciiTheme="minorHAnsi" w:hAnsiTheme="minorHAnsi"/>
          <w:b/>
        </w:rPr>
        <w:t>requiring respondents to retain records other than health, medical, government contract, grant-in-aid, or tax records for more than three years;</w:t>
      </w:r>
    </w:p>
    <w:p w:rsidR="006A4306" w:rsidRPr="00905777" w:rsidRDefault="006A4306" w:rsidP="006A4306">
      <w:pPr>
        <w:pStyle w:val="ListParagraph"/>
        <w:overflowPunct/>
        <w:autoSpaceDE/>
        <w:autoSpaceDN/>
        <w:adjustRightInd/>
        <w:ind w:left="1080"/>
        <w:textAlignment w:val="auto"/>
        <w:rPr>
          <w:rFonts w:asciiTheme="minorHAnsi" w:hAnsiTheme="minorHAnsi"/>
        </w:rPr>
      </w:pPr>
    </w:p>
    <w:p w:rsidR="006A4306" w:rsidRDefault="006A4306" w:rsidP="006A4306">
      <w:pPr>
        <w:pStyle w:val="ListParagraph"/>
        <w:ind w:left="360"/>
        <w:rPr>
          <w:rFonts w:asciiTheme="minorHAnsi" w:hAnsiTheme="minorHAnsi"/>
        </w:rPr>
      </w:pPr>
      <w:r w:rsidRPr="006A4306">
        <w:rPr>
          <w:color w:val="000000"/>
          <w:sz w:val="24"/>
        </w:rPr>
        <w:t>There is no requirement for respondents to retain records other than health, medical, government contract,</w:t>
      </w:r>
      <w:r w:rsidRPr="00905777">
        <w:rPr>
          <w:rFonts w:asciiTheme="minorHAnsi" w:hAnsiTheme="minorHAnsi"/>
        </w:rPr>
        <w:t xml:space="preserve"> </w:t>
      </w:r>
      <w:r w:rsidRPr="006A4306">
        <w:rPr>
          <w:color w:val="000000"/>
          <w:sz w:val="24"/>
        </w:rPr>
        <w:t>grant-in-aid, or tax records for more than three years.</w:t>
      </w:r>
    </w:p>
    <w:p w:rsidR="006A4306" w:rsidRPr="006A4306" w:rsidRDefault="006A4306" w:rsidP="006A4306">
      <w:pPr>
        <w:pStyle w:val="ListParagraph"/>
        <w:overflowPunct/>
        <w:autoSpaceDE/>
        <w:autoSpaceDN/>
        <w:adjustRightInd/>
        <w:ind w:left="1080"/>
        <w:textAlignment w:val="auto"/>
        <w:rPr>
          <w:rFonts w:asciiTheme="minorHAnsi" w:hAnsiTheme="minorHAnsi"/>
        </w:rPr>
      </w:pPr>
    </w:p>
    <w:p w:rsidR="006A4306" w:rsidRPr="00905777" w:rsidRDefault="006A4306" w:rsidP="006A4306">
      <w:pPr>
        <w:pStyle w:val="ListParagraph"/>
        <w:numPr>
          <w:ilvl w:val="0"/>
          <w:numId w:val="12"/>
        </w:numPr>
        <w:overflowPunct/>
        <w:autoSpaceDE/>
        <w:autoSpaceDN/>
        <w:adjustRightInd/>
        <w:textAlignment w:val="auto"/>
        <w:rPr>
          <w:rFonts w:asciiTheme="minorHAnsi" w:hAnsiTheme="minorHAnsi"/>
        </w:rPr>
      </w:pPr>
      <w:r>
        <w:rPr>
          <w:rFonts w:asciiTheme="minorHAnsi" w:hAnsiTheme="minorHAnsi"/>
          <w:b/>
        </w:rPr>
        <w:t>in connection with a statistical survey, that is not designed to produce valid and reliable results than can be generalized to the universe of study;</w:t>
      </w:r>
    </w:p>
    <w:p w:rsidR="006A4306" w:rsidRPr="006A4306" w:rsidRDefault="006A4306" w:rsidP="006A4306">
      <w:pPr>
        <w:pStyle w:val="BodyTextIndent2"/>
        <w:spacing w:before="100" w:beforeAutospacing="1" w:after="100" w:afterAutospacing="1"/>
        <w:ind w:left="360" w:firstLine="0"/>
        <w:rPr>
          <w:rFonts w:ascii="Times New Roman" w:hAnsi="Times New Roman" w:cs="Times New Roman"/>
          <w:sz w:val="24"/>
        </w:rPr>
      </w:pPr>
      <w:r w:rsidRPr="006A4306">
        <w:rPr>
          <w:rFonts w:ascii="Times New Roman" w:hAnsi="Times New Roman" w:cs="Times New Roman"/>
          <w:sz w:val="24"/>
        </w:rPr>
        <w:t>This collection is not in connection with a statistical survey.</w:t>
      </w:r>
    </w:p>
    <w:p w:rsidR="006A4306" w:rsidRPr="00905777" w:rsidRDefault="006A4306" w:rsidP="006A4306">
      <w:pPr>
        <w:pStyle w:val="ListParagraph"/>
        <w:numPr>
          <w:ilvl w:val="0"/>
          <w:numId w:val="12"/>
        </w:numPr>
        <w:overflowPunct/>
        <w:autoSpaceDE/>
        <w:autoSpaceDN/>
        <w:adjustRightInd/>
        <w:textAlignment w:val="auto"/>
        <w:rPr>
          <w:rFonts w:asciiTheme="minorHAnsi" w:hAnsiTheme="minorHAnsi"/>
        </w:rPr>
      </w:pPr>
      <w:r>
        <w:rPr>
          <w:rFonts w:asciiTheme="minorHAnsi" w:hAnsiTheme="minorHAnsi"/>
          <w:b/>
        </w:rPr>
        <w:t>requiring the use of a statistical data classification that has not been reviewed and approved by OMB;</w:t>
      </w:r>
    </w:p>
    <w:p w:rsidR="006A4306" w:rsidRPr="006A4306" w:rsidRDefault="006A4306" w:rsidP="006A4306">
      <w:pPr>
        <w:pStyle w:val="BodyTextIndent2"/>
        <w:spacing w:before="100" w:beforeAutospacing="1" w:after="100" w:afterAutospacing="1"/>
        <w:ind w:left="360" w:firstLine="0"/>
        <w:rPr>
          <w:rFonts w:ascii="Times New Roman" w:hAnsi="Times New Roman" w:cs="Times New Roman"/>
          <w:sz w:val="24"/>
        </w:rPr>
      </w:pPr>
      <w:r w:rsidRPr="006A4306">
        <w:rPr>
          <w:rFonts w:ascii="Times New Roman" w:hAnsi="Times New Roman" w:cs="Times New Roman"/>
          <w:sz w:val="24"/>
        </w:rPr>
        <w:t>There is no use of a statistical data classification.</w:t>
      </w:r>
    </w:p>
    <w:p w:rsidR="006A4306" w:rsidRPr="00905777" w:rsidRDefault="006A4306" w:rsidP="006A4306">
      <w:pPr>
        <w:pStyle w:val="ListParagraph"/>
        <w:numPr>
          <w:ilvl w:val="0"/>
          <w:numId w:val="12"/>
        </w:numPr>
        <w:overflowPunct/>
        <w:autoSpaceDE/>
        <w:autoSpaceDN/>
        <w:adjustRightInd/>
        <w:textAlignment w:val="auto"/>
        <w:rPr>
          <w:rFonts w:asciiTheme="minorHAnsi" w:hAnsiTheme="minorHAnsi"/>
        </w:rPr>
      </w:pPr>
      <w:r>
        <w:rPr>
          <w:rFonts w:asciiTheme="minorHAnsi" w:hAnsiTheme="minorHAnsi"/>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A4306" w:rsidRPr="006A4306" w:rsidRDefault="006A4306" w:rsidP="006A4306">
      <w:pPr>
        <w:pStyle w:val="BodyTextIndent2"/>
        <w:spacing w:before="100" w:beforeAutospacing="1" w:after="100" w:afterAutospacing="1"/>
        <w:ind w:left="360" w:firstLine="0"/>
        <w:rPr>
          <w:rFonts w:ascii="Times New Roman" w:hAnsi="Times New Roman" w:cs="Times New Roman"/>
          <w:sz w:val="24"/>
        </w:rPr>
      </w:pPr>
      <w:r w:rsidRPr="006A4306">
        <w:rPr>
          <w:rFonts w:ascii="Times New Roman" w:hAnsi="Times New Roman" w:cs="Times New Roman"/>
          <w:sz w:val="24"/>
        </w:rPr>
        <w:t>There is no pledge of confidentiality that is not supported by authority established in statute or regulation.</w:t>
      </w:r>
    </w:p>
    <w:p w:rsidR="006A4306" w:rsidRPr="00DA062E" w:rsidRDefault="006A4306" w:rsidP="006A4306">
      <w:pPr>
        <w:pStyle w:val="ListParagraph"/>
        <w:numPr>
          <w:ilvl w:val="0"/>
          <w:numId w:val="12"/>
        </w:numPr>
        <w:overflowPunct/>
        <w:autoSpaceDE/>
        <w:autoSpaceDN/>
        <w:adjustRightInd/>
        <w:textAlignment w:val="auto"/>
        <w:rPr>
          <w:rFonts w:asciiTheme="minorHAnsi" w:hAnsiTheme="minorHAnsi"/>
        </w:rPr>
      </w:pPr>
      <w:r>
        <w:rPr>
          <w:rFonts w:asciiTheme="minorHAnsi" w:hAnsiTheme="minorHAnsi"/>
          <w:b/>
        </w:rPr>
        <w:t>requiring respondents to submit proprietary trade secret, or other confidential information unless the agency can demonstrate that it has instituted procedures to protect the information’s confidentiality to the extent permitted by law.</w:t>
      </w:r>
    </w:p>
    <w:p w:rsidR="006A4306" w:rsidRDefault="006A4306" w:rsidP="006A4306">
      <w:pPr>
        <w:tabs>
          <w:tab w:val="left" w:pos="600"/>
        </w:tabs>
        <w:spacing w:before="100" w:beforeAutospacing="1" w:after="100" w:afterAutospacing="1"/>
        <w:ind w:left="360"/>
        <w:rPr>
          <w:color w:val="000000"/>
          <w:sz w:val="24"/>
        </w:rPr>
      </w:pPr>
    </w:p>
    <w:p w:rsidR="005B11C0" w:rsidRDefault="005B11C0" w:rsidP="006A4306">
      <w:pPr>
        <w:tabs>
          <w:tab w:val="left" w:pos="600"/>
        </w:tabs>
        <w:spacing w:before="100" w:beforeAutospacing="1" w:after="100" w:afterAutospacing="1"/>
        <w:ind w:left="360"/>
        <w:rPr>
          <w:color w:val="000000"/>
          <w:sz w:val="24"/>
        </w:rPr>
      </w:pPr>
      <w:r>
        <w:rPr>
          <w:color w:val="000000"/>
          <w:sz w:val="24"/>
        </w:rPr>
        <w:lastRenderedPageBreak/>
        <w:t xml:space="preserve">There are no special circumstances </w:t>
      </w:r>
      <w:r w:rsidR="006A4306">
        <w:rPr>
          <w:color w:val="000000"/>
          <w:sz w:val="24"/>
        </w:rPr>
        <w:t>requiring respondents to submit proprietary trade secret, or other confidential information.</w:t>
      </w:r>
    </w:p>
    <w:p w:rsidR="006A4306" w:rsidRDefault="006A4306" w:rsidP="006A4306">
      <w:pPr>
        <w:pStyle w:val="ListParagraph"/>
        <w:ind w:left="360"/>
        <w:rPr>
          <w:rFonts w:asciiTheme="minorHAnsi" w:hAnsiTheme="minorHAnsi"/>
          <w:b/>
        </w:rPr>
      </w:pPr>
      <w:r>
        <w:rPr>
          <w:rFonts w:asciiTheme="minorHAnsi" w:hAnsiTheme="minorHAnsi"/>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A4306" w:rsidRDefault="006A4306" w:rsidP="006A4306">
      <w:pPr>
        <w:pStyle w:val="ListParagraph"/>
        <w:ind w:left="360"/>
        <w:rPr>
          <w:rFonts w:asciiTheme="minorHAnsi" w:hAnsiTheme="minorHAnsi"/>
          <w:b/>
        </w:rPr>
      </w:pPr>
    </w:p>
    <w:p w:rsidR="006A4306" w:rsidRDefault="006A4306" w:rsidP="006A4306">
      <w:pPr>
        <w:pStyle w:val="ListParagraph"/>
        <w:numPr>
          <w:ilvl w:val="0"/>
          <w:numId w:val="12"/>
        </w:numPr>
        <w:overflowPunct/>
        <w:autoSpaceDE/>
        <w:autoSpaceDN/>
        <w:adjustRightInd/>
        <w:textAlignment w:val="auto"/>
        <w:rPr>
          <w:rFonts w:asciiTheme="minorHAnsi" w:hAnsiTheme="minorHAnsi"/>
          <w:b/>
        </w:rPr>
      </w:pPr>
      <w:r>
        <w:rPr>
          <w:rFonts w:asciiTheme="minorHAnsi" w:hAnsiTheme="minorHAnsi"/>
          <w:b/>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6A4306" w:rsidRDefault="006A4306" w:rsidP="006A4306">
      <w:pPr>
        <w:pStyle w:val="ListParagraph"/>
        <w:overflowPunct/>
        <w:autoSpaceDE/>
        <w:autoSpaceDN/>
        <w:adjustRightInd/>
        <w:ind w:left="1080"/>
        <w:textAlignment w:val="auto"/>
        <w:rPr>
          <w:rFonts w:asciiTheme="minorHAnsi" w:hAnsiTheme="minorHAnsi"/>
          <w:b/>
        </w:rPr>
      </w:pPr>
    </w:p>
    <w:p w:rsidR="006A4306" w:rsidRDefault="006A4306" w:rsidP="006A4306">
      <w:pPr>
        <w:pStyle w:val="ListParagraph"/>
        <w:numPr>
          <w:ilvl w:val="0"/>
          <w:numId w:val="12"/>
        </w:numPr>
        <w:overflowPunct/>
        <w:autoSpaceDE/>
        <w:autoSpaceDN/>
        <w:adjustRightInd/>
        <w:textAlignment w:val="auto"/>
        <w:rPr>
          <w:rFonts w:asciiTheme="minorHAnsi" w:hAnsiTheme="minorHAnsi"/>
          <w:b/>
        </w:rPr>
      </w:pPr>
      <w:r>
        <w:rPr>
          <w:rFonts w:asciiTheme="minorHAnsi" w:hAnsiTheme="minorHAnsi"/>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p>
    <w:p w:rsidR="00CD5B1C" w:rsidRPr="00CD5B1C" w:rsidRDefault="00CD5B1C" w:rsidP="00CD5B1C">
      <w:pPr>
        <w:pStyle w:val="ListParagraph"/>
        <w:keepLines/>
        <w:spacing w:before="100" w:beforeAutospacing="1" w:after="100" w:afterAutospacing="1"/>
        <w:ind w:left="360"/>
        <w:rPr>
          <w:color w:val="000000"/>
          <w:sz w:val="24"/>
          <w:szCs w:val="24"/>
        </w:rPr>
      </w:pPr>
    </w:p>
    <w:p w:rsidR="005B11C0" w:rsidRPr="00C7313C" w:rsidRDefault="005B11C0" w:rsidP="00A1168E">
      <w:pPr>
        <w:pStyle w:val="ListParagraph"/>
        <w:keepLines/>
        <w:numPr>
          <w:ilvl w:val="0"/>
          <w:numId w:val="14"/>
        </w:numPr>
        <w:spacing w:before="100" w:beforeAutospacing="1" w:after="100" w:afterAutospacing="1"/>
        <w:rPr>
          <w:color w:val="000000"/>
          <w:sz w:val="24"/>
          <w:szCs w:val="24"/>
        </w:rPr>
      </w:pPr>
      <w:r w:rsidRPr="00CD5B1C">
        <w:rPr>
          <w:sz w:val="24"/>
          <w:szCs w:val="24"/>
        </w:rPr>
        <w:t xml:space="preserve">Information collected is conducted in a manner consistent with the guidelines of 5 CFR 1320.8 (d).  The Notice announcing this collection of information appeared in the </w:t>
      </w:r>
      <w:r w:rsidRPr="00CD5B1C">
        <w:rPr>
          <w:iCs/>
          <w:sz w:val="24"/>
          <w:szCs w:val="24"/>
        </w:rPr>
        <w:t xml:space="preserve">Federal Register </w:t>
      </w:r>
      <w:r w:rsidRPr="00CD5B1C">
        <w:rPr>
          <w:sz w:val="24"/>
          <w:szCs w:val="24"/>
        </w:rPr>
        <w:t xml:space="preserve">on </w:t>
      </w:r>
      <w:r w:rsidR="00A1168E">
        <w:rPr>
          <w:sz w:val="24"/>
          <w:szCs w:val="24"/>
        </w:rPr>
        <w:t>[</w:t>
      </w:r>
      <w:r w:rsidR="007D47A4" w:rsidRPr="007D47A4">
        <w:rPr>
          <w:sz w:val="24"/>
          <w:szCs w:val="24"/>
        </w:rPr>
        <w:t>February 16, 2011</w:t>
      </w:r>
      <w:r w:rsidR="007D47A4">
        <w:rPr>
          <w:sz w:val="24"/>
          <w:szCs w:val="24"/>
        </w:rPr>
        <w:t>/</w:t>
      </w:r>
      <w:r w:rsidR="007D47A4" w:rsidRPr="007D47A4">
        <w:rPr>
          <w:sz w:val="24"/>
          <w:szCs w:val="24"/>
        </w:rPr>
        <w:t xml:space="preserve">Vol. 76, No. 32 / </w:t>
      </w:r>
      <w:r w:rsidR="00A1168E">
        <w:rPr>
          <w:sz w:val="24"/>
          <w:szCs w:val="24"/>
        </w:rPr>
        <w:t>and Page</w:t>
      </w:r>
      <w:r w:rsidR="007D47A4">
        <w:rPr>
          <w:sz w:val="24"/>
          <w:szCs w:val="24"/>
        </w:rPr>
        <w:t xml:space="preserve"> 9044</w:t>
      </w:r>
      <w:r w:rsidR="00A1168E">
        <w:rPr>
          <w:sz w:val="24"/>
          <w:szCs w:val="24"/>
        </w:rPr>
        <w:t>]</w:t>
      </w:r>
      <w:r w:rsidRPr="00CD5B1C">
        <w:rPr>
          <w:bCs/>
          <w:sz w:val="24"/>
          <w:szCs w:val="24"/>
        </w:rPr>
        <w:t>.  There were no comments.</w:t>
      </w:r>
    </w:p>
    <w:p w:rsidR="00C7313C" w:rsidRDefault="00C7313C" w:rsidP="00C7313C">
      <w:pPr>
        <w:pStyle w:val="ListParagraph"/>
        <w:keepLines/>
        <w:spacing w:before="100" w:beforeAutospacing="1" w:after="100" w:afterAutospacing="1"/>
        <w:ind w:left="360"/>
        <w:rPr>
          <w:bCs/>
          <w:sz w:val="24"/>
          <w:szCs w:val="24"/>
        </w:rPr>
      </w:pPr>
    </w:p>
    <w:p w:rsidR="00CD5B1C" w:rsidRPr="00046CDC" w:rsidRDefault="00C7313C" w:rsidP="00046CDC">
      <w:pPr>
        <w:pStyle w:val="ListParagraph"/>
        <w:keepLines/>
        <w:spacing w:before="100" w:beforeAutospacing="1" w:after="100" w:afterAutospacing="1"/>
        <w:ind w:left="360"/>
        <w:rPr>
          <w:color w:val="000000"/>
          <w:sz w:val="24"/>
          <w:szCs w:val="24"/>
        </w:rPr>
      </w:pPr>
      <w:r>
        <w:rPr>
          <w:bCs/>
          <w:sz w:val="24"/>
          <w:szCs w:val="24"/>
        </w:rPr>
        <w:t>In addition to the regulatory notice, three users of the documents were consulted to obtain their views on the reporting format, and the data elements to be disclosed.  There were no comments.</w:t>
      </w:r>
    </w:p>
    <w:p w:rsidR="00046CDC" w:rsidRDefault="00046CDC" w:rsidP="00046CDC">
      <w:pPr>
        <w:pStyle w:val="Heading5"/>
        <w:jc w:val="left"/>
      </w:pPr>
      <w:r>
        <w:t>Name</w:t>
      </w:r>
    </w:p>
    <w:p w:rsidR="00046CDC" w:rsidRDefault="00046CDC" w:rsidP="00046CDC">
      <w:pPr>
        <w:pStyle w:val="Heading5"/>
        <w:jc w:val="left"/>
      </w:pPr>
      <w:r>
        <w:t>Name</w:t>
      </w:r>
    </w:p>
    <w:p w:rsidR="00046CDC" w:rsidRPr="00046CDC" w:rsidRDefault="00046CDC" w:rsidP="00046CDC">
      <w:pPr>
        <w:pStyle w:val="Heading5"/>
        <w:jc w:val="left"/>
      </w:pPr>
      <w:r>
        <w:t>Name</w:t>
      </w:r>
    </w:p>
    <w:p w:rsidR="00046CDC" w:rsidRPr="00CD5B1C" w:rsidRDefault="00046CDC" w:rsidP="00CD5B1C">
      <w:pPr>
        <w:pStyle w:val="ListParagraph"/>
        <w:keepLines/>
        <w:spacing w:before="100" w:beforeAutospacing="1" w:after="100" w:afterAutospacing="1"/>
        <w:ind w:left="360"/>
        <w:rPr>
          <w:color w:val="000000"/>
          <w:sz w:val="24"/>
          <w:szCs w:val="24"/>
        </w:rPr>
      </w:pPr>
    </w:p>
    <w:p w:rsidR="00CD5B1C" w:rsidRDefault="00CD5B1C" w:rsidP="00CD5B1C">
      <w:pPr>
        <w:pStyle w:val="ListParagraph"/>
        <w:ind w:left="360"/>
        <w:rPr>
          <w:rFonts w:asciiTheme="minorHAnsi" w:hAnsiTheme="minorHAnsi"/>
          <w:b/>
        </w:rPr>
      </w:pPr>
      <w:r>
        <w:rPr>
          <w:rFonts w:asciiTheme="minorHAnsi" w:hAnsiTheme="minorHAnsi"/>
          <w:b/>
        </w:rPr>
        <w:t>9.  Explain any decision to provide any payment or gift to respondents, other than remuneration of contractors or grantees.</w:t>
      </w:r>
    </w:p>
    <w:p w:rsidR="005B11C0" w:rsidRDefault="005B11C0" w:rsidP="00CD5B1C">
      <w:pPr>
        <w:numPr>
          <w:ilvl w:val="0"/>
          <w:numId w:val="14"/>
        </w:numPr>
        <w:spacing w:before="100" w:beforeAutospacing="1" w:after="100" w:afterAutospacing="1"/>
        <w:rPr>
          <w:sz w:val="24"/>
        </w:rPr>
      </w:pPr>
      <w:r>
        <w:rPr>
          <w:sz w:val="24"/>
        </w:rPr>
        <w:t xml:space="preserve">There are IRP payments to respondents pursuant to </w:t>
      </w:r>
      <w:r w:rsidR="00C7313C">
        <w:rPr>
          <w:sz w:val="24"/>
        </w:rPr>
        <w:t xml:space="preserve">completion and </w:t>
      </w:r>
      <w:r>
        <w:rPr>
          <w:sz w:val="24"/>
        </w:rPr>
        <w:t>approval of the transaction.  There are no gifts to respondents.</w:t>
      </w:r>
    </w:p>
    <w:p w:rsidR="00CD5B1C" w:rsidRDefault="00CD5B1C" w:rsidP="00CD5B1C">
      <w:pPr>
        <w:pStyle w:val="ListParagraph"/>
        <w:ind w:left="360"/>
        <w:rPr>
          <w:rFonts w:asciiTheme="minorHAnsi" w:hAnsiTheme="minorHAnsi"/>
          <w:b/>
        </w:rPr>
      </w:pPr>
      <w:proofErr w:type="gramStart"/>
      <w:r>
        <w:rPr>
          <w:rFonts w:asciiTheme="minorHAnsi" w:hAnsiTheme="minorHAnsi"/>
          <w:b/>
        </w:rPr>
        <w:t>10.  Describe any assurance of confidentiality provided to respondents and the basis for assurance in statute, regulation or agency policy.</w:t>
      </w:r>
      <w:proofErr w:type="gramEnd"/>
    </w:p>
    <w:p w:rsidR="005B11C0" w:rsidRDefault="005B11C0" w:rsidP="00CD5B1C">
      <w:pPr>
        <w:numPr>
          <w:ilvl w:val="0"/>
          <w:numId w:val="14"/>
        </w:numPr>
        <w:spacing w:before="100" w:beforeAutospacing="1" w:after="100" w:afterAutospacing="1"/>
        <w:rPr>
          <w:sz w:val="24"/>
        </w:rPr>
      </w:pPr>
      <w:r>
        <w:rPr>
          <w:sz w:val="24"/>
        </w:rPr>
        <w:t>No assurance of confidentiality, statute, regulation, or agency policy is provided.</w:t>
      </w:r>
    </w:p>
    <w:p w:rsidR="00CD5B1C" w:rsidRDefault="00CD5B1C" w:rsidP="00CD5B1C">
      <w:pPr>
        <w:pStyle w:val="ListParagraph"/>
        <w:ind w:left="360"/>
        <w:rPr>
          <w:rFonts w:asciiTheme="minorHAnsi" w:hAnsiTheme="minorHAnsi"/>
          <w:b/>
        </w:rPr>
      </w:pPr>
      <w:proofErr w:type="gramStart"/>
      <w:r>
        <w:rPr>
          <w:rFonts w:asciiTheme="minorHAnsi" w:hAnsiTheme="minorHAnsi"/>
          <w:b/>
        </w:rPr>
        <w:t>11.  Provide additional justification for any questions of a sensitive nature, such as sexual behavior and attitudes, religious beliefs, and other matters that are commonly considered private.</w:t>
      </w:r>
      <w:proofErr w:type="gramEnd"/>
      <w:r>
        <w:rPr>
          <w:rFonts w:asciiTheme="minorHAnsi" w:hAnsiTheme="minorHAnsi"/>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B11C0" w:rsidRDefault="005B11C0" w:rsidP="00C7313C">
      <w:pPr>
        <w:numPr>
          <w:ilvl w:val="0"/>
          <w:numId w:val="14"/>
        </w:numPr>
        <w:spacing w:before="100" w:beforeAutospacing="1" w:after="100" w:afterAutospacing="1"/>
        <w:rPr>
          <w:sz w:val="24"/>
        </w:rPr>
      </w:pPr>
      <w:r>
        <w:rPr>
          <w:sz w:val="24"/>
        </w:rPr>
        <w:t>There are no questions of a sensitive nature</w:t>
      </w:r>
      <w:r w:rsidR="00C7313C">
        <w:rPr>
          <w:sz w:val="24"/>
        </w:rPr>
        <w:t xml:space="preserve"> included in these documents.</w:t>
      </w:r>
    </w:p>
    <w:p w:rsidR="00CD5B1C" w:rsidRDefault="00CD5B1C" w:rsidP="00CD5B1C">
      <w:pPr>
        <w:pStyle w:val="ListParagraph"/>
        <w:ind w:left="360"/>
        <w:rPr>
          <w:rFonts w:asciiTheme="minorHAnsi" w:hAnsiTheme="minorHAnsi"/>
          <w:b/>
        </w:rPr>
      </w:pPr>
      <w:r>
        <w:rPr>
          <w:rFonts w:asciiTheme="minorHAnsi" w:hAnsiTheme="minorHAnsi"/>
          <w:b/>
        </w:rPr>
        <w:lastRenderedPageBreak/>
        <w:t>12.  Provide estimates of the hour burden of the collection of information.  The statement should:</w:t>
      </w:r>
    </w:p>
    <w:p w:rsidR="00CD5B1C" w:rsidRDefault="00CD5B1C" w:rsidP="00CD5B1C">
      <w:pPr>
        <w:pStyle w:val="ListParagraph"/>
        <w:overflowPunct/>
        <w:autoSpaceDE/>
        <w:autoSpaceDN/>
        <w:adjustRightInd/>
        <w:ind w:left="1080"/>
        <w:textAlignment w:val="auto"/>
        <w:rPr>
          <w:rFonts w:asciiTheme="minorHAnsi" w:hAnsiTheme="minorHAnsi"/>
          <w:b/>
        </w:rPr>
      </w:pPr>
    </w:p>
    <w:p w:rsidR="00CD5B1C" w:rsidRDefault="00CD5B1C" w:rsidP="00CD5B1C">
      <w:pPr>
        <w:pStyle w:val="ListParagraph"/>
        <w:numPr>
          <w:ilvl w:val="0"/>
          <w:numId w:val="15"/>
        </w:numPr>
        <w:overflowPunct/>
        <w:autoSpaceDE/>
        <w:autoSpaceDN/>
        <w:adjustRightInd/>
        <w:textAlignment w:val="auto"/>
        <w:rPr>
          <w:rFonts w:asciiTheme="minorHAnsi" w:hAnsiTheme="minorHAnsi"/>
          <w:b/>
        </w:rPr>
      </w:pPr>
      <w:proofErr w:type="gramStart"/>
      <w:r>
        <w:rPr>
          <w:rFonts w:asciiTheme="minorHAnsi" w:hAnsiTheme="minorHAnsi"/>
          <w:b/>
        </w:rPr>
        <w:t>indicate</w:t>
      </w:r>
      <w:proofErr w:type="gramEnd"/>
      <w:r>
        <w:rPr>
          <w:rFonts w:asciiTheme="minorHAnsi" w:hAnsiTheme="minorHAnsi"/>
          <w:b/>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rsidR="00CD5B1C" w:rsidRDefault="00CD5B1C" w:rsidP="00CD5B1C">
      <w:pPr>
        <w:pStyle w:val="ListParagraph"/>
        <w:overflowPunct/>
        <w:autoSpaceDE/>
        <w:autoSpaceDN/>
        <w:adjustRightInd/>
        <w:ind w:left="1080"/>
        <w:textAlignment w:val="auto"/>
        <w:rPr>
          <w:rFonts w:asciiTheme="minorHAnsi" w:hAnsiTheme="minorHAnsi"/>
          <w:b/>
        </w:rPr>
      </w:pPr>
    </w:p>
    <w:p w:rsidR="00CD5B1C" w:rsidRDefault="00CD5B1C" w:rsidP="00CD5B1C">
      <w:pPr>
        <w:pStyle w:val="ListParagraph"/>
        <w:numPr>
          <w:ilvl w:val="0"/>
          <w:numId w:val="15"/>
        </w:numPr>
        <w:overflowPunct/>
        <w:autoSpaceDE/>
        <w:autoSpaceDN/>
        <w:adjustRightInd/>
        <w:textAlignment w:val="auto"/>
        <w:rPr>
          <w:rFonts w:asciiTheme="minorHAnsi" w:hAnsiTheme="minorHAnsi"/>
          <w:b/>
        </w:rPr>
      </w:pPr>
      <w:r>
        <w:rPr>
          <w:rFonts w:asciiTheme="minorHAnsi" w:hAnsiTheme="minorHAnsi"/>
          <w:b/>
        </w:rPr>
        <w:t>if this request covers more than one form, provide separate hour burden estimates for each form and aggregate the hour burdens in Item 13 of form OMB 83-I; and</w:t>
      </w:r>
    </w:p>
    <w:p w:rsidR="00CD5B1C" w:rsidRDefault="00CD5B1C" w:rsidP="00CD5B1C">
      <w:pPr>
        <w:pStyle w:val="ListParagraph"/>
        <w:overflowPunct/>
        <w:autoSpaceDE/>
        <w:autoSpaceDN/>
        <w:adjustRightInd/>
        <w:ind w:left="1080"/>
        <w:textAlignment w:val="auto"/>
        <w:rPr>
          <w:rFonts w:asciiTheme="minorHAnsi" w:hAnsiTheme="minorHAnsi"/>
          <w:b/>
        </w:rPr>
      </w:pPr>
    </w:p>
    <w:p w:rsidR="00CD5B1C" w:rsidRDefault="00CD5B1C" w:rsidP="00CD5B1C">
      <w:pPr>
        <w:pStyle w:val="ListParagraph"/>
        <w:numPr>
          <w:ilvl w:val="0"/>
          <w:numId w:val="15"/>
        </w:numPr>
        <w:overflowPunct/>
        <w:autoSpaceDE/>
        <w:autoSpaceDN/>
        <w:adjustRightInd/>
        <w:textAlignment w:val="auto"/>
        <w:rPr>
          <w:rFonts w:asciiTheme="minorHAnsi" w:hAnsiTheme="minorHAnsi"/>
          <w:b/>
        </w:rPr>
      </w:pPr>
      <w:proofErr w:type="gramStart"/>
      <w:r>
        <w:rPr>
          <w:rFonts w:asciiTheme="minorHAnsi" w:hAnsiTheme="minorHAnsi"/>
          <w:b/>
        </w:rPr>
        <w:t>provide</w:t>
      </w:r>
      <w:proofErr w:type="gramEnd"/>
      <w:r>
        <w:rPr>
          <w:rFonts w:asciiTheme="minorHAnsi" w:hAnsiTheme="minorHAnsi"/>
          <w:b/>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B11C0" w:rsidRDefault="005B11C0" w:rsidP="00CD5B1C">
      <w:pPr>
        <w:keepNext/>
        <w:numPr>
          <w:ilvl w:val="0"/>
          <w:numId w:val="14"/>
        </w:numPr>
        <w:spacing w:before="100" w:beforeAutospacing="1" w:after="100" w:afterAutospacing="1"/>
        <w:rPr>
          <w:sz w:val="24"/>
        </w:rPr>
      </w:pPr>
      <w:r>
        <w:rPr>
          <w:sz w:val="24"/>
        </w:rPr>
        <w:t>Annual Burden Estimate:</w:t>
      </w:r>
    </w:p>
    <w:tbl>
      <w:tblPr>
        <w:tblW w:w="10222" w:type="dxa"/>
        <w:tblInd w:w="-432" w:type="dxa"/>
        <w:tblLayout w:type="fixed"/>
        <w:tblLook w:val="04A0"/>
      </w:tblPr>
      <w:tblGrid>
        <w:gridCol w:w="525"/>
        <w:gridCol w:w="825"/>
        <w:gridCol w:w="488"/>
        <w:gridCol w:w="952"/>
        <w:gridCol w:w="452"/>
        <w:gridCol w:w="718"/>
        <w:gridCol w:w="562"/>
        <w:gridCol w:w="698"/>
        <w:gridCol w:w="482"/>
        <w:gridCol w:w="688"/>
        <w:gridCol w:w="430"/>
        <w:gridCol w:w="470"/>
        <w:gridCol w:w="650"/>
        <w:gridCol w:w="520"/>
        <w:gridCol w:w="440"/>
        <w:gridCol w:w="1157"/>
        <w:gridCol w:w="165"/>
      </w:tblGrid>
      <w:tr w:rsidR="00D96034" w:rsidRPr="00D96034" w:rsidTr="00D96034">
        <w:trPr>
          <w:gridBefore w:val="1"/>
          <w:wBefore w:w="525" w:type="dxa"/>
          <w:trHeight w:val="300"/>
        </w:trPr>
        <w:tc>
          <w:tcPr>
            <w:tcW w:w="1313" w:type="dxa"/>
            <w:gridSpan w:val="2"/>
            <w:tcBorders>
              <w:top w:val="nil"/>
              <w:left w:val="nil"/>
              <w:bottom w:val="nil"/>
              <w:right w:val="nil"/>
            </w:tcBorders>
            <w:shd w:val="clear" w:color="auto" w:fill="auto"/>
            <w:noWrap/>
            <w:vAlign w:val="bottom"/>
            <w:hideMark/>
          </w:tcPr>
          <w:p w:rsidR="00D96034" w:rsidRPr="00D96034" w:rsidRDefault="00D96034" w:rsidP="00D96034">
            <w:pPr>
              <w:overflowPunct/>
              <w:autoSpaceDE/>
              <w:autoSpaceDN/>
              <w:adjustRightInd/>
              <w:textAlignment w:val="auto"/>
              <w:rPr>
                <w:rFonts w:ascii="Calibri" w:hAnsi="Calibri"/>
                <w:color w:val="000000"/>
                <w:sz w:val="22"/>
                <w:szCs w:val="22"/>
              </w:rPr>
            </w:pPr>
          </w:p>
        </w:tc>
        <w:tc>
          <w:tcPr>
            <w:tcW w:w="8384" w:type="dxa"/>
            <w:gridSpan w:val="14"/>
            <w:tcBorders>
              <w:top w:val="nil"/>
              <w:left w:val="nil"/>
              <w:bottom w:val="nil"/>
              <w:right w:val="nil"/>
            </w:tcBorders>
            <w:shd w:val="clear" w:color="auto" w:fill="auto"/>
            <w:noWrap/>
            <w:vAlign w:val="bottom"/>
            <w:hideMark/>
          </w:tcPr>
          <w:p w:rsidR="00D96034" w:rsidRPr="00D96034" w:rsidRDefault="00D96034" w:rsidP="00D96034">
            <w:pPr>
              <w:overflowPunct/>
              <w:autoSpaceDE/>
              <w:autoSpaceDN/>
              <w:adjustRightInd/>
              <w:jc w:val="center"/>
              <w:textAlignment w:val="auto"/>
              <w:rPr>
                <w:rFonts w:ascii="Calibri" w:hAnsi="Calibri"/>
                <w:b/>
                <w:bCs/>
                <w:color w:val="000000"/>
                <w:sz w:val="22"/>
                <w:szCs w:val="22"/>
              </w:rPr>
            </w:pPr>
            <w:r w:rsidRPr="00D96034">
              <w:rPr>
                <w:rFonts w:ascii="Calibri" w:hAnsi="Calibri"/>
                <w:b/>
                <w:bCs/>
                <w:color w:val="000000"/>
                <w:sz w:val="22"/>
                <w:szCs w:val="22"/>
              </w:rPr>
              <w:t>Estimates of the Hour burden of the Collection of Information</w:t>
            </w:r>
          </w:p>
        </w:tc>
      </w:tr>
      <w:tr w:rsidR="00D96034" w:rsidRPr="00D96034" w:rsidTr="00D96034">
        <w:trPr>
          <w:gridBefore w:val="1"/>
          <w:wBefore w:w="525" w:type="dxa"/>
          <w:trHeight w:val="139"/>
        </w:trPr>
        <w:tc>
          <w:tcPr>
            <w:tcW w:w="1313" w:type="dxa"/>
            <w:gridSpan w:val="2"/>
            <w:tcBorders>
              <w:top w:val="nil"/>
              <w:left w:val="nil"/>
              <w:bottom w:val="nil"/>
              <w:right w:val="nil"/>
            </w:tcBorders>
            <w:shd w:val="clear" w:color="auto" w:fill="auto"/>
            <w:noWrap/>
            <w:vAlign w:val="bottom"/>
            <w:hideMark/>
          </w:tcPr>
          <w:p w:rsidR="00D96034" w:rsidRPr="00D96034" w:rsidRDefault="00D96034" w:rsidP="00D96034">
            <w:pPr>
              <w:overflowPunct/>
              <w:autoSpaceDE/>
              <w:autoSpaceDN/>
              <w:adjustRightInd/>
              <w:textAlignment w:val="auto"/>
              <w:rPr>
                <w:rFonts w:ascii="Calibri" w:hAnsi="Calibri"/>
                <w:color w:val="000000"/>
                <w:sz w:val="22"/>
                <w:szCs w:val="22"/>
              </w:rPr>
            </w:pPr>
          </w:p>
        </w:tc>
        <w:tc>
          <w:tcPr>
            <w:tcW w:w="1404" w:type="dxa"/>
            <w:gridSpan w:val="2"/>
            <w:tcBorders>
              <w:top w:val="nil"/>
              <w:left w:val="nil"/>
              <w:bottom w:val="nil"/>
              <w:right w:val="nil"/>
            </w:tcBorders>
            <w:shd w:val="clear" w:color="auto" w:fill="auto"/>
            <w:noWrap/>
            <w:vAlign w:val="bottom"/>
            <w:hideMark/>
          </w:tcPr>
          <w:p w:rsidR="00D96034" w:rsidRPr="00D96034" w:rsidRDefault="00D96034" w:rsidP="00D96034">
            <w:pPr>
              <w:overflowPunct/>
              <w:autoSpaceDE/>
              <w:autoSpaceDN/>
              <w:adjustRightInd/>
              <w:textAlignment w:val="auto"/>
              <w:rPr>
                <w:rFonts w:ascii="Calibri" w:hAnsi="Calibri"/>
                <w:color w:val="000000"/>
                <w:sz w:val="22"/>
                <w:szCs w:val="22"/>
              </w:rPr>
            </w:pPr>
          </w:p>
        </w:tc>
        <w:tc>
          <w:tcPr>
            <w:tcW w:w="1280" w:type="dxa"/>
            <w:gridSpan w:val="2"/>
            <w:tcBorders>
              <w:top w:val="nil"/>
              <w:left w:val="nil"/>
              <w:bottom w:val="nil"/>
              <w:right w:val="nil"/>
            </w:tcBorders>
            <w:shd w:val="clear" w:color="auto" w:fill="auto"/>
            <w:noWrap/>
            <w:vAlign w:val="bottom"/>
            <w:hideMark/>
          </w:tcPr>
          <w:p w:rsidR="00D96034" w:rsidRPr="00D96034" w:rsidRDefault="00D96034" w:rsidP="00D96034">
            <w:pPr>
              <w:overflowPunct/>
              <w:autoSpaceDE/>
              <w:autoSpaceDN/>
              <w:adjustRightInd/>
              <w:textAlignment w:val="auto"/>
              <w:rPr>
                <w:rFonts w:ascii="Calibri" w:hAnsi="Calibri"/>
                <w:color w:val="000000"/>
                <w:sz w:val="22"/>
                <w:szCs w:val="22"/>
              </w:rPr>
            </w:pPr>
          </w:p>
        </w:tc>
        <w:tc>
          <w:tcPr>
            <w:tcW w:w="1180" w:type="dxa"/>
            <w:gridSpan w:val="2"/>
            <w:tcBorders>
              <w:top w:val="nil"/>
              <w:left w:val="nil"/>
              <w:bottom w:val="nil"/>
              <w:right w:val="nil"/>
            </w:tcBorders>
            <w:shd w:val="clear" w:color="auto" w:fill="auto"/>
            <w:noWrap/>
            <w:vAlign w:val="bottom"/>
            <w:hideMark/>
          </w:tcPr>
          <w:p w:rsidR="00D96034" w:rsidRPr="00D96034" w:rsidRDefault="00D96034" w:rsidP="00D96034">
            <w:pPr>
              <w:overflowPunct/>
              <w:autoSpaceDE/>
              <w:autoSpaceDN/>
              <w:adjustRightInd/>
              <w:textAlignment w:val="auto"/>
              <w:rPr>
                <w:rFonts w:ascii="Calibri" w:hAnsi="Calibri"/>
                <w:color w:val="000000"/>
                <w:sz w:val="22"/>
                <w:szCs w:val="22"/>
              </w:rPr>
            </w:pPr>
          </w:p>
        </w:tc>
        <w:tc>
          <w:tcPr>
            <w:tcW w:w="1118" w:type="dxa"/>
            <w:gridSpan w:val="2"/>
            <w:tcBorders>
              <w:top w:val="nil"/>
              <w:left w:val="nil"/>
              <w:bottom w:val="nil"/>
              <w:right w:val="nil"/>
            </w:tcBorders>
            <w:shd w:val="clear" w:color="auto" w:fill="auto"/>
            <w:noWrap/>
            <w:vAlign w:val="bottom"/>
            <w:hideMark/>
          </w:tcPr>
          <w:p w:rsidR="00D96034" w:rsidRPr="00D96034" w:rsidRDefault="00D96034" w:rsidP="00D96034">
            <w:pPr>
              <w:overflowPunct/>
              <w:autoSpaceDE/>
              <w:autoSpaceDN/>
              <w:adjustRightInd/>
              <w:textAlignment w:val="auto"/>
              <w:rPr>
                <w:rFonts w:ascii="Calibri" w:hAnsi="Calibri"/>
                <w:color w:val="000000"/>
                <w:sz w:val="22"/>
                <w:szCs w:val="22"/>
              </w:rPr>
            </w:pPr>
          </w:p>
        </w:tc>
        <w:tc>
          <w:tcPr>
            <w:tcW w:w="1120" w:type="dxa"/>
            <w:gridSpan w:val="2"/>
            <w:tcBorders>
              <w:top w:val="nil"/>
              <w:left w:val="nil"/>
              <w:bottom w:val="nil"/>
              <w:right w:val="nil"/>
            </w:tcBorders>
            <w:shd w:val="clear" w:color="auto" w:fill="auto"/>
            <w:noWrap/>
            <w:vAlign w:val="bottom"/>
            <w:hideMark/>
          </w:tcPr>
          <w:p w:rsidR="00D96034" w:rsidRPr="00D96034" w:rsidRDefault="00D96034" w:rsidP="00D96034">
            <w:pPr>
              <w:overflowPunct/>
              <w:autoSpaceDE/>
              <w:autoSpaceDN/>
              <w:adjustRightInd/>
              <w:textAlignment w:val="auto"/>
              <w:rPr>
                <w:rFonts w:ascii="Calibri" w:hAnsi="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D96034" w:rsidRPr="00D96034" w:rsidRDefault="00D96034" w:rsidP="00D96034">
            <w:pPr>
              <w:overflowPunct/>
              <w:autoSpaceDE/>
              <w:autoSpaceDN/>
              <w:adjustRightInd/>
              <w:textAlignment w:val="auto"/>
              <w:rPr>
                <w:rFonts w:ascii="Calibri" w:hAnsi="Calibri"/>
                <w:color w:val="000000"/>
                <w:sz w:val="22"/>
                <w:szCs w:val="22"/>
              </w:rPr>
            </w:pPr>
          </w:p>
        </w:tc>
        <w:tc>
          <w:tcPr>
            <w:tcW w:w="1322" w:type="dxa"/>
            <w:gridSpan w:val="2"/>
            <w:tcBorders>
              <w:top w:val="nil"/>
              <w:left w:val="nil"/>
              <w:bottom w:val="nil"/>
              <w:right w:val="nil"/>
            </w:tcBorders>
            <w:shd w:val="clear" w:color="auto" w:fill="auto"/>
            <w:noWrap/>
            <w:vAlign w:val="bottom"/>
            <w:hideMark/>
          </w:tcPr>
          <w:p w:rsidR="00D96034" w:rsidRPr="00D96034" w:rsidRDefault="00D96034" w:rsidP="00D96034">
            <w:pPr>
              <w:overflowPunct/>
              <w:autoSpaceDE/>
              <w:autoSpaceDN/>
              <w:adjustRightInd/>
              <w:textAlignment w:val="auto"/>
              <w:rPr>
                <w:rFonts w:ascii="Calibri" w:hAnsi="Calibri"/>
                <w:color w:val="000000"/>
                <w:sz w:val="22"/>
                <w:szCs w:val="22"/>
              </w:rPr>
            </w:pPr>
          </w:p>
        </w:tc>
      </w:tr>
      <w:tr w:rsidR="00D96034" w:rsidRPr="00D96034" w:rsidTr="00E357E7">
        <w:trPr>
          <w:gridAfter w:val="1"/>
          <w:wAfter w:w="165" w:type="dxa"/>
          <w:trHeight w:val="900"/>
        </w:trPr>
        <w:tc>
          <w:tcPr>
            <w:tcW w:w="1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96034" w:rsidRPr="00D96034" w:rsidRDefault="00D96034" w:rsidP="00D96034">
            <w:pPr>
              <w:overflowPunct/>
              <w:autoSpaceDE/>
              <w:autoSpaceDN/>
              <w:adjustRightInd/>
              <w:jc w:val="center"/>
              <w:textAlignment w:val="auto"/>
              <w:rPr>
                <w:rFonts w:ascii="Calibri" w:hAnsi="Calibri"/>
                <w:b/>
                <w:bCs/>
                <w:color w:val="000000"/>
                <w:sz w:val="22"/>
                <w:szCs w:val="22"/>
              </w:rPr>
            </w:pPr>
            <w:r w:rsidRPr="00D96034">
              <w:rPr>
                <w:rFonts w:ascii="Calibri" w:hAnsi="Calibri"/>
                <w:b/>
                <w:bCs/>
                <w:color w:val="000000"/>
                <w:sz w:val="22"/>
                <w:szCs w:val="22"/>
              </w:rPr>
              <w:t xml:space="preserve">Information </w:t>
            </w:r>
            <w:r w:rsidRPr="00D96034">
              <w:rPr>
                <w:rFonts w:ascii="Calibri" w:hAnsi="Calibri"/>
                <w:b/>
                <w:bCs/>
                <w:color w:val="000000"/>
                <w:sz w:val="22"/>
                <w:szCs w:val="22"/>
              </w:rPr>
              <w:br/>
              <w:t>Collection</w:t>
            </w:r>
          </w:p>
        </w:tc>
        <w:tc>
          <w:tcPr>
            <w:tcW w:w="1440" w:type="dxa"/>
            <w:gridSpan w:val="2"/>
            <w:tcBorders>
              <w:top w:val="single" w:sz="4" w:space="0" w:color="auto"/>
              <w:left w:val="nil"/>
              <w:bottom w:val="single" w:sz="4" w:space="0" w:color="auto"/>
              <w:right w:val="single" w:sz="4" w:space="0" w:color="auto"/>
            </w:tcBorders>
            <w:shd w:val="clear" w:color="auto" w:fill="auto"/>
            <w:hideMark/>
          </w:tcPr>
          <w:p w:rsidR="00D96034" w:rsidRPr="00D96034" w:rsidRDefault="00D96034" w:rsidP="00D96034">
            <w:pPr>
              <w:overflowPunct/>
              <w:autoSpaceDE/>
              <w:autoSpaceDN/>
              <w:adjustRightInd/>
              <w:jc w:val="center"/>
              <w:textAlignment w:val="auto"/>
              <w:rPr>
                <w:rFonts w:ascii="Calibri" w:hAnsi="Calibri"/>
                <w:b/>
                <w:bCs/>
                <w:color w:val="000000"/>
                <w:sz w:val="22"/>
                <w:szCs w:val="22"/>
              </w:rPr>
            </w:pPr>
            <w:r>
              <w:rPr>
                <w:rFonts w:ascii="Calibri" w:hAnsi="Calibri"/>
                <w:b/>
                <w:bCs/>
                <w:color w:val="000000"/>
                <w:sz w:val="22"/>
                <w:szCs w:val="22"/>
              </w:rPr>
              <w:t>*</w:t>
            </w:r>
            <w:r w:rsidRPr="00D96034">
              <w:rPr>
                <w:rFonts w:ascii="Calibri" w:hAnsi="Calibri"/>
                <w:b/>
                <w:bCs/>
                <w:color w:val="000000"/>
                <w:sz w:val="22"/>
                <w:szCs w:val="22"/>
              </w:rPr>
              <w:t xml:space="preserve">Number of </w:t>
            </w:r>
            <w:r w:rsidRPr="00D96034">
              <w:rPr>
                <w:rFonts w:ascii="Calibri" w:hAnsi="Calibri"/>
                <w:b/>
                <w:bCs/>
                <w:color w:val="000000"/>
                <w:sz w:val="22"/>
                <w:szCs w:val="22"/>
              </w:rPr>
              <w:br/>
              <w:t>Respondents</w:t>
            </w:r>
          </w:p>
        </w:tc>
        <w:tc>
          <w:tcPr>
            <w:tcW w:w="1170" w:type="dxa"/>
            <w:gridSpan w:val="2"/>
            <w:tcBorders>
              <w:top w:val="single" w:sz="4" w:space="0" w:color="auto"/>
              <w:left w:val="nil"/>
              <w:bottom w:val="single" w:sz="4" w:space="0" w:color="auto"/>
              <w:right w:val="single" w:sz="4" w:space="0" w:color="auto"/>
            </w:tcBorders>
            <w:shd w:val="clear" w:color="auto" w:fill="auto"/>
            <w:hideMark/>
          </w:tcPr>
          <w:p w:rsidR="00D96034" w:rsidRPr="00D96034" w:rsidRDefault="00D96034" w:rsidP="00D96034">
            <w:pPr>
              <w:overflowPunct/>
              <w:autoSpaceDE/>
              <w:autoSpaceDN/>
              <w:adjustRightInd/>
              <w:jc w:val="center"/>
              <w:textAlignment w:val="auto"/>
              <w:rPr>
                <w:rFonts w:ascii="Calibri" w:hAnsi="Calibri"/>
                <w:b/>
                <w:bCs/>
                <w:color w:val="000000"/>
                <w:sz w:val="22"/>
                <w:szCs w:val="22"/>
              </w:rPr>
            </w:pPr>
            <w:r w:rsidRPr="00D96034">
              <w:rPr>
                <w:rFonts w:ascii="Calibri" w:hAnsi="Calibri"/>
                <w:b/>
                <w:bCs/>
                <w:color w:val="000000"/>
                <w:sz w:val="22"/>
                <w:szCs w:val="22"/>
              </w:rPr>
              <w:t xml:space="preserve">Frequency </w:t>
            </w:r>
            <w:r w:rsidRPr="00D96034">
              <w:rPr>
                <w:rFonts w:ascii="Calibri" w:hAnsi="Calibri"/>
                <w:b/>
                <w:bCs/>
                <w:color w:val="000000"/>
                <w:sz w:val="22"/>
                <w:szCs w:val="22"/>
              </w:rPr>
              <w:br/>
              <w:t>of Response</w:t>
            </w:r>
          </w:p>
        </w:tc>
        <w:tc>
          <w:tcPr>
            <w:tcW w:w="1260" w:type="dxa"/>
            <w:gridSpan w:val="2"/>
            <w:tcBorders>
              <w:top w:val="single" w:sz="4" w:space="0" w:color="auto"/>
              <w:left w:val="nil"/>
              <w:bottom w:val="single" w:sz="4" w:space="0" w:color="auto"/>
              <w:right w:val="single" w:sz="4" w:space="0" w:color="auto"/>
            </w:tcBorders>
            <w:shd w:val="clear" w:color="auto" w:fill="auto"/>
            <w:hideMark/>
          </w:tcPr>
          <w:p w:rsidR="00D96034" w:rsidRPr="00D96034" w:rsidRDefault="00D96034" w:rsidP="00D96034">
            <w:pPr>
              <w:overflowPunct/>
              <w:autoSpaceDE/>
              <w:autoSpaceDN/>
              <w:adjustRightInd/>
              <w:jc w:val="center"/>
              <w:textAlignment w:val="auto"/>
              <w:rPr>
                <w:rFonts w:ascii="Calibri" w:hAnsi="Calibri"/>
                <w:b/>
                <w:bCs/>
                <w:color w:val="000000"/>
                <w:sz w:val="22"/>
                <w:szCs w:val="22"/>
              </w:rPr>
            </w:pPr>
            <w:r>
              <w:rPr>
                <w:rFonts w:ascii="Calibri" w:hAnsi="Calibri"/>
                <w:b/>
                <w:bCs/>
                <w:color w:val="000000"/>
                <w:sz w:val="22"/>
                <w:szCs w:val="22"/>
              </w:rPr>
              <w:t>**</w:t>
            </w:r>
            <w:r w:rsidRPr="00D96034">
              <w:rPr>
                <w:rFonts w:ascii="Calibri" w:hAnsi="Calibri"/>
                <w:b/>
                <w:bCs/>
                <w:color w:val="000000"/>
                <w:sz w:val="22"/>
                <w:szCs w:val="22"/>
              </w:rPr>
              <w:t xml:space="preserve">Total </w:t>
            </w:r>
            <w:r w:rsidRPr="00D96034">
              <w:rPr>
                <w:rFonts w:ascii="Calibri" w:hAnsi="Calibri"/>
                <w:b/>
                <w:bCs/>
                <w:color w:val="000000"/>
                <w:sz w:val="22"/>
                <w:szCs w:val="22"/>
              </w:rPr>
              <w:br/>
              <w:t xml:space="preserve">Annual </w:t>
            </w:r>
            <w:r w:rsidRPr="00D96034">
              <w:rPr>
                <w:rFonts w:ascii="Calibri" w:hAnsi="Calibri"/>
                <w:b/>
                <w:bCs/>
                <w:color w:val="000000"/>
                <w:sz w:val="22"/>
                <w:szCs w:val="22"/>
              </w:rPr>
              <w:br/>
              <w:t>Responses</w:t>
            </w:r>
          </w:p>
        </w:tc>
        <w:tc>
          <w:tcPr>
            <w:tcW w:w="1170" w:type="dxa"/>
            <w:gridSpan w:val="2"/>
            <w:tcBorders>
              <w:top w:val="single" w:sz="4" w:space="0" w:color="auto"/>
              <w:left w:val="nil"/>
              <w:bottom w:val="single" w:sz="4" w:space="0" w:color="auto"/>
              <w:right w:val="single" w:sz="4" w:space="0" w:color="auto"/>
            </w:tcBorders>
            <w:shd w:val="clear" w:color="auto" w:fill="auto"/>
            <w:hideMark/>
          </w:tcPr>
          <w:p w:rsidR="00D96034" w:rsidRPr="00D96034" w:rsidRDefault="00D96034" w:rsidP="00D96034">
            <w:pPr>
              <w:overflowPunct/>
              <w:autoSpaceDE/>
              <w:autoSpaceDN/>
              <w:adjustRightInd/>
              <w:jc w:val="center"/>
              <w:textAlignment w:val="auto"/>
              <w:rPr>
                <w:rFonts w:ascii="Calibri" w:hAnsi="Calibri"/>
                <w:b/>
                <w:bCs/>
                <w:color w:val="000000"/>
                <w:sz w:val="22"/>
                <w:szCs w:val="22"/>
              </w:rPr>
            </w:pPr>
            <w:r w:rsidRPr="00D96034">
              <w:rPr>
                <w:rFonts w:ascii="Calibri" w:hAnsi="Calibri"/>
                <w:b/>
                <w:bCs/>
                <w:color w:val="000000"/>
                <w:sz w:val="22"/>
                <w:szCs w:val="22"/>
              </w:rPr>
              <w:t xml:space="preserve">Burden </w:t>
            </w:r>
            <w:r w:rsidRPr="00D96034">
              <w:rPr>
                <w:rFonts w:ascii="Calibri" w:hAnsi="Calibri"/>
                <w:b/>
                <w:bCs/>
                <w:color w:val="000000"/>
                <w:sz w:val="22"/>
                <w:szCs w:val="22"/>
              </w:rPr>
              <w:br/>
              <w:t xml:space="preserve">Hours per </w:t>
            </w:r>
            <w:r w:rsidRPr="00D96034">
              <w:rPr>
                <w:rFonts w:ascii="Calibri" w:hAnsi="Calibri"/>
                <w:b/>
                <w:bCs/>
                <w:color w:val="000000"/>
                <w:sz w:val="22"/>
                <w:szCs w:val="22"/>
              </w:rPr>
              <w:br/>
              <w:t>Response</w:t>
            </w:r>
          </w:p>
        </w:tc>
        <w:tc>
          <w:tcPr>
            <w:tcW w:w="900" w:type="dxa"/>
            <w:gridSpan w:val="2"/>
            <w:tcBorders>
              <w:top w:val="single" w:sz="4" w:space="0" w:color="auto"/>
              <w:left w:val="nil"/>
              <w:bottom w:val="single" w:sz="4" w:space="0" w:color="auto"/>
              <w:right w:val="single" w:sz="4" w:space="0" w:color="auto"/>
            </w:tcBorders>
            <w:shd w:val="clear" w:color="auto" w:fill="auto"/>
            <w:hideMark/>
          </w:tcPr>
          <w:p w:rsidR="00D96034" w:rsidRPr="00D96034" w:rsidRDefault="00D96034" w:rsidP="00D96034">
            <w:pPr>
              <w:overflowPunct/>
              <w:autoSpaceDE/>
              <w:autoSpaceDN/>
              <w:adjustRightInd/>
              <w:jc w:val="center"/>
              <w:textAlignment w:val="auto"/>
              <w:rPr>
                <w:rFonts w:ascii="Calibri" w:hAnsi="Calibri"/>
                <w:b/>
                <w:bCs/>
                <w:color w:val="000000"/>
                <w:sz w:val="22"/>
                <w:szCs w:val="22"/>
              </w:rPr>
            </w:pPr>
            <w:r w:rsidRPr="00D96034">
              <w:rPr>
                <w:rFonts w:ascii="Calibri" w:hAnsi="Calibri"/>
                <w:b/>
                <w:bCs/>
                <w:color w:val="000000"/>
                <w:sz w:val="22"/>
                <w:szCs w:val="22"/>
              </w:rPr>
              <w:t xml:space="preserve">Annual </w:t>
            </w:r>
            <w:r w:rsidRPr="00D96034">
              <w:rPr>
                <w:rFonts w:ascii="Calibri" w:hAnsi="Calibri"/>
                <w:b/>
                <w:bCs/>
                <w:color w:val="000000"/>
                <w:sz w:val="22"/>
                <w:szCs w:val="22"/>
              </w:rPr>
              <w:br/>
              <w:t xml:space="preserve">Burden </w:t>
            </w:r>
            <w:r w:rsidRPr="00D96034">
              <w:rPr>
                <w:rFonts w:ascii="Calibri" w:hAnsi="Calibri"/>
                <w:b/>
                <w:bCs/>
                <w:color w:val="000000"/>
                <w:sz w:val="22"/>
                <w:szCs w:val="22"/>
              </w:rPr>
              <w:br/>
              <w:t>Hours</w:t>
            </w:r>
          </w:p>
        </w:tc>
        <w:tc>
          <w:tcPr>
            <w:tcW w:w="1170" w:type="dxa"/>
            <w:gridSpan w:val="2"/>
            <w:tcBorders>
              <w:top w:val="single" w:sz="4" w:space="0" w:color="auto"/>
              <w:left w:val="nil"/>
              <w:bottom w:val="single" w:sz="4" w:space="0" w:color="auto"/>
              <w:right w:val="single" w:sz="4" w:space="0" w:color="auto"/>
            </w:tcBorders>
            <w:shd w:val="clear" w:color="auto" w:fill="auto"/>
            <w:hideMark/>
          </w:tcPr>
          <w:p w:rsidR="00D96034" w:rsidRDefault="00D96034" w:rsidP="00D96034">
            <w:pPr>
              <w:overflowPunct/>
              <w:autoSpaceDE/>
              <w:autoSpaceDN/>
              <w:adjustRightInd/>
              <w:jc w:val="center"/>
              <w:textAlignment w:val="auto"/>
              <w:rPr>
                <w:rFonts w:ascii="Calibri" w:hAnsi="Calibri"/>
                <w:b/>
                <w:bCs/>
                <w:color w:val="000000"/>
                <w:sz w:val="22"/>
                <w:szCs w:val="22"/>
              </w:rPr>
            </w:pPr>
            <w:r>
              <w:rPr>
                <w:rFonts w:ascii="Calibri" w:hAnsi="Calibri"/>
                <w:b/>
                <w:bCs/>
                <w:color w:val="000000"/>
                <w:sz w:val="22"/>
                <w:szCs w:val="22"/>
              </w:rPr>
              <w:t>***</w:t>
            </w:r>
          </w:p>
          <w:p w:rsidR="00D96034" w:rsidRPr="00D96034" w:rsidRDefault="00D96034" w:rsidP="00D96034">
            <w:pPr>
              <w:overflowPunct/>
              <w:autoSpaceDE/>
              <w:autoSpaceDN/>
              <w:adjustRightInd/>
              <w:jc w:val="center"/>
              <w:textAlignment w:val="auto"/>
              <w:rPr>
                <w:rFonts w:ascii="Calibri" w:hAnsi="Calibri"/>
                <w:b/>
                <w:bCs/>
                <w:color w:val="000000"/>
                <w:sz w:val="22"/>
                <w:szCs w:val="22"/>
              </w:rPr>
            </w:pPr>
            <w:r w:rsidRPr="00D96034">
              <w:rPr>
                <w:rFonts w:ascii="Calibri" w:hAnsi="Calibri"/>
                <w:b/>
                <w:bCs/>
                <w:color w:val="000000"/>
                <w:sz w:val="22"/>
                <w:szCs w:val="22"/>
              </w:rPr>
              <w:t xml:space="preserve">Hourly </w:t>
            </w:r>
            <w:r w:rsidRPr="00D96034">
              <w:rPr>
                <w:rFonts w:ascii="Calibri" w:hAnsi="Calibri"/>
                <w:b/>
                <w:bCs/>
                <w:color w:val="000000"/>
                <w:sz w:val="22"/>
                <w:szCs w:val="22"/>
              </w:rPr>
              <w:br/>
              <w:t>Cost</w:t>
            </w:r>
          </w:p>
        </w:tc>
        <w:tc>
          <w:tcPr>
            <w:tcW w:w="1597" w:type="dxa"/>
            <w:gridSpan w:val="2"/>
            <w:tcBorders>
              <w:top w:val="single" w:sz="4" w:space="0" w:color="auto"/>
              <w:left w:val="nil"/>
              <w:bottom w:val="single" w:sz="4" w:space="0" w:color="auto"/>
              <w:right w:val="single" w:sz="4" w:space="0" w:color="auto"/>
            </w:tcBorders>
            <w:shd w:val="clear" w:color="auto" w:fill="auto"/>
            <w:hideMark/>
          </w:tcPr>
          <w:p w:rsidR="00D96034" w:rsidRPr="00D96034" w:rsidRDefault="00D96034" w:rsidP="00D96034">
            <w:pPr>
              <w:overflowPunct/>
              <w:autoSpaceDE/>
              <w:autoSpaceDN/>
              <w:adjustRightInd/>
              <w:jc w:val="center"/>
              <w:textAlignment w:val="auto"/>
              <w:rPr>
                <w:rFonts w:ascii="Calibri" w:hAnsi="Calibri"/>
                <w:b/>
                <w:bCs/>
                <w:color w:val="000000"/>
                <w:sz w:val="22"/>
                <w:szCs w:val="22"/>
              </w:rPr>
            </w:pPr>
            <w:r w:rsidRPr="00D96034">
              <w:rPr>
                <w:rFonts w:ascii="Calibri" w:hAnsi="Calibri"/>
                <w:b/>
                <w:bCs/>
                <w:color w:val="000000"/>
                <w:sz w:val="22"/>
                <w:szCs w:val="22"/>
              </w:rPr>
              <w:t xml:space="preserve">Total Annual </w:t>
            </w:r>
            <w:r w:rsidRPr="00D96034">
              <w:rPr>
                <w:rFonts w:ascii="Calibri" w:hAnsi="Calibri"/>
                <w:b/>
                <w:bCs/>
                <w:color w:val="000000"/>
                <w:sz w:val="22"/>
                <w:szCs w:val="22"/>
              </w:rPr>
              <w:br/>
              <w:t>Cost</w:t>
            </w:r>
          </w:p>
        </w:tc>
      </w:tr>
      <w:tr w:rsidR="00E357E7" w:rsidRPr="00E357E7" w:rsidTr="00E357E7">
        <w:trPr>
          <w:gridAfter w:val="1"/>
          <w:wAfter w:w="165" w:type="dxa"/>
          <w:trHeight w:val="537"/>
        </w:trPr>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57E7" w:rsidRPr="00E357E7" w:rsidRDefault="00E357E7" w:rsidP="00D96034">
            <w:pPr>
              <w:overflowPunct/>
              <w:autoSpaceDE/>
              <w:autoSpaceDN/>
              <w:adjustRightInd/>
              <w:jc w:val="center"/>
              <w:textAlignment w:val="auto"/>
              <w:rPr>
                <w:rFonts w:ascii="Calibri" w:hAnsi="Calibri"/>
                <w:color w:val="000000"/>
                <w:sz w:val="22"/>
                <w:szCs w:val="22"/>
              </w:rPr>
            </w:pPr>
            <w:r w:rsidRPr="00E357E7">
              <w:rPr>
                <w:rFonts w:ascii="Calibri" w:hAnsi="Calibri"/>
                <w:color w:val="000000"/>
                <w:sz w:val="22"/>
                <w:szCs w:val="22"/>
              </w:rPr>
              <w:t>HUD-93173</w:t>
            </w:r>
          </w:p>
          <w:p w:rsidR="00E357E7" w:rsidRPr="00E357E7" w:rsidRDefault="00E357E7" w:rsidP="00D96034">
            <w:pPr>
              <w:jc w:val="center"/>
              <w:rPr>
                <w:rFonts w:ascii="Calibri" w:hAnsi="Calibri"/>
                <w:color w:val="000000"/>
                <w:sz w:val="22"/>
                <w:szCs w:val="22"/>
              </w:rPr>
            </w:pPr>
          </w:p>
        </w:tc>
        <w:tc>
          <w:tcPr>
            <w:tcW w:w="1440" w:type="dxa"/>
            <w:gridSpan w:val="2"/>
            <w:vMerge w:val="restart"/>
            <w:tcBorders>
              <w:top w:val="nil"/>
              <w:left w:val="nil"/>
              <w:right w:val="single" w:sz="4" w:space="0" w:color="auto"/>
            </w:tcBorders>
            <w:shd w:val="clear" w:color="auto" w:fill="auto"/>
            <w:noWrap/>
            <w:vAlign w:val="center"/>
            <w:hideMark/>
          </w:tcPr>
          <w:p w:rsidR="00E357E7" w:rsidRPr="00E357E7" w:rsidRDefault="00E357E7" w:rsidP="00D96034">
            <w:pPr>
              <w:overflowPunct/>
              <w:autoSpaceDE/>
              <w:autoSpaceDN/>
              <w:adjustRightInd/>
              <w:jc w:val="center"/>
              <w:textAlignment w:val="auto"/>
              <w:rPr>
                <w:rFonts w:ascii="Calibri" w:hAnsi="Calibri"/>
                <w:color w:val="000000"/>
                <w:sz w:val="22"/>
                <w:szCs w:val="22"/>
              </w:rPr>
            </w:pPr>
            <w:r w:rsidRPr="00E357E7">
              <w:rPr>
                <w:rFonts w:ascii="Calibri" w:hAnsi="Calibri"/>
                <w:color w:val="000000"/>
                <w:sz w:val="22"/>
                <w:szCs w:val="22"/>
              </w:rPr>
              <w:t>1,030</w:t>
            </w:r>
          </w:p>
        </w:tc>
        <w:tc>
          <w:tcPr>
            <w:tcW w:w="1170" w:type="dxa"/>
            <w:gridSpan w:val="2"/>
            <w:vMerge w:val="restart"/>
            <w:tcBorders>
              <w:top w:val="nil"/>
              <w:left w:val="nil"/>
              <w:right w:val="single" w:sz="4" w:space="0" w:color="auto"/>
            </w:tcBorders>
            <w:shd w:val="clear" w:color="auto" w:fill="auto"/>
            <w:noWrap/>
            <w:vAlign w:val="center"/>
            <w:hideMark/>
          </w:tcPr>
          <w:p w:rsidR="00E357E7" w:rsidRPr="00E357E7" w:rsidRDefault="00E357E7" w:rsidP="00D96034">
            <w:pPr>
              <w:overflowPunct/>
              <w:autoSpaceDE/>
              <w:autoSpaceDN/>
              <w:adjustRightInd/>
              <w:jc w:val="center"/>
              <w:textAlignment w:val="auto"/>
              <w:rPr>
                <w:rFonts w:ascii="Calibri" w:hAnsi="Calibri"/>
                <w:color w:val="000000"/>
                <w:sz w:val="22"/>
                <w:szCs w:val="22"/>
              </w:rPr>
            </w:pPr>
            <w:r w:rsidRPr="00E357E7">
              <w:rPr>
                <w:rFonts w:ascii="Calibri" w:hAnsi="Calibri"/>
                <w:color w:val="000000"/>
                <w:sz w:val="22"/>
                <w:szCs w:val="22"/>
              </w:rPr>
              <w:t>1</w:t>
            </w:r>
          </w:p>
        </w:tc>
        <w:tc>
          <w:tcPr>
            <w:tcW w:w="1260" w:type="dxa"/>
            <w:gridSpan w:val="2"/>
            <w:vMerge w:val="restart"/>
            <w:tcBorders>
              <w:top w:val="nil"/>
              <w:left w:val="nil"/>
              <w:right w:val="single" w:sz="4" w:space="0" w:color="auto"/>
            </w:tcBorders>
            <w:shd w:val="clear" w:color="auto" w:fill="auto"/>
            <w:noWrap/>
            <w:vAlign w:val="center"/>
            <w:hideMark/>
          </w:tcPr>
          <w:p w:rsidR="00E357E7" w:rsidRPr="00E357E7" w:rsidRDefault="007101A7" w:rsidP="00D96034">
            <w:pPr>
              <w:jc w:val="center"/>
              <w:rPr>
                <w:rFonts w:ascii="Calibri" w:hAnsi="Calibri"/>
                <w:color w:val="000000"/>
                <w:sz w:val="22"/>
                <w:szCs w:val="22"/>
              </w:rPr>
            </w:pPr>
            <w:r>
              <w:rPr>
                <w:rFonts w:ascii="Calibri" w:hAnsi="Calibri"/>
                <w:color w:val="000000"/>
                <w:sz w:val="22"/>
                <w:szCs w:val="22"/>
              </w:rPr>
              <w:t>24</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E357E7" w:rsidRPr="00E357E7" w:rsidRDefault="00E357E7" w:rsidP="00D96034">
            <w:pPr>
              <w:overflowPunct/>
              <w:autoSpaceDE/>
              <w:autoSpaceDN/>
              <w:adjustRightInd/>
              <w:jc w:val="center"/>
              <w:textAlignment w:val="auto"/>
              <w:rPr>
                <w:rFonts w:ascii="Calibri" w:hAnsi="Calibri"/>
                <w:color w:val="000000"/>
                <w:sz w:val="22"/>
                <w:szCs w:val="22"/>
              </w:rPr>
            </w:pPr>
            <w:r w:rsidRPr="00E357E7">
              <w:rPr>
                <w:rFonts w:ascii="Calibri" w:hAnsi="Calibri"/>
                <w:color w:val="000000"/>
                <w:sz w:val="22"/>
                <w:szCs w:val="22"/>
              </w:rPr>
              <w:t>0.5</w:t>
            </w:r>
          </w:p>
        </w:tc>
        <w:tc>
          <w:tcPr>
            <w:tcW w:w="900" w:type="dxa"/>
            <w:gridSpan w:val="2"/>
            <w:vMerge w:val="restart"/>
            <w:tcBorders>
              <w:top w:val="nil"/>
              <w:left w:val="nil"/>
              <w:right w:val="single" w:sz="4" w:space="0" w:color="auto"/>
            </w:tcBorders>
            <w:shd w:val="clear" w:color="auto" w:fill="auto"/>
            <w:noWrap/>
            <w:vAlign w:val="center"/>
            <w:hideMark/>
          </w:tcPr>
          <w:p w:rsidR="00E357E7" w:rsidRPr="00E357E7" w:rsidRDefault="00E357E7" w:rsidP="00D96034">
            <w:pPr>
              <w:jc w:val="center"/>
              <w:rPr>
                <w:rFonts w:ascii="Calibri" w:hAnsi="Calibri"/>
                <w:color w:val="000000"/>
                <w:sz w:val="22"/>
                <w:szCs w:val="22"/>
              </w:rPr>
            </w:pPr>
            <w:r w:rsidRPr="00E357E7">
              <w:rPr>
                <w:rFonts w:ascii="Calibri" w:hAnsi="Calibri"/>
                <w:color w:val="000000"/>
                <w:sz w:val="22"/>
                <w:szCs w:val="22"/>
              </w:rPr>
              <w:t>24</w:t>
            </w:r>
          </w:p>
        </w:tc>
        <w:tc>
          <w:tcPr>
            <w:tcW w:w="1170" w:type="dxa"/>
            <w:gridSpan w:val="2"/>
            <w:vMerge w:val="restart"/>
            <w:tcBorders>
              <w:top w:val="nil"/>
              <w:left w:val="nil"/>
              <w:right w:val="single" w:sz="4" w:space="0" w:color="auto"/>
            </w:tcBorders>
            <w:shd w:val="clear" w:color="auto" w:fill="auto"/>
            <w:noWrap/>
            <w:vAlign w:val="center"/>
            <w:hideMark/>
          </w:tcPr>
          <w:p w:rsidR="00E357E7" w:rsidRPr="00E357E7" w:rsidRDefault="00E357E7" w:rsidP="00D96034">
            <w:pPr>
              <w:jc w:val="center"/>
              <w:rPr>
                <w:rFonts w:ascii="Calibri" w:hAnsi="Calibri"/>
                <w:color w:val="000000"/>
                <w:sz w:val="22"/>
                <w:szCs w:val="22"/>
              </w:rPr>
            </w:pPr>
            <w:r w:rsidRPr="00E357E7">
              <w:rPr>
                <w:rFonts w:ascii="Calibri" w:hAnsi="Calibri"/>
                <w:color w:val="000000"/>
                <w:sz w:val="22"/>
                <w:szCs w:val="22"/>
              </w:rPr>
              <w:t>$    30.19</w:t>
            </w:r>
          </w:p>
        </w:tc>
        <w:tc>
          <w:tcPr>
            <w:tcW w:w="1597" w:type="dxa"/>
            <w:gridSpan w:val="2"/>
            <w:vMerge w:val="restart"/>
            <w:tcBorders>
              <w:top w:val="nil"/>
              <w:left w:val="nil"/>
              <w:right w:val="single" w:sz="4" w:space="0" w:color="auto"/>
            </w:tcBorders>
            <w:shd w:val="clear" w:color="auto" w:fill="auto"/>
            <w:noWrap/>
            <w:vAlign w:val="center"/>
            <w:hideMark/>
          </w:tcPr>
          <w:p w:rsidR="00E357E7" w:rsidRPr="00E357E7" w:rsidRDefault="00E357E7" w:rsidP="00D96034">
            <w:pPr>
              <w:jc w:val="center"/>
              <w:rPr>
                <w:rFonts w:ascii="Calibri" w:hAnsi="Calibri"/>
                <w:color w:val="000000"/>
                <w:sz w:val="22"/>
                <w:szCs w:val="22"/>
              </w:rPr>
            </w:pPr>
            <w:r w:rsidRPr="00E357E7">
              <w:rPr>
                <w:rFonts w:ascii="Calibri" w:hAnsi="Calibri"/>
                <w:color w:val="000000"/>
                <w:sz w:val="22"/>
                <w:szCs w:val="22"/>
              </w:rPr>
              <w:t>$                725</w:t>
            </w:r>
          </w:p>
        </w:tc>
      </w:tr>
      <w:tr w:rsidR="00E357E7" w:rsidRPr="00E357E7" w:rsidTr="00E357E7">
        <w:trPr>
          <w:gridAfter w:val="1"/>
          <w:wAfter w:w="165" w:type="dxa"/>
          <w:trHeight w:val="537"/>
        </w:trPr>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57E7" w:rsidRPr="00E357E7" w:rsidRDefault="00E357E7" w:rsidP="00D96034">
            <w:pPr>
              <w:overflowPunct/>
              <w:autoSpaceDE/>
              <w:autoSpaceDN/>
              <w:adjustRightInd/>
              <w:jc w:val="center"/>
              <w:textAlignment w:val="auto"/>
              <w:rPr>
                <w:rFonts w:ascii="Calibri" w:hAnsi="Calibri"/>
                <w:color w:val="000000"/>
                <w:sz w:val="22"/>
                <w:szCs w:val="22"/>
              </w:rPr>
            </w:pPr>
            <w:r w:rsidRPr="00E357E7">
              <w:rPr>
                <w:rFonts w:ascii="Calibri" w:hAnsi="Calibri"/>
                <w:color w:val="000000"/>
                <w:sz w:val="22"/>
                <w:szCs w:val="22"/>
              </w:rPr>
              <w:t>HUD-93175</w:t>
            </w:r>
          </w:p>
        </w:tc>
        <w:tc>
          <w:tcPr>
            <w:tcW w:w="1440" w:type="dxa"/>
            <w:gridSpan w:val="2"/>
            <w:vMerge/>
            <w:tcBorders>
              <w:left w:val="nil"/>
              <w:bottom w:val="single" w:sz="4" w:space="0" w:color="auto"/>
              <w:right w:val="single" w:sz="4" w:space="0" w:color="auto"/>
            </w:tcBorders>
            <w:shd w:val="clear" w:color="auto" w:fill="auto"/>
            <w:noWrap/>
            <w:vAlign w:val="center"/>
            <w:hideMark/>
          </w:tcPr>
          <w:p w:rsidR="00E357E7" w:rsidRPr="00E357E7" w:rsidRDefault="00E357E7" w:rsidP="00D96034">
            <w:pPr>
              <w:overflowPunct/>
              <w:autoSpaceDE/>
              <w:autoSpaceDN/>
              <w:adjustRightInd/>
              <w:jc w:val="center"/>
              <w:textAlignment w:val="auto"/>
              <w:rPr>
                <w:rFonts w:ascii="Calibri" w:hAnsi="Calibri"/>
                <w:color w:val="000000"/>
                <w:sz w:val="22"/>
                <w:szCs w:val="22"/>
              </w:rPr>
            </w:pPr>
          </w:p>
        </w:tc>
        <w:tc>
          <w:tcPr>
            <w:tcW w:w="1170" w:type="dxa"/>
            <w:gridSpan w:val="2"/>
            <w:vMerge/>
            <w:tcBorders>
              <w:left w:val="nil"/>
              <w:bottom w:val="single" w:sz="4" w:space="0" w:color="auto"/>
              <w:right w:val="single" w:sz="4" w:space="0" w:color="auto"/>
            </w:tcBorders>
            <w:shd w:val="clear" w:color="auto" w:fill="auto"/>
            <w:noWrap/>
            <w:vAlign w:val="center"/>
            <w:hideMark/>
          </w:tcPr>
          <w:p w:rsidR="00E357E7" w:rsidRPr="00E357E7" w:rsidRDefault="00E357E7" w:rsidP="00D96034">
            <w:pPr>
              <w:overflowPunct/>
              <w:autoSpaceDE/>
              <w:autoSpaceDN/>
              <w:adjustRightInd/>
              <w:jc w:val="center"/>
              <w:textAlignment w:val="auto"/>
              <w:rPr>
                <w:rFonts w:ascii="Calibri" w:hAnsi="Calibri"/>
                <w:color w:val="000000"/>
                <w:sz w:val="22"/>
                <w:szCs w:val="22"/>
              </w:rPr>
            </w:pPr>
          </w:p>
        </w:tc>
        <w:tc>
          <w:tcPr>
            <w:tcW w:w="1260" w:type="dxa"/>
            <w:gridSpan w:val="2"/>
            <w:vMerge/>
            <w:tcBorders>
              <w:left w:val="nil"/>
              <w:bottom w:val="single" w:sz="4" w:space="0" w:color="auto"/>
              <w:right w:val="single" w:sz="4" w:space="0" w:color="auto"/>
            </w:tcBorders>
            <w:shd w:val="clear" w:color="auto" w:fill="auto"/>
            <w:noWrap/>
            <w:vAlign w:val="center"/>
            <w:hideMark/>
          </w:tcPr>
          <w:p w:rsidR="00E357E7" w:rsidRPr="00E357E7" w:rsidRDefault="00E357E7" w:rsidP="00D96034">
            <w:pPr>
              <w:overflowPunct/>
              <w:autoSpaceDE/>
              <w:autoSpaceDN/>
              <w:adjustRightInd/>
              <w:jc w:val="center"/>
              <w:textAlignment w:val="auto"/>
              <w:rPr>
                <w:rFonts w:ascii="Calibri" w:hAnsi="Calibri"/>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E357E7" w:rsidRPr="00E357E7" w:rsidRDefault="00E357E7" w:rsidP="00D96034">
            <w:pPr>
              <w:overflowPunct/>
              <w:autoSpaceDE/>
              <w:autoSpaceDN/>
              <w:adjustRightInd/>
              <w:jc w:val="center"/>
              <w:textAlignment w:val="auto"/>
              <w:rPr>
                <w:rFonts w:ascii="Calibri" w:hAnsi="Calibri"/>
                <w:color w:val="000000"/>
                <w:sz w:val="22"/>
                <w:szCs w:val="22"/>
              </w:rPr>
            </w:pPr>
            <w:r w:rsidRPr="00E357E7">
              <w:rPr>
                <w:rFonts w:ascii="Calibri" w:hAnsi="Calibri"/>
                <w:color w:val="000000"/>
                <w:sz w:val="22"/>
                <w:szCs w:val="22"/>
              </w:rPr>
              <w:t>0.5</w:t>
            </w:r>
          </w:p>
        </w:tc>
        <w:tc>
          <w:tcPr>
            <w:tcW w:w="900" w:type="dxa"/>
            <w:gridSpan w:val="2"/>
            <w:vMerge/>
            <w:tcBorders>
              <w:left w:val="nil"/>
              <w:bottom w:val="single" w:sz="4" w:space="0" w:color="auto"/>
              <w:right w:val="single" w:sz="4" w:space="0" w:color="auto"/>
            </w:tcBorders>
            <w:shd w:val="clear" w:color="auto" w:fill="auto"/>
            <w:noWrap/>
            <w:vAlign w:val="center"/>
            <w:hideMark/>
          </w:tcPr>
          <w:p w:rsidR="00E357E7" w:rsidRPr="00E357E7" w:rsidRDefault="00E357E7" w:rsidP="00D96034">
            <w:pPr>
              <w:overflowPunct/>
              <w:autoSpaceDE/>
              <w:autoSpaceDN/>
              <w:adjustRightInd/>
              <w:jc w:val="center"/>
              <w:textAlignment w:val="auto"/>
              <w:rPr>
                <w:rFonts w:ascii="Calibri" w:hAnsi="Calibri"/>
                <w:color w:val="000000"/>
                <w:sz w:val="22"/>
                <w:szCs w:val="22"/>
              </w:rPr>
            </w:pPr>
          </w:p>
        </w:tc>
        <w:tc>
          <w:tcPr>
            <w:tcW w:w="1170" w:type="dxa"/>
            <w:gridSpan w:val="2"/>
            <w:vMerge/>
            <w:tcBorders>
              <w:left w:val="nil"/>
              <w:bottom w:val="single" w:sz="4" w:space="0" w:color="auto"/>
              <w:right w:val="single" w:sz="4" w:space="0" w:color="auto"/>
            </w:tcBorders>
            <w:shd w:val="clear" w:color="auto" w:fill="auto"/>
            <w:noWrap/>
            <w:vAlign w:val="center"/>
            <w:hideMark/>
          </w:tcPr>
          <w:p w:rsidR="00E357E7" w:rsidRPr="00E357E7" w:rsidRDefault="00E357E7" w:rsidP="00D96034">
            <w:pPr>
              <w:overflowPunct/>
              <w:autoSpaceDE/>
              <w:autoSpaceDN/>
              <w:adjustRightInd/>
              <w:jc w:val="center"/>
              <w:textAlignment w:val="auto"/>
              <w:rPr>
                <w:rFonts w:ascii="Calibri" w:hAnsi="Calibri"/>
                <w:color w:val="000000"/>
                <w:sz w:val="22"/>
                <w:szCs w:val="22"/>
              </w:rPr>
            </w:pPr>
          </w:p>
        </w:tc>
        <w:tc>
          <w:tcPr>
            <w:tcW w:w="1597" w:type="dxa"/>
            <w:gridSpan w:val="2"/>
            <w:vMerge/>
            <w:tcBorders>
              <w:left w:val="nil"/>
              <w:bottom w:val="single" w:sz="4" w:space="0" w:color="auto"/>
              <w:right w:val="single" w:sz="4" w:space="0" w:color="auto"/>
            </w:tcBorders>
            <w:shd w:val="clear" w:color="auto" w:fill="auto"/>
            <w:noWrap/>
            <w:vAlign w:val="center"/>
            <w:hideMark/>
          </w:tcPr>
          <w:p w:rsidR="00E357E7" w:rsidRPr="00E357E7" w:rsidRDefault="00E357E7" w:rsidP="00D96034">
            <w:pPr>
              <w:overflowPunct/>
              <w:autoSpaceDE/>
              <w:autoSpaceDN/>
              <w:adjustRightInd/>
              <w:jc w:val="center"/>
              <w:textAlignment w:val="auto"/>
              <w:rPr>
                <w:rFonts w:ascii="Calibri" w:hAnsi="Calibri"/>
                <w:color w:val="000000"/>
                <w:sz w:val="22"/>
                <w:szCs w:val="22"/>
              </w:rPr>
            </w:pPr>
          </w:p>
        </w:tc>
      </w:tr>
      <w:tr w:rsidR="00E357E7" w:rsidRPr="00D96034" w:rsidTr="00E357E7">
        <w:trPr>
          <w:gridAfter w:val="1"/>
          <w:wAfter w:w="165" w:type="dxa"/>
          <w:trHeight w:val="537"/>
        </w:trPr>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57E7" w:rsidRPr="00D96034" w:rsidRDefault="00E357E7" w:rsidP="00D96034">
            <w:pPr>
              <w:overflowPunct/>
              <w:autoSpaceDE/>
              <w:autoSpaceDN/>
              <w:adjustRightInd/>
              <w:jc w:val="center"/>
              <w:textAlignment w:val="auto"/>
              <w:rPr>
                <w:rFonts w:ascii="Calibri" w:hAnsi="Calibri"/>
                <w:color w:val="000000"/>
                <w:sz w:val="22"/>
                <w:szCs w:val="22"/>
              </w:rPr>
            </w:pPr>
            <w:r w:rsidRPr="00D96034">
              <w:rPr>
                <w:rFonts w:ascii="Calibri" w:hAnsi="Calibri"/>
                <w:color w:val="000000"/>
                <w:sz w:val="22"/>
                <w:szCs w:val="22"/>
              </w:rPr>
              <w:t>HUD-93176</w:t>
            </w:r>
          </w:p>
          <w:p w:rsidR="00E357E7" w:rsidRPr="00D96034" w:rsidRDefault="00E357E7" w:rsidP="00D96034">
            <w:pPr>
              <w:jc w:val="center"/>
              <w:rPr>
                <w:rFonts w:ascii="Calibri" w:hAnsi="Calibri"/>
                <w:color w:val="000000"/>
                <w:sz w:val="22"/>
                <w:szCs w:val="22"/>
              </w:rPr>
            </w:pPr>
          </w:p>
        </w:tc>
        <w:tc>
          <w:tcPr>
            <w:tcW w:w="1440" w:type="dxa"/>
            <w:gridSpan w:val="2"/>
            <w:vMerge w:val="restart"/>
            <w:tcBorders>
              <w:top w:val="nil"/>
              <w:left w:val="nil"/>
              <w:right w:val="single" w:sz="4" w:space="0" w:color="auto"/>
            </w:tcBorders>
            <w:shd w:val="clear" w:color="auto" w:fill="auto"/>
            <w:noWrap/>
            <w:vAlign w:val="center"/>
            <w:hideMark/>
          </w:tcPr>
          <w:p w:rsidR="00E357E7" w:rsidRPr="00D96034" w:rsidRDefault="00E357E7" w:rsidP="00D96034">
            <w:pPr>
              <w:overflowPunct/>
              <w:autoSpaceDE/>
              <w:autoSpaceDN/>
              <w:adjustRightInd/>
              <w:jc w:val="center"/>
              <w:textAlignment w:val="auto"/>
              <w:rPr>
                <w:rFonts w:ascii="Calibri" w:hAnsi="Calibri"/>
                <w:color w:val="000000"/>
                <w:sz w:val="22"/>
                <w:szCs w:val="22"/>
              </w:rPr>
            </w:pPr>
            <w:r w:rsidRPr="00D96034">
              <w:rPr>
                <w:rFonts w:ascii="Calibri" w:hAnsi="Calibri"/>
                <w:color w:val="000000"/>
                <w:sz w:val="22"/>
                <w:szCs w:val="22"/>
              </w:rPr>
              <w:t>1,030</w:t>
            </w:r>
          </w:p>
        </w:tc>
        <w:tc>
          <w:tcPr>
            <w:tcW w:w="1170" w:type="dxa"/>
            <w:gridSpan w:val="2"/>
            <w:vMerge w:val="restart"/>
            <w:tcBorders>
              <w:top w:val="nil"/>
              <w:left w:val="nil"/>
              <w:right w:val="single" w:sz="4" w:space="0" w:color="auto"/>
            </w:tcBorders>
            <w:shd w:val="clear" w:color="auto" w:fill="auto"/>
            <w:noWrap/>
            <w:vAlign w:val="center"/>
            <w:hideMark/>
          </w:tcPr>
          <w:p w:rsidR="00E357E7" w:rsidRPr="00D96034" w:rsidRDefault="00E357E7" w:rsidP="00D96034">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w:t>
            </w:r>
          </w:p>
        </w:tc>
        <w:tc>
          <w:tcPr>
            <w:tcW w:w="1260" w:type="dxa"/>
            <w:gridSpan w:val="2"/>
            <w:vMerge w:val="restart"/>
            <w:tcBorders>
              <w:top w:val="nil"/>
              <w:left w:val="nil"/>
              <w:right w:val="single" w:sz="4" w:space="0" w:color="auto"/>
            </w:tcBorders>
            <w:shd w:val="clear" w:color="auto" w:fill="auto"/>
            <w:noWrap/>
            <w:vAlign w:val="center"/>
            <w:hideMark/>
          </w:tcPr>
          <w:p w:rsidR="00E357E7" w:rsidRPr="00D96034" w:rsidRDefault="007101A7" w:rsidP="00D96034">
            <w:pPr>
              <w:jc w:val="center"/>
              <w:rPr>
                <w:rFonts w:ascii="Calibri" w:hAnsi="Calibri"/>
                <w:color w:val="000000"/>
                <w:sz w:val="22"/>
                <w:szCs w:val="22"/>
              </w:rPr>
            </w:pPr>
            <w:r>
              <w:rPr>
                <w:rFonts w:ascii="Calibri" w:hAnsi="Calibri"/>
                <w:color w:val="000000"/>
                <w:sz w:val="22"/>
                <w:szCs w:val="22"/>
              </w:rPr>
              <w:t>24</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E357E7" w:rsidRPr="00D96034" w:rsidRDefault="00E357E7" w:rsidP="00D96034">
            <w:pPr>
              <w:overflowPunct/>
              <w:autoSpaceDE/>
              <w:autoSpaceDN/>
              <w:adjustRightInd/>
              <w:jc w:val="center"/>
              <w:textAlignment w:val="auto"/>
              <w:rPr>
                <w:rFonts w:ascii="Calibri" w:hAnsi="Calibri"/>
                <w:color w:val="000000"/>
                <w:sz w:val="22"/>
                <w:szCs w:val="22"/>
              </w:rPr>
            </w:pPr>
            <w:r w:rsidRPr="00D96034">
              <w:rPr>
                <w:rFonts w:ascii="Calibri" w:hAnsi="Calibri"/>
                <w:color w:val="000000"/>
                <w:sz w:val="22"/>
                <w:szCs w:val="22"/>
              </w:rPr>
              <w:t>0.5</w:t>
            </w:r>
          </w:p>
        </w:tc>
        <w:tc>
          <w:tcPr>
            <w:tcW w:w="900" w:type="dxa"/>
            <w:gridSpan w:val="2"/>
            <w:vMerge w:val="restart"/>
            <w:tcBorders>
              <w:top w:val="nil"/>
              <w:left w:val="nil"/>
              <w:right w:val="single" w:sz="4" w:space="0" w:color="auto"/>
            </w:tcBorders>
            <w:shd w:val="clear" w:color="auto" w:fill="auto"/>
            <w:noWrap/>
            <w:vAlign w:val="center"/>
            <w:hideMark/>
          </w:tcPr>
          <w:p w:rsidR="00E357E7" w:rsidRPr="00D96034" w:rsidRDefault="00E357E7" w:rsidP="00D96034">
            <w:pPr>
              <w:jc w:val="center"/>
              <w:rPr>
                <w:rFonts w:ascii="Calibri" w:hAnsi="Calibri"/>
                <w:color w:val="000000"/>
                <w:sz w:val="22"/>
                <w:szCs w:val="22"/>
              </w:rPr>
            </w:pPr>
            <w:r w:rsidRPr="00D96034">
              <w:rPr>
                <w:rFonts w:ascii="Calibri" w:hAnsi="Calibri"/>
                <w:color w:val="000000"/>
                <w:sz w:val="22"/>
                <w:szCs w:val="22"/>
              </w:rPr>
              <w:t>24</w:t>
            </w:r>
          </w:p>
        </w:tc>
        <w:tc>
          <w:tcPr>
            <w:tcW w:w="1170" w:type="dxa"/>
            <w:gridSpan w:val="2"/>
            <w:vMerge w:val="restart"/>
            <w:tcBorders>
              <w:top w:val="nil"/>
              <w:left w:val="nil"/>
              <w:right w:val="single" w:sz="4" w:space="0" w:color="auto"/>
            </w:tcBorders>
            <w:shd w:val="clear" w:color="auto" w:fill="auto"/>
            <w:noWrap/>
            <w:vAlign w:val="center"/>
            <w:hideMark/>
          </w:tcPr>
          <w:p w:rsidR="00E357E7" w:rsidRPr="00D96034" w:rsidRDefault="00E357E7" w:rsidP="00D96034">
            <w:pPr>
              <w:jc w:val="center"/>
              <w:rPr>
                <w:rFonts w:ascii="Calibri" w:hAnsi="Calibri"/>
                <w:color w:val="000000"/>
                <w:sz w:val="22"/>
                <w:szCs w:val="22"/>
              </w:rPr>
            </w:pPr>
            <w:r w:rsidRPr="00D96034">
              <w:rPr>
                <w:rFonts w:ascii="Calibri" w:hAnsi="Calibri"/>
                <w:color w:val="000000"/>
                <w:sz w:val="22"/>
                <w:szCs w:val="22"/>
              </w:rPr>
              <w:t>$    30.19</w:t>
            </w:r>
          </w:p>
        </w:tc>
        <w:tc>
          <w:tcPr>
            <w:tcW w:w="1597" w:type="dxa"/>
            <w:gridSpan w:val="2"/>
            <w:vMerge w:val="restart"/>
            <w:tcBorders>
              <w:top w:val="nil"/>
              <w:left w:val="nil"/>
              <w:right w:val="single" w:sz="4" w:space="0" w:color="auto"/>
            </w:tcBorders>
            <w:shd w:val="clear" w:color="auto" w:fill="auto"/>
            <w:noWrap/>
            <w:vAlign w:val="center"/>
            <w:hideMark/>
          </w:tcPr>
          <w:p w:rsidR="00E357E7" w:rsidRPr="00D96034" w:rsidRDefault="00E357E7" w:rsidP="00D96034">
            <w:pPr>
              <w:jc w:val="center"/>
              <w:rPr>
                <w:rFonts w:ascii="Calibri" w:hAnsi="Calibri"/>
                <w:color w:val="000000"/>
                <w:sz w:val="22"/>
                <w:szCs w:val="22"/>
              </w:rPr>
            </w:pPr>
            <w:r w:rsidRPr="00D96034">
              <w:rPr>
                <w:rFonts w:ascii="Calibri" w:hAnsi="Calibri"/>
                <w:color w:val="000000"/>
                <w:sz w:val="22"/>
                <w:szCs w:val="22"/>
              </w:rPr>
              <w:t>$                725</w:t>
            </w:r>
          </w:p>
        </w:tc>
      </w:tr>
      <w:tr w:rsidR="00E357E7" w:rsidRPr="00D96034" w:rsidTr="00E357E7">
        <w:trPr>
          <w:gridAfter w:val="1"/>
          <w:wAfter w:w="165" w:type="dxa"/>
          <w:trHeight w:val="537"/>
        </w:trPr>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57E7" w:rsidRPr="00D96034" w:rsidRDefault="00E357E7" w:rsidP="00D96034">
            <w:pPr>
              <w:overflowPunct/>
              <w:autoSpaceDE/>
              <w:autoSpaceDN/>
              <w:adjustRightInd/>
              <w:jc w:val="center"/>
              <w:textAlignment w:val="auto"/>
              <w:rPr>
                <w:rFonts w:ascii="Calibri" w:hAnsi="Calibri"/>
                <w:color w:val="000000"/>
                <w:sz w:val="22"/>
                <w:szCs w:val="22"/>
              </w:rPr>
            </w:pPr>
            <w:r w:rsidRPr="00D96034">
              <w:rPr>
                <w:rFonts w:ascii="Calibri" w:hAnsi="Calibri"/>
                <w:color w:val="000000"/>
                <w:sz w:val="22"/>
                <w:szCs w:val="22"/>
              </w:rPr>
              <w:t>HUD-93174</w:t>
            </w:r>
          </w:p>
        </w:tc>
        <w:tc>
          <w:tcPr>
            <w:tcW w:w="1440" w:type="dxa"/>
            <w:gridSpan w:val="2"/>
            <w:vMerge/>
            <w:tcBorders>
              <w:left w:val="nil"/>
              <w:bottom w:val="single" w:sz="4" w:space="0" w:color="auto"/>
              <w:right w:val="single" w:sz="4" w:space="0" w:color="auto"/>
            </w:tcBorders>
            <w:shd w:val="clear" w:color="auto" w:fill="auto"/>
            <w:noWrap/>
            <w:vAlign w:val="center"/>
            <w:hideMark/>
          </w:tcPr>
          <w:p w:rsidR="00E357E7" w:rsidRPr="00D96034" w:rsidRDefault="00E357E7" w:rsidP="00D96034">
            <w:pPr>
              <w:overflowPunct/>
              <w:autoSpaceDE/>
              <w:autoSpaceDN/>
              <w:adjustRightInd/>
              <w:jc w:val="center"/>
              <w:textAlignment w:val="auto"/>
              <w:rPr>
                <w:rFonts w:ascii="Calibri" w:hAnsi="Calibri"/>
                <w:color w:val="000000"/>
                <w:sz w:val="22"/>
                <w:szCs w:val="22"/>
              </w:rPr>
            </w:pPr>
          </w:p>
        </w:tc>
        <w:tc>
          <w:tcPr>
            <w:tcW w:w="1170" w:type="dxa"/>
            <w:gridSpan w:val="2"/>
            <w:vMerge/>
            <w:tcBorders>
              <w:left w:val="nil"/>
              <w:bottom w:val="single" w:sz="4" w:space="0" w:color="auto"/>
              <w:right w:val="single" w:sz="4" w:space="0" w:color="auto"/>
            </w:tcBorders>
            <w:shd w:val="clear" w:color="auto" w:fill="auto"/>
            <w:noWrap/>
            <w:vAlign w:val="center"/>
            <w:hideMark/>
          </w:tcPr>
          <w:p w:rsidR="00E357E7" w:rsidRPr="00D96034" w:rsidRDefault="00E357E7" w:rsidP="00D96034">
            <w:pPr>
              <w:overflowPunct/>
              <w:autoSpaceDE/>
              <w:autoSpaceDN/>
              <w:adjustRightInd/>
              <w:jc w:val="center"/>
              <w:textAlignment w:val="auto"/>
              <w:rPr>
                <w:rFonts w:ascii="Calibri" w:hAnsi="Calibri"/>
                <w:color w:val="000000"/>
                <w:sz w:val="22"/>
                <w:szCs w:val="22"/>
              </w:rPr>
            </w:pPr>
          </w:p>
        </w:tc>
        <w:tc>
          <w:tcPr>
            <w:tcW w:w="1260" w:type="dxa"/>
            <w:gridSpan w:val="2"/>
            <w:vMerge/>
            <w:tcBorders>
              <w:left w:val="nil"/>
              <w:bottom w:val="single" w:sz="4" w:space="0" w:color="auto"/>
              <w:right w:val="single" w:sz="4" w:space="0" w:color="auto"/>
            </w:tcBorders>
            <w:shd w:val="clear" w:color="auto" w:fill="auto"/>
            <w:noWrap/>
            <w:vAlign w:val="center"/>
            <w:hideMark/>
          </w:tcPr>
          <w:p w:rsidR="00E357E7" w:rsidRPr="00D96034" w:rsidRDefault="00E357E7" w:rsidP="00D96034">
            <w:pPr>
              <w:overflowPunct/>
              <w:autoSpaceDE/>
              <w:autoSpaceDN/>
              <w:adjustRightInd/>
              <w:jc w:val="center"/>
              <w:textAlignment w:val="auto"/>
              <w:rPr>
                <w:rFonts w:ascii="Calibri" w:hAnsi="Calibri"/>
                <w:color w:val="000000"/>
                <w:sz w:val="22"/>
                <w:szCs w:val="22"/>
              </w:rPr>
            </w:pP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E357E7" w:rsidRPr="00D96034" w:rsidRDefault="00E357E7" w:rsidP="00D96034">
            <w:pPr>
              <w:overflowPunct/>
              <w:autoSpaceDE/>
              <w:autoSpaceDN/>
              <w:adjustRightInd/>
              <w:jc w:val="center"/>
              <w:textAlignment w:val="auto"/>
              <w:rPr>
                <w:rFonts w:ascii="Calibri" w:hAnsi="Calibri"/>
                <w:color w:val="000000"/>
                <w:sz w:val="22"/>
                <w:szCs w:val="22"/>
              </w:rPr>
            </w:pPr>
            <w:r w:rsidRPr="00D96034">
              <w:rPr>
                <w:rFonts w:ascii="Calibri" w:hAnsi="Calibri"/>
                <w:color w:val="000000"/>
                <w:sz w:val="22"/>
                <w:szCs w:val="22"/>
              </w:rPr>
              <w:t>0.5</w:t>
            </w:r>
          </w:p>
        </w:tc>
        <w:tc>
          <w:tcPr>
            <w:tcW w:w="900" w:type="dxa"/>
            <w:gridSpan w:val="2"/>
            <w:vMerge/>
            <w:tcBorders>
              <w:left w:val="nil"/>
              <w:bottom w:val="single" w:sz="4" w:space="0" w:color="auto"/>
              <w:right w:val="single" w:sz="4" w:space="0" w:color="auto"/>
            </w:tcBorders>
            <w:shd w:val="clear" w:color="auto" w:fill="auto"/>
            <w:noWrap/>
            <w:vAlign w:val="center"/>
            <w:hideMark/>
          </w:tcPr>
          <w:p w:rsidR="00E357E7" w:rsidRPr="00D96034" w:rsidRDefault="00E357E7" w:rsidP="00D96034">
            <w:pPr>
              <w:overflowPunct/>
              <w:autoSpaceDE/>
              <w:autoSpaceDN/>
              <w:adjustRightInd/>
              <w:jc w:val="center"/>
              <w:textAlignment w:val="auto"/>
              <w:rPr>
                <w:rFonts w:ascii="Calibri" w:hAnsi="Calibri"/>
                <w:color w:val="000000"/>
                <w:sz w:val="22"/>
                <w:szCs w:val="22"/>
              </w:rPr>
            </w:pPr>
          </w:p>
        </w:tc>
        <w:tc>
          <w:tcPr>
            <w:tcW w:w="1170" w:type="dxa"/>
            <w:gridSpan w:val="2"/>
            <w:vMerge/>
            <w:tcBorders>
              <w:left w:val="nil"/>
              <w:bottom w:val="single" w:sz="4" w:space="0" w:color="auto"/>
              <w:right w:val="single" w:sz="4" w:space="0" w:color="auto"/>
            </w:tcBorders>
            <w:shd w:val="clear" w:color="auto" w:fill="auto"/>
            <w:noWrap/>
            <w:vAlign w:val="center"/>
            <w:hideMark/>
          </w:tcPr>
          <w:p w:rsidR="00E357E7" w:rsidRPr="00D96034" w:rsidRDefault="00E357E7" w:rsidP="00D96034">
            <w:pPr>
              <w:overflowPunct/>
              <w:autoSpaceDE/>
              <w:autoSpaceDN/>
              <w:adjustRightInd/>
              <w:jc w:val="center"/>
              <w:textAlignment w:val="auto"/>
              <w:rPr>
                <w:rFonts w:ascii="Calibri" w:hAnsi="Calibri"/>
                <w:color w:val="000000"/>
                <w:sz w:val="22"/>
                <w:szCs w:val="22"/>
              </w:rPr>
            </w:pPr>
          </w:p>
        </w:tc>
        <w:tc>
          <w:tcPr>
            <w:tcW w:w="1597" w:type="dxa"/>
            <w:gridSpan w:val="2"/>
            <w:vMerge/>
            <w:tcBorders>
              <w:left w:val="nil"/>
              <w:bottom w:val="single" w:sz="4" w:space="0" w:color="auto"/>
              <w:right w:val="single" w:sz="4" w:space="0" w:color="auto"/>
            </w:tcBorders>
            <w:shd w:val="clear" w:color="auto" w:fill="auto"/>
            <w:noWrap/>
            <w:vAlign w:val="center"/>
            <w:hideMark/>
          </w:tcPr>
          <w:p w:rsidR="00E357E7" w:rsidRPr="00D96034" w:rsidRDefault="00E357E7" w:rsidP="00D96034">
            <w:pPr>
              <w:overflowPunct/>
              <w:autoSpaceDE/>
              <w:autoSpaceDN/>
              <w:adjustRightInd/>
              <w:jc w:val="center"/>
              <w:textAlignment w:val="auto"/>
              <w:rPr>
                <w:rFonts w:ascii="Calibri" w:hAnsi="Calibri"/>
                <w:color w:val="000000"/>
                <w:sz w:val="22"/>
                <w:szCs w:val="22"/>
              </w:rPr>
            </w:pPr>
          </w:p>
        </w:tc>
      </w:tr>
      <w:tr w:rsidR="00D96034" w:rsidRPr="00D96034" w:rsidTr="00D96034">
        <w:trPr>
          <w:gridAfter w:val="1"/>
          <w:wAfter w:w="165" w:type="dxa"/>
          <w:trHeight w:val="420"/>
        </w:trPr>
        <w:tc>
          <w:tcPr>
            <w:tcW w:w="1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D96034" w:rsidRPr="00D96034" w:rsidRDefault="00D96034" w:rsidP="00D96034">
            <w:pPr>
              <w:overflowPunct/>
              <w:autoSpaceDE/>
              <w:autoSpaceDN/>
              <w:adjustRightInd/>
              <w:jc w:val="center"/>
              <w:textAlignment w:val="auto"/>
              <w:rPr>
                <w:rFonts w:ascii="Calibri" w:hAnsi="Calibri"/>
                <w:color w:val="000000"/>
                <w:sz w:val="22"/>
                <w:szCs w:val="22"/>
              </w:rPr>
            </w:pPr>
            <w:r w:rsidRPr="00D96034">
              <w:rPr>
                <w:rFonts w:ascii="Calibri" w:hAnsi="Calibri"/>
                <w:color w:val="000000"/>
                <w:sz w:val="22"/>
                <w:szCs w:val="22"/>
              </w:rPr>
              <w:t>Total</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D96034" w:rsidRPr="00D96034" w:rsidRDefault="007101A7" w:rsidP="00D96034">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1030</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D96034" w:rsidRPr="00D96034" w:rsidRDefault="00D96034" w:rsidP="00D96034">
            <w:pPr>
              <w:overflowPunct/>
              <w:autoSpaceDE/>
              <w:autoSpaceDN/>
              <w:adjustRightInd/>
              <w:jc w:val="center"/>
              <w:textAlignment w:val="auto"/>
              <w:rPr>
                <w:rFonts w:ascii="Calibri" w:hAnsi="Calibri"/>
                <w:color w:val="000000"/>
                <w:sz w:val="22"/>
                <w:szCs w:val="22"/>
              </w:rPr>
            </w:pP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D96034" w:rsidRPr="00D96034" w:rsidRDefault="007101A7" w:rsidP="00D96034">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48</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D96034" w:rsidRPr="00D96034" w:rsidRDefault="00D96034" w:rsidP="00D96034">
            <w:pPr>
              <w:overflowPunct/>
              <w:autoSpaceDE/>
              <w:autoSpaceDN/>
              <w:adjustRightInd/>
              <w:jc w:val="center"/>
              <w:textAlignment w:val="auto"/>
              <w:rPr>
                <w:rFonts w:ascii="Calibri" w:hAnsi="Calibri"/>
                <w:color w:val="000000"/>
                <w:sz w:val="22"/>
                <w:szCs w:val="22"/>
              </w:rPr>
            </w:pPr>
          </w:p>
        </w:tc>
        <w:tc>
          <w:tcPr>
            <w:tcW w:w="900" w:type="dxa"/>
            <w:gridSpan w:val="2"/>
            <w:tcBorders>
              <w:top w:val="nil"/>
              <w:left w:val="nil"/>
              <w:bottom w:val="single" w:sz="4" w:space="0" w:color="auto"/>
              <w:right w:val="single" w:sz="4" w:space="0" w:color="auto"/>
            </w:tcBorders>
            <w:shd w:val="clear" w:color="auto" w:fill="auto"/>
            <w:noWrap/>
            <w:vAlign w:val="center"/>
            <w:hideMark/>
          </w:tcPr>
          <w:p w:rsidR="00D96034" w:rsidRPr="00D96034" w:rsidRDefault="0010561E" w:rsidP="00D96034">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48</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D96034" w:rsidRPr="00D96034" w:rsidRDefault="00D96034" w:rsidP="00D96034">
            <w:pPr>
              <w:overflowPunct/>
              <w:autoSpaceDE/>
              <w:autoSpaceDN/>
              <w:adjustRightInd/>
              <w:jc w:val="center"/>
              <w:textAlignment w:val="auto"/>
              <w:rPr>
                <w:rFonts w:ascii="Calibri" w:hAnsi="Calibri"/>
                <w:color w:val="000000"/>
                <w:sz w:val="22"/>
                <w:szCs w:val="22"/>
              </w:rPr>
            </w:pPr>
          </w:p>
        </w:tc>
        <w:tc>
          <w:tcPr>
            <w:tcW w:w="1597" w:type="dxa"/>
            <w:gridSpan w:val="2"/>
            <w:tcBorders>
              <w:top w:val="nil"/>
              <w:left w:val="nil"/>
              <w:bottom w:val="single" w:sz="4" w:space="0" w:color="auto"/>
              <w:right w:val="single" w:sz="4" w:space="0" w:color="auto"/>
            </w:tcBorders>
            <w:shd w:val="clear" w:color="auto" w:fill="auto"/>
            <w:noWrap/>
            <w:vAlign w:val="center"/>
            <w:hideMark/>
          </w:tcPr>
          <w:p w:rsidR="00D96034" w:rsidRPr="00D96034" w:rsidRDefault="00D96034" w:rsidP="007101A7">
            <w:pPr>
              <w:overflowPunct/>
              <w:autoSpaceDE/>
              <w:autoSpaceDN/>
              <w:adjustRightInd/>
              <w:jc w:val="center"/>
              <w:textAlignment w:val="auto"/>
              <w:rPr>
                <w:rFonts w:ascii="Calibri" w:hAnsi="Calibri"/>
                <w:color w:val="000000"/>
                <w:sz w:val="22"/>
                <w:szCs w:val="22"/>
              </w:rPr>
            </w:pPr>
            <w:r w:rsidRPr="00D96034">
              <w:rPr>
                <w:rFonts w:ascii="Calibri" w:hAnsi="Calibri"/>
                <w:color w:val="000000"/>
                <w:sz w:val="22"/>
                <w:szCs w:val="22"/>
              </w:rPr>
              <w:t xml:space="preserve">$            </w:t>
            </w:r>
            <w:r w:rsidR="0010561E">
              <w:rPr>
                <w:rFonts w:ascii="Calibri" w:hAnsi="Calibri"/>
                <w:color w:val="000000"/>
                <w:sz w:val="22"/>
                <w:szCs w:val="22"/>
              </w:rPr>
              <w:t>1,</w:t>
            </w:r>
            <w:r w:rsidR="007101A7">
              <w:rPr>
                <w:rFonts w:ascii="Calibri" w:hAnsi="Calibri"/>
                <w:color w:val="000000"/>
                <w:sz w:val="22"/>
                <w:szCs w:val="22"/>
              </w:rPr>
              <w:t>450</w:t>
            </w:r>
          </w:p>
        </w:tc>
      </w:tr>
    </w:tbl>
    <w:p w:rsidR="005B11C0" w:rsidRDefault="005B11C0" w:rsidP="005B11C0">
      <w:pPr>
        <w:keepLines/>
        <w:tabs>
          <w:tab w:val="left" w:pos="480"/>
        </w:tabs>
        <w:spacing w:after="100" w:afterAutospacing="1"/>
        <w:ind w:left="446"/>
        <w:rPr>
          <w:b/>
          <w:sz w:val="24"/>
          <w:szCs w:val="24"/>
          <w:vertAlign w:val="subscript"/>
        </w:rPr>
      </w:pPr>
      <w:r>
        <w:rPr>
          <w:b/>
          <w:sz w:val="24"/>
          <w:szCs w:val="24"/>
          <w:vertAlign w:val="subscript"/>
        </w:rPr>
        <w:t>*</w:t>
      </w:r>
      <w:r w:rsidRPr="00A624D9">
        <w:rPr>
          <w:b/>
          <w:sz w:val="24"/>
          <w:szCs w:val="24"/>
          <w:vertAlign w:val="subscript"/>
        </w:rPr>
        <w:t>Number of respon</w:t>
      </w:r>
      <w:r>
        <w:rPr>
          <w:b/>
          <w:sz w:val="24"/>
          <w:szCs w:val="24"/>
          <w:vertAlign w:val="subscript"/>
        </w:rPr>
        <w:t xml:space="preserve">dents is </w:t>
      </w:r>
      <w:r w:rsidRPr="00A624D9">
        <w:rPr>
          <w:b/>
          <w:sz w:val="24"/>
          <w:szCs w:val="24"/>
          <w:vertAlign w:val="subscript"/>
        </w:rPr>
        <w:t xml:space="preserve">based on </w:t>
      </w:r>
      <w:r>
        <w:rPr>
          <w:b/>
          <w:sz w:val="24"/>
          <w:szCs w:val="24"/>
          <w:vertAlign w:val="subscript"/>
        </w:rPr>
        <w:t xml:space="preserve">the current number of </w:t>
      </w:r>
      <w:r w:rsidRPr="00A624D9">
        <w:rPr>
          <w:b/>
          <w:sz w:val="24"/>
          <w:szCs w:val="24"/>
          <w:vertAlign w:val="subscript"/>
        </w:rPr>
        <w:t xml:space="preserve">Section 236 projects </w:t>
      </w:r>
      <w:r>
        <w:rPr>
          <w:b/>
          <w:sz w:val="24"/>
          <w:szCs w:val="24"/>
          <w:vertAlign w:val="subscript"/>
        </w:rPr>
        <w:t>in HUD systems</w:t>
      </w:r>
      <w:r w:rsidR="00D96034">
        <w:rPr>
          <w:b/>
          <w:sz w:val="24"/>
          <w:szCs w:val="24"/>
          <w:vertAlign w:val="subscript"/>
        </w:rPr>
        <w:t xml:space="preserve"> that have not decoupled</w:t>
      </w:r>
      <w:r>
        <w:rPr>
          <w:b/>
          <w:sz w:val="24"/>
          <w:szCs w:val="24"/>
          <w:vertAlign w:val="subscript"/>
        </w:rPr>
        <w:t>.</w:t>
      </w:r>
    </w:p>
    <w:p w:rsidR="005B11C0" w:rsidRDefault="005B11C0" w:rsidP="005B11C0">
      <w:pPr>
        <w:keepLines/>
        <w:tabs>
          <w:tab w:val="left" w:pos="480"/>
        </w:tabs>
        <w:spacing w:after="100" w:afterAutospacing="1"/>
        <w:ind w:left="446"/>
        <w:rPr>
          <w:b/>
          <w:sz w:val="24"/>
          <w:szCs w:val="24"/>
          <w:vertAlign w:val="subscript"/>
        </w:rPr>
      </w:pPr>
      <w:r>
        <w:rPr>
          <w:b/>
          <w:sz w:val="24"/>
          <w:szCs w:val="24"/>
          <w:vertAlign w:val="subscript"/>
        </w:rPr>
        <w:t xml:space="preserve">**Number of response is based on </w:t>
      </w:r>
      <w:r w:rsidR="00D96034">
        <w:rPr>
          <w:b/>
          <w:sz w:val="24"/>
          <w:szCs w:val="24"/>
          <w:vertAlign w:val="subscript"/>
        </w:rPr>
        <w:t>a count</w:t>
      </w:r>
      <w:r>
        <w:rPr>
          <w:b/>
          <w:sz w:val="24"/>
          <w:szCs w:val="24"/>
          <w:vertAlign w:val="subscript"/>
        </w:rPr>
        <w:t xml:space="preserve"> of the Section 236 owners that r</w:t>
      </w:r>
      <w:r w:rsidRPr="00A624D9">
        <w:rPr>
          <w:b/>
          <w:sz w:val="24"/>
          <w:szCs w:val="24"/>
          <w:vertAlign w:val="subscript"/>
        </w:rPr>
        <w:t>efinance</w:t>
      </w:r>
      <w:r w:rsidR="00D96034">
        <w:rPr>
          <w:b/>
          <w:sz w:val="24"/>
          <w:szCs w:val="24"/>
          <w:vertAlign w:val="subscript"/>
        </w:rPr>
        <w:t>d</w:t>
      </w:r>
      <w:r w:rsidRPr="00A624D9">
        <w:rPr>
          <w:b/>
          <w:sz w:val="24"/>
          <w:szCs w:val="24"/>
          <w:vertAlign w:val="subscript"/>
        </w:rPr>
        <w:t xml:space="preserve"> and continue to receive the IRP assistance</w:t>
      </w:r>
      <w:r w:rsidR="00DD5227">
        <w:rPr>
          <w:b/>
          <w:sz w:val="24"/>
          <w:szCs w:val="24"/>
          <w:vertAlign w:val="subscript"/>
        </w:rPr>
        <w:t xml:space="preserve"> during calendar year 2010</w:t>
      </w:r>
      <w:r w:rsidRPr="00A624D9">
        <w:rPr>
          <w:b/>
          <w:sz w:val="24"/>
          <w:szCs w:val="24"/>
          <w:vertAlign w:val="subscript"/>
        </w:rPr>
        <w:t xml:space="preserve">.  </w:t>
      </w:r>
    </w:p>
    <w:p w:rsidR="005B11C0" w:rsidRDefault="005B11C0" w:rsidP="005B11C0">
      <w:pPr>
        <w:keepLines/>
        <w:tabs>
          <w:tab w:val="left" w:pos="480"/>
        </w:tabs>
        <w:spacing w:after="100" w:afterAutospacing="1"/>
        <w:ind w:left="446"/>
        <w:rPr>
          <w:b/>
          <w:sz w:val="24"/>
          <w:szCs w:val="24"/>
          <w:vertAlign w:val="subscript"/>
        </w:rPr>
      </w:pPr>
      <w:r>
        <w:rPr>
          <w:b/>
          <w:sz w:val="24"/>
          <w:szCs w:val="24"/>
          <w:vertAlign w:val="subscript"/>
        </w:rPr>
        <w:t>***</w:t>
      </w:r>
      <w:r w:rsidRPr="00A624D9">
        <w:rPr>
          <w:b/>
          <w:sz w:val="24"/>
          <w:szCs w:val="24"/>
          <w:vertAlign w:val="subscript"/>
        </w:rPr>
        <w:t xml:space="preserve">Hourly cost </w:t>
      </w:r>
      <w:r>
        <w:rPr>
          <w:b/>
          <w:sz w:val="24"/>
          <w:szCs w:val="24"/>
          <w:vertAlign w:val="subscript"/>
        </w:rPr>
        <w:t xml:space="preserve">estimates </w:t>
      </w:r>
      <w:proofErr w:type="gramStart"/>
      <w:r>
        <w:rPr>
          <w:b/>
          <w:sz w:val="24"/>
          <w:szCs w:val="24"/>
          <w:vertAlign w:val="subscript"/>
        </w:rPr>
        <w:t xml:space="preserve">are </w:t>
      </w:r>
      <w:r w:rsidRPr="00A624D9">
        <w:rPr>
          <w:b/>
          <w:sz w:val="24"/>
          <w:szCs w:val="24"/>
          <w:vertAlign w:val="subscript"/>
        </w:rPr>
        <w:t xml:space="preserve"> based</w:t>
      </w:r>
      <w:proofErr w:type="gramEnd"/>
      <w:r w:rsidRPr="00A624D9">
        <w:rPr>
          <w:b/>
          <w:sz w:val="24"/>
          <w:szCs w:val="24"/>
          <w:vertAlign w:val="subscript"/>
        </w:rPr>
        <w:t xml:space="preserve"> on </w:t>
      </w:r>
      <w:r>
        <w:rPr>
          <w:b/>
          <w:sz w:val="24"/>
          <w:szCs w:val="24"/>
          <w:vertAlign w:val="subscript"/>
        </w:rPr>
        <w:t xml:space="preserve">the owner, owner’s staff , or public agency’s staff to review, execute, and/or submit the </w:t>
      </w:r>
      <w:r w:rsidRPr="00A624D9">
        <w:rPr>
          <w:b/>
          <w:sz w:val="24"/>
          <w:szCs w:val="24"/>
          <w:vertAlign w:val="subscript"/>
        </w:rPr>
        <w:t>documentation to HUD.</w:t>
      </w:r>
      <w:r>
        <w:rPr>
          <w:b/>
          <w:sz w:val="24"/>
          <w:szCs w:val="24"/>
          <w:vertAlign w:val="subscript"/>
        </w:rPr>
        <w:t xml:space="preserve"> </w:t>
      </w:r>
      <w:r w:rsidR="00CD3FA3">
        <w:rPr>
          <w:b/>
          <w:sz w:val="24"/>
          <w:szCs w:val="24"/>
          <w:vertAlign w:val="subscript"/>
        </w:rPr>
        <w:t xml:space="preserve"> Hourly cost is based on survey from PayScale.com.</w:t>
      </w:r>
    </w:p>
    <w:p w:rsidR="00CD5B1C" w:rsidRDefault="00CD5B1C" w:rsidP="00CD5B1C">
      <w:pPr>
        <w:rPr>
          <w:rFonts w:asciiTheme="minorHAnsi" w:hAnsiTheme="minorHAnsi"/>
          <w:b/>
        </w:rPr>
      </w:pPr>
      <w:r w:rsidRPr="008253B4">
        <w:rPr>
          <w:rFonts w:asciiTheme="minorHAnsi" w:hAnsiTheme="minorHAnsi"/>
          <w:b/>
        </w:rPr>
        <w:t>13.  Provide an estimate of the total annual cost burden to respondents or record</w:t>
      </w:r>
      <w:r w:rsidR="00CD3FA3">
        <w:rPr>
          <w:rFonts w:asciiTheme="minorHAnsi" w:hAnsiTheme="minorHAnsi"/>
          <w:b/>
        </w:rPr>
        <w:t xml:space="preserve"> </w:t>
      </w:r>
      <w:r w:rsidRPr="008253B4">
        <w:rPr>
          <w:rFonts w:asciiTheme="minorHAnsi" w:hAnsiTheme="minorHAnsi"/>
          <w:b/>
        </w:rPr>
        <w:t xml:space="preserve">keepers resulting from the collection of information (do not include the cost of any hour burden shown in items 12 and 14).  </w:t>
      </w:r>
    </w:p>
    <w:p w:rsidR="00CD5B1C" w:rsidRPr="008253B4" w:rsidRDefault="00CD5B1C" w:rsidP="00CD5B1C">
      <w:pPr>
        <w:rPr>
          <w:rFonts w:asciiTheme="minorHAnsi" w:hAnsiTheme="minorHAnsi"/>
          <w:b/>
        </w:rPr>
      </w:pPr>
    </w:p>
    <w:p w:rsidR="00CD5B1C" w:rsidRDefault="00CD5B1C" w:rsidP="00CD5B1C">
      <w:pPr>
        <w:pStyle w:val="ListParagraph"/>
        <w:numPr>
          <w:ilvl w:val="0"/>
          <w:numId w:val="16"/>
        </w:numPr>
        <w:overflowPunct/>
        <w:autoSpaceDE/>
        <w:autoSpaceDN/>
        <w:adjustRightInd/>
        <w:textAlignment w:val="auto"/>
        <w:rPr>
          <w:rFonts w:asciiTheme="minorHAnsi" w:hAnsiTheme="minorHAnsi"/>
          <w:b/>
        </w:rPr>
      </w:pPr>
      <w:r w:rsidRPr="008253B4">
        <w:rPr>
          <w:rFonts w:asciiTheme="minorHAnsi" w:hAnsiTheme="minorHAnsi"/>
          <w:b/>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w:t>
      </w:r>
      <w:r w:rsidRPr="008253B4">
        <w:rPr>
          <w:rFonts w:asciiTheme="minorHAnsi" w:hAnsiTheme="minorHAnsi"/>
          <w:b/>
        </w:rPr>
        <w:lastRenderedPageBreak/>
        <w:t>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5B1C" w:rsidRPr="008253B4" w:rsidRDefault="00CD5B1C" w:rsidP="00CD5B1C">
      <w:pPr>
        <w:pStyle w:val="ListParagraph"/>
        <w:overflowPunct/>
        <w:autoSpaceDE/>
        <w:autoSpaceDN/>
        <w:adjustRightInd/>
        <w:textAlignment w:val="auto"/>
        <w:rPr>
          <w:rFonts w:asciiTheme="minorHAnsi" w:hAnsiTheme="minorHAnsi"/>
          <w:b/>
        </w:rPr>
      </w:pPr>
    </w:p>
    <w:p w:rsidR="00CD5B1C" w:rsidRDefault="00CD5B1C" w:rsidP="00CD5B1C">
      <w:pPr>
        <w:pStyle w:val="ListParagraph"/>
        <w:numPr>
          <w:ilvl w:val="0"/>
          <w:numId w:val="16"/>
        </w:numPr>
        <w:overflowPunct/>
        <w:autoSpaceDE/>
        <w:autoSpaceDN/>
        <w:adjustRightInd/>
        <w:textAlignment w:val="auto"/>
        <w:rPr>
          <w:rFonts w:asciiTheme="minorHAnsi" w:hAnsiTheme="minorHAnsi"/>
          <w:b/>
        </w:rPr>
      </w:pPr>
      <w:r w:rsidRPr="008253B4">
        <w:rPr>
          <w:rFonts w:asciiTheme="minorHAnsi" w:hAnsiTheme="minorHAnsi"/>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5B1C" w:rsidRPr="008253B4" w:rsidRDefault="00CD5B1C" w:rsidP="00CD5B1C">
      <w:pPr>
        <w:pStyle w:val="ListParagraph"/>
        <w:overflowPunct/>
        <w:autoSpaceDE/>
        <w:autoSpaceDN/>
        <w:adjustRightInd/>
        <w:textAlignment w:val="auto"/>
        <w:rPr>
          <w:rFonts w:asciiTheme="minorHAnsi" w:hAnsiTheme="minorHAnsi"/>
          <w:b/>
        </w:rPr>
      </w:pPr>
    </w:p>
    <w:p w:rsidR="00CD5B1C" w:rsidRPr="008253B4" w:rsidRDefault="00CD5B1C" w:rsidP="00CD5B1C">
      <w:pPr>
        <w:pStyle w:val="ListParagraph"/>
        <w:numPr>
          <w:ilvl w:val="0"/>
          <w:numId w:val="16"/>
        </w:numPr>
        <w:overflowPunct/>
        <w:autoSpaceDE/>
        <w:autoSpaceDN/>
        <w:adjustRightInd/>
        <w:textAlignment w:val="auto"/>
        <w:rPr>
          <w:rFonts w:asciiTheme="minorHAnsi" w:hAnsiTheme="minorHAnsi"/>
        </w:rPr>
      </w:pPr>
      <w:r w:rsidRPr="008253B4">
        <w:rPr>
          <w:rFonts w:asciiTheme="minorHAnsi" w:hAnsiTheme="minorHAnsi"/>
          <w:b/>
        </w:rPr>
        <w:t xml:space="preserve">Generally, estimates should not include purchases of equipment or services, or portions thereof made: (1) prior to </w:t>
      </w:r>
      <w:smartTag w:uri="urn:schemas-microsoft-com:office:smarttags" w:element="date">
        <w:smartTagPr>
          <w:attr w:name="ls" w:val="trans"/>
          <w:attr w:name="Month" w:val="10"/>
          <w:attr w:name="Day" w:val="1"/>
          <w:attr w:name="Year" w:val="1995"/>
        </w:smartTagPr>
        <w:r w:rsidRPr="008253B4">
          <w:rPr>
            <w:rFonts w:asciiTheme="minorHAnsi" w:hAnsiTheme="minorHAnsi"/>
            <w:b/>
          </w:rPr>
          <w:t>October 1, 1995</w:t>
        </w:r>
      </w:smartTag>
      <w:r w:rsidRPr="008253B4">
        <w:rPr>
          <w:rFonts w:asciiTheme="minorHAnsi" w:hAnsiTheme="minorHAnsi"/>
          <w:b/>
        </w:rPr>
        <w:t>, (2) to achieve regulatory compliance with requirements not associated with the information collection, (3) for reasons other than to provide information or keep records for the government, or (4) as part of customary and usual business or private practices.</w:t>
      </w:r>
    </w:p>
    <w:p w:rsidR="005B11C0" w:rsidRPr="00CD5B1C" w:rsidRDefault="005B11C0" w:rsidP="00CD5B1C">
      <w:pPr>
        <w:numPr>
          <w:ilvl w:val="0"/>
          <w:numId w:val="14"/>
        </w:numPr>
        <w:spacing w:before="100" w:beforeAutospacing="1" w:after="100" w:afterAutospacing="1"/>
        <w:rPr>
          <w:sz w:val="24"/>
        </w:rPr>
      </w:pPr>
      <w:r>
        <w:rPr>
          <w:sz w:val="24"/>
        </w:rPr>
        <w:t>There are no additional costs to respondents.</w:t>
      </w:r>
      <w:r>
        <w:rPr>
          <w:color w:val="000000"/>
          <w:sz w:val="24"/>
        </w:rPr>
        <w:t xml:space="preserve"> </w:t>
      </w:r>
    </w:p>
    <w:p w:rsidR="00CD5B1C" w:rsidRPr="00CD5B1C" w:rsidRDefault="00CD5B1C" w:rsidP="00CD5B1C">
      <w:pPr>
        <w:pStyle w:val="ListParagraph"/>
        <w:ind w:left="360"/>
        <w:rPr>
          <w:rFonts w:asciiTheme="minorHAnsi" w:hAnsiTheme="minorHAnsi"/>
          <w:b/>
        </w:rPr>
      </w:pPr>
      <w:r w:rsidRPr="00CD5B1C">
        <w:rPr>
          <w:rFonts w:asciiTheme="minorHAnsi" w:hAnsiTheme="minorHAnsi"/>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B11C0" w:rsidRDefault="005B11C0" w:rsidP="00CD5B1C">
      <w:pPr>
        <w:keepNext/>
        <w:numPr>
          <w:ilvl w:val="0"/>
          <w:numId w:val="14"/>
        </w:numPr>
        <w:spacing w:before="100" w:beforeAutospacing="1" w:after="100" w:afterAutospacing="1"/>
        <w:rPr>
          <w:sz w:val="24"/>
        </w:rPr>
      </w:pPr>
      <w:r>
        <w:rPr>
          <w:sz w:val="24"/>
        </w:rPr>
        <w:t>Annual Cost to the Federal Government:</w:t>
      </w:r>
    </w:p>
    <w:tbl>
      <w:tblPr>
        <w:tblW w:w="8142" w:type="dxa"/>
        <w:tblInd w:w="558" w:type="dxa"/>
        <w:tblLook w:val="04A0"/>
      </w:tblPr>
      <w:tblGrid>
        <w:gridCol w:w="1313"/>
        <w:gridCol w:w="1302"/>
        <w:gridCol w:w="1360"/>
        <w:gridCol w:w="1400"/>
        <w:gridCol w:w="1248"/>
        <w:gridCol w:w="1530"/>
      </w:tblGrid>
      <w:tr w:rsidR="00735C02" w:rsidRPr="00CD3FA3" w:rsidTr="00735C02">
        <w:trPr>
          <w:trHeight w:val="300"/>
        </w:trPr>
        <w:tc>
          <w:tcPr>
            <w:tcW w:w="1302" w:type="dxa"/>
            <w:tcBorders>
              <w:top w:val="nil"/>
              <w:left w:val="nil"/>
              <w:bottom w:val="nil"/>
              <w:right w:val="nil"/>
            </w:tcBorders>
          </w:tcPr>
          <w:p w:rsidR="00735C02" w:rsidRPr="00CD3FA3" w:rsidRDefault="00735C02" w:rsidP="00CD3FA3">
            <w:pPr>
              <w:overflowPunct/>
              <w:autoSpaceDE/>
              <w:autoSpaceDN/>
              <w:adjustRightInd/>
              <w:jc w:val="center"/>
              <w:textAlignment w:val="auto"/>
              <w:rPr>
                <w:rFonts w:ascii="Calibri" w:hAnsi="Calibri"/>
                <w:b/>
                <w:bCs/>
                <w:color w:val="000000"/>
                <w:sz w:val="22"/>
                <w:szCs w:val="22"/>
              </w:rPr>
            </w:pPr>
          </w:p>
        </w:tc>
        <w:tc>
          <w:tcPr>
            <w:tcW w:w="6840" w:type="dxa"/>
            <w:gridSpan w:val="5"/>
            <w:tcBorders>
              <w:top w:val="nil"/>
              <w:left w:val="nil"/>
              <w:bottom w:val="nil"/>
              <w:right w:val="nil"/>
            </w:tcBorders>
            <w:shd w:val="clear" w:color="auto" w:fill="auto"/>
            <w:noWrap/>
            <w:vAlign w:val="bottom"/>
            <w:hideMark/>
          </w:tcPr>
          <w:p w:rsidR="00735C02" w:rsidRPr="00CD3FA3" w:rsidRDefault="00735C02" w:rsidP="00CD3FA3">
            <w:pPr>
              <w:overflowPunct/>
              <w:autoSpaceDE/>
              <w:autoSpaceDN/>
              <w:adjustRightInd/>
              <w:jc w:val="center"/>
              <w:textAlignment w:val="auto"/>
              <w:rPr>
                <w:rFonts w:ascii="Calibri" w:hAnsi="Calibri"/>
                <w:b/>
                <w:bCs/>
                <w:color w:val="000000"/>
                <w:sz w:val="22"/>
                <w:szCs w:val="22"/>
              </w:rPr>
            </w:pPr>
            <w:r w:rsidRPr="00CD3FA3">
              <w:rPr>
                <w:rFonts w:ascii="Calibri" w:hAnsi="Calibri"/>
                <w:b/>
                <w:bCs/>
                <w:color w:val="000000"/>
                <w:sz w:val="22"/>
                <w:szCs w:val="22"/>
              </w:rPr>
              <w:t>Estimates of Annualized Cost to the Federal Government</w:t>
            </w:r>
          </w:p>
        </w:tc>
      </w:tr>
      <w:tr w:rsidR="00735C02" w:rsidRPr="00CD3FA3" w:rsidTr="00735C02">
        <w:trPr>
          <w:trHeight w:val="139"/>
        </w:trPr>
        <w:tc>
          <w:tcPr>
            <w:tcW w:w="1302" w:type="dxa"/>
            <w:tcBorders>
              <w:top w:val="nil"/>
              <w:left w:val="nil"/>
              <w:bottom w:val="nil"/>
              <w:right w:val="nil"/>
            </w:tcBorders>
          </w:tcPr>
          <w:p w:rsidR="00735C02" w:rsidRPr="00CD3FA3" w:rsidRDefault="00735C02" w:rsidP="00CD3FA3">
            <w:pPr>
              <w:overflowPunct/>
              <w:autoSpaceDE/>
              <w:autoSpaceDN/>
              <w:adjustRightInd/>
              <w:textAlignment w:val="auto"/>
              <w:rPr>
                <w:rFonts w:ascii="Calibri" w:hAnsi="Calibri"/>
                <w:color w:val="000000"/>
                <w:sz w:val="22"/>
                <w:szCs w:val="22"/>
              </w:rPr>
            </w:pPr>
          </w:p>
        </w:tc>
        <w:tc>
          <w:tcPr>
            <w:tcW w:w="1302" w:type="dxa"/>
            <w:tcBorders>
              <w:top w:val="nil"/>
              <w:left w:val="nil"/>
              <w:bottom w:val="nil"/>
              <w:right w:val="nil"/>
            </w:tcBorders>
            <w:shd w:val="clear" w:color="auto" w:fill="auto"/>
            <w:noWrap/>
            <w:vAlign w:val="bottom"/>
            <w:hideMark/>
          </w:tcPr>
          <w:p w:rsidR="00735C02" w:rsidRPr="00CD3FA3" w:rsidRDefault="00735C02" w:rsidP="00CD3FA3">
            <w:pPr>
              <w:overflowPunct/>
              <w:autoSpaceDE/>
              <w:autoSpaceDN/>
              <w:adjustRightInd/>
              <w:textAlignment w:val="auto"/>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735C02" w:rsidRPr="00CD3FA3" w:rsidRDefault="00735C02" w:rsidP="00CD3FA3">
            <w:pPr>
              <w:overflowPunct/>
              <w:autoSpaceDE/>
              <w:autoSpaceDN/>
              <w:adjustRightInd/>
              <w:textAlignment w:val="auto"/>
              <w:rPr>
                <w:rFonts w:ascii="Calibri" w:hAnsi="Calibri"/>
                <w:color w:val="000000"/>
                <w:sz w:val="22"/>
                <w:szCs w:val="22"/>
              </w:rPr>
            </w:pPr>
          </w:p>
        </w:tc>
        <w:tc>
          <w:tcPr>
            <w:tcW w:w="1400" w:type="dxa"/>
            <w:tcBorders>
              <w:top w:val="nil"/>
              <w:left w:val="nil"/>
              <w:bottom w:val="nil"/>
              <w:right w:val="nil"/>
            </w:tcBorders>
            <w:shd w:val="clear" w:color="auto" w:fill="auto"/>
            <w:noWrap/>
            <w:vAlign w:val="bottom"/>
            <w:hideMark/>
          </w:tcPr>
          <w:p w:rsidR="00735C02" w:rsidRPr="00CD3FA3" w:rsidRDefault="00735C02" w:rsidP="00CD3FA3">
            <w:pPr>
              <w:overflowPunct/>
              <w:autoSpaceDE/>
              <w:autoSpaceDN/>
              <w:adjustRightInd/>
              <w:textAlignment w:val="auto"/>
              <w:rPr>
                <w:rFonts w:ascii="Calibri" w:hAnsi="Calibri"/>
                <w:color w:val="000000"/>
                <w:sz w:val="22"/>
                <w:szCs w:val="22"/>
              </w:rPr>
            </w:pPr>
          </w:p>
        </w:tc>
        <w:tc>
          <w:tcPr>
            <w:tcW w:w="1248" w:type="dxa"/>
            <w:tcBorders>
              <w:top w:val="nil"/>
              <w:left w:val="nil"/>
              <w:bottom w:val="nil"/>
              <w:right w:val="nil"/>
            </w:tcBorders>
            <w:shd w:val="clear" w:color="auto" w:fill="auto"/>
            <w:noWrap/>
            <w:vAlign w:val="bottom"/>
            <w:hideMark/>
          </w:tcPr>
          <w:p w:rsidR="00735C02" w:rsidRPr="00CD3FA3" w:rsidRDefault="00735C02" w:rsidP="00CD3FA3">
            <w:pPr>
              <w:overflowPunct/>
              <w:autoSpaceDE/>
              <w:autoSpaceDN/>
              <w:adjustRightInd/>
              <w:textAlignment w:val="auto"/>
              <w:rPr>
                <w:rFonts w:ascii="Calibri" w:hAnsi="Calibri"/>
                <w:color w:val="000000"/>
                <w:sz w:val="22"/>
                <w:szCs w:val="22"/>
              </w:rPr>
            </w:pPr>
          </w:p>
        </w:tc>
        <w:tc>
          <w:tcPr>
            <w:tcW w:w="1530" w:type="dxa"/>
            <w:tcBorders>
              <w:top w:val="nil"/>
              <w:left w:val="nil"/>
              <w:bottom w:val="nil"/>
              <w:right w:val="nil"/>
            </w:tcBorders>
            <w:shd w:val="clear" w:color="auto" w:fill="auto"/>
            <w:noWrap/>
            <w:vAlign w:val="bottom"/>
            <w:hideMark/>
          </w:tcPr>
          <w:p w:rsidR="00735C02" w:rsidRPr="00CD3FA3" w:rsidRDefault="00735C02" w:rsidP="00CD3FA3">
            <w:pPr>
              <w:overflowPunct/>
              <w:autoSpaceDE/>
              <w:autoSpaceDN/>
              <w:adjustRightInd/>
              <w:textAlignment w:val="auto"/>
              <w:rPr>
                <w:rFonts w:ascii="Calibri" w:hAnsi="Calibri"/>
                <w:color w:val="000000"/>
                <w:sz w:val="22"/>
                <w:szCs w:val="22"/>
              </w:rPr>
            </w:pPr>
          </w:p>
        </w:tc>
      </w:tr>
      <w:tr w:rsidR="00735C02" w:rsidRPr="00CD3FA3" w:rsidTr="00735C02">
        <w:trPr>
          <w:trHeight w:val="900"/>
        </w:trPr>
        <w:tc>
          <w:tcPr>
            <w:tcW w:w="1302" w:type="dxa"/>
            <w:tcBorders>
              <w:top w:val="single" w:sz="4" w:space="0" w:color="auto"/>
              <w:left w:val="single" w:sz="4" w:space="0" w:color="auto"/>
              <w:bottom w:val="single" w:sz="4" w:space="0" w:color="auto"/>
              <w:right w:val="single" w:sz="4" w:space="0" w:color="auto"/>
            </w:tcBorders>
          </w:tcPr>
          <w:p w:rsidR="00735C02" w:rsidRPr="00D96034" w:rsidRDefault="00735C02" w:rsidP="00DE6F68">
            <w:pPr>
              <w:overflowPunct/>
              <w:autoSpaceDE/>
              <w:autoSpaceDN/>
              <w:adjustRightInd/>
              <w:jc w:val="center"/>
              <w:textAlignment w:val="auto"/>
              <w:rPr>
                <w:rFonts w:ascii="Calibri" w:hAnsi="Calibri"/>
                <w:b/>
                <w:bCs/>
                <w:color w:val="000000"/>
                <w:sz w:val="22"/>
                <w:szCs w:val="22"/>
              </w:rPr>
            </w:pPr>
            <w:r w:rsidRPr="00D96034">
              <w:rPr>
                <w:rFonts w:ascii="Calibri" w:hAnsi="Calibri"/>
                <w:b/>
                <w:bCs/>
                <w:color w:val="000000"/>
                <w:sz w:val="22"/>
                <w:szCs w:val="22"/>
              </w:rPr>
              <w:t xml:space="preserve">Information </w:t>
            </w:r>
            <w:r w:rsidRPr="00D96034">
              <w:rPr>
                <w:rFonts w:ascii="Calibri" w:hAnsi="Calibri"/>
                <w:b/>
                <w:bCs/>
                <w:color w:val="000000"/>
                <w:sz w:val="22"/>
                <w:szCs w:val="22"/>
              </w:rPr>
              <w:br/>
              <w:t>Collection</w:t>
            </w:r>
          </w:p>
        </w:tc>
        <w:tc>
          <w:tcPr>
            <w:tcW w:w="1302" w:type="dxa"/>
            <w:tcBorders>
              <w:top w:val="single" w:sz="4" w:space="0" w:color="auto"/>
              <w:left w:val="single" w:sz="4" w:space="0" w:color="auto"/>
              <w:bottom w:val="single" w:sz="4" w:space="0" w:color="auto"/>
              <w:right w:val="single" w:sz="4" w:space="0" w:color="auto"/>
            </w:tcBorders>
            <w:shd w:val="clear" w:color="auto" w:fill="auto"/>
            <w:hideMark/>
          </w:tcPr>
          <w:p w:rsidR="00735C02" w:rsidRPr="00CD3FA3" w:rsidRDefault="00735C02" w:rsidP="00CD3FA3">
            <w:pPr>
              <w:overflowPunct/>
              <w:autoSpaceDE/>
              <w:autoSpaceDN/>
              <w:adjustRightInd/>
              <w:jc w:val="center"/>
              <w:textAlignment w:val="auto"/>
              <w:rPr>
                <w:rFonts w:ascii="Calibri" w:hAnsi="Calibri"/>
                <w:b/>
                <w:bCs/>
                <w:color w:val="000000"/>
                <w:sz w:val="22"/>
                <w:szCs w:val="22"/>
              </w:rPr>
            </w:pPr>
            <w:r w:rsidRPr="00CD3FA3">
              <w:rPr>
                <w:rFonts w:ascii="Calibri" w:hAnsi="Calibri"/>
                <w:b/>
                <w:bCs/>
                <w:color w:val="000000"/>
                <w:sz w:val="22"/>
                <w:szCs w:val="22"/>
              </w:rPr>
              <w:t>Total Annual</w:t>
            </w:r>
            <w:r w:rsidRPr="00CD3FA3">
              <w:rPr>
                <w:rFonts w:ascii="Calibri" w:hAnsi="Calibri"/>
                <w:b/>
                <w:bCs/>
                <w:color w:val="000000"/>
                <w:sz w:val="22"/>
                <w:szCs w:val="22"/>
              </w:rPr>
              <w:br/>
              <w:t>Responses</w:t>
            </w:r>
          </w:p>
        </w:tc>
        <w:tc>
          <w:tcPr>
            <w:tcW w:w="1360" w:type="dxa"/>
            <w:tcBorders>
              <w:top w:val="single" w:sz="4" w:space="0" w:color="auto"/>
              <w:left w:val="nil"/>
              <w:bottom w:val="single" w:sz="4" w:space="0" w:color="auto"/>
              <w:right w:val="single" w:sz="4" w:space="0" w:color="auto"/>
            </w:tcBorders>
            <w:shd w:val="clear" w:color="auto" w:fill="auto"/>
            <w:hideMark/>
          </w:tcPr>
          <w:p w:rsidR="00735C02" w:rsidRPr="00CD3FA3" w:rsidRDefault="00735C02" w:rsidP="00CD3FA3">
            <w:pPr>
              <w:overflowPunct/>
              <w:autoSpaceDE/>
              <w:autoSpaceDN/>
              <w:adjustRightInd/>
              <w:jc w:val="center"/>
              <w:textAlignment w:val="auto"/>
              <w:rPr>
                <w:rFonts w:ascii="Calibri" w:hAnsi="Calibri"/>
                <w:b/>
                <w:bCs/>
                <w:color w:val="000000"/>
                <w:sz w:val="22"/>
                <w:szCs w:val="22"/>
              </w:rPr>
            </w:pPr>
            <w:r w:rsidRPr="00CD3FA3">
              <w:rPr>
                <w:rFonts w:ascii="Calibri" w:hAnsi="Calibri"/>
                <w:b/>
                <w:bCs/>
                <w:color w:val="000000"/>
                <w:sz w:val="22"/>
                <w:szCs w:val="22"/>
              </w:rPr>
              <w:t>Burden Hours</w:t>
            </w:r>
            <w:r w:rsidRPr="00CD3FA3">
              <w:rPr>
                <w:rFonts w:ascii="Calibri" w:hAnsi="Calibri"/>
                <w:b/>
                <w:bCs/>
                <w:color w:val="000000"/>
                <w:sz w:val="22"/>
                <w:szCs w:val="22"/>
              </w:rPr>
              <w:br/>
              <w:t>per Response</w:t>
            </w:r>
          </w:p>
        </w:tc>
        <w:tc>
          <w:tcPr>
            <w:tcW w:w="1400" w:type="dxa"/>
            <w:tcBorders>
              <w:top w:val="single" w:sz="4" w:space="0" w:color="auto"/>
              <w:left w:val="nil"/>
              <w:bottom w:val="single" w:sz="4" w:space="0" w:color="auto"/>
              <w:right w:val="single" w:sz="4" w:space="0" w:color="auto"/>
            </w:tcBorders>
            <w:shd w:val="clear" w:color="auto" w:fill="auto"/>
            <w:hideMark/>
          </w:tcPr>
          <w:p w:rsidR="00735C02" w:rsidRPr="00CD3FA3" w:rsidRDefault="00735C02" w:rsidP="00CD3FA3">
            <w:pPr>
              <w:overflowPunct/>
              <w:autoSpaceDE/>
              <w:autoSpaceDN/>
              <w:adjustRightInd/>
              <w:jc w:val="center"/>
              <w:textAlignment w:val="auto"/>
              <w:rPr>
                <w:rFonts w:ascii="Calibri" w:hAnsi="Calibri"/>
                <w:b/>
                <w:bCs/>
                <w:color w:val="000000"/>
                <w:sz w:val="22"/>
                <w:szCs w:val="22"/>
              </w:rPr>
            </w:pPr>
            <w:r w:rsidRPr="00CD3FA3">
              <w:rPr>
                <w:rFonts w:ascii="Calibri" w:hAnsi="Calibri"/>
                <w:b/>
                <w:bCs/>
                <w:color w:val="000000"/>
                <w:sz w:val="22"/>
                <w:szCs w:val="22"/>
              </w:rPr>
              <w:t>Total Annual</w:t>
            </w:r>
            <w:r w:rsidRPr="00CD3FA3">
              <w:rPr>
                <w:rFonts w:ascii="Calibri" w:hAnsi="Calibri"/>
                <w:b/>
                <w:bCs/>
                <w:color w:val="000000"/>
                <w:sz w:val="22"/>
                <w:szCs w:val="22"/>
              </w:rPr>
              <w:br/>
              <w:t>Burden Hours</w:t>
            </w:r>
          </w:p>
        </w:tc>
        <w:tc>
          <w:tcPr>
            <w:tcW w:w="1248" w:type="dxa"/>
            <w:tcBorders>
              <w:top w:val="single" w:sz="4" w:space="0" w:color="auto"/>
              <w:left w:val="nil"/>
              <w:bottom w:val="single" w:sz="4" w:space="0" w:color="auto"/>
              <w:right w:val="single" w:sz="4" w:space="0" w:color="auto"/>
            </w:tcBorders>
            <w:shd w:val="clear" w:color="auto" w:fill="auto"/>
            <w:hideMark/>
          </w:tcPr>
          <w:p w:rsidR="00735C02" w:rsidRPr="00CD3FA3" w:rsidRDefault="00735C02" w:rsidP="00CD3FA3">
            <w:pPr>
              <w:overflowPunct/>
              <w:autoSpaceDE/>
              <w:autoSpaceDN/>
              <w:adjustRightInd/>
              <w:jc w:val="center"/>
              <w:textAlignment w:val="auto"/>
              <w:rPr>
                <w:rFonts w:ascii="Calibri" w:hAnsi="Calibri"/>
                <w:b/>
                <w:bCs/>
                <w:color w:val="000000"/>
                <w:sz w:val="22"/>
                <w:szCs w:val="22"/>
              </w:rPr>
            </w:pPr>
            <w:r w:rsidRPr="00CD3FA3">
              <w:rPr>
                <w:rFonts w:ascii="Calibri" w:hAnsi="Calibri"/>
                <w:b/>
                <w:bCs/>
                <w:color w:val="000000"/>
                <w:sz w:val="22"/>
                <w:szCs w:val="22"/>
              </w:rPr>
              <w:t xml:space="preserve">Hourly </w:t>
            </w:r>
            <w:r w:rsidRPr="00CD3FA3">
              <w:rPr>
                <w:rFonts w:ascii="Calibri" w:hAnsi="Calibri"/>
                <w:b/>
                <w:bCs/>
                <w:color w:val="000000"/>
                <w:sz w:val="22"/>
                <w:szCs w:val="22"/>
              </w:rPr>
              <w:br/>
              <w:t>Cost</w:t>
            </w:r>
            <w:r>
              <w:rPr>
                <w:rFonts w:ascii="Calibri" w:hAnsi="Calibri"/>
                <w:b/>
                <w:bCs/>
                <w:color w:val="000000"/>
                <w:sz w:val="22"/>
                <w:szCs w:val="22"/>
              </w:rPr>
              <w:t>*</w:t>
            </w:r>
          </w:p>
        </w:tc>
        <w:tc>
          <w:tcPr>
            <w:tcW w:w="1530" w:type="dxa"/>
            <w:tcBorders>
              <w:top w:val="single" w:sz="4" w:space="0" w:color="auto"/>
              <w:left w:val="nil"/>
              <w:bottom w:val="single" w:sz="4" w:space="0" w:color="auto"/>
              <w:right w:val="single" w:sz="4" w:space="0" w:color="auto"/>
            </w:tcBorders>
            <w:shd w:val="clear" w:color="auto" w:fill="auto"/>
            <w:hideMark/>
          </w:tcPr>
          <w:p w:rsidR="00735C02" w:rsidRPr="00CD3FA3" w:rsidRDefault="00735C02" w:rsidP="00CD3FA3">
            <w:pPr>
              <w:overflowPunct/>
              <w:autoSpaceDE/>
              <w:autoSpaceDN/>
              <w:adjustRightInd/>
              <w:jc w:val="center"/>
              <w:textAlignment w:val="auto"/>
              <w:rPr>
                <w:rFonts w:ascii="Calibri" w:hAnsi="Calibri"/>
                <w:b/>
                <w:bCs/>
                <w:color w:val="000000"/>
                <w:sz w:val="22"/>
                <w:szCs w:val="22"/>
              </w:rPr>
            </w:pPr>
            <w:r w:rsidRPr="00CD3FA3">
              <w:rPr>
                <w:rFonts w:ascii="Calibri" w:hAnsi="Calibri"/>
                <w:b/>
                <w:bCs/>
                <w:color w:val="000000"/>
                <w:sz w:val="22"/>
                <w:szCs w:val="22"/>
              </w:rPr>
              <w:t>Total Annual</w:t>
            </w:r>
            <w:r w:rsidRPr="00CD3FA3">
              <w:rPr>
                <w:rFonts w:ascii="Calibri" w:hAnsi="Calibri"/>
                <w:b/>
                <w:bCs/>
                <w:color w:val="000000"/>
                <w:sz w:val="22"/>
                <w:szCs w:val="22"/>
              </w:rPr>
              <w:br/>
              <w:t>Cost</w:t>
            </w:r>
          </w:p>
        </w:tc>
      </w:tr>
      <w:tr w:rsidR="00735C02" w:rsidRPr="00CD3FA3" w:rsidTr="00053F2D">
        <w:trPr>
          <w:trHeight w:val="420"/>
        </w:trPr>
        <w:tc>
          <w:tcPr>
            <w:tcW w:w="1302" w:type="dxa"/>
            <w:tcBorders>
              <w:top w:val="nil"/>
              <w:left w:val="single" w:sz="4" w:space="0" w:color="auto"/>
              <w:right w:val="single" w:sz="4" w:space="0" w:color="auto"/>
            </w:tcBorders>
            <w:vAlign w:val="center"/>
          </w:tcPr>
          <w:p w:rsidR="00735C02" w:rsidRPr="00E357E7" w:rsidRDefault="00735C02" w:rsidP="00DE6F68">
            <w:pPr>
              <w:overflowPunct/>
              <w:autoSpaceDE/>
              <w:autoSpaceDN/>
              <w:adjustRightInd/>
              <w:jc w:val="center"/>
              <w:textAlignment w:val="auto"/>
              <w:rPr>
                <w:rFonts w:ascii="Calibri" w:hAnsi="Calibri"/>
                <w:color w:val="000000"/>
                <w:sz w:val="22"/>
                <w:szCs w:val="22"/>
              </w:rPr>
            </w:pPr>
            <w:r w:rsidRPr="00E357E7">
              <w:rPr>
                <w:rFonts w:ascii="Calibri" w:hAnsi="Calibri"/>
                <w:color w:val="000000"/>
                <w:sz w:val="22"/>
                <w:szCs w:val="22"/>
              </w:rPr>
              <w:t>HUD-93173</w:t>
            </w:r>
          </w:p>
          <w:p w:rsidR="00735C02" w:rsidRPr="00E357E7" w:rsidRDefault="00735C02" w:rsidP="00DE6F68">
            <w:pPr>
              <w:jc w:val="center"/>
              <w:rPr>
                <w:rFonts w:ascii="Calibri" w:hAnsi="Calibri"/>
                <w:color w:val="000000"/>
                <w:sz w:val="22"/>
                <w:szCs w:val="22"/>
              </w:rPr>
            </w:pPr>
          </w:p>
        </w:tc>
        <w:tc>
          <w:tcPr>
            <w:tcW w:w="1302" w:type="dxa"/>
            <w:vMerge w:val="restart"/>
            <w:tcBorders>
              <w:top w:val="nil"/>
              <w:left w:val="single" w:sz="4" w:space="0" w:color="auto"/>
              <w:right w:val="single" w:sz="4" w:space="0" w:color="auto"/>
            </w:tcBorders>
            <w:shd w:val="clear" w:color="auto" w:fill="auto"/>
            <w:noWrap/>
            <w:vAlign w:val="center"/>
            <w:hideMark/>
          </w:tcPr>
          <w:p w:rsidR="00735C02" w:rsidRPr="00CD3FA3" w:rsidRDefault="00735C02" w:rsidP="00CD3FA3">
            <w:pPr>
              <w:jc w:val="center"/>
              <w:rPr>
                <w:rFonts w:ascii="Calibri" w:hAnsi="Calibri"/>
                <w:color w:val="000000"/>
                <w:sz w:val="22"/>
                <w:szCs w:val="22"/>
              </w:rPr>
            </w:pPr>
            <w:r>
              <w:rPr>
                <w:rFonts w:ascii="Calibri" w:hAnsi="Calibri"/>
                <w:color w:val="000000"/>
                <w:sz w:val="22"/>
                <w:szCs w:val="22"/>
              </w:rPr>
              <w:t>24</w:t>
            </w:r>
          </w:p>
        </w:tc>
        <w:tc>
          <w:tcPr>
            <w:tcW w:w="1360"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r w:rsidRPr="00CD3FA3">
              <w:rPr>
                <w:rFonts w:ascii="Calibri" w:hAnsi="Calibri"/>
                <w:color w:val="000000"/>
                <w:sz w:val="22"/>
                <w:szCs w:val="22"/>
              </w:rPr>
              <w:t>0.333</w:t>
            </w:r>
          </w:p>
        </w:tc>
        <w:tc>
          <w:tcPr>
            <w:tcW w:w="1400"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8</w:t>
            </w:r>
          </w:p>
        </w:tc>
        <w:tc>
          <w:tcPr>
            <w:tcW w:w="1248"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r w:rsidRPr="00CD3FA3">
              <w:rPr>
                <w:rFonts w:ascii="Calibri" w:hAnsi="Calibri"/>
                <w:color w:val="000000"/>
                <w:sz w:val="22"/>
                <w:szCs w:val="22"/>
              </w:rPr>
              <w:t>$    28.88</w:t>
            </w:r>
          </w:p>
        </w:tc>
        <w:tc>
          <w:tcPr>
            <w:tcW w:w="1530"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7101A7">
            <w:pPr>
              <w:overflowPunct/>
              <w:autoSpaceDE/>
              <w:autoSpaceDN/>
              <w:adjustRightInd/>
              <w:jc w:val="center"/>
              <w:textAlignment w:val="auto"/>
              <w:rPr>
                <w:rFonts w:ascii="Calibri" w:hAnsi="Calibri"/>
                <w:color w:val="000000"/>
                <w:sz w:val="22"/>
                <w:szCs w:val="22"/>
              </w:rPr>
            </w:pPr>
            <w:r w:rsidRPr="00CD3FA3">
              <w:rPr>
                <w:rFonts w:ascii="Calibri" w:hAnsi="Calibri"/>
                <w:color w:val="000000"/>
                <w:sz w:val="22"/>
                <w:szCs w:val="22"/>
              </w:rPr>
              <w:t xml:space="preserve">$                </w:t>
            </w:r>
            <w:r>
              <w:rPr>
                <w:rFonts w:ascii="Calibri" w:hAnsi="Calibri"/>
                <w:color w:val="000000"/>
                <w:sz w:val="22"/>
                <w:szCs w:val="22"/>
              </w:rPr>
              <w:t>231</w:t>
            </w:r>
          </w:p>
        </w:tc>
      </w:tr>
      <w:tr w:rsidR="00735C02" w:rsidRPr="00CD3FA3" w:rsidTr="00053F2D">
        <w:trPr>
          <w:trHeight w:val="420"/>
        </w:trPr>
        <w:tc>
          <w:tcPr>
            <w:tcW w:w="1302" w:type="dxa"/>
            <w:tcBorders>
              <w:left w:val="single" w:sz="4" w:space="0" w:color="auto"/>
              <w:bottom w:val="single" w:sz="4" w:space="0" w:color="auto"/>
              <w:right w:val="single" w:sz="4" w:space="0" w:color="auto"/>
            </w:tcBorders>
            <w:vAlign w:val="center"/>
          </w:tcPr>
          <w:p w:rsidR="00735C02" w:rsidRPr="00E357E7" w:rsidRDefault="00735C02" w:rsidP="00DE6F68">
            <w:pPr>
              <w:overflowPunct/>
              <w:autoSpaceDE/>
              <w:autoSpaceDN/>
              <w:adjustRightInd/>
              <w:jc w:val="center"/>
              <w:textAlignment w:val="auto"/>
              <w:rPr>
                <w:rFonts w:ascii="Calibri" w:hAnsi="Calibri"/>
                <w:color w:val="000000"/>
                <w:sz w:val="22"/>
                <w:szCs w:val="22"/>
              </w:rPr>
            </w:pPr>
            <w:r w:rsidRPr="00E357E7">
              <w:rPr>
                <w:rFonts w:ascii="Calibri" w:hAnsi="Calibri"/>
                <w:color w:val="000000"/>
                <w:sz w:val="22"/>
                <w:szCs w:val="22"/>
              </w:rPr>
              <w:t>HUD-93175</w:t>
            </w:r>
          </w:p>
        </w:tc>
        <w:tc>
          <w:tcPr>
            <w:tcW w:w="1302" w:type="dxa"/>
            <w:vMerge/>
            <w:tcBorders>
              <w:left w:val="single" w:sz="4" w:space="0" w:color="auto"/>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p>
        </w:tc>
        <w:tc>
          <w:tcPr>
            <w:tcW w:w="1360"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r w:rsidRPr="00CD3FA3">
              <w:rPr>
                <w:rFonts w:ascii="Calibri" w:hAnsi="Calibri"/>
                <w:color w:val="000000"/>
                <w:sz w:val="22"/>
                <w:szCs w:val="22"/>
              </w:rPr>
              <w:t>0.333</w:t>
            </w:r>
          </w:p>
        </w:tc>
        <w:tc>
          <w:tcPr>
            <w:tcW w:w="1400"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8</w:t>
            </w:r>
          </w:p>
        </w:tc>
        <w:tc>
          <w:tcPr>
            <w:tcW w:w="1248"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r w:rsidRPr="00CD3FA3">
              <w:rPr>
                <w:rFonts w:ascii="Calibri" w:hAnsi="Calibri"/>
                <w:color w:val="000000"/>
                <w:sz w:val="22"/>
                <w:szCs w:val="22"/>
              </w:rPr>
              <w:t>$    28.88</w:t>
            </w:r>
          </w:p>
        </w:tc>
        <w:tc>
          <w:tcPr>
            <w:tcW w:w="1530"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r w:rsidRPr="00CD3FA3">
              <w:rPr>
                <w:rFonts w:ascii="Calibri" w:hAnsi="Calibri"/>
                <w:color w:val="000000"/>
                <w:sz w:val="22"/>
                <w:szCs w:val="22"/>
              </w:rPr>
              <w:t>$                462</w:t>
            </w:r>
          </w:p>
        </w:tc>
      </w:tr>
      <w:tr w:rsidR="00735C02" w:rsidRPr="00CD3FA3" w:rsidTr="00053F2D">
        <w:trPr>
          <w:trHeight w:val="420"/>
        </w:trPr>
        <w:tc>
          <w:tcPr>
            <w:tcW w:w="1302" w:type="dxa"/>
            <w:tcBorders>
              <w:top w:val="nil"/>
              <w:left w:val="single" w:sz="4" w:space="0" w:color="auto"/>
              <w:right w:val="single" w:sz="4" w:space="0" w:color="auto"/>
            </w:tcBorders>
            <w:vAlign w:val="center"/>
          </w:tcPr>
          <w:p w:rsidR="00735C02" w:rsidRPr="00D96034" w:rsidRDefault="00735C02" w:rsidP="00DE6F68">
            <w:pPr>
              <w:overflowPunct/>
              <w:autoSpaceDE/>
              <w:autoSpaceDN/>
              <w:adjustRightInd/>
              <w:jc w:val="center"/>
              <w:textAlignment w:val="auto"/>
              <w:rPr>
                <w:rFonts w:ascii="Calibri" w:hAnsi="Calibri"/>
                <w:color w:val="000000"/>
                <w:sz w:val="22"/>
                <w:szCs w:val="22"/>
              </w:rPr>
            </w:pPr>
            <w:r w:rsidRPr="00D96034">
              <w:rPr>
                <w:rFonts w:ascii="Calibri" w:hAnsi="Calibri"/>
                <w:color w:val="000000"/>
                <w:sz w:val="22"/>
                <w:szCs w:val="22"/>
              </w:rPr>
              <w:t>HUD-93176</w:t>
            </w:r>
          </w:p>
          <w:p w:rsidR="00735C02" w:rsidRPr="00D96034" w:rsidRDefault="00735C02" w:rsidP="00DE6F68">
            <w:pPr>
              <w:jc w:val="center"/>
              <w:rPr>
                <w:rFonts w:ascii="Calibri" w:hAnsi="Calibri"/>
                <w:color w:val="000000"/>
                <w:sz w:val="22"/>
                <w:szCs w:val="22"/>
              </w:rPr>
            </w:pPr>
          </w:p>
        </w:tc>
        <w:tc>
          <w:tcPr>
            <w:tcW w:w="1302" w:type="dxa"/>
            <w:vMerge w:val="restart"/>
            <w:tcBorders>
              <w:top w:val="nil"/>
              <w:left w:val="single" w:sz="4" w:space="0" w:color="auto"/>
              <w:right w:val="single" w:sz="4" w:space="0" w:color="auto"/>
            </w:tcBorders>
            <w:shd w:val="clear" w:color="auto" w:fill="auto"/>
            <w:noWrap/>
            <w:vAlign w:val="center"/>
            <w:hideMark/>
          </w:tcPr>
          <w:p w:rsidR="00735C02" w:rsidRPr="00CD3FA3" w:rsidRDefault="00735C02" w:rsidP="00CD3FA3">
            <w:pPr>
              <w:jc w:val="center"/>
              <w:rPr>
                <w:rFonts w:ascii="Calibri" w:hAnsi="Calibri"/>
                <w:color w:val="000000"/>
                <w:sz w:val="22"/>
                <w:szCs w:val="22"/>
              </w:rPr>
            </w:pPr>
            <w:r>
              <w:rPr>
                <w:rFonts w:ascii="Calibri" w:hAnsi="Calibri"/>
                <w:color w:val="000000"/>
                <w:sz w:val="22"/>
                <w:szCs w:val="22"/>
              </w:rPr>
              <w:t>24</w:t>
            </w:r>
          </w:p>
        </w:tc>
        <w:tc>
          <w:tcPr>
            <w:tcW w:w="1360"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r w:rsidRPr="00CD3FA3">
              <w:rPr>
                <w:rFonts w:ascii="Calibri" w:hAnsi="Calibri"/>
                <w:color w:val="000000"/>
                <w:sz w:val="22"/>
                <w:szCs w:val="22"/>
              </w:rPr>
              <w:t>0.333</w:t>
            </w:r>
          </w:p>
        </w:tc>
        <w:tc>
          <w:tcPr>
            <w:tcW w:w="1400"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8</w:t>
            </w:r>
          </w:p>
        </w:tc>
        <w:tc>
          <w:tcPr>
            <w:tcW w:w="1248"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r w:rsidRPr="00CD3FA3">
              <w:rPr>
                <w:rFonts w:ascii="Calibri" w:hAnsi="Calibri"/>
                <w:color w:val="000000"/>
                <w:sz w:val="22"/>
                <w:szCs w:val="22"/>
              </w:rPr>
              <w:t>$    28.88</w:t>
            </w:r>
          </w:p>
        </w:tc>
        <w:tc>
          <w:tcPr>
            <w:tcW w:w="1530"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r w:rsidRPr="00CD3FA3">
              <w:rPr>
                <w:rFonts w:ascii="Calibri" w:hAnsi="Calibri"/>
                <w:color w:val="000000"/>
                <w:sz w:val="22"/>
                <w:szCs w:val="22"/>
              </w:rPr>
              <w:t>$                462</w:t>
            </w:r>
          </w:p>
        </w:tc>
      </w:tr>
      <w:tr w:rsidR="00735C02" w:rsidRPr="00CD3FA3" w:rsidTr="00053F2D">
        <w:trPr>
          <w:trHeight w:val="420"/>
        </w:trPr>
        <w:tc>
          <w:tcPr>
            <w:tcW w:w="1302" w:type="dxa"/>
            <w:tcBorders>
              <w:left w:val="single" w:sz="4" w:space="0" w:color="auto"/>
              <w:bottom w:val="single" w:sz="4" w:space="0" w:color="auto"/>
              <w:right w:val="single" w:sz="4" w:space="0" w:color="auto"/>
            </w:tcBorders>
            <w:vAlign w:val="center"/>
          </w:tcPr>
          <w:p w:rsidR="00735C02" w:rsidRPr="00D96034" w:rsidRDefault="00735C02" w:rsidP="00DE6F68">
            <w:pPr>
              <w:overflowPunct/>
              <w:autoSpaceDE/>
              <w:autoSpaceDN/>
              <w:adjustRightInd/>
              <w:jc w:val="center"/>
              <w:textAlignment w:val="auto"/>
              <w:rPr>
                <w:rFonts w:ascii="Calibri" w:hAnsi="Calibri"/>
                <w:color w:val="000000"/>
                <w:sz w:val="22"/>
                <w:szCs w:val="22"/>
              </w:rPr>
            </w:pPr>
            <w:r w:rsidRPr="00D96034">
              <w:rPr>
                <w:rFonts w:ascii="Calibri" w:hAnsi="Calibri"/>
                <w:color w:val="000000"/>
                <w:sz w:val="22"/>
                <w:szCs w:val="22"/>
              </w:rPr>
              <w:t>HUD-93174</w:t>
            </w:r>
          </w:p>
        </w:tc>
        <w:tc>
          <w:tcPr>
            <w:tcW w:w="1302" w:type="dxa"/>
            <w:vMerge/>
            <w:tcBorders>
              <w:left w:val="single" w:sz="4" w:space="0" w:color="auto"/>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p>
        </w:tc>
        <w:tc>
          <w:tcPr>
            <w:tcW w:w="1360"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r w:rsidRPr="00CD3FA3">
              <w:rPr>
                <w:rFonts w:ascii="Calibri" w:hAnsi="Calibri"/>
                <w:color w:val="000000"/>
                <w:sz w:val="22"/>
                <w:szCs w:val="22"/>
              </w:rPr>
              <w:t>0.333</w:t>
            </w:r>
          </w:p>
        </w:tc>
        <w:tc>
          <w:tcPr>
            <w:tcW w:w="1400"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8</w:t>
            </w:r>
          </w:p>
        </w:tc>
        <w:tc>
          <w:tcPr>
            <w:tcW w:w="1248"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r w:rsidRPr="00CD3FA3">
              <w:rPr>
                <w:rFonts w:ascii="Calibri" w:hAnsi="Calibri"/>
                <w:color w:val="000000"/>
                <w:sz w:val="22"/>
                <w:szCs w:val="22"/>
              </w:rPr>
              <w:t>$    28.88</w:t>
            </w:r>
          </w:p>
        </w:tc>
        <w:tc>
          <w:tcPr>
            <w:tcW w:w="1530"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r w:rsidRPr="00CD3FA3">
              <w:rPr>
                <w:rFonts w:ascii="Calibri" w:hAnsi="Calibri"/>
                <w:color w:val="000000"/>
                <w:sz w:val="22"/>
                <w:szCs w:val="22"/>
              </w:rPr>
              <w:t>$                462</w:t>
            </w:r>
          </w:p>
        </w:tc>
      </w:tr>
      <w:tr w:rsidR="00735C02" w:rsidRPr="00CD3FA3" w:rsidTr="00735C02">
        <w:trPr>
          <w:trHeight w:val="420"/>
        </w:trPr>
        <w:tc>
          <w:tcPr>
            <w:tcW w:w="1302" w:type="dxa"/>
            <w:tcBorders>
              <w:top w:val="nil"/>
              <w:left w:val="single" w:sz="4" w:space="0" w:color="auto"/>
              <w:bottom w:val="single" w:sz="4" w:space="0" w:color="auto"/>
              <w:right w:val="single" w:sz="4" w:space="0" w:color="auto"/>
            </w:tcBorders>
          </w:tcPr>
          <w:p w:rsidR="00735C02" w:rsidRPr="00D96034" w:rsidRDefault="00735C02" w:rsidP="00DE6F68">
            <w:pPr>
              <w:overflowPunct/>
              <w:autoSpaceDE/>
              <w:autoSpaceDN/>
              <w:adjustRightInd/>
              <w:jc w:val="center"/>
              <w:textAlignment w:val="auto"/>
              <w:rPr>
                <w:rFonts w:ascii="Calibri" w:hAnsi="Calibri"/>
                <w:b/>
                <w:bCs/>
                <w:color w:val="000000"/>
                <w:sz w:val="22"/>
                <w:szCs w:val="22"/>
              </w:rPr>
            </w:pP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48</w:t>
            </w:r>
          </w:p>
        </w:tc>
        <w:tc>
          <w:tcPr>
            <w:tcW w:w="1360"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r w:rsidRPr="00CD3FA3">
              <w:rPr>
                <w:rFonts w:ascii="Calibri" w:hAnsi="Calibri"/>
                <w:color w:val="000000"/>
                <w:sz w:val="22"/>
                <w:szCs w:val="22"/>
              </w:rPr>
              <w:t>1.332</w:t>
            </w:r>
          </w:p>
        </w:tc>
        <w:tc>
          <w:tcPr>
            <w:tcW w:w="1400"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32</w:t>
            </w:r>
          </w:p>
        </w:tc>
        <w:tc>
          <w:tcPr>
            <w:tcW w:w="1248"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CD3FA3">
            <w:pPr>
              <w:overflowPunct/>
              <w:autoSpaceDE/>
              <w:autoSpaceDN/>
              <w:adjustRightInd/>
              <w:jc w:val="center"/>
              <w:textAlignment w:val="auto"/>
              <w:rPr>
                <w:rFonts w:ascii="Calibri" w:hAnsi="Calibri"/>
                <w:color w:val="000000"/>
                <w:sz w:val="22"/>
                <w:szCs w:val="22"/>
              </w:rPr>
            </w:pPr>
          </w:p>
        </w:tc>
        <w:tc>
          <w:tcPr>
            <w:tcW w:w="1530" w:type="dxa"/>
            <w:tcBorders>
              <w:top w:val="nil"/>
              <w:left w:val="nil"/>
              <w:bottom w:val="single" w:sz="4" w:space="0" w:color="auto"/>
              <w:right w:val="single" w:sz="4" w:space="0" w:color="auto"/>
            </w:tcBorders>
            <w:shd w:val="clear" w:color="auto" w:fill="auto"/>
            <w:noWrap/>
            <w:vAlign w:val="center"/>
            <w:hideMark/>
          </w:tcPr>
          <w:p w:rsidR="00735C02" w:rsidRPr="00CD3FA3" w:rsidRDefault="00735C02" w:rsidP="007101A7">
            <w:pPr>
              <w:overflowPunct/>
              <w:autoSpaceDE/>
              <w:autoSpaceDN/>
              <w:adjustRightInd/>
              <w:jc w:val="center"/>
              <w:textAlignment w:val="auto"/>
              <w:rPr>
                <w:rFonts w:ascii="Calibri" w:hAnsi="Calibri"/>
                <w:color w:val="000000"/>
                <w:sz w:val="22"/>
                <w:szCs w:val="22"/>
              </w:rPr>
            </w:pPr>
            <w:r>
              <w:rPr>
                <w:rFonts w:ascii="Calibri" w:hAnsi="Calibri"/>
                <w:color w:val="000000"/>
                <w:sz w:val="22"/>
                <w:szCs w:val="22"/>
              </w:rPr>
              <w:t>$            924</w:t>
            </w:r>
          </w:p>
        </w:tc>
      </w:tr>
    </w:tbl>
    <w:p w:rsidR="005B11C0" w:rsidRPr="00786297" w:rsidRDefault="005B11C0" w:rsidP="005B11C0">
      <w:pPr>
        <w:pStyle w:val="BodyTextIndent3"/>
        <w:spacing w:after="100" w:afterAutospacing="1"/>
        <w:ind w:left="446" w:firstLine="0"/>
        <w:rPr>
          <w:b/>
          <w:szCs w:val="24"/>
          <w:vertAlign w:val="superscript"/>
        </w:rPr>
      </w:pPr>
      <w:r>
        <w:rPr>
          <w:b/>
          <w:szCs w:val="24"/>
          <w:vertAlign w:val="superscript"/>
        </w:rPr>
        <w:t>*</w:t>
      </w:r>
      <w:r w:rsidRPr="00786297">
        <w:rPr>
          <w:b/>
          <w:szCs w:val="24"/>
          <w:vertAlign w:val="superscript"/>
        </w:rPr>
        <w:t>Estimated hourly cost is based on the annual salary of a GS-12, Project Manager for reviewing the information.</w:t>
      </w:r>
    </w:p>
    <w:p w:rsidR="00CD5B1C" w:rsidRDefault="00CD5B1C" w:rsidP="009A1C08">
      <w:pPr>
        <w:ind w:left="360"/>
        <w:rPr>
          <w:rFonts w:asciiTheme="minorHAnsi" w:hAnsiTheme="minorHAnsi"/>
        </w:rPr>
      </w:pPr>
      <w:r>
        <w:rPr>
          <w:rFonts w:asciiTheme="minorHAnsi" w:hAnsiTheme="minorHAnsi"/>
          <w:b/>
        </w:rPr>
        <w:t>15.  Explain the reasons of any program changes or adjustments reported in Items 13 and 14 of the OMB form 83-I.</w:t>
      </w:r>
    </w:p>
    <w:p w:rsidR="005B11C0" w:rsidRDefault="00735C02" w:rsidP="00CD5B1C">
      <w:pPr>
        <w:keepLines/>
        <w:numPr>
          <w:ilvl w:val="0"/>
          <w:numId w:val="14"/>
        </w:numPr>
        <w:spacing w:before="100" w:beforeAutospacing="1" w:after="100" w:afterAutospacing="1"/>
        <w:rPr>
          <w:color w:val="000000"/>
          <w:sz w:val="24"/>
        </w:rPr>
      </w:pPr>
      <w:r>
        <w:rPr>
          <w:color w:val="000000"/>
          <w:sz w:val="24"/>
        </w:rPr>
        <w:lastRenderedPageBreak/>
        <w:t xml:space="preserve">This is </w:t>
      </w:r>
      <w:r w:rsidR="00487652">
        <w:rPr>
          <w:color w:val="000000"/>
          <w:sz w:val="24"/>
        </w:rPr>
        <w:t>a</w:t>
      </w:r>
      <w:r w:rsidR="0072708C">
        <w:rPr>
          <w:color w:val="000000"/>
          <w:sz w:val="24"/>
        </w:rPr>
        <w:t xml:space="preserve"> reinstatement with</w:t>
      </w:r>
      <w:r w:rsidR="007D47A4">
        <w:rPr>
          <w:color w:val="000000"/>
          <w:sz w:val="24"/>
        </w:rPr>
        <w:t xml:space="preserve"> change of a currently approved collection</w:t>
      </w:r>
      <w:r>
        <w:rPr>
          <w:color w:val="000000"/>
          <w:sz w:val="24"/>
        </w:rPr>
        <w:t xml:space="preserve">.   </w:t>
      </w:r>
      <w:r w:rsidR="009A1C08">
        <w:rPr>
          <w:color w:val="000000"/>
          <w:sz w:val="24"/>
        </w:rPr>
        <w:t>Adjustments reported in items 13 and 14 address reductions in outstanding Section 236 projects, and actual numbers of decoupled loans in the current year</w:t>
      </w:r>
      <w:r w:rsidR="005B11C0">
        <w:rPr>
          <w:color w:val="000000"/>
          <w:sz w:val="24"/>
        </w:rPr>
        <w:t>.</w:t>
      </w:r>
    </w:p>
    <w:p w:rsidR="00CD5B1C" w:rsidRPr="00CD5B1C" w:rsidRDefault="00CD5B1C" w:rsidP="00CD5B1C">
      <w:pPr>
        <w:pStyle w:val="ListParagraph"/>
        <w:ind w:left="360"/>
        <w:rPr>
          <w:rFonts w:asciiTheme="minorHAnsi" w:hAnsiTheme="minorHAnsi"/>
          <w:b/>
        </w:rPr>
      </w:pPr>
      <w:r w:rsidRPr="00CD5B1C">
        <w:rPr>
          <w:rFonts w:asciiTheme="minorHAnsi" w:hAnsiTheme="minorHAnsi"/>
          <w:b/>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B11C0" w:rsidRDefault="005B11C0" w:rsidP="00CD5B1C">
      <w:pPr>
        <w:numPr>
          <w:ilvl w:val="0"/>
          <w:numId w:val="14"/>
        </w:numPr>
        <w:tabs>
          <w:tab w:val="left" w:pos="720"/>
        </w:tabs>
        <w:spacing w:before="100" w:beforeAutospacing="1" w:after="100" w:afterAutospacing="1"/>
        <w:rPr>
          <w:sz w:val="24"/>
        </w:rPr>
      </w:pPr>
      <w:r>
        <w:rPr>
          <w:sz w:val="24"/>
        </w:rPr>
        <w:t>The results of this collection will not be published.</w:t>
      </w:r>
    </w:p>
    <w:p w:rsidR="00CD5B1C" w:rsidRPr="00CD5B1C" w:rsidRDefault="00CD5B1C" w:rsidP="00CD5B1C">
      <w:pPr>
        <w:pStyle w:val="ListParagraph"/>
        <w:ind w:left="360"/>
        <w:rPr>
          <w:rFonts w:asciiTheme="minorHAnsi" w:hAnsiTheme="minorHAnsi"/>
          <w:b/>
        </w:rPr>
      </w:pPr>
      <w:r w:rsidRPr="00CD5B1C">
        <w:rPr>
          <w:rFonts w:asciiTheme="minorHAnsi" w:hAnsiTheme="minorHAnsi"/>
          <w:b/>
        </w:rPr>
        <w:t xml:space="preserve">17.  </w:t>
      </w:r>
      <w:proofErr w:type="gramStart"/>
      <w:r w:rsidRPr="00CD5B1C">
        <w:rPr>
          <w:rFonts w:asciiTheme="minorHAnsi" w:hAnsiTheme="minorHAnsi"/>
          <w:b/>
        </w:rPr>
        <w:t>If</w:t>
      </w:r>
      <w:proofErr w:type="gramEnd"/>
      <w:r w:rsidRPr="00CD5B1C">
        <w:rPr>
          <w:rFonts w:asciiTheme="minorHAnsi" w:hAnsiTheme="minorHAnsi"/>
          <w:b/>
        </w:rPr>
        <w:t xml:space="preserve"> seeking approval to not display the expiration date for OMB approval of the information collection, explain the reasons that display would be inappropriate.</w:t>
      </w:r>
    </w:p>
    <w:p w:rsidR="005B11C0" w:rsidRPr="00CD5B1C" w:rsidRDefault="005B11C0" w:rsidP="00CD5B1C">
      <w:pPr>
        <w:keepLines/>
        <w:numPr>
          <w:ilvl w:val="0"/>
          <w:numId w:val="14"/>
        </w:numPr>
        <w:tabs>
          <w:tab w:val="left" w:pos="720"/>
        </w:tabs>
        <w:spacing w:before="100" w:beforeAutospacing="1" w:after="100" w:afterAutospacing="1"/>
        <w:rPr>
          <w:color w:val="000000"/>
          <w:sz w:val="24"/>
        </w:rPr>
      </w:pPr>
      <w:r>
        <w:rPr>
          <w:sz w:val="24"/>
        </w:rPr>
        <w:t>HUD is not requesting approval to avoid displaying the expiration date.</w:t>
      </w:r>
    </w:p>
    <w:p w:rsidR="00CD5B1C" w:rsidRPr="00CD5B1C" w:rsidRDefault="00CD5B1C" w:rsidP="00CD5B1C">
      <w:pPr>
        <w:pStyle w:val="ListParagraph"/>
        <w:ind w:left="360"/>
        <w:rPr>
          <w:rFonts w:asciiTheme="minorHAnsi" w:hAnsiTheme="minorHAnsi"/>
          <w:b/>
        </w:rPr>
      </w:pPr>
      <w:r w:rsidRPr="00CD5B1C">
        <w:rPr>
          <w:rFonts w:asciiTheme="minorHAnsi" w:hAnsiTheme="minorHAnsi"/>
          <w:b/>
        </w:rPr>
        <w:t>18.  Explain each exception to the certification statement identified in item 19.</w:t>
      </w:r>
    </w:p>
    <w:p w:rsidR="005B11C0" w:rsidRDefault="009A1C08" w:rsidP="00CD5B1C">
      <w:pPr>
        <w:numPr>
          <w:ilvl w:val="0"/>
          <w:numId w:val="14"/>
        </w:numPr>
        <w:tabs>
          <w:tab w:val="left" w:pos="720"/>
        </w:tabs>
        <w:spacing w:before="100" w:beforeAutospacing="1" w:after="100" w:afterAutospacing="1"/>
        <w:rPr>
          <w:sz w:val="24"/>
        </w:rPr>
      </w:pPr>
      <w:r>
        <w:rPr>
          <w:sz w:val="24"/>
        </w:rPr>
        <w:t>There are no</w:t>
      </w:r>
      <w:r w:rsidR="005B11C0">
        <w:rPr>
          <w:sz w:val="24"/>
        </w:rPr>
        <w:t xml:space="preserve"> exceptions to the certification statement identified in Item #19 on form OMB 83-I, “Certification for Paperwork Reduction Act Submissions.”</w:t>
      </w:r>
    </w:p>
    <w:p w:rsidR="009A1C08" w:rsidRDefault="009A1C08" w:rsidP="005B11C0">
      <w:pPr>
        <w:pStyle w:val="Heading1"/>
        <w:numPr>
          <w:ilvl w:val="0"/>
          <w:numId w:val="0"/>
        </w:numPr>
        <w:spacing w:before="100" w:beforeAutospacing="1" w:after="100" w:afterAutospacing="1"/>
      </w:pPr>
    </w:p>
    <w:p w:rsidR="005B11C0" w:rsidRPr="00735C02" w:rsidRDefault="005B11C0" w:rsidP="005B11C0">
      <w:pPr>
        <w:pStyle w:val="Heading1"/>
        <w:numPr>
          <w:ilvl w:val="0"/>
          <w:numId w:val="0"/>
        </w:numPr>
        <w:spacing w:before="100" w:beforeAutospacing="1" w:after="100" w:afterAutospacing="1"/>
        <w:rPr>
          <w:color w:val="auto"/>
        </w:rPr>
      </w:pPr>
      <w:r w:rsidRPr="00735C02">
        <w:rPr>
          <w:color w:val="auto"/>
        </w:rPr>
        <w:t>B.  Collections of Information Employing Statistical Methods</w:t>
      </w:r>
    </w:p>
    <w:p w:rsidR="005B11C0" w:rsidRDefault="005B11C0" w:rsidP="005B11C0">
      <w:pPr>
        <w:spacing w:before="100" w:beforeAutospacing="1" w:after="100" w:afterAutospacing="1"/>
        <w:ind w:firstLine="360"/>
        <w:rPr>
          <w:sz w:val="24"/>
        </w:rPr>
      </w:pPr>
      <w:r>
        <w:rPr>
          <w:sz w:val="24"/>
        </w:rPr>
        <w:t>This information collection does not employ statistical methods.</w:t>
      </w:r>
    </w:p>
    <w:p w:rsidR="005074D2" w:rsidRDefault="005074D2"/>
    <w:sectPr w:rsidR="005074D2" w:rsidSect="00507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74D08"/>
    <w:multiLevelType w:val="hybridMultilevel"/>
    <w:tmpl w:val="FE5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C02468"/>
    <w:multiLevelType w:val="hybridMultilevel"/>
    <w:tmpl w:val="BE08E9BC"/>
    <w:lvl w:ilvl="0" w:tplc="C976525C">
      <w:start w:val="8"/>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1C9D5F01"/>
    <w:multiLevelType w:val="hybridMultilevel"/>
    <w:tmpl w:val="DD8A87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453F3E"/>
    <w:multiLevelType w:val="multilevel"/>
    <w:tmpl w:val="3DF65D14"/>
    <w:lvl w:ilvl="0">
      <w:start w:val="1"/>
      <w:numFmt w:val="decimal"/>
      <w:pStyle w:val="HBX1"/>
      <w:lvlText w:val="13-%1."/>
      <w:lvlJc w:val="left"/>
      <w:pPr>
        <w:ind w:left="360" w:hanging="360"/>
      </w:pPr>
      <w:rPr>
        <w:rFonts w:ascii="Arial" w:hAnsi="Arial" w:hint="default"/>
        <w:b/>
        <w:i w:val="0"/>
        <w:caps w:val="0"/>
        <w:strike w:val="0"/>
        <w:dstrike w:val="0"/>
        <w:outline/>
        <w:shadow w:val="0"/>
        <w:emboss w:val="0"/>
        <w:imprint w:val="0"/>
        <w:vanish w:val="0"/>
        <w:sz w:val="28"/>
        <w:vertAlign w:val="baseline"/>
      </w:rPr>
    </w:lvl>
    <w:lvl w:ilvl="1">
      <w:start w:val="1"/>
      <w:numFmt w:val="upperLetter"/>
      <w:lvlText w:val="%2."/>
      <w:lvlJc w:val="left"/>
      <w:pPr>
        <w:tabs>
          <w:tab w:val="num" w:pos="900"/>
        </w:tabs>
        <w:ind w:left="1260" w:hanging="360"/>
      </w:pPr>
      <w:rPr>
        <w:rFonts w:hint="default"/>
      </w:rPr>
    </w:lvl>
    <w:lvl w:ilvl="2">
      <w:start w:val="1"/>
      <w:numFmt w:val="decimal"/>
      <w:lvlText w:val="%3)"/>
      <w:lvlJc w:val="left"/>
      <w:pPr>
        <w:tabs>
          <w:tab w:val="num" w:pos="1080"/>
        </w:tabs>
        <w:ind w:left="1800" w:hanging="360"/>
      </w:pPr>
      <w:rPr>
        <w:rFonts w:hint="default"/>
      </w:rPr>
    </w:lvl>
    <w:lvl w:ilvl="3">
      <w:start w:val="1"/>
      <w:numFmt w:val="lowerLetter"/>
      <w:lvlText w:val="%4)"/>
      <w:lvlJc w:val="right"/>
      <w:pPr>
        <w:tabs>
          <w:tab w:val="num" w:pos="720"/>
        </w:tabs>
        <w:ind w:left="2160" w:hanging="360"/>
      </w:pPr>
      <w:rPr>
        <w:rFonts w:hint="default"/>
      </w:rPr>
    </w:lvl>
    <w:lvl w:ilvl="4">
      <w:start w:val="1"/>
      <w:numFmt w:val="lowerRoman"/>
      <w:lvlText w:val="%5)"/>
      <w:lvlJc w:val="left"/>
      <w:pPr>
        <w:tabs>
          <w:tab w:val="num" w:pos="-720"/>
        </w:tabs>
        <w:ind w:left="720" w:hanging="360"/>
      </w:pPr>
      <w:rPr>
        <w:rFonts w:hint="default"/>
      </w:rPr>
    </w:lvl>
    <w:lvl w:ilvl="5">
      <w:start w:val="1"/>
      <w:numFmt w:val="lowerLetter"/>
      <w:lvlText w:val="%6)"/>
      <w:lvlJc w:val="left"/>
      <w:pPr>
        <w:tabs>
          <w:tab w:val="num" w:pos="2952"/>
        </w:tabs>
        <w:ind w:left="2952" w:hanging="432"/>
      </w:pPr>
      <w:rPr>
        <w:rFonts w:hint="default"/>
      </w:rPr>
    </w:lvl>
    <w:lvl w:ilvl="6">
      <w:start w:val="1"/>
      <w:numFmt w:val="lowerRoman"/>
      <w:lvlText w:val="%7)"/>
      <w:lvlJc w:val="right"/>
      <w:pPr>
        <w:tabs>
          <w:tab w:val="num" w:pos="3096"/>
        </w:tabs>
        <w:ind w:left="3096" w:hanging="288"/>
      </w:pPr>
      <w:rPr>
        <w:rFonts w:hint="default"/>
      </w:rPr>
    </w:lvl>
    <w:lvl w:ilvl="7">
      <w:start w:val="1"/>
      <w:numFmt w:val="lowerLetter"/>
      <w:lvlText w:val="%8."/>
      <w:lvlJc w:val="left"/>
      <w:pPr>
        <w:tabs>
          <w:tab w:val="num" w:pos="3240"/>
        </w:tabs>
        <w:ind w:left="3240" w:hanging="432"/>
      </w:pPr>
      <w:rPr>
        <w:rFonts w:hint="default"/>
      </w:rPr>
    </w:lvl>
    <w:lvl w:ilvl="8">
      <w:start w:val="1"/>
      <w:numFmt w:val="lowerRoman"/>
      <w:lvlText w:val="%9."/>
      <w:lvlJc w:val="right"/>
      <w:pPr>
        <w:tabs>
          <w:tab w:val="num" w:pos="3384"/>
        </w:tabs>
        <w:ind w:left="3384" w:hanging="144"/>
      </w:pPr>
      <w:rPr>
        <w:rFonts w:hint="default"/>
      </w:rPr>
    </w:lvl>
  </w:abstractNum>
  <w:abstractNum w:abstractNumId="5">
    <w:nsid w:val="210161C9"/>
    <w:multiLevelType w:val="multilevel"/>
    <w:tmpl w:val="9FA8A1B0"/>
    <w:lvl w:ilvl="0">
      <w:start w:val="1"/>
      <w:numFmt w:val="upperLetter"/>
      <w:lvlText w:val="%1."/>
      <w:lvlJc w:val="left"/>
      <w:pPr>
        <w:ind w:left="720" w:hanging="360"/>
      </w:pPr>
      <w:rPr>
        <w:rFonts w:hint="default"/>
      </w:rPr>
    </w:lvl>
    <w:lvl w:ilvl="1">
      <w:start w:val="1"/>
      <w:numFmt w:val="upperLetter"/>
      <w:lvlText w:val="%2."/>
      <w:lvlJc w:val="left"/>
      <w:pPr>
        <w:tabs>
          <w:tab w:val="num" w:pos="360"/>
        </w:tabs>
        <w:ind w:left="720" w:hanging="360"/>
      </w:pPr>
      <w:rPr>
        <w:rFonts w:hint="default"/>
      </w:rPr>
    </w:lvl>
    <w:lvl w:ilvl="2">
      <w:start w:val="1"/>
      <w:numFmt w:val="upperLetter"/>
      <w:pStyle w:val="HBAOutline"/>
      <w:lvlText w:val="%3."/>
      <w:lvlJc w:val="left"/>
      <w:pPr>
        <w:tabs>
          <w:tab w:val="num" w:pos="360"/>
        </w:tabs>
        <w:ind w:left="1440" w:hanging="360"/>
      </w:pPr>
      <w:rPr>
        <w:rFonts w:hint="default"/>
      </w:rPr>
    </w:lvl>
    <w:lvl w:ilvl="3">
      <w:start w:val="1"/>
      <w:numFmt w:val="lowerLetter"/>
      <w:lvlText w:val="%4)"/>
      <w:lvlJc w:val="right"/>
      <w:pPr>
        <w:tabs>
          <w:tab w:val="num" w:pos="360"/>
        </w:tabs>
        <w:ind w:left="1800" w:hanging="360"/>
      </w:pPr>
      <w:rPr>
        <w:rFonts w:hint="default"/>
      </w:rPr>
    </w:lvl>
    <w:lvl w:ilvl="4">
      <w:start w:val="1"/>
      <w:numFmt w:val="lowerRoman"/>
      <w:lvlText w:val="%5)"/>
      <w:lvlJc w:val="left"/>
      <w:pPr>
        <w:tabs>
          <w:tab w:val="num" w:pos="-1080"/>
        </w:tabs>
        <w:ind w:left="360" w:hanging="360"/>
      </w:pPr>
      <w:rPr>
        <w:rFonts w:hint="default"/>
      </w:rPr>
    </w:lvl>
    <w:lvl w:ilvl="5">
      <w:start w:val="1"/>
      <w:numFmt w:val="lowerLetter"/>
      <w:lvlText w:val="%6)"/>
      <w:lvlJc w:val="left"/>
      <w:pPr>
        <w:tabs>
          <w:tab w:val="num" w:pos="2592"/>
        </w:tabs>
        <w:ind w:left="2592" w:hanging="432"/>
      </w:pPr>
      <w:rPr>
        <w:rFonts w:hint="default"/>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abstractNum w:abstractNumId="6">
    <w:nsid w:val="295E2AB4"/>
    <w:multiLevelType w:val="hybridMultilevel"/>
    <w:tmpl w:val="AA9EF60A"/>
    <w:lvl w:ilvl="0" w:tplc="F45E3A70">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B911B35"/>
    <w:multiLevelType w:val="hybridMultilevel"/>
    <w:tmpl w:val="FAB46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581660"/>
    <w:multiLevelType w:val="hybridMultilevel"/>
    <w:tmpl w:val="2A823B92"/>
    <w:lvl w:ilvl="0" w:tplc="4EC2F5C6">
      <w:start w:val="1"/>
      <w:numFmt w:val="decimal"/>
      <w:pStyle w:val="HBX1Outline"/>
      <w:lvlText w:val="14-%1."/>
      <w:lvlJc w:val="left"/>
      <w:pPr>
        <w:ind w:left="720" w:hanging="360"/>
      </w:pPr>
      <w:rPr>
        <w:rFonts w:ascii="Arial" w:hAnsi="Arial" w:hint="default"/>
        <w:b/>
        <w:i w:val="0"/>
        <w:caps w:val="0"/>
        <w:strike w:val="0"/>
        <w:dstrike w:val="0"/>
        <w:outline w:val="0"/>
        <w:shadow w:val="0"/>
        <w:emboss w:val="0"/>
        <w:imprint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2D250C"/>
    <w:multiLevelType w:val="hybridMultilevel"/>
    <w:tmpl w:val="2DE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3A96838"/>
    <w:multiLevelType w:val="hybridMultilevel"/>
    <w:tmpl w:val="DA464EEE"/>
    <w:lvl w:ilvl="0" w:tplc="8F260C20">
      <w:start w:val="1"/>
      <w:numFmt w:val="lowerRoman"/>
      <w:pStyle w:val="HBiOutline"/>
      <w:lvlText w:val="%1)"/>
      <w:lvlJc w:val="left"/>
      <w:pPr>
        <w:ind w:left="2160" w:hanging="360"/>
      </w:pPr>
      <w:rPr>
        <w:rFonts w:ascii="Arial" w:hAnsi="Arial" w:hint="default"/>
        <w:b w:val="0"/>
        <w:i w:val="0"/>
        <w:caps w:val="0"/>
        <w:strike w:val="0"/>
        <w:dstrike w:val="0"/>
        <w:outline/>
        <w:shadow w:val="0"/>
        <w:emboss w:val="0"/>
        <w:imprint w:val="0"/>
        <w:vanish w:val="0"/>
        <w:sz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56A46A4"/>
    <w:multiLevelType w:val="hybridMultilevel"/>
    <w:tmpl w:val="6CAA3F9A"/>
    <w:lvl w:ilvl="0" w:tplc="0ABE6BC2">
      <w:start w:val="1"/>
      <w:numFmt w:val="decimal"/>
      <w:pStyle w:val="HB1Outline"/>
      <w:lvlText w:val="%1)"/>
      <w:lvlJc w:val="left"/>
      <w:pPr>
        <w:ind w:left="1440" w:hanging="360"/>
      </w:pPr>
      <w:rPr>
        <w:rFonts w:hint="default"/>
        <w:b w:val="0"/>
        <w:i w:val="0"/>
        <w:caps w:val="0"/>
        <w:strike w:val="0"/>
        <w:dstrike w:val="0"/>
        <w:outline w:val="0"/>
        <w:shadow w:val="0"/>
        <w:emboss w:val="0"/>
        <w:imprint w:val="0"/>
        <w:vanish w:val="0"/>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nsid w:val="5E4F4B65"/>
    <w:multiLevelType w:val="singleLevel"/>
    <w:tmpl w:val="159E9B36"/>
    <w:lvl w:ilvl="0">
      <w:start w:val="1"/>
      <w:numFmt w:val="bullet"/>
      <w:pStyle w:val="Tablebullet"/>
      <w:lvlText w:val=""/>
      <w:lvlJc w:val="left"/>
      <w:pPr>
        <w:tabs>
          <w:tab w:val="num" w:pos="360"/>
        </w:tabs>
        <w:ind w:left="360" w:hanging="360"/>
      </w:pPr>
      <w:rPr>
        <w:rFonts w:ascii="Symbol" w:hAnsi="Symbol" w:hint="default"/>
      </w:rPr>
    </w:lvl>
  </w:abstractNum>
  <w:abstractNum w:abstractNumId="14">
    <w:nsid w:val="66593FCD"/>
    <w:multiLevelType w:val="hybridMultilevel"/>
    <w:tmpl w:val="D408D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E347D1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nsid w:val="748F6656"/>
    <w:multiLevelType w:val="hybridMultilevel"/>
    <w:tmpl w:val="7DF8FCD6"/>
    <w:lvl w:ilvl="0" w:tplc="70365F92">
      <w:start w:val="1"/>
      <w:numFmt w:val="lowerLetter"/>
      <w:pStyle w:val="HBaOutline0"/>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5"/>
  </w:num>
  <w:num w:numId="2">
    <w:abstractNumId w:val="13"/>
  </w:num>
  <w:num w:numId="3">
    <w:abstractNumId w:val="4"/>
  </w:num>
  <w:num w:numId="4">
    <w:abstractNumId w:val="5"/>
  </w:num>
  <w:num w:numId="5">
    <w:abstractNumId w:val="8"/>
  </w:num>
  <w:num w:numId="6">
    <w:abstractNumId w:val="11"/>
  </w:num>
  <w:num w:numId="7">
    <w:abstractNumId w:val="16"/>
  </w:num>
  <w:num w:numId="8">
    <w:abstractNumId w:val="10"/>
  </w:num>
  <w:num w:numId="9">
    <w:abstractNumId w:val="2"/>
  </w:num>
  <w:num w:numId="10">
    <w:abstractNumId w:val="12"/>
  </w:num>
  <w:num w:numId="11">
    <w:abstractNumId w:val="6"/>
  </w:num>
  <w:num w:numId="12">
    <w:abstractNumId w:val="9"/>
  </w:num>
  <w:num w:numId="13">
    <w:abstractNumId w:val="3"/>
  </w:num>
  <w:num w:numId="14">
    <w:abstractNumId w:val="1"/>
  </w:num>
  <w:num w:numId="15">
    <w:abstractNumId w:val="7"/>
  </w:num>
  <w:num w:numId="16">
    <w:abstractNumId w:val="0"/>
  </w:num>
  <w:num w:numId="17">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5B11C0"/>
    <w:rsid w:val="00001A47"/>
    <w:rsid w:val="00044B18"/>
    <w:rsid w:val="00046CDC"/>
    <w:rsid w:val="00080D2F"/>
    <w:rsid w:val="0010561E"/>
    <w:rsid w:val="00124A3C"/>
    <w:rsid w:val="001325C9"/>
    <w:rsid w:val="00166F30"/>
    <w:rsid w:val="001A1D5C"/>
    <w:rsid w:val="001C5D7D"/>
    <w:rsid w:val="00255E05"/>
    <w:rsid w:val="00285253"/>
    <w:rsid w:val="002A3C00"/>
    <w:rsid w:val="002D0734"/>
    <w:rsid w:val="002D7EDC"/>
    <w:rsid w:val="002F29E8"/>
    <w:rsid w:val="003020FA"/>
    <w:rsid w:val="003A138B"/>
    <w:rsid w:val="003A1673"/>
    <w:rsid w:val="003C41D0"/>
    <w:rsid w:val="003D5E50"/>
    <w:rsid w:val="003E0FD1"/>
    <w:rsid w:val="0041398B"/>
    <w:rsid w:val="00471AA0"/>
    <w:rsid w:val="00481859"/>
    <w:rsid w:val="00481D97"/>
    <w:rsid w:val="00487652"/>
    <w:rsid w:val="0049414A"/>
    <w:rsid w:val="004D025F"/>
    <w:rsid w:val="004D5CF3"/>
    <w:rsid w:val="005074D2"/>
    <w:rsid w:val="0051791A"/>
    <w:rsid w:val="005306EA"/>
    <w:rsid w:val="0057314C"/>
    <w:rsid w:val="005B11C0"/>
    <w:rsid w:val="005C5CE0"/>
    <w:rsid w:val="00605659"/>
    <w:rsid w:val="00682ADD"/>
    <w:rsid w:val="006A4306"/>
    <w:rsid w:val="007101A7"/>
    <w:rsid w:val="0072708C"/>
    <w:rsid w:val="00735C02"/>
    <w:rsid w:val="00782075"/>
    <w:rsid w:val="00792006"/>
    <w:rsid w:val="007D47A4"/>
    <w:rsid w:val="007F018A"/>
    <w:rsid w:val="00803F52"/>
    <w:rsid w:val="0085694E"/>
    <w:rsid w:val="00896B7D"/>
    <w:rsid w:val="00904F44"/>
    <w:rsid w:val="00935929"/>
    <w:rsid w:val="00982DB1"/>
    <w:rsid w:val="009956C9"/>
    <w:rsid w:val="009A1C08"/>
    <w:rsid w:val="00A1168E"/>
    <w:rsid w:val="00A303A7"/>
    <w:rsid w:val="00A7661E"/>
    <w:rsid w:val="00AB133A"/>
    <w:rsid w:val="00B30014"/>
    <w:rsid w:val="00B31E28"/>
    <w:rsid w:val="00BC3B31"/>
    <w:rsid w:val="00C12C9D"/>
    <w:rsid w:val="00C7313C"/>
    <w:rsid w:val="00CA1672"/>
    <w:rsid w:val="00CC3163"/>
    <w:rsid w:val="00CD3FA3"/>
    <w:rsid w:val="00CD5B1C"/>
    <w:rsid w:val="00D0370C"/>
    <w:rsid w:val="00D13288"/>
    <w:rsid w:val="00D1368E"/>
    <w:rsid w:val="00D25016"/>
    <w:rsid w:val="00D2591F"/>
    <w:rsid w:val="00D64021"/>
    <w:rsid w:val="00D81E0D"/>
    <w:rsid w:val="00D96034"/>
    <w:rsid w:val="00DB0F73"/>
    <w:rsid w:val="00DD5227"/>
    <w:rsid w:val="00DE2E20"/>
    <w:rsid w:val="00DE7532"/>
    <w:rsid w:val="00DF01CD"/>
    <w:rsid w:val="00DF712E"/>
    <w:rsid w:val="00E04092"/>
    <w:rsid w:val="00E357E7"/>
    <w:rsid w:val="00E47F3A"/>
    <w:rsid w:val="00E54D2B"/>
    <w:rsid w:val="00E643D9"/>
    <w:rsid w:val="00E926AD"/>
    <w:rsid w:val="00EC7C7B"/>
    <w:rsid w:val="00ED2E7E"/>
    <w:rsid w:val="00F30E6D"/>
    <w:rsid w:val="00F75907"/>
    <w:rsid w:val="00FC4115"/>
    <w:rsid w:val="00FE60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lsdException w:name="footer" w:semiHidden="1" w:unhideWhenUsed="1"/>
    <w:lsdException w:name="caption" w:semiHidden="1" w:unhideWhenUsed="1" w:qFormat="1"/>
    <w:lsdException w:name="footnote reference" w:semiHidden="1" w:unhideWhenUsed="1"/>
    <w:lsdException w:name="annotation reference" w:semiHidden="1" w:unhideWhenUsed="1"/>
    <w:lsdException w:name="page number" w:semiHidden="1" w:unhideWhenUsed="1"/>
    <w:lsdException w:name="endnote reference" w:semiHidden="1" w:unhideWhenUsed="1"/>
    <w:lsdException w:name="endnote text" w:semiHidden="1" w:unhideWhenUsed="1"/>
    <w:lsdException w:name="Title" w:qFormat="1"/>
    <w:lsdException w:name="Default Paragraph Font" w:semiHidden="1" w:uiPriority="1" w:unhideWhenUsed="1"/>
    <w:lsdException w:name="Subtitle" w:qFormat="1"/>
    <w:lsdException w:name="Hyperlink" w:semiHidden="1" w:unhideWhenUsed="1"/>
    <w:lsdException w:name="FollowedHyperlink" w:semiHidden="1" w:unhideWhenUsed="1"/>
    <w:lsdException w:name="Strong" w:qFormat="1"/>
    <w:lsdException w:name="Emphasis" w:qFormat="1"/>
    <w:lsdException w:name="Plain Text" w:semiHidden="1" w:unhideWhenUsed="1"/>
    <w:lsdException w:name="HTML Top of Form" w:semiHidden="1" w:uiPriority="99" w:unhideWhenUsed="1"/>
    <w:lsdException w:name="HTML Bottom of Form" w:semiHidden="1" w:uiPriority="99" w:unhideWhenUsed="1"/>
    <w:lsdException w:name="Normal (Web)"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Table Grid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11C0"/>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qFormat/>
    <w:rsid w:val="00001A47"/>
    <w:pPr>
      <w:keepNext/>
      <w:numPr>
        <w:numId w:val="1"/>
      </w:numPr>
      <w:outlineLvl w:val="0"/>
    </w:pPr>
    <w:rPr>
      <w:b/>
      <w:bCs/>
      <w:color w:val="0000FF"/>
    </w:rPr>
  </w:style>
  <w:style w:type="paragraph" w:styleId="Heading2">
    <w:name w:val="heading 2"/>
    <w:basedOn w:val="Normal"/>
    <w:next w:val="Normal"/>
    <w:link w:val="Heading2Char"/>
    <w:qFormat/>
    <w:rsid w:val="00001A47"/>
    <w:pPr>
      <w:keepNext/>
      <w:numPr>
        <w:ilvl w:val="1"/>
        <w:numId w:val="1"/>
      </w:numPr>
      <w:spacing w:line="240" w:lineRule="atLeast"/>
      <w:outlineLvl w:val="1"/>
    </w:pPr>
    <w:rPr>
      <w:rFonts w:ascii="Arial" w:hAnsi="Arial" w:cs="Arial"/>
      <w:b/>
      <w:bCs/>
      <w:color w:val="0000FF"/>
    </w:rPr>
  </w:style>
  <w:style w:type="paragraph" w:styleId="Heading3">
    <w:name w:val="heading 3"/>
    <w:aliases w:val="Sub"/>
    <w:basedOn w:val="Normal"/>
    <w:next w:val="Normal"/>
    <w:link w:val="Heading3Char"/>
    <w:qFormat/>
    <w:rsid w:val="00001A47"/>
    <w:pPr>
      <w:keepNext/>
      <w:numPr>
        <w:ilvl w:val="2"/>
        <w:numId w:val="1"/>
      </w:numPr>
      <w:spacing w:line="240" w:lineRule="atLeast"/>
      <w:outlineLvl w:val="2"/>
    </w:pPr>
    <w:rPr>
      <w:rFonts w:ascii="Arial" w:hAnsi="Arial" w:cs="Arial"/>
      <w:b/>
      <w:bCs/>
      <w:color w:val="000000"/>
    </w:rPr>
  </w:style>
  <w:style w:type="paragraph" w:styleId="Heading4">
    <w:name w:val="heading 4"/>
    <w:basedOn w:val="Normal"/>
    <w:next w:val="Normal"/>
    <w:link w:val="Heading4Char"/>
    <w:qFormat/>
    <w:rsid w:val="00001A47"/>
    <w:pPr>
      <w:keepNext/>
      <w:numPr>
        <w:ilvl w:val="3"/>
        <w:numId w:val="1"/>
      </w:numPr>
      <w:spacing w:line="240" w:lineRule="atLeast"/>
      <w:outlineLvl w:val="3"/>
    </w:pPr>
    <w:rPr>
      <w:b/>
      <w:bCs/>
      <w:sz w:val="22"/>
    </w:rPr>
  </w:style>
  <w:style w:type="paragraph" w:styleId="Heading5">
    <w:name w:val="heading 5"/>
    <w:basedOn w:val="Normal"/>
    <w:next w:val="Normal"/>
    <w:link w:val="Heading5Char"/>
    <w:qFormat/>
    <w:rsid w:val="00001A47"/>
    <w:pPr>
      <w:keepNext/>
      <w:numPr>
        <w:ilvl w:val="4"/>
        <w:numId w:val="1"/>
      </w:numPr>
      <w:jc w:val="center"/>
      <w:outlineLvl w:val="4"/>
    </w:pPr>
    <w:rPr>
      <w:b/>
      <w:u w:val="single"/>
    </w:rPr>
  </w:style>
  <w:style w:type="paragraph" w:styleId="Heading6">
    <w:name w:val="heading 6"/>
    <w:basedOn w:val="Normal"/>
    <w:next w:val="Normal"/>
    <w:link w:val="Heading6Char"/>
    <w:qFormat/>
    <w:rsid w:val="00001A47"/>
    <w:pPr>
      <w:keepNext/>
      <w:numPr>
        <w:ilvl w:val="5"/>
        <w:numId w:val="1"/>
      </w:numPr>
      <w:outlineLvl w:val="5"/>
    </w:pPr>
    <w:rPr>
      <w:rFonts w:ascii="Arial" w:hAnsi="Arial" w:cs="Arial"/>
      <w:b/>
    </w:rPr>
  </w:style>
  <w:style w:type="paragraph" w:styleId="Heading7">
    <w:name w:val="heading 7"/>
    <w:basedOn w:val="Normal"/>
    <w:next w:val="Normal"/>
    <w:link w:val="Heading7Char"/>
    <w:qFormat/>
    <w:rsid w:val="00001A47"/>
    <w:pPr>
      <w:keepNext/>
      <w:numPr>
        <w:ilvl w:val="6"/>
        <w:numId w:val="1"/>
      </w:numPr>
      <w:jc w:val="center"/>
      <w:outlineLvl w:val="6"/>
    </w:pPr>
    <w:rPr>
      <w:rFonts w:ascii="Arial" w:hAnsi="Arial"/>
      <w:b/>
      <w:i/>
      <w:iCs/>
      <w:sz w:val="22"/>
    </w:rPr>
  </w:style>
  <w:style w:type="paragraph" w:styleId="Heading8">
    <w:name w:val="heading 8"/>
    <w:basedOn w:val="Normal"/>
    <w:next w:val="Normal"/>
    <w:link w:val="Heading8Char"/>
    <w:qFormat/>
    <w:rsid w:val="00001A47"/>
    <w:pPr>
      <w:keepNext/>
      <w:numPr>
        <w:ilvl w:val="7"/>
        <w:numId w:val="1"/>
      </w:numPr>
      <w:outlineLvl w:val="7"/>
    </w:pPr>
    <w:rPr>
      <w:rFonts w:ascii="Arial" w:hAnsi="Arial"/>
      <w:b/>
      <w:bCs/>
      <w:i/>
      <w:iCs/>
      <w:sz w:val="18"/>
    </w:rPr>
  </w:style>
  <w:style w:type="paragraph" w:styleId="Heading9">
    <w:name w:val="heading 9"/>
    <w:basedOn w:val="Normal"/>
    <w:next w:val="Normal"/>
    <w:link w:val="Heading9Char"/>
    <w:qFormat/>
    <w:rsid w:val="00001A47"/>
    <w:pPr>
      <w:keepNext/>
      <w:numPr>
        <w:ilvl w:val="8"/>
        <w:numId w:val="1"/>
      </w:numPr>
      <w:jc w:val="right"/>
      <w:outlineLvl w:val="8"/>
    </w:pPr>
    <w:rPr>
      <w:rFonts w:ascii="Arial" w:hAnsi="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1Outline">
    <w:name w:val="HB 1) Outline"/>
    <w:basedOn w:val="Handbook"/>
    <w:qFormat/>
    <w:rsid w:val="00DF712E"/>
    <w:pPr>
      <w:numPr>
        <w:numId w:val="6"/>
      </w:numPr>
      <w:spacing w:after="120" w:line="240" w:lineRule="auto"/>
      <w:jc w:val="left"/>
      <w:outlineLvl w:val="2"/>
    </w:pPr>
    <w:rPr>
      <w:rFonts w:eastAsia="MS Mincho"/>
      <w:b w:val="0"/>
      <w:sz w:val="22"/>
      <w:szCs w:val="22"/>
    </w:rPr>
  </w:style>
  <w:style w:type="paragraph" w:customStyle="1" w:styleId="HBX1Outline">
    <w:name w:val="HB X.1 Outline"/>
    <w:basedOn w:val="Handbook"/>
    <w:next w:val="HB1Outline"/>
    <w:qFormat/>
    <w:rsid w:val="00DF712E"/>
    <w:pPr>
      <w:numPr>
        <w:numId w:val="5"/>
      </w:numPr>
      <w:spacing w:after="120" w:line="360" w:lineRule="auto"/>
      <w:contextualSpacing/>
      <w:jc w:val="left"/>
      <w:outlineLvl w:val="0"/>
    </w:pPr>
    <w:rPr>
      <w:smallCaps/>
      <w:sz w:val="28"/>
    </w:rPr>
  </w:style>
  <w:style w:type="paragraph" w:customStyle="1" w:styleId="HBChapter">
    <w:name w:val="HB Chapter"/>
    <w:basedOn w:val="Handbook"/>
    <w:rsid w:val="00FC4115"/>
    <w:pPr>
      <w:spacing w:after="120" w:line="360" w:lineRule="auto"/>
    </w:pPr>
    <w:rPr>
      <w:sz w:val="32"/>
    </w:rPr>
  </w:style>
  <w:style w:type="paragraph" w:customStyle="1" w:styleId="HBX1Text">
    <w:name w:val="HB X.1 Text"/>
    <w:basedOn w:val="Handbook"/>
    <w:qFormat/>
    <w:rsid w:val="00DF712E"/>
    <w:pPr>
      <w:tabs>
        <w:tab w:val="left" w:pos="360"/>
      </w:tabs>
      <w:spacing w:after="120" w:line="240" w:lineRule="auto"/>
      <w:ind w:left="1080"/>
      <w:jc w:val="left"/>
      <w:outlineLvl w:val="0"/>
    </w:pPr>
    <w:rPr>
      <w:b w:val="0"/>
      <w:sz w:val="22"/>
      <w:szCs w:val="22"/>
    </w:rPr>
  </w:style>
  <w:style w:type="paragraph" w:customStyle="1" w:styleId="HBAOutline1">
    <w:name w:val="HB A. Outline"/>
    <w:basedOn w:val="Handbook"/>
    <w:autoRedefine/>
    <w:qFormat/>
    <w:rsid w:val="00D25016"/>
    <w:pPr>
      <w:spacing w:after="120" w:line="240" w:lineRule="auto"/>
      <w:ind w:left="720" w:hanging="360"/>
      <w:jc w:val="left"/>
      <w:outlineLvl w:val="1"/>
    </w:pPr>
    <w:rPr>
      <w:b w:val="0"/>
      <w:sz w:val="22"/>
    </w:rPr>
  </w:style>
  <w:style w:type="paragraph" w:customStyle="1" w:styleId="HBAText">
    <w:name w:val="HB A. Text"/>
    <w:basedOn w:val="Handbook"/>
    <w:qFormat/>
    <w:rsid w:val="00DF712E"/>
    <w:pPr>
      <w:tabs>
        <w:tab w:val="left" w:pos="360"/>
      </w:tabs>
      <w:spacing w:after="120" w:line="240" w:lineRule="auto"/>
      <w:ind w:left="1440"/>
      <w:jc w:val="left"/>
    </w:pPr>
    <w:rPr>
      <w:b w:val="0"/>
      <w:sz w:val="22"/>
      <w:szCs w:val="22"/>
    </w:rPr>
  </w:style>
  <w:style w:type="paragraph" w:customStyle="1" w:styleId="HB1Text">
    <w:name w:val="HB 1) Text"/>
    <w:basedOn w:val="Handbook"/>
    <w:qFormat/>
    <w:rsid w:val="00DF712E"/>
    <w:pPr>
      <w:spacing w:after="120" w:line="240" w:lineRule="auto"/>
      <w:ind w:left="1800"/>
      <w:jc w:val="left"/>
    </w:pPr>
    <w:rPr>
      <w:rFonts w:eastAsia="MS Mincho"/>
      <w:b w:val="0"/>
      <w:sz w:val="22"/>
      <w:szCs w:val="22"/>
    </w:rPr>
  </w:style>
  <w:style w:type="paragraph" w:customStyle="1" w:styleId="HBaOutline0">
    <w:name w:val="HB a) Outline"/>
    <w:basedOn w:val="Handbook"/>
    <w:qFormat/>
    <w:rsid w:val="00DF712E"/>
    <w:pPr>
      <w:numPr>
        <w:numId w:val="7"/>
      </w:numPr>
      <w:tabs>
        <w:tab w:val="left" w:pos="1080"/>
      </w:tabs>
      <w:spacing w:after="120" w:line="240" w:lineRule="auto"/>
      <w:jc w:val="left"/>
      <w:outlineLvl w:val="3"/>
    </w:pPr>
    <w:rPr>
      <w:b w:val="0"/>
      <w:sz w:val="22"/>
    </w:rPr>
  </w:style>
  <w:style w:type="paragraph" w:customStyle="1" w:styleId="HBaText0">
    <w:name w:val="HB a) Text"/>
    <w:basedOn w:val="Handbook"/>
    <w:qFormat/>
    <w:rsid w:val="00DF712E"/>
    <w:pPr>
      <w:tabs>
        <w:tab w:val="left" w:pos="360"/>
      </w:tabs>
      <w:spacing w:after="120" w:line="240" w:lineRule="auto"/>
      <w:ind w:left="2160"/>
      <w:jc w:val="left"/>
    </w:pPr>
    <w:rPr>
      <w:b w:val="0"/>
      <w:sz w:val="22"/>
    </w:rPr>
  </w:style>
  <w:style w:type="paragraph" w:customStyle="1" w:styleId="HBiOutline">
    <w:name w:val="HB i) Outline"/>
    <w:basedOn w:val="Normal"/>
    <w:qFormat/>
    <w:rsid w:val="00DF712E"/>
    <w:pPr>
      <w:numPr>
        <w:numId w:val="8"/>
      </w:numPr>
      <w:spacing w:after="120"/>
      <w:outlineLvl w:val="4"/>
    </w:pPr>
    <w:rPr>
      <w:rFonts w:ascii="Arial" w:eastAsia="MS Mincho" w:hAnsi="Arial"/>
      <w:sz w:val="22"/>
    </w:rPr>
  </w:style>
  <w:style w:type="paragraph" w:customStyle="1" w:styleId="HBiText">
    <w:name w:val="HB i) Text"/>
    <w:basedOn w:val="Handbook"/>
    <w:qFormat/>
    <w:rsid w:val="00DF712E"/>
    <w:pPr>
      <w:tabs>
        <w:tab w:val="left" w:pos="360"/>
      </w:tabs>
      <w:spacing w:after="120" w:line="240" w:lineRule="auto"/>
      <w:ind w:left="2520"/>
      <w:jc w:val="left"/>
    </w:pPr>
    <w:rPr>
      <w:b w:val="0"/>
      <w:sz w:val="22"/>
      <w:szCs w:val="22"/>
    </w:rPr>
  </w:style>
  <w:style w:type="character" w:customStyle="1" w:styleId="Heading1Char">
    <w:name w:val="Heading 1 Char"/>
    <w:basedOn w:val="DefaultParagraphFont"/>
    <w:link w:val="Heading1"/>
    <w:rsid w:val="00001A47"/>
    <w:rPr>
      <w:rFonts w:eastAsia="Times New Roman"/>
      <w:b/>
      <w:bCs/>
      <w:color w:val="0000FF"/>
      <w:sz w:val="24"/>
      <w:szCs w:val="24"/>
    </w:rPr>
  </w:style>
  <w:style w:type="character" w:customStyle="1" w:styleId="Heading2Char">
    <w:name w:val="Heading 2 Char"/>
    <w:basedOn w:val="DefaultParagraphFont"/>
    <w:link w:val="Heading2"/>
    <w:rsid w:val="00001A47"/>
    <w:rPr>
      <w:rFonts w:ascii="Arial" w:eastAsia="Times New Roman" w:hAnsi="Arial" w:cs="Arial"/>
      <w:b/>
      <w:bCs/>
      <w:color w:val="0000FF"/>
    </w:rPr>
  </w:style>
  <w:style w:type="character" w:customStyle="1" w:styleId="Heading3Char">
    <w:name w:val="Heading 3 Char"/>
    <w:aliases w:val="Sub Char"/>
    <w:basedOn w:val="DefaultParagraphFont"/>
    <w:link w:val="Heading3"/>
    <w:rsid w:val="00001A47"/>
    <w:rPr>
      <w:rFonts w:ascii="Arial" w:eastAsia="Times New Roman" w:hAnsi="Arial" w:cs="Arial"/>
      <w:b/>
      <w:bCs/>
      <w:color w:val="000000"/>
    </w:rPr>
  </w:style>
  <w:style w:type="character" w:customStyle="1" w:styleId="Heading4Char">
    <w:name w:val="Heading 4 Char"/>
    <w:basedOn w:val="DefaultParagraphFont"/>
    <w:link w:val="Heading4"/>
    <w:rsid w:val="00001A47"/>
    <w:rPr>
      <w:rFonts w:eastAsia="Times New Roman"/>
      <w:b/>
      <w:bCs/>
      <w:sz w:val="22"/>
    </w:rPr>
  </w:style>
  <w:style w:type="character" w:customStyle="1" w:styleId="Heading5Char">
    <w:name w:val="Heading 5 Char"/>
    <w:basedOn w:val="DefaultParagraphFont"/>
    <w:link w:val="Heading5"/>
    <w:rsid w:val="00001A47"/>
    <w:rPr>
      <w:rFonts w:eastAsia="Times New Roman"/>
      <w:b/>
      <w:sz w:val="24"/>
      <w:szCs w:val="24"/>
      <w:u w:val="single"/>
    </w:rPr>
  </w:style>
  <w:style w:type="character" w:customStyle="1" w:styleId="Heading6Char">
    <w:name w:val="Heading 6 Char"/>
    <w:basedOn w:val="DefaultParagraphFont"/>
    <w:link w:val="Heading6"/>
    <w:rsid w:val="00001A47"/>
    <w:rPr>
      <w:rFonts w:ascii="Arial" w:eastAsia="Times New Roman" w:hAnsi="Arial" w:cs="Arial"/>
      <w:b/>
      <w:sz w:val="24"/>
      <w:szCs w:val="24"/>
    </w:rPr>
  </w:style>
  <w:style w:type="character" w:customStyle="1" w:styleId="Heading7Char">
    <w:name w:val="Heading 7 Char"/>
    <w:basedOn w:val="DefaultParagraphFont"/>
    <w:link w:val="Heading7"/>
    <w:rsid w:val="00001A47"/>
    <w:rPr>
      <w:rFonts w:ascii="Arial" w:eastAsia="Times New Roman" w:hAnsi="Arial"/>
      <w:b/>
      <w:i/>
      <w:iCs/>
      <w:sz w:val="22"/>
    </w:rPr>
  </w:style>
  <w:style w:type="character" w:customStyle="1" w:styleId="Heading8Char">
    <w:name w:val="Heading 8 Char"/>
    <w:basedOn w:val="DefaultParagraphFont"/>
    <w:link w:val="Heading8"/>
    <w:rsid w:val="00001A47"/>
    <w:rPr>
      <w:rFonts w:ascii="Arial" w:eastAsia="Times New Roman" w:hAnsi="Arial"/>
      <w:b/>
      <w:bCs/>
      <w:i/>
      <w:iCs/>
      <w:sz w:val="18"/>
    </w:rPr>
  </w:style>
  <w:style w:type="character" w:customStyle="1" w:styleId="Heading9Char">
    <w:name w:val="Heading 9 Char"/>
    <w:basedOn w:val="DefaultParagraphFont"/>
    <w:link w:val="Heading9"/>
    <w:rsid w:val="00001A47"/>
    <w:rPr>
      <w:rFonts w:ascii="Arial" w:eastAsia="Times New Roman" w:hAnsi="Arial"/>
      <w:b/>
      <w:bCs/>
      <w:sz w:val="18"/>
    </w:rPr>
  </w:style>
  <w:style w:type="paragraph" w:styleId="FootnoteText">
    <w:name w:val="footnote text"/>
    <w:basedOn w:val="Normal"/>
    <w:link w:val="FootnoteTextChar"/>
    <w:semiHidden/>
    <w:rsid w:val="00001A47"/>
  </w:style>
  <w:style w:type="character" w:customStyle="1" w:styleId="FootnoteTextChar">
    <w:name w:val="Footnote Text Char"/>
    <w:basedOn w:val="DefaultParagraphFont"/>
    <w:link w:val="FootnoteText"/>
    <w:semiHidden/>
    <w:rsid w:val="00001A47"/>
    <w:rPr>
      <w:rFonts w:ascii="Times New Roman" w:eastAsia="Times New Roman" w:hAnsi="Times New Roman" w:cs="Times New Roman"/>
      <w:sz w:val="20"/>
      <w:szCs w:val="20"/>
    </w:rPr>
  </w:style>
  <w:style w:type="paragraph" w:styleId="CommentText">
    <w:name w:val="annotation text"/>
    <w:basedOn w:val="Normal"/>
    <w:link w:val="CommentTextChar"/>
    <w:semiHidden/>
    <w:rsid w:val="00001A47"/>
  </w:style>
  <w:style w:type="character" w:customStyle="1" w:styleId="CommentTextChar">
    <w:name w:val="Comment Text Char"/>
    <w:basedOn w:val="DefaultParagraphFont"/>
    <w:link w:val="CommentText"/>
    <w:semiHidden/>
    <w:rsid w:val="00001A47"/>
    <w:rPr>
      <w:rFonts w:ascii="Times New Roman" w:eastAsia="Times New Roman" w:hAnsi="Times New Roman" w:cs="Times New Roman"/>
      <w:sz w:val="20"/>
      <w:szCs w:val="20"/>
    </w:rPr>
  </w:style>
  <w:style w:type="paragraph" w:styleId="Footer">
    <w:name w:val="footer"/>
    <w:basedOn w:val="Normal"/>
    <w:link w:val="FooterChar"/>
    <w:rsid w:val="00001A47"/>
    <w:pPr>
      <w:tabs>
        <w:tab w:val="center" w:pos="4320"/>
        <w:tab w:val="right" w:pos="8640"/>
      </w:tabs>
    </w:pPr>
  </w:style>
  <w:style w:type="character" w:customStyle="1" w:styleId="FooterChar">
    <w:name w:val="Footer Char"/>
    <w:basedOn w:val="DefaultParagraphFont"/>
    <w:link w:val="Footer"/>
    <w:rsid w:val="00001A47"/>
    <w:rPr>
      <w:rFonts w:ascii="Times New Roman" w:eastAsia="Times New Roman" w:hAnsi="Times New Roman" w:cs="Times New Roman"/>
      <w:sz w:val="24"/>
      <w:szCs w:val="24"/>
    </w:rPr>
  </w:style>
  <w:style w:type="character" w:styleId="FootnoteReference">
    <w:name w:val="footnote reference"/>
    <w:basedOn w:val="DefaultParagraphFont"/>
    <w:semiHidden/>
    <w:rsid w:val="00001A47"/>
    <w:rPr>
      <w:vertAlign w:val="superscript"/>
    </w:rPr>
  </w:style>
  <w:style w:type="character" w:styleId="CommentReference">
    <w:name w:val="annotation reference"/>
    <w:basedOn w:val="DefaultParagraphFont"/>
    <w:semiHidden/>
    <w:rsid w:val="00001A47"/>
    <w:rPr>
      <w:sz w:val="16"/>
      <w:szCs w:val="16"/>
    </w:rPr>
  </w:style>
  <w:style w:type="character" w:styleId="PageNumber">
    <w:name w:val="page number"/>
    <w:basedOn w:val="DefaultParagraphFont"/>
    <w:rsid w:val="00001A47"/>
  </w:style>
  <w:style w:type="character" w:styleId="EndnoteReference">
    <w:name w:val="endnote reference"/>
    <w:basedOn w:val="DefaultParagraphFont"/>
    <w:rsid w:val="00001A47"/>
    <w:rPr>
      <w:vertAlign w:val="superscript"/>
    </w:rPr>
  </w:style>
  <w:style w:type="paragraph" w:styleId="EndnoteText">
    <w:name w:val="endnote text"/>
    <w:basedOn w:val="Normal"/>
    <w:link w:val="EndnoteTextChar"/>
    <w:rsid w:val="00001A47"/>
  </w:style>
  <w:style w:type="character" w:customStyle="1" w:styleId="EndnoteTextChar">
    <w:name w:val="Endnote Text Char"/>
    <w:basedOn w:val="DefaultParagraphFont"/>
    <w:link w:val="EndnoteText"/>
    <w:rsid w:val="00001A47"/>
    <w:rPr>
      <w:rFonts w:ascii="Times New Roman" w:eastAsia="Times New Roman" w:hAnsi="Times New Roman" w:cs="Times New Roman"/>
      <w:sz w:val="20"/>
      <w:szCs w:val="20"/>
    </w:rPr>
  </w:style>
  <w:style w:type="character" w:styleId="Hyperlink">
    <w:name w:val="Hyperlink"/>
    <w:basedOn w:val="DefaultParagraphFont"/>
    <w:rsid w:val="00001A47"/>
    <w:rPr>
      <w:color w:val="0000FF"/>
      <w:u w:val="single"/>
    </w:rPr>
  </w:style>
  <w:style w:type="character" w:styleId="FollowedHyperlink">
    <w:name w:val="FollowedHyperlink"/>
    <w:basedOn w:val="DefaultParagraphFont"/>
    <w:rsid w:val="00001A47"/>
    <w:rPr>
      <w:color w:val="800080" w:themeColor="followedHyperlink"/>
      <w:u w:val="single"/>
    </w:rPr>
  </w:style>
  <w:style w:type="paragraph" w:styleId="PlainText">
    <w:name w:val="Plain Text"/>
    <w:basedOn w:val="Normal"/>
    <w:link w:val="PlainTextChar"/>
    <w:rsid w:val="00001A47"/>
    <w:rPr>
      <w:rFonts w:ascii="Courier New" w:hAnsi="Courier New" w:cs="Courier New"/>
    </w:rPr>
  </w:style>
  <w:style w:type="character" w:customStyle="1" w:styleId="PlainTextChar">
    <w:name w:val="Plain Text Char"/>
    <w:basedOn w:val="DefaultParagraphFont"/>
    <w:link w:val="PlainText"/>
    <w:rsid w:val="00001A47"/>
    <w:rPr>
      <w:rFonts w:ascii="Courier New" w:eastAsia="Times New Roman" w:hAnsi="Courier New" w:cs="Courier New"/>
      <w:sz w:val="20"/>
      <w:szCs w:val="20"/>
    </w:rPr>
  </w:style>
  <w:style w:type="paragraph" w:styleId="NormalWeb">
    <w:name w:val="Normal (Web)"/>
    <w:basedOn w:val="Normal"/>
    <w:rsid w:val="00001A47"/>
    <w:pPr>
      <w:spacing w:after="180"/>
    </w:pPr>
  </w:style>
  <w:style w:type="paragraph" w:styleId="HTMLPreformatted">
    <w:name w:val="HTML Preformatted"/>
    <w:basedOn w:val="Normal"/>
    <w:link w:val="HTMLPreformattedChar"/>
    <w:rsid w:val="0000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PreformattedChar">
    <w:name w:val="HTML Preformatted Char"/>
    <w:basedOn w:val="DefaultParagraphFont"/>
    <w:link w:val="HTMLPreformatted"/>
    <w:rsid w:val="00001A47"/>
    <w:rPr>
      <w:rFonts w:ascii="Courier New" w:eastAsia="Courier New" w:hAnsi="Courier New" w:cs="Courier New"/>
      <w:sz w:val="20"/>
      <w:szCs w:val="20"/>
    </w:rPr>
  </w:style>
  <w:style w:type="paragraph" w:styleId="CommentSubject">
    <w:name w:val="annotation subject"/>
    <w:basedOn w:val="CommentText"/>
    <w:next w:val="CommentText"/>
    <w:link w:val="CommentSubjectChar"/>
    <w:rsid w:val="00001A47"/>
    <w:rPr>
      <w:b/>
      <w:bCs/>
    </w:rPr>
  </w:style>
  <w:style w:type="character" w:customStyle="1" w:styleId="CommentSubjectChar">
    <w:name w:val="Comment Subject Char"/>
    <w:basedOn w:val="CommentTextChar"/>
    <w:link w:val="CommentSubject"/>
    <w:rsid w:val="00001A47"/>
    <w:rPr>
      <w:b/>
      <w:bCs/>
    </w:rPr>
  </w:style>
  <w:style w:type="table" w:styleId="TableGrid1">
    <w:name w:val="Table Grid 1"/>
    <w:basedOn w:val="TableNormal"/>
    <w:rsid w:val="00001A47"/>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001A47"/>
    <w:rPr>
      <w:rFonts w:ascii="Tahoma" w:hAnsi="Tahoma" w:cs="Tahoma"/>
      <w:sz w:val="16"/>
      <w:szCs w:val="16"/>
    </w:rPr>
  </w:style>
  <w:style w:type="character" w:customStyle="1" w:styleId="BalloonTextChar">
    <w:name w:val="Balloon Text Char"/>
    <w:basedOn w:val="DefaultParagraphFont"/>
    <w:link w:val="BalloonText"/>
    <w:semiHidden/>
    <w:rsid w:val="00001A47"/>
    <w:rPr>
      <w:rFonts w:ascii="Tahoma" w:eastAsia="Times New Roman" w:hAnsi="Tahoma" w:cs="Tahoma"/>
      <w:sz w:val="16"/>
      <w:szCs w:val="16"/>
    </w:rPr>
  </w:style>
  <w:style w:type="table" w:styleId="TableGrid">
    <w:name w:val="Table Grid"/>
    <w:basedOn w:val="TableNormal"/>
    <w:rsid w:val="00001A4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1A47"/>
    <w:pPr>
      <w:ind w:left="720"/>
      <w:contextualSpacing/>
    </w:pPr>
  </w:style>
  <w:style w:type="paragraph" w:styleId="TOCHeading">
    <w:name w:val="TOC Heading"/>
    <w:basedOn w:val="Heading1"/>
    <w:next w:val="Normal"/>
    <w:uiPriority w:val="39"/>
    <w:semiHidden/>
    <w:unhideWhenUsed/>
    <w:qFormat/>
    <w:rsid w:val="00001A47"/>
    <w:pPr>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customStyle="1" w:styleId="Tabletitle">
    <w:name w:val="Table title"/>
    <w:basedOn w:val="Normal"/>
    <w:rsid w:val="00001A47"/>
    <w:pPr>
      <w:spacing w:after="240"/>
      <w:jc w:val="center"/>
    </w:pPr>
    <w:rPr>
      <w:rFonts w:ascii="Arial" w:hAnsi="Arial"/>
      <w:b/>
      <w:sz w:val="22"/>
    </w:rPr>
  </w:style>
  <w:style w:type="paragraph" w:customStyle="1" w:styleId="Tablebullet">
    <w:name w:val="Table bullet"/>
    <w:basedOn w:val="Normal"/>
    <w:rsid w:val="00001A47"/>
    <w:pPr>
      <w:numPr>
        <w:numId w:val="2"/>
      </w:numPr>
      <w:spacing w:after="120"/>
    </w:pPr>
    <w:rPr>
      <w:rFonts w:ascii="Arial" w:hAnsi="Arial"/>
    </w:rPr>
  </w:style>
  <w:style w:type="paragraph" w:customStyle="1" w:styleId="Handbook">
    <w:name w:val="Handbook"/>
    <w:basedOn w:val="Normal"/>
    <w:rsid w:val="00001A47"/>
    <w:pPr>
      <w:spacing w:line="480" w:lineRule="auto"/>
      <w:jc w:val="center"/>
    </w:pPr>
    <w:rPr>
      <w:rFonts w:ascii="Arial" w:hAnsi="Arial" w:cs="Arial"/>
      <w:b/>
    </w:rPr>
  </w:style>
  <w:style w:type="paragraph" w:customStyle="1" w:styleId="StyleHBChapterLeft">
    <w:name w:val="Style HB Chapter + Left"/>
    <w:basedOn w:val="HBChapter"/>
    <w:rsid w:val="00001A47"/>
    <w:pPr>
      <w:jc w:val="left"/>
    </w:pPr>
    <w:rPr>
      <w:rFonts w:cs="Times New Roman"/>
      <w:bCs/>
      <w:spacing w:val="60"/>
    </w:rPr>
  </w:style>
  <w:style w:type="table" w:customStyle="1" w:styleId="HBTable1">
    <w:name w:val="HB Table 1"/>
    <w:basedOn w:val="TableGrid1"/>
    <w:rsid w:val="00001A47"/>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sz w:val="22"/>
      </w:rPr>
      <w:tblPr/>
      <w:tcPr>
        <w:tcBorders>
          <w:top w:val="nil"/>
          <w:left w:val="nil"/>
          <w:bottom w:val="single" w:sz="4" w:space="0" w:color="auto"/>
          <w:right w:val="nil"/>
          <w:insideH w:val="nil"/>
          <w:insideV w:val="nil"/>
          <w:tl2br w:val="nil"/>
          <w:tr2bl w:val="nil"/>
        </w:tcBorders>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HBAOutlineLeft025Firstline025">
    <w:name w:val="Style HB A Outline + Left:  0.25&quot; First line:  0.25&quot;"/>
    <w:basedOn w:val="HBAOutline1"/>
    <w:rsid w:val="00001A47"/>
    <w:rPr>
      <w:rFonts w:cs="Times New Roman"/>
    </w:rPr>
  </w:style>
  <w:style w:type="paragraph" w:customStyle="1" w:styleId="StyleHBaOutlineLeft1Firstline025">
    <w:name w:val="Style HB a) Outline + Left:  1&quot; First line:  0.25&quot;"/>
    <w:basedOn w:val="HBaOutline0"/>
    <w:rsid w:val="00001A47"/>
    <w:pPr>
      <w:numPr>
        <w:numId w:val="0"/>
      </w:numPr>
    </w:pPr>
    <w:rPr>
      <w:rFonts w:cs="Times New Roman"/>
    </w:rPr>
  </w:style>
  <w:style w:type="paragraph" w:customStyle="1" w:styleId="HBX1">
    <w:name w:val="HB X.1"/>
    <w:basedOn w:val="Handbook"/>
    <w:next w:val="HBx1Text0"/>
    <w:autoRedefine/>
    <w:rsid w:val="00080D2F"/>
    <w:pPr>
      <w:numPr>
        <w:numId w:val="3"/>
      </w:numPr>
      <w:spacing w:after="120" w:line="360" w:lineRule="auto"/>
      <w:jc w:val="left"/>
    </w:pPr>
    <w:rPr>
      <w:smallCaps/>
      <w:sz w:val="28"/>
    </w:rPr>
  </w:style>
  <w:style w:type="paragraph" w:customStyle="1" w:styleId="HBx1Text0">
    <w:name w:val="HB x1 Text"/>
    <w:basedOn w:val="Normal"/>
    <w:autoRedefine/>
    <w:rsid w:val="00FC4115"/>
    <w:pPr>
      <w:spacing w:after="120"/>
      <w:ind w:left="360"/>
    </w:pPr>
    <w:rPr>
      <w:rFonts w:ascii="Arial" w:hAnsi="Arial" w:cs="Arial"/>
      <w:sz w:val="22"/>
      <w:szCs w:val="22"/>
    </w:rPr>
  </w:style>
  <w:style w:type="paragraph" w:customStyle="1" w:styleId="HBAOutline">
    <w:name w:val="HB A Outline"/>
    <w:basedOn w:val="Handbook"/>
    <w:autoRedefine/>
    <w:rsid w:val="001C5D7D"/>
    <w:pPr>
      <w:numPr>
        <w:ilvl w:val="2"/>
        <w:numId w:val="4"/>
      </w:numPr>
      <w:spacing w:after="120" w:line="240" w:lineRule="auto"/>
      <w:jc w:val="left"/>
      <w:outlineLvl w:val="1"/>
    </w:pPr>
    <w:rPr>
      <w:rFonts w:eastAsia="MS Mincho"/>
      <w:b w:val="0"/>
      <w:sz w:val="22"/>
    </w:rPr>
  </w:style>
  <w:style w:type="paragraph" w:customStyle="1" w:styleId="HBSection">
    <w:name w:val="HB Section"/>
    <w:basedOn w:val="Handbook"/>
    <w:qFormat/>
    <w:rsid w:val="00DF712E"/>
    <w:pPr>
      <w:outlineLvl w:val="0"/>
    </w:pPr>
    <w:rPr>
      <w:sz w:val="28"/>
    </w:rPr>
  </w:style>
  <w:style w:type="paragraph" w:customStyle="1" w:styleId="p">
    <w:name w:val="p"/>
    <w:basedOn w:val="Normal"/>
    <w:rsid w:val="005B11C0"/>
    <w:pPr>
      <w:overflowPunct/>
      <w:autoSpaceDE/>
      <w:autoSpaceDN/>
      <w:adjustRightInd/>
      <w:spacing w:before="100" w:beforeAutospacing="1" w:after="100" w:afterAutospacing="1"/>
      <w:textAlignment w:val="auto"/>
    </w:pPr>
    <w:rPr>
      <w:sz w:val="24"/>
      <w:szCs w:val="24"/>
    </w:rPr>
  </w:style>
  <w:style w:type="paragraph" w:styleId="BodyTextIndent">
    <w:name w:val="Body Text Indent"/>
    <w:basedOn w:val="Normal"/>
    <w:link w:val="BodyTextIndentChar"/>
    <w:rsid w:val="005B11C0"/>
    <w:pPr>
      <w:ind w:left="1440" w:hanging="720"/>
    </w:pPr>
    <w:rPr>
      <w:sz w:val="24"/>
    </w:rPr>
  </w:style>
  <w:style w:type="character" w:customStyle="1" w:styleId="BodyTextIndentChar">
    <w:name w:val="Body Text Indent Char"/>
    <w:basedOn w:val="DefaultParagraphFont"/>
    <w:link w:val="BodyTextIndent"/>
    <w:rsid w:val="005B11C0"/>
    <w:rPr>
      <w:rFonts w:eastAsia="Times New Roman"/>
      <w:sz w:val="24"/>
    </w:rPr>
  </w:style>
  <w:style w:type="paragraph" w:styleId="BodyTextIndent2">
    <w:name w:val="Body Text Indent 2"/>
    <w:basedOn w:val="Normal"/>
    <w:link w:val="BodyTextIndent2Char"/>
    <w:rsid w:val="005B11C0"/>
    <w:pPr>
      <w:keepLines/>
      <w:tabs>
        <w:tab w:val="left" w:pos="360"/>
      </w:tabs>
      <w:spacing w:after="80"/>
      <w:ind w:left="720" w:hanging="720"/>
    </w:pPr>
    <w:rPr>
      <w:rFonts w:ascii="Arial" w:hAnsi="Arial" w:cs="Arial"/>
      <w:color w:val="000000"/>
    </w:rPr>
  </w:style>
  <w:style w:type="character" w:customStyle="1" w:styleId="BodyTextIndent2Char">
    <w:name w:val="Body Text Indent 2 Char"/>
    <w:basedOn w:val="DefaultParagraphFont"/>
    <w:link w:val="BodyTextIndent2"/>
    <w:rsid w:val="005B11C0"/>
    <w:rPr>
      <w:rFonts w:ascii="Arial" w:eastAsia="Times New Roman" w:hAnsi="Arial" w:cs="Arial"/>
      <w:color w:val="000000"/>
    </w:rPr>
  </w:style>
  <w:style w:type="paragraph" w:styleId="BodyTextIndent3">
    <w:name w:val="Body Text Indent 3"/>
    <w:basedOn w:val="Normal"/>
    <w:link w:val="BodyTextIndent3Char"/>
    <w:rsid w:val="005B11C0"/>
    <w:pPr>
      <w:ind w:firstLine="450"/>
    </w:pPr>
    <w:rPr>
      <w:sz w:val="24"/>
    </w:rPr>
  </w:style>
  <w:style w:type="character" w:customStyle="1" w:styleId="BodyTextIndent3Char">
    <w:name w:val="Body Text Indent 3 Char"/>
    <w:basedOn w:val="DefaultParagraphFont"/>
    <w:link w:val="BodyTextIndent3"/>
    <w:rsid w:val="005B11C0"/>
    <w:rPr>
      <w:rFonts w:eastAsia="Times New Roman"/>
      <w:sz w:val="24"/>
    </w:rPr>
  </w:style>
</w:styles>
</file>

<file path=word/webSettings.xml><?xml version="1.0" encoding="utf-8"?>
<w:webSettings xmlns:r="http://schemas.openxmlformats.org/officeDocument/2006/relationships" xmlns:w="http://schemas.openxmlformats.org/wordprocessingml/2006/main">
  <w:divs>
    <w:div w:id="1012683437">
      <w:bodyDiv w:val="1"/>
      <w:marLeft w:val="0"/>
      <w:marRight w:val="0"/>
      <w:marTop w:val="0"/>
      <w:marBottom w:val="0"/>
      <w:divBdr>
        <w:top w:val="none" w:sz="0" w:space="0" w:color="auto"/>
        <w:left w:val="none" w:sz="0" w:space="0" w:color="auto"/>
        <w:bottom w:val="none" w:sz="0" w:space="0" w:color="auto"/>
        <w:right w:val="none" w:sz="0" w:space="0" w:color="auto"/>
      </w:divBdr>
    </w:div>
    <w:div w:id="1231425925">
      <w:bodyDiv w:val="1"/>
      <w:marLeft w:val="0"/>
      <w:marRight w:val="0"/>
      <w:marTop w:val="0"/>
      <w:marBottom w:val="0"/>
      <w:divBdr>
        <w:top w:val="none" w:sz="0" w:space="0" w:color="auto"/>
        <w:left w:val="none" w:sz="0" w:space="0" w:color="auto"/>
        <w:bottom w:val="none" w:sz="0" w:space="0" w:color="auto"/>
        <w:right w:val="none" w:sz="0" w:space="0" w:color="auto"/>
      </w:divBdr>
    </w:div>
    <w:div w:id="1720742057">
      <w:bodyDiv w:val="1"/>
      <w:marLeft w:val="0"/>
      <w:marRight w:val="0"/>
      <w:marTop w:val="0"/>
      <w:marBottom w:val="0"/>
      <w:divBdr>
        <w:top w:val="none" w:sz="0" w:space="0" w:color="auto"/>
        <w:left w:val="none" w:sz="0" w:space="0" w:color="auto"/>
        <w:bottom w:val="none" w:sz="0" w:space="0" w:color="auto"/>
        <w:right w:val="none" w:sz="0" w:space="0" w:color="auto"/>
      </w:divBdr>
    </w:div>
    <w:div w:id="178542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2489</Words>
  <Characters>14190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Messner</dc:creator>
  <cp:keywords/>
  <dc:description/>
  <cp:lastModifiedBy>LaJuan Gladden</cp:lastModifiedBy>
  <cp:revision>3</cp:revision>
  <cp:lastPrinted>2011-06-24T22:04:00Z</cp:lastPrinted>
  <dcterms:created xsi:type="dcterms:W3CDTF">2011-06-24T22:15:00Z</dcterms:created>
  <dcterms:modified xsi:type="dcterms:W3CDTF">2011-06-25T00:06:00Z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-1332320869</vt:i4>
  </property>
  <property fmtid="{D5CDD505-2E9C-101B-9397-08002B2CF9AE}" pid="3" name="_NewReviewCycle">
    <vt:lpwstr/>
  </property>
  <property fmtid="{D5CDD505-2E9C-101B-9397-08002B2CF9AE}" pid="4" name="_EmailSubject">
    <vt:lpwstr>OMB 83i - 2502-0572</vt:lpwstr>
  </property>
  <property fmtid="{D5CDD505-2E9C-101B-9397-08002B2CF9AE}" pid="5" name="_AuthorEmail">
    <vt:lpwstr>Harry.Messner@hud.gov</vt:lpwstr>
  </property>
  <property fmtid="{D5CDD505-2E9C-101B-9397-08002B2CF9AE}" pid="6" name="_AuthorEmailDisplayName">
    <vt:lpwstr>Messner, Harry</vt:lpwstr>
  </property>
  <property fmtid="{D5CDD505-2E9C-101B-9397-08002B2CF9AE}" pid="7" name="_ReviewingToolsShownOnce">
    <vt:lpwstr/>
  </property>
</Properties>
</file>