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B73" w:rsidRDefault="003650A4" w:rsidP="00540B73">
      <w:pPr>
        <w:jc w:val="center"/>
        <w:rPr>
          <w:rFonts w:ascii="Arial" w:hAnsi="Arial"/>
          <w:sz w:val="22"/>
        </w:rPr>
      </w:pPr>
      <w:r>
        <w:rPr>
          <w:rFonts w:ascii="Arial" w:hAnsi="Arial"/>
          <w:sz w:val="22"/>
        </w:rPr>
        <w:t>FINAL</w:t>
      </w:r>
      <w:r w:rsidR="006F6395">
        <w:rPr>
          <w:rFonts w:ascii="Arial" w:hAnsi="Arial"/>
          <w:sz w:val="22"/>
        </w:rPr>
        <w:t xml:space="preserve"> SUPPORTING STATEMENT FOR </w:t>
      </w:r>
      <w:r w:rsidR="006F6395">
        <w:rPr>
          <w:rFonts w:ascii="Arial" w:hAnsi="Arial"/>
          <w:sz w:val="22"/>
        </w:rPr>
        <w:br/>
      </w:r>
      <w:r w:rsidR="003B6544">
        <w:rPr>
          <w:rFonts w:ascii="Arial" w:hAnsi="Arial"/>
          <w:sz w:val="22"/>
        </w:rPr>
        <w:t>COMPREHENSIVE DECOMMISSION</w:t>
      </w:r>
      <w:r w:rsidR="0072240A">
        <w:rPr>
          <w:rFonts w:ascii="Arial" w:hAnsi="Arial"/>
          <w:sz w:val="22"/>
        </w:rPr>
        <w:t>ING</w:t>
      </w:r>
      <w:r w:rsidR="003B6544">
        <w:rPr>
          <w:rFonts w:ascii="Arial" w:hAnsi="Arial"/>
          <w:sz w:val="22"/>
        </w:rPr>
        <w:t xml:space="preserve"> PROGRAM, </w:t>
      </w:r>
    </w:p>
    <w:p w:rsidR="006F6395" w:rsidRDefault="003B6544" w:rsidP="007D5EA7">
      <w:pPr>
        <w:jc w:val="center"/>
        <w:outlineLvl w:val="0"/>
        <w:rPr>
          <w:rFonts w:ascii="Arial" w:hAnsi="Arial"/>
          <w:sz w:val="22"/>
        </w:rPr>
      </w:pPr>
      <w:r>
        <w:rPr>
          <w:rFonts w:ascii="Arial" w:hAnsi="Arial"/>
          <w:sz w:val="22"/>
        </w:rPr>
        <w:t xml:space="preserve">INCLUDING ANNUAL DATA </w:t>
      </w:r>
      <w:r w:rsidR="00540B73">
        <w:rPr>
          <w:rFonts w:ascii="Arial" w:hAnsi="Arial"/>
          <w:sz w:val="22"/>
        </w:rPr>
        <w:t>COLLECTION</w:t>
      </w:r>
    </w:p>
    <w:p w:rsidR="00717042" w:rsidRDefault="00717042" w:rsidP="006F6395">
      <w:pPr>
        <w:jc w:val="center"/>
        <w:rPr>
          <w:rFonts w:ascii="Arial" w:hAnsi="Arial"/>
          <w:sz w:val="22"/>
        </w:rPr>
      </w:pPr>
    </w:p>
    <w:p w:rsidR="00717042" w:rsidRDefault="00FE274B" w:rsidP="007D5EA7">
      <w:pPr>
        <w:jc w:val="center"/>
        <w:outlineLvl w:val="0"/>
        <w:rPr>
          <w:rFonts w:ascii="Arial" w:hAnsi="Arial"/>
          <w:sz w:val="22"/>
        </w:rPr>
      </w:pPr>
      <w:r>
        <w:rPr>
          <w:rFonts w:ascii="Arial" w:hAnsi="Arial"/>
          <w:sz w:val="22"/>
        </w:rPr>
        <w:t>EXTENSION</w:t>
      </w:r>
    </w:p>
    <w:p w:rsidR="00717042" w:rsidRDefault="00717042" w:rsidP="00717042">
      <w:pPr>
        <w:rPr>
          <w:rFonts w:ascii="Arial" w:hAnsi="Arial"/>
          <w:sz w:val="22"/>
        </w:rPr>
      </w:pPr>
    </w:p>
    <w:p w:rsidR="006F6395" w:rsidRDefault="00717042" w:rsidP="00717042">
      <w:pPr>
        <w:jc w:val="center"/>
        <w:rPr>
          <w:rFonts w:ascii="Arial" w:hAnsi="Arial"/>
          <w:sz w:val="22"/>
        </w:rPr>
      </w:pPr>
      <w:r>
        <w:rPr>
          <w:rFonts w:ascii="Arial" w:hAnsi="Arial"/>
          <w:sz w:val="22"/>
        </w:rPr>
        <w:t>(</w:t>
      </w:r>
      <w:r w:rsidR="006F6395">
        <w:rPr>
          <w:rFonts w:ascii="Arial" w:hAnsi="Arial"/>
          <w:sz w:val="22"/>
        </w:rPr>
        <w:t>3150-</w:t>
      </w:r>
      <w:r>
        <w:rPr>
          <w:rFonts w:ascii="Arial" w:hAnsi="Arial"/>
          <w:sz w:val="22"/>
        </w:rPr>
        <w:t>0206)</w:t>
      </w:r>
      <w:r w:rsidR="006F6395">
        <w:rPr>
          <w:rFonts w:ascii="Arial" w:hAnsi="Arial"/>
          <w:strike/>
          <w:color w:val="FF0000"/>
          <w:sz w:val="22"/>
        </w:rPr>
        <w:t xml:space="preserve">  </w:t>
      </w:r>
    </w:p>
    <w:p w:rsidR="006F6395" w:rsidRDefault="006F6395" w:rsidP="006F6395">
      <w:pPr>
        <w:rPr>
          <w:rFonts w:ascii="Arial" w:hAnsi="Arial"/>
          <w:sz w:val="22"/>
        </w:rPr>
      </w:pPr>
    </w:p>
    <w:p w:rsidR="005574AE" w:rsidRDefault="005574AE" w:rsidP="006F6395">
      <w:pPr>
        <w:rPr>
          <w:rFonts w:ascii="Arial" w:hAnsi="Arial"/>
          <w:sz w:val="22"/>
        </w:rPr>
      </w:pPr>
    </w:p>
    <w:p w:rsidR="006F6395" w:rsidRDefault="006F6395" w:rsidP="007D5EA7">
      <w:pPr>
        <w:outlineLvl w:val="0"/>
        <w:rPr>
          <w:rFonts w:ascii="Arial" w:hAnsi="Arial"/>
          <w:sz w:val="22"/>
          <w:u w:val="single"/>
        </w:rPr>
      </w:pPr>
      <w:r>
        <w:rPr>
          <w:rFonts w:ascii="Arial" w:hAnsi="Arial"/>
          <w:sz w:val="22"/>
          <w:u w:val="single"/>
        </w:rPr>
        <w:t>Description of the Information Collection</w:t>
      </w:r>
    </w:p>
    <w:p w:rsidR="006F6395" w:rsidRDefault="006F6395" w:rsidP="006F6395">
      <w:pPr>
        <w:rPr>
          <w:rFonts w:ascii="Arial" w:hAnsi="Arial"/>
          <w:sz w:val="22"/>
        </w:rPr>
      </w:pPr>
    </w:p>
    <w:p w:rsidR="006F6395" w:rsidRDefault="006F6395" w:rsidP="006F6395">
      <w:pPr>
        <w:rPr>
          <w:rFonts w:ascii="Arial" w:hAnsi="Arial"/>
          <w:sz w:val="22"/>
        </w:rPr>
      </w:pPr>
      <w:r>
        <w:rPr>
          <w:rFonts w:ascii="Arial" w:hAnsi="Arial"/>
          <w:sz w:val="22"/>
        </w:rPr>
        <w:t xml:space="preserve">Section 274 of the Atomic Energy Act recognizes the need and establishment of programs for cooperation between the U.S. Nuclear Regulatory Commission (NRC) and the States to control the radiation hazards associated with the use of radioactive materials.  This provision is implemented as specified in Article VI of the Exhibit Standard Agreement in NRC Management Directive 5.8, which discusses Section 274(b) agreements with States, and Articles V or VI in current State agreements.  To further the objective of cooperation in the decommissioning program area, information on uranium recovery and complex sites being decommissioned in Agreement States will be requested.  The information requests will take the form of annual questionnaires, e.g., electronic surveys and facsimiles. </w:t>
      </w:r>
    </w:p>
    <w:p w:rsidR="006F6395" w:rsidRDefault="006F6395" w:rsidP="006F6395">
      <w:pPr>
        <w:rPr>
          <w:rFonts w:ascii="Arial" w:hAnsi="Arial"/>
          <w:sz w:val="22"/>
        </w:rPr>
      </w:pPr>
    </w:p>
    <w:p w:rsidR="006F6395" w:rsidRDefault="006F6395" w:rsidP="006F6395">
      <w:pPr>
        <w:rPr>
          <w:rFonts w:ascii="Arial" w:hAnsi="Arial"/>
          <w:sz w:val="22"/>
        </w:rPr>
      </w:pPr>
      <w:r>
        <w:rPr>
          <w:rFonts w:ascii="Arial" w:hAnsi="Arial"/>
          <w:sz w:val="22"/>
        </w:rPr>
        <w:t xml:space="preserve">Agreement States will be asked to provide information about uranium recovery and complex sites undergoing decommissioning regulated by the Agreement States on an annual basis.  The information request will allow the NRC to compile, in a centralized location, more complete information on the status of decommissioning and decontamination in the </w:t>
      </w:r>
      <w:smartTag w:uri="urn:schemas-microsoft-com:office:smarttags" w:element="country-region">
        <w:smartTag w:uri="urn:schemas-microsoft-com:office:smarttags" w:element="place">
          <w:r>
            <w:rPr>
              <w:rFonts w:ascii="Arial" w:hAnsi="Arial"/>
              <w:sz w:val="22"/>
            </w:rPr>
            <w:t>United States</w:t>
          </w:r>
        </w:smartTag>
      </w:smartTag>
      <w:r>
        <w:rPr>
          <w:rFonts w:ascii="Arial" w:hAnsi="Arial"/>
          <w:sz w:val="22"/>
        </w:rPr>
        <w:t xml:space="preserve"> in order to provide a national perspective on decommissioning. </w:t>
      </w:r>
    </w:p>
    <w:p w:rsidR="006F6395" w:rsidRDefault="006F6395" w:rsidP="006F6395">
      <w:pPr>
        <w:rPr>
          <w:rFonts w:ascii="Arial" w:hAnsi="Arial"/>
          <w:sz w:val="22"/>
        </w:rPr>
      </w:pPr>
    </w:p>
    <w:p w:rsidR="006F6395" w:rsidRDefault="006F6395" w:rsidP="006F6395">
      <w:pPr>
        <w:pStyle w:val="Custom1"/>
        <w:widowControl/>
        <w:numPr>
          <w:ilvl w:val="0"/>
          <w:numId w:val="1"/>
        </w:numPr>
        <w:ind w:left="720" w:hanging="720"/>
        <w:rPr>
          <w:rFonts w:ascii="Arial" w:hAnsi="Arial"/>
          <w:sz w:val="22"/>
        </w:rPr>
      </w:pPr>
      <w:r>
        <w:rPr>
          <w:rFonts w:ascii="Arial" w:hAnsi="Arial"/>
          <w:sz w:val="22"/>
        </w:rPr>
        <w:tab/>
        <w:t>JUSTIFICATION</w:t>
      </w:r>
    </w:p>
    <w:p w:rsidR="006F6395" w:rsidRDefault="006F6395" w:rsidP="006F6395">
      <w:pPr>
        <w:rPr>
          <w:rFonts w:ascii="Arial" w:hAnsi="Arial"/>
          <w:sz w:val="22"/>
          <w:u w:val="single"/>
        </w:rPr>
      </w:pPr>
    </w:p>
    <w:p w:rsidR="006F6395" w:rsidRDefault="006F6395" w:rsidP="006F6395">
      <w:pPr>
        <w:ind w:left="1440" w:hanging="720"/>
        <w:rPr>
          <w:rFonts w:ascii="Arial" w:hAnsi="Arial"/>
          <w:sz w:val="22"/>
          <w:u w:val="single"/>
        </w:rPr>
      </w:pPr>
      <w:r>
        <w:rPr>
          <w:rFonts w:ascii="Arial" w:hAnsi="Arial"/>
          <w:sz w:val="22"/>
        </w:rPr>
        <w:t>1.</w:t>
      </w:r>
      <w:r>
        <w:rPr>
          <w:rFonts w:ascii="Arial" w:hAnsi="Arial"/>
          <w:sz w:val="22"/>
        </w:rPr>
        <w:tab/>
      </w:r>
      <w:r>
        <w:rPr>
          <w:rFonts w:ascii="Arial" w:hAnsi="Arial"/>
          <w:sz w:val="22"/>
          <w:u w:val="single"/>
        </w:rPr>
        <w:t>Need for and Practical Utility of the Collection Information</w:t>
      </w:r>
    </w:p>
    <w:p w:rsidR="005574AE" w:rsidRDefault="005574AE" w:rsidP="006F6395">
      <w:pPr>
        <w:ind w:left="1440" w:hanging="720"/>
        <w:rPr>
          <w:rFonts w:ascii="Arial" w:hAnsi="Arial"/>
          <w:sz w:val="22"/>
        </w:rPr>
      </w:pPr>
    </w:p>
    <w:p w:rsidR="006F6395" w:rsidRDefault="006F6395" w:rsidP="006F6395">
      <w:pPr>
        <w:ind w:left="1440"/>
        <w:rPr>
          <w:rFonts w:ascii="Arial" w:hAnsi="Arial"/>
          <w:sz w:val="22"/>
        </w:rPr>
      </w:pPr>
      <w:r>
        <w:rPr>
          <w:rFonts w:ascii="Arial" w:hAnsi="Arial"/>
          <w:sz w:val="22"/>
        </w:rPr>
        <w:t>In 1959, Section 274 of the Atomic Energy Act was enacted to provide a statutory basis under which the Federal Government could relinquish to the States portions of its regulatory authority.  The amendments made it possible for the States to license and regulate byproduct, source materials, and small quantities of special nuclear material including the decommissioning of materials facilities (nuclear reactors were excluded) that possess, process or otherwise handle radioactive materials.  The mechanism for the transfer of NRC's authority to a State is an agreement between the Governor of the State and the NRC.  T</w:t>
      </w:r>
      <w:r w:rsidR="00871E68">
        <w:rPr>
          <w:rFonts w:ascii="Arial" w:hAnsi="Arial"/>
          <w:sz w:val="22"/>
        </w:rPr>
        <w:t>o date, t</w:t>
      </w:r>
      <w:r>
        <w:rPr>
          <w:rFonts w:ascii="Arial" w:hAnsi="Arial"/>
          <w:sz w:val="22"/>
        </w:rPr>
        <w:t>here are 37 Agreement States.  Currently, there are a number of licenses that are undergoing termination under the jurisdiction of the Agreement States.  As part of the NRC’s comprehensive decommissioning program, information about uranium recovery and complex sites undergoing decommissioning and license termination, under the jurisdiction of the Agreement States, is being requested by the NRC.</w:t>
      </w:r>
    </w:p>
    <w:p w:rsidR="006F6395" w:rsidRDefault="006F6395" w:rsidP="006F6395">
      <w:pPr>
        <w:rPr>
          <w:rFonts w:ascii="Arial" w:hAnsi="Arial"/>
          <w:sz w:val="22"/>
        </w:rPr>
      </w:pPr>
      <w:r>
        <w:rPr>
          <w:rFonts w:ascii="Arial" w:hAnsi="Arial"/>
          <w:sz w:val="22"/>
        </w:rPr>
        <w:t xml:space="preserve"> </w:t>
      </w:r>
    </w:p>
    <w:p w:rsidR="006F6395" w:rsidRDefault="006F6395" w:rsidP="006F6395">
      <w:pPr>
        <w:ind w:left="1440"/>
        <w:rPr>
          <w:rFonts w:ascii="Arial" w:hAnsi="Arial"/>
          <w:sz w:val="22"/>
        </w:rPr>
      </w:pPr>
      <w:r>
        <w:rPr>
          <w:rFonts w:ascii="Arial" w:hAnsi="Arial"/>
          <w:sz w:val="22"/>
        </w:rPr>
        <w:t>This will be used in the NRC’s continuous improvement program, and for documenting lessons learned and making them available, so that improvements in decommissioning and a national decommissioning perspective can be obtained and shared.</w:t>
      </w:r>
    </w:p>
    <w:p w:rsidR="004B5BD5" w:rsidRDefault="004B5BD5" w:rsidP="006F6395">
      <w:pPr>
        <w:ind w:left="1440"/>
        <w:rPr>
          <w:rFonts w:ascii="Arial" w:hAnsi="Arial"/>
          <w:sz w:val="22"/>
        </w:rPr>
      </w:pPr>
    </w:p>
    <w:p w:rsidR="006F6395" w:rsidRDefault="006F6395" w:rsidP="006F6395">
      <w:pPr>
        <w:ind w:left="1440" w:hanging="720"/>
        <w:rPr>
          <w:rFonts w:ascii="Arial" w:hAnsi="Arial"/>
          <w:sz w:val="22"/>
          <w:u w:val="single"/>
        </w:rPr>
      </w:pPr>
      <w:r>
        <w:rPr>
          <w:rFonts w:ascii="Arial" w:hAnsi="Arial"/>
          <w:sz w:val="22"/>
        </w:rPr>
        <w:lastRenderedPageBreak/>
        <w:t>2.</w:t>
      </w:r>
      <w:r>
        <w:rPr>
          <w:rFonts w:ascii="Arial" w:hAnsi="Arial"/>
          <w:sz w:val="22"/>
        </w:rPr>
        <w:tab/>
      </w:r>
      <w:r>
        <w:rPr>
          <w:rFonts w:ascii="Arial" w:hAnsi="Arial"/>
          <w:sz w:val="22"/>
          <w:u w:val="single"/>
        </w:rPr>
        <w:t xml:space="preserve"> Agency Use of Information</w:t>
      </w:r>
    </w:p>
    <w:p w:rsidR="006F6395" w:rsidRDefault="006F6395" w:rsidP="006F6395">
      <w:pPr>
        <w:ind w:left="1440" w:hanging="720"/>
        <w:rPr>
          <w:rFonts w:ascii="Arial" w:hAnsi="Arial"/>
          <w:sz w:val="22"/>
        </w:rPr>
      </w:pPr>
    </w:p>
    <w:p w:rsidR="006F6395" w:rsidRDefault="006F6395" w:rsidP="006F6395">
      <w:pPr>
        <w:ind w:left="1440"/>
        <w:rPr>
          <w:rFonts w:ascii="Arial" w:hAnsi="Arial"/>
          <w:sz w:val="22"/>
        </w:rPr>
      </w:pPr>
      <w:r>
        <w:rPr>
          <w:rFonts w:ascii="Arial" w:hAnsi="Arial"/>
          <w:sz w:val="22"/>
        </w:rPr>
        <w:t xml:space="preserve">The annual collection of data from the individual Agreement States will enable the NRC to enhance openness with the public as well as allow the creation of a repository of decommissioning information.  The data will also be utilized in preparing responses to Congressional inquiries and requests for information from other sources.  There is no source for obtaining such necessary information other than from the Agreement States. </w:t>
      </w:r>
    </w:p>
    <w:p w:rsidR="006F6395" w:rsidRDefault="006F6395" w:rsidP="006F6395">
      <w:pPr>
        <w:rPr>
          <w:rFonts w:ascii="Arial" w:hAnsi="Arial"/>
          <w:sz w:val="22"/>
        </w:rPr>
      </w:pPr>
    </w:p>
    <w:p w:rsidR="006F6395" w:rsidRDefault="006F6395" w:rsidP="006F6395">
      <w:pPr>
        <w:ind w:left="1440"/>
        <w:rPr>
          <w:rFonts w:ascii="Arial" w:hAnsi="Arial"/>
          <w:sz w:val="22"/>
        </w:rPr>
      </w:pPr>
      <w:r>
        <w:rPr>
          <w:rFonts w:ascii="Arial" w:hAnsi="Arial"/>
          <w:sz w:val="22"/>
        </w:rPr>
        <w:t xml:space="preserve">Confidential financial information will not be made public, but will be used internally to assess the adequacy of funding mechanisms and improvements in guidance for licensing decisions in order to minimize sites having insufficient financial resources to perform and complete decommissioning.  Additionally, lessons learned from the Agreement States’ overall experience with the adequacy of decommissioning-related funding mechanisms will be shared with all the Agreement States.  </w:t>
      </w:r>
    </w:p>
    <w:p w:rsidR="006F6395" w:rsidRDefault="006F6395" w:rsidP="006F6395">
      <w:pPr>
        <w:rPr>
          <w:rFonts w:ascii="Arial" w:hAnsi="Arial"/>
          <w:sz w:val="22"/>
        </w:rPr>
      </w:pPr>
    </w:p>
    <w:p w:rsidR="006F6395" w:rsidRPr="00C32170" w:rsidRDefault="006F6395" w:rsidP="006F6395">
      <w:pPr>
        <w:rPr>
          <w:rFonts w:ascii="Arial" w:hAnsi="Arial"/>
          <w:sz w:val="22"/>
        </w:rPr>
      </w:pPr>
      <w:r>
        <w:rPr>
          <w:rFonts w:ascii="Arial" w:hAnsi="Arial"/>
          <w:sz w:val="22"/>
        </w:rPr>
        <w:tab/>
      </w:r>
      <w:r w:rsidRPr="00C32170">
        <w:rPr>
          <w:rFonts w:ascii="Arial" w:hAnsi="Arial"/>
          <w:sz w:val="22"/>
        </w:rPr>
        <w:t>3.</w:t>
      </w:r>
      <w:r w:rsidRPr="00C32170">
        <w:rPr>
          <w:rFonts w:ascii="Arial" w:hAnsi="Arial"/>
          <w:sz w:val="22"/>
        </w:rPr>
        <w:tab/>
      </w:r>
      <w:r w:rsidRPr="00C32170">
        <w:rPr>
          <w:rFonts w:ascii="Arial" w:hAnsi="Arial"/>
          <w:sz w:val="22"/>
          <w:u w:val="single"/>
        </w:rPr>
        <w:t>Reduction of Burden Through Information Technology</w:t>
      </w:r>
    </w:p>
    <w:p w:rsidR="006F6395" w:rsidRDefault="006F6395" w:rsidP="006F6395">
      <w:pPr>
        <w:rPr>
          <w:rFonts w:ascii="Arial" w:hAnsi="Arial" w:cs="Arial"/>
          <w:sz w:val="22"/>
          <w:szCs w:val="22"/>
        </w:rPr>
      </w:pPr>
    </w:p>
    <w:p w:rsidR="006F6395" w:rsidRDefault="006F6395" w:rsidP="006F6395">
      <w:pPr>
        <w:ind w:left="1440"/>
        <w:rPr>
          <w:rFonts w:ascii="Arial" w:hAnsi="Arial" w:cs="Arial"/>
          <w:sz w:val="22"/>
          <w:szCs w:val="22"/>
        </w:rPr>
      </w:pPr>
      <w:r>
        <w:rPr>
          <w:rFonts w:ascii="Arial" w:hAnsi="Arial" w:cs="Arial"/>
          <w:sz w:val="22"/>
          <w:szCs w:val="22"/>
        </w:rPr>
        <w:t xml:space="preserve">There are no legal obstacles to reducing the burden associated with this information collection. </w:t>
      </w:r>
      <w:r w:rsidR="005574AE">
        <w:rPr>
          <w:rFonts w:ascii="Arial" w:hAnsi="Arial" w:cs="Arial"/>
          <w:sz w:val="22"/>
          <w:szCs w:val="22"/>
        </w:rPr>
        <w:t xml:space="preserve"> </w:t>
      </w:r>
      <w:r>
        <w:rPr>
          <w:rFonts w:ascii="Arial" w:hAnsi="Arial" w:cs="Arial"/>
          <w:sz w:val="22"/>
          <w:szCs w:val="22"/>
        </w:rPr>
        <w:t xml:space="preserve">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w:t>
      </w:r>
      <w:r w:rsidR="00871E68">
        <w:rPr>
          <w:rFonts w:ascii="Arial" w:hAnsi="Arial" w:cs="Arial"/>
          <w:sz w:val="22"/>
          <w:szCs w:val="22"/>
        </w:rPr>
        <w:t>close to</w:t>
      </w:r>
      <w:r>
        <w:rPr>
          <w:rFonts w:ascii="Arial" w:hAnsi="Arial" w:cs="Arial"/>
          <w:sz w:val="22"/>
          <w:szCs w:val="22"/>
        </w:rPr>
        <w:t xml:space="preserve"> </w:t>
      </w:r>
      <w:r w:rsidRPr="00C32170">
        <w:rPr>
          <w:rFonts w:ascii="Arial" w:hAnsi="Arial" w:cs="Arial"/>
          <w:bCs/>
          <w:sz w:val="22"/>
          <w:szCs w:val="22"/>
        </w:rPr>
        <w:t>100%</w:t>
      </w:r>
      <w:r>
        <w:rPr>
          <w:rFonts w:ascii="Arial" w:hAnsi="Arial" w:cs="Arial"/>
          <w:sz w:val="22"/>
          <w:szCs w:val="22"/>
        </w:rPr>
        <w:t xml:space="preserve"> of the potential responses are filed electronically.  </w:t>
      </w:r>
    </w:p>
    <w:p w:rsidR="006F6395" w:rsidRPr="005574AE" w:rsidRDefault="006F6395" w:rsidP="006F6395">
      <w:pPr>
        <w:rPr>
          <w:rFonts w:ascii="Arial" w:hAnsi="Arial"/>
          <w:strike/>
          <w:sz w:val="22"/>
        </w:rPr>
      </w:pPr>
    </w:p>
    <w:p w:rsidR="006F6395" w:rsidRPr="00C32170" w:rsidRDefault="006F6395" w:rsidP="006F6395">
      <w:pPr>
        <w:ind w:left="1440" w:hanging="720"/>
        <w:rPr>
          <w:rFonts w:ascii="Arial" w:hAnsi="Arial"/>
          <w:sz w:val="22"/>
        </w:rPr>
      </w:pPr>
      <w:r w:rsidRPr="00C32170">
        <w:rPr>
          <w:rFonts w:ascii="Arial" w:hAnsi="Arial"/>
          <w:sz w:val="22"/>
        </w:rPr>
        <w:t>4.</w:t>
      </w:r>
      <w:r w:rsidRPr="00C32170">
        <w:rPr>
          <w:rFonts w:ascii="Arial" w:hAnsi="Arial"/>
          <w:sz w:val="22"/>
        </w:rPr>
        <w:tab/>
      </w:r>
      <w:r w:rsidRPr="00C32170">
        <w:rPr>
          <w:rFonts w:ascii="Arial" w:hAnsi="Arial"/>
          <w:sz w:val="22"/>
          <w:u w:val="single"/>
        </w:rPr>
        <w:t>Efforts to Identify Duplication and Similar Use Information</w:t>
      </w:r>
    </w:p>
    <w:p w:rsidR="006F6395" w:rsidRDefault="006F6395" w:rsidP="006F6395">
      <w:pPr>
        <w:rPr>
          <w:rFonts w:ascii="Arial" w:hAnsi="Arial" w:cs="Arial"/>
          <w:sz w:val="22"/>
          <w:szCs w:val="22"/>
        </w:rPr>
      </w:pPr>
    </w:p>
    <w:p w:rsidR="006F6395" w:rsidRDefault="006F6395" w:rsidP="006F6395">
      <w:pPr>
        <w:ind w:left="1440"/>
        <w:rPr>
          <w:rFonts w:ascii="Arial" w:hAnsi="Arial" w:cs="Arial"/>
          <w:sz w:val="22"/>
          <w:szCs w:val="22"/>
        </w:rPr>
      </w:pPr>
      <w:r>
        <w:rPr>
          <w:rFonts w:ascii="Arial" w:hAnsi="Arial" w:cs="Arial"/>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6F6395" w:rsidRDefault="006F6395" w:rsidP="006F6395">
      <w:pPr>
        <w:rPr>
          <w:rFonts w:ascii="Arial" w:hAnsi="Arial"/>
          <w:sz w:val="22"/>
        </w:rPr>
      </w:pPr>
    </w:p>
    <w:p w:rsidR="006F6395" w:rsidRDefault="006F6395" w:rsidP="006F6395">
      <w:pPr>
        <w:ind w:left="1440" w:hanging="720"/>
        <w:rPr>
          <w:rFonts w:ascii="Arial" w:hAnsi="Arial"/>
          <w:sz w:val="22"/>
          <w:u w:val="single"/>
        </w:rPr>
      </w:pPr>
      <w:r>
        <w:rPr>
          <w:rFonts w:ascii="Arial" w:hAnsi="Arial"/>
          <w:sz w:val="22"/>
        </w:rPr>
        <w:t>5.</w:t>
      </w:r>
      <w:r>
        <w:rPr>
          <w:rFonts w:ascii="Arial" w:hAnsi="Arial"/>
          <w:sz w:val="22"/>
        </w:rPr>
        <w:tab/>
      </w:r>
      <w:r>
        <w:rPr>
          <w:rFonts w:ascii="Arial" w:hAnsi="Arial"/>
          <w:sz w:val="22"/>
          <w:u w:val="single"/>
        </w:rPr>
        <w:t>Effort to Reduce Small Business Burden</w:t>
      </w:r>
    </w:p>
    <w:p w:rsidR="006F6395" w:rsidRDefault="006F6395" w:rsidP="006F6395">
      <w:pPr>
        <w:ind w:left="1440" w:hanging="720"/>
        <w:rPr>
          <w:rFonts w:ascii="Arial" w:hAnsi="Arial"/>
          <w:sz w:val="22"/>
        </w:rPr>
      </w:pPr>
    </w:p>
    <w:p w:rsidR="006F6395" w:rsidRDefault="006F6395" w:rsidP="006F6395">
      <w:pPr>
        <w:ind w:left="1440"/>
        <w:rPr>
          <w:rFonts w:ascii="Arial" w:hAnsi="Arial"/>
          <w:sz w:val="22"/>
        </w:rPr>
      </w:pPr>
      <w:r>
        <w:rPr>
          <w:rFonts w:ascii="Arial" w:hAnsi="Arial"/>
          <w:sz w:val="22"/>
        </w:rPr>
        <w:t>There is no impact or burden on small business because the recipients of the requests are State agencies.</w:t>
      </w:r>
    </w:p>
    <w:p w:rsidR="006F6395" w:rsidRDefault="006F6395" w:rsidP="006F6395">
      <w:pPr>
        <w:rPr>
          <w:rFonts w:ascii="Arial" w:hAnsi="Arial"/>
          <w:sz w:val="22"/>
        </w:rPr>
      </w:pPr>
    </w:p>
    <w:p w:rsidR="006F6395" w:rsidRDefault="006F6395" w:rsidP="006F6395">
      <w:pPr>
        <w:ind w:left="1440" w:hanging="720"/>
        <w:rPr>
          <w:rFonts w:ascii="Arial" w:hAnsi="Arial"/>
          <w:sz w:val="22"/>
          <w:u w:val="single"/>
        </w:rPr>
      </w:pPr>
      <w:r>
        <w:rPr>
          <w:rFonts w:ascii="Arial" w:hAnsi="Arial"/>
          <w:sz w:val="22"/>
        </w:rPr>
        <w:t>6.</w:t>
      </w:r>
      <w:r>
        <w:rPr>
          <w:rFonts w:ascii="Arial" w:hAnsi="Arial"/>
          <w:sz w:val="22"/>
        </w:rPr>
        <w:tab/>
      </w:r>
      <w:r>
        <w:rPr>
          <w:rFonts w:ascii="Arial" w:hAnsi="Arial"/>
          <w:sz w:val="22"/>
          <w:u w:val="single"/>
        </w:rPr>
        <w:t xml:space="preserve">Consequences to Federal Program or Policy Activities if the Collection is </w:t>
      </w:r>
      <w:proofErr w:type="gramStart"/>
      <w:r>
        <w:rPr>
          <w:rFonts w:ascii="Arial" w:hAnsi="Arial"/>
          <w:sz w:val="22"/>
          <w:u w:val="single"/>
        </w:rPr>
        <w:t>Not</w:t>
      </w:r>
      <w:proofErr w:type="gramEnd"/>
      <w:r>
        <w:rPr>
          <w:rFonts w:ascii="Arial" w:hAnsi="Arial"/>
          <w:sz w:val="22"/>
          <w:u w:val="single"/>
        </w:rPr>
        <w:t xml:space="preserve"> Conducted or is Conducted Less Frequently</w:t>
      </w:r>
    </w:p>
    <w:p w:rsidR="006F6395" w:rsidRDefault="006F6395" w:rsidP="006F6395">
      <w:pPr>
        <w:ind w:left="1440" w:hanging="720"/>
        <w:rPr>
          <w:rFonts w:ascii="Arial" w:hAnsi="Arial"/>
          <w:sz w:val="22"/>
        </w:rPr>
      </w:pPr>
    </w:p>
    <w:p w:rsidR="006F6395" w:rsidRDefault="006F6395" w:rsidP="006F6395">
      <w:pPr>
        <w:ind w:left="1440"/>
        <w:rPr>
          <w:rFonts w:ascii="Arial" w:hAnsi="Arial"/>
          <w:sz w:val="22"/>
        </w:rPr>
      </w:pPr>
      <w:r>
        <w:rPr>
          <w:rFonts w:ascii="Arial" w:hAnsi="Arial"/>
          <w:sz w:val="22"/>
        </w:rPr>
        <w:t>The information collection will be an annual action, which addresses specific sites regulated by the Agreement States.  The consequences of not collecting current Agreement State uranium recovery and complex decommissioning site information could potentially impact the American public’s confidence that the U.S. program for the decommissioning of uranium recovery and complex sites</w:t>
      </w:r>
      <w:r w:rsidR="008F1A58">
        <w:rPr>
          <w:rFonts w:ascii="Arial" w:hAnsi="Arial"/>
          <w:sz w:val="22"/>
        </w:rPr>
        <w:t xml:space="preserve"> is being effectively overseen.</w:t>
      </w:r>
    </w:p>
    <w:p w:rsidR="008F1A58" w:rsidRDefault="008F1A58" w:rsidP="006F6395">
      <w:pPr>
        <w:ind w:left="1440"/>
        <w:rPr>
          <w:rFonts w:ascii="Arial" w:hAnsi="Arial"/>
          <w:sz w:val="22"/>
        </w:rPr>
      </w:pPr>
    </w:p>
    <w:p w:rsidR="006F6395" w:rsidRDefault="006F6395" w:rsidP="006F6395">
      <w:pPr>
        <w:ind w:left="1440" w:hanging="720"/>
        <w:rPr>
          <w:rFonts w:ascii="Arial" w:hAnsi="Arial"/>
          <w:sz w:val="22"/>
          <w:u w:val="single"/>
        </w:rPr>
      </w:pPr>
      <w:r>
        <w:rPr>
          <w:rFonts w:ascii="Arial" w:hAnsi="Arial"/>
          <w:sz w:val="22"/>
        </w:rPr>
        <w:lastRenderedPageBreak/>
        <w:t>7.</w:t>
      </w:r>
      <w:r>
        <w:rPr>
          <w:rFonts w:ascii="Arial" w:hAnsi="Arial"/>
          <w:sz w:val="22"/>
        </w:rPr>
        <w:tab/>
      </w:r>
      <w:r>
        <w:rPr>
          <w:rFonts w:ascii="Arial" w:hAnsi="Arial"/>
          <w:sz w:val="22"/>
          <w:u w:val="single"/>
        </w:rPr>
        <w:t xml:space="preserve">Circumstances Which Justify Variation </w:t>
      </w:r>
      <w:proofErr w:type="gramStart"/>
      <w:r>
        <w:rPr>
          <w:rFonts w:ascii="Arial" w:hAnsi="Arial"/>
          <w:sz w:val="22"/>
          <w:u w:val="single"/>
        </w:rPr>
        <w:t>From</w:t>
      </w:r>
      <w:proofErr w:type="gramEnd"/>
      <w:r>
        <w:rPr>
          <w:rFonts w:ascii="Arial" w:hAnsi="Arial"/>
          <w:sz w:val="22"/>
          <w:u w:val="single"/>
        </w:rPr>
        <w:t xml:space="preserve"> OMB Guidelines</w:t>
      </w:r>
    </w:p>
    <w:p w:rsidR="006F6395" w:rsidRDefault="006F6395" w:rsidP="006F6395">
      <w:pPr>
        <w:ind w:left="1440" w:hanging="720"/>
        <w:rPr>
          <w:rFonts w:ascii="Arial" w:hAnsi="Arial"/>
          <w:sz w:val="22"/>
        </w:rPr>
      </w:pPr>
    </w:p>
    <w:p w:rsidR="006F6395" w:rsidRDefault="008376DC" w:rsidP="007D5EA7">
      <w:pPr>
        <w:ind w:left="1440"/>
        <w:outlineLvl w:val="0"/>
        <w:rPr>
          <w:rFonts w:ascii="Arial" w:hAnsi="Arial"/>
          <w:sz w:val="22"/>
        </w:rPr>
      </w:pPr>
      <w:r>
        <w:rPr>
          <w:rFonts w:ascii="Arial" w:hAnsi="Arial"/>
          <w:sz w:val="22"/>
        </w:rPr>
        <w:t>There are no variations.</w:t>
      </w:r>
    </w:p>
    <w:p w:rsidR="006F6395" w:rsidRDefault="006F6395" w:rsidP="006F6395">
      <w:pPr>
        <w:rPr>
          <w:rFonts w:ascii="Arial" w:hAnsi="Arial"/>
          <w:sz w:val="22"/>
        </w:rPr>
      </w:pPr>
    </w:p>
    <w:p w:rsidR="006F6395" w:rsidRPr="00C32170" w:rsidRDefault="006F6395" w:rsidP="006F6395">
      <w:pPr>
        <w:ind w:left="720"/>
        <w:rPr>
          <w:rFonts w:ascii="Arial" w:hAnsi="Arial"/>
          <w:sz w:val="22"/>
        </w:rPr>
      </w:pPr>
      <w:r w:rsidRPr="00C32170">
        <w:rPr>
          <w:rFonts w:ascii="Arial" w:hAnsi="Arial"/>
          <w:sz w:val="22"/>
        </w:rPr>
        <w:t>8.</w:t>
      </w:r>
      <w:r w:rsidRPr="00C32170">
        <w:rPr>
          <w:rFonts w:ascii="Arial" w:hAnsi="Arial"/>
          <w:sz w:val="22"/>
        </w:rPr>
        <w:tab/>
      </w:r>
      <w:r w:rsidRPr="00C32170">
        <w:rPr>
          <w:rFonts w:ascii="Arial" w:hAnsi="Arial"/>
          <w:sz w:val="22"/>
          <w:u w:val="single"/>
        </w:rPr>
        <w:t>Consultation Outside the NRC</w:t>
      </w:r>
    </w:p>
    <w:p w:rsidR="006F6395" w:rsidRDefault="006F6395" w:rsidP="006F6395">
      <w:pPr>
        <w:rPr>
          <w:rFonts w:ascii="Arial" w:hAnsi="Arial" w:cs="Arial"/>
          <w:sz w:val="22"/>
          <w:szCs w:val="22"/>
        </w:rPr>
      </w:pPr>
    </w:p>
    <w:p w:rsidR="006F6395" w:rsidRDefault="006F6395" w:rsidP="006F6395">
      <w:pPr>
        <w:ind w:left="1440"/>
        <w:rPr>
          <w:rFonts w:ascii="Arial" w:hAnsi="Arial" w:cs="Arial"/>
          <w:sz w:val="22"/>
          <w:szCs w:val="22"/>
        </w:rPr>
      </w:pPr>
      <w:r>
        <w:rPr>
          <w:rFonts w:ascii="Arial" w:hAnsi="Arial" w:cs="Arial"/>
          <w:sz w:val="22"/>
          <w:szCs w:val="22"/>
        </w:rPr>
        <w:t xml:space="preserve">Opportunity for public comment on the information collection requirements for this clearance package </w:t>
      </w:r>
      <w:r w:rsidR="00121B78">
        <w:rPr>
          <w:rFonts w:ascii="Arial" w:hAnsi="Arial" w:cs="Arial"/>
          <w:sz w:val="22"/>
          <w:szCs w:val="22"/>
        </w:rPr>
        <w:t xml:space="preserve">was </w:t>
      </w:r>
      <w:r>
        <w:rPr>
          <w:rFonts w:ascii="Arial" w:hAnsi="Arial" w:cs="Arial"/>
          <w:sz w:val="22"/>
          <w:szCs w:val="22"/>
        </w:rPr>
        <w:t xml:space="preserve">published in the </w:t>
      </w:r>
      <w:r w:rsidRPr="003650A4">
        <w:rPr>
          <w:rFonts w:ascii="Arial" w:hAnsi="Arial" w:cs="Arial"/>
          <w:sz w:val="22"/>
          <w:szCs w:val="22"/>
          <w:u w:val="single"/>
        </w:rPr>
        <w:t>Federal</w:t>
      </w:r>
      <w:r w:rsidRPr="003650A4">
        <w:rPr>
          <w:rFonts w:ascii="Arial" w:hAnsi="Arial" w:cs="Arial"/>
          <w:sz w:val="22"/>
          <w:szCs w:val="22"/>
        </w:rPr>
        <w:t xml:space="preserve"> </w:t>
      </w:r>
      <w:r w:rsidRPr="003650A4">
        <w:rPr>
          <w:rFonts w:ascii="Arial" w:hAnsi="Arial" w:cs="Arial"/>
          <w:sz w:val="22"/>
          <w:szCs w:val="22"/>
          <w:u w:val="single"/>
        </w:rPr>
        <w:t>Register</w:t>
      </w:r>
      <w:r w:rsidR="00C443DE">
        <w:rPr>
          <w:rFonts w:ascii="Arial" w:hAnsi="Arial" w:cs="Arial"/>
          <w:sz w:val="22"/>
          <w:szCs w:val="22"/>
        </w:rPr>
        <w:t xml:space="preserve"> on November 22, 2010 (75 FR 71152).  No comments were received.</w:t>
      </w:r>
    </w:p>
    <w:p w:rsidR="006F6395" w:rsidRDefault="006F6395" w:rsidP="006F6395">
      <w:pPr>
        <w:rPr>
          <w:rFonts w:ascii="Arial" w:hAnsi="Arial"/>
          <w:sz w:val="22"/>
        </w:rPr>
      </w:pPr>
    </w:p>
    <w:p w:rsidR="006F6395" w:rsidRDefault="006F6395" w:rsidP="006F6395">
      <w:pPr>
        <w:ind w:left="1440" w:hanging="720"/>
        <w:rPr>
          <w:rFonts w:ascii="Arial" w:hAnsi="Arial"/>
          <w:sz w:val="22"/>
          <w:u w:val="single"/>
        </w:rPr>
      </w:pPr>
      <w:r>
        <w:rPr>
          <w:rFonts w:ascii="Arial" w:hAnsi="Arial"/>
          <w:sz w:val="22"/>
        </w:rPr>
        <w:t>9.</w:t>
      </w:r>
      <w:r>
        <w:rPr>
          <w:rFonts w:ascii="Arial" w:hAnsi="Arial"/>
          <w:sz w:val="22"/>
        </w:rPr>
        <w:tab/>
      </w:r>
      <w:r>
        <w:rPr>
          <w:rFonts w:ascii="Arial" w:hAnsi="Arial"/>
          <w:sz w:val="22"/>
          <w:u w:val="single"/>
        </w:rPr>
        <w:t>Payment or Gift to Respondents</w:t>
      </w:r>
    </w:p>
    <w:p w:rsidR="006F6395" w:rsidRDefault="006F6395" w:rsidP="006F6395">
      <w:pPr>
        <w:ind w:left="1440" w:hanging="720"/>
        <w:rPr>
          <w:rFonts w:ascii="Arial" w:hAnsi="Arial"/>
          <w:sz w:val="22"/>
        </w:rPr>
      </w:pPr>
    </w:p>
    <w:p w:rsidR="006F6395" w:rsidRDefault="006F6395" w:rsidP="007D5EA7">
      <w:pPr>
        <w:ind w:left="1440"/>
        <w:outlineLvl w:val="0"/>
        <w:rPr>
          <w:rFonts w:ascii="Arial" w:hAnsi="Arial"/>
          <w:sz w:val="22"/>
        </w:rPr>
      </w:pPr>
      <w:r>
        <w:rPr>
          <w:rFonts w:ascii="Arial" w:hAnsi="Arial"/>
          <w:sz w:val="22"/>
        </w:rPr>
        <w:t>Not applicable.</w:t>
      </w:r>
    </w:p>
    <w:p w:rsidR="005574AE" w:rsidRDefault="005574AE" w:rsidP="005574AE">
      <w:pPr>
        <w:ind w:left="1440"/>
        <w:rPr>
          <w:rFonts w:ascii="Arial" w:hAnsi="Arial"/>
          <w:sz w:val="22"/>
        </w:rPr>
      </w:pPr>
    </w:p>
    <w:p w:rsidR="006F6395" w:rsidRPr="00C32170" w:rsidRDefault="006F6395" w:rsidP="006F6395">
      <w:pPr>
        <w:rPr>
          <w:rFonts w:ascii="Arial" w:hAnsi="Arial"/>
          <w:sz w:val="22"/>
        </w:rPr>
      </w:pPr>
      <w:r>
        <w:rPr>
          <w:rFonts w:ascii="Arial" w:hAnsi="Arial"/>
          <w:sz w:val="22"/>
        </w:rPr>
        <w:tab/>
      </w:r>
      <w:r w:rsidRPr="00C32170">
        <w:rPr>
          <w:rFonts w:ascii="Arial" w:hAnsi="Arial"/>
          <w:sz w:val="22"/>
        </w:rPr>
        <w:t>10.</w:t>
      </w:r>
      <w:r w:rsidRPr="00C32170">
        <w:rPr>
          <w:rFonts w:ascii="Arial" w:hAnsi="Arial"/>
          <w:sz w:val="22"/>
        </w:rPr>
        <w:tab/>
      </w:r>
      <w:r w:rsidRPr="00C32170">
        <w:rPr>
          <w:rFonts w:ascii="Arial" w:hAnsi="Arial"/>
          <w:sz w:val="22"/>
          <w:u w:val="single"/>
        </w:rPr>
        <w:t>Confidentiality of the Information</w:t>
      </w:r>
    </w:p>
    <w:p w:rsidR="006F6395" w:rsidRDefault="006F6395" w:rsidP="006F6395">
      <w:pPr>
        <w:rPr>
          <w:rFonts w:ascii="Arial" w:hAnsi="Arial" w:cs="Arial"/>
          <w:sz w:val="22"/>
          <w:szCs w:val="22"/>
        </w:rPr>
      </w:pPr>
    </w:p>
    <w:p w:rsidR="006F6395" w:rsidRDefault="006F6395" w:rsidP="006F6395">
      <w:pPr>
        <w:ind w:left="1440"/>
        <w:rPr>
          <w:rFonts w:ascii="Arial" w:hAnsi="Arial" w:cs="Arial"/>
          <w:sz w:val="22"/>
          <w:szCs w:val="22"/>
        </w:rPr>
      </w:pPr>
      <w:r>
        <w:rPr>
          <w:rFonts w:ascii="Arial" w:hAnsi="Arial" w:cs="Arial"/>
          <w:sz w:val="22"/>
          <w:szCs w:val="22"/>
        </w:rPr>
        <w:t>Confidential and proprietary information is protected in accordance with NRC regulations at 10 CFR 9.17(a) and 10 CFR 2.390(b).</w:t>
      </w:r>
    </w:p>
    <w:p w:rsidR="006F6395" w:rsidRDefault="006F6395" w:rsidP="006F6395">
      <w:pPr>
        <w:rPr>
          <w:rFonts w:ascii="Arial" w:hAnsi="Arial"/>
          <w:sz w:val="22"/>
        </w:rPr>
      </w:pPr>
    </w:p>
    <w:p w:rsidR="006F6395" w:rsidRDefault="006F6395" w:rsidP="006F6395">
      <w:pPr>
        <w:ind w:left="1440" w:hanging="720"/>
        <w:rPr>
          <w:rFonts w:ascii="Arial" w:hAnsi="Arial"/>
          <w:sz w:val="22"/>
        </w:rPr>
      </w:pPr>
      <w:r>
        <w:rPr>
          <w:rFonts w:ascii="Arial" w:hAnsi="Arial"/>
          <w:sz w:val="22"/>
        </w:rPr>
        <w:t>11.</w:t>
      </w:r>
      <w:r>
        <w:rPr>
          <w:rFonts w:ascii="Arial" w:hAnsi="Arial"/>
          <w:sz w:val="22"/>
        </w:rPr>
        <w:tab/>
      </w:r>
      <w:r>
        <w:rPr>
          <w:rFonts w:ascii="Arial" w:hAnsi="Arial"/>
          <w:sz w:val="22"/>
          <w:u w:val="single"/>
        </w:rPr>
        <w:t>Justification for Sensitive Questions</w:t>
      </w:r>
    </w:p>
    <w:p w:rsidR="006F6395" w:rsidRDefault="006F6395" w:rsidP="006F6395">
      <w:pPr>
        <w:ind w:left="1440" w:hanging="720"/>
        <w:rPr>
          <w:rFonts w:ascii="Arial" w:hAnsi="Arial"/>
          <w:sz w:val="22"/>
        </w:rPr>
      </w:pPr>
      <w:r>
        <w:rPr>
          <w:rFonts w:ascii="Arial" w:hAnsi="Arial"/>
          <w:sz w:val="22"/>
        </w:rPr>
        <w:tab/>
      </w:r>
    </w:p>
    <w:p w:rsidR="006F6395" w:rsidRDefault="006F6395" w:rsidP="006F6395">
      <w:pPr>
        <w:ind w:left="1440"/>
        <w:rPr>
          <w:rFonts w:ascii="Arial" w:hAnsi="Arial"/>
          <w:sz w:val="22"/>
        </w:rPr>
      </w:pPr>
      <w:r>
        <w:rPr>
          <w:rFonts w:ascii="Arial" w:hAnsi="Arial"/>
          <w:sz w:val="22"/>
        </w:rPr>
        <w:t xml:space="preserve">Except for the financial information relating to decommissioning funding, the NRC is not requesting that the Agreement States submit any sensitive information on a systematic basis.  Because of the inadequate funding experienced in the cases of legacy sites, the funding amounts, mechanisms, and degree of sufficiency to complete decommissioning will be requested.  This information is necessary to promote a national perspective on the regulation of nuclear facilities, which will eventually be decommissioned in the </w:t>
      </w:r>
      <w:smartTag w:uri="urn:schemas-microsoft-com:office:smarttags" w:element="country-region">
        <w:r>
          <w:rPr>
            <w:rFonts w:ascii="Arial" w:hAnsi="Arial"/>
            <w:sz w:val="22"/>
          </w:rPr>
          <w:t>U.S.</w:t>
        </w:r>
      </w:smartTag>
      <w:r>
        <w:rPr>
          <w:rFonts w:ascii="Arial" w:hAnsi="Arial"/>
          <w:sz w:val="22"/>
        </w:rPr>
        <w:t xml:space="preserve"> irrespective of their location in </w:t>
      </w:r>
      <w:smartTag w:uri="urn:schemas-microsoft-com:office:smarttags" w:element="PlaceName">
        <w:r>
          <w:rPr>
            <w:rFonts w:ascii="Arial" w:hAnsi="Arial"/>
            <w:sz w:val="22"/>
          </w:rPr>
          <w:t>Agreement</w:t>
        </w:r>
      </w:smartTag>
      <w:r>
        <w:rPr>
          <w:rFonts w:ascii="Arial" w:hAnsi="Arial"/>
          <w:sz w:val="22"/>
        </w:rPr>
        <w:t xml:space="preserve"> </w:t>
      </w:r>
      <w:smartTag w:uri="urn:schemas-microsoft-com:office:smarttags" w:element="PlaceType">
        <w:r>
          <w:rPr>
            <w:rFonts w:ascii="Arial" w:hAnsi="Arial"/>
            <w:sz w:val="22"/>
          </w:rPr>
          <w:t>States</w:t>
        </w:r>
      </w:smartTag>
      <w:r>
        <w:rPr>
          <w:rFonts w:ascii="Arial" w:hAnsi="Arial"/>
          <w:sz w:val="22"/>
        </w:rPr>
        <w:t xml:space="preserve"> or </w:t>
      </w:r>
      <w:smartTag w:uri="urn:schemas-microsoft-com:office:smarttags" w:element="place">
        <w:smartTag w:uri="urn:schemas-microsoft-com:office:smarttags" w:element="PlaceName">
          <w:r>
            <w:rPr>
              <w:rFonts w:ascii="Arial" w:hAnsi="Arial"/>
              <w:sz w:val="22"/>
            </w:rPr>
            <w:t>non-Agreement</w:t>
          </w:r>
        </w:smartTag>
        <w:r>
          <w:rPr>
            <w:rFonts w:ascii="Arial" w:hAnsi="Arial"/>
            <w:sz w:val="22"/>
          </w:rPr>
          <w:t xml:space="preserve"> </w:t>
        </w:r>
        <w:smartTag w:uri="urn:schemas-microsoft-com:office:smarttags" w:element="PlaceType">
          <w:r>
            <w:rPr>
              <w:rFonts w:ascii="Arial" w:hAnsi="Arial"/>
              <w:sz w:val="22"/>
            </w:rPr>
            <w:t>States</w:t>
          </w:r>
        </w:smartTag>
      </w:smartTag>
      <w:r>
        <w:rPr>
          <w:rFonts w:ascii="Arial" w:hAnsi="Arial"/>
          <w:sz w:val="22"/>
        </w:rPr>
        <w:t xml:space="preserve">. </w:t>
      </w:r>
    </w:p>
    <w:p w:rsidR="006F6395" w:rsidRDefault="006F6395" w:rsidP="006F6395">
      <w:pPr>
        <w:rPr>
          <w:rFonts w:ascii="Arial" w:hAnsi="Arial"/>
          <w:sz w:val="22"/>
        </w:rPr>
      </w:pPr>
    </w:p>
    <w:p w:rsidR="006F6395" w:rsidRPr="00C32170" w:rsidRDefault="006F6395" w:rsidP="007D5EA7">
      <w:pPr>
        <w:outlineLvl w:val="0"/>
        <w:rPr>
          <w:rFonts w:ascii="Arial" w:hAnsi="Arial"/>
          <w:sz w:val="22"/>
        </w:rPr>
      </w:pPr>
      <w:r>
        <w:rPr>
          <w:rFonts w:ascii="Arial" w:hAnsi="Arial"/>
          <w:sz w:val="22"/>
        </w:rPr>
        <w:tab/>
      </w:r>
      <w:r w:rsidRPr="00C32170">
        <w:rPr>
          <w:rFonts w:ascii="Arial" w:hAnsi="Arial"/>
          <w:sz w:val="22"/>
        </w:rPr>
        <w:t>12.</w:t>
      </w:r>
      <w:r w:rsidRPr="00C32170">
        <w:rPr>
          <w:rFonts w:ascii="Arial" w:hAnsi="Arial"/>
          <w:sz w:val="22"/>
        </w:rPr>
        <w:tab/>
      </w:r>
      <w:r w:rsidRPr="00C32170">
        <w:rPr>
          <w:rFonts w:ascii="Arial" w:hAnsi="Arial"/>
          <w:sz w:val="22"/>
          <w:u w:val="single"/>
        </w:rPr>
        <w:t>Estimated Burden and Burden Hour Cost</w:t>
      </w:r>
    </w:p>
    <w:p w:rsidR="006F6395" w:rsidRDefault="006F6395" w:rsidP="006F6395">
      <w:pPr>
        <w:rPr>
          <w:rFonts w:ascii="Arial" w:hAnsi="Arial" w:cs="Arial"/>
          <w:sz w:val="22"/>
          <w:szCs w:val="22"/>
        </w:rPr>
      </w:pPr>
    </w:p>
    <w:p w:rsidR="006F6395" w:rsidRDefault="00111339" w:rsidP="006F6395">
      <w:pPr>
        <w:ind w:left="1440"/>
        <w:rPr>
          <w:rFonts w:ascii="Arial" w:hAnsi="Arial"/>
          <w:sz w:val="22"/>
        </w:rPr>
      </w:pPr>
      <w:r>
        <w:rPr>
          <w:rFonts w:ascii="Arial" w:hAnsi="Arial"/>
          <w:sz w:val="22"/>
        </w:rPr>
        <w:t>It</w:t>
      </w:r>
      <w:r w:rsidR="006F6395">
        <w:rPr>
          <w:rFonts w:ascii="Arial" w:hAnsi="Arial"/>
          <w:sz w:val="22"/>
        </w:rPr>
        <w:t xml:space="preserve"> is estimated that 13</w:t>
      </w:r>
      <w:r w:rsidR="00552CAE">
        <w:rPr>
          <w:rFonts w:ascii="Arial" w:hAnsi="Arial"/>
          <w:sz w:val="22"/>
        </w:rPr>
        <w:t xml:space="preserve"> respondents from the 37</w:t>
      </w:r>
      <w:r w:rsidR="006F6395">
        <w:rPr>
          <w:rFonts w:ascii="Arial" w:hAnsi="Arial"/>
          <w:sz w:val="22"/>
        </w:rPr>
        <w:t xml:space="preserve"> Agreement States </w:t>
      </w:r>
      <w:r w:rsidR="00552CAE">
        <w:rPr>
          <w:rFonts w:ascii="Arial" w:hAnsi="Arial"/>
          <w:sz w:val="22"/>
        </w:rPr>
        <w:t>will have sites</w:t>
      </w:r>
      <w:r w:rsidR="006F6395">
        <w:rPr>
          <w:rFonts w:ascii="Arial" w:hAnsi="Arial"/>
          <w:sz w:val="22"/>
        </w:rPr>
        <w:t xml:space="preserve"> of interest</w:t>
      </w:r>
      <w:r w:rsidR="00552CAE">
        <w:rPr>
          <w:rFonts w:ascii="Arial" w:hAnsi="Arial"/>
          <w:sz w:val="22"/>
        </w:rPr>
        <w:t xml:space="preserve"> and provide a total of 59 voluntary responses</w:t>
      </w:r>
      <w:r w:rsidR="00552CAE" w:rsidRPr="00552CAE">
        <w:rPr>
          <w:rFonts w:ascii="Arial" w:hAnsi="Arial"/>
          <w:sz w:val="22"/>
        </w:rPr>
        <w:t xml:space="preserve"> </w:t>
      </w:r>
      <w:r w:rsidR="00552CAE">
        <w:rPr>
          <w:rFonts w:ascii="Arial" w:hAnsi="Arial"/>
          <w:sz w:val="22"/>
        </w:rPr>
        <w:t xml:space="preserve">to NRC’s information requests pertaining to the status of their uranium recovery and/or complex sites undergoing decommissioning.  </w:t>
      </w:r>
      <w:r w:rsidR="00EE0DB4">
        <w:rPr>
          <w:rFonts w:ascii="Arial" w:hAnsi="Arial"/>
          <w:sz w:val="22"/>
        </w:rPr>
        <w:t>It is estimated that t</w:t>
      </w:r>
      <w:r w:rsidR="00552CAE">
        <w:rPr>
          <w:rFonts w:ascii="Arial" w:hAnsi="Arial"/>
          <w:sz w:val="22"/>
        </w:rPr>
        <w:t>he average number of responses is 4.5 for each of the 13 respondents</w:t>
      </w:r>
      <w:r w:rsidR="00EE0DB4">
        <w:rPr>
          <w:rFonts w:ascii="Arial" w:hAnsi="Arial"/>
          <w:sz w:val="22"/>
        </w:rPr>
        <w:t xml:space="preserve"> (13 agreement states)</w:t>
      </w:r>
      <w:r w:rsidR="008F1A58">
        <w:rPr>
          <w:rFonts w:ascii="Arial" w:hAnsi="Arial"/>
          <w:sz w:val="22"/>
        </w:rPr>
        <w:t>.</w:t>
      </w:r>
    </w:p>
    <w:p w:rsidR="006F6395" w:rsidRDefault="006F6395" w:rsidP="006F6395">
      <w:pPr>
        <w:rPr>
          <w:rFonts w:ascii="Arial" w:hAnsi="Arial"/>
          <w:sz w:val="22"/>
        </w:rPr>
      </w:pPr>
      <w:r>
        <w:rPr>
          <w:rFonts w:ascii="Arial" w:hAnsi="Arial"/>
          <w:sz w:val="22"/>
        </w:rPr>
        <w:tab/>
      </w:r>
      <w:r>
        <w:rPr>
          <w:rFonts w:ascii="Arial" w:hAnsi="Arial"/>
          <w:sz w:val="22"/>
        </w:rPr>
        <w:tab/>
      </w:r>
    </w:p>
    <w:p w:rsidR="006F6395" w:rsidRDefault="006F6395" w:rsidP="006F6395">
      <w:pPr>
        <w:ind w:left="1440"/>
        <w:rPr>
          <w:rFonts w:ascii="Arial" w:hAnsi="Arial"/>
          <w:sz w:val="22"/>
        </w:rPr>
      </w:pPr>
      <w:r>
        <w:rPr>
          <w:rFonts w:ascii="Arial" w:hAnsi="Arial"/>
          <w:sz w:val="22"/>
        </w:rPr>
        <w:t xml:space="preserve">The average </w:t>
      </w:r>
      <w:r w:rsidR="00552CAE">
        <w:rPr>
          <w:rFonts w:ascii="Arial" w:hAnsi="Arial"/>
          <w:sz w:val="22"/>
        </w:rPr>
        <w:t xml:space="preserve">annual burden to provide the voluntary responses to the NRC is 10 hours for each of the </w:t>
      </w:r>
      <w:r w:rsidR="001163C6">
        <w:rPr>
          <w:rFonts w:ascii="Arial" w:hAnsi="Arial"/>
          <w:sz w:val="22"/>
        </w:rPr>
        <w:t>59 sites of interest, which are loca</w:t>
      </w:r>
      <w:r w:rsidR="008F1A58">
        <w:rPr>
          <w:rFonts w:ascii="Arial" w:hAnsi="Arial"/>
          <w:sz w:val="22"/>
        </w:rPr>
        <w:t>ted in the 13 Agreement States</w:t>
      </w:r>
      <w:r w:rsidR="00552CAE">
        <w:rPr>
          <w:rFonts w:ascii="Arial" w:hAnsi="Arial"/>
          <w:sz w:val="22"/>
        </w:rPr>
        <w:t xml:space="preserve">.  The total </w:t>
      </w:r>
      <w:r w:rsidR="00D86024">
        <w:rPr>
          <w:rFonts w:ascii="Arial" w:hAnsi="Arial"/>
          <w:sz w:val="22"/>
        </w:rPr>
        <w:t xml:space="preserve">annual </w:t>
      </w:r>
      <w:r w:rsidR="00552CAE">
        <w:rPr>
          <w:rFonts w:ascii="Arial" w:hAnsi="Arial"/>
          <w:sz w:val="22"/>
        </w:rPr>
        <w:t xml:space="preserve">burden </w:t>
      </w:r>
      <w:r w:rsidR="00096BB9">
        <w:rPr>
          <w:rFonts w:ascii="Arial" w:hAnsi="Arial"/>
          <w:sz w:val="22"/>
        </w:rPr>
        <w:t>for</w:t>
      </w:r>
      <w:r w:rsidR="00552CAE">
        <w:rPr>
          <w:rFonts w:ascii="Arial" w:hAnsi="Arial"/>
          <w:sz w:val="22"/>
        </w:rPr>
        <w:t xml:space="preserve"> </w:t>
      </w:r>
      <w:r>
        <w:rPr>
          <w:rFonts w:ascii="Arial" w:hAnsi="Arial"/>
          <w:sz w:val="22"/>
        </w:rPr>
        <w:t xml:space="preserve">the 13 </w:t>
      </w:r>
      <w:r w:rsidR="001163C6">
        <w:rPr>
          <w:rFonts w:ascii="Arial" w:hAnsi="Arial"/>
          <w:sz w:val="22"/>
        </w:rPr>
        <w:t xml:space="preserve">Agreement States </w:t>
      </w:r>
      <w:r w:rsidR="00552CAE">
        <w:rPr>
          <w:rFonts w:ascii="Arial" w:hAnsi="Arial"/>
          <w:sz w:val="22"/>
        </w:rPr>
        <w:t>respondent</w:t>
      </w:r>
      <w:r>
        <w:rPr>
          <w:rFonts w:ascii="Arial" w:hAnsi="Arial"/>
          <w:sz w:val="22"/>
        </w:rPr>
        <w:t xml:space="preserve">s with uranium recovery and/or complex sites will spend on these requests </w:t>
      </w:r>
      <w:r w:rsidR="00111339">
        <w:rPr>
          <w:rFonts w:ascii="Arial" w:hAnsi="Arial"/>
          <w:sz w:val="22"/>
        </w:rPr>
        <w:t xml:space="preserve">is 590 hours </w:t>
      </w:r>
      <w:r>
        <w:rPr>
          <w:rFonts w:ascii="Arial" w:hAnsi="Arial"/>
          <w:sz w:val="22"/>
        </w:rPr>
        <w:t xml:space="preserve">(59 </w:t>
      </w:r>
      <w:r w:rsidR="00111339">
        <w:rPr>
          <w:rFonts w:ascii="Arial" w:hAnsi="Arial"/>
          <w:sz w:val="22"/>
        </w:rPr>
        <w:t>responses x</w:t>
      </w:r>
      <w:r>
        <w:rPr>
          <w:rFonts w:ascii="Arial" w:hAnsi="Arial"/>
          <w:sz w:val="22"/>
        </w:rPr>
        <w:t xml:space="preserve"> 10 hours).</w:t>
      </w:r>
    </w:p>
    <w:p w:rsidR="00C443DE" w:rsidRDefault="00C443DE" w:rsidP="006F6395">
      <w:pPr>
        <w:ind w:left="1440"/>
        <w:rPr>
          <w:rFonts w:ascii="Arial" w:hAnsi="Arial"/>
          <w:sz w:val="22"/>
        </w:rPr>
      </w:pPr>
    </w:p>
    <w:p w:rsidR="00C443DE" w:rsidRDefault="00C443DE" w:rsidP="006F6395">
      <w:pPr>
        <w:ind w:left="1440"/>
        <w:rPr>
          <w:rFonts w:ascii="Arial" w:hAnsi="Arial"/>
          <w:sz w:val="22"/>
        </w:rPr>
      </w:pPr>
    </w:p>
    <w:p w:rsidR="00871E68" w:rsidRDefault="00871E68" w:rsidP="006F6395">
      <w:pPr>
        <w:ind w:left="1440"/>
        <w:rPr>
          <w:rFonts w:ascii="Arial" w:hAnsi="Arial"/>
          <w:sz w:val="22"/>
        </w:rPr>
      </w:pPr>
    </w:p>
    <w:tbl>
      <w:tblPr>
        <w:tblW w:w="8636" w:type="dxa"/>
        <w:tblInd w:w="719" w:type="dxa"/>
        <w:tblBorders>
          <w:top w:val="nil"/>
          <w:left w:val="nil"/>
          <w:bottom w:val="nil"/>
          <w:right w:val="nil"/>
          <w:insideH w:val="nil"/>
          <w:insideV w:val="nil"/>
        </w:tblBorders>
        <w:tblLayout w:type="fixed"/>
        <w:tblCellMar>
          <w:left w:w="62" w:type="dxa"/>
          <w:right w:w="62" w:type="dxa"/>
        </w:tblCellMar>
        <w:tblLook w:val="0000"/>
      </w:tblPr>
      <w:tblGrid>
        <w:gridCol w:w="1596"/>
        <w:gridCol w:w="1596"/>
        <w:gridCol w:w="1314"/>
        <w:gridCol w:w="1220"/>
        <w:gridCol w:w="1314"/>
        <w:gridCol w:w="1596"/>
      </w:tblGrid>
      <w:tr w:rsidR="00111339" w:rsidTr="00111339">
        <w:trPr>
          <w:cantSplit/>
          <w:trHeight w:val="791"/>
          <w:tblHeader/>
        </w:trPr>
        <w:tc>
          <w:tcPr>
            <w:tcW w:w="1596" w:type="dxa"/>
            <w:tcBorders>
              <w:top w:val="double" w:sz="8" w:space="0" w:color="000000"/>
              <w:left w:val="double" w:sz="8" w:space="0" w:color="000000"/>
              <w:bottom w:val="double" w:sz="8" w:space="0" w:color="000000"/>
              <w:right w:val="single" w:sz="8" w:space="0" w:color="000000"/>
            </w:tcBorders>
            <w:shd w:val="pct5" w:color="000000" w:fill="auto"/>
          </w:tcPr>
          <w:p w:rsidR="00111339" w:rsidRDefault="00111339" w:rsidP="00552CAE">
            <w:pPr>
              <w:jc w:val="center"/>
              <w:rPr>
                <w:rFonts w:ascii="Arial" w:hAnsi="Arial"/>
                <w:sz w:val="16"/>
              </w:rPr>
            </w:pPr>
            <w:r>
              <w:rPr>
                <w:rFonts w:ascii="Arial" w:hAnsi="Arial"/>
                <w:sz w:val="16"/>
              </w:rPr>
              <w:lastRenderedPageBreak/>
              <w:t>STATES WITH SITES OF INTEREST</w:t>
            </w:r>
          </w:p>
        </w:tc>
        <w:tc>
          <w:tcPr>
            <w:tcW w:w="1596" w:type="dxa"/>
            <w:tcBorders>
              <w:top w:val="double" w:sz="8" w:space="0" w:color="000000"/>
              <w:left w:val="single" w:sz="8" w:space="0" w:color="000000"/>
              <w:bottom w:val="double" w:sz="8" w:space="0" w:color="000000"/>
              <w:right w:val="single" w:sz="8" w:space="0" w:color="000000"/>
            </w:tcBorders>
            <w:shd w:val="pct5" w:color="000000" w:fill="auto"/>
          </w:tcPr>
          <w:p w:rsidR="00111339" w:rsidRDefault="00111339" w:rsidP="00552CAE">
            <w:pPr>
              <w:jc w:val="center"/>
              <w:rPr>
                <w:rFonts w:ascii="Arial" w:hAnsi="Arial"/>
                <w:sz w:val="16"/>
              </w:rPr>
            </w:pPr>
            <w:r>
              <w:rPr>
                <w:rFonts w:ascii="Arial" w:hAnsi="Arial"/>
                <w:sz w:val="16"/>
              </w:rPr>
              <w:t>NO. OF RESPONDENTS</w:t>
            </w:r>
          </w:p>
        </w:tc>
        <w:tc>
          <w:tcPr>
            <w:tcW w:w="1314" w:type="dxa"/>
            <w:tcBorders>
              <w:top w:val="double" w:sz="8" w:space="0" w:color="000000"/>
              <w:left w:val="single" w:sz="8" w:space="0" w:color="000000"/>
              <w:bottom w:val="double" w:sz="8" w:space="0" w:color="000000"/>
              <w:right w:val="single" w:sz="8" w:space="0" w:color="000000"/>
            </w:tcBorders>
            <w:shd w:val="pct5" w:color="000000" w:fill="auto"/>
          </w:tcPr>
          <w:p w:rsidR="00111339" w:rsidRDefault="00111339" w:rsidP="00552CAE">
            <w:pPr>
              <w:jc w:val="center"/>
              <w:rPr>
                <w:rFonts w:ascii="Arial" w:hAnsi="Arial"/>
                <w:sz w:val="16"/>
              </w:rPr>
            </w:pPr>
            <w:r>
              <w:rPr>
                <w:rFonts w:ascii="Arial" w:hAnsi="Arial"/>
                <w:sz w:val="16"/>
              </w:rPr>
              <w:t>AVERAGE</w:t>
            </w:r>
          </w:p>
          <w:p w:rsidR="00111339" w:rsidRDefault="00111339" w:rsidP="00552CAE">
            <w:pPr>
              <w:jc w:val="center"/>
              <w:rPr>
                <w:rFonts w:ascii="Arial" w:hAnsi="Arial"/>
                <w:sz w:val="16"/>
              </w:rPr>
            </w:pPr>
            <w:r>
              <w:rPr>
                <w:rFonts w:ascii="Arial" w:hAnsi="Arial"/>
                <w:sz w:val="16"/>
              </w:rPr>
              <w:t>RESPONSES PER RESPONDENT</w:t>
            </w:r>
          </w:p>
        </w:tc>
        <w:tc>
          <w:tcPr>
            <w:tcW w:w="1220" w:type="dxa"/>
            <w:tcBorders>
              <w:top w:val="double" w:sz="8" w:space="0" w:color="000000"/>
              <w:left w:val="single" w:sz="8" w:space="0" w:color="000000"/>
              <w:bottom w:val="double" w:sz="8" w:space="0" w:color="000000"/>
              <w:right w:val="single" w:sz="8" w:space="0" w:color="000000"/>
            </w:tcBorders>
            <w:shd w:val="pct5" w:color="000000" w:fill="auto"/>
          </w:tcPr>
          <w:p w:rsidR="00111339" w:rsidRDefault="00111339" w:rsidP="008F1A58">
            <w:pPr>
              <w:jc w:val="center"/>
              <w:rPr>
                <w:rFonts w:ascii="Arial" w:hAnsi="Arial"/>
                <w:sz w:val="16"/>
              </w:rPr>
            </w:pPr>
            <w:r>
              <w:rPr>
                <w:rFonts w:ascii="Arial" w:hAnsi="Arial"/>
                <w:sz w:val="16"/>
              </w:rPr>
              <w:t>TOTAL RESPONSES</w:t>
            </w:r>
            <w:r w:rsidR="008F1A58">
              <w:rPr>
                <w:rFonts w:ascii="Arial" w:hAnsi="Arial"/>
                <w:sz w:val="16"/>
              </w:rPr>
              <w:t xml:space="preserve"> (number of sites)</w:t>
            </w:r>
          </w:p>
        </w:tc>
        <w:tc>
          <w:tcPr>
            <w:tcW w:w="1314" w:type="dxa"/>
            <w:tcBorders>
              <w:top w:val="double" w:sz="8" w:space="0" w:color="000000"/>
              <w:left w:val="single" w:sz="8" w:space="0" w:color="000000"/>
              <w:bottom w:val="double" w:sz="8" w:space="0" w:color="000000"/>
              <w:right w:val="single" w:sz="8" w:space="0" w:color="000000"/>
            </w:tcBorders>
            <w:shd w:val="pct5" w:color="000000" w:fill="auto"/>
            <w:tcMar>
              <w:top w:w="157" w:type="dxa"/>
              <w:left w:w="120" w:type="dxa"/>
              <w:bottom w:w="110" w:type="dxa"/>
              <w:right w:w="62" w:type="dxa"/>
            </w:tcMar>
          </w:tcPr>
          <w:p w:rsidR="00111339" w:rsidRDefault="00111339" w:rsidP="00552CAE">
            <w:pPr>
              <w:jc w:val="center"/>
              <w:rPr>
                <w:rFonts w:ascii="Arial" w:hAnsi="Arial"/>
                <w:sz w:val="16"/>
              </w:rPr>
            </w:pPr>
            <w:r>
              <w:rPr>
                <w:rFonts w:ascii="Arial" w:hAnsi="Arial"/>
                <w:sz w:val="16"/>
              </w:rPr>
              <w:t>ANNUAL BURDEN PER RESPONSE</w:t>
            </w:r>
          </w:p>
          <w:p w:rsidR="00111339" w:rsidRDefault="00111339" w:rsidP="00552CAE">
            <w:pPr>
              <w:jc w:val="center"/>
              <w:rPr>
                <w:rFonts w:ascii="Arial" w:hAnsi="Arial"/>
                <w:sz w:val="16"/>
              </w:rPr>
            </w:pPr>
            <w:r>
              <w:rPr>
                <w:rFonts w:ascii="Arial" w:hAnsi="Arial"/>
                <w:sz w:val="16"/>
              </w:rPr>
              <w:t>(hours)</w:t>
            </w:r>
          </w:p>
        </w:tc>
        <w:tc>
          <w:tcPr>
            <w:tcW w:w="1596" w:type="dxa"/>
            <w:tcBorders>
              <w:top w:val="double" w:sz="8" w:space="0" w:color="000000"/>
              <w:left w:val="single" w:sz="8" w:space="0" w:color="000000"/>
              <w:bottom w:val="double" w:sz="8" w:space="0" w:color="000000"/>
              <w:right w:val="single" w:sz="8" w:space="0" w:color="000000"/>
            </w:tcBorders>
            <w:shd w:val="pct5" w:color="000000" w:fill="auto"/>
            <w:tcMar>
              <w:top w:w="157" w:type="dxa"/>
              <w:left w:w="82" w:type="dxa"/>
              <w:bottom w:w="110" w:type="dxa"/>
              <w:right w:w="62" w:type="dxa"/>
            </w:tcMar>
          </w:tcPr>
          <w:p w:rsidR="00111339" w:rsidRDefault="00111339" w:rsidP="00552CAE">
            <w:pPr>
              <w:jc w:val="center"/>
              <w:rPr>
                <w:rFonts w:ascii="Arial" w:hAnsi="Arial"/>
                <w:sz w:val="16"/>
              </w:rPr>
            </w:pPr>
            <w:r>
              <w:rPr>
                <w:rFonts w:ascii="Arial" w:hAnsi="Arial"/>
                <w:sz w:val="16"/>
              </w:rPr>
              <w:t>TOTAL ANNUAL BURDEN</w:t>
            </w:r>
          </w:p>
          <w:p w:rsidR="00111339" w:rsidRDefault="00111339" w:rsidP="00552CAE">
            <w:pPr>
              <w:jc w:val="center"/>
              <w:rPr>
                <w:rFonts w:ascii="Arial" w:hAnsi="Arial"/>
                <w:sz w:val="16"/>
              </w:rPr>
            </w:pPr>
            <w:r>
              <w:rPr>
                <w:rFonts w:ascii="Arial" w:hAnsi="Arial"/>
                <w:sz w:val="16"/>
              </w:rPr>
              <w:t>(hours)</w:t>
            </w:r>
          </w:p>
        </w:tc>
      </w:tr>
      <w:tr w:rsidR="00111339" w:rsidTr="00111339">
        <w:trPr>
          <w:cantSplit/>
          <w:trHeight w:val="291"/>
        </w:trPr>
        <w:tc>
          <w:tcPr>
            <w:tcW w:w="1596" w:type="dxa"/>
            <w:tcBorders>
              <w:top w:val="single" w:sz="8" w:space="0" w:color="000000"/>
              <w:left w:val="double" w:sz="8" w:space="0" w:color="000000"/>
              <w:bottom w:val="double" w:sz="8" w:space="0" w:color="000000"/>
              <w:right w:val="single" w:sz="8" w:space="0" w:color="000000"/>
            </w:tcBorders>
          </w:tcPr>
          <w:p w:rsidR="00111339" w:rsidRDefault="00111339" w:rsidP="00552CAE">
            <w:pPr>
              <w:jc w:val="center"/>
              <w:rPr>
                <w:rFonts w:ascii="Arial" w:hAnsi="Arial"/>
                <w:sz w:val="16"/>
              </w:rPr>
            </w:pPr>
            <w:r>
              <w:rPr>
                <w:rFonts w:ascii="Arial" w:hAnsi="Arial"/>
                <w:sz w:val="16"/>
              </w:rPr>
              <w:t>Agreement States with Sites of Interest</w:t>
            </w:r>
          </w:p>
        </w:tc>
        <w:tc>
          <w:tcPr>
            <w:tcW w:w="1596" w:type="dxa"/>
            <w:tcBorders>
              <w:top w:val="single" w:sz="8" w:space="0" w:color="000000"/>
              <w:left w:val="single" w:sz="8" w:space="0" w:color="000000"/>
              <w:bottom w:val="double" w:sz="8" w:space="0" w:color="000000"/>
              <w:right w:val="single" w:sz="8" w:space="0" w:color="000000"/>
            </w:tcBorders>
          </w:tcPr>
          <w:p w:rsidR="00111339" w:rsidRDefault="00111339" w:rsidP="00552CAE">
            <w:pPr>
              <w:jc w:val="center"/>
              <w:rPr>
                <w:rFonts w:ascii="Arial" w:hAnsi="Arial"/>
                <w:sz w:val="16"/>
              </w:rPr>
            </w:pPr>
            <w:r>
              <w:rPr>
                <w:rFonts w:ascii="Arial" w:hAnsi="Arial"/>
                <w:sz w:val="16"/>
              </w:rPr>
              <w:t>13</w:t>
            </w:r>
          </w:p>
        </w:tc>
        <w:tc>
          <w:tcPr>
            <w:tcW w:w="1314" w:type="dxa"/>
            <w:tcBorders>
              <w:top w:val="single" w:sz="8" w:space="0" w:color="000000"/>
              <w:left w:val="single" w:sz="8" w:space="0" w:color="000000"/>
              <w:bottom w:val="double" w:sz="8" w:space="0" w:color="000000"/>
              <w:right w:val="single" w:sz="8" w:space="0" w:color="000000"/>
            </w:tcBorders>
          </w:tcPr>
          <w:p w:rsidR="00111339" w:rsidRDefault="00111339" w:rsidP="00552CAE">
            <w:pPr>
              <w:jc w:val="center"/>
              <w:rPr>
                <w:rFonts w:ascii="Arial" w:hAnsi="Arial"/>
                <w:sz w:val="16"/>
              </w:rPr>
            </w:pPr>
            <w:r>
              <w:rPr>
                <w:rFonts w:ascii="Arial" w:hAnsi="Arial"/>
                <w:sz w:val="16"/>
              </w:rPr>
              <w:t>4.5</w:t>
            </w:r>
          </w:p>
        </w:tc>
        <w:tc>
          <w:tcPr>
            <w:tcW w:w="1220" w:type="dxa"/>
            <w:tcBorders>
              <w:top w:val="single" w:sz="8" w:space="0" w:color="000000"/>
              <w:left w:val="single" w:sz="8" w:space="0" w:color="000000"/>
              <w:bottom w:val="double" w:sz="8" w:space="0" w:color="000000"/>
              <w:right w:val="single" w:sz="8" w:space="0" w:color="000000"/>
            </w:tcBorders>
          </w:tcPr>
          <w:p w:rsidR="00111339" w:rsidRDefault="00111339" w:rsidP="00552CAE">
            <w:pPr>
              <w:jc w:val="center"/>
              <w:rPr>
                <w:rFonts w:ascii="Arial" w:hAnsi="Arial"/>
                <w:sz w:val="16"/>
              </w:rPr>
            </w:pPr>
            <w:r>
              <w:rPr>
                <w:rFonts w:ascii="Arial" w:hAnsi="Arial"/>
                <w:sz w:val="16"/>
              </w:rPr>
              <w:t>59</w:t>
            </w:r>
          </w:p>
        </w:tc>
        <w:tc>
          <w:tcPr>
            <w:tcW w:w="1314" w:type="dxa"/>
            <w:tcBorders>
              <w:top w:val="single" w:sz="8" w:space="0" w:color="000000"/>
              <w:left w:val="single" w:sz="8" w:space="0" w:color="000000"/>
              <w:bottom w:val="double" w:sz="8" w:space="0" w:color="000000"/>
              <w:right w:val="single" w:sz="8" w:space="0" w:color="000000"/>
            </w:tcBorders>
            <w:tcMar>
              <w:top w:w="119" w:type="dxa"/>
              <w:left w:w="120" w:type="dxa"/>
              <w:bottom w:w="53" w:type="dxa"/>
              <w:right w:w="62" w:type="dxa"/>
            </w:tcMar>
          </w:tcPr>
          <w:p w:rsidR="00111339" w:rsidRDefault="00111339" w:rsidP="00552CAE">
            <w:pPr>
              <w:jc w:val="center"/>
              <w:rPr>
                <w:rFonts w:ascii="Arial" w:hAnsi="Arial"/>
                <w:sz w:val="16"/>
              </w:rPr>
            </w:pPr>
            <w:r>
              <w:rPr>
                <w:rFonts w:ascii="Arial" w:hAnsi="Arial"/>
                <w:sz w:val="16"/>
              </w:rPr>
              <w:t>10</w:t>
            </w:r>
          </w:p>
        </w:tc>
        <w:tc>
          <w:tcPr>
            <w:tcW w:w="1596" w:type="dxa"/>
            <w:tcBorders>
              <w:top w:val="single" w:sz="8" w:space="0" w:color="000000"/>
              <w:left w:val="single" w:sz="8" w:space="0" w:color="000000"/>
              <w:bottom w:val="double" w:sz="8" w:space="0" w:color="000000"/>
              <w:right w:val="single" w:sz="8" w:space="0" w:color="000000"/>
            </w:tcBorders>
            <w:tcMar>
              <w:top w:w="119" w:type="dxa"/>
              <w:left w:w="82" w:type="dxa"/>
              <w:bottom w:w="53" w:type="dxa"/>
              <w:right w:w="62" w:type="dxa"/>
            </w:tcMar>
          </w:tcPr>
          <w:p w:rsidR="00111339" w:rsidRDefault="00111339" w:rsidP="00552CAE">
            <w:pPr>
              <w:jc w:val="center"/>
              <w:rPr>
                <w:rFonts w:ascii="Arial" w:hAnsi="Arial"/>
                <w:sz w:val="16"/>
              </w:rPr>
            </w:pPr>
            <w:r>
              <w:rPr>
                <w:rFonts w:ascii="Arial" w:hAnsi="Arial"/>
                <w:sz w:val="16"/>
              </w:rPr>
              <w:t>590</w:t>
            </w:r>
          </w:p>
        </w:tc>
      </w:tr>
    </w:tbl>
    <w:p w:rsidR="008376DC" w:rsidRDefault="008376DC" w:rsidP="006F6395">
      <w:pPr>
        <w:ind w:left="1440"/>
        <w:rPr>
          <w:rFonts w:ascii="Arial" w:hAnsi="Arial"/>
          <w:sz w:val="22"/>
        </w:rPr>
      </w:pPr>
    </w:p>
    <w:p w:rsidR="00C443DE" w:rsidRDefault="00C443DE" w:rsidP="00111339">
      <w:pPr>
        <w:ind w:left="1440"/>
        <w:rPr>
          <w:rFonts w:ascii="Arial" w:hAnsi="Arial"/>
          <w:sz w:val="22"/>
        </w:rPr>
      </w:pPr>
    </w:p>
    <w:p w:rsidR="00111339" w:rsidRDefault="00111339" w:rsidP="00111339">
      <w:pPr>
        <w:ind w:left="1440"/>
        <w:rPr>
          <w:rFonts w:ascii="Arial" w:hAnsi="Arial"/>
          <w:sz w:val="22"/>
        </w:rPr>
      </w:pPr>
      <w:r>
        <w:rPr>
          <w:rFonts w:ascii="Arial" w:hAnsi="Arial"/>
          <w:sz w:val="22"/>
        </w:rPr>
        <w:t xml:space="preserve">It is estimated that 24 respondents from the 37 Agreement States will have no sites of interest, which will result in one (1) response for </w:t>
      </w:r>
      <w:r w:rsidR="007F25A8">
        <w:rPr>
          <w:rFonts w:ascii="Arial" w:hAnsi="Arial"/>
          <w:sz w:val="22"/>
        </w:rPr>
        <w:t xml:space="preserve">each </w:t>
      </w:r>
      <w:r>
        <w:rPr>
          <w:rFonts w:ascii="Arial" w:hAnsi="Arial"/>
          <w:sz w:val="22"/>
        </w:rPr>
        <w:t xml:space="preserve">respondent.  </w:t>
      </w:r>
      <w:r w:rsidR="006F6395">
        <w:rPr>
          <w:rFonts w:ascii="Arial" w:hAnsi="Arial"/>
          <w:sz w:val="22"/>
        </w:rPr>
        <w:t xml:space="preserve">The </w:t>
      </w:r>
      <w:r>
        <w:rPr>
          <w:rFonts w:ascii="Arial" w:hAnsi="Arial"/>
          <w:sz w:val="22"/>
        </w:rPr>
        <w:t xml:space="preserve">average annual burden to </w:t>
      </w:r>
      <w:r w:rsidR="00121B78">
        <w:rPr>
          <w:rFonts w:ascii="Arial" w:hAnsi="Arial"/>
          <w:sz w:val="22"/>
        </w:rPr>
        <w:t>verify</w:t>
      </w:r>
      <w:r w:rsidR="006F6395">
        <w:rPr>
          <w:rFonts w:ascii="Arial" w:hAnsi="Arial"/>
          <w:sz w:val="22"/>
        </w:rPr>
        <w:t xml:space="preserve"> whether they have any uranium recovery and/or complex sites under their purview</w:t>
      </w:r>
      <w:r w:rsidRPr="00111339">
        <w:rPr>
          <w:rFonts w:ascii="Arial" w:hAnsi="Arial"/>
          <w:sz w:val="22"/>
        </w:rPr>
        <w:t xml:space="preserve"> </w:t>
      </w:r>
      <w:r>
        <w:rPr>
          <w:rFonts w:ascii="Arial" w:hAnsi="Arial"/>
          <w:sz w:val="22"/>
        </w:rPr>
        <w:t>is 3 hours by the 24 respondents</w:t>
      </w:r>
      <w:r w:rsidR="008F1A58">
        <w:rPr>
          <w:rFonts w:ascii="Arial" w:hAnsi="Arial"/>
          <w:sz w:val="22"/>
        </w:rPr>
        <w:t>.</w:t>
      </w:r>
    </w:p>
    <w:p w:rsidR="00111339" w:rsidRDefault="00111339" w:rsidP="00111339">
      <w:pPr>
        <w:rPr>
          <w:rFonts w:ascii="Arial" w:hAnsi="Arial"/>
          <w:sz w:val="22"/>
        </w:rPr>
      </w:pPr>
      <w:r>
        <w:rPr>
          <w:rFonts w:ascii="Arial" w:hAnsi="Arial"/>
          <w:sz w:val="22"/>
        </w:rPr>
        <w:tab/>
      </w:r>
      <w:r>
        <w:rPr>
          <w:rFonts w:ascii="Arial" w:hAnsi="Arial"/>
          <w:sz w:val="22"/>
        </w:rPr>
        <w:tab/>
      </w:r>
    </w:p>
    <w:p w:rsidR="008376DC" w:rsidRDefault="00111339" w:rsidP="008376DC">
      <w:pPr>
        <w:ind w:left="1440"/>
        <w:rPr>
          <w:rFonts w:ascii="Arial" w:hAnsi="Arial"/>
          <w:sz w:val="22"/>
        </w:rPr>
      </w:pPr>
      <w:r>
        <w:rPr>
          <w:rFonts w:ascii="Arial" w:hAnsi="Arial"/>
          <w:sz w:val="22"/>
        </w:rPr>
        <w:t xml:space="preserve">The total burden </w:t>
      </w:r>
      <w:r w:rsidR="00096BB9">
        <w:rPr>
          <w:rFonts w:ascii="Arial" w:hAnsi="Arial"/>
          <w:sz w:val="22"/>
        </w:rPr>
        <w:t>for</w:t>
      </w:r>
      <w:r>
        <w:rPr>
          <w:rFonts w:ascii="Arial" w:hAnsi="Arial"/>
          <w:sz w:val="22"/>
        </w:rPr>
        <w:t xml:space="preserve"> the </w:t>
      </w:r>
      <w:r w:rsidR="00096BB9">
        <w:rPr>
          <w:rFonts w:ascii="Arial" w:hAnsi="Arial"/>
          <w:sz w:val="22"/>
        </w:rPr>
        <w:t>24</w:t>
      </w:r>
      <w:r>
        <w:rPr>
          <w:rFonts w:ascii="Arial" w:hAnsi="Arial"/>
          <w:sz w:val="22"/>
        </w:rPr>
        <w:t xml:space="preserve"> respondents with </w:t>
      </w:r>
      <w:r w:rsidR="00096BB9">
        <w:rPr>
          <w:rFonts w:ascii="Arial" w:hAnsi="Arial"/>
          <w:sz w:val="22"/>
        </w:rPr>
        <w:t xml:space="preserve">no site of interest is </w:t>
      </w:r>
      <w:r w:rsidR="006F6395">
        <w:rPr>
          <w:rFonts w:ascii="Arial" w:hAnsi="Arial"/>
          <w:sz w:val="22"/>
        </w:rPr>
        <w:t xml:space="preserve">72 hours (24 </w:t>
      </w:r>
      <w:r w:rsidR="00096BB9">
        <w:rPr>
          <w:rFonts w:ascii="Arial" w:hAnsi="Arial"/>
          <w:sz w:val="22"/>
        </w:rPr>
        <w:t>respondents</w:t>
      </w:r>
      <w:r w:rsidR="006F6395">
        <w:rPr>
          <w:rFonts w:ascii="Arial" w:hAnsi="Arial"/>
          <w:sz w:val="22"/>
        </w:rPr>
        <w:t xml:space="preserve"> with no sites of interest x 3 hours)</w:t>
      </w:r>
      <w:r w:rsidR="00121B78">
        <w:rPr>
          <w:rFonts w:ascii="Arial" w:hAnsi="Arial"/>
          <w:sz w:val="22"/>
        </w:rPr>
        <w:t>.</w:t>
      </w:r>
    </w:p>
    <w:p w:rsidR="006F6395" w:rsidRDefault="006F6395" w:rsidP="006F6395">
      <w:pPr>
        <w:rPr>
          <w:rFonts w:ascii="Arial" w:hAnsi="Arial"/>
          <w:sz w:val="22"/>
        </w:rPr>
      </w:pPr>
      <w:r>
        <w:rPr>
          <w:rFonts w:ascii="Arial" w:hAnsi="Arial"/>
          <w:sz w:val="22"/>
        </w:rPr>
        <w:tab/>
      </w:r>
      <w:r>
        <w:rPr>
          <w:rFonts w:ascii="Arial" w:hAnsi="Arial"/>
          <w:sz w:val="22"/>
        </w:rPr>
        <w:tab/>
      </w:r>
    </w:p>
    <w:tbl>
      <w:tblPr>
        <w:tblW w:w="8669" w:type="dxa"/>
        <w:tblInd w:w="689" w:type="dxa"/>
        <w:tblBorders>
          <w:top w:val="nil"/>
          <w:left w:val="nil"/>
          <w:bottom w:val="nil"/>
          <w:right w:val="nil"/>
          <w:insideH w:val="nil"/>
          <w:insideV w:val="nil"/>
        </w:tblBorders>
        <w:tblLayout w:type="fixed"/>
        <w:tblCellMar>
          <w:left w:w="62" w:type="dxa"/>
          <w:right w:w="62" w:type="dxa"/>
        </w:tblCellMar>
        <w:tblLook w:val="0000"/>
      </w:tblPr>
      <w:tblGrid>
        <w:gridCol w:w="1602"/>
        <w:gridCol w:w="1602"/>
        <w:gridCol w:w="1319"/>
        <w:gridCol w:w="1225"/>
        <w:gridCol w:w="1319"/>
        <w:gridCol w:w="1602"/>
      </w:tblGrid>
      <w:tr w:rsidR="00111339" w:rsidTr="00111339">
        <w:trPr>
          <w:cantSplit/>
          <w:trHeight w:val="883"/>
          <w:tblHeader/>
        </w:trPr>
        <w:tc>
          <w:tcPr>
            <w:tcW w:w="1602" w:type="dxa"/>
            <w:tcBorders>
              <w:top w:val="double" w:sz="8" w:space="0" w:color="000000"/>
              <w:left w:val="double" w:sz="8" w:space="0" w:color="000000"/>
              <w:bottom w:val="double" w:sz="8" w:space="0" w:color="000000"/>
              <w:right w:val="single" w:sz="8" w:space="0" w:color="000000"/>
            </w:tcBorders>
            <w:shd w:val="pct5" w:color="000000" w:fill="auto"/>
          </w:tcPr>
          <w:p w:rsidR="00111339" w:rsidRDefault="00111339" w:rsidP="00552CAE">
            <w:pPr>
              <w:jc w:val="center"/>
              <w:rPr>
                <w:rFonts w:ascii="Arial" w:hAnsi="Arial"/>
                <w:sz w:val="16"/>
              </w:rPr>
            </w:pPr>
            <w:r>
              <w:rPr>
                <w:rFonts w:ascii="Arial" w:hAnsi="Arial"/>
                <w:sz w:val="16"/>
              </w:rPr>
              <w:t>STATES WITH NO SITES OF INTEREST</w:t>
            </w:r>
          </w:p>
        </w:tc>
        <w:tc>
          <w:tcPr>
            <w:tcW w:w="1602" w:type="dxa"/>
            <w:tcBorders>
              <w:top w:val="double" w:sz="8" w:space="0" w:color="000000"/>
              <w:left w:val="single" w:sz="8" w:space="0" w:color="000000"/>
              <w:bottom w:val="double" w:sz="8" w:space="0" w:color="000000"/>
              <w:right w:val="single" w:sz="8" w:space="0" w:color="000000"/>
            </w:tcBorders>
            <w:shd w:val="pct5" w:color="000000" w:fill="auto"/>
          </w:tcPr>
          <w:p w:rsidR="00111339" w:rsidRDefault="00111339" w:rsidP="00552CAE">
            <w:pPr>
              <w:jc w:val="center"/>
              <w:rPr>
                <w:rFonts w:ascii="Arial" w:hAnsi="Arial"/>
                <w:sz w:val="16"/>
              </w:rPr>
            </w:pPr>
            <w:r>
              <w:rPr>
                <w:rFonts w:ascii="Arial" w:hAnsi="Arial"/>
                <w:sz w:val="16"/>
              </w:rPr>
              <w:t>NO. OF RESPONDENTS</w:t>
            </w:r>
          </w:p>
        </w:tc>
        <w:tc>
          <w:tcPr>
            <w:tcW w:w="1319" w:type="dxa"/>
            <w:tcBorders>
              <w:top w:val="double" w:sz="8" w:space="0" w:color="000000"/>
              <w:left w:val="single" w:sz="8" w:space="0" w:color="000000"/>
              <w:bottom w:val="double" w:sz="8" w:space="0" w:color="000000"/>
              <w:right w:val="single" w:sz="8" w:space="0" w:color="000000"/>
            </w:tcBorders>
            <w:shd w:val="pct5" w:color="000000" w:fill="auto"/>
          </w:tcPr>
          <w:p w:rsidR="00111339" w:rsidRDefault="00111339" w:rsidP="00552CAE">
            <w:pPr>
              <w:jc w:val="center"/>
              <w:rPr>
                <w:rFonts w:ascii="Arial" w:hAnsi="Arial"/>
                <w:sz w:val="16"/>
              </w:rPr>
            </w:pPr>
            <w:r>
              <w:rPr>
                <w:rFonts w:ascii="Arial" w:hAnsi="Arial"/>
                <w:sz w:val="16"/>
              </w:rPr>
              <w:t>AVERAGE</w:t>
            </w:r>
          </w:p>
          <w:p w:rsidR="00111339" w:rsidRDefault="00111339" w:rsidP="00552CAE">
            <w:pPr>
              <w:jc w:val="center"/>
              <w:rPr>
                <w:rFonts w:ascii="Arial" w:hAnsi="Arial"/>
                <w:sz w:val="16"/>
              </w:rPr>
            </w:pPr>
            <w:r>
              <w:rPr>
                <w:rFonts w:ascii="Arial" w:hAnsi="Arial"/>
                <w:sz w:val="16"/>
              </w:rPr>
              <w:t>RESPONSES PER RESPONDENT</w:t>
            </w:r>
          </w:p>
        </w:tc>
        <w:tc>
          <w:tcPr>
            <w:tcW w:w="1225" w:type="dxa"/>
            <w:tcBorders>
              <w:top w:val="double" w:sz="8" w:space="0" w:color="000000"/>
              <w:left w:val="single" w:sz="8" w:space="0" w:color="000000"/>
              <w:bottom w:val="double" w:sz="8" w:space="0" w:color="000000"/>
              <w:right w:val="single" w:sz="8" w:space="0" w:color="000000"/>
            </w:tcBorders>
            <w:shd w:val="pct5" w:color="000000" w:fill="auto"/>
          </w:tcPr>
          <w:p w:rsidR="00111339" w:rsidRDefault="00111339" w:rsidP="00552CAE">
            <w:pPr>
              <w:jc w:val="center"/>
              <w:rPr>
                <w:rFonts w:ascii="Arial" w:hAnsi="Arial"/>
                <w:sz w:val="16"/>
              </w:rPr>
            </w:pPr>
            <w:r>
              <w:rPr>
                <w:rFonts w:ascii="Arial" w:hAnsi="Arial"/>
                <w:sz w:val="16"/>
              </w:rPr>
              <w:t>TOTAL RESPONSES</w:t>
            </w:r>
          </w:p>
        </w:tc>
        <w:tc>
          <w:tcPr>
            <w:tcW w:w="1319" w:type="dxa"/>
            <w:tcBorders>
              <w:top w:val="double" w:sz="8" w:space="0" w:color="000000"/>
              <w:left w:val="single" w:sz="8" w:space="0" w:color="000000"/>
              <w:bottom w:val="double" w:sz="8" w:space="0" w:color="000000"/>
              <w:right w:val="single" w:sz="8" w:space="0" w:color="000000"/>
            </w:tcBorders>
            <w:shd w:val="pct5" w:color="000000" w:fill="auto"/>
            <w:tcMar>
              <w:top w:w="157" w:type="dxa"/>
              <w:left w:w="120" w:type="dxa"/>
              <w:bottom w:w="110" w:type="dxa"/>
              <w:right w:w="62" w:type="dxa"/>
            </w:tcMar>
          </w:tcPr>
          <w:p w:rsidR="00111339" w:rsidRDefault="00111339" w:rsidP="00552CAE">
            <w:pPr>
              <w:jc w:val="center"/>
              <w:rPr>
                <w:rFonts w:ascii="Arial" w:hAnsi="Arial"/>
                <w:sz w:val="16"/>
              </w:rPr>
            </w:pPr>
            <w:r>
              <w:rPr>
                <w:rFonts w:ascii="Arial" w:hAnsi="Arial"/>
                <w:sz w:val="16"/>
              </w:rPr>
              <w:t>ANNUAL BURDEN PER RESPONDENT</w:t>
            </w:r>
          </w:p>
          <w:p w:rsidR="00096BB9" w:rsidRDefault="00096BB9" w:rsidP="00552CAE">
            <w:pPr>
              <w:jc w:val="center"/>
              <w:rPr>
                <w:rFonts w:ascii="Arial" w:hAnsi="Arial"/>
                <w:sz w:val="16"/>
              </w:rPr>
            </w:pPr>
            <w:r>
              <w:rPr>
                <w:rFonts w:ascii="Arial" w:hAnsi="Arial"/>
                <w:sz w:val="16"/>
              </w:rPr>
              <w:t>(hours)</w:t>
            </w:r>
          </w:p>
        </w:tc>
        <w:tc>
          <w:tcPr>
            <w:tcW w:w="1602" w:type="dxa"/>
            <w:tcBorders>
              <w:top w:val="double" w:sz="8" w:space="0" w:color="000000"/>
              <w:left w:val="single" w:sz="8" w:space="0" w:color="000000"/>
              <w:bottom w:val="double" w:sz="8" w:space="0" w:color="000000"/>
              <w:right w:val="single" w:sz="8" w:space="0" w:color="000000"/>
            </w:tcBorders>
            <w:shd w:val="pct5" w:color="000000" w:fill="auto"/>
            <w:tcMar>
              <w:top w:w="157" w:type="dxa"/>
              <w:left w:w="82" w:type="dxa"/>
              <w:bottom w:w="110" w:type="dxa"/>
              <w:right w:w="62" w:type="dxa"/>
            </w:tcMar>
          </w:tcPr>
          <w:p w:rsidR="00111339" w:rsidRDefault="00111339" w:rsidP="00552CAE">
            <w:pPr>
              <w:jc w:val="center"/>
              <w:rPr>
                <w:rFonts w:ascii="Arial" w:hAnsi="Arial"/>
                <w:sz w:val="16"/>
              </w:rPr>
            </w:pPr>
            <w:r>
              <w:rPr>
                <w:rFonts w:ascii="Arial" w:hAnsi="Arial"/>
                <w:sz w:val="16"/>
              </w:rPr>
              <w:t>TOTAL ANNUAL BURDEN</w:t>
            </w:r>
          </w:p>
          <w:p w:rsidR="00096BB9" w:rsidRDefault="00096BB9" w:rsidP="00552CAE">
            <w:pPr>
              <w:jc w:val="center"/>
              <w:rPr>
                <w:rFonts w:ascii="Arial" w:hAnsi="Arial"/>
                <w:sz w:val="16"/>
              </w:rPr>
            </w:pPr>
            <w:r>
              <w:rPr>
                <w:rFonts w:ascii="Arial" w:hAnsi="Arial"/>
                <w:sz w:val="16"/>
              </w:rPr>
              <w:t>(hours)</w:t>
            </w:r>
          </w:p>
        </w:tc>
      </w:tr>
      <w:tr w:rsidR="00111339" w:rsidTr="00111339">
        <w:trPr>
          <w:cantSplit/>
          <w:trHeight w:val="274"/>
        </w:trPr>
        <w:tc>
          <w:tcPr>
            <w:tcW w:w="1602" w:type="dxa"/>
            <w:tcBorders>
              <w:top w:val="single" w:sz="8" w:space="0" w:color="000000"/>
              <w:left w:val="double" w:sz="8" w:space="0" w:color="000000"/>
              <w:bottom w:val="double" w:sz="8" w:space="0" w:color="000000"/>
              <w:right w:val="single" w:sz="8" w:space="0" w:color="000000"/>
            </w:tcBorders>
          </w:tcPr>
          <w:p w:rsidR="00111339" w:rsidRDefault="00111339" w:rsidP="00552CAE">
            <w:pPr>
              <w:jc w:val="center"/>
              <w:rPr>
                <w:rFonts w:ascii="Arial" w:hAnsi="Arial"/>
                <w:sz w:val="16"/>
              </w:rPr>
            </w:pPr>
            <w:r>
              <w:rPr>
                <w:rFonts w:ascii="Arial" w:hAnsi="Arial"/>
                <w:sz w:val="16"/>
              </w:rPr>
              <w:t>Agreement States with No Sites of Interest</w:t>
            </w:r>
          </w:p>
        </w:tc>
        <w:tc>
          <w:tcPr>
            <w:tcW w:w="1602" w:type="dxa"/>
            <w:tcBorders>
              <w:top w:val="single" w:sz="8" w:space="0" w:color="000000"/>
              <w:left w:val="single" w:sz="8" w:space="0" w:color="000000"/>
              <w:bottom w:val="double" w:sz="8" w:space="0" w:color="000000"/>
              <w:right w:val="single" w:sz="8" w:space="0" w:color="000000"/>
            </w:tcBorders>
          </w:tcPr>
          <w:p w:rsidR="00111339" w:rsidRDefault="00111339" w:rsidP="00552CAE">
            <w:pPr>
              <w:jc w:val="center"/>
              <w:rPr>
                <w:rFonts w:ascii="Arial" w:hAnsi="Arial"/>
                <w:sz w:val="16"/>
              </w:rPr>
            </w:pPr>
            <w:r>
              <w:rPr>
                <w:rFonts w:ascii="Arial" w:hAnsi="Arial"/>
                <w:sz w:val="16"/>
              </w:rPr>
              <w:t>24</w:t>
            </w:r>
          </w:p>
        </w:tc>
        <w:tc>
          <w:tcPr>
            <w:tcW w:w="1319" w:type="dxa"/>
            <w:tcBorders>
              <w:top w:val="single" w:sz="8" w:space="0" w:color="000000"/>
              <w:left w:val="single" w:sz="8" w:space="0" w:color="000000"/>
              <w:bottom w:val="double" w:sz="8" w:space="0" w:color="000000"/>
              <w:right w:val="single" w:sz="8" w:space="0" w:color="000000"/>
            </w:tcBorders>
          </w:tcPr>
          <w:p w:rsidR="00111339" w:rsidRDefault="00111339" w:rsidP="00552CAE">
            <w:pPr>
              <w:jc w:val="center"/>
              <w:rPr>
                <w:rFonts w:ascii="Arial" w:hAnsi="Arial"/>
                <w:sz w:val="16"/>
              </w:rPr>
            </w:pPr>
            <w:r>
              <w:rPr>
                <w:rFonts w:ascii="Arial" w:hAnsi="Arial"/>
                <w:sz w:val="16"/>
              </w:rPr>
              <w:t>1</w:t>
            </w:r>
          </w:p>
          <w:p w:rsidR="00111339" w:rsidRDefault="00111339" w:rsidP="00552CAE">
            <w:pPr>
              <w:rPr>
                <w:rFonts w:ascii="Arial" w:hAnsi="Arial"/>
                <w:sz w:val="16"/>
              </w:rPr>
            </w:pPr>
            <w:r>
              <w:rPr>
                <w:rFonts w:ascii="Arial" w:hAnsi="Arial"/>
                <w:sz w:val="16"/>
              </w:rPr>
              <w:tab/>
            </w:r>
          </w:p>
        </w:tc>
        <w:tc>
          <w:tcPr>
            <w:tcW w:w="1225" w:type="dxa"/>
            <w:tcBorders>
              <w:top w:val="single" w:sz="8" w:space="0" w:color="000000"/>
              <w:left w:val="single" w:sz="8" w:space="0" w:color="000000"/>
              <w:bottom w:val="double" w:sz="8" w:space="0" w:color="000000"/>
              <w:right w:val="single" w:sz="8" w:space="0" w:color="000000"/>
            </w:tcBorders>
          </w:tcPr>
          <w:p w:rsidR="00111339" w:rsidRDefault="00111339" w:rsidP="00552CAE">
            <w:pPr>
              <w:jc w:val="center"/>
              <w:rPr>
                <w:rFonts w:ascii="Arial" w:hAnsi="Arial"/>
                <w:sz w:val="16"/>
              </w:rPr>
            </w:pPr>
            <w:r>
              <w:rPr>
                <w:rFonts w:ascii="Arial" w:hAnsi="Arial"/>
                <w:sz w:val="16"/>
              </w:rPr>
              <w:t>24</w:t>
            </w:r>
          </w:p>
        </w:tc>
        <w:tc>
          <w:tcPr>
            <w:tcW w:w="1319" w:type="dxa"/>
            <w:tcBorders>
              <w:top w:val="single" w:sz="8" w:space="0" w:color="000000"/>
              <w:left w:val="single" w:sz="8" w:space="0" w:color="000000"/>
              <w:bottom w:val="double" w:sz="8" w:space="0" w:color="000000"/>
              <w:right w:val="single" w:sz="8" w:space="0" w:color="000000"/>
            </w:tcBorders>
            <w:tcMar>
              <w:top w:w="119" w:type="dxa"/>
              <w:left w:w="120" w:type="dxa"/>
              <w:bottom w:w="53" w:type="dxa"/>
              <w:right w:w="62" w:type="dxa"/>
            </w:tcMar>
          </w:tcPr>
          <w:p w:rsidR="00111339" w:rsidRDefault="00111339" w:rsidP="00552CAE">
            <w:pPr>
              <w:jc w:val="center"/>
              <w:rPr>
                <w:rFonts w:ascii="Arial" w:hAnsi="Arial"/>
                <w:sz w:val="16"/>
              </w:rPr>
            </w:pPr>
            <w:r>
              <w:rPr>
                <w:rFonts w:ascii="Arial" w:hAnsi="Arial"/>
                <w:sz w:val="16"/>
              </w:rPr>
              <w:t>3</w:t>
            </w:r>
          </w:p>
        </w:tc>
        <w:tc>
          <w:tcPr>
            <w:tcW w:w="1602" w:type="dxa"/>
            <w:tcBorders>
              <w:top w:val="single" w:sz="8" w:space="0" w:color="000000"/>
              <w:left w:val="single" w:sz="8" w:space="0" w:color="000000"/>
              <w:bottom w:val="double" w:sz="8" w:space="0" w:color="000000"/>
              <w:right w:val="single" w:sz="8" w:space="0" w:color="000000"/>
            </w:tcBorders>
            <w:tcMar>
              <w:top w:w="119" w:type="dxa"/>
              <w:left w:w="82" w:type="dxa"/>
              <w:bottom w:w="53" w:type="dxa"/>
              <w:right w:w="62" w:type="dxa"/>
            </w:tcMar>
          </w:tcPr>
          <w:p w:rsidR="00111339" w:rsidRDefault="00111339" w:rsidP="00552CAE">
            <w:pPr>
              <w:jc w:val="center"/>
              <w:rPr>
                <w:rFonts w:ascii="Arial" w:hAnsi="Arial"/>
                <w:sz w:val="16"/>
              </w:rPr>
            </w:pPr>
            <w:r>
              <w:rPr>
                <w:rFonts w:ascii="Arial" w:hAnsi="Arial"/>
                <w:sz w:val="16"/>
              </w:rPr>
              <w:t>72</w:t>
            </w:r>
          </w:p>
        </w:tc>
      </w:tr>
    </w:tbl>
    <w:p w:rsidR="006F6395" w:rsidRDefault="006F6395" w:rsidP="006F6395">
      <w:pPr>
        <w:rPr>
          <w:rFonts w:ascii="Arial" w:hAnsi="Arial"/>
          <w:sz w:val="16"/>
        </w:rPr>
      </w:pPr>
    </w:p>
    <w:p w:rsidR="006F6395" w:rsidRDefault="006F6395" w:rsidP="006F6395">
      <w:pPr>
        <w:rPr>
          <w:rFonts w:ascii="Arial" w:hAnsi="Arial"/>
          <w:sz w:val="16"/>
        </w:rPr>
      </w:pPr>
    </w:p>
    <w:p w:rsidR="00015758" w:rsidRDefault="00015758" w:rsidP="006F6395">
      <w:pPr>
        <w:rPr>
          <w:rFonts w:ascii="Arial" w:hAnsi="Arial"/>
          <w:sz w:val="16"/>
        </w:rPr>
      </w:pPr>
    </w:p>
    <w:p w:rsidR="006F6395" w:rsidRDefault="006F6395" w:rsidP="006F6395">
      <w:pPr>
        <w:ind w:left="1440"/>
        <w:rPr>
          <w:rFonts w:ascii="Arial" w:hAnsi="Arial"/>
          <w:sz w:val="22"/>
        </w:rPr>
      </w:pPr>
      <w:r>
        <w:rPr>
          <w:rFonts w:ascii="Arial" w:hAnsi="Arial"/>
          <w:sz w:val="22"/>
        </w:rPr>
        <w:t xml:space="preserve">The total </w:t>
      </w:r>
      <w:r w:rsidR="00096BB9">
        <w:rPr>
          <w:rFonts w:ascii="Arial" w:hAnsi="Arial"/>
          <w:sz w:val="22"/>
        </w:rPr>
        <w:t>burden for the</w:t>
      </w:r>
      <w:r>
        <w:rPr>
          <w:rFonts w:ascii="Arial" w:hAnsi="Arial"/>
          <w:sz w:val="22"/>
        </w:rPr>
        <w:t xml:space="preserve"> 37 </w:t>
      </w:r>
      <w:r w:rsidR="00096BB9">
        <w:rPr>
          <w:rFonts w:ascii="Arial" w:hAnsi="Arial"/>
          <w:sz w:val="22"/>
        </w:rPr>
        <w:t xml:space="preserve">respondents (13 </w:t>
      </w:r>
      <w:r w:rsidR="007F25A8" w:rsidRPr="007F25A8">
        <w:rPr>
          <w:rFonts w:ascii="Arial" w:hAnsi="Arial"/>
          <w:sz w:val="22"/>
          <w:szCs w:val="22"/>
        </w:rPr>
        <w:t xml:space="preserve">Agreement States </w:t>
      </w:r>
      <w:r w:rsidR="00096BB9" w:rsidRPr="007F25A8">
        <w:rPr>
          <w:rFonts w:ascii="Arial" w:hAnsi="Arial"/>
          <w:sz w:val="22"/>
          <w:szCs w:val="22"/>
        </w:rPr>
        <w:t xml:space="preserve">respondents with sites of interest + 24 </w:t>
      </w:r>
      <w:r w:rsidR="007F25A8" w:rsidRPr="007F25A8">
        <w:rPr>
          <w:rFonts w:ascii="Arial" w:hAnsi="Arial"/>
          <w:sz w:val="22"/>
          <w:szCs w:val="22"/>
        </w:rPr>
        <w:t xml:space="preserve">Agreement States </w:t>
      </w:r>
      <w:r w:rsidR="00096BB9" w:rsidRPr="007F25A8">
        <w:rPr>
          <w:rFonts w:ascii="Arial" w:hAnsi="Arial"/>
          <w:sz w:val="22"/>
          <w:szCs w:val="22"/>
        </w:rPr>
        <w:t>respondents with no sites of interest)</w:t>
      </w:r>
      <w:r w:rsidRPr="007F25A8">
        <w:rPr>
          <w:rFonts w:ascii="Arial" w:hAnsi="Arial"/>
          <w:sz w:val="22"/>
          <w:szCs w:val="22"/>
        </w:rPr>
        <w:t xml:space="preserve"> is estimated to be 662 hours (590 hours for the 13 </w:t>
      </w:r>
      <w:r w:rsidR="007F25A8" w:rsidRPr="007F25A8">
        <w:rPr>
          <w:rFonts w:ascii="Arial" w:hAnsi="Arial"/>
          <w:sz w:val="22"/>
          <w:szCs w:val="22"/>
        </w:rPr>
        <w:t xml:space="preserve">Agreement States </w:t>
      </w:r>
      <w:r w:rsidR="00096BB9" w:rsidRPr="007F25A8">
        <w:rPr>
          <w:rFonts w:ascii="Arial" w:hAnsi="Arial"/>
          <w:sz w:val="22"/>
          <w:szCs w:val="22"/>
        </w:rPr>
        <w:t>responde</w:t>
      </w:r>
      <w:r w:rsidR="00096BB9">
        <w:rPr>
          <w:rFonts w:ascii="Arial" w:hAnsi="Arial"/>
          <w:sz w:val="22"/>
        </w:rPr>
        <w:t xml:space="preserve">nts </w:t>
      </w:r>
      <w:r>
        <w:rPr>
          <w:rFonts w:ascii="Arial" w:hAnsi="Arial"/>
          <w:sz w:val="22"/>
        </w:rPr>
        <w:t xml:space="preserve">with uranium recovery and/or complex sites + 72 hours for the 24 </w:t>
      </w:r>
      <w:r w:rsidR="007F25A8" w:rsidRPr="007F25A8">
        <w:rPr>
          <w:rFonts w:ascii="Arial" w:hAnsi="Arial"/>
          <w:sz w:val="22"/>
          <w:szCs w:val="22"/>
        </w:rPr>
        <w:t xml:space="preserve">Agreement States </w:t>
      </w:r>
      <w:r w:rsidR="00096BB9">
        <w:rPr>
          <w:rFonts w:ascii="Arial" w:hAnsi="Arial"/>
          <w:sz w:val="22"/>
        </w:rPr>
        <w:t>respondents</w:t>
      </w:r>
      <w:r>
        <w:rPr>
          <w:rFonts w:ascii="Arial" w:hAnsi="Arial"/>
          <w:sz w:val="22"/>
        </w:rPr>
        <w:t xml:space="preserve"> to verify that they do not have any sites of interest).  The annual cost is</w:t>
      </w:r>
      <w:r w:rsidR="008F1A58">
        <w:rPr>
          <w:rFonts w:ascii="Arial" w:hAnsi="Arial"/>
          <w:sz w:val="22"/>
        </w:rPr>
        <w:t xml:space="preserve"> estimated to be</w:t>
      </w:r>
      <w:r>
        <w:rPr>
          <w:rFonts w:ascii="Arial" w:hAnsi="Arial"/>
          <w:sz w:val="22"/>
        </w:rPr>
        <w:t xml:space="preserve"> $17</w:t>
      </w:r>
      <w:r w:rsidR="00096BB9">
        <w:rPr>
          <w:rFonts w:ascii="Arial" w:hAnsi="Arial"/>
          <w:sz w:val="22"/>
        </w:rPr>
        <w:t>1,458</w:t>
      </w:r>
      <w:r>
        <w:rPr>
          <w:rFonts w:ascii="Arial" w:hAnsi="Arial"/>
          <w:sz w:val="22"/>
        </w:rPr>
        <w:t xml:space="preserve"> ($25</w:t>
      </w:r>
      <w:r w:rsidR="00096BB9">
        <w:rPr>
          <w:rFonts w:ascii="Arial" w:hAnsi="Arial"/>
          <w:sz w:val="22"/>
        </w:rPr>
        <w:t>9</w:t>
      </w:r>
      <w:r w:rsidR="008F1A58">
        <w:rPr>
          <w:rFonts w:ascii="Arial" w:hAnsi="Arial"/>
          <w:sz w:val="22"/>
        </w:rPr>
        <w:t>/</w:t>
      </w:r>
      <w:r>
        <w:rPr>
          <w:rFonts w:ascii="Arial" w:hAnsi="Arial"/>
          <w:sz w:val="22"/>
        </w:rPr>
        <w:t xml:space="preserve">professional staff hour x 662 staff hours). </w:t>
      </w:r>
      <w:r w:rsidR="00D86024">
        <w:rPr>
          <w:rFonts w:ascii="Arial" w:hAnsi="Arial"/>
          <w:sz w:val="22"/>
        </w:rPr>
        <w:t xml:space="preserve"> </w:t>
      </w:r>
      <w:r>
        <w:rPr>
          <w:rFonts w:ascii="Arial" w:hAnsi="Arial"/>
          <w:sz w:val="22"/>
        </w:rPr>
        <w:t xml:space="preserve">Included in this cost estimate is management review and clerical staff support.  State pay rates are assumed to be equal to the Federal pay rates shown in </w:t>
      </w:r>
      <w:r w:rsidR="009A5B8A">
        <w:rPr>
          <w:rFonts w:ascii="Arial" w:hAnsi="Arial"/>
          <w:sz w:val="22"/>
        </w:rPr>
        <w:t>I</w:t>
      </w:r>
      <w:r>
        <w:rPr>
          <w:rFonts w:ascii="Arial" w:hAnsi="Arial"/>
          <w:sz w:val="22"/>
        </w:rPr>
        <w:t xml:space="preserve">tem 14.   </w:t>
      </w:r>
    </w:p>
    <w:p w:rsidR="006F6395" w:rsidRDefault="006F6395" w:rsidP="006F6395">
      <w:pPr>
        <w:rPr>
          <w:rFonts w:ascii="Arial" w:hAnsi="Arial"/>
          <w:sz w:val="22"/>
        </w:rPr>
      </w:pPr>
    </w:p>
    <w:p w:rsidR="006F6395" w:rsidRPr="002214D6" w:rsidRDefault="006F6395" w:rsidP="007D5EA7">
      <w:pPr>
        <w:ind w:left="1440" w:hanging="720"/>
        <w:outlineLvl w:val="0"/>
        <w:rPr>
          <w:rFonts w:ascii="Arial" w:hAnsi="Arial"/>
          <w:sz w:val="22"/>
        </w:rPr>
      </w:pPr>
      <w:r w:rsidRPr="002214D6">
        <w:rPr>
          <w:rFonts w:ascii="Arial" w:hAnsi="Arial"/>
          <w:sz w:val="22"/>
        </w:rPr>
        <w:t>13.</w:t>
      </w:r>
      <w:r w:rsidRPr="002214D6">
        <w:rPr>
          <w:rFonts w:ascii="Arial" w:hAnsi="Arial"/>
          <w:sz w:val="22"/>
        </w:rPr>
        <w:tab/>
      </w:r>
      <w:r w:rsidRPr="002214D6">
        <w:rPr>
          <w:rFonts w:ascii="Arial" w:hAnsi="Arial"/>
          <w:sz w:val="22"/>
          <w:u w:val="single"/>
        </w:rPr>
        <w:t>Estimate of Other Additional Costs</w:t>
      </w:r>
    </w:p>
    <w:p w:rsidR="006F6395" w:rsidRDefault="006F6395" w:rsidP="006F6395">
      <w:pPr>
        <w:rPr>
          <w:rFonts w:ascii="Arial" w:hAnsi="Arial" w:cs="Arial"/>
          <w:sz w:val="22"/>
          <w:szCs w:val="22"/>
        </w:rPr>
      </w:pPr>
    </w:p>
    <w:p w:rsidR="002153A3" w:rsidRDefault="006F6395" w:rsidP="00121B78">
      <w:pPr>
        <w:tabs>
          <w:tab w:val="left" w:pos="3780"/>
        </w:tabs>
        <w:ind w:left="1440"/>
        <w:rPr>
          <w:rFonts w:ascii="Arial" w:hAnsi="Arial" w:cs="Arial"/>
          <w:sz w:val="22"/>
          <w:szCs w:val="22"/>
        </w:rPr>
      </w:pPr>
      <w:r>
        <w:rPr>
          <w:rFonts w:ascii="Arial" w:hAnsi="Arial" w:cs="Arial"/>
          <w:sz w:val="22"/>
          <w:szCs w:val="22"/>
        </w:rPr>
        <w:t xml:space="preserve">None.  </w:t>
      </w:r>
    </w:p>
    <w:p w:rsidR="007E1D4C" w:rsidRDefault="007E1D4C">
      <w:pPr>
        <w:rPr>
          <w:rFonts w:ascii="Arial" w:hAnsi="Arial" w:cs="Arial"/>
          <w:sz w:val="22"/>
          <w:szCs w:val="22"/>
        </w:rPr>
      </w:pPr>
      <w:r>
        <w:rPr>
          <w:rFonts w:ascii="Arial" w:hAnsi="Arial" w:cs="Arial"/>
          <w:sz w:val="22"/>
          <w:szCs w:val="22"/>
        </w:rPr>
        <w:br w:type="page"/>
      </w:r>
    </w:p>
    <w:p w:rsidR="002153A3" w:rsidRDefault="002153A3">
      <w:pPr>
        <w:ind w:left="1440"/>
        <w:rPr>
          <w:rFonts w:ascii="Arial" w:hAnsi="Arial"/>
          <w:sz w:val="22"/>
        </w:rPr>
      </w:pPr>
    </w:p>
    <w:p w:rsidR="006F6395" w:rsidRPr="002214D6" w:rsidRDefault="006F6395" w:rsidP="00C443DE">
      <w:pPr>
        <w:keepNext/>
        <w:keepLines/>
        <w:widowControl w:val="0"/>
        <w:ind w:left="1440" w:hanging="720"/>
        <w:outlineLvl w:val="0"/>
        <w:rPr>
          <w:rFonts w:ascii="Arial" w:hAnsi="Arial"/>
          <w:sz w:val="22"/>
        </w:rPr>
      </w:pPr>
      <w:r w:rsidRPr="002214D6">
        <w:rPr>
          <w:rFonts w:ascii="Arial" w:hAnsi="Arial"/>
          <w:sz w:val="22"/>
        </w:rPr>
        <w:t>14.</w:t>
      </w:r>
      <w:r w:rsidRPr="002214D6">
        <w:rPr>
          <w:rFonts w:ascii="Arial" w:hAnsi="Arial"/>
          <w:sz w:val="22"/>
        </w:rPr>
        <w:tab/>
      </w:r>
      <w:r w:rsidRPr="002214D6">
        <w:rPr>
          <w:rFonts w:ascii="Arial" w:hAnsi="Arial"/>
          <w:sz w:val="22"/>
          <w:u w:val="single"/>
        </w:rPr>
        <w:t>Estimated Annualized Cost to the Federal Government</w:t>
      </w:r>
    </w:p>
    <w:p w:rsidR="006F6395" w:rsidRDefault="006F6395" w:rsidP="00C443DE">
      <w:pPr>
        <w:keepNext/>
        <w:keepLines/>
        <w:widowControl w:val="0"/>
        <w:ind w:left="1440"/>
        <w:rPr>
          <w:rFonts w:ascii="Arial" w:hAnsi="Arial"/>
          <w:sz w:val="22"/>
        </w:rPr>
      </w:pPr>
    </w:p>
    <w:p w:rsidR="006F6395" w:rsidRDefault="006F6395" w:rsidP="00C443DE">
      <w:pPr>
        <w:keepNext/>
        <w:keepLines/>
        <w:widowControl w:val="0"/>
        <w:ind w:left="1440"/>
        <w:rPr>
          <w:rFonts w:ascii="Arial" w:hAnsi="Arial"/>
          <w:sz w:val="22"/>
        </w:rPr>
      </w:pPr>
      <w:r>
        <w:rPr>
          <w:rFonts w:ascii="Arial" w:hAnsi="Arial"/>
          <w:sz w:val="22"/>
        </w:rPr>
        <w:t>Based upon staff estimates, NRC will spend about 760 professional hours annually on the exchange of site information with the Agreement States.  Using the staff hourly rate of $25</w:t>
      </w:r>
      <w:r w:rsidR="00096BB9">
        <w:rPr>
          <w:rFonts w:ascii="Arial" w:hAnsi="Arial"/>
          <w:sz w:val="22"/>
        </w:rPr>
        <w:t>9</w:t>
      </w:r>
      <w:r>
        <w:rPr>
          <w:rFonts w:ascii="Arial" w:hAnsi="Arial"/>
          <w:sz w:val="22"/>
        </w:rPr>
        <w:t>, the annual cost to the NRC is approximately $19</w:t>
      </w:r>
      <w:r w:rsidR="00096BB9">
        <w:rPr>
          <w:rFonts w:ascii="Arial" w:hAnsi="Arial"/>
          <w:sz w:val="22"/>
        </w:rPr>
        <w:t>6</w:t>
      </w:r>
      <w:r>
        <w:rPr>
          <w:rFonts w:ascii="Arial" w:hAnsi="Arial"/>
          <w:sz w:val="22"/>
        </w:rPr>
        <w:t>,</w:t>
      </w:r>
      <w:r w:rsidR="00096BB9">
        <w:rPr>
          <w:rFonts w:ascii="Arial" w:hAnsi="Arial"/>
          <w:sz w:val="22"/>
        </w:rPr>
        <w:t>84</w:t>
      </w:r>
      <w:r>
        <w:rPr>
          <w:rFonts w:ascii="Arial" w:hAnsi="Arial"/>
          <w:sz w:val="22"/>
        </w:rPr>
        <w:t>0</w:t>
      </w:r>
      <w:r w:rsidR="008F15C0">
        <w:rPr>
          <w:rFonts w:ascii="Arial" w:hAnsi="Arial"/>
          <w:sz w:val="22"/>
        </w:rPr>
        <w:t xml:space="preserve"> (760 annual professional hours x </w:t>
      </w:r>
      <w:r w:rsidR="008F1A58">
        <w:rPr>
          <w:rFonts w:ascii="Arial" w:hAnsi="Arial"/>
          <w:sz w:val="22"/>
        </w:rPr>
        <w:t>$</w:t>
      </w:r>
      <w:r w:rsidR="008F15C0">
        <w:rPr>
          <w:rFonts w:ascii="Arial" w:hAnsi="Arial"/>
          <w:sz w:val="22"/>
        </w:rPr>
        <w:t>25</w:t>
      </w:r>
      <w:r w:rsidR="00096BB9">
        <w:rPr>
          <w:rFonts w:ascii="Arial" w:hAnsi="Arial"/>
          <w:sz w:val="22"/>
        </w:rPr>
        <w:t>9</w:t>
      </w:r>
      <w:r w:rsidR="008F1A58">
        <w:rPr>
          <w:rFonts w:ascii="Arial" w:hAnsi="Arial"/>
          <w:sz w:val="22"/>
        </w:rPr>
        <w:t>/</w:t>
      </w:r>
      <w:r w:rsidR="008F15C0">
        <w:rPr>
          <w:rFonts w:ascii="Arial" w:hAnsi="Arial"/>
          <w:sz w:val="22"/>
        </w:rPr>
        <w:t>hour rate)</w:t>
      </w:r>
      <w:r>
        <w:rPr>
          <w:rFonts w:ascii="Arial" w:hAnsi="Arial"/>
          <w:sz w:val="22"/>
        </w:rPr>
        <w:t>.  Included in this cost estimate is management review and clerical staff support.</w:t>
      </w:r>
    </w:p>
    <w:p w:rsidR="007F25A8" w:rsidRDefault="007F25A8" w:rsidP="006F6395">
      <w:pPr>
        <w:ind w:left="1440"/>
        <w:rPr>
          <w:rFonts w:ascii="Arial" w:hAnsi="Arial"/>
          <w:sz w:val="22"/>
          <w:u w:val="single"/>
        </w:rPr>
      </w:pPr>
    </w:p>
    <w:p w:rsidR="006F6395" w:rsidRDefault="006F6395" w:rsidP="006F6395">
      <w:pPr>
        <w:rPr>
          <w:rFonts w:ascii="Arial" w:hAnsi="Arial"/>
          <w:sz w:val="22"/>
          <w:u w:val="single"/>
        </w:rPr>
      </w:pPr>
    </w:p>
    <w:p w:rsidR="006F6395" w:rsidRPr="005574AE" w:rsidRDefault="006F6395" w:rsidP="007D5EA7">
      <w:pPr>
        <w:ind w:left="1440" w:hanging="720"/>
        <w:outlineLvl w:val="0"/>
        <w:rPr>
          <w:rFonts w:ascii="Arial" w:hAnsi="Arial" w:cs="Arial"/>
          <w:sz w:val="22"/>
          <w:szCs w:val="22"/>
          <w:u w:val="single"/>
        </w:rPr>
      </w:pPr>
      <w:r w:rsidRPr="002214D6">
        <w:rPr>
          <w:rFonts w:ascii="Arial" w:hAnsi="Arial"/>
          <w:sz w:val="22"/>
        </w:rPr>
        <w:t>15.</w:t>
      </w:r>
      <w:r w:rsidRPr="002214D6">
        <w:rPr>
          <w:rFonts w:ascii="Arial" w:hAnsi="Arial"/>
          <w:sz w:val="22"/>
        </w:rPr>
        <w:tab/>
      </w:r>
      <w:r w:rsidRPr="002214D6">
        <w:rPr>
          <w:rFonts w:ascii="Arial" w:hAnsi="Arial"/>
          <w:sz w:val="22"/>
          <w:u w:val="single"/>
        </w:rPr>
        <w:t>Reasons for Change in Burden</w:t>
      </w:r>
    </w:p>
    <w:p w:rsidR="006F6395" w:rsidRDefault="006F6395" w:rsidP="006F6395">
      <w:pPr>
        <w:ind w:left="1440"/>
        <w:rPr>
          <w:rFonts w:ascii="Arial" w:hAnsi="Arial"/>
          <w:sz w:val="22"/>
        </w:rPr>
      </w:pPr>
    </w:p>
    <w:p w:rsidR="00E60A30" w:rsidRDefault="001163C6" w:rsidP="001163C6">
      <w:pPr>
        <w:ind w:left="1440"/>
        <w:rPr>
          <w:rFonts w:ascii="Arial" w:hAnsi="Arial" w:cs="Arial"/>
          <w:sz w:val="22"/>
          <w:szCs w:val="22"/>
        </w:rPr>
      </w:pPr>
      <w:r w:rsidRPr="001163C6">
        <w:rPr>
          <w:rFonts w:ascii="Arial" w:hAnsi="Arial" w:cs="Arial"/>
          <w:sz w:val="22"/>
          <w:szCs w:val="22"/>
        </w:rPr>
        <w:t>The estimated burden has decreased by 15 hours from 677 hours to 662 hours.  The burden has changed for two reasons</w:t>
      </w:r>
      <w:r w:rsidR="00E60A30">
        <w:rPr>
          <w:rFonts w:ascii="Arial" w:hAnsi="Arial" w:cs="Arial"/>
          <w:sz w:val="22"/>
          <w:szCs w:val="22"/>
        </w:rPr>
        <w:t>.  First, the NRC decreased the estimated burden per response; and second, there has been an increase in the number of sites:</w:t>
      </w:r>
    </w:p>
    <w:p w:rsidR="00E60A30" w:rsidRDefault="00E60A30" w:rsidP="001163C6">
      <w:pPr>
        <w:ind w:left="1440"/>
        <w:rPr>
          <w:rFonts w:ascii="Arial" w:hAnsi="Arial" w:cs="Arial"/>
          <w:sz w:val="22"/>
          <w:szCs w:val="22"/>
        </w:rPr>
      </w:pPr>
    </w:p>
    <w:p w:rsidR="00E60A30" w:rsidRDefault="001163C6" w:rsidP="00E60A30">
      <w:pPr>
        <w:pStyle w:val="ListParagraph"/>
        <w:numPr>
          <w:ilvl w:val="0"/>
          <w:numId w:val="6"/>
        </w:numPr>
      </w:pPr>
      <w:r w:rsidRPr="00E60A30">
        <w:rPr>
          <w:i/>
        </w:rPr>
        <w:t>NRC decreased the estimated burden per response.</w:t>
      </w:r>
      <w:r w:rsidRPr="00E60A30">
        <w:t xml:space="preserve">  The burden estimates for providing voluntary responses to NRC’s information requests have been updated to more accurately reflect the time required to respond.  The estimates were reduced due to the fact that the respondents are primarily updating existing site information instead of generating new site summaries.  In addition, many respondents are also using a web-based interface to provide updated site information.  The previous burden estimate for Agreement States with sites of interest was 13 hours per response, which </w:t>
      </w:r>
      <w:r w:rsidR="00C546E9">
        <w:t>h</w:t>
      </w:r>
      <w:r w:rsidRPr="00E60A30">
        <w:t>as been reduced to 10 hours per response in the current submission.  The previous burden estimate for Agreement States with no sites of interest was 4 hours per response, which has been reduced to 3 hours per response in the current submission.</w:t>
      </w:r>
    </w:p>
    <w:p w:rsidR="00E60A30" w:rsidRDefault="00E60A30" w:rsidP="00E60A30">
      <w:pPr>
        <w:pStyle w:val="ListParagraph"/>
        <w:ind w:left="2265"/>
      </w:pPr>
    </w:p>
    <w:p w:rsidR="001163C6" w:rsidRPr="00E60A30" w:rsidRDefault="00E60A30" w:rsidP="00E60A30">
      <w:pPr>
        <w:pStyle w:val="ListParagraph"/>
        <w:numPr>
          <w:ilvl w:val="0"/>
          <w:numId w:val="6"/>
        </w:numPr>
      </w:pPr>
      <w:r w:rsidRPr="00E60A30">
        <w:rPr>
          <w:i/>
        </w:rPr>
        <w:t>There</w:t>
      </w:r>
      <w:r w:rsidR="001163C6" w:rsidRPr="00E60A30">
        <w:rPr>
          <w:i/>
        </w:rPr>
        <w:t xml:space="preserve"> has been an increase in the number of sites.</w:t>
      </w:r>
      <w:r w:rsidR="001163C6" w:rsidRPr="00E60A30">
        <w:t>  Agreement States must complete one response annually for each site of interest.  The number of sites of interest has increased from 45 sites to 59 sites.  In addition, the number of Agreement States with no sites of interest has increased from 23 to 24 Agreement States responding.</w:t>
      </w:r>
    </w:p>
    <w:p w:rsidR="001163C6" w:rsidRPr="001163C6" w:rsidRDefault="001163C6" w:rsidP="001163C6">
      <w:pPr>
        <w:ind w:left="1440"/>
        <w:rPr>
          <w:rFonts w:ascii="Arial" w:hAnsi="Arial" w:cs="Arial"/>
          <w:sz w:val="22"/>
          <w:szCs w:val="22"/>
        </w:rPr>
      </w:pPr>
    </w:p>
    <w:p w:rsidR="001163C6" w:rsidRPr="001163C6" w:rsidRDefault="001163C6" w:rsidP="001163C6">
      <w:pPr>
        <w:ind w:left="1440"/>
        <w:rPr>
          <w:rFonts w:ascii="Arial" w:hAnsi="Arial" w:cs="Arial"/>
          <w:sz w:val="22"/>
          <w:szCs w:val="22"/>
        </w:rPr>
      </w:pPr>
      <w:r w:rsidRPr="001163C6">
        <w:rPr>
          <w:rFonts w:ascii="Arial" w:hAnsi="Arial" w:cs="Arial"/>
          <w:sz w:val="22"/>
          <w:szCs w:val="22"/>
        </w:rPr>
        <w:t xml:space="preserve">In addition, the fee rate increased from </w:t>
      </w:r>
      <w:r>
        <w:rPr>
          <w:rFonts w:ascii="Arial" w:hAnsi="Arial" w:cs="Arial"/>
          <w:sz w:val="22"/>
          <w:szCs w:val="22"/>
        </w:rPr>
        <w:t>$258</w:t>
      </w:r>
      <w:r w:rsidRPr="001163C6">
        <w:rPr>
          <w:rFonts w:ascii="Arial" w:hAnsi="Arial" w:cs="Arial"/>
          <w:sz w:val="22"/>
          <w:szCs w:val="22"/>
        </w:rPr>
        <w:t xml:space="preserve"> to $259 per hour.</w:t>
      </w:r>
    </w:p>
    <w:p w:rsidR="006F6395" w:rsidRDefault="006F6395" w:rsidP="006F6395">
      <w:pPr>
        <w:rPr>
          <w:rFonts w:ascii="Arial" w:hAnsi="Arial"/>
          <w:sz w:val="22"/>
        </w:rPr>
      </w:pPr>
    </w:p>
    <w:p w:rsidR="006F6395" w:rsidRDefault="006F6395" w:rsidP="007D5EA7">
      <w:pPr>
        <w:ind w:left="1440" w:hanging="720"/>
        <w:outlineLvl w:val="0"/>
        <w:rPr>
          <w:rFonts w:ascii="Arial" w:hAnsi="Arial"/>
          <w:sz w:val="22"/>
          <w:u w:val="single"/>
        </w:rPr>
      </w:pPr>
      <w:r>
        <w:rPr>
          <w:rFonts w:ascii="Arial" w:hAnsi="Arial"/>
          <w:sz w:val="22"/>
        </w:rPr>
        <w:t>16.</w:t>
      </w:r>
      <w:r>
        <w:rPr>
          <w:rFonts w:ascii="Arial" w:hAnsi="Arial"/>
          <w:sz w:val="22"/>
        </w:rPr>
        <w:tab/>
      </w:r>
      <w:r>
        <w:rPr>
          <w:rFonts w:ascii="Arial" w:hAnsi="Arial"/>
          <w:sz w:val="22"/>
          <w:u w:val="single"/>
        </w:rPr>
        <w:t>Publication for Statistical Use</w:t>
      </w:r>
    </w:p>
    <w:p w:rsidR="006F6395" w:rsidRDefault="006F6395" w:rsidP="006F6395">
      <w:pPr>
        <w:ind w:left="1440" w:hanging="720"/>
        <w:rPr>
          <w:rFonts w:ascii="Arial" w:hAnsi="Arial"/>
          <w:sz w:val="22"/>
        </w:rPr>
      </w:pPr>
    </w:p>
    <w:p w:rsidR="006F6395" w:rsidRDefault="006F6395" w:rsidP="007D5EA7">
      <w:pPr>
        <w:ind w:left="1440"/>
        <w:outlineLvl w:val="0"/>
        <w:rPr>
          <w:rFonts w:ascii="Arial" w:hAnsi="Arial"/>
          <w:sz w:val="22"/>
        </w:rPr>
      </w:pPr>
      <w:r>
        <w:rPr>
          <w:rFonts w:ascii="Arial" w:hAnsi="Arial"/>
          <w:sz w:val="22"/>
        </w:rPr>
        <w:t xml:space="preserve">Currently, there are no plans to publish this information for statistical use. </w:t>
      </w:r>
    </w:p>
    <w:p w:rsidR="006F6395" w:rsidRDefault="006F6395" w:rsidP="006F6395">
      <w:pPr>
        <w:rPr>
          <w:rFonts w:ascii="Arial" w:hAnsi="Arial"/>
          <w:sz w:val="22"/>
        </w:rPr>
      </w:pPr>
    </w:p>
    <w:p w:rsidR="006F6395" w:rsidRDefault="006F6395" w:rsidP="007D5EA7">
      <w:pPr>
        <w:ind w:left="1440" w:hanging="720"/>
        <w:outlineLvl w:val="0"/>
        <w:rPr>
          <w:rFonts w:ascii="Arial" w:hAnsi="Arial"/>
          <w:sz w:val="22"/>
          <w:u w:val="single"/>
        </w:rPr>
      </w:pPr>
      <w:r>
        <w:rPr>
          <w:rFonts w:ascii="Arial" w:hAnsi="Arial"/>
          <w:sz w:val="22"/>
        </w:rPr>
        <w:t>17.</w:t>
      </w:r>
      <w:r>
        <w:rPr>
          <w:rFonts w:ascii="Arial" w:hAnsi="Arial"/>
          <w:sz w:val="22"/>
        </w:rPr>
        <w:tab/>
      </w:r>
      <w:r>
        <w:rPr>
          <w:rFonts w:ascii="Arial" w:hAnsi="Arial"/>
          <w:sz w:val="22"/>
          <w:u w:val="single"/>
        </w:rPr>
        <w:t>Reason for Not Displaying the Expiration Date</w:t>
      </w:r>
    </w:p>
    <w:p w:rsidR="006F6395" w:rsidRDefault="006F6395" w:rsidP="006F6395">
      <w:pPr>
        <w:ind w:left="1440" w:hanging="720"/>
        <w:rPr>
          <w:rFonts w:ascii="Arial" w:hAnsi="Arial"/>
          <w:sz w:val="22"/>
        </w:rPr>
      </w:pPr>
    </w:p>
    <w:p w:rsidR="006F6395" w:rsidRDefault="006F6395" w:rsidP="007D5EA7">
      <w:pPr>
        <w:ind w:left="1440"/>
        <w:outlineLvl w:val="0"/>
        <w:rPr>
          <w:rFonts w:ascii="Arial" w:hAnsi="Arial"/>
          <w:sz w:val="22"/>
          <w:u w:val="single"/>
        </w:rPr>
      </w:pPr>
      <w:r>
        <w:rPr>
          <w:rFonts w:ascii="Arial" w:hAnsi="Arial"/>
          <w:sz w:val="22"/>
        </w:rPr>
        <w:lastRenderedPageBreak/>
        <w:t>The</w:t>
      </w:r>
      <w:r w:rsidR="00E56D06">
        <w:rPr>
          <w:rFonts w:ascii="Arial" w:hAnsi="Arial"/>
          <w:sz w:val="22"/>
        </w:rPr>
        <w:t xml:space="preserve"> requirement is contained in a regulation.  Amending the Code of Federal Regulations to display information that, in an annual publication, could become obsolete </w:t>
      </w:r>
      <w:r w:rsidR="00015758">
        <w:rPr>
          <w:rFonts w:ascii="Arial" w:hAnsi="Arial"/>
          <w:sz w:val="22"/>
        </w:rPr>
        <w:t xml:space="preserve">would </w:t>
      </w:r>
      <w:r w:rsidR="00E56D06">
        <w:rPr>
          <w:rFonts w:ascii="Arial" w:hAnsi="Arial"/>
          <w:sz w:val="22"/>
        </w:rPr>
        <w:t>be unduly burdensome and too difficult to keep current.</w:t>
      </w:r>
    </w:p>
    <w:p w:rsidR="006F6395" w:rsidRDefault="006F6395" w:rsidP="006F6395">
      <w:pPr>
        <w:rPr>
          <w:rFonts w:ascii="Arial" w:hAnsi="Arial"/>
          <w:sz w:val="22"/>
          <w:u w:val="single"/>
        </w:rPr>
      </w:pPr>
    </w:p>
    <w:p w:rsidR="006F6395" w:rsidRDefault="006F6395" w:rsidP="007D5EA7">
      <w:pPr>
        <w:ind w:left="1440" w:hanging="720"/>
        <w:outlineLvl w:val="0"/>
        <w:rPr>
          <w:rFonts w:ascii="Arial" w:hAnsi="Arial"/>
          <w:sz w:val="22"/>
          <w:u w:val="single"/>
        </w:rPr>
      </w:pPr>
      <w:r>
        <w:rPr>
          <w:rFonts w:ascii="Arial" w:hAnsi="Arial"/>
          <w:sz w:val="22"/>
        </w:rPr>
        <w:t>18.</w:t>
      </w:r>
      <w:r>
        <w:rPr>
          <w:rFonts w:ascii="Arial" w:hAnsi="Arial"/>
          <w:sz w:val="22"/>
        </w:rPr>
        <w:tab/>
      </w:r>
      <w:r>
        <w:rPr>
          <w:rFonts w:ascii="Arial" w:hAnsi="Arial"/>
          <w:sz w:val="22"/>
          <w:u w:val="single"/>
        </w:rPr>
        <w:t>Exceptions to the Certification Statement</w:t>
      </w:r>
    </w:p>
    <w:p w:rsidR="006F6395" w:rsidRDefault="006F6395" w:rsidP="006F6395">
      <w:pPr>
        <w:ind w:left="1440" w:hanging="720"/>
        <w:rPr>
          <w:rFonts w:ascii="Arial" w:hAnsi="Arial"/>
          <w:sz w:val="22"/>
        </w:rPr>
      </w:pPr>
    </w:p>
    <w:p w:rsidR="006F6395" w:rsidRDefault="006F6395" w:rsidP="007D5EA7">
      <w:pPr>
        <w:ind w:left="1440"/>
        <w:outlineLvl w:val="0"/>
        <w:rPr>
          <w:rFonts w:ascii="Arial" w:hAnsi="Arial"/>
          <w:sz w:val="22"/>
        </w:rPr>
      </w:pPr>
      <w:r>
        <w:rPr>
          <w:rFonts w:ascii="Arial" w:hAnsi="Arial"/>
          <w:sz w:val="22"/>
        </w:rPr>
        <w:t xml:space="preserve">There are no exceptions. </w:t>
      </w:r>
    </w:p>
    <w:p w:rsidR="006F6395" w:rsidRDefault="006F6395" w:rsidP="006F6395">
      <w:pPr>
        <w:rPr>
          <w:rFonts w:ascii="Arial" w:hAnsi="Arial"/>
          <w:sz w:val="22"/>
        </w:rPr>
      </w:pPr>
    </w:p>
    <w:p w:rsidR="000019DB" w:rsidRDefault="000019DB" w:rsidP="006F6395">
      <w:pPr>
        <w:rPr>
          <w:rFonts w:ascii="Arial" w:hAnsi="Arial"/>
          <w:sz w:val="22"/>
        </w:rPr>
      </w:pPr>
    </w:p>
    <w:p w:rsidR="006F6395" w:rsidRDefault="00015758" w:rsidP="00015758">
      <w:pPr>
        <w:pStyle w:val="Custom2"/>
        <w:widowControl/>
        <w:spacing w:line="480" w:lineRule="auto"/>
        <w:rPr>
          <w:rFonts w:ascii="Arial" w:hAnsi="Arial"/>
          <w:sz w:val="22"/>
        </w:rPr>
      </w:pPr>
      <w:r>
        <w:rPr>
          <w:rFonts w:ascii="Arial" w:hAnsi="Arial"/>
          <w:sz w:val="22"/>
        </w:rPr>
        <w:t>B.</w:t>
      </w:r>
      <w:r w:rsidR="005574AE">
        <w:rPr>
          <w:rFonts w:ascii="Arial" w:hAnsi="Arial"/>
          <w:sz w:val="22"/>
        </w:rPr>
        <w:tab/>
      </w:r>
      <w:r w:rsidR="006F6395">
        <w:rPr>
          <w:rFonts w:ascii="Arial" w:hAnsi="Arial"/>
          <w:sz w:val="22"/>
        </w:rPr>
        <w:t xml:space="preserve">COLLECTIONS OF INFORMATION EMPLOYING STATISTICAL METHODS </w:t>
      </w:r>
    </w:p>
    <w:p w:rsidR="004A3F84" w:rsidRPr="003F3462" w:rsidRDefault="006F6395" w:rsidP="008F1A58">
      <w:pPr>
        <w:spacing w:line="0" w:lineRule="atLeast"/>
      </w:pPr>
      <w:r>
        <w:rPr>
          <w:rFonts w:ascii="Arial" w:hAnsi="Arial"/>
          <w:sz w:val="22"/>
        </w:rPr>
        <w:tab/>
      </w:r>
      <w:r>
        <w:rPr>
          <w:rFonts w:ascii="Arial" w:hAnsi="Arial"/>
          <w:sz w:val="22"/>
        </w:rPr>
        <w:tab/>
        <w:t xml:space="preserve">Statistical methods are not used in this collection of information. </w:t>
      </w:r>
    </w:p>
    <w:sectPr w:rsidR="004A3F84" w:rsidRPr="003F3462" w:rsidSect="009A5B8A">
      <w:footerReference w:type="even" r:id="rId8"/>
      <w:footerReference w:type="default" r:id="rId9"/>
      <w:type w:val="continuous"/>
      <w:pgSz w:w="12240" w:h="15840"/>
      <w:pgMar w:top="1440" w:right="1350" w:bottom="144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F1E" w:rsidRDefault="00191F1E" w:rsidP="003549C5">
      <w:r>
        <w:separator/>
      </w:r>
    </w:p>
  </w:endnote>
  <w:endnote w:type="continuationSeparator" w:id="0">
    <w:p w:rsidR="00191F1E" w:rsidRDefault="00191F1E" w:rsidP="003549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BB9" w:rsidRDefault="00096BB9">
    <w:pPr>
      <w:framePr w:w="9360" w:h="256" w:hRule="exact" w:wrap="notBeside" w:vAnchor="page" w:hAnchor="text" w:y="14400"/>
      <w:spacing w:line="0" w:lineRule="atLeast"/>
      <w:jc w:val="center"/>
      <w:rPr>
        <w:vanish/>
      </w:rPr>
    </w:pPr>
    <w:r>
      <w:rPr>
        <w:rFonts w:ascii="Arial" w:hAnsi="Arial"/>
        <w:color w:val="000000"/>
        <w:sz w:val="22"/>
      </w:rPr>
      <w:pgNum/>
    </w:r>
  </w:p>
  <w:p w:rsidR="00096BB9" w:rsidRDefault="00096BB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BB9" w:rsidRDefault="00096BB9">
    <w:pPr>
      <w:framePr w:w="9360" w:h="256" w:hRule="exact" w:wrap="notBeside" w:vAnchor="page" w:hAnchor="text" w:y="14400"/>
      <w:jc w:val="center"/>
      <w:rPr>
        <w:vanish/>
      </w:rPr>
    </w:pPr>
    <w:r>
      <w:rPr>
        <w:rFonts w:ascii="Arial" w:hAnsi="Arial"/>
        <w:color w:val="000000"/>
        <w:sz w:val="22"/>
      </w:rPr>
      <w:pgNum/>
    </w:r>
  </w:p>
  <w:p w:rsidR="00096BB9" w:rsidRDefault="00096BB9">
    <w:pPr>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F1E" w:rsidRDefault="00191F1E" w:rsidP="003549C5">
      <w:r>
        <w:separator/>
      </w:r>
    </w:p>
  </w:footnote>
  <w:footnote w:type="continuationSeparator" w:id="0">
    <w:p w:rsidR="00191F1E" w:rsidRDefault="00191F1E" w:rsidP="003549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Letter"/>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nsid w:val="00000003"/>
    <w:multiLevelType w:val="multilevel"/>
    <w:tmpl w:val="00000003"/>
    <w:lvl w:ilvl="0">
      <w:start w:val="1"/>
      <w:numFmt w:val="decimal"/>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nsid w:val="028E21B2"/>
    <w:multiLevelType w:val="hybridMultilevel"/>
    <w:tmpl w:val="ABBE0BA6"/>
    <w:lvl w:ilvl="0" w:tplc="0409000F">
      <w:start w:val="1"/>
      <w:numFmt w:val="decimal"/>
      <w:lvlText w:val="%1."/>
      <w:lvlJc w:val="left"/>
      <w:pPr>
        <w:ind w:left="2265" w:hanging="360"/>
      </w:pPr>
    </w:lvl>
    <w:lvl w:ilvl="1" w:tplc="04090019" w:tentative="1">
      <w:start w:val="1"/>
      <w:numFmt w:val="lowerLetter"/>
      <w:lvlText w:val="%2."/>
      <w:lvlJc w:val="left"/>
      <w:pPr>
        <w:ind w:left="2985" w:hanging="360"/>
      </w:pPr>
    </w:lvl>
    <w:lvl w:ilvl="2" w:tplc="0409001B" w:tentative="1">
      <w:start w:val="1"/>
      <w:numFmt w:val="lowerRoman"/>
      <w:lvlText w:val="%3."/>
      <w:lvlJc w:val="right"/>
      <w:pPr>
        <w:ind w:left="3705" w:hanging="180"/>
      </w:pPr>
    </w:lvl>
    <w:lvl w:ilvl="3" w:tplc="0409000F" w:tentative="1">
      <w:start w:val="1"/>
      <w:numFmt w:val="decimal"/>
      <w:lvlText w:val="%4."/>
      <w:lvlJc w:val="left"/>
      <w:pPr>
        <w:ind w:left="4425" w:hanging="360"/>
      </w:pPr>
    </w:lvl>
    <w:lvl w:ilvl="4" w:tplc="04090019" w:tentative="1">
      <w:start w:val="1"/>
      <w:numFmt w:val="lowerLetter"/>
      <w:lvlText w:val="%5."/>
      <w:lvlJc w:val="left"/>
      <w:pPr>
        <w:ind w:left="5145" w:hanging="360"/>
      </w:pPr>
    </w:lvl>
    <w:lvl w:ilvl="5" w:tplc="0409001B" w:tentative="1">
      <w:start w:val="1"/>
      <w:numFmt w:val="lowerRoman"/>
      <w:lvlText w:val="%6."/>
      <w:lvlJc w:val="right"/>
      <w:pPr>
        <w:ind w:left="5865" w:hanging="180"/>
      </w:pPr>
    </w:lvl>
    <w:lvl w:ilvl="6" w:tplc="0409000F" w:tentative="1">
      <w:start w:val="1"/>
      <w:numFmt w:val="decimal"/>
      <w:lvlText w:val="%7."/>
      <w:lvlJc w:val="left"/>
      <w:pPr>
        <w:ind w:left="6585" w:hanging="360"/>
      </w:pPr>
    </w:lvl>
    <w:lvl w:ilvl="7" w:tplc="04090019" w:tentative="1">
      <w:start w:val="1"/>
      <w:numFmt w:val="lowerLetter"/>
      <w:lvlText w:val="%8."/>
      <w:lvlJc w:val="left"/>
      <w:pPr>
        <w:ind w:left="7305" w:hanging="360"/>
      </w:pPr>
    </w:lvl>
    <w:lvl w:ilvl="8" w:tplc="0409001B" w:tentative="1">
      <w:start w:val="1"/>
      <w:numFmt w:val="lowerRoman"/>
      <w:lvlText w:val="%9."/>
      <w:lvlJc w:val="right"/>
      <w:pPr>
        <w:ind w:left="8025" w:hanging="180"/>
      </w:pPr>
    </w:lvl>
  </w:abstractNum>
  <w:abstractNum w:abstractNumId="3">
    <w:nsid w:val="24620B26"/>
    <w:multiLevelType w:val="hybridMultilevel"/>
    <w:tmpl w:val="AB8E048A"/>
    <w:lvl w:ilvl="0" w:tplc="04090001">
      <w:start w:val="1"/>
      <w:numFmt w:val="bullet"/>
      <w:lvlText w:val=""/>
      <w:lvlJc w:val="left"/>
      <w:pPr>
        <w:ind w:left="2265" w:hanging="360"/>
      </w:pPr>
      <w:rPr>
        <w:rFonts w:ascii="Symbol" w:hAnsi="Symbol" w:hint="default"/>
      </w:rPr>
    </w:lvl>
    <w:lvl w:ilvl="1" w:tplc="04090003" w:tentative="1">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4">
    <w:nsid w:val="6827727B"/>
    <w:multiLevelType w:val="hybridMultilevel"/>
    <w:tmpl w:val="FAA2DF26"/>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F6395"/>
    <w:rsid w:val="000019DB"/>
    <w:rsid w:val="00015758"/>
    <w:rsid w:val="000222F2"/>
    <w:rsid w:val="00042668"/>
    <w:rsid w:val="000626EE"/>
    <w:rsid w:val="00066803"/>
    <w:rsid w:val="00066979"/>
    <w:rsid w:val="00095F81"/>
    <w:rsid w:val="00096BB9"/>
    <w:rsid w:val="000B5777"/>
    <w:rsid w:val="000D3015"/>
    <w:rsid w:val="00106C20"/>
    <w:rsid w:val="00111339"/>
    <w:rsid w:val="00111FFC"/>
    <w:rsid w:val="00112629"/>
    <w:rsid w:val="001163C6"/>
    <w:rsid w:val="00121B78"/>
    <w:rsid w:val="00124232"/>
    <w:rsid w:val="0014015C"/>
    <w:rsid w:val="00155554"/>
    <w:rsid w:val="00166617"/>
    <w:rsid w:val="00172277"/>
    <w:rsid w:val="00191F1E"/>
    <w:rsid w:val="001B22CB"/>
    <w:rsid w:val="001C2F77"/>
    <w:rsid w:val="001E36AF"/>
    <w:rsid w:val="001E3B90"/>
    <w:rsid w:val="001E795E"/>
    <w:rsid w:val="002153A3"/>
    <w:rsid w:val="0024078F"/>
    <w:rsid w:val="00251BBF"/>
    <w:rsid w:val="0026063D"/>
    <w:rsid w:val="002C0BE9"/>
    <w:rsid w:val="003027F1"/>
    <w:rsid w:val="00315EE1"/>
    <w:rsid w:val="003274F5"/>
    <w:rsid w:val="003368DB"/>
    <w:rsid w:val="00346F54"/>
    <w:rsid w:val="00354917"/>
    <w:rsid w:val="003549C5"/>
    <w:rsid w:val="003650A4"/>
    <w:rsid w:val="003A0D0E"/>
    <w:rsid w:val="003B3B19"/>
    <w:rsid w:val="003B49A2"/>
    <w:rsid w:val="003B6544"/>
    <w:rsid w:val="003C4EB6"/>
    <w:rsid w:val="003D542D"/>
    <w:rsid w:val="003F3462"/>
    <w:rsid w:val="004057F5"/>
    <w:rsid w:val="00442265"/>
    <w:rsid w:val="00466061"/>
    <w:rsid w:val="00475EBC"/>
    <w:rsid w:val="00483073"/>
    <w:rsid w:val="004947EF"/>
    <w:rsid w:val="004A3F84"/>
    <w:rsid w:val="004A7851"/>
    <w:rsid w:val="004B5BD5"/>
    <w:rsid w:val="004E0687"/>
    <w:rsid w:val="004E1F43"/>
    <w:rsid w:val="00502007"/>
    <w:rsid w:val="00540B73"/>
    <w:rsid w:val="00545B10"/>
    <w:rsid w:val="00552CAE"/>
    <w:rsid w:val="005574AE"/>
    <w:rsid w:val="005930DE"/>
    <w:rsid w:val="005E7D4E"/>
    <w:rsid w:val="005F209E"/>
    <w:rsid w:val="00635981"/>
    <w:rsid w:val="00643D41"/>
    <w:rsid w:val="006444AC"/>
    <w:rsid w:val="00672416"/>
    <w:rsid w:val="006C7752"/>
    <w:rsid w:val="006E1770"/>
    <w:rsid w:val="006E2314"/>
    <w:rsid w:val="006F6395"/>
    <w:rsid w:val="00714E4D"/>
    <w:rsid w:val="00717042"/>
    <w:rsid w:val="0072240A"/>
    <w:rsid w:val="00734413"/>
    <w:rsid w:val="007676E0"/>
    <w:rsid w:val="00772A75"/>
    <w:rsid w:val="00775418"/>
    <w:rsid w:val="00782E5C"/>
    <w:rsid w:val="00785F1F"/>
    <w:rsid w:val="007864B3"/>
    <w:rsid w:val="0079020B"/>
    <w:rsid w:val="007A1447"/>
    <w:rsid w:val="007A4326"/>
    <w:rsid w:val="007A60EC"/>
    <w:rsid w:val="007B0007"/>
    <w:rsid w:val="007C48FB"/>
    <w:rsid w:val="007D5EA7"/>
    <w:rsid w:val="007E1D4C"/>
    <w:rsid w:val="007E261A"/>
    <w:rsid w:val="007F25A8"/>
    <w:rsid w:val="00837030"/>
    <w:rsid w:val="008376DC"/>
    <w:rsid w:val="00871E68"/>
    <w:rsid w:val="00883719"/>
    <w:rsid w:val="00885633"/>
    <w:rsid w:val="008A0B86"/>
    <w:rsid w:val="008F15C0"/>
    <w:rsid w:val="008F1A58"/>
    <w:rsid w:val="008F25CF"/>
    <w:rsid w:val="00906B92"/>
    <w:rsid w:val="0092712A"/>
    <w:rsid w:val="0093455D"/>
    <w:rsid w:val="009A5B8A"/>
    <w:rsid w:val="009A6102"/>
    <w:rsid w:val="009B1611"/>
    <w:rsid w:val="00A04E81"/>
    <w:rsid w:val="00A14B0F"/>
    <w:rsid w:val="00A20E03"/>
    <w:rsid w:val="00A34C34"/>
    <w:rsid w:val="00A35371"/>
    <w:rsid w:val="00A51CEA"/>
    <w:rsid w:val="00A77E84"/>
    <w:rsid w:val="00AC1BA4"/>
    <w:rsid w:val="00B4084D"/>
    <w:rsid w:val="00B43737"/>
    <w:rsid w:val="00B439C3"/>
    <w:rsid w:val="00B51C7C"/>
    <w:rsid w:val="00B87215"/>
    <w:rsid w:val="00B96972"/>
    <w:rsid w:val="00BD5867"/>
    <w:rsid w:val="00C366CE"/>
    <w:rsid w:val="00C443DE"/>
    <w:rsid w:val="00C546E9"/>
    <w:rsid w:val="00C95AAC"/>
    <w:rsid w:val="00CC139B"/>
    <w:rsid w:val="00CD25B7"/>
    <w:rsid w:val="00CF7B82"/>
    <w:rsid w:val="00D0118F"/>
    <w:rsid w:val="00D36898"/>
    <w:rsid w:val="00D47363"/>
    <w:rsid w:val="00D85895"/>
    <w:rsid w:val="00D86024"/>
    <w:rsid w:val="00D978BF"/>
    <w:rsid w:val="00DE2004"/>
    <w:rsid w:val="00DE48DC"/>
    <w:rsid w:val="00DF57FC"/>
    <w:rsid w:val="00E12D48"/>
    <w:rsid w:val="00E2251A"/>
    <w:rsid w:val="00E3233A"/>
    <w:rsid w:val="00E56D06"/>
    <w:rsid w:val="00E60A30"/>
    <w:rsid w:val="00E67DE9"/>
    <w:rsid w:val="00E82E89"/>
    <w:rsid w:val="00EB1C43"/>
    <w:rsid w:val="00EB59C2"/>
    <w:rsid w:val="00EB7146"/>
    <w:rsid w:val="00EE0DB4"/>
    <w:rsid w:val="00EF455D"/>
    <w:rsid w:val="00F40A0B"/>
    <w:rsid w:val="00F560BE"/>
    <w:rsid w:val="00F63423"/>
    <w:rsid w:val="00F65A6F"/>
    <w:rsid w:val="00F92371"/>
    <w:rsid w:val="00F94212"/>
    <w:rsid w:val="00FA75EB"/>
    <w:rsid w:val="00FC324F"/>
    <w:rsid w:val="00FD13A6"/>
    <w:rsid w:val="00FD389F"/>
    <w:rsid w:val="00FE27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395"/>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stom1">
    <w:name w:val="Custom1"/>
    <w:basedOn w:val="Normal"/>
    <w:rsid w:val="006F6395"/>
    <w:pPr>
      <w:widowControl w:val="0"/>
    </w:pPr>
  </w:style>
  <w:style w:type="paragraph" w:customStyle="1" w:styleId="Custom2">
    <w:name w:val="Custom2"/>
    <w:basedOn w:val="Normal"/>
    <w:rsid w:val="006F6395"/>
    <w:pPr>
      <w:widowControl w:val="0"/>
    </w:pPr>
  </w:style>
  <w:style w:type="paragraph" w:styleId="BalloonText">
    <w:name w:val="Balloon Text"/>
    <w:basedOn w:val="Normal"/>
    <w:link w:val="BalloonTextChar"/>
    <w:uiPriority w:val="99"/>
    <w:semiHidden/>
    <w:unhideWhenUsed/>
    <w:rsid w:val="003B6544"/>
    <w:rPr>
      <w:rFonts w:ascii="Tahoma" w:hAnsi="Tahoma" w:cs="Tahoma"/>
      <w:sz w:val="16"/>
      <w:szCs w:val="16"/>
    </w:rPr>
  </w:style>
  <w:style w:type="character" w:customStyle="1" w:styleId="BalloonTextChar">
    <w:name w:val="Balloon Text Char"/>
    <w:basedOn w:val="DefaultParagraphFont"/>
    <w:link w:val="BalloonText"/>
    <w:uiPriority w:val="99"/>
    <w:semiHidden/>
    <w:rsid w:val="003B6544"/>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7D5EA7"/>
    <w:rPr>
      <w:rFonts w:ascii="Tahoma" w:hAnsi="Tahoma" w:cs="Tahoma"/>
      <w:sz w:val="16"/>
      <w:szCs w:val="16"/>
    </w:rPr>
  </w:style>
  <w:style w:type="character" w:customStyle="1" w:styleId="DocumentMapChar">
    <w:name w:val="Document Map Char"/>
    <w:basedOn w:val="DefaultParagraphFont"/>
    <w:link w:val="DocumentMap"/>
    <w:uiPriority w:val="99"/>
    <w:semiHidden/>
    <w:rsid w:val="007D5EA7"/>
    <w:rPr>
      <w:rFonts w:ascii="Tahoma" w:eastAsia="Times New Roman" w:hAnsi="Tahoma" w:cs="Tahoma"/>
      <w:sz w:val="16"/>
      <w:szCs w:val="16"/>
    </w:rPr>
  </w:style>
  <w:style w:type="paragraph" w:styleId="ListParagraph">
    <w:name w:val="List Paragraph"/>
    <w:basedOn w:val="Normal"/>
    <w:uiPriority w:val="34"/>
    <w:qFormat/>
    <w:rsid w:val="001163C6"/>
    <w:pPr>
      <w:spacing w:line="276" w:lineRule="auto"/>
      <w:ind w:left="720"/>
    </w:pPr>
    <w:rPr>
      <w:rFonts w:ascii="Arial" w:eastAsiaTheme="minorHAnsi" w:hAnsi="Arial" w:cs="Arial"/>
      <w:sz w:val="22"/>
      <w:szCs w:val="22"/>
    </w:rPr>
  </w:style>
</w:styles>
</file>

<file path=word/webSettings.xml><?xml version="1.0" encoding="utf-8"?>
<w:webSettings xmlns:r="http://schemas.openxmlformats.org/officeDocument/2006/relationships" xmlns:w="http://schemas.openxmlformats.org/wordprocessingml/2006/main">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05773-813D-4085-895D-E9AE9A4D4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1709</Words>
  <Characters>9747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11434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dc:creator>
  <cp:keywords/>
  <dc:description/>
  <cp:lastModifiedBy>DMB2</cp:lastModifiedBy>
  <cp:revision>4</cp:revision>
  <cp:lastPrinted>2011-02-08T15:59:00Z</cp:lastPrinted>
  <dcterms:created xsi:type="dcterms:W3CDTF">2011-02-01T19:04:00Z</dcterms:created>
  <dcterms:modified xsi:type="dcterms:W3CDTF">2011-02-08T16:00:00Z</dcterms:modified>
</cp:coreProperties>
</file>