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EE" w:rsidRPr="00EC73E3" w:rsidRDefault="005F2C8A" w:rsidP="00252E6B">
      <w:pPr>
        <w:jc w:val="right"/>
        <w:rPr>
          <w:rFonts w:ascii="Times New Roman" w:hAnsi="Times New Roman"/>
          <w:b/>
          <w:sz w:val="24"/>
        </w:rPr>
      </w:pPr>
      <w:r>
        <w:rPr>
          <w:rFonts w:ascii="Times New Roman" w:hAnsi="Times New Roman"/>
          <w:b/>
          <w:sz w:val="24"/>
        </w:rPr>
        <w:t xml:space="preserve">December </w:t>
      </w:r>
      <w:r w:rsidR="009F1521">
        <w:rPr>
          <w:rFonts w:ascii="Times New Roman" w:hAnsi="Times New Roman"/>
          <w:b/>
          <w:sz w:val="24"/>
        </w:rPr>
        <w:t>2010</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F94C3C" w:rsidRPr="004E5826" w:rsidRDefault="00F525F8" w:rsidP="00F94C3C">
      <w:pPr>
        <w:jc w:val="center"/>
        <w:rPr>
          <w:rFonts w:ascii="Arial" w:hAnsi="Arial" w:cs="Arial"/>
          <w:b/>
          <w:sz w:val="24"/>
        </w:rPr>
      </w:pPr>
      <w:r>
        <w:rPr>
          <w:rFonts w:ascii="Arial" w:hAnsi="Arial" w:cs="Arial"/>
          <w:b/>
          <w:sz w:val="24"/>
        </w:rPr>
        <w:t>OMB Docket No. 0572-0130</w:t>
      </w:r>
    </w:p>
    <w:p w:rsidR="00F94C3C" w:rsidRPr="004E5826" w:rsidRDefault="00F94C3C" w:rsidP="00F94C3C">
      <w:pPr>
        <w:jc w:val="center"/>
        <w:rPr>
          <w:rFonts w:ascii="Arial" w:hAnsi="Arial" w:cs="Arial"/>
          <w:b/>
          <w:sz w:val="24"/>
        </w:rPr>
      </w:pPr>
      <w:r w:rsidRPr="004E5826">
        <w:rPr>
          <w:rFonts w:ascii="Arial" w:hAnsi="Arial" w:cs="Arial"/>
          <w:b/>
          <w:sz w:val="24"/>
        </w:rPr>
        <w:t>7 CFR Part 1738</w:t>
      </w:r>
    </w:p>
    <w:p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6628CC" w:rsidRDefault="006628CC" w:rsidP="00A424C9">
      <w:pPr>
        <w:outlineLvl w:val="0"/>
        <w:rPr>
          <w:rFonts w:ascii="Times New Roman" w:hAnsi="Times New Roman"/>
          <w:sz w:val="24"/>
        </w:rPr>
      </w:pPr>
    </w:p>
    <w:p w:rsidR="006628CC" w:rsidRDefault="00EC73E3" w:rsidP="00A424C9">
      <w:pPr>
        <w:outlineLvl w:val="0"/>
        <w:rPr>
          <w:rFonts w:ascii="Times New Roman" w:hAnsi="Times New Roman"/>
          <w:sz w:val="24"/>
        </w:rPr>
      </w:pPr>
      <w:r w:rsidRPr="00EC73E3">
        <w:rPr>
          <w:rFonts w:ascii="Times New Roman" w:hAnsi="Times New Roman"/>
          <w:sz w:val="24"/>
          <w:u w:val="single"/>
        </w:rPr>
        <w:t>NOTE</w:t>
      </w:r>
      <w:r>
        <w:rPr>
          <w:rFonts w:ascii="Times New Roman" w:hAnsi="Times New Roman"/>
          <w:sz w:val="24"/>
        </w:rPr>
        <w:t>:</w:t>
      </w:r>
      <w:r w:rsidR="005714F1">
        <w:rPr>
          <w:rFonts w:ascii="Times New Roman" w:hAnsi="Times New Roman"/>
          <w:sz w:val="24"/>
        </w:rPr>
        <w:t xml:space="preserve">  </w:t>
      </w:r>
      <w:r w:rsidR="00E61AEB">
        <w:rPr>
          <w:rFonts w:ascii="Times New Roman" w:hAnsi="Times New Roman"/>
          <w:sz w:val="24"/>
        </w:rPr>
        <w:t>This information collection package (ICP) was reviewed by OMB</w:t>
      </w:r>
      <w:r w:rsidR="00A2374C">
        <w:rPr>
          <w:rFonts w:ascii="Times New Roman" w:hAnsi="Times New Roman"/>
          <w:sz w:val="24"/>
        </w:rPr>
        <w:t xml:space="preserve"> at the proposed rulemaking stage</w:t>
      </w:r>
      <w:r w:rsidR="00E61AEB">
        <w:rPr>
          <w:rFonts w:ascii="Times New Roman" w:hAnsi="Times New Roman"/>
          <w:sz w:val="24"/>
        </w:rPr>
        <w:t xml:space="preserve"> and file</w:t>
      </w:r>
      <w:r w:rsidR="005714F1">
        <w:rPr>
          <w:rFonts w:ascii="Times New Roman" w:hAnsi="Times New Roman"/>
          <w:sz w:val="24"/>
        </w:rPr>
        <w:t>d</w:t>
      </w:r>
      <w:r w:rsidR="00E61AEB">
        <w:rPr>
          <w:rFonts w:ascii="Times New Roman" w:hAnsi="Times New Roman"/>
          <w:sz w:val="24"/>
        </w:rPr>
        <w:t xml:space="preserve"> with comment</w:t>
      </w:r>
      <w:r w:rsidR="00A2374C">
        <w:rPr>
          <w:rFonts w:ascii="Times New Roman" w:hAnsi="Times New Roman"/>
          <w:sz w:val="24"/>
        </w:rPr>
        <w:t>.</w:t>
      </w:r>
      <w:r w:rsidR="00E61AEB">
        <w:rPr>
          <w:rFonts w:ascii="Times New Roman" w:hAnsi="Times New Roman"/>
          <w:sz w:val="24"/>
        </w:rPr>
        <w:t xml:space="preserve">  </w:t>
      </w:r>
      <w:r w:rsidR="005714F1">
        <w:rPr>
          <w:rFonts w:ascii="Times New Roman" w:hAnsi="Times New Roman"/>
          <w:sz w:val="24"/>
        </w:rPr>
        <w:t xml:space="preserve">The agency published a proposed rulemaking on </w:t>
      </w:r>
      <w:r w:rsidR="00A2374C">
        <w:rPr>
          <w:rFonts w:ascii="Times New Roman" w:hAnsi="Times New Roman"/>
          <w:sz w:val="24"/>
        </w:rPr>
        <w:t>May 11, 2007.</w:t>
      </w:r>
      <w:r w:rsidR="005714F1">
        <w:rPr>
          <w:rFonts w:ascii="Times New Roman" w:hAnsi="Times New Roman"/>
          <w:sz w:val="24"/>
        </w:rPr>
        <w:t xml:space="preserve">  The 2008 Farm Bill enacted statutory changes to the Broadband Program which necessitate providing an additional comment period.  T</w:t>
      </w:r>
      <w:r w:rsidR="00E61AEB">
        <w:rPr>
          <w:rFonts w:ascii="Times New Roman" w:hAnsi="Times New Roman"/>
          <w:sz w:val="24"/>
        </w:rPr>
        <w:t xml:space="preserve">he agency </w:t>
      </w:r>
      <w:r w:rsidR="005714F1">
        <w:rPr>
          <w:rFonts w:ascii="Times New Roman" w:hAnsi="Times New Roman"/>
          <w:sz w:val="24"/>
        </w:rPr>
        <w:t>will</w:t>
      </w:r>
      <w:r w:rsidR="00E61AEB">
        <w:rPr>
          <w:rFonts w:ascii="Times New Roman" w:hAnsi="Times New Roman"/>
          <w:sz w:val="24"/>
        </w:rPr>
        <w:t xml:space="preserve"> </w:t>
      </w:r>
      <w:r w:rsidR="005714F1">
        <w:rPr>
          <w:rFonts w:ascii="Times New Roman" w:hAnsi="Times New Roman"/>
          <w:sz w:val="24"/>
        </w:rPr>
        <w:t xml:space="preserve">publish an Interim Final </w:t>
      </w:r>
      <w:r w:rsidR="00E61AEB">
        <w:rPr>
          <w:rFonts w:ascii="Times New Roman" w:hAnsi="Times New Roman"/>
          <w:sz w:val="24"/>
        </w:rPr>
        <w:t>rule</w:t>
      </w:r>
      <w:r w:rsidR="005714F1">
        <w:rPr>
          <w:rFonts w:ascii="Times New Roman" w:hAnsi="Times New Roman"/>
          <w:sz w:val="24"/>
        </w:rPr>
        <w:t xml:space="preserve"> with a 60-day Paperwork Reduction Act Notice to solicit additional comments from the public.  At this time, </w:t>
      </w:r>
      <w:r w:rsidR="00A2374C">
        <w:rPr>
          <w:rFonts w:ascii="Times New Roman" w:hAnsi="Times New Roman"/>
          <w:sz w:val="24"/>
        </w:rPr>
        <w:t>t</w:t>
      </w:r>
      <w:r w:rsidR="005714F1">
        <w:rPr>
          <w:rFonts w:ascii="Times New Roman" w:hAnsi="Times New Roman"/>
          <w:sz w:val="24"/>
        </w:rPr>
        <w:t xml:space="preserve">he agency is </w:t>
      </w:r>
      <w:r w:rsidR="00E61AEB">
        <w:rPr>
          <w:rFonts w:ascii="Times New Roman" w:hAnsi="Times New Roman"/>
          <w:sz w:val="24"/>
        </w:rPr>
        <w:t xml:space="preserve">submitting </w:t>
      </w:r>
      <w:r w:rsidR="005714F1">
        <w:rPr>
          <w:rFonts w:ascii="Times New Roman" w:hAnsi="Times New Roman"/>
          <w:sz w:val="24"/>
        </w:rPr>
        <w:t>an ICP for emergency approval in order to allow the agency to continue collecting information</w:t>
      </w:r>
      <w:r w:rsidR="00A2374C">
        <w:rPr>
          <w:rFonts w:ascii="Times New Roman" w:hAnsi="Times New Roman"/>
          <w:sz w:val="24"/>
        </w:rPr>
        <w:t xml:space="preserve"> while the interim final rule is out for comment</w:t>
      </w:r>
      <w:r w:rsidR="006628CC">
        <w:rPr>
          <w:rFonts w:ascii="Times New Roman" w:hAnsi="Times New Roman"/>
          <w:sz w:val="24"/>
        </w:rPr>
        <w:t xml:space="preserve">. </w:t>
      </w:r>
    </w:p>
    <w:p w:rsidR="006628CC" w:rsidRDefault="006628CC" w:rsidP="00A424C9">
      <w:pPr>
        <w:outlineLvl w:val="0"/>
        <w:rPr>
          <w:rFonts w:ascii="Times New Roman" w:hAnsi="Times New Roman"/>
          <w:sz w:val="24"/>
        </w:rPr>
      </w:pP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A130D5" w:rsidRPr="00A130D5" w:rsidRDefault="00A130D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sidRPr="00A130D5">
        <w:rPr>
          <w:rFonts w:ascii="Times New Roman" w:hAnsi="Times New Roman"/>
          <w:sz w:val="24"/>
          <w:szCs w:val="24"/>
        </w:rPr>
        <w:t>The Rural Utilities Service (RUS)</w:t>
      </w:r>
      <w:r w:rsidR="0079153E">
        <w:rPr>
          <w:rFonts w:ascii="Times New Roman" w:hAnsi="Times New Roman"/>
          <w:sz w:val="24"/>
          <w:szCs w:val="24"/>
        </w:rPr>
        <w:t>, is</w:t>
      </w:r>
      <w:r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Pr>
          <w:rFonts w:ascii="Times New Roman" w:hAnsi="Times New Roman"/>
          <w:sz w:val="24"/>
          <w:szCs w:val="24"/>
        </w:rPr>
        <w:t xml:space="preserve"> in the States and Territories of the United States</w:t>
      </w:r>
      <w:r w:rsidRPr="00A130D5">
        <w:rPr>
          <w:rFonts w:ascii="Times New Roman" w:hAnsi="Times New Roman"/>
          <w:sz w:val="24"/>
          <w:szCs w:val="24"/>
        </w:rPr>
        <w:t xml:space="preserve">.  </w:t>
      </w:r>
      <w:r w:rsidR="0079153E">
        <w:rPr>
          <w:rFonts w:ascii="Times New Roman" w:hAnsi="Times New Roman"/>
          <w:sz w:val="24"/>
          <w:szCs w:val="24"/>
        </w:rPr>
        <w:t>7 CFR part 1738</w:t>
      </w:r>
      <w:r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Pr="00A130D5">
        <w:rPr>
          <w:rFonts w:ascii="Times New Roman" w:hAnsi="Times New Roman"/>
          <w:sz w:val="24"/>
          <w:szCs w:val="24"/>
        </w:rPr>
        <w:t xml:space="preserve">the process through which </w:t>
      </w:r>
      <w:r w:rsidR="00E61AEB">
        <w:rPr>
          <w:rFonts w:ascii="Times New Roman" w:hAnsi="Times New Roman"/>
          <w:sz w:val="24"/>
          <w:szCs w:val="24"/>
        </w:rPr>
        <w:t>RUS</w:t>
      </w:r>
      <w:r w:rsidRPr="00A130D5">
        <w:rPr>
          <w:rFonts w:ascii="Times New Roman" w:hAnsi="Times New Roman"/>
          <w:sz w:val="24"/>
          <w:szCs w:val="24"/>
        </w:rPr>
        <w:t xml:space="preserve"> will consider applicants under the priority consideration required in Title VI.</w:t>
      </w:r>
    </w:p>
    <w:p w:rsidR="00A130D5" w:rsidRDefault="00A130D5" w:rsidP="0079153E">
      <w:pPr>
        <w:rPr>
          <w:rFonts w:ascii="Times New Roman" w:hAnsi="Times New Roman"/>
          <w:sz w:val="24"/>
        </w:rPr>
      </w:pPr>
    </w:p>
    <w:p w:rsidR="00166231" w:rsidRDefault="00166231" w:rsidP="00166231">
      <w:pPr>
        <w:rPr>
          <w:rFonts w:ascii="Times New Roman" w:hAnsi="Times New Roman"/>
          <w:sz w:val="24"/>
        </w:rPr>
      </w:pPr>
      <w:r>
        <w:rPr>
          <w:rFonts w:ascii="Times New Roman" w:hAnsi="Times New Roman"/>
          <w:sz w:val="24"/>
        </w:rPr>
        <w:t xml:space="preserve">The term of the loans is based on the expected composite economic life based on the depreciation rates of the facilities financed.  The term of the loan can be as high as </w:t>
      </w:r>
      <w:r w:rsidR="006F76D4">
        <w:rPr>
          <w:rFonts w:ascii="Times New Roman" w:hAnsi="Times New Roman"/>
          <w:sz w:val="24"/>
        </w:rPr>
        <w:t>3</w:t>
      </w:r>
      <w:r>
        <w:rPr>
          <w:rFonts w:ascii="Times New Roman" w:hAnsi="Times New Roman"/>
          <w:sz w:val="24"/>
        </w:rPr>
        <w:t xml:space="preserve">5.  These loans are secured by a first </w:t>
      </w:r>
      <w:r w:rsidR="006F76D4">
        <w:rPr>
          <w:rFonts w:ascii="Times New Roman" w:hAnsi="Times New Roman"/>
          <w:sz w:val="24"/>
        </w:rPr>
        <w:t>lien</w:t>
      </w:r>
      <w:r>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RDefault="00166231" w:rsidP="00EC73E3">
      <w:pPr>
        <w:rPr>
          <w:rFonts w:ascii="Times New Roman" w:hAnsi="Times New Roman"/>
          <w:sz w:val="24"/>
        </w:rPr>
      </w:pPr>
    </w:p>
    <w:p w:rsidR="00EC73E3" w:rsidRPr="00EC73E3" w:rsidRDefault="00EC73E3" w:rsidP="00EC73E3">
      <w:pPr>
        <w:rPr>
          <w:rFonts w:ascii="Times New Roman" w:hAnsi="Times New Roman"/>
          <w:b/>
          <w:sz w:val="24"/>
          <w:szCs w:val="24"/>
        </w:rPr>
      </w:pPr>
      <w:r w:rsidRPr="00EC73E3">
        <w:rPr>
          <w:rFonts w:ascii="Times New Roman" w:hAnsi="Times New Roman"/>
          <w:sz w:val="24"/>
          <w:szCs w:val="24"/>
        </w:rPr>
        <w:t>This rulemaking proposes to implement changes on the following subject matter: funding in competitive markets and new eligibility requirements; new equity and market survey requirements; and new legal notice requirements to increase transparency.</w:t>
      </w:r>
    </w:p>
    <w:p w:rsidR="00EC73E3" w:rsidRDefault="00EC73E3" w:rsidP="00EC73E3">
      <w:pPr>
        <w:rPr>
          <w:rFonts w:ascii="Times New Roman" w:hAnsi="Times New Roman"/>
          <w:sz w:val="24"/>
        </w:rPr>
      </w:pPr>
    </w:p>
    <w:p w:rsidR="00166231" w:rsidRDefault="00166231" w:rsidP="00166231">
      <w:pPr>
        <w:rPr>
          <w:rFonts w:ascii="Times New Roman" w:hAnsi="Times New Roman"/>
          <w:sz w:val="24"/>
          <w:szCs w:val="24"/>
        </w:rPr>
      </w:pPr>
      <w:r>
        <w:rPr>
          <w:rFonts w:ascii="Times New Roman" w:hAnsi="Times New Roman"/>
          <w:sz w:val="24"/>
        </w:rPr>
        <w:lastRenderedPageBreak/>
        <w:t xml:space="preserve">The collection of information described in this supporting statement is necessary in order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 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RDefault="00166231"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Applications will be submitted by entities to </w:t>
      </w:r>
      <w:r w:rsidR="00E61AEB">
        <w:rPr>
          <w:rFonts w:ascii="Times New Roman" w:hAnsi="Times New Roman"/>
          <w:sz w:val="24"/>
        </w:rPr>
        <w:t>RUS</w:t>
      </w:r>
      <w:r>
        <w:rPr>
          <w:rFonts w:ascii="Times New Roman" w:hAnsi="Times New Roman"/>
          <w:sz w:val="24"/>
        </w:rPr>
        <w:t xml:space="preserve"> </w:t>
      </w:r>
      <w:r w:rsidR="00E61AEB">
        <w:rPr>
          <w:rFonts w:ascii="Times New Roman" w:hAnsi="Times New Roman"/>
          <w:sz w:val="24"/>
        </w:rPr>
        <w:t>in the form of 2 hard copies and a CD containing the material in electronic format</w:t>
      </w:r>
      <w:r>
        <w:rPr>
          <w:rFonts w:ascii="Times New Roman" w:hAnsi="Times New Roman"/>
          <w:sz w:val="24"/>
        </w:rPr>
        <w:t>.  The applicant will submit an application containing those items set forth in the Application Guide</w:t>
      </w:r>
      <w:r w:rsidR="00F94C3C">
        <w:rPr>
          <w:rFonts w:ascii="Times New Roman" w:hAnsi="Times New Roman"/>
          <w:sz w:val="24"/>
        </w:rPr>
        <w:t xml:space="preserve"> </w:t>
      </w:r>
      <w:r>
        <w:rPr>
          <w:rFonts w:ascii="Times New Roman" w:hAnsi="Times New Roman"/>
          <w:sz w:val="24"/>
        </w:rPr>
        <w:t>and the regulation (</w:t>
      </w:r>
      <w:r w:rsidR="00F94C3C">
        <w:rPr>
          <w:rFonts w:ascii="Times New Roman" w:hAnsi="Times New Roman"/>
          <w:sz w:val="24"/>
        </w:rPr>
        <w:t>7 CFR Part 1738</w:t>
      </w:r>
      <w:r>
        <w:rPr>
          <w:rFonts w:ascii="Times New Roman" w:hAnsi="Times New Roman"/>
          <w:sz w:val="24"/>
        </w:rPr>
        <w:t xml:space="preserve">).  </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p>
    <w:p w:rsidR="00BB6AEE" w:rsidRDefault="00BB6AEE" w:rsidP="00252E6B">
      <w:pPr>
        <w:rPr>
          <w:rFonts w:ascii="Times New Roman" w:hAnsi="Times New Roman"/>
          <w:sz w:val="24"/>
        </w:rPr>
      </w:pPr>
    </w:p>
    <w:p w:rsidR="006B24D8" w:rsidRDefault="006B24D8" w:rsidP="006B24D8">
      <w:pPr>
        <w:rPr>
          <w:rFonts w:ascii="Times New Roman" w:hAnsi="Times New Roman"/>
          <w:sz w:val="24"/>
        </w:rPr>
      </w:pPr>
      <w:r>
        <w:rPr>
          <w:rFonts w:ascii="Times New Roman" w:hAnsi="Times New Roman"/>
          <w:b/>
          <w:sz w:val="24"/>
          <w:u w:val="single"/>
        </w:rPr>
        <w:t xml:space="preserve">RUS </w:t>
      </w:r>
      <w:r w:rsidRPr="00D732B2">
        <w:rPr>
          <w:rFonts w:ascii="Times New Roman" w:hAnsi="Times New Roman"/>
          <w:b/>
          <w:sz w:val="24"/>
          <w:u w:val="single"/>
        </w:rPr>
        <w:t>Form 532, “</w:t>
      </w:r>
      <w:r>
        <w:rPr>
          <w:rFonts w:ascii="Times New Roman" w:hAnsi="Times New Roman"/>
          <w:b/>
          <w:sz w:val="24"/>
          <w:u w:val="single"/>
        </w:rPr>
        <w:t>Rural Broadband Access Loan and Loan Guarantee Application</w:t>
      </w:r>
      <w:r w:rsidRPr="00D732B2">
        <w:rPr>
          <w:rFonts w:ascii="Times New Roman" w:hAnsi="Times New Roman"/>
          <w:b/>
          <w:sz w:val="24"/>
        </w:rPr>
        <w:t>”</w:t>
      </w:r>
      <w:r>
        <w:rPr>
          <w:rFonts w:ascii="Times New Roman" w:hAnsi="Times New Roman"/>
          <w:sz w:val="24"/>
        </w:rPr>
        <w:t>, is submitted by loan applicants when requesting a loan from RUS.  Form 532 is used by staff (1) as formal notification of an applicant’s desire to obtain financing from RUS and (2) in determining the preliminary eligibility of an applicant.  The Form 532 also includes the necessary certification and notification requirements of OMB Circular A-129 with regard to Federal debt delinquency.  Schedules A through O are included in Form 532 to support the loan application.  The information provided in the schedules is as follows:</w:t>
      </w:r>
    </w:p>
    <w:p w:rsidR="006B24D8" w:rsidRDefault="006B24D8" w:rsidP="006B24D8">
      <w:pPr>
        <w:rPr>
          <w:rFonts w:ascii="Times New Roman" w:hAnsi="Times New Roman"/>
          <w:sz w:val="24"/>
        </w:rPr>
      </w:pPr>
    </w:p>
    <w:p w:rsidR="006B24D8" w:rsidRPr="00D732B2" w:rsidRDefault="006B24D8" w:rsidP="006B24D8">
      <w:pPr>
        <w:autoSpaceDE w:val="0"/>
        <w:autoSpaceDN w:val="0"/>
        <w:adjustRightInd w:val="0"/>
        <w:outlineLvl w:val="0"/>
        <w:rPr>
          <w:rFonts w:ascii="Times New Roman" w:hAnsi="Times New Roman"/>
          <w:sz w:val="24"/>
          <w:szCs w:val="24"/>
          <w:u w:val="single"/>
        </w:rPr>
      </w:pPr>
      <w:r w:rsidRPr="00D732B2">
        <w:rPr>
          <w:rFonts w:ascii="Times New Roman" w:hAnsi="Times New Roman"/>
          <w:b/>
          <w:bCs/>
          <w:iCs/>
          <w:sz w:val="24"/>
          <w:szCs w:val="24"/>
          <w:u w:val="single"/>
        </w:rPr>
        <w:t>CONGRESSIONAL DISTRICTS (Schedule A</w:t>
      </w:r>
      <w:r w:rsidRPr="00D732B2">
        <w:rPr>
          <w:rFonts w:ascii="Times New Roman" w:hAnsi="Times New Roman"/>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service territory proposed by this project.</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EXECUTIVE SUMMA</w:t>
      </w:r>
      <w:r>
        <w:rPr>
          <w:rFonts w:ascii="Times New Roman" w:hAnsi="Times New Roman"/>
          <w:b/>
          <w:bCs/>
          <w:iCs/>
          <w:sz w:val="24"/>
          <w:szCs w:val="24"/>
          <w:u w:val="single"/>
        </w:rPr>
        <w:t>RY (Schedule B</w:t>
      </w:r>
      <w:r w:rsidRPr="00867F1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32B2" w:rsidRDefault="006B24D8" w:rsidP="006B24D8">
      <w:pPr>
        <w:autoSpaceDE w:val="0"/>
        <w:autoSpaceDN w:val="0"/>
        <w:adjustRightInd w:val="0"/>
        <w:outlineLvl w:val="0"/>
        <w:rPr>
          <w:rFonts w:ascii="Times New Roman" w:hAnsi="Times New Roman"/>
          <w:b/>
          <w:bCs/>
          <w:iCs/>
          <w:sz w:val="24"/>
          <w:szCs w:val="24"/>
          <w:u w:val="single"/>
        </w:rPr>
      </w:pPr>
      <w:r w:rsidRPr="00D732B2">
        <w:rPr>
          <w:rFonts w:ascii="Times New Roman" w:hAnsi="Times New Roman"/>
          <w:b/>
          <w:bCs/>
          <w:iCs/>
          <w:sz w:val="24"/>
          <w:szCs w:val="24"/>
          <w:u w:val="single"/>
        </w:rPr>
        <w:t xml:space="preserve">LEGAL OPINION &amp; PROPERTY SCHEDULE (Schedules </w:t>
      </w:r>
      <w:r>
        <w:rPr>
          <w:rFonts w:ascii="Times New Roman" w:hAnsi="Times New Roman"/>
          <w:b/>
          <w:bCs/>
          <w:iCs/>
          <w:sz w:val="24"/>
          <w:szCs w:val="24"/>
          <w:u w:val="single"/>
        </w:rPr>
        <w:t>C</w:t>
      </w:r>
      <w:r w:rsidRPr="00D732B2">
        <w:rPr>
          <w:rFonts w:ascii="Times New Roman" w:hAnsi="Times New Roman"/>
          <w:b/>
          <w:bCs/>
          <w:iCs/>
          <w:sz w:val="24"/>
          <w:szCs w:val="24"/>
          <w:u w:val="single"/>
        </w:rPr>
        <w:t xml:space="preserve">-1 and </w:t>
      </w:r>
      <w:r>
        <w:rPr>
          <w:rFonts w:ascii="Times New Roman" w:hAnsi="Times New Roman"/>
          <w:b/>
          <w:bCs/>
          <w:iCs/>
          <w:sz w:val="24"/>
          <w:szCs w:val="24"/>
          <w:u w:val="single"/>
        </w:rPr>
        <w:t>C</w:t>
      </w:r>
      <w:r w:rsidRPr="00D732B2">
        <w:rPr>
          <w:rFonts w:ascii="Times New Roman" w:hAnsi="Times New Roman"/>
          <w:b/>
          <w:bCs/>
          <w:iCs/>
          <w:sz w:val="24"/>
          <w:szCs w:val="24"/>
          <w:u w:val="single"/>
        </w:rPr>
        <w:t>-2)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Legal Opinion – A legal opinion shall be prepared in accordance with the sample format as shown on Schedule C-1.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 Schedule C-2 shall include the legal descriptions of all the real property owned by the applicant. It should be categorized into real property, leased-property, easements, and rights-of-way.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CORPORATE STRUCTURE (Schedules D-1 through D-6</w:t>
      </w:r>
      <w:r w:rsidRPr="00867F1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A. Articles of Incorporation or Organization Agreement – A registered copy of the Articles of Incorporation or Oranization Agreement of the applicant should be included as Schedule D-1.</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as schedule D-2.  If the applicant is a Limited Liability Company (LLC), the applicant must submit either LLC agreement for all members of the applicant’s LLC or an opinion of counsel wich certifies that the applicants agreement does not conflict with any of the LLC agreements of the applicant’s members.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Schedule D-3 shall include a list of the board members and a brief biography to highlight their experience within the industry and community.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  Management Experience and Compensation – Schedulce D-4 should include information on the key personnel who will manage the company and the project as outlined in the RUS Bulletin 1738-1.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Schedule D-5 shall include an organizational chart showing the key personnel who manage or will manage the company and/or this project and the number of employees in each division or department managed by those personnel.</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Schedule D-6 should include an organizational chart illustrating all the other entities (parent/subsidiaries) that are affiliated with the applicant and clearly indicate the relationships between these entities and the applicant.  An accompanying narrative should briefly indicate any servies the affiliate will be providing to the applicant.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 xml:space="preserve">BOARD RESOLUTION (Schedule </w:t>
      </w:r>
      <w:r>
        <w:rPr>
          <w:rFonts w:ascii="Times New Roman" w:hAnsi="Times New Roman"/>
          <w:b/>
          <w:bCs/>
          <w:iCs/>
          <w:sz w:val="24"/>
          <w:szCs w:val="24"/>
          <w:u w:val="single"/>
        </w:rPr>
        <w:t>E</w:t>
      </w:r>
      <w:r w:rsidRPr="00867F1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 as Schedule E</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2521A3" w:rsidRDefault="00FD148B" w:rsidP="006B24D8">
      <w:pPr>
        <w:autoSpaceDE w:val="0"/>
        <w:autoSpaceDN w:val="0"/>
        <w:adjustRightInd w:val="0"/>
        <w:rPr>
          <w:rFonts w:ascii="TimesNewRomanPSMT" w:hAnsi="TimesNewRomanPSMT" w:cs="TimesNewRomanPSMT"/>
          <w:b/>
          <w:color w:val="000000"/>
          <w:sz w:val="24"/>
          <w:szCs w:val="24"/>
          <w:u w:val="single"/>
        </w:rPr>
      </w:pPr>
      <w:r w:rsidRPr="00FD148B">
        <w:rPr>
          <w:rFonts w:ascii="TimesNewRomanPSMT" w:hAnsi="TimesNewRomanPSMT" w:cs="TimesNewRomanPSMT"/>
          <w:b/>
          <w:color w:val="000000"/>
          <w:sz w:val="24"/>
          <w:szCs w:val="24"/>
          <w:u w:val="single"/>
        </w:rPr>
        <w:t>SERVICE AREA MAPS AND DEMOGRAPHIC DATA</w:t>
      </w:r>
    </w:p>
    <w:p w:rsidR="006B24D8" w:rsidRPr="000732C9"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complete Schedules F-1 and F-2 to designate and submit maps of their service area and provide additional demographic data about those service areas.</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EXISTING, NEW, AND PROPOSED SERVICE AREAS (Schedule G</w:t>
      </w:r>
      <w:r w:rsidRPr="00D732B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Schedule G must be completed for all existing</w:t>
      </w:r>
      <w:r w:rsidR="006F76D4">
        <w:rPr>
          <w:rFonts w:ascii="Times New Roman" w:hAnsi="Times New Roman"/>
          <w:bCs/>
          <w:iCs/>
          <w:sz w:val="24"/>
          <w:szCs w:val="24"/>
        </w:rPr>
        <w:t xml:space="preserve"> </w:t>
      </w:r>
      <w:r>
        <w:rPr>
          <w:rFonts w:ascii="Times New Roman" w:hAnsi="Times New Roman"/>
          <w:bCs/>
          <w:iCs/>
          <w:sz w:val="24"/>
          <w:szCs w:val="24"/>
        </w:rPr>
        <w:t xml:space="preserve">and new service areas.  The service areas should be listed by four categories:  </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006B24D8" w:rsidRDefault="006B24D8" w:rsidP="006B24D8">
      <w:pPr>
        <w:autoSpaceDE w:val="0"/>
        <w:autoSpaceDN w:val="0"/>
        <w:adjustRightInd w:val="0"/>
        <w:outlineLvl w:val="0"/>
        <w:rPr>
          <w:rFonts w:ascii="Times New Roman" w:hAnsi="Times New Roman"/>
          <w:bCs/>
          <w:iCs/>
          <w:sz w:val="24"/>
          <w:szCs w:val="24"/>
        </w:rPr>
      </w:pPr>
    </w:p>
    <w:p w:rsidR="006B24D8" w:rsidRPr="001E0D39"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32B2" w:rsidRDefault="006B24D8" w:rsidP="006B24D8">
      <w:pPr>
        <w:autoSpaceDE w:val="0"/>
        <w:autoSpaceDN w:val="0"/>
        <w:adjustRightInd w:val="0"/>
        <w:outlineLvl w:val="0"/>
        <w:rPr>
          <w:rFonts w:ascii="Times New Roman" w:hAnsi="Times New Roman"/>
          <w:b/>
          <w:bCs/>
          <w:iCs/>
          <w:sz w:val="24"/>
          <w:szCs w:val="24"/>
          <w:u w:val="single"/>
        </w:rPr>
      </w:pPr>
      <w:r w:rsidRPr="00D732B2">
        <w:rPr>
          <w:rFonts w:ascii="Times New Roman" w:hAnsi="Times New Roman"/>
          <w:b/>
          <w:bCs/>
          <w:iCs/>
          <w:sz w:val="24"/>
          <w:szCs w:val="24"/>
          <w:u w:val="single"/>
        </w:rPr>
        <w:t xml:space="preserve">COMPLIANCE CERTIFICATES (Schedules </w:t>
      </w:r>
      <w:r>
        <w:rPr>
          <w:rFonts w:ascii="Times New Roman" w:hAnsi="Times New Roman"/>
          <w:b/>
          <w:bCs/>
          <w:iCs/>
          <w:sz w:val="24"/>
          <w:szCs w:val="24"/>
          <w:u w:val="single"/>
        </w:rPr>
        <w:t>H</w:t>
      </w:r>
      <w:r w:rsidRPr="00D732B2">
        <w:rPr>
          <w:rFonts w:ascii="Times New Roman" w:hAnsi="Times New Roman"/>
          <w:b/>
          <w:bCs/>
          <w:iCs/>
          <w:sz w:val="24"/>
          <w:szCs w:val="24"/>
          <w:u w:val="single"/>
        </w:rPr>
        <w:t xml:space="preserve">-1 through </w:t>
      </w:r>
      <w:r>
        <w:rPr>
          <w:rFonts w:ascii="Times New Roman" w:hAnsi="Times New Roman"/>
          <w:b/>
          <w:bCs/>
          <w:iCs/>
          <w:sz w:val="24"/>
          <w:szCs w:val="24"/>
          <w:u w:val="single"/>
        </w:rPr>
        <w:t>H</w:t>
      </w:r>
      <w:r w:rsidRPr="00D732B2">
        <w:rPr>
          <w:rFonts w:ascii="Times New Roman" w:hAnsi="Times New Roman"/>
          <w:b/>
          <w:bCs/>
          <w:iCs/>
          <w:sz w:val="24"/>
          <w:szCs w:val="24"/>
          <w:u w:val="single"/>
        </w:rPr>
        <w:t>-</w:t>
      </w:r>
      <w:r>
        <w:rPr>
          <w:rFonts w:ascii="Times New Roman" w:hAnsi="Times New Roman"/>
          <w:b/>
          <w:bCs/>
          <w:iCs/>
          <w:sz w:val="24"/>
          <w:szCs w:val="24"/>
          <w:u w:val="single"/>
        </w:rPr>
        <w:t>6</w:t>
      </w:r>
      <w:r w:rsidRPr="00D732B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Schedules H1 – H6 are forms that need to be certified by the applicant to ensure compliance with Federal statutes and regulations.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Equal Opportunity and Nondiscrimination Certification (Schedule H-1)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 (Schedule H-2)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 (Schedule H-3)</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 (Schedule H-4)</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 (Schedule H-5)</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 (Schedule H-6)</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2521A3" w:rsidRDefault="00FD148B" w:rsidP="006B24D8">
      <w:pPr>
        <w:autoSpaceDE w:val="0"/>
        <w:autoSpaceDN w:val="0"/>
        <w:adjustRightInd w:val="0"/>
        <w:rPr>
          <w:rFonts w:ascii="TimesNewRomanPSMT" w:hAnsi="TimesNewRomanPSMT" w:cs="TimesNewRomanPSMT"/>
          <w:b/>
          <w:color w:val="000000"/>
          <w:sz w:val="24"/>
          <w:szCs w:val="24"/>
          <w:u w:val="single"/>
        </w:rPr>
      </w:pPr>
      <w:r w:rsidRPr="00FD148B">
        <w:rPr>
          <w:rFonts w:ascii="TimesNewRomanPSMT" w:hAnsi="TimesNewRomanPSMT" w:cs="TimesNewRomanPSMT"/>
          <w:b/>
          <w:color w:val="000000"/>
          <w:sz w:val="24"/>
          <w:szCs w:val="24"/>
          <w:u w:val="single"/>
        </w:rPr>
        <w:t>OUTSTANDING FEDERAL DEBT (Schedule I)</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I should list all outstanding Federal Debt, and attach a copy of the loan documents.</w:t>
      </w:r>
    </w:p>
    <w:p w:rsidR="006B24D8" w:rsidRDefault="006B24D8" w:rsidP="006B24D8">
      <w:pPr>
        <w:autoSpaceDE w:val="0"/>
        <w:autoSpaceDN w:val="0"/>
        <w:adjustRightInd w:val="0"/>
        <w:rPr>
          <w:rFonts w:ascii="Times New Roman" w:hAnsi="Times New Roman"/>
          <w:b/>
          <w:bCs/>
          <w:i/>
          <w:iCs/>
          <w:color w:val="0000FF"/>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EQUITY</w:t>
      </w:r>
      <w:r w:rsidRPr="00867F12">
        <w:rPr>
          <w:rFonts w:ascii="Times New Roman" w:hAnsi="Times New Roman"/>
          <w:b/>
          <w:bCs/>
          <w:iCs/>
          <w:sz w:val="24"/>
          <w:szCs w:val="24"/>
          <w:u w:val="single"/>
        </w:rPr>
        <w:t xml:space="preserve"> (Schedule </w:t>
      </w:r>
      <w:r>
        <w:rPr>
          <w:rFonts w:ascii="Times New Roman" w:hAnsi="Times New Roman"/>
          <w:b/>
          <w:bCs/>
          <w:iCs/>
          <w:sz w:val="24"/>
          <w:szCs w:val="24"/>
          <w:u w:val="single"/>
        </w:rPr>
        <w:t>J-1 and J-2</w:t>
      </w:r>
      <w:r w:rsidRPr="00867F1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RUS requires that as a condition to financing that an applicant have equity in an amount equal to 10 percent of the request loan amount at the time of application.  If an applicant’s balance sheet (Schedule L-4a) does not demonstrate the required equity, Schdule I-1 will be included which will provide an investor’s commitment to cover the shortfall by providing additional equity.  This will include a letter from the investor indicating the investor’s commitment, the timing for providing the investment, the amount of the investment, and all terms and conditions associated with the investment.  Schedule I-2 will be used by State and Local Government who wish to satisfy the equity requirement with a general obligation bond.  Included with Schedule I-2 will be an opinion from legal counsel.</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schedule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 xml:space="preserve">RESEARCH DATA AND MARKET ANALYSIS (Schedules </w:t>
      </w:r>
      <w:r>
        <w:rPr>
          <w:rFonts w:ascii="Times New Roman" w:hAnsi="Times New Roman"/>
          <w:b/>
          <w:bCs/>
          <w:iCs/>
          <w:sz w:val="24"/>
          <w:szCs w:val="24"/>
          <w:u w:val="single"/>
        </w:rPr>
        <w:t>K</w:t>
      </w:r>
      <w:r w:rsidRPr="00867F12">
        <w:rPr>
          <w:rFonts w:ascii="Times New Roman" w:hAnsi="Times New Roman"/>
          <w:b/>
          <w:bCs/>
          <w:iCs/>
          <w:sz w:val="24"/>
          <w:szCs w:val="24"/>
          <w:u w:val="single"/>
        </w:rPr>
        <w:t xml:space="preserve">-1 and </w:t>
      </w:r>
      <w:r>
        <w:rPr>
          <w:rFonts w:ascii="Times New Roman" w:hAnsi="Times New Roman"/>
          <w:b/>
          <w:bCs/>
          <w:iCs/>
          <w:sz w:val="24"/>
          <w:szCs w:val="24"/>
          <w:u w:val="single"/>
        </w:rPr>
        <w:t>K</w:t>
      </w:r>
      <w:r w:rsidRPr="00867F12">
        <w:rPr>
          <w:rFonts w:ascii="Times New Roman" w:hAnsi="Times New Roman"/>
          <w:b/>
          <w:bCs/>
          <w:iCs/>
          <w:sz w:val="24"/>
          <w:szCs w:val="24"/>
          <w:u w:val="single"/>
        </w:rPr>
        <w:t>-2)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Market research is critical in determining the interest and demands of the targeted rural areas for the services offered. This research provides the applicant with knowledge of market potential, ,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 xml:space="preserve">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w:t>
      </w:r>
      <w:r>
        <w:rPr>
          <w:rFonts w:ascii="TimesNewRomanPSMT" w:hAnsi="TimesNewRomanPSMT" w:cs="TimesNewRomanPSMT"/>
          <w:color w:val="000000"/>
          <w:sz w:val="24"/>
          <w:szCs w:val="24"/>
        </w:rPr>
        <w:lastRenderedPageBreak/>
        <w:t>conducted within 6 months of the submission of the application to RUS.  Surveys can be conducted through direct-mail; telephone; door-to-door interviews; and town hall meetings.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RDefault="006B24D8" w:rsidP="006B24D8">
      <w:pPr>
        <w:autoSpaceDE w:val="0"/>
        <w:autoSpaceDN w:val="0"/>
        <w:adjustRightInd w:val="0"/>
        <w:rPr>
          <w:rFonts w:ascii="Times New Roman" w:hAnsi="Times New Roman"/>
          <w:b/>
          <w:bCs/>
          <w:color w:val="000000"/>
          <w:sz w:val="24"/>
          <w:szCs w:val="24"/>
        </w:rPr>
      </w:pPr>
    </w:p>
    <w:p w:rsidR="006B24D8" w:rsidRDefault="006B24D8" w:rsidP="006B24D8">
      <w:pPr>
        <w:autoSpaceDE w:val="0"/>
        <w:autoSpaceDN w:val="0"/>
        <w:adjustRightInd w:val="0"/>
        <w:outlineLvl w:val="0"/>
        <w:rPr>
          <w:rFonts w:ascii="Times New Roman" w:hAnsi="Times New Roman"/>
          <w:b/>
          <w:bCs/>
          <w:color w:val="000000"/>
          <w:sz w:val="24"/>
          <w:szCs w:val="24"/>
        </w:rPr>
      </w:pPr>
      <w:r>
        <w:rPr>
          <w:rFonts w:ascii="Times New Roman" w:hAnsi="Times New Roman"/>
          <w:b/>
          <w:bCs/>
          <w:color w:val="000000"/>
          <w:sz w:val="24"/>
          <w:szCs w:val="24"/>
        </w:rPr>
        <w:t>A. Research Data (Schedule K-1)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J-1 shall contain the methodology for conducting the market survey and the tabulated results for each service area, and a copy of the questionnaire used in the market survey.  The results shall include:</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6B24D8" w:rsidRDefault="006B24D8" w:rsidP="006B24D8">
      <w:pPr>
        <w:autoSpaceDE w:val="0"/>
        <w:autoSpaceDN w:val="0"/>
        <w:adjustRightInd w:val="0"/>
        <w:outlineLvl w:val="0"/>
        <w:rPr>
          <w:rFonts w:ascii="Times New Roman" w:hAnsi="Times New Roman"/>
          <w:b/>
          <w:bCs/>
          <w:color w:val="000000"/>
          <w:sz w:val="24"/>
          <w:szCs w:val="24"/>
        </w:rPr>
      </w:pPr>
      <w:r>
        <w:rPr>
          <w:rFonts w:ascii="Times New Roman" w:hAnsi="Times New Roman"/>
          <w:b/>
          <w:bCs/>
          <w:color w:val="000000"/>
          <w:sz w:val="24"/>
          <w:szCs w:val="24"/>
        </w:rPr>
        <w:t>B. Market Analysis (Schedule K-2)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J-2 shall contain an analysis of the research data.</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b/>
          <w:color w:val="000000"/>
          <w:sz w:val="24"/>
          <w:szCs w:val="24"/>
          <w:u w:val="single"/>
        </w:rPr>
      </w:pPr>
      <w:r>
        <w:rPr>
          <w:rFonts w:ascii="TimesNewRomanPSMT" w:hAnsi="TimesNewRomanPSMT" w:cs="TimesNewRomanPSMT"/>
          <w:b/>
          <w:color w:val="000000"/>
          <w:sz w:val="24"/>
          <w:szCs w:val="24"/>
          <w:u w:val="single"/>
        </w:rPr>
        <w:t>COMPETITIVE ANALYSIS (Schedules L-1 and L-2)</w:t>
      </w:r>
    </w:p>
    <w:p w:rsidR="006B24D8" w:rsidRDefault="006B24D8" w:rsidP="006B24D8">
      <w:pPr>
        <w:autoSpaceDE w:val="0"/>
        <w:autoSpaceDN w:val="0"/>
        <w:adjustRightInd w:val="0"/>
        <w:rPr>
          <w:rFonts w:ascii="TimesNewRomanPSMT" w:hAnsi="TimesNewRomanPSMT" w:cs="TimesNewRomanPSMT"/>
          <w:b/>
          <w:color w:val="000000"/>
          <w:sz w:val="24"/>
          <w:szCs w:val="24"/>
          <w:u w:val="single"/>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competitve market analysis for each proposed service area.  Schedule K-1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B51B63"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Schedule K-2 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RDefault="006B24D8" w:rsidP="006B24D8">
      <w:pPr>
        <w:autoSpaceDE w:val="0"/>
        <w:autoSpaceDN w:val="0"/>
        <w:adjustRightInd w:val="0"/>
        <w:rPr>
          <w:rFonts w:ascii="Times New Roman" w:hAnsi="Times New Roman"/>
          <w:i/>
          <w:iCs/>
          <w:color w:val="000000"/>
          <w:sz w:val="24"/>
          <w:szCs w:val="24"/>
        </w:rPr>
      </w:pPr>
    </w:p>
    <w:p w:rsidR="006B24D8" w:rsidRPr="003A4ABD" w:rsidRDefault="006B24D8" w:rsidP="006B24D8">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 xml:space="preserve">FINANCIAL POSITION (Schedules </w:t>
      </w:r>
      <w:r>
        <w:rPr>
          <w:rFonts w:ascii="Times New Roman" w:hAnsi="Times New Roman"/>
          <w:b/>
          <w:bCs/>
          <w:iCs/>
          <w:sz w:val="24"/>
          <w:szCs w:val="24"/>
          <w:u w:val="single"/>
        </w:rPr>
        <w:t>M</w:t>
      </w:r>
      <w:r w:rsidRPr="003A4ABD">
        <w:rPr>
          <w:rFonts w:ascii="Times New Roman" w:hAnsi="Times New Roman"/>
          <w:b/>
          <w:bCs/>
          <w:iCs/>
          <w:sz w:val="24"/>
          <w:szCs w:val="24"/>
          <w:u w:val="single"/>
        </w:rPr>
        <w:t xml:space="preserve">-1 through </w:t>
      </w:r>
      <w:r>
        <w:rPr>
          <w:rFonts w:ascii="Times New Roman" w:hAnsi="Times New Roman"/>
          <w:b/>
          <w:bCs/>
          <w:iCs/>
          <w:sz w:val="24"/>
          <w:szCs w:val="24"/>
          <w:u w:val="single"/>
        </w:rPr>
        <w:t>M</w:t>
      </w:r>
      <w:r w:rsidRPr="003A4ABD">
        <w:rPr>
          <w:rFonts w:ascii="Times New Roman" w:hAnsi="Times New Roman"/>
          <w:b/>
          <w:bCs/>
          <w:iCs/>
          <w:sz w:val="24"/>
          <w:szCs w:val="24"/>
          <w:u w:val="single"/>
        </w:rPr>
        <w:t>-</w:t>
      </w:r>
      <w:r>
        <w:rPr>
          <w:rFonts w:ascii="Times New Roman" w:hAnsi="Times New Roman"/>
          <w:b/>
          <w:bCs/>
          <w:iCs/>
          <w:sz w:val="24"/>
          <w:szCs w:val="24"/>
          <w:u w:val="single"/>
        </w:rPr>
        <w:t>6</w:t>
      </w:r>
      <w:r w:rsidRPr="003A4ABD">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 (Schedule M-1)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Total Outstanding Indebtedness (Schedule M-2)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listing of all outstanding RUS indebtedness, including loan maturity and interest rates, should be included.  A listing of outstanding non-RUS indebtedness, including loan maturity, interest rates and conditions, should be included.  Also, as part of this schedule a copy of all loan documents related to non-RUS indebtedness (notes, loan contracts, mortgages, etc.) should be included.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Subscriber Projection and Service Tiers (Schedule M-3A to L-3C)</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Subscriber projections shall be provided on a yearly basis for five (5) years. A separate table shall be included in Schedule L-3 for each type of service proposed (data, voice, and video).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Financial Forecast and Assumptions (Schedule M-4A to L-4F)</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identify the potential business opportunities within the proposed rural area, the applicant must complete a pro forma financial analysis.  This forecast must cover at least 5 years and be inclusive of </w:t>
      </w:r>
      <w:r>
        <w:rPr>
          <w:rFonts w:ascii="Times New Roman" w:hAnsi="Times New Roman"/>
          <w:b/>
          <w:bCs/>
          <w:color w:val="000000"/>
          <w:sz w:val="24"/>
          <w:szCs w:val="24"/>
        </w:rPr>
        <w:t xml:space="preserve">ALL </w:t>
      </w:r>
      <w:r>
        <w:rPr>
          <w:rFonts w:ascii="TimesNewRomanPSMT" w:hAnsi="TimesNewRomanPSMT" w:cs="TimesNewRomanPSMT"/>
          <w:color w:val="000000"/>
          <w:sz w:val="24"/>
          <w:szCs w:val="24"/>
        </w:rPr>
        <w:t>operations of the applicant, existing and proposed. A detailed narrative of the financial assumptions must be included and address revenues, expenses, working capital, investments, refinancing, acquisitions, and current operations.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Additional Cash (Schedule M-5)</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  Applicants will use Schedule M-5 to document evidence of the analysis.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F. Depreciation Schedule (Schedule M-6)</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A depreciation schedule should be provided as Schedule M-6. This schedule should include all categories of depreciable equipment and facilities that are proposed for purchase through Broadband Loan Project funds only.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3A4ABD"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NETWORK</w:t>
      </w:r>
      <w:r w:rsidRPr="003A4ABD">
        <w:rPr>
          <w:rFonts w:ascii="Times New Roman" w:hAnsi="Times New Roman"/>
          <w:b/>
          <w:bCs/>
          <w:iCs/>
          <w:sz w:val="24"/>
          <w:szCs w:val="24"/>
          <w:u w:val="single"/>
        </w:rPr>
        <w:t xml:space="preserve"> DESIGN (Schedule</w:t>
      </w:r>
      <w:r>
        <w:rPr>
          <w:rFonts w:ascii="Times New Roman" w:hAnsi="Times New Roman"/>
          <w:b/>
          <w:bCs/>
          <w:iCs/>
          <w:sz w:val="24"/>
          <w:szCs w:val="24"/>
          <w:u w:val="single"/>
        </w:rPr>
        <w:t>s</w:t>
      </w:r>
      <w:r w:rsidRPr="003A4ABD">
        <w:rPr>
          <w:rFonts w:ascii="Times New Roman" w:hAnsi="Times New Roman"/>
          <w:b/>
          <w:bCs/>
          <w:iCs/>
          <w:sz w:val="24"/>
          <w:szCs w:val="24"/>
          <w:u w:val="single"/>
        </w:rPr>
        <w:t xml:space="preserve"> </w:t>
      </w:r>
      <w:r>
        <w:rPr>
          <w:rFonts w:ascii="Times New Roman" w:hAnsi="Times New Roman"/>
          <w:b/>
          <w:bCs/>
          <w:iCs/>
          <w:sz w:val="24"/>
          <w:szCs w:val="24"/>
          <w:u w:val="single"/>
        </w:rPr>
        <w:t xml:space="preserve">N-1 </w:t>
      </w:r>
      <w:r w:rsidR="00FB1DC9">
        <w:rPr>
          <w:rFonts w:ascii="Times New Roman" w:hAnsi="Times New Roman"/>
          <w:b/>
          <w:bCs/>
          <w:iCs/>
          <w:sz w:val="24"/>
          <w:szCs w:val="24"/>
          <w:u w:val="single"/>
        </w:rPr>
        <w:t>through</w:t>
      </w:r>
      <w:r>
        <w:rPr>
          <w:rFonts w:ascii="Times New Roman" w:hAnsi="Times New Roman"/>
          <w:b/>
          <w:bCs/>
          <w:iCs/>
          <w:sz w:val="24"/>
          <w:szCs w:val="24"/>
          <w:u w:val="single"/>
        </w:rPr>
        <w:t xml:space="preserve"> N-</w:t>
      </w:r>
      <w:r w:rsidR="00FB1DC9">
        <w:rPr>
          <w:rFonts w:ascii="Times New Roman" w:hAnsi="Times New Roman"/>
          <w:b/>
          <w:bCs/>
          <w:iCs/>
          <w:sz w:val="24"/>
          <w:szCs w:val="24"/>
          <w:u w:val="single"/>
        </w:rPr>
        <w:t>3</w:t>
      </w:r>
      <w:r w:rsidRPr="003A4ABD">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 Schedule N-1 shall present a Network Design</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Schedule N-2 shall present a </w:t>
      </w:r>
      <w:r w:rsidR="00FB1DC9" w:rsidRPr="00FB1DC9">
        <w:rPr>
          <w:rFonts w:ascii="Times New Roman" w:hAnsi="Times New Roman"/>
          <w:sz w:val="24"/>
          <w:szCs w:val="24"/>
        </w:rPr>
        <w:t xml:space="preserve">narrative description of the planned service, whether the service will be outsourced, and how each service will be provisioned and </w:t>
      </w:r>
      <w:proofErr w:type="spellStart"/>
      <w:r w:rsidR="00FB1DC9" w:rsidRPr="00FB1DC9">
        <w:rPr>
          <w:rFonts w:ascii="Times New Roman" w:hAnsi="Times New Roman"/>
          <w:sz w:val="24"/>
          <w:szCs w:val="24"/>
        </w:rPr>
        <w:t>operationalized</w:t>
      </w:r>
      <w:proofErr w:type="spellEnd"/>
      <w:r w:rsidR="00FB1DC9" w:rsidRPr="00FB1DC9">
        <w:rPr>
          <w:rFonts w:ascii="Times New Roman" w:hAnsi="Times New Roman"/>
          <w:color w:val="000000"/>
          <w:sz w:val="24"/>
          <w:szCs w:val="24"/>
        </w:rPr>
        <w:t>.  Schedule N-3</w:t>
      </w:r>
      <w:r w:rsidR="00FB1DC9">
        <w:rPr>
          <w:rFonts w:ascii="TimesNewRomanPSMT" w:hAnsi="TimesNewRomanPSMT" w:cs="TimesNewRomanPSMT"/>
          <w:color w:val="000000"/>
          <w:sz w:val="24"/>
          <w:szCs w:val="24"/>
        </w:rPr>
        <w:t xml:space="preserve"> shall present a </w:t>
      </w:r>
      <w:r>
        <w:rPr>
          <w:rFonts w:ascii="TimesNewRomanPSMT" w:hAnsi="TimesNewRomanPSMT" w:cs="TimesNewRomanPSMT"/>
          <w:color w:val="000000"/>
          <w:sz w:val="24"/>
          <w:szCs w:val="24"/>
        </w:rPr>
        <w:t xml:space="preserve">Network Design Certification in accordance with the Application Guide.  </w:t>
      </w:r>
    </w:p>
    <w:p w:rsidR="00FB1DC9" w:rsidRDefault="00FB1DC9" w:rsidP="006B24D8">
      <w:pPr>
        <w:autoSpaceDE w:val="0"/>
        <w:autoSpaceDN w:val="0"/>
        <w:adjustRightInd w:val="0"/>
        <w:rPr>
          <w:rFonts w:ascii="Times New Roman" w:hAnsi="Times New Roman"/>
          <w:b/>
          <w:bCs/>
          <w:i/>
          <w:iCs/>
          <w:color w:val="0000FF"/>
          <w:sz w:val="24"/>
          <w:szCs w:val="24"/>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NETWORK DIAGRAMS (Schedule</w:t>
      </w:r>
      <w:r>
        <w:rPr>
          <w:rFonts w:ascii="Times New Roman" w:hAnsi="Times New Roman"/>
          <w:b/>
          <w:bCs/>
          <w:iCs/>
          <w:sz w:val="24"/>
          <w:szCs w:val="24"/>
          <w:u w:val="single"/>
        </w:rPr>
        <w:t>s</w:t>
      </w:r>
      <w:r w:rsidRPr="003A4ABD">
        <w:rPr>
          <w:rFonts w:ascii="Times New Roman" w:hAnsi="Times New Roman"/>
          <w:b/>
          <w:bCs/>
          <w:iCs/>
          <w:sz w:val="24"/>
          <w:szCs w:val="24"/>
          <w:u w:val="single"/>
        </w:rPr>
        <w:t xml:space="preserve"> </w:t>
      </w:r>
      <w:r>
        <w:rPr>
          <w:rFonts w:ascii="Times New Roman" w:hAnsi="Times New Roman"/>
          <w:b/>
          <w:bCs/>
          <w:iCs/>
          <w:sz w:val="24"/>
          <w:szCs w:val="24"/>
          <w:u w:val="single"/>
        </w:rPr>
        <w:t>O-1 and O-2</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Existing and proposed network diagrams shall be included in the application as Schedule O-1 and O-2 and provide the level of detail found in the Application Guide. </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Default="00FB1DC9" w:rsidP="00FB1DC9">
      <w:pPr>
        <w:autoSpaceDE w:val="0"/>
        <w:autoSpaceDN w:val="0"/>
        <w:adjustRightInd w:val="0"/>
        <w:rPr>
          <w:rFonts w:ascii="Times New Roman" w:hAnsi="Times New Roman"/>
          <w:b/>
          <w:bCs/>
          <w:i/>
          <w:iCs/>
          <w:color w:val="0000FF"/>
          <w:sz w:val="24"/>
          <w:szCs w:val="24"/>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PROJECT COSTS</w:t>
      </w:r>
      <w:r>
        <w:rPr>
          <w:rFonts w:ascii="Times New Roman" w:hAnsi="Times New Roman"/>
          <w:b/>
          <w:bCs/>
          <w:iCs/>
          <w:sz w:val="24"/>
          <w:szCs w:val="24"/>
          <w:u w:val="single"/>
        </w:rPr>
        <w:t xml:space="preserve"> AND BUILDOUT TIMELINE</w:t>
      </w:r>
      <w:r w:rsidRPr="003A4ABD">
        <w:rPr>
          <w:rFonts w:ascii="Times New Roman" w:hAnsi="Times New Roman"/>
          <w:b/>
          <w:bCs/>
          <w:iCs/>
          <w:sz w:val="24"/>
          <w:szCs w:val="24"/>
          <w:u w:val="single"/>
        </w:rPr>
        <w:t xml:space="preserve"> (Schedule </w:t>
      </w:r>
      <w:r>
        <w:rPr>
          <w:rFonts w:ascii="Times New Roman" w:hAnsi="Times New Roman"/>
          <w:b/>
          <w:bCs/>
          <w:iCs/>
          <w:sz w:val="24"/>
          <w:szCs w:val="24"/>
          <w:u w:val="single"/>
        </w:rPr>
        <w:t>P</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 New Roman" w:hAnsi="Times New Roman"/>
          <w:b/>
          <w:bCs/>
          <w:i/>
          <w:iCs/>
          <w:color w:val="0000FF"/>
          <w:sz w:val="24"/>
          <w:szCs w:val="24"/>
        </w:rPr>
      </w:pPr>
      <w:r>
        <w:rPr>
          <w:rFonts w:ascii="TimesNewRomanPSMT" w:hAnsi="TimesNewRomanPSMT" w:cs="TimesNewRomanPSMT"/>
          <w:color w:val="000000"/>
          <w:sz w:val="24"/>
          <w:szCs w:val="24"/>
        </w:rPr>
        <w:t>Schedule P will provide detailed information on the project capital investment, including detailed project costs, build-out timeline, and project milestones.</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 xml:space="preserve">ENVIRONMENTAL REPORT (Schedule </w:t>
      </w:r>
      <w:r>
        <w:rPr>
          <w:rFonts w:ascii="Times New Roman" w:hAnsi="Times New Roman"/>
          <w:b/>
          <w:bCs/>
          <w:iCs/>
          <w:sz w:val="24"/>
          <w:szCs w:val="24"/>
          <w:u w:val="single"/>
        </w:rPr>
        <w:t>Q</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RUS is responsible for implementing the requirements of the National Environmental Policy Act of 1969 (NEPA), as amended; the Council on Environmental Quality Regulations for Implementing the Procedural Provisions of NEPA and certain related Federal environmental laws, statutes, </w:t>
      </w:r>
      <w:proofErr w:type="spellStart"/>
      <w:r>
        <w:rPr>
          <w:rFonts w:ascii="TimesNewRomanPSMT" w:hAnsi="TimesNewRomanPSMT" w:cs="TimesNewRomanPSMT"/>
          <w:color w:val="000000"/>
          <w:sz w:val="24"/>
          <w:szCs w:val="24"/>
        </w:rPr>
        <w:t>regulations,and</w:t>
      </w:r>
      <w:proofErr w:type="spellEnd"/>
      <w:r>
        <w:rPr>
          <w:rFonts w:ascii="TimesNewRomanPSMT" w:hAnsi="TimesNewRomanPSMT" w:cs="TimesNewRomanPSMT"/>
          <w:color w:val="000000"/>
          <w:sz w:val="24"/>
          <w:szCs w:val="24"/>
        </w:rPr>
        <w:t xml:space="preserve"> Executive Orders (EO) that apply to RUS programs. The policies and procedures set forth in 7 CFR Part 1794,Environmental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an environmental report in accordance with 7 CFR Part 1794, for any facilities that will be constructed with broadband loan funds. A copy of 7 CFR Part 1794 can be retrieved from RUS’s web site.</w:t>
      </w:r>
    </w:p>
    <w:p w:rsidR="00FB1DC9" w:rsidRDefault="00FB1DC9" w:rsidP="006B24D8">
      <w:pPr>
        <w:autoSpaceDE w:val="0"/>
        <w:autoSpaceDN w:val="0"/>
        <w:adjustRightInd w:val="0"/>
        <w:outlineLvl w:val="0"/>
        <w:rPr>
          <w:rFonts w:ascii="Times New Roman" w:hAnsi="Times New Roman"/>
          <w:b/>
          <w:bCs/>
          <w:iCs/>
          <w:sz w:val="24"/>
          <w:szCs w:val="24"/>
          <w:u w:val="single"/>
        </w:rPr>
      </w:pPr>
    </w:p>
    <w:p w:rsidR="00044126" w:rsidRDefault="00044126" w:rsidP="00044126">
      <w:pPr>
        <w:tabs>
          <w:tab w:val="left" w:pos="360"/>
        </w:tabs>
        <w:rPr>
          <w:rFonts w:ascii="TimesNewRomanPSMT" w:hAnsi="TimesNewRomanPSMT" w:cs="TimesNewRomanPSMT"/>
          <w:color w:val="000000"/>
          <w:sz w:val="24"/>
          <w:szCs w:val="24"/>
        </w:rPr>
      </w:pPr>
      <w:r w:rsidRPr="003A4ABD">
        <w:rPr>
          <w:rFonts w:ascii="Times New Roman" w:hAnsi="Times New Roman"/>
          <w:b/>
          <w:bCs/>
          <w:iCs/>
          <w:sz w:val="24"/>
          <w:szCs w:val="24"/>
          <w:u w:val="single"/>
        </w:rPr>
        <w:t>LICENSES AND AGREEMENTS (Schedule</w:t>
      </w:r>
      <w:r>
        <w:rPr>
          <w:rFonts w:ascii="Times New Roman" w:hAnsi="Times New Roman"/>
          <w:b/>
          <w:bCs/>
          <w:iCs/>
          <w:sz w:val="24"/>
          <w:szCs w:val="24"/>
          <w:u w:val="single"/>
        </w:rPr>
        <w:t xml:space="preserve"> R</w:t>
      </w:r>
      <w:r w:rsidRPr="003A4ABD">
        <w:rPr>
          <w:rFonts w:ascii="Times New Roman" w:hAnsi="Times New Roman"/>
          <w:b/>
          <w:bCs/>
          <w:iCs/>
          <w:sz w:val="24"/>
          <w:szCs w:val="24"/>
          <w:u w:val="single"/>
        </w:rPr>
        <w:t>)</w:t>
      </w:r>
    </w:p>
    <w:p w:rsidR="00044126" w:rsidRDefault="00044126" w:rsidP="00044126">
      <w:pPr>
        <w:tabs>
          <w:tab w:val="left" w:pos="360"/>
        </w:tabs>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comple</w:t>
      </w:r>
      <w:r>
        <w:rPr>
          <w:rFonts w:ascii="TimesNewRomanPSMT" w:hAnsi="TimesNewRomanPSMT" w:cs="TimesNewRomanPSMT"/>
          <w:color w:val="000000"/>
          <w:sz w:val="24"/>
          <w:szCs w:val="24"/>
        </w:rPr>
        <w:t xml:space="preserve">te the information in Schedule R </w:t>
      </w:r>
      <w:r>
        <w:rPr>
          <w:rFonts w:ascii="TimesNewRomanPSMT" w:hAnsi="TimesNewRomanPSMT" w:cs="TimesNewRomanPSMT"/>
          <w:color w:val="000000"/>
          <w:sz w:val="24"/>
          <w:szCs w:val="24"/>
        </w:rPr>
        <w:t>for all applicable licenses and agreements and provide supporting documentation.</w:t>
      </w:r>
    </w:p>
    <w:p w:rsidR="00044126" w:rsidRDefault="00044126" w:rsidP="006B24D8">
      <w:pPr>
        <w:autoSpaceDE w:val="0"/>
        <w:autoSpaceDN w:val="0"/>
        <w:adjustRightInd w:val="0"/>
        <w:outlineLvl w:val="0"/>
        <w:rPr>
          <w:rFonts w:ascii="Times New Roman" w:hAnsi="Times New Roman"/>
          <w:b/>
          <w:bCs/>
          <w:iCs/>
          <w:sz w:val="24"/>
          <w:szCs w:val="24"/>
          <w:u w:val="single"/>
        </w:rPr>
      </w:pPr>
    </w:p>
    <w:p w:rsidR="00FB1DC9" w:rsidRDefault="00FB1DC9" w:rsidP="006B24D8">
      <w:pPr>
        <w:autoSpaceDE w:val="0"/>
        <w:autoSpaceDN w:val="0"/>
        <w:adjustRightInd w:val="0"/>
        <w:outlineLvl w:val="0"/>
        <w:rPr>
          <w:rFonts w:ascii="Times New Roman" w:hAnsi="Times New Roman"/>
          <w:b/>
          <w:bCs/>
          <w:iCs/>
          <w:sz w:val="24"/>
          <w:szCs w:val="24"/>
          <w:u w:val="single"/>
        </w:rPr>
      </w:pPr>
    </w:p>
    <w:p w:rsidR="005714F1" w:rsidRDefault="005714F1" w:rsidP="00252E6B">
      <w:pPr>
        <w:tabs>
          <w:tab w:val="left" w:pos="360"/>
        </w:tabs>
        <w:rPr>
          <w:rFonts w:ascii="TimesNewRomanPSMT" w:hAnsi="TimesNewRomanPSMT" w:cs="TimesNewRomanPSMT"/>
          <w:color w:val="000000"/>
          <w:sz w:val="24"/>
          <w:szCs w:val="24"/>
        </w:rPr>
      </w:pPr>
    </w:p>
    <w:p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8F4591">
        <w:rPr>
          <w:rFonts w:ascii="TimesNewRomanPSMT" w:hAnsi="TimesNewRomanPSMT" w:cs="TimesNewRomanPSMT"/>
          <w:color w:val="000000"/>
          <w:sz w:val="24"/>
          <w:szCs w:val="24"/>
        </w:rPr>
        <w:t>filling on</w:t>
      </w:r>
      <w:r>
        <w:rPr>
          <w:rFonts w:ascii="TimesNewRomanPSMT" w:hAnsi="TimesNewRomanPSMT" w:cs="TimesNewRomanPSMT"/>
          <w:color w:val="000000"/>
          <w:sz w:val="24"/>
          <w:szCs w:val="24"/>
        </w:rPr>
        <w:t xml:space="preserve"> its website.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rsidR="005714F1" w:rsidRDefault="005714F1" w:rsidP="00252E6B">
      <w:pPr>
        <w:tabs>
          <w:tab w:val="left" w:pos="360"/>
        </w:tabs>
        <w:rPr>
          <w:rFonts w:ascii="TimesNewRomanPSMT" w:hAnsi="TimesNewRomanPSMT" w:cs="TimesNewRomanPSMT"/>
          <w:color w:val="000000"/>
          <w:sz w:val="24"/>
          <w:szCs w:val="24"/>
        </w:rPr>
      </w:pPr>
    </w:p>
    <w:p w:rsidR="005714F1" w:rsidRDefault="005714F1" w:rsidP="00252E6B">
      <w:pPr>
        <w:tabs>
          <w:tab w:val="left" w:pos="360"/>
        </w:tabs>
        <w:rPr>
          <w:rFonts w:ascii="TimesNewRomanPSMT" w:hAnsi="TimesNewRomanPSMT" w:cs="TimesNewRomanPSMT"/>
          <w:color w:val="000000"/>
          <w:sz w:val="24"/>
          <w:szCs w:val="24"/>
        </w:rPr>
      </w:pPr>
    </w:p>
    <w:p w:rsidR="000B31E5" w:rsidRDefault="000B31E5" w:rsidP="00252E6B">
      <w:pPr>
        <w:tabs>
          <w:tab w:val="left" w:pos="360"/>
        </w:tabs>
        <w:rPr>
          <w:rFonts w:ascii="Times New Roman" w:hAnsi="Times New Roman"/>
          <w:sz w:val="24"/>
        </w:rPr>
      </w:pPr>
      <w:r>
        <w:rPr>
          <w:rFonts w:ascii="Times New Roman" w:hAnsi="Times New Roman"/>
          <w:sz w:val="24"/>
        </w:rPr>
        <w:lastRenderedPageBreak/>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RDefault="000B31E5" w:rsidP="00252E6B">
      <w:pPr>
        <w:tabs>
          <w:tab w:val="left" w:pos="360"/>
        </w:tabs>
        <w:rPr>
          <w:rFonts w:ascii="Times New Roman" w:hAnsi="Times New Roman"/>
          <w:sz w:val="24"/>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E61AEB" w:rsidP="00E964F7">
      <w:pPr>
        <w:rPr>
          <w:rFonts w:ascii="Times New Roman" w:hAnsi="Times New Roman" w:cs="Arial"/>
          <w:color w:val="000080"/>
          <w:sz w:val="24"/>
        </w:rPr>
      </w:pPr>
      <w:r>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p>
    <w:p w:rsidR="00076968" w:rsidRDefault="00076968" w:rsidP="00E964F7">
      <w:pPr>
        <w:rPr>
          <w:rFonts w:ascii="Times New Roman" w:hAnsi="Times New Roman" w:cs="Arial"/>
          <w:color w:val="000080"/>
          <w:sz w:val="24"/>
        </w:rPr>
      </w:pPr>
    </w:p>
    <w:p w:rsidR="00076968" w:rsidRPr="005F137B" w:rsidRDefault="00076968" w:rsidP="00E964F7">
      <w:pPr>
        <w:rPr>
          <w:rFonts w:ascii="Times New Roman" w:hAnsi="Times New Roman"/>
          <w:sz w:val="24"/>
        </w:rPr>
      </w:pPr>
      <w:r w:rsidRPr="005F137B">
        <w:rPr>
          <w:rFonts w:ascii="Times New Roman" w:hAnsi="Times New Roman" w:cs="Arial"/>
          <w:sz w:val="24"/>
        </w:rPr>
        <w:t xml:space="preserve">The agency will make the application form available in a fillable PDF form and post it on the </w:t>
      </w:r>
      <w:r w:rsidR="002521A3">
        <w:rPr>
          <w:rFonts w:ascii="Times New Roman" w:hAnsi="Times New Roman" w:cs="Arial"/>
          <w:sz w:val="24"/>
        </w:rPr>
        <w:t>agency’s</w:t>
      </w:r>
      <w:r w:rsidRPr="005F137B">
        <w:rPr>
          <w:rFonts w:ascii="Times New Roman" w:hAnsi="Times New Roman" w:cs="Arial"/>
          <w:sz w:val="24"/>
        </w:rPr>
        <w:t xml:space="preserve"> website.  The agency seeks approval to post the form.</w:t>
      </w:r>
    </w:p>
    <w:p w:rsidR="00E964F7" w:rsidRPr="00E964F7" w:rsidRDefault="00E964F7"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Pr>
          <w:rFonts w:ascii="Times New Roman" w:hAnsi="Times New Roman"/>
          <w:sz w:val="24"/>
        </w:rPr>
        <w:t>files, will not need to be resubmitted, as listed in the application guide.</w:t>
      </w:r>
    </w:p>
    <w:p w:rsidR="000F2EEF" w:rsidRDefault="000F2EEF"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BB6AEE" w:rsidRDefault="00BB6AEE" w:rsidP="00252E6B">
      <w:pPr>
        <w:rPr>
          <w:rFonts w:ascii="Times New Roman" w:hAnsi="Times New Roman"/>
          <w:sz w:val="24"/>
        </w:rPr>
      </w:pPr>
      <w:r>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173932" w:rsidP="00252E6B">
      <w:pPr>
        <w:rPr>
          <w:rFonts w:ascii="Times New Roman" w:hAnsi="Times New Roman"/>
          <w:sz w:val="24"/>
        </w:rPr>
      </w:pPr>
      <w:r>
        <w:rPr>
          <w:rFonts w:ascii="Times New Roman" w:hAnsi="Times New Roman"/>
          <w:sz w:val="24"/>
        </w:rPr>
        <w:t xml:space="preserve">The required information is </w:t>
      </w:r>
      <w:r w:rsidR="00BB6AEE">
        <w:rPr>
          <w:rFonts w:ascii="Times New Roman" w:hAnsi="Times New Roman"/>
          <w:sz w:val="24"/>
        </w:rPr>
        <w:t>submi</w:t>
      </w:r>
      <w:r>
        <w:rPr>
          <w:rFonts w:ascii="Times New Roman" w:hAnsi="Times New Roman"/>
          <w:sz w:val="24"/>
        </w:rPr>
        <w:t>tted annually</w:t>
      </w:r>
      <w:r w:rsidR="00BB6AEE">
        <w:rPr>
          <w:rFonts w:ascii="Times New Roman" w:hAnsi="Times New Roman"/>
          <w:sz w:val="24"/>
        </w:rPr>
        <w:t xml:space="preserve"> at the time of application </w:t>
      </w:r>
      <w:r>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lastRenderedPageBreak/>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62156" w:rsidP="00362156">
      <w:pPr>
        <w:ind w:left="360"/>
        <w:rPr>
          <w:rFonts w:ascii="Times New Roman" w:hAnsi="Times New Roman"/>
          <w:sz w:val="24"/>
        </w:rPr>
      </w:pPr>
      <w:r>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Pr>
          <w:rFonts w:ascii="Times New Roman" w:hAnsi="Times New Roman"/>
          <w:sz w:val="24"/>
        </w:rPr>
        <w:t xml:space="preserve"> in accordance with 7 CFR Part 1767, which is generally less than a 3-year period.</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BB6AEE" w:rsidRDefault="00BB6AEE" w:rsidP="00252E6B">
      <w:pPr>
        <w:rPr>
          <w:rFonts w:ascii="Times New Roman" w:hAnsi="Times New Roman"/>
          <w:sz w:val="24"/>
        </w:rPr>
      </w:pPr>
    </w:p>
    <w:p w:rsidR="005714F1" w:rsidRDefault="005714F1" w:rsidP="005714F1">
      <w:pPr>
        <w:rPr>
          <w:rFonts w:ascii="Times New Roman" w:hAnsi="Times New Roman"/>
          <w:sz w:val="24"/>
          <w:szCs w:val="24"/>
        </w:rPr>
      </w:pPr>
      <w:r w:rsidRPr="002C1A67">
        <w:rPr>
          <w:rFonts w:ascii="Times New Roman" w:hAnsi="Times New Roman"/>
          <w:sz w:val="24"/>
          <w:szCs w:val="24"/>
        </w:rPr>
        <w:t xml:space="preserve">Since the program’s inception on January 31, 2003, </w:t>
      </w:r>
      <w:r>
        <w:rPr>
          <w:rFonts w:ascii="Times New Roman" w:hAnsi="Times New Roman"/>
          <w:sz w:val="24"/>
          <w:szCs w:val="24"/>
        </w:rPr>
        <w:t>RUS</w:t>
      </w:r>
      <w:r w:rsidRPr="002C1A67">
        <w:rPr>
          <w:rFonts w:ascii="Times New Roman" w:hAnsi="Times New Roman"/>
          <w:sz w:val="24"/>
          <w:szCs w:val="24"/>
        </w:rPr>
        <w:t xml:space="preserve"> </w:t>
      </w:r>
      <w:r>
        <w:rPr>
          <w:rFonts w:ascii="Times New Roman" w:hAnsi="Times New Roman"/>
          <w:sz w:val="24"/>
          <w:szCs w:val="24"/>
        </w:rPr>
        <w:t xml:space="preserve">has </w:t>
      </w:r>
      <w:r w:rsidRPr="002C1A67">
        <w:rPr>
          <w:rFonts w:ascii="Times New Roman" w:hAnsi="Times New Roman"/>
          <w:sz w:val="24"/>
          <w:szCs w:val="24"/>
        </w:rPr>
        <w:t xml:space="preserve">offered numerous workshops and informational sessions across the country.  At these sessions, personnel present detailed instructions on how to apply for a loan and correctly fill out the necessary forms.  The sessions include an overview of the analysis process and post-application procedures.  During the workshops, applicants and borrowers are given the opportunity to ask questions and offer comments on the application process.  </w:t>
      </w:r>
      <w:r>
        <w:rPr>
          <w:rFonts w:ascii="Times New Roman" w:hAnsi="Times New Roman"/>
          <w:sz w:val="24"/>
          <w:szCs w:val="24"/>
        </w:rPr>
        <w:t>RUS</w:t>
      </w:r>
      <w:r w:rsidRPr="002C1A67">
        <w:rPr>
          <w:rFonts w:ascii="Times New Roman" w:hAnsi="Times New Roman"/>
          <w:sz w:val="24"/>
          <w:szCs w:val="24"/>
        </w:rPr>
        <w:t xml:space="preserve"> has consider</w:t>
      </w:r>
      <w:r>
        <w:rPr>
          <w:rFonts w:ascii="Times New Roman" w:hAnsi="Times New Roman"/>
          <w:sz w:val="24"/>
          <w:szCs w:val="24"/>
        </w:rPr>
        <w:t>ed</w:t>
      </w:r>
      <w:r w:rsidRPr="002C1A67">
        <w:rPr>
          <w:rFonts w:ascii="Times New Roman" w:hAnsi="Times New Roman"/>
          <w:sz w:val="24"/>
          <w:szCs w:val="24"/>
        </w:rPr>
        <w:t xml:space="preserve"> the </w:t>
      </w:r>
      <w:r>
        <w:rPr>
          <w:rFonts w:ascii="Times New Roman" w:hAnsi="Times New Roman"/>
          <w:sz w:val="24"/>
          <w:szCs w:val="24"/>
        </w:rPr>
        <w:t xml:space="preserve">feedback </w:t>
      </w:r>
      <w:r w:rsidRPr="002C1A67">
        <w:rPr>
          <w:rFonts w:ascii="Times New Roman" w:hAnsi="Times New Roman"/>
          <w:sz w:val="24"/>
          <w:szCs w:val="24"/>
        </w:rPr>
        <w:t xml:space="preserve">received from the workshops and </w:t>
      </w:r>
      <w:r>
        <w:rPr>
          <w:rFonts w:ascii="Times New Roman" w:hAnsi="Times New Roman"/>
          <w:sz w:val="24"/>
          <w:szCs w:val="24"/>
        </w:rPr>
        <w:t xml:space="preserve">published a proposed rulemaking on </w:t>
      </w:r>
      <w:r w:rsidR="00776E6B">
        <w:rPr>
          <w:rFonts w:ascii="Times New Roman" w:hAnsi="Times New Roman"/>
          <w:sz w:val="24"/>
          <w:szCs w:val="24"/>
        </w:rPr>
        <w:t>May 11, 2007,</w:t>
      </w:r>
      <w:r>
        <w:rPr>
          <w:rFonts w:ascii="Times New Roman" w:hAnsi="Times New Roman"/>
          <w:sz w:val="24"/>
          <w:szCs w:val="24"/>
        </w:rPr>
        <w:t xml:space="preserve"> to address many of the public concerns.  A 60-day notice was published in the proposed rulemaking.  Comments received during the rulemaking process have been incorporated into the next phase of rulemaking. </w:t>
      </w:r>
    </w:p>
    <w:p w:rsidR="005714F1" w:rsidRDefault="005714F1" w:rsidP="005714F1">
      <w:pPr>
        <w:rPr>
          <w:rFonts w:ascii="Times New Roman" w:hAnsi="Times New Roman"/>
          <w:sz w:val="24"/>
          <w:szCs w:val="24"/>
        </w:rPr>
      </w:pPr>
      <w:r>
        <w:rPr>
          <w:rFonts w:ascii="Times New Roman" w:hAnsi="Times New Roman"/>
          <w:sz w:val="24"/>
          <w:szCs w:val="24"/>
        </w:rPr>
        <w:t xml:space="preserve"> </w:t>
      </w:r>
    </w:p>
    <w:p w:rsidR="00FB4405" w:rsidRDefault="00FB4405" w:rsidP="00797433">
      <w:pPr>
        <w:rPr>
          <w:rFonts w:ascii="Times New Roman" w:hAnsi="Times New Roman"/>
          <w:sz w:val="24"/>
        </w:rPr>
      </w:pPr>
      <w:r>
        <w:rPr>
          <w:rFonts w:ascii="Times New Roman" w:hAnsi="Times New Roman"/>
          <w:sz w:val="24"/>
        </w:rPr>
        <w:lastRenderedPageBreak/>
        <w:t>The 2008 Farm Bill implemented statutory changes to the Broadband Program.  These changes make it necessary for the agency to publish an Interim Final rule and collect additional comments on the rulemaking.  The agency is also seeking additional comments on the information collection requirements of the rulemaking and has cited specific questions in the comment</w:t>
      </w:r>
      <w:r w:rsidR="005714F1">
        <w:rPr>
          <w:rFonts w:ascii="Times New Roman" w:hAnsi="Times New Roman"/>
          <w:sz w:val="24"/>
        </w:rPr>
        <w:t>s</w:t>
      </w:r>
      <w:r>
        <w:rPr>
          <w:rFonts w:ascii="Times New Roman" w:hAnsi="Times New Roman"/>
          <w:sz w:val="24"/>
        </w:rPr>
        <w:t xml:space="preserve"> section to solicit opinion on the agency’s estimate of burden hours associated with the collection.</w:t>
      </w:r>
    </w:p>
    <w:p w:rsidR="00A63AE1" w:rsidRDefault="00A63AE1" w:rsidP="00797433">
      <w:pPr>
        <w:rPr>
          <w:rFonts w:ascii="Times New Roman" w:hAnsi="Times New Roman"/>
          <w:sz w:val="24"/>
        </w:rPr>
      </w:pPr>
    </w:p>
    <w:p w:rsidR="00FB4405" w:rsidRPr="002C1A67" w:rsidRDefault="00FB4405" w:rsidP="00797433">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Explain any decision to provide any payment or gift to respondents, other than reenumeration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No such decision has been made.</w:t>
      </w:r>
    </w:p>
    <w:p w:rsidR="00BB6AEE" w:rsidRDefault="00BB6AEE"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RUS</w:t>
      </w:r>
      <w:r>
        <w:rPr>
          <w:rFonts w:ascii="Times New Roman" w:hAnsi="Times New Roman"/>
          <w:sz w:val="24"/>
        </w:rPr>
        <w:t xml:space="preserve"> by borrowers and applicants is covered by the provisions of the Freedom of Information Act (5 U.S.C. 552).</w:t>
      </w:r>
    </w:p>
    <w:p w:rsidR="00BB6AEE" w:rsidRDefault="00BB6AEE"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questions of this nature.</w:t>
      </w:r>
    </w:p>
    <w:p w:rsidR="00BB6AEE" w:rsidRDefault="00BB6AEE"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114F7" w:rsidP="00252E6B">
      <w:pPr>
        <w:rPr>
          <w:rFonts w:ascii="Times New Roman" w:hAnsi="Times New Roman"/>
          <w:sz w:val="24"/>
        </w:rPr>
      </w:pPr>
      <w:r>
        <w:rPr>
          <w:rFonts w:ascii="Times New Roman" w:hAnsi="Times New Roman"/>
          <w:sz w:val="24"/>
        </w:rPr>
        <w:t xml:space="preserve">Between fiscal years 2006 and 2009, </w:t>
      </w:r>
      <w:r w:rsidR="00E61AEB">
        <w:rPr>
          <w:rFonts w:ascii="Times New Roman" w:hAnsi="Times New Roman"/>
          <w:sz w:val="24"/>
        </w:rPr>
        <w:t>RUS</w:t>
      </w:r>
      <w:r w:rsidR="000F2EEF">
        <w:rPr>
          <w:rFonts w:ascii="Times New Roman" w:hAnsi="Times New Roman"/>
          <w:sz w:val="24"/>
        </w:rPr>
        <w:t xml:space="preserve"> </w:t>
      </w:r>
      <w:r>
        <w:rPr>
          <w:rFonts w:ascii="Times New Roman" w:hAnsi="Times New Roman"/>
          <w:sz w:val="24"/>
        </w:rPr>
        <w:t xml:space="preserve">has </w:t>
      </w:r>
      <w:r w:rsidR="000F2EEF">
        <w:rPr>
          <w:rFonts w:ascii="Times New Roman" w:hAnsi="Times New Roman"/>
          <w:sz w:val="24"/>
        </w:rPr>
        <w:t xml:space="preserve">received </w:t>
      </w:r>
      <w:r>
        <w:rPr>
          <w:rFonts w:ascii="Times New Roman" w:hAnsi="Times New Roman"/>
          <w:sz w:val="24"/>
        </w:rPr>
        <w:t>on average 25 loan applications.  The applications range in size</w:t>
      </w:r>
      <w:r w:rsidR="000275F0">
        <w:rPr>
          <w:rFonts w:ascii="Times New Roman" w:hAnsi="Times New Roman"/>
          <w:sz w:val="24"/>
        </w:rPr>
        <w:t xml:space="preserve"> and may cover requests for funding for many communities.</w:t>
      </w:r>
    </w:p>
    <w:p w:rsidR="00A63AE1" w:rsidRDefault="00A63AE1"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All of the pre</w:t>
      </w:r>
      <w:r w:rsidR="00173932">
        <w:rPr>
          <w:rFonts w:ascii="Times New Roman" w:hAnsi="Times New Roman"/>
          <w:sz w:val="24"/>
        </w:rPr>
        <w:t>-</w:t>
      </w:r>
      <w:r>
        <w:rPr>
          <w:rFonts w:ascii="Times New Roman" w:hAnsi="Times New Roman"/>
          <w:sz w:val="24"/>
        </w:rPr>
        <w:t xml:space="preserve">loan data collected by the applicant is generally submitted to </w:t>
      </w:r>
      <w:r w:rsidR="00E61AEB">
        <w:rPr>
          <w:rFonts w:ascii="Times New Roman" w:hAnsi="Times New Roman"/>
          <w:sz w:val="24"/>
        </w:rPr>
        <w:t>RUS</w:t>
      </w:r>
      <w:r>
        <w:rPr>
          <w:rFonts w:ascii="Times New Roman" w:hAnsi="Times New Roman"/>
          <w:sz w:val="24"/>
        </w:rPr>
        <w:t xml:space="preserve"> at the same time.  The annual burden for preparation and submission per respondent for the p</w:t>
      </w:r>
      <w:r w:rsidR="00F05AC6">
        <w:rPr>
          <w:rFonts w:ascii="Times New Roman" w:hAnsi="Times New Roman"/>
          <w:sz w:val="24"/>
        </w:rPr>
        <w:t>re</w:t>
      </w:r>
      <w:r w:rsidR="00173932">
        <w:rPr>
          <w:rFonts w:ascii="Times New Roman" w:hAnsi="Times New Roman"/>
          <w:sz w:val="24"/>
        </w:rPr>
        <w:t>-</w:t>
      </w:r>
      <w:r w:rsidR="00F05AC6">
        <w:rPr>
          <w:rFonts w:ascii="Times New Roman" w:hAnsi="Times New Roman"/>
          <w:sz w:val="24"/>
        </w:rPr>
        <w:t xml:space="preserve">loan data is estimated to be </w:t>
      </w:r>
      <w:r w:rsidR="000275F0">
        <w:rPr>
          <w:rFonts w:ascii="Times New Roman" w:hAnsi="Times New Roman"/>
          <w:sz w:val="24"/>
        </w:rPr>
        <w:t xml:space="preserve">400 </w:t>
      </w:r>
      <w:r w:rsidR="00A63AE1">
        <w:rPr>
          <w:rFonts w:ascii="Times New Roman" w:hAnsi="Times New Roman"/>
          <w:sz w:val="24"/>
        </w:rPr>
        <w:t>hours per response</w:t>
      </w:r>
      <w:r w:rsidR="00CF31D1">
        <w:rPr>
          <w:rFonts w:ascii="Times New Roman" w:hAnsi="Times New Roman"/>
          <w:sz w:val="24"/>
        </w:rPr>
        <w:t xml:space="preserve">, response to the public notice filing requirement is </w:t>
      </w:r>
      <w:r w:rsidR="001467A9">
        <w:rPr>
          <w:rFonts w:ascii="Times New Roman" w:hAnsi="Times New Roman"/>
          <w:sz w:val="24"/>
        </w:rPr>
        <w:t xml:space="preserve">1.5 </w:t>
      </w:r>
      <w:r w:rsidR="00CF31D1">
        <w:rPr>
          <w:rFonts w:ascii="Times New Roman" w:hAnsi="Times New Roman"/>
          <w:sz w:val="24"/>
        </w:rPr>
        <w:t xml:space="preserve">hours per response, </w:t>
      </w:r>
      <w:r w:rsidR="00A63AE1">
        <w:rPr>
          <w:rFonts w:ascii="Times New Roman" w:hAnsi="Times New Roman"/>
          <w:sz w:val="24"/>
        </w:rPr>
        <w:t>and the preparation of loan documents is est</w:t>
      </w:r>
      <w:r w:rsidR="0066309C">
        <w:rPr>
          <w:rFonts w:ascii="Times New Roman" w:hAnsi="Times New Roman"/>
          <w:sz w:val="24"/>
        </w:rPr>
        <w:t xml:space="preserve">imated at 24 hours per response.  </w:t>
      </w:r>
      <w:r w:rsidR="00A63AE1">
        <w:rPr>
          <w:rFonts w:ascii="Times New Roman" w:hAnsi="Times New Roman"/>
          <w:sz w:val="24"/>
        </w:rPr>
        <w:t>(</w:t>
      </w:r>
      <w:r w:rsidR="0066309C">
        <w:rPr>
          <w:rFonts w:ascii="Times New Roman" w:hAnsi="Times New Roman"/>
          <w:sz w:val="24"/>
        </w:rPr>
        <w:t>S</w:t>
      </w:r>
      <w:r w:rsidR="00A63AE1">
        <w:rPr>
          <w:rFonts w:ascii="Times New Roman" w:hAnsi="Times New Roman"/>
          <w:sz w:val="24"/>
        </w:rPr>
        <w:t>ee attached spreadsheet</w:t>
      </w:r>
      <w:r w:rsidR="0085095F">
        <w:rPr>
          <w:rFonts w:ascii="Times New Roman" w:hAnsi="Times New Roman"/>
          <w:sz w:val="24"/>
        </w:rPr>
        <w:t xml:space="preserve"> for breakout.</w:t>
      </w:r>
      <w:r w:rsidR="00A63AE1">
        <w:rPr>
          <w:rFonts w:ascii="Times New Roman" w:hAnsi="Times New Roman"/>
          <w:sz w:val="24"/>
        </w:rPr>
        <w:t>)</w:t>
      </w:r>
    </w:p>
    <w:p w:rsidR="0085095F" w:rsidRDefault="0085095F" w:rsidP="00A63AE1">
      <w:pPr>
        <w:rPr>
          <w:rFonts w:ascii="Times New Roman" w:hAnsi="Times New Roman"/>
          <w:sz w:val="24"/>
        </w:rPr>
      </w:pPr>
    </w:p>
    <w:p w:rsidR="00A63AE1" w:rsidRDefault="00A63AE1" w:rsidP="00A63AE1">
      <w:pPr>
        <w:rPr>
          <w:rFonts w:ascii="Times New Roman" w:hAnsi="Times New Roman"/>
          <w:sz w:val="24"/>
        </w:rPr>
      </w:pPr>
      <w:r>
        <w:rPr>
          <w:rFonts w:ascii="Times New Roman" w:hAnsi="Times New Roman"/>
          <w:sz w:val="24"/>
        </w:rPr>
        <w:t>The Agency estimates the cost to respondents will be estimated at $</w:t>
      </w:r>
      <w:r w:rsidR="008F2C77">
        <w:rPr>
          <w:rFonts w:ascii="Times New Roman" w:hAnsi="Times New Roman"/>
          <w:sz w:val="24"/>
        </w:rPr>
        <w:t>5</w:t>
      </w:r>
      <w:r w:rsidR="00BA41AC">
        <w:rPr>
          <w:rFonts w:ascii="Times New Roman" w:hAnsi="Times New Roman"/>
          <w:sz w:val="24"/>
        </w:rPr>
        <w:t>48,825</w:t>
      </w:r>
      <w:r w:rsidR="0066309C">
        <w:rPr>
          <w:rFonts w:ascii="Times New Roman" w:hAnsi="Times New Roman"/>
          <w:sz w:val="24"/>
        </w:rPr>
        <w:t xml:space="preserve">.  </w:t>
      </w:r>
      <w:r w:rsidR="0085095F">
        <w:rPr>
          <w:rFonts w:ascii="Times New Roman" w:hAnsi="Times New Roman"/>
          <w:sz w:val="24"/>
        </w:rPr>
        <w:t>Organizations use various types of person’s to complete these applications</w:t>
      </w:r>
      <w:r w:rsidR="007947FB">
        <w:rPr>
          <w:rFonts w:ascii="Times New Roman" w:hAnsi="Times New Roman"/>
          <w:sz w:val="24"/>
        </w:rPr>
        <w:t>, including engineering and legal consultants</w:t>
      </w:r>
      <w:r w:rsidR="0085095F">
        <w:rPr>
          <w:rFonts w:ascii="Times New Roman" w:hAnsi="Times New Roman"/>
          <w:sz w:val="24"/>
        </w:rPr>
        <w:t xml:space="preserve">.  </w:t>
      </w:r>
      <w:r w:rsidR="0066309C">
        <w:rPr>
          <w:rFonts w:ascii="Times New Roman" w:hAnsi="Times New Roman"/>
          <w:sz w:val="24"/>
        </w:rPr>
        <w:t xml:space="preserve">The following rates are an average rate attributed to the type of position in the applicant’s organization.  </w:t>
      </w:r>
    </w:p>
    <w:p w:rsidR="00A63AE1" w:rsidRPr="00E964F7" w:rsidRDefault="00A63AE1" w:rsidP="00A63AE1">
      <w:pPr>
        <w:jc w:val="center"/>
        <w:rPr>
          <w:rFonts w:ascii="Arial" w:hAnsi="Arial" w:cs="Arial"/>
          <w:b/>
          <w:sz w:val="22"/>
          <w:szCs w:val="22"/>
        </w:rPr>
      </w:pPr>
    </w:p>
    <w:tbl>
      <w:tblPr>
        <w:tblStyle w:val="TableGrid"/>
        <w:tblW w:w="9360" w:type="dxa"/>
        <w:tblInd w:w="198" w:type="dxa"/>
        <w:tblLook w:val="01E0"/>
      </w:tblPr>
      <w:tblGrid>
        <w:gridCol w:w="2250"/>
        <w:gridCol w:w="2160"/>
        <w:gridCol w:w="1260"/>
        <w:gridCol w:w="2070"/>
        <w:gridCol w:w="1620"/>
      </w:tblGrid>
      <w:tr w:rsidR="00A63AE1" w:rsidTr="00197AFB">
        <w:tc>
          <w:tcPr>
            <w:tcW w:w="225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p>
        </w:tc>
        <w:tc>
          <w:tcPr>
            <w:tcW w:w="216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Hrs. Per.</w:t>
            </w:r>
          </w:p>
        </w:tc>
        <w:tc>
          <w:tcPr>
            <w:tcW w:w="126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Hours</w:t>
            </w:r>
          </w:p>
        </w:tc>
        <w:tc>
          <w:tcPr>
            <w:tcW w:w="2070" w:type="dxa"/>
          </w:tcPr>
          <w:p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rsidR="00A63AE1" w:rsidRPr="00BF4BC3" w:rsidRDefault="00A63AE1" w:rsidP="00197AFB">
            <w:pPr>
              <w:jc w:val="center"/>
              <w:rPr>
                <w:rFonts w:ascii="Arial" w:hAnsi="Arial" w:cs="Arial"/>
                <w:sz w:val="22"/>
                <w:szCs w:val="22"/>
              </w:rPr>
            </w:pPr>
            <w:r w:rsidRPr="00BF4BC3">
              <w:rPr>
                <w:rFonts w:ascii="Arial" w:hAnsi="Arial" w:cs="Arial"/>
                <w:sz w:val="22"/>
                <w:szCs w:val="22"/>
              </w:rPr>
              <w:t>Professional Time</w:t>
            </w:r>
          </w:p>
        </w:tc>
        <w:tc>
          <w:tcPr>
            <w:tcW w:w="162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rsidTr="00197AFB">
        <w:tc>
          <w:tcPr>
            <w:tcW w:w="225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25</w:t>
            </w:r>
            <w:r w:rsidR="00A63AE1">
              <w:rPr>
                <w:rFonts w:ascii="Times New Roman" w:hAnsi="Times New Roman"/>
                <w:sz w:val="24"/>
              </w:rPr>
              <w:t xml:space="preserve"> applicants</w:t>
            </w:r>
          </w:p>
        </w:tc>
        <w:tc>
          <w:tcPr>
            <w:tcW w:w="216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 xml:space="preserve">400 </w:t>
            </w:r>
            <w:r w:rsidR="00A63AE1">
              <w:rPr>
                <w:rFonts w:ascii="Times New Roman" w:hAnsi="Times New Roman"/>
                <w:sz w:val="24"/>
              </w:rPr>
              <w:t>– application</w:t>
            </w:r>
          </w:p>
        </w:tc>
        <w:tc>
          <w:tcPr>
            <w:tcW w:w="1260" w:type="dxa"/>
            <w:tcBorders>
              <w:bottom w:val="single" w:sz="4" w:space="0" w:color="auto"/>
            </w:tcBorders>
          </w:tcPr>
          <w:p w:rsidR="00A63AE1" w:rsidRDefault="0066309C" w:rsidP="00197AFB">
            <w:pPr>
              <w:tabs>
                <w:tab w:val="right" w:pos="954"/>
              </w:tabs>
              <w:rPr>
                <w:rFonts w:ascii="Times New Roman" w:hAnsi="Times New Roman"/>
                <w:sz w:val="24"/>
              </w:rPr>
            </w:pPr>
            <w:r>
              <w:rPr>
                <w:rFonts w:ascii="Times New Roman" w:hAnsi="Times New Roman"/>
                <w:sz w:val="24"/>
              </w:rPr>
              <w:t xml:space="preserve">  </w:t>
            </w:r>
            <w:r w:rsidR="003114F7">
              <w:rPr>
                <w:rFonts w:ascii="Times New Roman" w:hAnsi="Times New Roman"/>
                <w:sz w:val="24"/>
              </w:rPr>
              <w:t>10,000</w:t>
            </w:r>
          </w:p>
        </w:tc>
        <w:tc>
          <w:tcPr>
            <w:tcW w:w="2070" w:type="dxa"/>
            <w:tcBorders>
              <w:bottom w:val="single" w:sz="4" w:space="0" w:color="auto"/>
            </w:tcBorders>
          </w:tcPr>
          <w:p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$50.00</w:t>
            </w: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w:t>
            </w:r>
            <w:r w:rsidR="007947FB">
              <w:rPr>
                <w:rFonts w:ascii="Times New Roman" w:hAnsi="Times New Roman"/>
                <w:sz w:val="24"/>
              </w:rPr>
              <w:t>50</w:t>
            </w:r>
            <w:r>
              <w:rPr>
                <w:rFonts w:ascii="Times New Roman" w:hAnsi="Times New Roman"/>
                <w:sz w:val="24"/>
              </w:rPr>
              <w:t>0,000</w:t>
            </w:r>
          </w:p>
        </w:tc>
      </w:tr>
      <w:tr w:rsidR="003114F7" w:rsidTr="00197AFB">
        <w:tc>
          <w:tcPr>
            <w:tcW w:w="2250" w:type="dxa"/>
            <w:tcBorders>
              <w:bottom w:val="single" w:sz="4" w:space="0" w:color="auto"/>
            </w:tcBorders>
          </w:tcPr>
          <w:p w:rsidR="003114F7" w:rsidRDefault="003114F7" w:rsidP="00197AFB">
            <w:pPr>
              <w:rPr>
                <w:rFonts w:ascii="Times New Roman" w:hAnsi="Times New Roman"/>
                <w:sz w:val="24"/>
              </w:rPr>
            </w:pPr>
            <w:r>
              <w:rPr>
                <w:rFonts w:ascii="Times New Roman" w:hAnsi="Times New Roman"/>
                <w:sz w:val="24"/>
              </w:rPr>
              <w:t>75 public notice filings</w:t>
            </w:r>
          </w:p>
        </w:tc>
        <w:tc>
          <w:tcPr>
            <w:tcW w:w="2160" w:type="dxa"/>
            <w:tcBorders>
              <w:bottom w:val="single" w:sz="4" w:space="0" w:color="auto"/>
            </w:tcBorders>
          </w:tcPr>
          <w:p w:rsidR="003114F7" w:rsidRDefault="001467A9" w:rsidP="00197AFB">
            <w:pPr>
              <w:rPr>
                <w:rFonts w:ascii="Times New Roman" w:hAnsi="Times New Roman"/>
                <w:sz w:val="24"/>
              </w:rPr>
            </w:pPr>
            <w:r>
              <w:rPr>
                <w:rFonts w:ascii="Times New Roman" w:hAnsi="Times New Roman"/>
                <w:sz w:val="24"/>
              </w:rPr>
              <w:t xml:space="preserve">1.5 </w:t>
            </w:r>
            <w:r w:rsidR="003114F7">
              <w:rPr>
                <w:rFonts w:ascii="Times New Roman" w:hAnsi="Times New Roman"/>
                <w:sz w:val="24"/>
              </w:rPr>
              <w:t>– per filing</w:t>
            </w:r>
          </w:p>
        </w:tc>
        <w:tc>
          <w:tcPr>
            <w:tcW w:w="1260" w:type="dxa"/>
            <w:tcBorders>
              <w:bottom w:val="single" w:sz="4" w:space="0" w:color="auto"/>
            </w:tcBorders>
          </w:tcPr>
          <w:p w:rsidR="003114F7" w:rsidRDefault="001467A9" w:rsidP="00197AFB">
            <w:pPr>
              <w:tabs>
                <w:tab w:val="right" w:pos="954"/>
              </w:tabs>
              <w:jc w:val="center"/>
              <w:rPr>
                <w:rFonts w:ascii="Times New Roman" w:hAnsi="Times New Roman"/>
                <w:sz w:val="24"/>
                <w:szCs w:val="24"/>
              </w:rPr>
            </w:pPr>
            <w:r>
              <w:rPr>
                <w:rFonts w:ascii="Times New Roman" w:hAnsi="Times New Roman"/>
                <w:sz w:val="24"/>
                <w:szCs w:val="24"/>
              </w:rPr>
              <w:t>112.5</w:t>
            </w:r>
          </w:p>
        </w:tc>
        <w:tc>
          <w:tcPr>
            <w:tcW w:w="2070" w:type="dxa"/>
            <w:tcBorders>
              <w:bottom w:val="single" w:sz="4" w:space="0" w:color="auto"/>
            </w:tcBorders>
          </w:tcPr>
          <w:p w:rsidR="003114F7" w:rsidRDefault="007947FB" w:rsidP="00197AFB">
            <w:pPr>
              <w:tabs>
                <w:tab w:val="right" w:pos="1134"/>
              </w:tabs>
              <w:rPr>
                <w:rFonts w:ascii="Times New Roman" w:hAnsi="Times New Roman"/>
                <w:sz w:val="24"/>
              </w:rPr>
            </w:pPr>
            <w:r>
              <w:rPr>
                <w:rFonts w:ascii="Times New Roman" w:hAnsi="Times New Roman"/>
                <w:sz w:val="24"/>
              </w:rPr>
              <w:t xml:space="preserve">      $50.00</w:t>
            </w:r>
          </w:p>
        </w:tc>
        <w:tc>
          <w:tcPr>
            <w:tcW w:w="1620" w:type="dxa"/>
          </w:tcPr>
          <w:p w:rsidR="003114F7" w:rsidRDefault="007947FB" w:rsidP="00197AFB">
            <w:pPr>
              <w:tabs>
                <w:tab w:val="right" w:pos="1224"/>
              </w:tabs>
              <w:rPr>
                <w:rFonts w:ascii="Times New Roman" w:hAnsi="Times New Roman"/>
                <w:sz w:val="24"/>
              </w:rPr>
            </w:pPr>
            <w:r>
              <w:rPr>
                <w:rFonts w:ascii="Times New Roman" w:hAnsi="Times New Roman"/>
                <w:sz w:val="24"/>
              </w:rPr>
              <w:t xml:space="preserve">     $</w:t>
            </w:r>
            <w:r w:rsidR="001467A9">
              <w:rPr>
                <w:rFonts w:ascii="Times New Roman" w:hAnsi="Times New Roman"/>
                <w:sz w:val="24"/>
              </w:rPr>
              <w:t>5,625</w:t>
            </w:r>
          </w:p>
        </w:tc>
      </w:tr>
      <w:tr w:rsidR="00A63AE1" w:rsidTr="00197AFB">
        <w:tc>
          <w:tcPr>
            <w:tcW w:w="225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18</w:t>
            </w:r>
            <w:r w:rsidR="00A63AE1">
              <w:rPr>
                <w:rFonts w:ascii="Times New Roman" w:hAnsi="Times New Roman"/>
                <w:sz w:val="24"/>
              </w:rPr>
              <w:t xml:space="preserve"> loan recipients </w:t>
            </w:r>
          </w:p>
        </w:tc>
        <w:tc>
          <w:tcPr>
            <w:tcW w:w="216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24</w:t>
            </w:r>
            <w:r w:rsidR="00A63AE1">
              <w:rPr>
                <w:rFonts w:ascii="Times New Roman" w:hAnsi="Times New Roman"/>
                <w:sz w:val="24"/>
              </w:rPr>
              <w:t xml:space="preserve"> – loan document</w:t>
            </w:r>
          </w:p>
        </w:tc>
        <w:tc>
          <w:tcPr>
            <w:tcW w:w="1260" w:type="dxa"/>
            <w:tcBorders>
              <w:bottom w:val="single" w:sz="4" w:space="0" w:color="auto"/>
            </w:tcBorders>
          </w:tcPr>
          <w:p w:rsidR="00A63AE1" w:rsidRPr="009D1170" w:rsidRDefault="0066309C" w:rsidP="00197AFB">
            <w:pPr>
              <w:tabs>
                <w:tab w:val="right" w:pos="954"/>
              </w:tabs>
              <w:jc w:val="center"/>
              <w:rPr>
                <w:rFonts w:ascii="Times New Roman" w:hAnsi="Times New Roman"/>
                <w:sz w:val="24"/>
                <w:szCs w:val="24"/>
              </w:rPr>
            </w:pPr>
            <w:r>
              <w:rPr>
                <w:rFonts w:ascii="Times New Roman" w:hAnsi="Times New Roman"/>
                <w:sz w:val="24"/>
                <w:szCs w:val="24"/>
              </w:rPr>
              <w:t xml:space="preserve">  </w:t>
            </w:r>
            <w:r w:rsidR="003114F7">
              <w:rPr>
                <w:rFonts w:ascii="Times New Roman" w:hAnsi="Times New Roman"/>
                <w:sz w:val="24"/>
                <w:szCs w:val="24"/>
              </w:rPr>
              <w:t>432</w:t>
            </w:r>
          </w:p>
        </w:tc>
        <w:tc>
          <w:tcPr>
            <w:tcW w:w="2070" w:type="dxa"/>
            <w:tcBorders>
              <w:bottom w:val="single" w:sz="4" w:space="0" w:color="auto"/>
            </w:tcBorders>
          </w:tcPr>
          <w:p w:rsidR="00A63AE1" w:rsidRDefault="00A63AE1" w:rsidP="00197AFB">
            <w:pPr>
              <w:tabs>
                <w:tab w:val="right" w:pos="1134"/>
              </w:tabs>
              <w:rPr>
                <w:rFonts w:ascii="Times New Roman" w:hAnsi="Times New Roman"/>
                <w:sz w:val="24"/>
              </w:rPr>
            </w:pPr>
            <w:r>
              <w:rPr>
                <w:rFonts w:ascii="Times New Roman" w:hAnsi="Times New Roman"/>
                <w:sz w:val="24"/>
              </w:rPr>
              <w:tab/>
              <w:t>$1</w:t>
            </w:r>
            <w:r w:rsidR="007947FB">
              <w:rPr>
                <w:rFonts w:ascii="Times New Roman" w:hAnsi="Times New Roman"/>
                <w:sz w:val="24"/>
              </w:rPr>
              <w:t>00</w:t>
            </w:r>
            <w:r>
              <w:rPr>
                <w:rFonts w:ascii="Times New Roman" w:hAnsi="Times New Roman"/>
                <w:sz w:val="24"/>
              </w:rPr>
              <w:t>.00</w:t>
            </w: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$ 4</w:t>
            </w:r>
            <w:r w:rsidR="007947FB">
              <w:rPr>
                <w:rFonts w:ascii="Times New Roman" w:hAnsi="Times New Roman"/>
                <w:sz w:val="24"/>
              </w:rPr>
              <w:t>3,200</w:t>
            </w:r>
          </w:p>
        </w:tc>
      </w:tr>
      <w:tr w:rsidR="00A63AE1" w:rsidTr="00197AFB">
        <w:tc>
          <w:tcPr>
            <w:tcW w:w="2250" w:type="dxa"/>
            <w:tcBorders>
              <w:top w:val="single" w:sz="4" w:space="0" w:color="auto"/>
              <w:left w:val="nil"/>
              <w:bottom w:val="nil"/>
              <w:right w:val="nil"/>
            </w:tcBorders>
          </w:tcPr>
          <w:p w:rsidR="00A63AE1" w:rsidRDefault="00A63AE1" w:rsidP="00197AFB">
            <w:pPr>
              <w:rPr>
                <w:rFonts w:ascii="Times New Roman" w:hAnsi="Times New Roman"/>
                <w:sz w:val="24"/>
              </w:rPr>
            </w:pPr>
          </w:p>
        </w:tc>
        <w:tc>
          <w:tcPr>
            <w:tcW w:w="2160" w:type="dxa"/>
            <w:tcBorders>
              <w:top w:val="single" w:sz="4" w:space="0" w:color="auto"/>
              <w:left w:val="nil"/>
              <w:bottom w:val="nil"/>
              <w:right w:val="nil"/>
            </w:tcBorders>
          </w:tcPr>
          <w:p w:rsidR="00A63AE1" w:rsidRDefault="00A63AE1" w:rsidP="00197AFB">
            <w:pPr>
              <w:rPr>
                <w:rFonts w:ascii="Times New Roman" w:hAnsi="Times New Roman"/>
                <w:sz w:val="24"/>
              </w:rPr>
            </w:pPr>
            <w:r>
              <w:rPr>
                <w:rFonts w:ascii="Times New Roman" w:hAnsi="Times New Roman"/>
                <w:sz w:val="24"/>
              </w:rPr>
              <w:t xml:space="preserve">Total annual cost </w:t>
            </w:r>
          </w:p>
        </w:tc>
        <w:tc>
          <w:tcPr>
            <w:tcW w:w="1260" w:type="dxa"/>
            <w:tcBorders>
              <w:top w:val="single" w:sz="4" w:space="0" w:color="auto"/>
              <w:left w:val="nil"/>
              <w:bottom w:val="nil"/>
              <w:right w:val="nil"/>
            </w:tcBorders>
          </w:tcPr>
          <w:p w:rsidR="00A63AE1" w:rsidRDefault="00A63AE1" w:rsidP="00197AFB">
            <w:pPr>
              <w:tabs>
                <w:tab w:val="right" w:pos="954"/>
              </w:tabs>
              <w:rPr>
                <w:rFonts w:ascii="Times New Roman" w:hAnsi="Times New Roman"/>
                <w:sz w:val="24"/>
              </w:rPr>
            </w:pPr>
            <w:r>
              <w:rPr>
                <w:rFonts w:ascii="Times New Roman" w:hAnsi="Times New Roman"/>
                <w:sz w:val="24"/>
              </w:rPr>
              <w:t>burden</w:t>
            </w:r>
          </w:p>
        </w:tc>
        <w:tc>
          <w:tcPr>
            <w:tcW w:w="2070" w:type="dxa"/>
            <w:tcBorders>
              <w:top w:val="single" w:sz="4" w:space="0" w:color="auto"/>
              <w:left w:val="nil"/>
              <w:bottom w:val="nil"/>
            </w:tcBorders>
          </w:tcPr>
          <w:p w:rsidR="00A63AE1" w:rsidRDefault="00A63AE1" w:rsidP="00197AFB">
            <w:pPr>
              <w:tabs>
                <w:tab w:val="right" w:pos="1134"/>
              </w:tabs>
              <w:rPr>
                <w:rFonts w:ascii="Times New Roman" w:hAnsi="Times New Roman"/>
                <w:sz w:val="24"/>
              </w:rPr>
            </w:pP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w:t>
            </w:r>
            <w:r w:rsidR="007947FB">
              <w:rPr>
                <w:rFonts w:ascii="Times New Roman" w:hAnsi="Times New Roman"/>
                <w:sz w:val="24"/>
              </w:rPr>
              <w:t>5</w:t>
            </w:r>
            <w:r w:rsidR="001467A9">
              <w:rPr>
                <w:rFonts w:ascii="Times New Roman" w:hAnsi="Times New Roman"/>
                <w:sz w:val="24"/>
              </w:rPr>
              <w:t>48</w:t>
            </w:r>
            <w:r>
              <w:rPr>
                <w:rFonts w:ascii="Times New Roman" w:hAnsi="Times New Roman"/>
                <w:sz w:val="24"/>
              </w:rPr>
              <w:t>,</w:t>
            </w:r>
            <w:r w:rsidR="001467A9">
              <w:rPr>
                <w:rFonts w:ascii="Times New Roman" w:hAnsi="Times New Roman"/>
                <w:sz w:val="24"/>
              </w:rPr>
              <w:t>825</w:t>
            </w:r>
          </w:p>
        </w:tc>
      </w:tr>
    </w:tbl>
    <w:p w:rsidR="00A63AE1" w:rsidRDefault="00A63AE1"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rsidR="00BB6AEE" w:rsidRDefault="00BB6AEE" w:rsidP="00252E6B">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BB6AEE" w:rsidP="00A424C9">
      <w:pPr>
        <w:ind w:left="450"/>
        <w:outlineLvl w:val="0"/>
        <w:rPr>
          <w:rFonts w:ascii="Times New Roman" w:hAnsi="Times New Roman"/>
          <w:sz w:val="24"/>
        </w:rPr>
      </w:pPr>
      <w:r>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BB6AEE" w:rsidP="00BD7FD0">
      <w:pPr>
        <w:ind w:left="450"/>
        <w:rPr>
          <w:rFonts w:ascii="Times New Roman" w:hAnsi="Times New Roman"/>
          <w:sz w:val="24"/>
        </w:rPr>
      </w:pPr>
      <w:r>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0" w:name="OLE_LINK1"/>
      <w:bookmarkStart w:id="1"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BB6AEE" w:rsidRDefault="00BB6AEE" w:rsidP="00252E6B">
      <w:pPr>
        <w:rPr>
          <w:rFonts w:ascii="Times New Roman" w:hAnsi="Times New Roman"/>
          <w:sz w:val="24"/>
        </w:rPr>
      </w:pPr>
      <w:r w:rsidRPr="00530B27">
        <w:rPr>
          <w:rFonts w:ascii="Times New Roman" w:hAnsi="Times New Roman"/>
          <w:color w:val="000000"/>
          <w:sz w:val="24"/>
        </w:rPr>
        <w:t>The cost to the Federal Government to collect and evaluate this information is estimated to be</w:t>
      </w:r>
      <w:r w:rsidR="00CF31D1">
        <w:rPr>
          <w:rFonts w:ascii="Times New Roman" w:hAnsi="Times New Roman"/>
          <w:color w:val="000000"/>
          <w:sz w:val="24"/>
        </w:rPr>
        <w:t xml:space="preserve"> $322,305</w:t>
      </w:r>
      <w:r w:rsidR="00A63AE1">
        <w:rPr>
          <w:rFonts w:ascii="Times New Roman" w:hAnsi="Times New Roman"/>
          <w:color w:val="000000"/>
          <w:sz w:val="24"/>
        </w:rPr>
        <w:t xml:space="preserve"> </w:t>
      </w:r>
      <w:r w:rsidRPr="00530B27">
        <w:rPr>
          <w:rFonts w:ascii="Times New Roman" w:hAnsi="Times New Roman"/>
          <w:color w:val="000000"/>
          <w:sz w:val="24"/>
        </w:rPr>
        <w:t>based</w:t>
      </w:r>
      <w:r>
        <w:rPr>
          <w:rFonts w:ascii="Times New Roman" w:hAnsi="Times New Roman"/>
          <w:sz w:val="24"/>
        </w:rPr>
        <w:t xml:space="preserve"> on the following calculations:</w:t>
      </w:r>
    </w:p>
    <w:p w:rsidR="00BB6AEE" w:rsidRDefault="00BB6AEE" w:rsidP="00252E6B">
      <w:pPr>
        <w:rPr>
          <w:rFonts w:ascii="Times New Roman" w:hAnsi="Times New Roman"/>
          <w:sz w:val="24"/>
        </w:rPr>
      </w:pPr>
    </w:p>
    <w:p w:rsidR="00BB6AEE" w:rsidRDefault="00A2374C" w:rsidP="00252E6B">
      <w:pPr>
        <w:rPr>
          <w:rFonts w:ascii="Times New Roman" w:hAnsi="Times New Roman"/>
          <w:sz w:val="24"/>
        </w:rPr>
      </w:pPr>
      <w:r>
        <w:rPr>
          <w:rFonts w:ascii="Times New Roman" w:hAnsi="Times New Roman"/>
          <w:sz w:val="24"/>
        </w:rPr>
        <w:t xml:space="preserve">Initial review of applications for </w:t>
      </w:r>
      <w:r w:rsidR="008612DC">
        <w:rPr>
          <w:rFonts w:ascii="Times New Roman" w:hAnsi="Times New Roman"/>
          <w:sz w:val="24"/>
        </w:rPr>
        <w:t>priority</w:t>
      </w:r>
      <w:r w:rsidR="00B92DB6">
        <w:rPr>
          <w:rFonts w:ascii="Times New Roman" w:hAnsi="Times New Roman"/>
          <w:sz w:val="24"/>
        </w:rPr>
        <w:t>,</w:t>
      </w:r>
      <w:r w:rsidR="00BB6AEE">
        <w:rPr>
          <w:rFonts w:ascii="Times New Roman" w:hAnsi="Times New Roman"/>
          <w:sz w:val="24"/>
        </w:rPr>
        <w:t xml:space="preserve"> eligibility</w:t>
      </w:r>
      <w:r w:rsidR="00B92DB6">
        <w:rPr>
          <w:rFonts w:ascii="Times New Roman" w:hAnsi="Times New Roman"/>
          <w:sz w:val="24"/>
        </w:rPr>
        <w:t>, and completeness</w:t>
      </w:r>
      <w:r w:rsidR="00BB6AEE">
        <w:rPr>
          <w:rFonts w:ascii="Times New Roman" w:hAnsi="Times New Roman"/>
          <w:sz w:val="24"/>
        </w:rPr>
        <w:t>:</w:t>
      </w:r>
    </w:p>
    <w:p w:rsidR="00BB6AEE" w:rsidRDefault="00A2374C" w:rsidP="00252E6B">
      <w:pPr>
        <w:rPr>
          <w:rFonts w:ascii="Times New Roman" w:hAnsi="Times New Roman"/>
          <w:sz w:val="24"/>
        </w:rPr>
      </w:pPr>
      <w:r>
        <w:rPr>
          <w:rFonts w:ascii="Times New Roman" w:hAnsi="Times New Roman"/>
          <w:sz w:val="24"/>
        </w:rPr>
        <w:tab/>
      </w:r>
    </w:p>
    <w:p w:rsidR="00A2374C" w:rsidRDefault="008612DC" w:rsidP="00252E6B">
      <w:pPr>
        <w:rPr>
          <w:rFonts w:ascii="Times New Roman" w:hAnsi="Times New Roman"/>
          <w:sz w:val="24"/>
        </w:rPr>
      </w:pPr>
      <w:r>
        <w:rPr>
          <w:rFonts w:ascii="Times New Roman" w:hAnsi="Times New Roman"/>
          <w:sz w:val="24"/>
        </w:rPr>
        <w:t xml:space="preserve">   </w:t>
      </w:r>
      <w:r w:rsidR="00A2374C">
        <w:rPr>
          <w:rFonts w:ascii="Times New Roman" w:hAnsi="Times New Roman"/>
          <w:sz w:val="24"/>
        </w:rPr>
        <w:t>Engineer review – $39.70* X 25 applications X 80 hours =</w:t>
      </w:r>
      <w:r>
        <w:rPr>
          <w:rFonts w:ascii="Times New Roman" w:hAnsi="Times New Roman"/>
          <w:sz w:val="24"/>
        </w:rPr>
        <w:t xml:space="preserve"> $79,400</w:t>
      </w:r>
    </w:p>
    <w:p w:rsidR="00BB6AEE" w:rsidRDefault="008612DC" w:rsidP="008612DC">
      <w:pPr>
        <w:rPr>
          <w:rFonts w:ascii="Times New Roman" w:hAnsi="Times New Roman"/>
          <w:sz w:val="24"/>
        </w:rPr>
      </w:pPr>
      <w:r>
        <w:rPr>
          <w:rFonts w:ascii="Times New Roman" w:hAnsi="Times New Roman"/>
          <w:sz w:val="24"/>
        </w:rPr>
        <w:t xml:space="preserve">   </w:t>
      </w:r>
      <w:r w:rsidR="00A2374C">
        <w:rPr>
          <w:rFonts w:ascii="Times New Roman" w:hAnsi="Times New Roman"/>
          <w:sz w:val="24"/>
        </w:rPr>
        <w:t>Loan Analyst review - $39.70* X 25</w:t>
      </w:r>
      <w:r w:rsidR="001C377D">
        <w:rPr>
          <w:rFonts w:ascii="Times New Roman" w:hAnsi="Times New Roman"/>
          <w:sz w:val="24"/>
        </w:rPr>
        <w:t xml:space="preserve"> applications X </w:t>
      </w:r>
      <w:r w:rsidR="00B92DB6">
        <w:rPr>
          <w:rFonts w:ascii="Times New Roman" w:hAnsi="Times New Roman"/>
          <w:sz w:val="24"/>
        </w:rPr>
        <w:t>8</w:t>
      </w:r>
      <w:r w:rsidR="009D1170">
        <w:rPr>
          <w:rFonts w:ascii="Times New Roman" w:hAnsi="Times New Roman"/>
          <w:sz w:val="24"/>
        </w:rPr>
        <w:t>0</w:t>
      </w:r>
      <w:r w:rsidR="001C377D">
        <w:rPr>
          <w:rFonts w:ascii="Times New Roman" w:hAnsi="Times New Roman"/>
          <w:sz w:val="24"/>
        </w:rPr>
        <w:t xml:space="preserve"> hour</w:t>
      </w:r>
      <w:r w:rsidR="00A2374C">
        <w:rPr>
          <w:rFonts w:ascii="Times New Roman" w:hAnsi="Times New Roman"/>
          <w:sz w:val="24"/>
        </w:rPr>
        <w:t>s =</w:t>
      </w:r>
      <w:r w:rsidR="00B92DB6">
        <w:rPr>
          <w:rFonts w:ascii="Times New Roman" w:hAnsi="Times New Roman"/>
          <w:sz w:val="24"/>
        </w:rPr>
        <w:t xml:space="preserve"> $</w:t>
      </w:r>
      <w:r>
        <w:rPr>
          <w:rFonts w:ascii="Times New Roman" w:hAnsi="Times New Roman"/>
          <w:sz w:val="24"/>
        </w:rPr>
        <w:t>79,400</w:t>
      </w:r>
      <w:r w:rsidR="00BB6AEE">
        <w:rPr>
          <w:rFonts w:ascii="Times New Roman" w:hAnsi="Times New Roman"/>
          <w:sz w:val="24"/>
        </w:rPr>
        <w:t>.</w:t>
      </w:r>
    </w:p>
    <w:p w:rsidR="00A2374C" w:rsidRDefault="008612DC" w:rsidP="008612DC">
      <w:pPr>
        <w:rPr>
          <w:rFonts w:ascii="Times New Roman" w:hAnsi="Times New Roman"/>
          <w:sz w:val="24"/>
        </w:rPr>
      </w:pPr>
      <w:r>
        <w:rPr>
          <w:rFonts w:ascii="Times New Roman" w:hAnsi="Times New Roman"/>
          <w:sz w:val="24"/>
        </w:rPr>
        <w:t xml:space="preserve">   </w:t>
      </w:r>
      <w:r w:rsidR="00A2374C">
        <w:rPr>
          <w:rFonts w:ascii="Times New Roman" w:hAnsi="Times New Roman"/>
          <w:sz w:val="24"/>
        </w:rPr>
        <w:t>Recommendation to Operations Chief - $49.22</w:t>
      </w:r>
      <w:r>
        <w:rPr>
          <w:rFonts w:ascii="Times New Roman" w:hAnsi="Times New Roman"/>
          <w:sz w:val="24"/>
        </w:rPr>
        <w:t>**</w:t>
      </w:r>
      <w:r w:rsidR="00A2374C">
        <w:rPr>
          <w:rFonts w:ascii="Times New Roman" w:hAnsi="Times New Roman"/>
          <w:sz w:val="24"/>
        </w:rPr>
        <w:t xml:space="preserve"> X 25 applications X </w:t>
      </w:r>
      <w:r>
        <w:rPr>
          <w:rFonts w:ascii="Times New Roman" w:hAnsi="Times New Roman"/>
          <w:sz w:val="24"/>
        </w:rPr>
        <w:t>1.5 hours = $</w:t>
      </w:r>
      <w:r w:rsidR="00CF31D1">
        <w:rPr>
          <w:rFonts w:ascii="Times New Roman" w:hAnsi="Times New Roman"/>
          <w:sz w:val="24"/>
        </w:rPr>
        <w:t>1,846</w:t>
      </w:r>
    </w:p>
    <w:p w:rsidR="008612DC" w:rsidRDefault="008612DC" w:rsidP="00A2374C">
      <w:pPr>
        <w:ind w:left="540" w:firstLine="180"/>
        <w:rPr>
          <w:rFonts w:ascii="Times New Roman" w:hAnsi="Times New Roman"/>
          <w:sz w:val="24"/>
        </w:rPr>
      </w:pPr>
    </w:p>
    <w:p w:rsidR="00A2374C" w:rsidRDefault="008612DC" w:rsidP="008612DC">
      <w:pPr>
        <w:rPr>
          <w:rFonts w:ascii="Times New Roman" w:hAnsi="Times New Roman"/>
          <w:sz w:val="24"/>
        </w:rPr>
      </w:pPr>
      <w:r>
        <w:rPr>
          <w:rFonts w:ascii="Times New Roman" w:hAnsi="Times New Roman"/>
          <w:sz w:val="24"/>
        </w:rPr>
        <w:t xml:space="preserve">   </w:t>
      </w:r>
      <w:bookmarkStart w:id="2" w:name="OLE_LINK3"/>
      <w:bookmarkStart w:id="3" w:name="OLE_LINK4"/>
      <w:r w:rsidR="00A2374C">
        <w:rPr>
          <w:rFonts w:ascii="Times New Roman" w:hAnsi="Times New Roman"/>
          <w:sz w:val="24"/>
        </w:rPr>
        <w:t>* GS 12, step 5</w:t>
      </w:r>
    </w:p>
    <w:p w:rsidR="00BB6AEE" w:rsidRDefault="008612DC" w:rsidP="00252E6B">
      <w:pPr>
        <w:rPr>
          <w:rFonts w:ascii="Times New Roman" w:hAnsi="Times New Roman"/>
          <w:sz w:val="24"/>
        </w:rPr>
      </w:pPr>
      <w:r>
        <w:rPr>
          <w:rFonts w:ascii="Times New Roman" w:hAnsi="Times New Roman"/>
          <w:sz w:val="24"/>
        </w:rPr>
        <w:t xml:space="preserve">   ** GS 14, step 1</w:t>
      </w:r>
    </w:p>
    <w:bookmarkEnd w:id="2"/>
    <w:bookmarkEnd w:id="3"/>
    <w:p w:rsidR="00BB6AEE" w:rsidRDefault="00BB6AEE" w:rsidP="00252E6B">
      <w:pPr>
        <w:rPr>
          <w:rFonts w:ascii="Times New Roman" w:hAnsi="Times New Roman"/>
          <w:sz w:val="24"/>
        </w:rPr>
      </w:pPr>
    </w:p>
    <w:p w:rsidR="008612DC" w:rsidRDefault="008612DC" w:rsidP="008612DC">
      <w:pPr>
        <w:jc w:val="both"/>
        <w:outlineLvl w:val="0"/>
        <w:rPr>
          <w:rFonts w:ascii="Times New Roman" w:hAnsi="Times New Roman"/>
          <w:sz w:val="24"/>
        </w:rPr>
      </w:pPr>
      <w:r>
        <w:rPr>
          <w:rFonts w:ascii="Times New Roman" w:hAnsi="Times New Roman"/>
          <w:sz w:val="24"/>
        </w:rPr>
        <w:t>Complete review of application:</w:t>
      </w:r>
    </w:p>
    <w:p w:rsidR="008612DC" w:rsidRDefault="008612DC" w:rsidP="008612DC">
      <w:pPr>
        <w:jc w:val="both"/>
        <w:outlineLvl w:val="0"/>
        <w:rPr>
          <w:rFonts w:ascii="Times New Roman" w:hAnsi="Times New Roman"/>
          <w:sz w:val="24"/>
        </w:rPr>
      </w:pPr>
    </w:p>
    <w:p w:rsidR="008612DC" w:rsidRDefault="003114F7" w:rsidP="008612DC">
      <w:pPr>
        <w:rPr>
          <w:rFonts w:ascii="Times New Roman" w:hAnsi="Times New Roman"/>
          <w:sz w:val="24"/>
        </w:rPr>
      </w:pPr>
      <w:r>
        <w:rPr>
          <w:rFonts w:ascii="Times New Roman" w:hAnsi="Times New Roman"/>
          <w:sz w:val="24"/>
        </w:rPr>
        <w:t xml:space="preserve"> Engineer review – $39.70* X 18</w:t>
      </w:r>
      <w:r w:rsidR="008612DC">
        <w:rPr>
          <w:rFonts w:ascii="Times New Roman" w:hAnsi="Times New Roman"/>
          <w:sz w:val="24"/>
        </w:rPr>
        <w:t xml:space="preserve"> applications X 240 hours = $79,400</w:t>
      </w:r>
    </w:p>
    <w:p w:rsidR="008612DC" w:rsidRDefault="008612DC" w:rsidP="008612DC">
      <w:pPr>
        <w:jc w:val="both"/>
        <w:outlineLvl w:val="0"/>
        <w:rPr>
          <w:rFonts w:ascii="Times New Roman" w:hAnsi="Times New Roman"/>
          <w:sz w:val="24"/>
        </w:rPr>
      </w:pPr>
      <w:r>
        <w:rPr>
          <w:rFonts w:ascii="Times New Roman" w:hAnsi="Times New Roman"/>
          <w:sz w:val="24"/>
        </w:rPr>
        <w:t xml:space="preserve">   Lo</w:t>
      </w:r>
      <w:r w:rsidR="003114F7">
        <w:rPr>
          <w:rFonts w:ascii="Times New Roman" w:hAnsi="Times New Roman"/>
          <w:sz w:val="24"/>
        </w:rPr>
        <w:t>an Analyst review - $39.70* X 18</w:t>
      </w:r>
      <w:r>
        <w:rPr>
          <w:rFonts w:ascii="Times New Roman" w:hAnsi="Times New Roman"/>
          <w:sz w:val="24"/>
        </w:rPr>
        <w:t xml:space="preserve"> applications X 240 hours = $79,400</w:t>
      </w:r>
    </w:p>
    <w:p w:rsidR="00DB6F7C" w:rsidRDefault="00DB6F7C" w:rsidP="00DB6F7C">
      <w:pPr>
        <w:rPr>
          <w:rFonts w:ascii="Times New Roman" w:hAnsi="Times New Roman"/>
          <w:sz w:val="24"/>
        </w:rPr>
      </w:pPr>
    </w:p>
    <w:p w:rsidR="00DB6F7C" w:rsidRDefault="00DB6F7C" w:rsidP="00DB6F7C">
      <w:pPr>
        <w:rPr>
          <w:rFonts w:ascii="Times New Roman" w:hAnsi="Times New Roman"/>
          <w:sz w:val="24"/>
        </w:rPr>
      </w:pPr>
      <w:r>
        <w:rPr>
          <w:rFonts w:ascii="Times New Roman" w:hAnsi="Times New Roman"/>
          <w:sz w:val="24"/>
        </w:rPr>
        <w:t xml:space="preserve">     * GS 12, step 5</w:t>
      </w:r>
    </w:p>
    <w:p w:rsidR="00DB6F7C" w:rsidRDefault="00DB6F7C" w:rsidP="00DB6F7C">
      <w:pPr>
        <w:rPr>
          <w:rFonts w:ascii="Times New Roman" w:hAnsi="Times New Roman"/>
          <w:sz w:val="24"/>
        </w:rPr>
      </w:pPr>
      <w:r>
        <w:rPr>
          <w:rFonts w:ascii="Times New Roman" w:hAnsi="Times New Roman"/>
          <w:sz w:val="24"/>
        </w:rPr>
        <w:t xml:space="preserve">   ** GS 14, step 1</w:t>
      </w:r>
    </w:p>
    <w:p w:rsidR="00DB6F7C" w:rsidRDefault="00DB6F7C" w:rsidP="008612DC">
      <w:pPr>
        <w:jc w:val="both"/>
        <w:outlineLvl w:val="0"/>
        <w:rPr>
          <w:rFonts w:ascii="Times New Roman" w:hAnsi="Times New Roman"/>
          <w:sz w:val="24"/>
        </w:rPr>
      </w:pPr>
    </w:p>
    <w:p w:rsidR="008612DC" w:rsidRDefault="00DB6F7C" w:rsidP="008612DC">
      <w:pPr>
        <w:jc w:val="both"/>
        <w:outlineLvl w:val="0"/>
        <w:rPr>
          <w:rFonts w:ascii="Times New Roman" w:hAnsi="Times New Roman"/>
          <w:sz w:val="24"/>
        </w:rPr>
      </w:pPr>
      <w:r>
        <w:rPr>
          <w:rFonts w:ascii="Times New Roman" w:hAnsi="Times New Roman"/>
          <w:sz w:val="24"/>
        </w:rPr>
        <w:t>C</w:t>
      </w:r>
      <w:r w:rsidR="008612DC">
        <w:rPr>
          <w:rFonts w:ascii="Times New Roman" w:hAnsi="Times New Roman"/>
          <w:sz w:val="24"/>
        </w:rPr>
        <w:t>lerical time on various functions:</w:t>
      </w:r>
    </w:p>
    <w:p w:rsidR="00BB6AEE" w:rsidRDefault="008612DC" w:rsidP="00252E6B">
      <w:pPr>
        <w:rPr>
          <w:rFonts w:ascii="Times New Roman" w:hAnsi="Times New Roman"/>
          <w:sz w:val="24"/>
        </w:rPr>
      </w:pPr>
      <w:r>
        <w:rPr>
          <w:rFonts w:ascii="Times New Roman" w:hAnsi="Times New Roman"/>
          <w:sz w:val="24"/>
        </w:rPr>
        <w:t xml:space="preserve">   $19.75* X 2 h</w:t>
      </w:r>
      <w:r w:rsidR="00CF31D1">
        <w:rPr>
          <w:rFonts w:ascii="Times New Roman" w:hAnsi="Times New Roman"/>
          <w:sz w:val="24"/>
        </w:rPr>
        <w:t>ours X 25 applications = $544</w:t>
      </w:r>
    </w:p>
    <w:p w:rsidR="008612DC" w:rsidRDefault="008612DC" w:rsidP="00252E6B">
      <w:pPr>
        <w:rPr>
          <w:rFonts w:ascii="Times New Roman" w:hAnsi="Times New Roman"/>
          <w:sz w:val="24"/>
        </w:rPr>
      </w:pPr>
    </w:p>
    <w:p w:rsidR="008612DC" w:rsidRDefault="00CF31D1" w:rsidP="00CF31D1">
      <w:pPr>
        <w:rPr>
          <w:rFonts w:ascii="Times New Roman" w:hAnsi="Times New Roman"/>
          <w:sz w:val="24"/>
        </w:rPr>
      </w:pPr>
      <w:r>
        <w:rPr>
          <w:rFonts w:ascii="Times New Roman" w:hAnsi="Times New Roman"/>
          <w:sz w:val="24"/>
        </w:rPr>
        <w:t xml:space="preserve">    *</w:t>
      </w:r>
      <w:r w:rsidR="008612DC">
        <w:rPr>
          <w:rFonts w:ascii="Times New Roman" w:hAnsi="Times New Roman"/>
          <w:sz w:val="24"/>
        </w:rPr>
        <w:t xml:space="preserve">Secretary GS 7, step 1 </w:t>
      </w:r>
    </w:p>
    <w:p w:rsidR="003114F7" w:rsidRDefault="003114F7" w:rsidP="003114F7">
      <w:pPr>
        <w:rPr>
          <w:rFonts w:ascii="Times New Roman" w:hAnsi="Times New Roman"/>
          <w:sz w:val="24"/>
        </w:rPr>
      </w:pPr>
    </w:p>
    <w:p w:rsidR="003114F7" w:rsidRDefault="003114F7" w:rsidP="003114F7">
      <w:pPr>
        <w:rPr>
          <w:rFonts w:ascii="Times New Roman" w:hAnsi="Times New Roman"/>
          <w:sz w:val="24"/>
        </w:rPr>
      </w:pPr>
      <w:r>
        <w:rPr>
          <w:rFonts w:ascii="Times New Roman" w:hAnsi="Times New Roman"/>
          <w:sz w:val="24"/>
        </w:rPr>
        <w:t>Preparation of legal documents for loan closing:</w:t>
      </w:r>
    </w:p>
    <w:p w:rsidR="00FD0530" w:rsidRDefault="00FD0530" w:rsidP="003114F7">
      <w:pPr>
        <w:rPr>
          <w:rFonts w:ascii="Times New Roman" w:hAnsi="Times New Roman"/>
          <w:sz w:val="24"/>
        </w:rPr>
      </w:pPr>
    </w:p>
    <w:p w:rsidR="00FD0530" w:rsidRDefault="00FD0530" w:rsidP="003114F7">
      <w:pPr>
        <w:rPr>
          <w:rFonts w:ascii="Times New Roman" w:hAnsi="Times New Roman"/>
          <w:sz w:val="24"/>
        </w:rPr>
      </w:pPr>
      <w:r>
        <w:rPr>
          <w:rFonts w:ascii="Times New Roman" w:hAnsi="Times New Roman"/>
          <w:sz w:val="24"/>
        </w:rPr>
        <w:t xml:space="preserve">  Loan Analyst - $39.70</w:t>
      </w:r>
      <w:r w:rsidR="00CF31D1">
        <w:rPr>
          <w:rFonts w:ascii="Times New Roman" w:hAnsi="Times New Roman"/>
          <w:sz w:val="24"/>
        </w:rPr>
        <w:t>*</w:t>
      </w:r>
      <w:r>
        <w:rPr>
          <w:rFonts w:ascii="Times New Roman" w:hAnsi="Times New Roman"/>
          <w:sz w:val="24"/>
        </w:rPr>
        <w:t xml:space="preserve"> X 18 recipients X 2 hours = $1,429</w:t>
      </w:r>
    </w:p>
    <w:p w:rsidR="00FD0530" w:rsidRDefault="00FD0530" w:rsidP="003114F7">
      <w:pPr>
        <w:rPr>
          <w:rFonts w:ascii="Times New Roman" w:hAnsi="Times New Roman"/>
          <w:sz w:val="24"/>
        </w:rPr>
      </w:pPr>
      <w:r>
        <w:rPr>
          <w:rFonts w:ascii="Times New Roman" w:hAnsi="Times New Roman"/>
          <w:sz w:val="24"/>
        </w:rPr>
        <w:t xml:space="preserve">  Attorney - </w:t>
      </w:r>
      <w:r w:rsidR="00CF31D1">
        <w:rPr>
          <w:rFonts w:ascii="Times New Roman" w:hAnsi="Times New Roman"/>
          <w:sz w:val="24"/>
        </w:rPr>
        <w:t>$49.22** X 18 recipients X 1 hour = $886</w:t>
      </w:r>
    </w:p>
    <w:p w:rsidR="00CF31D1" w:rsidRPr="00CF31D1" w:rsidRDefault="00CF31D1" w:rsidP="005B12A4">
      <w:pPr>
        <w:tabs>
          <w:tab w:val="left" w:pos="450"/>
        </w:tabs>
        <w:ind w:left="450" w:hanging="450"/>
        <w:rPr>
          <w:rFonts w:ascii="Times New Roman" w:hAnsi="Times New Roman"/>
          <w:sz w:val="24"/>
          <w:szCs w:val="24"/>
        </w:rPr>
      </w:pPr>
    </w:p>
    <w:p w:rsidR="00CF31D1" w:rsidRPr="00CF31D1" w:rsidRDefault="00CF31D1" w:rsidP="00CF31D1">
      <w:pPr>
        <w:tabs>
          <w:tab w:val="left" w:pos="450"/>
        </w:tabs>
        <w:ind w:left="450" w:hanging="450"/>
        <w:rPr>
          <w:rFonts w:ascii="Times New Roman" w:hAnsi="Times New Roman"/>
          <w:sz w:val="24"/>
          <w:szCs w:val="24"/>
        </w:rPr>
      </w:pPr>
      <w:r w:rsidRPr="00CF31D1">
        <w:rPr>
          <w:rFonts w:ascii="Times New Roman" w:hAnsi="Times New Roman"/>
          <w:sz w:val="24"/>
          <w:szCs w:val="24"/>
        </w:rPr>
        <w:t xml:space="preserve">    * GS 12, step 5</w:t>
      </w:r>
    </w:p>
    <w:p w:rsidR="00CF31D1" w:rsidRPr="00CF31D1" w:rsidRDefault="00CF31D1" w:rsidP="00CF31D1">
      <w:pPr>
        <w:tabs>
          <w:tab w:val="left" w:pos="450"/>
        </w:tabs>
        <w:ind w:left="450" w:hanging="450"/>
        <w:rPr>
          <w:rFonts w:ascii="Times New Roman" w:hAnsi="Times New Roman"/>
          <w:sz w:val="24"/>
          <w:szCs w:val="24"/>
        </w:rPr>
      </w:pPr>
      <w:r w:rsidRPr="00CF31D1">
        <w:rPr>
          <w:rFonts w:ascii="Times New Roman" w:hAnsi="Times New Roman"/>
          <w:sz w:val="24"/>
          <w:szCs w:val="24"/>
        </w:rPr>
        <w:t xml:space="preserve">    *GS 14, step 1</w:t>
      </w:r>
    </w:p>
    <w:bookmarkEnd w:id="0"/>
    <w:bookmarkEnd w:id="1"/>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BB6AEE" w:rsidRDefault="00BB6AEE" w:rsidP="00252E6B">
      <w:pPr>
        <w:rPr>
          <w:rFonts w:ascii="Times New Roman" w:hAnsi="Times New Roman"/>
          <w:sz w:val="24"/>
        </w:rPr>
      </w:pPr>
    </w:p>
    <w:p w:rsidR="0087406C" w:rsidRPr="0087406C" w:rsidRDefault="00A63AE1" w:rsidP="0087406C">
      <w:pPr>
        <w:autoSpaceDE w:val="0"/>
        <w:autoSpaceDN w:val="0"/>
        <w:adjustRightInd w:val="0"/>
        <w:rPr>
          <w:rFonts w:ascii="Times New Roman" w:hAnsi="Times New Roman"/>
          <w:sz w:val="24"/>
          <w:szCs w:val="24"/>
        </w:rPr>
      </w:pPr>
      <w:r w:rsidRPr="00EC73E3">
        <w:rPr>
          <w:rFonts w:ascii="Times New Roman" w:hAnsi="Times New Roman"/>
          <w:sz w:val="24"/>
        </w:rPr>
        <w:t>This is a revision of a currently approved information collection</w:t>
      </w:r>
      <w:r w:rsidR="00770DA5">
        <w:rPr>
          <w:rFonts w:ascii="Times New Roman" w:hAnsi="Times New Roman"/>
          <w:sz w:val="24"/>
        </w:rPr>
        <w:t xml:space="preserve"> and is tied to </w:t>
      </w:r>
      <w:r w:rsidR="00076968">
        <w:rPr>
          <w:rFonts w:ascii="Times New Roman" w:hAnsi="Times New Roman"/>
          <w:sz w:val="24"/>
        </w:rPr>
        <w:t>an interim rule</w:t>
      </w:r>
      <w:r w:rsidRPr="00EC73E3">
        <w:rPr>
          <w:rFonts w:ascii="Times New Roman" w:hAnsi="Times New Roman"/>
          <w:sz w:val="24"/>
        </w:rPr>
        <w:t xml:space="preserve">.  </w:t>
      </w:r>
      <w:r w:rsidR="00EC73E3" w:rsidRPr="00EC73E3">
        <w:rPr>
          <w:rFonts w:ascii="Times New Roman" w:hAnsi="Times New Roman"/>
          <w:sz w:val="24"/>
        </w:rPr>
        <w:t>The items covered by this collection include forms and related documentation to support a loan application, including Form 532 and supporting documentation</w:t>
      </w:r>
      <w:r w:rsidR="00EC73E3">
        <w:rPr>
          <w:rFonts w:ascii="Times New Roman" w:hAnsi="Times New Roman"/>
          <w:sz w:val="24"/>
        </w:rPr>
        <w:t xml:space="preserve">. </w:t>
      </w:r>
      <w:r w:rsidR="00EC73E3" w:rsidRPr="00EC73E3">
        <w:rPr>
          <w:rFonts w:ascii="Times New Roman" w:hAnsi="Times New Roman"/>
          <w:sz w:val="24"/>
          <w:szCs w:val="24"/>
        </w:rPr>
        <w:t>Revisions to the information collection include</w:t>
      </w:r>
      <w:r w:rsidR="00E80FE0">
        <w:rPr>
          <w:rFonts w:ascii="Times New Roman" w:hAnsi="Times New Roman"/>
          <w:sz w:val="24"/>
          <w:szCs w:val="24"/>
        </w:rPr>
        <w:t xml:space="preserve"> reworking the order of the application form into a more user friendly document</w:t>
      </w:r>
      <w:r w:rsidR="00784CC8">
        <w:rPr>
          <w:rFonts w:ascii="Times New Roman" w:hAnsi="Times New Roman"/>
          <w:sz w:val="24"/>
          <w:szCs w:val="24"/>
        </w:rPr>
        <w:t xml:space="preserve"> which will</w:t>
      </w:r>
      <w:r w:rsidR="00E80FE0">
        <w:rPr>
          <w:rFonts w:ascii="Times New Roman" w:hAnsi="Times New Roman"/>
          <w:sz w:val="24"/>
          <w:szCs w:val="24"/>
        </w:rPr>
        <w:t xml:space="preserve"> allow</w:t>
      </w:r>
      <w:r w:rsidR="00784CC8">
        <w:rPr>
          <w:rFonts w:ascii="Times New Roman" w:hAnsi="Times New Roman"/>
          <w:sz w:val="24"/>
          <w:szCs w:val="24"/>
        </w:rPr>
        <w:t xml:space="preserve"> </w:t>
      </w:r>
      <w:r w:rsidR="00E80FE0">
        <w:rPr>
          <w:rFonts w:ascii="Times New Roman" w:hAnsi="Times New Roman"/>
          <w:sz w:val="24"/>
          <w:szCs w:val="24"/>
        </w:rPr>
        <w:t>the agency to capture the requested information in a format that the agency can use</w:t>
      </w:r>
      <w:r w:rsidR="00784CC8">
        <w:rPr>
          <w:rFonts w:ascii="Times New Roman" w:hAnsi="Times New Roman"/>
          <w:sz w:val="24"/>
          <w:szCs w:val="24"/>
        </w:rPr>
        <w:t xml:space="preserve">. </w:t>
      </w:r>
      <w:r w:rsidR="00EC73E3" w:rsidRPr="00EC73E3">
        <w:rPr>
          <w:rFonts w:ascii="Times New Roman" w:hAnsi="Times New Roman"/>
          <w:sz w:val="24"/>
          <w:szCs w:val="24"/>
        </w:rPr>
        <w:t xml:space="preserve"> </w:t>
      </w:r>
      <w:r w:rsidR="00784CC8">
        <w:rPr>
          <w:rFonts w:ascii="Times New Roman" w:hAnsi="Times New Roman"/>
          <w:sz w:val="24"/>
          <w:szCs w:val="24"/>
        </w:rPr>
        <w:t xml:space="preserve">Specific program changes are:  </w:t>
      </w:r>
      <w:r w:rsidR="00EC73E3" w:rsidRPr="00EC73E3">
        <w:rPr>
          <w:rFonts w:ascii="Times New Roman" w:hAnsi="Times New Roman"/>
          <w:sz w:val="24"/>
          <w:szCs w:val="24"/>
        </w:rPr>
        <w:t>(1) funding in competitive markets and new eligibility requirements (revisions will affect the details of an application, but not the difficulty of preparation or quantity of information provided; accordingly, the paperwork burden associated with these changes is not expected to be appreciably more or less than under the existing rule); (2) new equity requirements (revisions will affect the details of an application, but not the difficulty of preparation or quantity of information provided;</w:t>
      </w:r>
      <w:r w:rsidR="00EC73E3">
        <w:rPr>
          <w:rFonts w:ascii="Times New Roman" w:hAnsi="Times New Roman"/>
          <w:sz w:val="24"/>
          <w:szCs w:val="24"/>
        </w:rPr>
        <w:t xml:space="preserve"> </w:t>
      </w:r>
      <w:r w:rsidR="00EC73E3" w:rsidRPr="00EC73E3">
        <w:rPr>
          <w:rFonts w:ascii="Times New Roman" w:hAnsi="Times New Roman"/>
          <w:sz w:val="24"/>
          <w:szCs w:val="24"/>
        </w:rPr>
        <w:t>accordingly, the paperwork burden associated with these changes is not expected to be</w:t>
      </w:r>
      <w:r w:rsidR="00EC73E3">
        <w:rPr>
          <w:rFonts w:ascii="Times New Roman" w:hAnsi="Times New Roman"/>
          <w:sz w:val="24"/>
          <w:szCs w:val="24"/>
        </w:rPr>
        <w:t xml:space="preserve"> </w:t>
      </w:r>
      <w:r w:rsidR="00EC73E3" w:rsidRPr="00EC73E3">
        <w:rPr>
          <w:rFonts w:ascii="Times New Roman" w:hAnsi="Times New Roman"/>
          <w:sz w:val="24"/>
          <w:szCs w:val="24"/>
        </w:rPr>
        <w:t>appreciably more or less than under the existing rule); (3) new market survey requirements (the associated paperwork burden will be reduced by a small amount for some applicants as the requirement will be eliminated in certain instances); and (4) new legal notice requirements to increase transparency (t</w:t>
      </w:r>
      <w:r w:rsidR="00EC73E3" w:rsidRPr="00EC73E3">
        <w:rPr>
          <w:rFonts w:ascii="Times New Roman" w:hAnsi="Times New Roman"/>
          <w:snapToGrid w:val="0"/>
          <w:sz w:val="24"/>
          <w:szCs w:val="24"/>
        </w:rPr>
        <w:t>he additional information required by the proposed modification of leg</w:t>
      </w:r>
      <w:r w:rsidR="00EC73E3" w:rsidRPr="0087406C">
        <w:rPr>
          <w:rFonts w:ascii="Times New Roman" w:hAnsi="Times New Roman"/>
          <w:snapToGrid w:val="0"/>
          <w:sz w:val="24"/>
          <w:szCs w:val="24"/>
        </w:rPr>
        <w:t>al notice requirement will increase the paperwork burden of each application by a small amount</w:t>
      </w:r>
      <w:r w:rsidR="00784CC8">
        <w:rPr>
          <w:rFonts w:ascii="Times New Roman" w:hAnsi="Times New Roman"/>
          <w:snapToGrid w:val="0"/>
          <w:sz w:val="24"/>
          <w:szCs w:val="24"/>
        </w:rPr>
        <w:t xml:space="preserve"> and the</w:t>
      </w:r>
      <w:r w:rsidR="002521A3">
        <w:rPr>
          <w:rFonts w:ascii="Times New Roman" w:hAnsi="Times New Roman"/>
          <w:snapToGrid w:val="0"/>
          <w:sz w:val="24"/>
          <w:szCs w:val="24"/>
        </w:rPr>
        <w:t>re</w:t>
      </w:r>
      <w:r w:rsidR="00784CC8">
        <w:rPr>
          <w:rFonts w:ascii="Times New Roman" w:hAnsi="Times New Roman"/>
          <w:snapToGrid w:val="0"/>
          <w:sz w:val="24"/>
          <w:szCs w:val="24"/>
        </w:rPr>
        <w:t xml:space="preserve"> will be voluntary burden on incumbent service providers</w:t>
      </w:r>
      <w:r w:rsidR="00EC73E3" w:rsidRPr="0087406C">
        <w:rPr>
          <w:rFonts w:ascii="Times New Roman" w:hAnsi="Times New Roman"/>
          <w:snapToGrid w:val="0"/>
          <w:sz w:val="24"/>
          <w:szCs w:val="24"/>
        </w:rPr>
        <w:t>).</w:t>
      </w:r>
      <w:r w:rsidR="00784CC8">
        <w:rPr>
          <w:rFonts w:ascii="Times New Roman" w:hAnsi="Times New Roman"/>
          <w:snapToGrid w:val="0"/>
          <w:sz w:val="24"/>
          <w:szCs w:val="24"/>
        </w:rPr>
        <w:t xml:space="preserve"> </w:t>
      </w:r>
    </w:p>
    <w:p w:rsidR="002A1E35" w:rsidRDefault="002A1E35" w:rsidP="00252E6B">
      <w:pPr>
        <w:rPr>
          <w:rFonts w:ascii="Times New Roman" w:hAnsi="Times New Roman"/>
          <w:sz w:val="24"/>
        </w:rPr>
      </w:pPr>
    </w:p>
    <w:p w:rsidR="00EC73E3" w:rsidRDefault="00784CC8" w:rsidP="00252E6B">
      <w:pPr>
        <w:rPr>
          <w:rFonts w:ascii="Times New Roman" w:hAnsi="Times New Roman"/>
          <w:sz w:val="24"/>
        </w:rPr>
      </w:pPr>
      <w:r>
        <w:rPr>
          <w:rFonts w:ascii="Times New Roman" w:hAnsi="Times New Roman"/>
          <w:sz w:val="24"/>
        </w:rPr>
        <w:t>There is an overall decrease for this collection of 2,</w:t>
      </w:r>
      <w:r w:rsidR="001467A9">
        <w:rPr>
          <w:rFonts w:ascii="Times New Roman" w:hAnsi="Times New Roman"/>
          <w:sz w:val="24"/>
        </w:rPr>
        <w:t>935</w:t>
      </w:r>
      <w:r>
        <w:rPr>
          <w:rFonts w:ascii="Times New Roman" w:hAnsi="Times New Roman"/>
          <w:sz w:val="24"/>
        </w:rPr>
        <w:t xml:space="preserve"> hours.  The agency has increased its estimate of hour burden associated with the application from 325 hours to 400 hours based on working with current applicants.  However, there is a decrease in respondents from 40 to 25 per year based on past experience.  The net decrease for the application is 3,000 hours.  There is a net decrease of 48 hours for the loan documents due to decreasing the number of respondents by 2.  There is a net increase of </w:t>
      </w:r>
      <w:r w:rsidR="001467A9">
        <w:rPr>
          <w:rFonts w:ascii="Times New Roman" w:hAnsi="Times New Roman"/>
          <w:sz w:val="24"/>
        </w:rPr>
        <w:t xml:space="preserve">113 </w:t>
      </w:r>
      <w:r>
        <w:rPr>
          <w:rFonts w:ascii="Times New Roman" w:hAnsi="Times New Roman"/>
          <w:sz w:val="24"/>
        </w:rPr>
        <w:t>hours due to the new public notice filing requirement which local incumbent service providers may voluntarily respond to.</w:t>
      </w:r>
    </w:p>
    <w:p w:rsidR="00784CC8" w:rsidRDefault="00784CC8" w:rsidP="00252E6B">
      <w:pPr>
        <w:rPr>
          <w:rFonts w:ascii="Times New Roman" w:hAnsi="Times New Roman"/>
          <w:sz w:val="24"/>
        </w:rPr>
      </w:pPr>
    </w:p>
    <w:p w:rsidR="00784CC8" w:rsidRDefault="00784CC8"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plans for publication.</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3114F7" w:rsidP="00A424C9">
      <w:pPr>
        <w:outlineLvl w:val="0"/>
        <w:rPr>
          <w:rFonts w:ascii="Times New Roman" w:hAnsi="Times New Roman"/>
          <w:sz w:val="24"/>
        </w:rPr>
      </w:pPr>
      <w:r>
        <w:rPr>
          <w:rFonts w:ascii="Times New Roman" w:hAnsi="Times New Roman"/>
          <w:sz w:val="24"/>
        </w:rPr>
        <w:t>The agency is not seeking such approval.</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This collection does not involve statistical methods.</w:t>
      </w:r>
    </w:p>
    <w:sectPr w:rsidR="00BB6AEE" w:rsidSect="000548CB">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C9" w:rsidRDefault="00FB1DC9">
      <w:r>
        <w:separator/>
      </w:r>
    </w:p>
  </w:endnote>
  <w:endnote w:type="continuationSeparator" w:id="0">
    <w:p w:rsidR="00FB1DC9" w:rsidRDefault="00FB1D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C9" w:rsidRDefault="00FB1DC9">
      <w:r>
        <w:separator/>
      </w:r>
    </w:p>
  </w:footnote>
  <w:footnote w:type="continuationSeparator" w:id="0">
    <w:p w:rsidR="00FB1DC9" w:rsidRDefault="00FB1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C9" w:rsidRDefault="00FB1DC9"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DC9" w:rsidRDefault="00FB1DC9" w:rsidP="002D3D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C9" w:rsidRPr="002D3DBD" w:rsidRDefault="00FB1DC9"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044126">
      <w:rPr>
        <w:rStyle w:val="PageNumber"/>
        <w:rFonts w:ascii="Times New Roman" w:hAnsi="Times New Roman"/>
        <w:noProof/>
        <w:sz w:val="24"/>
        <w:szCs w:val="24"/>
      </w:rPr>
      <w:t>13</w:t>
    </w:r>
    <w:r w:rsidRPr="002D3DBD">
      <w:rPr>
        <w:rStyle w:val="PageNumber"/>
        <w:rFonts w:ascii="Times New Roman" w:hAnsi="Times New Roman"/>
        <w:sz w:val="24"/>
        <w:szCs w:val="24"/>
      </w:rPr>
      <w:fldChar w:fldCharType="end"/>
    </w:r>
  </w:p>
  <w:p w:rsidR="00FB1DC9" w:rsidRDefault="00FB1DC9" w:rsidP="002D3DB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32D14547"/>
    <w:multiLevelType w:val="hybridMultilevel"/>
    <w:tmpl w:val="D6F6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9">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10"/>
  </w:num>
  <w:num w:numId="4">
    <w:abstractNumId w:val="3"/>
  </w:num>
  <w:num w:numId="5">
    <w:abstractNumId w:val="12"/>
  </w:num>
  <w:num w:numId="6">
    <w:abstractNumId w:val="6"/>
  </w:num>
  <w:num w:numId="7">
    <w:abstractNumId w:val="0"/>
  </w:num>
  <w:num w:numId="8">
    <w:abstractNumId w:val="9"/>
  </w:num>
  <w:num w:numId="9">
    <w:abstractNumId w:val="5"/>
  </w:num>
  <w:num w:numId="10">
    <w:abstractNumId w:val="1"/>
  </w:num>
  <w:num w:numId="11">
    <w:abstractNumId w:val="8"/>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4D44"/>
    <w:rsid w:val="00010FCB"/>
    <w:rsid w:val="000275F0"/>
    <w:rsid w:val="00044126"/>
    <w:rsid w:val="000548CB"/>
    <w:rsid w:val="00064758"/>
    <w:rsid w:val="00067157"/>
    <w:rsid w:val="00070503"/>
    <w:rsid w:val="00075028"/>
    <w:rsid w:val="00076968"/>
    <w:rsid w:val="000A17EF"/>
    <w:rsid w:val="000B31E5"/>
    <w:rsid w:val="000C174E"/>
    <w:rsid w:val="000C4012"/>
    <w:rsid w:val="000C469C"/>
    <w:rsid w:val="000D01F1"/>
    <w:rsid w:val="000D2BF3"/>
    <w:rsid w:val="000D2EAA"/>
    <w:rsid w:val="000D5540"/>
    <w:rsid w:val="000F2EEF"/>
    <w:rsid w:val="000F572C"/>
    <w:rsid w:val="0012559D"/>
    <w:rsid w:val="0013610A"/>
    <w:rsid w:val="00145779"/>
    <w:rsid w:val="001467A9"/>
    <w:rsid w:val="00160854"/>
    <w:rsid w:val="00161AD0"/>
    <w:rsid w:val="00166231"/>
    <w:rsid w:val="00173932"/>
    <w:rsid w:val="00197AFB"/>
    <w:rsid w:val="001A32C1"/>
    <w:rsid w:val="001B40DA"/>
    <w:rsid w:val="001C377D"/>
    <w:rsid w:val="001C7D5E"/>
    <w:rsid w:val="001E0D39"/>
    <w:rsid w:val="00221C3E"/>
    <w:rsid w:val="002521A3"/>
    <w:rsid w:val="002528F2"/>
    <w:rsid w:val="00252E6B"/>
    <w:rsid w:val="002557FB"/>
    <w:rsid w:val="00276590"/>
    <w:rsid w:val="002A1E35"/>
    <w:rsid w:val="002C1A67"/>
    <w:rsid w:val="002D3DBD"/>
    <w:rsid w:val="002F2D4B"/>
    <w:rsid w:val="002F2F0C"/>
    <w:rsid w:val="002F4CB1"/>
    <w:rsid w:val="00307381"/>
    <w:rsid w:val="003114F7"/>
    <w:rsid w:val="00315172"/>
    <w:rsid w:val="003224F6"/>
    <w:rsid w:val="00330BCC"/>
    <w:rsid w:val="00335CBB"/>
    <w:rsid w:val="00360627"/>
    <w:rsid w:val="00362156"/>
    <w:rsid w:val="00372110"/>
    <w:rsid w:val="00382AF9"/>
    <w:rsid w:val="00383326"/>
    <w:rsid w:val="00392095"/>
    <w:rsid w:val="003A4ABD"/>
    <w:rsid w:val="003A730F"/>
    <w:rsid w:val="003B48C1"/>
    <w:rsid w:val="003C1563"/>
    <w:rsid w:val="003C4050"/>
    <w:rsid w:val="003D7D57"/>
    <w:rsid w:val="003E1569"/>
    <w:rsid w:val="003F2657"/>
    <w:rsid w:val="00433387"/>
    <w:rsid w:val="004724B0"/>
    <w:rsid w:val="00482849"/>
    <w:rsid w:val="00484226"/>
    <w:rsid w:val="00487F67"/>
    <w:rsid w:val="004E0821"/>
    <w:rsid w:val="004E5826"/>
    <w:rsid w:val="004F09E2"/>
    <w:rsid w:val="004F4ED2"/>
    <w:rsid w:val="00523E38"/>
    <w:rsid w:val="00530B27"/>
    <w:rsid w:val="00547A7D"/>
    <w:rsid w:val="00561DCA"/>
    <w:rsid w:val="00570D82"/>
    <w:rsid w:val="005714F1"/>
    <w:rsid w:val="005766EB"/>
    <w:rsid w:val="005960AC"/>
    <w:rsid w:val="005B12A4"/>
    <w:rsid w:val="005C12CE"/>
    <w:rsid w:val="005C5660"/>
    <w:rsid w:val="005D76C1"/>
    <w:rsid w:val="005E2738"/>
    <w:rsid w:val="005F137B"/>
    <w:rsid w:val="005F2C8A"/>
    <w:rsid w:val="00632217"/>
    <w:rsid w:val="00652E06"/>
    <w:rsid w:val="006628CC"/>
    <w:rsid w:val="0066309C"/>
    <w:rsid w:val="0068323B"/>
    <w:rsid w:val="006A6227"/>
    <w:rsid w:val="006B24D8"/>
    <w:rsid w:val="006B5028"/>
    <w:rsid w:val="006D1F7F"/>
    <w:rsid w:val="006E6A89"/>
    <w:rsid w:val="006F76D4"/>
    <w:rsid w:val="007145B7"/>
    <w:rsid w:val="007370B0"/>
    <w:rsid w:val="00743948"/>
    <w:rsid w:val="00751EC1"/>
    <w:rsid w:val="007575D3"/>
    <w:rsid w:val="00764808"/>
    <w:rsid w:val="00770DA5"/>
    <w:rsid w:val="00774CB8"/>
    <w:rsid w:val="00776E6B"/>
    <w:rsid w:val="00782196"/>
    <w:rsid w:val="00784CC8"/>
    <w:rsid w:val="0079153E"/>
    <w:rsid w:val="007947FB"/>
    <w:rsid w:val="00797433"/>
    <w:rsid w:val="007A6B1B"/>
    <w:rsid w:val="007C2555"/>
    <w:rsid w:val="007C3339"/>
    <w:rsid w:val="007D6F29"/>
    <w:rsid w:val="008054BD"/>
    <w:rsid w:val="00815733"/>
    <w:rsid w:val="008162DB"/>
    <w:rsid w:val="00830BD7"/>
    <w:rsid w:val="0085095F"/>
    <w:rsid w:val="00852B71"/>
    <w:rsid w:val="008612DC"/>
    <w:rsid w:val="00861E4A"/>
    <w:rsid w:val="00867F12"/>
    <w:rsid w:val="00871E61"/>
    <w:rsid w:val="0087406C"/>
    <w:rsid w:val="008903F9"/>
    <w:rsid w:val="008A05F9"/>
    <w:rsid w:val="008A1C42"/>
    <w:rsid w:val="008E79D8"/>
    <w:rsid w:val="008F2C77"/>
    <w:rsid w:val="008F4591"/>
    <w:rsid w:val="00900116"/>
    <w:rsid w:val="009127A5"/>
    <w:rsid w:val="00922E5D"/>
    <w:rsid w:val="00923C1C"/>
    <w:rsid w:val="0094502C"/>
    <w:rsid w:val="009861FF"/>
    <w:rsid w:val="009919A1"/>
    <w:rsid w:val="00995FE2"/>
    <w:rsid w:val="009964C3"/>
    <w:rsid w:val="009D1170"/>
    <w:rsid w:val="009F1521"/>
    <w:rsid w:val="00A130D5"/>
    <w:rsid w:val="00A2374C"/>
    <w:rsid w:val="00A36EA8"/>
    <w:rsid w:val="00A424C9"/>
    <w:rsid w:val="00A635B4"/>
    <w:rsid w:val="00A63AE1"/>
    <w:rsid w:val="00A84370"/>
    <w:rsid w:val="00AA6907"/>
    <w:rsid w:val="00AC2FE1"/>
    <w:rsid w:val="00AE0D7A"/>
    <w:rsid w:val="00B01B0F"/>
    <w:rsid w:val="00B51B63"/>
    <w:rsid w:val="00B66BC3"/>
    <w:rsid w:val="00B92DB6"/>
    <w:rsid w:val="00BA41AC"/>
    <w:rsid w:val="00BA4E18"/>
    <w:rsid w:val="00BB5C4D"/>
    <w:rsid w:val="00BB6AEE"/>
    <w:rsid w:val="00BC1BCF"/>
    <w:rsid w:val="00BC7DBB"/>
    <w:rsid w:val="00BD04D4"/>
    <w:rsid w:val="00BD04E0"/>
    <w:rsid w:val="00BD7FD0"/>
    <w:rsid w:val="00BF4BC3"/>
    <w:rsid w:val="00C05DB6"/>
    <w:rsid w:val="00C10A46"/>
    <w:rsid w:val="00C15280"/>
    <w:rsid w:val="00C230FE"/>
    <w:rsid w:val="00C569C4"/>
    <w:rsid w:val="00C56DD0"/>
    <w:rsid w:val="00C83C14"/>
    <w:rsid w:val="00C868AC"/>
    <w:rsid w:val="00CC3E40"/>
    <w:rsid w:val="00CC4D44"/>
    <w:rsid w:val="00CE7BB1"/>
    <w:rsid w:val="00CF31D1"/>
    <w:rsid w:val="00D029EF"/>
    <w:rsid w:val="00D40B85"/>
    <w:rsid w:val="00D45037"/>
    <w:rsid w:val="00D552F9"/>
    <w:rsid w:val="00D67B9E"/>
    <w:rsid w:val="00D72AB2"/>
    <w:rsid w:val="00D732B2"/>
    <w:rsid w:val="00D87B52"/>
    <w:rsid w:val="00DA3D31"/>
    <w:rsid w:val="00DB3B9A"/>
    <w:rsid w:val="00DB6F7C"/>
    <w:rsid w:val="00DD5D98"/>
    <w:rsid w:val="00DE20A4"/>
    <w:rsid w:val="00DF5346"/>
    <w:rsid w:val="00E10CB6"/>
    <w:rsid w:val="00E22B71"/>
    <w:rsid w:val="00E33F83"/>
    <w:rsid w:val="00E40D76"/>
    <w:rsid w:val="00E43DCE"/>
    <w:rsid w:val="00E47163"/>
    <w:rsid w:val="00E547CB"/>
    <w:rsid w:val="00E61AEB"/>
    <w:rsid w:val="00E677A5"/>
    <w:rsid w:val="00E7314B"/>
    <w:rsid w:val="00E755F8"/>
    <w:rsid w:val="00E80A4C"/>
    <w:rsid w:val="00E80FE0"/>
    <w:rsid w:val="00E92286"/>
    <w:rsid w:val="00E964F7"/>
    <w:rsid w:val="00E96CF4"/>
    <w:rsid w:val="00EA2279"/>
    <w:rsid w:val="00EC73E3"/>
    <w:rsid w:val="00ED3C28"/>
    <w:rsid w:val="00ED494A"/>
    <w:rsid w:val="00EE7441"/>
    <w:rsid w:val="00EF07E4"/>
    <w:rsid w:val="00F05AC6"/>
    <w:rsid w:val="00F178FE"/>
    <w:rsid w:val="00F2506B"/>
    <w:rsid w:val="00F525F8"/>
    <w:rsid w:val="00F72E57"/>
    <w:rsid w:val="00F74FD0"/>
    <w:rsid w:val="00F94C3C"/>
    <w:rsid w:val="00F9791F"/>
    <w:rsid w:val="00FB1DC9"/>
    <w:rsid w:val="00FB4405"/>
    <w:rsid w:val="00FD0530"/>
    <w:rsid w:val="00FD1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4768</Words>
  <Characters>26797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Michele.Brooks</cp:lastModifiedBy>
  <cp:revision>4</cp:revision>
  <cp:lastPrinted>2007-02-21T11:26:00Z</cp:lastPrinted>
  <dcterms:created xsi:type="dcterms:W3CDTF">2010-12-17T12:41:00Z</dcterms:created>
  <dcterms:modified xsi:type="dcterms:W3CDTF">2010-12-17T14:48:00Z</dcterms:modified>
</cp:coreProperties>
</file>