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3E" w:rsidRPr="00211425" w:rsidRDefault="005E413E" w:rsidP="00A91FED">
      <w:pPr>
        <w:tabs>
          <w:tab w:val="left" w:pos="9630"/>
          <w:tab w:val="left" w:pos="9810"/>
        </w:tabs>
        <w:ind w:right="792"/>
        <w:jc w:val="center"/>
        <w:rPr>
          <w:b/>
          <w:sz w:val="24"/>
          <w:szCs w:val="24"/>
        </w:rPr>
      </w:pPr>
      <w:r w:rsidRPr="00211425">
        <w:rPr>
          <w:b/>
          <w:sz w:val="24"/>
          <w:szCs w:val="24"/>
        </w:rPr>
        <w:t>20</w:t>
      </w:r>
      <w:r w:rsidR="003D4BD1" w:rsidRPr="00211425">
        <w:rPr>
          <w:b/>
          <w:sz w:val="24"/>
          <w:szCs w:val="24"/>
        </w:rPr>
        <w:t>11</w:t>
      </w:r>
      <w:r w:rsidRPr="00211425">
        <w:rPr>
          <w:b/>
          <w:sz w:val="24"/>
          <w:szCs w:val="24"/>
        </w:rPr>
        <w:t xml:space="preserve"> SUPPORTING STATEMENT</w:t>
      </w:r>
    </w:p>
    <w:p w:rsidR="005E413E" w:rsidRPr="00211425" w:rsidRDefault="005E413E" w:rsidP="00A91FED">
      <w:pPr>
        <w:tabs>
          <w:tab w:val="left" w:pos="9630"/>
          <w:tab w:val="left" w:pos="9810"/>
        </w:tabs>
        <w:ind w:right="792"/>
        <w:jc w:val="center"/>
        <w:rPr>
          <w:b/>
          <w:sz w:val="24"/>
          <w:szCs w:val="24"/>
        </w:rPr>
      </w:pPr>
    </w:p>
    <w:p w:rsidR="005E413E" w:rsidRPr="00211425" w:rsidRDefault="003D4BD1" w:rsidP="00A91FED">
      <w:pPr>
        <w:tabs>
          <w:tab w:val="left" w:pos="9630"/>
          <w:tab w:val="left" w:pos="9810"/>
        </w:tabs>
        <w:ind w:right="792"/>
        <w:jc w:val="center"/>
        <w:rPr>
          <w:b/>
          <w:sz w:val="24"/>
          <w:szCs w:val="24"/>
        </w:rPr>
      </w:pPr>
      <w:r w:rsidRPr="00211425">
        <w:rPr>
          <w:b/>
          <w:sz w:val="24"/>
          <w:szCs w:val="24"/>
        </w:rPr>
        <w:t xml:space="preserve">WIC </w:t>
      </w:r>
      <w:r w:rsidR="00E23E8E" w:rsidRPr="00211425">
        <w:rPr>
          <w:b/>
          <w:sz w:val="24"/>
          <w:szCs w:val="24"/>
        </w:rPr>
        <w:t>Financial Management and Participation</w:t>
      </w:r>
      <w:r w:rsidRPr="00211425">
        <w:rPr>
          <w:b/>
          <w:sz w:val="24"/>
          <w:szCs w:val="24"/>
        </w:rPr>
        <w:t xml:space="preserve"> Report</w:t>
      </w:r>
      <w:r w:rsidR="00E23E8E" w:rsidRPr="00211425">
        <w:rPr>
          <w:b/>
          <w:sz w:val="24"/>
          <w:szCs w:val="24"/>
        </w:rPr>
        <w:t xml:space="preserve"> with Addendum</w:t>
      </w:r>
    </w:p>
    <w:p w:rsidR="005E413E" w:rsidRPr="00211425" w:rsidRDefault="005E413E" w:rsidP="00A91FED">
      <w:pPr>
        <w:tabs>
          <w:tab w:val="left" w:pos="9630"/>
          <w:tab w:val="left" w:pos="9810"/>
        </w:tabs>
        <w:ind w:right="792"/>
        <w:jc w:val="center"/>
        <w:rPr>
          <w:b/>
          <w:sz w:val="24"/>
          <w:szCs w:val="24"/>
        </w:rPr>
      </w:pPr>
      <w:r w:rsidRPr="00211425">
        <w:rPr>
          <w:b/>
          <w:sz w:val="24"/>
          <w:szCs w:val="24"/>
        </w:rPr>
        <w:t xml:space="preserve">OMB # </w:t>
      </w:r>
      <w:r w:rsidR="003826F8" w:rsidRPr="00211425">
        <w:rPr>
          <w:b/>
          <w:sz w:val="24"/>
          <w:szCs w:val="24"/>
        </w:rPr>
        <w:t>0584-0</w:t>
      </w:r>
      <w:r w:rsidR="00985C20" w:rsidRPr="00211425">
        <w:rPr>
          <w:b/>
          <w:sz w:val="24"/>
          <w:szCs w:val="24"/>
        </w:rPr>
        <w:t>045</w:t>
      </w:r>
    </w:p>
    <w:p w:rsidR="003D4BD1" w:rsidRPr="00211425" w:rsidRDefault="003D4BD1" w:rsidP="00A91FED">
      <w:pPr>
        <w:tabs>
          <w:tab w:val="left" w:pos="9630"/>
          <w:tab w:val="left" w:pos="9810"/>
        </w:tabs>
        <w:ind w:right="792"/>
        <w:jc w:val="center"/>
        <w:rPr>
          <w:b/>
          <w:sz w:val="24"/>
          <w:szCs w:val="24"/>
          <w:u w:val="single"/>
        </w:rPr>
      </w:pPr>
    </w:p>
    <w:p w:rsidR="005E413E" w:rsidRPr="00211425" w:rsidRDefault="005E413E" w:rsidP="00A91FED">
      <w:pPr>
        <w:tabs>
          <w:tab w:val="left" w:pos="9630"/>
          <w:tab w:val="left" w:pos="9810"/>
        </w:tabs>
        <w:ind w:right="792"/>
        <w:jc w:val="both"/>
        <w:rPr>
          <w:b/>
          <w:sz w:val="24"/>
          <w:szCs w:val="24"/>
          <w:u w:val="single"/>
        </w:rPr>
      </w:pPr>
    </w:p>
    <w:p w:rsidR="00071F56" w:rsidRPr="00211425" w:rsidRDefault="00071F56" w:rsidP="00A91FED">
      <w:pPr>
        <w:tabs>
          <w:tab w:val="left" w:pos="9630"/>
          <w:tab w:val="left" w:pos="9810"/>
        </w:tabs>
        <w:ind w:right="792"/>
        <w:rPr>
          <w:sz w:val="24"/>
          <w:szCs w:val="24"/>
        </w:rPr>
      </w:pPr>
    </w:p>
    <w:p w:rsidR="00071F56" w:rsidRPr="00211425" w:rsidRDefault="00071F56" w:rsidP="00482E9A">
      <w:pPr>
        <w:tabs>
          <w:tab w:val="left" w:pos="9630"/>
          <w:tab w:val="left" w:pos="9810"/>
        </w:tabs>
        <w:spacing w:line="480" w:lineRule="auto"/>
        <w:ind w:right="792"/>
        <w:rPr>
          <w:b/>
          <w:sz w:val="24"/>
          <w:szCs w:val="24"/>
        </w:rPr>
      </w:pPr>
      <w:r w:rsidRPr="00211425">
        <w:rPr>
          <w:b/>
          <w:sz w:val="24"/>
          <w:szCs w:val="24"/>
        </w:rPr>
        <w:t>A.  Justification</w:t>
      </w:r>
    </w:p>
    <w:p w:rsidR="00071F56" w:rsidRPr="00211425" w:rsidRDefault="00071F56" w:rsidP="00482E9A">
      <w:pPr>
        <w:tabs>
          <w:tab w:val="left" w:pos="9630"/>
          <w:tab w:val="left" w:pos="9810"/>
        </w:tabs>
        <w:spacing w:line="480" w:lineRule="auto"/>
        <w:ind w:right="792"/>
        <w:rPr>
          <w:b/>
          <w:sz w:val="24"/>
          <w:szCs w:val="24"/>
        </w:rPr>
      </w:pPr>
    </w:p>
    <w:p w:rsidR="00071F56" w:rsidRPr="00211425" w:rsidRDefault="00071F56" w:rsidP="00482E9A">
      <w:pPr>
        <w:tabs>
          <w:tab w:val="left" w:pos="9630"/>
          <w:tab w:val="left" w:pos="9810"/>
        </w:tabs>
        <w:spacing w:line="480" w:lineRule="auto"/>
        <w:ind w:left="720" w:right="792" w:hanging="720"/>
        <w:rPr>
          <w:b/>
          <w:sz w:val="24"/>
          <w:szCs w:val="24"/>
        </w:rPr>
      </w:pPr>
      <w:r w:rsidRPr="00211425">
        <w:rPr>
          <w:b/>
          <w:sz w:val="24"/>
          <w:szCs w:val="24"/>
        </w:rPr>
        <w:t xml:space="preserve">1. </w:t>
      </w:r>
      <w:r w:rsidRPr="0021142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F1DF1" w:rsidRPr="00211425" w:rsidRDefault="007F1DF1" w:rsidP="00926525">
      <w:pPr>
        <w:tabs>
          <w:tab w:val="left" w:pos="9630"/>
          <w:tab w:val="left" w:pos="9810"/>
        </w:tabs>
        <w:spacing w:line="480" w:lineRule="auto"/>
        <w:ind w:left="720" w:right="792"/>
        <w:rPr>
          <w:sz w:val="24"/>
          <w:szCs w:val="24"/>
        </w:rPr>
      </w:pPr>
    </w:p>
    <w:p w:rsidR="00B657CE" w:rsidRPr="00211425" w:rsidRDefault="00B657CE" w:rsidP="00926525">
      <w:pPr>
        <w:tabs>
          <w:tab w:val="left" w:pos="9630"/>
          <w:tab w:val="left" w:pos="9810"/>
        </w:tabs>
        <w:spacing w:line="480" w:lineRule="auto"/>
        <w:ind w:left="720" w:right="792"/>
        <w:rPr>
          <w:sz w:val="24"/>
          <w:szCs w:val="24"/>
        </w:rPr>
      </w:pPr>
      <w:r w:rsidRPr="00211425">
        <w:rPr>
          <w:sz w:val="24"/>
          <w:szCs w:val="24"/>
        </w:rPr>
        <w:t>Section 17(f)(4) of the Child Nutrition Act of 1966 (42 U.S.C. 1786(f)(4)) provides that “State agencies shall submit monthly financial reports and participation data to the Secretary” (See also 7 CFR 246.25(b)(1)).  The</w:t>
      </w:r>
      <w:r w:rsidR="00B253B3" w:rsidRPr="00211425">
        <w:rPr>
          <w:sz w:val="24"/>
          <w:szCs w:val="24"/>
        </w:rPr>
        <w:t xml:space="preserve"> a</w:t>
      </w:r>
      <w:r w:rsidR="00AD7952" w:rsidRPr="00211425">
        <w:rPr>
          <w:sz w:val="24"/>
          <w:szCs w:val="24"/>
        </w:rPr>
        <w:t>t</w:t>
      </w:r>
      <w:r w:rsidR="00B253B3" w:rsidRPr="00211425">
        <w:rPr>
          <w:sz w:val="24"/>
          <w:szCs w:val="24"/>
        </w:rPr>
        <w:t>tached</w:t>
      </w:r>
      <w:r w:rsidRPr="00211425">
        <w:rPr>
          <w:sz w:val="24"/>
          <w:szCs w:val="24"/>
        </w:rPr>
        <w:t xml:space="preserve"> </w:t>
      </w:r>
      <w:r w:rsidR="00B253B3" w:rsidRPr="00211425">
        <w:rPr>
          <w:sz w:val="24"/>
          <w:szCs w:val="24"/>
        </w:rPr>
        <w:t>forms</w:t>
      </w:r>
      <w:r w:rsidR="004326C8" w:rsidRPr="00211425">
        <w:rPr>
          <w:sz w:val="24"/>
          <w:szCs w:val="24"/>
        </w:rPr>
        <w:t xml:space="preserve"> being submitted for revision</w:t>
      </w:r>
      <w:r w:rsidR="00B253B3" w:rsidRPr="00211425">
        <w:rPr>
          <w:sz w:val="24"/>
          <w:szCs w:val="24"/>
        </w:rPr>
        <w:t xml:space="preserve">, </w:t>
      </w:r>
      <w:r w:rsidRPr="00211425">
        <w:rPr>
          <w:sz w:val="24"/>
          <w:szCs w:val="24"/>
        </w:rPr>
        <w:t>WIC Financial Management and Participation Report with Addendum (FNS-798 and FNS-798A)</w:t>
      </w:r>
      <w:r w:rsidR="00B253B3" w:rsidRPr="00211425">
        <w:rPr>
          <w:sz w:val="24"/>
          <w:szCs w:val="24"/>
        </w:rPr>
        <w:t>,</w:t>
      </w:r>
      <w:r w:rsidRPr="00211425">
        <w:rPr>
          <w:sz w:val="24"/>
          <w:szCs w:val="24"/>
        </w:rPr>
        <w:t xml:space="preserve"> are the forms State agencies complete to comply with this requirement</w:t>
      </w:r>
      <w:r w:rsidR="00AD7952" w:rsidRPr="00211425">
        <w:rPr>
          <w:sz w:val="24"/>
          <w:szCs w:val="24"/>
        </w:rPr>
        <w:t xml:space="preserve"> (Attachment 1)</w:t>
      </w:r>
      <w:r w:rsidRPr="00211425">
        <w:rPr>
          <w:sz w:val="24"/>
          <w:szCs w:val="24"/>
        </w:rPr>
        <w:t>.  FNS and State agencies use the reported information for program</w:t>
      </w:r>
      <w:r w:rsidR="00AD7952" w:rsidRPr="00211425">
        <w:rPr>
          <w:sz w:val="24"/>
          <w:szCs w:val="24"/>
        </w:rPr>
        <w:t xml:space="preserve"> </w:t>
      </w:r>
      <w:r w:rsidRPr="00211425">
        <w:rPr>
          <w:sz w:val="24"/>
          <w:szCs w:val="24"/>
        </w:rPr>
        <w:t>monitoring, funds management, budget projections, monitoring caseload, policy development, and responding to requests from Congress and interested parties.</w:t>
      </w:r>
      <w:r w:rsidR="00926525" w:rsidRPr="00211425">
        <w:rPr>
          <w:rFonts w:ascii="CG Times" w:hAnsi="CG Times"/>
          <w:sz w:val="24"/>
          <w:szCs w:val="24"/>
        </w:rPr>
        <w:t xml:space="preserve"> </w:t>
      </w:r>
    </w:p>
    <w:p w:rsidR="007F1DF1" w:rsidRPr="00211425" w:rsidRDefault="007F1DF1" w:rsidP="00B657CE">
      <w:pPr>
        <w:spacing w:line="480" w:lineRule="auto"/>
        <w:ind w:left="720" w:right="792"/>
        <w:rPr>
          <w:sz w:val="24"/>
          <w:szCs w:val="24"/>
        </w:rPr>
      </w:pPr>
    </w:p>
    <w:p w:rsidR="00B657CE" w:rsidRPr="00211425" w:rsidRDefault="00B657CE" w:rsidP="00B657CE">
      <w:pPr>
        <w:spacing w:line="480" w:lineRule="auto"/>
        <w:ind w:left="720" w:right="792"/>
        <w:rPr>
          <w:sz w:val="24"/>
          <w:szCs w:val="24"/>
        </w:rPr>
      </w:pPr>
      <w:r w:rsidRPr="00211425">
        <w:rPr>
          <w:sz w:val="24"/>
          <w:szCs w:val="24"/>
        </w:rPr>
        <w:t xml:space="preserve">In addition, nonentitlement programs, such as the Special Supplemental Nutrition Program for Women, Infants, and Children (WIC), are required to conduct an annual closeout and reconciliation of grants.  Departmental regulations at 7 CFR 3016.23(b) require that “[a] grantee must liquidate all obligations incurred under the award not later than 90 days after the end of the funding period (or as specified in a program regulation) to coincide with the </w:t>
      </w:r>
      <w:r w:rsidRPr="00211425">
        <w:rPr>
          <w:sz w:val="24"/>
          <w:szCs w:val="24"/>
        </w:rPr>
        <w:lastRenderedPageBreak/>
        <w:t>submission of the annual Federal Financial Report (SF-425).”  WIC Program regulations at 7 CFR 246.17(b)(2) instruct State agencies to “submit to FNS, within 120 days after the end of the fiscal year, final fiscal year closeout reports.”  The final WIC Financial Management and Participation Report (FNS</w:t>
      </w:r>
      <w:r w:rsidRPr="00211425">
        <w:rPr>
          <w:sz w:val="24"/>
          <w:szCs w:val="24"/>
        </w:rPr>
        <w:noBreakHyphen/>
        <w:t>798) submitted for the year with its addendum (FNS-798A) are used as a substitute for the SF-425, because they maintain the integrity of WIC’s two grant components (food and nutrition services and administration (NSA)) as well as the four NSA grant components (program management, client services, nutrition education, and breastfeeding promotion and support).</w:t>
      </w:r>
    </w:p>
    <w:p w:rsidR="007F1DF1" w:rsidRPr="00211425" w:rsidRDefault="007F1DF1" w:rsidP="00C3230E">
      <w:pPr>
        <w:spacing w:line="480" w:lineRule="auto"/>
        <w:ind w:left="720" w:right="792"/>
        <w:rPr>
          <w:sz w:val="24"/>
          <w:szCs w:val="24"/>
        </w:rPr>
      </w:pPr>
    </w:p>
    <w:p w:rsidR="00C3230E" w:rsidRDefault="00C3230E" w:rsidP="00C3230E">
      <w:pPr>
        <w:spacing w:line="480" w:lineRule="auto"/>
        <w:ind w:left="720" w:right="792"/>
        <w:rPr>
          <w:sz w:val="24"/>
          <w:szCs w:val="24"/>
        </w:rPr>
      </w:pPr>
      <w:r w:rsidRPr="00211425">
        <w:rPr>
          <w:sz w:val="24"/>
          <w:szCs w:val="24"/>
        </w:rPr>
        <w:t>The proposed revision of the WIC Financial Management and Participation Report (FNS</w:t>
      </w:r>
      <w:r w:rsidRPr="00211425">
        <w:rPr>
          <w:sz w:val="24"/>
          <w:szCs w:val="24"/>
        </w:rPr>
        <w:noBreakHyphen/>
        <w:t xml:space="preserve">798) and its addendum (FNS-798A) will modify the format for reporting unliquidated NSA obligations.  The current FNS-798 requires unliquidated NSA obligations to be reported in the columns corresponding to the 12 months of the fiscal year in which the obligations are incurred.  These obligation amounts are then revised downward as outlays and deobligations are made.  WIC State agencies have determined reporting downward adjustments for outlays and deobligations is more laborious when reported by obligation month rather than as an adjustment to a cumulative amount.  Therefore, the proposed revision will return to a prior format to allow WIC State agencies to report unliquidated NSA obligations as a cumulative year-to-date total. </w:t>
      </w:r>
    </w:p>
    <w:p w:rsidR="004D69A1" w:rsidRPr="00211425" w:rsidRDefault="004D69A1" w:rsidP="00C3230E">
      <w:pPr>
        <w:spacing w:line="480" w:lineRule="auto"/>
        <w:ind w:left="720" w:right="792"/>
        <w:rPr>
          <w:sz w:val="24"/>
          <w:szCs w:val="24"/>
        </w:rPr>
      </w:pPr>
    </w:p>
    <w:p w:rsidR="00071F56" w:rsidRPr="00211425" w:rsidRDefault="00071F56" w:rsidP="00482E9A">
      <w:pPr>
        <w:tabs>
          <w:tab w:val="left" w:pos="9630"/>
          <w:tab w:val="left" w:pos="9810"/>
        </w:tabs>
        <w:spacing w:line="480" w:lineRule="auto"/>
        <w:ind w:left="720" w:right="792" w:hanging="720"/>
        <w:rPr>
          <w:b/>
          <w:sz w:val="24"/>
          <w:szCs w:val="24"/>
        </w:rPr>
      </w:pPr>
      <w:r w:rsidRPr="00211425">
        <w:rPr>
          <w:b/>
          <w:sz w:val="24"/>
          <w:szCs w:val="24"/>
        </w:rPr>
        <w:t>2.</w:t>
      </w:r>
      <w:r w:rsidRPr="00211425">
        <w:rPr>
          <w:b/>
          <w:sz w:val="24"/>
          <w:szCs w:val="24"/>
        </w:rPr>
        <w:tab/>
        <w:t>Indicate how, by whom, how frequently, and for what purpose the information is to be used.  Except for a new collection, indicate the actual use the agency has made of the information received from the current collection.</w:t>
      </w:r>
    </w:p>
    <w:p w:rsidR="00071F56" w:rsidRPr="00211425" w:rsidRDefault="00071F56" w:rsidP="00A91FED">
      <w:pPr>
        <w:tabs>
          <w:tab w:val="left" w:pos="9630"/>
          <w:tab w:val="left" w:pos="9810"/>
        </w:tabs>
        <w:ind w:left="720" w:right="792"/>
        <w:rPr>
          <w:b/>
          <w:sz w:val="24"/>
          <w:szCs w:val="24"/>
        </w:rPr>
      </w:pPr>
    </w:p>
    <w:p w:rsidR="00C71257" w:rsidRPr="00211425" w:rsidRDefault="00C3230E" w:rsidP="00C3230E">
      <w:pPr>
        <w:tabs>
          <w:tab w:val="left" w:pos="9630"/>
          <w:tab w:val="left" w:pos="9810"/>
        </w:tabs>
        <w:spacing w:line="480" w:lineRule="auto"/>
        <w:ind w:left="720" w:right="792"/>
        <w:rPr>
          <w:sz w:val="24"/>
          <w:szCs w:val="24"/>
        </w:rPr>
      </w:pPr>
      <w:r w:rsidRPr="00211425">
        <w:rPr>
          <w:sz w:val="24"/>
          <w:szCs w:val="24"/>
        </w:rPr>
        <w:lastRenderedPageBreak/>
        <w:t>FNS and State agencies use the information reported each month for program monitoring, funds allocation and management, budget projections, caseload monitoring, policy development, and responding to requests from Congress and the interested public.</w:t>
      </w:r>
      <w:r w:rsidRPr="00211425">
        <w:rPr>
          <w:sz w:val="24"/>
          <w:szCs w:val="24"/>
        </w:rPr>
        <w:br/>
      </w:r>
      <w:r w:rsidRPr="00211425">
        <w:rPr>
          <w:sz w:val="24"/>
          <w:szCs w:val="24"/>
        </w:rPr>
        <w:br/>
        <w:t>The final year-end report FNS-798 with its Addendum (FNS-798A) is used by FNS to close out the State agency's Grant Award Document (GAD) and Letter of Credit (LOC) for the report year and prepare a final fiscal year Statement of Account for the State agency for the report year.  This also entails adjusting the State agency's GADs for the report year and/or the following fiscal year to implement the State agency's financial decisions as shown on its final FNS-798.  FNS also uses the data to determine if the State agency has met the 97% performance standard for food and the 10% performance standard for NSA.  FNS uses the information reported on the FNS-798A to determine whether the statutory NSA nutrition education and breastfeeding promotion and support expenditure requirements are met and to monitor other NSA costs.</w:t>
      </w:r>
      <w:r w:rsidRPr="00211425">
        <w:rPr>
          <w:sz w:val="24"/>
          <w:szCs w:val="24"/>
        </w:rPr>
        <w:br/>
      </w:r>
    </w:p>
    <w:p w:rsidR="00071F56" w:rsidRPr="00211425" w:rsidRDefault="00071F56" w:rsidP="00482E9A">
      <w:pPr>
        <w:tabs>
          <w:tab w:val="left" w:pos="9630"/>
          <w:tab w:val="left" w:pos="9810"/>
        </w:tabs>
        <w:spacing w:line="480" w:lineRule="auto"/>
        <w:ind w:left="720" w:right="792" w:hanging="720"/>
        <w:rPr>
          <w:b/>
          <w:sz w:val="24"/>
          <w:szCs w:val="24"/>
        </w:rPr>
      </w:pPr>
      <w:r w:rsidRPr="00211425">
        <w:rPr>
          <w:b/>
          <w:sz w:val="24"/>
          <w:szCs w:val="24"/>
        </w:rPr>
        <w:t xml:space="preserve">3. </w:t>
      </w:r>
      <w:r w:rsidRPr="00211425">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00DD53A8" w:rsidRPr="00211425">
        <w:rPr>
          <w:b/>
          <w:sz w:val="24"/>
          <w:szCs w:val="24"/>
        </w:rPr>
        <w:t xml:space="preserve"> </w:t>
      </w:r>
      <w:r w:rsidRPr="00211425">
        <w:rPr>
          <w:b/>
          <w:sz w:val="24"/>
          <w:szCs w:val="24"/>
        </w:rPr>
        <w:t xml:space="preserve">and the basis for the decision for adopting this means of collection.  Also, describe any consideration of using information technology to reduce burden. </w:t>
      </w:r>
    </w:p>
    <w:p w:rsidR="00BA14AC" w:rsidRPr="00211425" w:rsidRDefault="00BA14AC" w:rsidP="00A91FED">
      <w:pPr>
        <w:tabs>
          <w:tab w:val="left" w:pos="9630"/>
          <w:tab w:val="left" w:pos="9810"/>
        </w:tabs>
        <w:ind w:left="720" w:right="792"/>
        <w:rPr>
          <w:sz w:val="24"/>
          <w:szCs w:val="24"/>
        </w:rPr>
      </w:pPr>
    </w:p>
    <w:p w:rsidR="00BA14AC" w:rsidRPr="00211425" w:rsidRDefault="00C3230E" w:rsidP="00C3230E">
      <w:pPr>
        <w:tabs>
          <w:tab w:val="left" w:pos="9630"/>
          <w:tab w:val="left" w:pos="9810"/>
        </w:tabs>
        <w:spacing w:line="480" w:lineRule="auto"/>
        <w:ind w:left="720" w:right="792"/>
        <w:rPr>
          <w:sz w:val="24"/>
          <w:szCs w:val="24"/>
        </w:rPr>
      </w:pPr>
      <w:r w:rsidRPr="00211425">
        <w:rPr>
          <w:sz w:val="24"/>
          <w:szCs w:val="24"/>
        </w:rPr>
        <w:t xml:space="preserve">In compliance with E-Government Act of 2002, all WIC State agencies have automated management information systems and accounting records to generate and report FNS-798 and FNS-798A data.  FNS’ electronic reporting system, the Food Programs Reporting System (FPRS), </w:t>
      </w:r>
      <w:hyperlink r:id="rId12" w:tooltip="https://fprs.fns.usda.gov/" w:history="1">
        <w:r w:rsidRPr="00211425">
          <w:rPr>
            <w:rStyle w:val="Hyperlink"/>
            <w:sz w:val="24"/>
            <w:szCs w:val="24"/>
          </w:rPr>
          <w:t>https://fprs.fns.usda.gov/</w:t>
        </w:r>
      </w:hyperlink>
      <w:r w:rsidRPr="00211425">
        <w:rPr>
          <w:rFonts w:ascii="Arial" w:hAnsi="Arial" w:cs="Arial"/>
          <w:color w:val="000080"/>
          <w:sz w:val="24"/>
          <w:szCs w:val="24"/>
        </w:rPr>
        <w:t xml:space="preserve"> </w:t>
      </w:r>
      <w:r w:rsidRPr="00211425">
        <w:rPr>
          <w:sz w:val="24"/>
          <w:szCs w:val="24"/>
        </w:rPr>
        <w:t xml:space="preserve">allows all WIC State agencies to submit FNS-798 </w:t>
      </w:r>
      <w:r w:rsidRPr="00211425">
        <w:rPr>
          <w:sz w:val="24"/>
          <w:szCs w:val="24"/>
        </w:rPr>
        <w:lastRenderedPageBreak/>
        <w:t>and FNS-798A reports electronically.</w:t>
      </w:r>
      <w:r w:rsidRPr="00211425">
        <w:rPr>
          <w:sz w:val="24"/>
          <w:szCs w:val="24"/>
        </w:rPr>
        <w:br/>
      </w: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4.</w:t>
      </w:r>
      <w:r w:rsidRPr="00211425">
        <w:rPr>
          <w:b/>
          <w:sz w:val="24"/>
          <w:szCs w:val="24"/>
        </w:rPr>
        <w:tab/>
        <w:t>Describe efforts to identify duplication.  Show specifically why any similar information already available cannot be used or modified for use for the purpose described in item 2 abov</w:t>
      </w:r>
      <w:r w:rsidR="00BA14AC" w:rsidRPr="00211425">
        <w:rPr>
          <w:b/>
          <w:sz w:val="24"/>
          <w:szCs w:val="24"/>
        </w:rPr>
        <w:t>e</w:t>
      </w:r>
      <w:r w:rsidR="00925299" w:rsidRPr="00211425">
        <w:rPr>
          <w:b/>
          <w:sz w:val="24"/>
          <w:szCs w:val="24"/>
        </w:rPr>
        <w:t>.</w:t>
      </w:r>
    </w:p>
    <w:p w:rsidR="00DD175A" w:rsidRPr="00C47D33" w:rsidRDefault="00DD175A" w:rsidP="00C47D33">
      <w:pPr>
        <w:tabs>
          <w:tab w:val="left" w:pos="9630"/>
          <w:tab w:val="left" w:pos="9810"/>
        </w:tabs>
        <w:spacing w:line="480" w:lineRule="auto"/>
        <w:ind w:left="720" w:right="792"/>
        <w:rPr>
          <w:sz w:val="24"/>
          <w:szCs w:val="24"/>
        </w:rPr>
      </w:pPr>
    </w:p>
    <w:p w:rsidR="00DD175A" w:rsidRPr="00211425" w:rsidRDefault="00925299" w:rsidP="00C47D33">
      <w:pPr>
        <w:tabs>
          <w:tab w:val="left" w:pos="9630"/>
          <w:tab w:val="left" w:pos="9810"/>
        </w:tabs>
        <w:spacing w:line="480" w:lineRule="auto"/>
        <w:ind w:left="720" w:right="792"/>
        <w:rPr>
          <w:b/>
          <w:sz w:val="24"/>
          <w:szCs w:val="24"/>
        </w:rPr>
      </w:pPr>
      <w:r w:rsidRPr="00C47D33">
        <w:rPr>
          <w:sz w:val="24"/>
          <w:szCs w:val="24"/>
        </w:rPr>
        <w:t>There is no duplication of this information collection request.</w:t>
      </w:r>
      <w:r w:rsidR="00C47D33" w:rsidRPr="00C47D33">
        <w:rPr>
          <w:sz w:val="24"/>
          <w:szCs w:val="24"/>
        </w:rPr>
        <w:t xml:space="preserve">  Every effort has been made to avoid duplication. FNS has reviewed USDA reporting requirements, state administrative agency reporting requirements, and special studies by other government and private agencies. FNS </w:t>
      </w:r>
      <w:r w:rsidR="00674F32">
        <w:rPr>
          <w:sz w:val="24"/>
          <w:szCs w:val="24"/>
        </w:rPr>
        <w:t xml:space="preserve">is the </w:t>
      </w:r>
      <w:r w:rsidR="00C47D33" w:rsidRPr="00C47D33">
        <w:rPr>
          <w:sz w:val="24"/>
          <w:szCs w:val="24"/>
        </w:rPr>
        <w:t>sole</w:t>
      </w:r>
      <w:r w:rsidR="00674F32">
        <w:rPr>
          <w:sz w:val="24"/>
          <w:szCs w:val="24"/>
        </w:rPr>
        <w:t xml:space="preserve"> government agenc</w:t>
      </w:r>
      <w:r w:rsidR="00C47D33" w:rsidRPr="00C47D33">
        <w:rPr>
          <w:sz w:val="24"/>
          <w:szCs w:val="24"/>
        </w:rPr>
        <w:t>y</w:t>
      </w:r>
      <w:r w:rsidR="00674F32">
        <w:rPr>
          <w:sz w:val="24"/>
          <w:szCs w:val="24"/>
        </w:rPr>
        <w:t xml:space="preserve"> that</w:t>
      </w:r>
      <w:r w:rsidR="00C47D33" w:rsidRPr="00C47D33">
        <w:rPr>
          <w:sz w:val="24"/>
          <w:szCs w:val="24"/>
        </w:rPr>
        <w:t xml:space="preserve"> </w:t>
      </w:r>
      <w:r w:rsidR="00C47D33">
        <w:rPr>
          <w:sz w:val="24"/>
          <w:szCs w:val="24"/>
        </w:rPr>
        <w:t>monitors the WIC non-entitlement programs for annual close out and reconciliation of grants.</w:t>
      </w:r>
    </w:p>
    <w:p w:rsidR="006E3023" w:rsidRPr="00211425" w:rsidRDefault="006E3023" w:rsidP="00A91FED">
      <w:pPr>
        <w:tabs>
          <w:tab w:val="left" w:pos="9630"/>
          <w:tab w:val="left" w:pos="9810"/>
        </w:tabs>
        <w:ind w:left="720" w:right="792"/>
        <w:rPr>
          <w:b/>
          <w:sz w:val="24"/>
          <w:szCs w:val="24"/>
        </w:rPr>
      </w:pPr>
    </w:p>
    <w:p w:rsidR="006E3023" w:rsidRPr="00211425" w:rsidRDefault="006E3023" w:rsidP="00A91FED">
      <w:pPr>
        <w:tabs>
          <w:tab w:val="left" w:pos="9630"/>
          <w:tab w:val="left" w:pos="9810"/>
        </w:tabs>
        <w:ind w:left="720" w:right="792"/>
        <w:rPr>
          <w:b/>
          <w:sz w:val="24"/>
          <w:szCs w:val="24"/>
        </w:rPr>
      </w:pP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5.</w:t>
      </w:r>
      <w:r w:rsidRPr="00211425">
        <w:rPr>
          <w:b/>
          <w:sz w:val="24"/>
          <w:szCs w:val="24"/>
        </w:rPr>
        <w:tab/>
        <w:t>If the collection of information impacts small businesses or other small entities, describe any methods used to minimize burden.</w:t>
      </w:r>
    </w:p>
    <w:p w:rsidR="00DD175A" w:rsidRPr="00211425" w:rsidRDefault="00DD175A" w:rsidP="00A91FED">
      <w:pPr>
        <w:tabs>
          <w:tab w:val="left" w:pos="9630"/>
          <w:tab w:val="left" w:pos="9810"/>
        </w:tabs>
        <w:ind w:left="720" w:right="792" w:hanging="720"/>
        <w:rPr>
          <w:b/>
          <w:sz w:val="24"/>
          <w:szCs w:val="24"/>
        </w:rPr>
      </w:pPr>
    </w:p>
    <w:p w:rsidR="001F0AD1" w:rsidRPr="00211425" w:rsidRDefault="00DD175A" w:rsidP="00925299">
      <w:pPr>
        <w:tabs>
          <w:tab w:val="left" w:pos="9630"/>
          <w:tab w:val="left" w:pos="9810"/>
        </w:tabs>
        <w:spacing w:line="480" w:lineRule="auto"/>
        <w:ind w:left="720" w:right="792" w:hanging="720"/>
        <w:rPr>
          <w:b/>
          <w:sz w:val="24"/>
          <w:szCs w:val="24"/>
        </w:rPr>
      </w:pPr>
      <w:r w:rsidRPr="00211425">
        <w:rPr>
          <w:b/>
          <w:sz w:val="24"/>
          <w:szCs w:val="24"/>
        </w:rPr>
        <w:tab/>
      </w:r>
      <w:r w:rsidR="00925299" w:rsidRPr="00211425">
        <w:rPr>
          <w:sz w:val="24"/>
          <w:szCs w:val="24"/>
        </w:rPr>
        <w:t xml:space="preserve">Many of the Indian Tribal Organization (ITO) State agencies are small organizations.  </w:t>
      </w:r>
      <w:r w:rsidR="00792199">
        <w:rPr>
          <w:sz w:val="24"/>
          <w:szCs w:val="24"/>
        </w:rPr>
        <w:t xml:space="preserve">There are </w:t>
      </w:r>
      <w:r w:rsidR="00264960">
        <w:rPr>
          <w:sz w:val="24"/>
          <w:szCs w:val="24"/>
        </w:rPr>
        <w:t xml:space="preserve">currently </w:t>
      </w:r>
      <w:r w:rsidR="00792199">
        <w:rPr>
          <w:sz w:val="24"/>
          <w:szCs w:val="24"/>
        </w:rPr>
        <w:t>t</w:t>
      </w:r>
      <w:r w:rsidR="00016776">
        <w:rPr>
          <w:sz w:val="24"/>
          <w:szCs w:val="24"/>
        </w:rPr>
        <w:t>hirty-four</w:t>
      </w:r>
      <w:r w:rsidR="00792199">
        <w:rPr>
          <w:sz w:val="24"/>
          <w:szCs w:val="24"/>
        </w:rPr>
        <w:t xml:space="preserve"> (</w:t>
      </w:r>
      <w:r w:rsidR="00016776">
        <w:rPr>
          <w:sz w:val="24"/>
          <w:szCs w:val="24"/>
        </w:rPr>
        <w:t>34</w:t>
      </w:r>
      <w:r w:rsidR="00792199">
        <w:rPr>
          <w:sz w:val="24"/>
          <w:szCs w:val="24"/>
        </w:rPr>
        <w:t xml:space="preserve">) ITO.  </w:t>
      </w:r>
      <w:r w:rsidR="00925299" w:rsidRPr="00211425">
        <w:rPr>
          <w:sz w:val="24"/>
          <w:szCs w:val="24"/>
        </w:rPr>
        <w:t xml:space="preserve">The FNS-798 and FNS-798A minimizes their burden, as well as that of other State agencies, by limiting the information collected to that which is useful to FNS and State agencies.  The information is collected in a chronological format helpful to both FNS and State agencies.  FNS issued and periodically updates the WIC Reporting Guide, which provides detailed instructions for completing the FNS-798 and FNS-798A.  FNS also provides technical assistance as needed on using and completing these reports to minimized burden. </w:t>
      </w:r>
    </w:p>
    <w:p w:rsidR="00BA14AC" w:rsidRPr="00211425" w:rsidRDefault="00BA14AC" w:rsidP="00A91FED">
      <w:pPr>
        <w:tabs>
          <w:tab w:val="left" w:pos="9630"/>
          <w:tab w:val="left" w:pos="9810"/>
        </w:tabs>
        <w:ind w:left="720" w:right="792" w:hanging="720"/>
        <w:rPr>
          <w:b/>
          <w:sz w:val="24"/>
          <w:szCs w:val="24"/>
        </w:rPr>
      </w:pPr>
    </w:p>
    <w:p w:rsidR="00FC1494" w:rsidRPr="00211425" w:rsidRDefault="00711608">
      <w:pPr>
        <w:tabs>
          <w:tab w:val="left" w:pos="9630"/>
          <w:tab w:val="left" w:pos="9810"/>
        </w:tabs>
        <w:spacing w:line="480" w:lineRule="auto"/>
        <w:ind w:left="720" w:right="792" w:hanging="720"/>
        <w:rPr>
          <w:b/>
          <w:sz w:val="24"/>
          <w:szCs w:val="24"/>
        </w:rPr>
      </w:pPr>
      <w:r w:rsidRPr="00211425">
        <w:rPr>
          <w:b/>
          <w:sz w:val="24"/>
          <w:szCs w:val="24"/>
        </w:rPr>
        <w:lastRenderedPageBreak/>
        <w:t>6.</w:t>
      </w:r>
      <w:r w:rsidRPr="00211425">
        <w:rPr>
          <w:b/>
          <w:sz w:val="24"/>
          <w:szCs w:val="24"/>
        </w:rPr>
        <w:tab/>
      </w:r>
      <w:r w:rsidR="00071F56" w:rsidRPr="00211425">
        <w:rPr>
          <w:b/>
          <w:sz w:val="24"/>
          <w:szCs w:val="24"/>
        </w:rPr>
        <w:t>Describe the consequence to Federal program or policy activities if the collection is not conducted or is conducted less frequently, as well as any technical or legal obstacles to reducing burden.</w:t>
      </w:r>
    </w:p>
    <w:p w:rsidR="00FC1494" w:rsidRPr="00211425" w:rsidRDefault="007F1DF1">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sidRPr="00211425">
        <w:rPr>
          <w:sz w:val="24"/>
          <w:szCs w:val="24"/>
        </w:rPr>
        <w:t>A major consequence of less frequent collection would be the loss of timely and accurate data needed to manage funds in a non-entitlement grant program such as WIC.  The WIC appropriation is very carefully managed, and its effective management depends upon the timely receipt of information from State agencies.  Up-to-date data facilitates the early detection and correction of problems.  For example, the FNS Regional Offices monitor each of their respective State agencies’ cost per participant and rates of expenditure to keep them from overspending their authorized grants.  In addition, section 17(i)(2) of the CNA requires FNS to reallocate funds periodically if it is determined that a State agency is unable to spend its grant.  Lastly, the data collected on the final monthly FNS</w:t>
      </w:r>
      <w:r w:rsidRPr="00211425">
        <w:rPr>
          <w:sz w:val="24"/>
          <w:szCs w:val="24"/>
        </w:rPr>
        <w:noBreakHyphen/>
        <w:t>798 of the report year and the FNS-798A is used to close out each State agency’s grant.  A State agency’s grant cannot be closed out without this data.</w:t>
      </w:r>
    </w:p>
    <w:p w:rsidR="007F1DF1" w:rsidRPr="00211425" w:rsidRDefault="007F1DF1">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p>
    <w:p w:rsidR="00071F56" w:rsidRPr="00211425" w:rsidRDefault="00071F56" w:rsidP="00A91FED">
      <w:pPr>
        <w:pStyle w:val="BodyTextIndent"/>
        <w:tabs>
          <w:tab w:val="left" w:pos="9630"/>
          <w:tab w:val="left" w:pos="9810"/>
        </w:tabs>
        <w:ind w:right="792"/>
        <w:rPr>
          <w:szCs w:val="24"/>
        </w:rPr>
      </w:pPr>
      <w:r w:rsidRPr="00211425">
        <w:rPr>
          <w:szCs w:val="24"/>
        </w:rPr>
        <w:t>7.</w:t>
      </w:r>
      <w:r w:rsidRPr="00211425">
        <w:rPr>
          <w:szCs w:val="24"/>
        </w:rPr>
        <w:tab/>
        <w:t>Explain any special circumstances that would cause an information collecti</w:t>
      </w:r>
      <w:r w:rsidRPr="00211425">
        <w:rPr>
          <w:szCs w:val="24"/>
        </w:rPr>
        <w:softHyphen/>
        <w:t>on to be con</w:t>
      </w:r>
      <w:r w:rsidRPr="00211425">
        <w:rPr>
          <w:szCs w:val="24"/>
        </w:rPr>
        <w:softHyphen/>
        <w:t>ducted in a manner:</w:t>
      </w:r>
    </w:p>
    <w:p w:rsidR="00071F56" w:rsidRDefault="00071F56" w:rsidP="00A91FED">
      <w:pPr>
        <w:numPr>
          <w:ilvl w:val="0"/>
          <w:numId w:val="2"/>
        </w:numPr>
        <w:tabs>
          <w:tab w:val="clear" w:pos="360"/>
          <w:tab w:val="left" w:pos="9630"/>
          <w:tab w:val="left" w:pos="9810"/>
        </w:tabs>
        <w:spacing w:after="80"/>
        <w:ind w:left="1170" w:right="792" w:hanging="450"/>
        <w:rPr>
          <w:b/>
          <w:sz w:val="24"/>
          <w:szCs w:val="24"/>
        </w:rPr>
      </w:pPr>
      <w:r w:rsidRPr="00211425">
        <w:rPr>
          <w:b/>
          <w:sz w:val="24"/>
          <w:szCs w:val="24"/>
        </w:rPr>
        <w:t>requiring respondents to report informa</w:t>
      </w:r>
      <w:r w:rsidRPr="00211425">
        <w:rPr>
          <w:b/>
          <w:sz w:val="24"/>
          <w:szCs w:val="24"/>
        </w:rPr>
        <w:softHyphen/>
        <w:t>tion to the agency more often than quarterly;</w:t>
      </w:r>
    </w:p>
    <w:p w:rsidR="00C47D33" w:rsidRDefault="00C47D33" w:rsidP="00C47D33">
      <w:pPr>
        <w:tabs>
          <w:tab w:val="left" w:pos="9630"/>
          <w:tab w:val="left" w:pos="9810"/>
        </w:tabs>
        <w:spacing w:after="80"/>
        <w:ind w:left="1170" w:right="792"/>
        <w:rPr>
          <w:b/>
          <w:sz w:val="24"/>
          <w:szCs w:val="24"/>
        </w:rPr>
      </w:pPr>
    </w:p>
    <w:p w:rsidR="00C47D33" w:rsidRPr="00C47D33" w:rsidRDefault="00C47D33" w:rsidP="00C47D33">
      <w:pPr>
        <w:pStyle w:val="ListParagraph"/>
        <w:tabs>
          <w:tab w:val="left" w:pos="9630"/>
          <w:tab w:val="left" w:pos="9810"/>
        </w:tabs>
        <w:spacing w:after="80" w:line="480" w:lineRule="auto"/>
        <w:ind w:left="1170" w:right="792"/>
        <w:rPr>
          <w:sz w:val="24"/>
          <w:szCs w:val="24"/>
        </w:rPr>
      </w:pPr>
      <w:r w:rsidRPr="00C47D33">
        <w:rPr>
          <w:sz w:val="24"/>
          <w:szCs w:val="24"/>
        </w:rPr>
        <w:t xml:space="preserve">Monthly reporting is critical for monitoring each State agency’s expenditures to ensure it does not overspend its authorized grant, which would create a financial burden for the State.  Costs incurred by a State agency in excess of its grant must be paid by the State.  </w:t>
      </w:r>
    </w:p>
    <w:p w:rsidR="00071F56" w:rsidRPr="00211425" w:rsidRDefault="00071F56" w:rsidP="00A91FED">
      <w:pPr>
        <w:numPr>
          <w:ilvl w:val="0"/>
          <w:numId w:val="3"/>
        </w:numPr>
        <w:tabs>
          <w:tab w:val="clear" w:pos="360"/>
          <w:tab w:val="left" w:pos="9630"/>
          <w:tab w:val="left" w:pos="9810"/>
        </w:tabs>
        <w:spacing w:after="80"/>
        <w:ind w:left="1170" w:right="792" w:hanging="450"/>
        <w:rPr>
          <w:b/>
          <w:sz w:val="24"/>
          <w:szCs w:val="24"/>
        </w:rPr>
      </w:pPr>
      <w:r w:rsidRPr="00211425">
        <w:rPr>
          <w:b/>
          <w:sz w:val="24"/>
          <w:szCs w:val="24"/>
        </w:rPr>
        <w:t>requiring respondents to prepare a writ</w:t>
      </w:r>
      <w:r w:rsidRPr="00211425">
        <w:rPr>
          <w:b/>
          <w:sz w:val="24"/>
          <w:szCs w:val="24"/>
        </w:rPr>
        <w:softHyphen/>
        <w:t>ten response to a collection of infor</w:t>
      </w:r>
      <w:r w:rsidRPr="00211425">
        <w:rPr>
          <w:b/>
          <w:sz w:val="24"/>
          <w:szCs w:val="24"/>
        </w:rPr>
        <w:softHyphen/>
        <w:t>ma</w:t>
      </w:r>
      <w:r w:rsidRPr="00211425">
        <w:rPr>
          <w:b/>
          <w:sz w:val="24"/>
          <w:szCs w:val="24"/>
        </w:rPr>
        <w:softHyphen/>
        <w:t>tion in fewer than 30 days after receipt of it;</w:t>
      </w:r>
    </w:p>
    <w:p w:rsidR="00071F56" w:rsidRPr="00211425" w:rsidRDefault="00071F56" w:rsidP="00A91FED">
      <w:pPr>
        <w:numPr>
          <w:ilvl w:val="0"/>
          <w:numId w:val="4"/>
        </w:numPr>
        <w:tabs>
          <w:tab w:val="clear" w:pos="360"/>
          <w:tab w:val="left" w:pos="9630"/>
          <w:tab w:val="left" w:pos="9810"/>
        </w:tabs>
        <w:spacing w:after="80"/>
        <w:ind w:left="1170" w:right="792" w:hanging="450"/>
        <w:rPr>
          <w:b/>
          <w:sz w:val="24"/>
          <w:szCs w:val="24"/>
        </w:rPr>
      </w:pPr>
      <w:r w:rsidRPr="00211425">
        <w:rPr>
          <w:b/>
          <w:sz w:val="24"/>
          <w:szCs w:val="24"/>
        </w:rPr>
        <w:t>requiring respondents to submit more than an original and two copies of any docu</w:t>
      </w:r>
      <w:r w:rsidRPr="00211425">
        <w:rPr>
          <w:b/>
          <w:sz w:val="24"/>
          <w:szCs w:val="24"/>
        </w:rPr>
        <w:softHyphen/>
        <w:t>ment;</w:t>
      </w:r>
    </w:p>
    <w:p w:rsidR="00071F56" w:rsidRPr="00211425" w:rsidRDefault="00071F56" w:rsidP="00A91FED">
      <w:pPr>
        <w:numPr>
          <w:ilvl w:val="0"/>
          <w:numId w:val="5"/>
        </w:numPr>
        <w:tabs>
          <w:tab w:val="clear" w:pos="360"/>
          <w:tab w:val="left" w:pos="9630"/>
          <w:tab w:val="left" w:pos="9810"/>
        </w:tabs>
        <w:spacing w:after="80"/>
        <w:ind w:left="1170" w:right="792" w:hanging="450"/>
        <w:rPr>
          <w:b/>
          <w:sz w:val="24"/>
          <w:szCs w:val="24"/>
        </w:rPr>
      </w:pPr>
      <w:r w:rsidRPr="00211425">
        <w:rPr>
          <w:b/>
          <w:sz w:val="24"/>
          <w:szCs w:val="24"/>
        </w:rPr>
        <w:t>requiring respondents to retain re</w:t>
      </w:r>
      <w:r w:rsidRPr="00211425">
        <w:rPr>
          <w:b/>
          <w:sz w:val="24"/>
          <w:szCs w:val="24"/>
        </w:rPr>
        <w:softHyphen/>
        <w:t>cords, other than health, medical, governm</w:t>
      </w:r>
      <w:r w:rsidRPr="00211425">
        <w:rPr>
          <w:b/>
          <w:sz w:val="24"/>
          <w:szCs w:val="24"/>
        </w:rPr>
        <w:softHyphen/>
        <w:t>ent contract, grant-in-aid, or tax records for more than three years;</w:t>
      </w:r>
    </w:p>
    <w:p w:rsidR="00071F56" w:rsidRPr="00211425" w:rsidRDefault="00071F56" w:rsidP="00A91FED">
      <w:pPr>
        <w:numPr>
          <w:ilvl w:val="0"/>
          <w:numId w:val="6"/>
        </w:numPr>
        <w:tabs>
          <w:tab w:val="clear" w:pos="360"/>
          <w:tab w:val="left" w:pos="9630"/>
          <w:tab w:val="left" w:pos="9810"/>
        </w:tabs>
        <w:spacing w:after="80"/>
        <w:ind w:left="1170" w:right="792" w:hanging="450"/>
        <w:rPr>
          <w:b/>
          <w:sz w:val="24"/>
          <w:szCs w:val="24"/>
        </w:rPr>
      </w:pPr>
      <w:r w:rsidRPr="00211425">
        <w:rPr>
          <w:b/>
          <w:sz w:val="24"/>
          <w:szCs w:val="24"/>
        </w:rPr>
        <w:lastRenderedPageBreak/>
        <w:t>in connection with a statisti</w:t>
      </w:r>
      <w:r w:rsidRPr="00211425">
        <w:rPr>
          <w:b/>
          <w:sz w:val="24"/>
          <w:szCs w:val="24"/>
        </w:rPr>
        <w:softHyphen/>
        <w:t>cal sur</w:t>
      </w:r>
      <w:r w:rsidRPr="00211425">
        <w:rPr>
          <w:b/>
          <w:sz w:val="24"/>
          <w:szCs w:val="24"/>
        </w:rPr>
        <w:softHyphen/>
        <w:t>vey, that is not de</w:t>
      </w:r>
      <w:r w:rsidRPr="00211425">
        <w:rPr>
          <w:b/>
          <w:sz w:val="24"/>
          <w:szCs w:val="24"/>
        </w:rPr>
        <w:softHyphen/>
        <w:t>signed to produce valid and reli</w:t>
      </w:r>
      <w:r w:rsidRPr="00211425">
        <w:rPr>
          <w:b/>
          <w:sz w:val="24"/>
          <w:szCs w:val="24"/>
        </w:rPr>
        <w:softHyphen/>
        <w:t>able results that can be general</w:t>
      </w:r>
      <w:r w:rsidRPr="00211425">
        <w:rPr>
          <w:b/>
          <w:sz w:val="24"/>
          <w:szCs w:val="24"/>
        </w:rPr>
        <w:softHyphen/>
        <w:t>ized to the uni</w:t>
      </w:r>
      <w:r w:rsidRPr="00211425">
        <w:rPr>
          <w:b/>
          <w:sz w:val="24"/>
          <w:szCs w:val="24"/>
        </w:rPr>
        <w:softHyphen/>
        <w:t>verse of study;</w:t>
      </w:r>
    </w:p>
    <w:p w:rsidR="00071F56" w:rsidRPr="00211425" w:rsidRDefault="00071F56" w:rsidP="00A91FED">
      <w:pPr>
        <w:numPr>
          <w:ilvl w:val="0"/>
          <w:numId w:val="7"/>
        </w:numPr>
        <w:tabs>
          <w:tab w:val="clear" w:pos="360"/>
          <w:tab w:val="left" w:pos="9630"/>
          <w:tab w:val="left" w:pos="9810"/>
        </w:tabs>
        <w:spacing w:after="80"/>
        <w:ind w:left="1170" w:right="792" w:hanging="450"/>
        <w:rPr>
          <w:b/>
          <w:sz w:val="24"/>
          <w:szCs w:val="24"/>
        </w:rPr>
      </w:pPr>
      <w:r w:rsidRPr="00211425">
        <w:rPr>
          <w:b/>
          <w:sz w:val="24"/>
          <w:szCs w:val="24"/>
        </w:rPr>
        <w:t>requiring the use of a statis</w:t>
      </w:r>
      <w:r w:rsidRPr="00211425">
        <w:rPr>
          <w:b/>
          <w:sz w:val="24"/>
          <w:szCs w:val="24"/>
        </w:rPr>
        <w:softHyphen/>
        <w:t>tical data classi</w:t>
      </w:r>
      <w:r w:rsidRPr="00211425">
        <w:rPr>
          <w:b/>
          <w:sz w:val="24"/>
          <w:szCs w:val="24"/>
        </w:rPr>
        <w:softHyphen/>
        <w:t>fication that has not been re</w:t>
      </w:r>
      <w:r w:rsidRPr="00211425">
        <w:rPr>
          <w:b/>
          <w:sz w:val="24"/>
          <w:szCs w:val="24"/>
        </w:rPr>
        <w:softHyphen/>
        <w:t>vie</w:t>
      </w:r>
      <w:r w:rsidRPr="00211425">
        <w:rPr>
          <w:b/>
          <w:sz w:val="24"/>
          <w:szCs w:val="24"/>
        </w:rPr>
        <w:softHyphen/>
        <w:t>wed and approved by OMB;</w:t>
      </w:r>
    </w:p>
    <w:p w:rsidR="00071F56" w:rsidRPr="00211425" w:rsidRDefault="00071F56" w:rsidP="00A91FED">
      <w:pPr>
        <w:numPr>
          <w:ilvl w:val="0"/>
          <w:numId w:val="8"/>
        </w:numPr>
        <w:tabs>
          <w:tab w:val="clear" w:pos="360"/>
          <w:tab w:val="left" w:pos="9630"/>
          <w:tab w:val="left" w:pos="9810"/>
        </w:tabs>
        <w:spacing w:after="80"/>
        <w:ind w:left="1170" w:right="792" w:hanging="450"/>
        <w:rPr>
          <w:b/>
          <w:sz w:val="24"/>
          <w:szCs w:val="24"/>
        </w:rPr>
      </w:pPr>
      <w:r w:rsidRPr="00211425">
        <w:rPr>
          <w:b/>
          <w:sz w:val="24"/>
          <w:szCs w:val="24"/>
        </w:rPr>
        <w:t>that includes a pledge of confiden</w:t>
      </w:r>
      <w:r w:rsidRPr="00211425">
        <w:rPr>
          <w:b/>
          <w:sz w:val="24"/>
          <w:szCs w:val="24"/>
        </w:rPr>
        <w:softHyphen/>
        <w:t>tiali</w:t>
      </w:r>
      <w:r w:rsidRPr="00211425">
        <w:rPr>
          <w:b/>
          <w:sz w:val="24"/>
          <w:szCs w:val="24"/>
        </w:rPr>
        <w:softHyphen/>
        <w:t>ty that is not supported by au</w:t>
      </w:r>
      <w:r w:rsidRPr="00211425">
        <w:rPr>
          <w:b/>
          <w:sz w:val="24"/>
          <w:szCs w:val="24"/>
        </w:rPr>
        <w:softHyphen/>
        <w:t>thority estab</w:t>
      </w:r>
      <w:r w:rsidRPr="00211425">
        <w:rPr>
          <w:b/>
          <w:sz w:val="24"/>
          <w:szCs w:val="24"/>
        </w:rPr>
        <w:softHyphen/>
        <w:t>lished in statute or regu</w:t>
      </w:r>
      <w:r w:rsidRPr="00211425">
        <w:rPr>
          <w:b/>
          <w:sz w:val="24"/>
          <w:szCs w:val="24"/>
        </w:rPr>
        <w:softHyphen/>
        <w:t>la</w:t>
      </w:r>
      <w:r w:rsidRPr="00211425">
        <w:rPr>
          <w:b/>
          <w:sz w:val="24"/>
          <w:szCs w:val="24"/>
        </w:rPr>
        <w:softHyphen/>
        <w:t>tion, that is not sup</w:t>
      </w:r>
      <w:r w:rsidRPr="00211425">
        <w:rPr>
          <w:b/>
          <w:sz w:val="24"/>
          <w:szCs w:val="24"/>
        </w:rPr>
        <w:softHyphen/>
        <w:t>ported by dis</w:t>
      </w:r>
      <w:r w:rsidRPr="00211425">
        <w:rPr>
          <w:b/>
          <w:sz w:val="24"/>
          <w:szCs w:val="24"/>
        </w:rPr>
        <w:softHyphen/>
        <w:t>closure and data security policies that are consistent with the pledge, or which unneces</w:t>
      </w:r>
      <w:r w:rsidRPr="00211425">
        <w:rPr>
          <w:b/>
          <w:sz w:val="24"/>
          <w:szCs w:val="24"/>
        </w:rPr>
        <w:softHyphen/>
        <w:t>sarily impedes shar</w:t>
      </w:r>
      <w:r w:rsidRPr="00211425">
        <w:rPr>
          <w:b/>
          <w:sz w:val="24"/>
          <w:szCs w:val="24"/>
        </w:rPr>
        <w:softHyphen/>
        <w:t>ing of data with other agencies for com</w:t>
      </w:r>
      <w:r w:rsidRPr="00211425">
        <w:rPr>
          <w:b/>
          <w:sz w:val="24"/>
          <w:szCs w:val="24"/>
        </w:rPr>
        <w:softHyphen/>
        <w:t>patible confiden</w:t>
      </w:r>
      <w:r w:rsidRPr="00211425">
        <w:rPr>
          <w:b/>
          <w:sz w:val="24"/>
          <w:szCs w:val="24"/>
        </w:rPr>
        <w:softHyphen/>
        <w:t>tial use; or</w:t>
      </w:r>
    </w:p>
    <w:p w:rsidR="00071F56" w:rsidRPr="00211425" w:rsidRDefault="00071F56" w:rsidP="00A91FED">
      <w:pPr>
        <w:numPr>
          <w:ilvl w:val="0"/>
          <w:numId w:val="10"/>
        </w:numPr>
        <w:tabs>
          <w:tab w:val="clear" w:pos="360"/>
          <w:tab w:val="num" w:pos="648"/>
          <w:tab w:val="left" w:pos="9630"/>
          <w:tab w:val="left" w:pos="9810"/>
        </w:tabs>
        <w:spacing w:after="80"/>
        <w:ind w:left="1170" w:right="792" w:hanging="450"/>
        <w:rPr>
          <w:sz w:val="24"/>
          <w:szCs w:val="24"/>
        </w:rPr>
      </w:pPr>
      <w:r w:rsidRPr="00211425">
        <w:rPr>
          <w:b/>
          <w:sz w:val="24"/>
          <w:szCs w:val="24"/>
        </w:rPr>
        <w:t>requiring respondents to submit propri</w:t>
      </w:r>
      <w:r w:rsidRPr="00211425">
        <w:rPr>
          <w:b/>
          <w:sz w:val="24"/>
          <w:szCs w:val="24"/>
        </w:rPr>
        <w:softHyphen/>
        <w:t>etary trade secret, or other confidential information unless the agency can demon</w:t>
      </w:r>
      <w:r w:rsidRPr="00211425">
        <w:rPr>
          <w:b/>
          <w:sz w:val="24"/>
          <w:szCs w:val="24"/>
        </w:rPr>
        <w:softHyphen/>
        <w:t>strate that it has instituted procedures to protect the information's confidentiality to the extent permit</w:t>
      </w:r>
      <w:r w:rsidRPr="00211425">
        <w:rPr>
          <w:b/>
          <w:sz w:val="24"/>
          <w:szCs w:val="24"/>
        </w:rPr>
        <w:softHyphen/>
        <w:t>ted by law.</w:t>
      </w:r>
    </w:p>
    <w:p w:rsidR="00C47D33" w:rsidRPr="00211425" w:rsidRDefault="00C47D33" w:rsidP="00F66DA6">
      <w:pPr>
        <w:tabs>
          <w:tab w:val="left" w:pos="9630"/>
          <w:tab w:val="left" w:pos="9810"/>
        </w:tabs>
        <w:spacing w:after="80" w:line="480" w:lineRule="auto"/>
        <w:ind w:left="720" w:right="792"/>
        <w:rPr>
          <w:sz w:val="24"/>
          <w:szCs w:val="24"/>
        </w:rPr>
      </w:pPr>
    </w:p>
    <w:p w:rsidR="00ED116E" w:rsidRPr="00ED116E" w:rsidRDefault="00ED116E" w:rsidP="00ED116E">
      <w:pPr>
        <w:tabs>
          <w:tab w:val="left" w:pos="9630"/>
          <w:tab w:val="left" w:pos="9810"/>
        </w:tabs>
        <w:spacing w:after="80" w:line="480" w:lineRule="auto"/>
        <w:ind w:left="720" w:right="792"/>
        <w:rPr>
          <w:sz w:val="24"/>
          <w:szCs w:val="24"/>
        </w:rPr>
      </w:pPr>
      <w:r w:rsidRPr="00ED116E">
        <w:rPr>
          <w:sz w:val="24"/>
          <w:szCs w:val="24"/>
        </w:rPr>
        <w:t>There are no other special circumstances.  The collection of information is conducted in a manner consistent with the guidelines in 5 CFR 1320.5</w:t>
      </w:r>
    </w:p>
    <w:p w:rsidR="00071F56" w:rsidRPr="00211425" w:rsidRDefault="00071F56" w:rsidP="00A91FED">
      <w:pPr>
        <w:tabs>
          <w:tab w:val="left" w:pos="9630"/>
          <w:tab w:val="left" w:pos="9810"/>
        </w:tabs>
        <w:ind w:left="720" w:right="792" w:hanging="720"/>
        <w:rPr>
          <w:sz w:val="24"/>
          <w:szCs w:val="24"/>
        </w:rPr>
      </w:pPr>
    </w:p>
    <w:p w:rsidR="00FC1494" w:rsidRPr="00211425" w:rsidRDefault="00071F56">
      <w:pPr>
        <w:numPr>
          <w:ilvl w:val="0"/>
          <w:numId w:val="11"/>
        </w:numPr>
        <w:tabs>
          <w:tab w:val="left" w:pos="9630"/>
          <w:tab w:val="left" w:pos="9810"/>
        </w:tabs>
        <w:spacing w:line="480" w:lineRule="auto"/>
        <w:ind w:right="792"/>
        <w:rPr>
          <w:b/>
          <w:sz w:val="24"/>
          <w:szCs w:val="24"/>
        </w:rPr>
      </w:pPr>
      <w:r w:rsidRPr="00211425">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071F56" w:rsidRPr="00211425" w:rsidRDefault="00071F56" w:rsidP="00A91FED">
      <w:pPr>
        <w:tabs>
          <w:tab w:val="left" w:pos="9630"/>
          <w:tab w:val="left" w:pos="9810"/>
        </w:tabs>
        <w:ind w:right="792"/>
        <w:rPr>
          <w:b/>
          <w:sz w:val="24"/>
          <w:szCs w:val="24"/>
        </w:rPr>
      </w:pPr>
    </w:p>
    <w:p w:rsidR="00FC1494" w:rsidRPr="00211425" w:rsidRDefault="00071F56">
      <w:pPr>
        <w:pStyle w:val="BodyTextIndent2"/>
        <w:tabs>
          <w:tab w:val="left" w:pos="9630"/>
          <w:tab w:val="left" w:pos="9810"/>
        </w:tabs>
        <w:spacing w:line="480" w:lineRule="auto"/>
        <w:ind w:right="792"/>
        <w:jc w:val="left"/>
        <w:rPr>
          <w:szCs w:val="24"/>
        </w:rPr>
      </w:pPr>
      <w:r w:rsidRPr="00211425">
        <w:rPr>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CE4B2F" w:rsidRPr="00211425" w:rsidRDefault="00CE4B2F" w:rsidP="00A91FED">
      <w:pPr>
        <w:pStyle w:val="BodyTextIndent2"/>
        <w:tabs>
          <w:tab w:val="left" w:pos="9630"/>
          <w:tab w:val="left" w:pos="9810"/>
        </w:tabs>
        <w:ind w:right="792"/>
        <w:jc w:val="left"/>
        <w:rPr>
          <w:szCs w:val="24"/>
        </w:rPr>
      </w:pPr>
    </w:p>
    <w:p w:rsidR="00E9362B" w:rsidRPr="00211425" w:rsidRDefault="00CE4B2F">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sidRPr="00211425">
        <w:rPr>
          <w:sz w:val="24"/>
          <w:szCs w:val="24"/>
        </w:rPr>
        <w:t>A 60-day Federal Register Notice announcing FNS’ intention to extend the use of form FNS-</w:t>
      </w:r>
      <w:r w:rsidR="00CE7639" w:rsidRPr="00211425">
        <w:rPr>
          <w:sz w:val="24"/>
          <w:szCs w:val="24"/>
        </w:rPr>
        <w:t>79</w:t>
      </w:r>
      <w:r w:rsidRPr="00211425">
        <w:rPr>
          <w:sz w:val="24"/>
          <w:szCs w:val="24"/>
        </w:rPr>
        <w:t xml:space="preserve">8 was published in the Federal Register on </w:t>
      </w:r>
      <w:r w:rsidR="00CE7639" w:rsidRPr="00211425">
        <w:rPr>
          <w:sz w:val="24"/>
          <w:szCs w:val="24"/>
        </w:rPr>
        <w:t>January 20, 2011,</w:t>
      </w:r>
      <w:r w:rsidRPr="00211425">
        <w:rPr>
          <w:sz w:val="24"/>
          <w:szCs w:val="24"/>
        </w:rPr>
        <w:t xml:space="preserve"> Volume 7</w:t>
      </w:r>
      <w:r w:rsidR="00CE7639" w:rsidRPr="00211425">
        <w:rPr>
          <w:sz w:val="24"/>
          <w:szCs w:val="24"/>
        </w:rPr>
        <w:t>6</w:t>
      </w:r>
      <w:r w:rsidRPr="00211425">
        <w:rPr>
          <w:sz w:val="24"/>
          <w:szCs w:val="24"/>
        </w:rPr>
        <w:t>,</w:t>
      </w:r>
      <w:r w:rsidR="00A2536F" w:rsidRPr="00211425">
        <w:rPr>
          <w:sz w:val="24"/>
          <w:szCs w:val="24"/>
        </w:rPr>
        <w:t xml:space="preserve"> No. </w:t>
      </w:r>
      <w:r w:rsidR="00CE7639" w:rsidRPr="00211425">
        <w:rPr>
          <w:sz w:val="24"/>
          <w:szCs w:val="24"/>
        </w:rPr>
        <w:t>13</w:t>
      </w:r>
      <w:r w:rsidR="00A2536F" w:rsidRPr="00211425">
        <w:rPr>
          <w:sz w:val="24"/>
          <w:szCs w:val="24"/>
        </w:rPr>
        <w:t>,</w:t>
      </w:r>
      <w:r w:rsidRPr="00211425">
        <w:rPr>
          <w:sz w:val="24"/>
          <w:szCs w:val="24"/>
        </w:rPr>
        <w:t xml:space="preserve"> Page </w:t>
      </w:r>
      <w:r w:rsidR="00CE7639" w:rsidRPr="00211425">
        <w:rPr>
          <w:sz w:val="24"/>
          <w:szCs w:val="24"/>
        </w:rPr>
        <w:t>3599</w:t>
      </w:r>
      <w:r w:rsidR="00014F4E" w:rsidRPr="00211425">
        <w:rPr>
          <w:sz w:val="24"/>
          <w:szCs w:val="24"/>
        </w:rPr>
        <w:t xml:space="preserve">.  </w:t>
      </w:r>
      <w:r w:rsidR="00CE7639" w:rsidRPr="00211425">
        <w:rPr>
          <w:sz w:val="24"/>
          <w:szCs w:val="24"/>
        </w:rPr>
        <w:t>One</w:t>
      </w:r>
      <w:r w:rsidRPr="00211425">
        <w:rPr>
          <w:sz w:val="24"/>
          <w:szCs w:val="24"/>
        </w:rPr>
        <w:t xml:space="preserve"> </w:t>
      </w:r>
      <w:r w:rsidR="00CE7639" w:rsidRPr="00211425">
        <w:rPr>
          <w:sz w:val="24"/>
          <w:szCs w:val="24"/>
        </w:rPr>
        <w:t xml:space="preserve">favorable comment was </w:t>
      </w:r>
      <w:r w:rsidRPr="00211425">
        <w:rPr>
          <w:sz w:val="24"/>
          <w:szCs w:val="24"/>
        </w:rPr>
        <w:t>received in response to this notice</w:t>
      </w:r>
      <w:r w:rsidR="007254EA">
        <w:rPr>
          <w:sz w:val="24"/>
          <w:szCs w:val="24"/>
        </w:rPr>
        <w:t xml:space="preserve"> and submitted with this collection</w:t>
      </w:r>
      <w:r w:rsidRPr="00211425">
        <w:rPr>
          <w:sz w:val="24"/>
          <w:szCs w:val="24"/>
        </w:rPr>
        <w:t>.</w:t>
      </w:r>
    </w:p>
    <w:p w:rsidR="00F66DA6" w:rsidRPr="00211425" w:rsidRDefault="00F66DA6">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p>
    <w:p w:rsidR="00FC1494" w:rsidRPr="00211425" w:rsidRDefault="00F66DA6">
      <w:pPr>
        <w:tabs>
          <w:tab w:val="left" w:pos="-720"/>
          <w:tab w:val="left" w:pos="9630"/>
          <w:tab w:val="left" w:pos="9810"/>
        </w:tabs>
        <w:suppressAutoHyphens/>
        <w:overflowPunct w:val="0"/>
        <w:autoSpaceDE w:val="0"/>
        <w:autoSpaceDN w:val="0"/>
        <w:adjustRightInd w:val="0"/>
        <w:spacing w:line="480" w:lineRule="auto"/>
        <w:ind w:left="720" w:right="792"/>
        <w:textAlignment w:val="baseline"/>
        <w:rPr>
          <w:sz w:val="24"/>
          <w:szCs w:val="24"/>
        </w:rPr>
      </w:pPr>
      <w:r w:rsidRPr="00211425">
        <w:rPr>
          <w:sz w:val="24"/>
          <w:szCs w:val="24"/>
        </w:rPr>
        <w:lastRenderedPageBreak/>
        <w:t>State and regional officials provide ongoing advice or feedback on form FNS-798 with Addendum (FNS-798A).  Monthly conference calls between FNS and the National WIC Association Funding Committee provide an excellent opportunity for State officials to communicate regularly to discuss any potential change to data elements or data form based on feedback from State staff responsible for reporting the data.</w:t>
      </w:r>
      <w:r w:rsidRPr="00211425">
        <w:rPr>
          <w:sz w:val="24"/>
          <w:szCs w:val="24"/>
        </w:rPr>
        <w:br/>
      </w:r>
    </w:p>
    <w:p w:rsidR="00FC1494" w:rsidRPr="00211425" w:rsidRDefault="00071F56">
      <w:pPr>
        <w:pStyle w:val="ListParagraph"/>
        <w:numPr>
          <w:ilvl w:val="0"/>
          <w:numId w:val="11"/>
        </w:numPr>
        <w:tabs>
          <w:tab w:val="left" w:pos="9630"/>
          <w:tab w:val="left" w:pos="9810"/>
        </w:tabs>
        <w:spacing w:line="480" w:lineRule="auto"/>
        <w:ind w:right="792"/>
        <w:rPr>
          <w:b/>
          <w:sz w:val="24"/>
          <w:szCs w:val="24"/>
        </w:rPr>
      </w:pPr>
      <w:r w:rsidRPr="00211425">
        <w:rPr>
          <w:b/>
          <w:sz w:val="24"/>
          <w:szCs w:val="24"/>
        </w:rPr>
        <w:t xml:space="preserve">Explain any decision to provide any payment or gift to respondents, other than </w:t>
      </w:r>
      <w:r w:rsidR="005C28DD" w:rsidRPr="00211425">
        <w:rPr>
          <w:b/>
          <w:sz w:val="24"/>
          <w:szCs w:val="24"/>
        </w:rPr>
        <w:t>r</w:t>
      </w:r>
      <w:r w:rsidR="00E76DDD" w:rsidRPr="00211425">
        <w:rPr>
          <w:b/>
          <w:sz w:val="24"/>
          <w:szCs w:val="24"/>
        </w:rPr>
        <w:t>emuneration</w:t>
      </w:r>
      <w:r w:rsidRPr="00211425">
        <w:rPr>
          <w:b/>
          <w:sz w:val="24"/>
          <w:szCs w:val="24"/>
        </w:rPr>
        <w:t xml:space="preserve"> of contractors or grantees.</w:t>
      </w:r>
    </w:p>
    <w:p w:rsidR="00CE4B2F" w:rsidRPr="00211425" w:rsidRDefault="00CE4B2F" w:rsidP="00A91FED">
      <w:pPr>
        <w:tabs>
          <w:tab w:val="left" w:pos="9630"/>
          <w:tab w:val="left" w:pos="9810"/>
        </w:tabs>
        <w:ind w:left="720" w:right="792"/>
        <w:rPr>
          <w:sz w:val="24"/>
          <w:szCs w:val="24"/>
        </w:rPr>
      </w:pPr>
    </w:p>
    <w:p w:rsidR="00CE4B2F" w:rsidRPr="00211425" w:rsidRDefault="00CE4B2F" w:rsidP="00A91FED">
      <w:pPr>
        <w:tabs>
          <w:tab w:val="left" w:pos="9630"/>
          <w:tab w:val="left" w:pos="9810"/>
        </w:tabs>
        <w:ind w:left="720" w:right="792"/>
        <w:rPr>
          <w:sz w:val="24"/>
          <w:szCs w:val="24"/>
        </w:rPr>
      </w:pPr>
      <w:r w:rsidRPr="00211425">
        <w:rPr>
          <w:rFonts w:ascii="CG Times" w:hAnsi="CG Times"/>
          <w:sz w:val="24"/>
          <w:szCs w:val="24"/>
        </w:rPr>
        <w:t>No payments or gifts are provided to respondents.</w:t>
      </w:r>
    </w:p>
    <w:p w:rsidR="00071F56" w:rsidRPr="00211425" w:rsidRDefault="00071F56" w:rsidP="00A91FED">
      <w:pPr>
        <w:tabs>
          <w:tab w:val="left" w:pos="9630"/>
          <w:tab w:val="left" w:pos="9810"/>
        </w:tabs>
        <w:ind w:right="792"/>
        <w:rPr>
          <w:sz w:val="24"/>
          <w:szCs w:val="24"/>
        </w:rPr>
      </w:pPr>
    </w:p>
    <w:p w:rsidR="00FC1494" w:rsidRPr="00211425" w:rsidRDefault="00071F56">
      <w:pPr>
        <w:numPr>
          <w:ilvl w:val="0"/>
          <w:numId w:val="1"/>
        </w:numPr>
        <w:tabs>
          <w:tab w:val="left" w:pos="9630"/>
          <w:tab w:val="left" w:pos="9810"/>
        </w:tabs>
        <w:spacing w:line="480" w:lineRule="auto"/>
        <w:ind w:right="792"/>
        <w:rPr>
          <w:b/>
          <w:sz w:val="24"/>
          <w:szCs w:val="24"/>
        </w:rPr>
      </w:pPr>
      <w:r w:rsidRPr="00211425">
        <w:rPr>
          <w:b/>
          <w:sz w:val="24"/>
          <w:szCs w:val="24"/>
        </w:rPr>
        <w:t>Describe any assurance of confidentiality provided to respondents and the basis for the assurance in statute, regulation, or agency policy.</w:t>
      </w:r>
    </w:p>
    <w:p w:rsidR="00071F56" w:rsidRPr="00211425" w:rsidRDefault="00071F56" w:rsidP="00A91FED">
      <w:pPr>
        <w:tabs>
          <w:tab w:val="left" w:pos="9630"/>
          <w:tab w:val="left" w:pos="9810"/>
        </w:tabs>
        <w:ind w:left="720" w:right="792"/>
        <w:rPr>
          <w:rFonts w:ascii="CG Times" w:hAnsi="CG Times"/>
          <w:sz w:val="24"/>
          <w:szCs w:val="24"/>
        </w:rPr>
      </w:pPr>
    </w:p>
    <w:p w:rsidR="00CE4B2F" w:rsidRPr="00211425" w:rsidRDefault="00CE4B2F" w:rsidP="00A91FED">
      <w:pPr>
        <w:tabs>
          <w:tab w:val="left" w:pos="9630"/>
          <w:tab w:val="left" w:pos="9810"/>
        </w:tabs>
        <w:ind w:right="792" w:firstLine="720"/>
        <w:rPr>
          <w:rFonts w:ascii="CG Times" w:hAnsi="CG Times"/>
          <w:sz w:val="24"/>
          <w:szCs w:val="24"/>
        </w:rPr>
      </w:pPr>
      <w:r w:rsidRPr="00211425">
        <w:rPr>
          <w:rFonts w:ascii="CG Times" w:hAnsi="CG Times"/>
          <w:sz w:val="24"/>
          <w:szCs w:val="24"/>
        </w:rPr>
        <w:t>The Department will comply with the Privacy Act of 1974.</w:t>
      </w:r>
    </w:p>
    <w:p w:rsidR="00722985" w:rsidRPr="00211425" w:rsidRDefault="00722985" w:rsidP="00A91FED">
      <w:pPr>
        <w:tabs>
          <w:tab w:val="left" w:pos="9630"/>
          <w:tab w:val="left" w:pos="9810"/>
        </w:tabs>
        <w:ind w:right="792" w:firstLine="720"/>
        <w:rPr>
          <w:rFonts w:ascii="CG Times" w:hAnsi="CG Times"/>
          <w:sz w:val="24"/>
          <w:szCs w:val="24"/>
        </w:rPr>
      </w:pPr>
    </w:p>
    <w:p w:rsidR="00CE4B2F" w:rsidRPr="00211425" w:rsidRDefault="00CE4B2F" w:rsidP="00A91FED">
      <w:pPr>
        <w:tabs>
          <w:tab w:val="left" w:pos="9630"/>
          <w:tab w:val="left" w:pos="9810"/>
        </w:tabs>
        <w:ind w:right="792" w:firstLine="720"/>
        <w:rPr>
          <w:sz w:val="24"/>
          <w:szCs w:val="24"/>
        </w:rPr>
      </w:pPr>
    </w:p>
    <w:p w:rsidR="00FC1494" w:rsidRPr="00211425" w:rsidRDefault="00071F56">
      <w:pPr>
        <w:pStyle w:val="ListParagraph"/>
        <w:numPr>
          <w:ilvl w:val="0"/>
          <w:numId w:val="1"/>
        </w:numPr>
        <w:tabs>
          <w:tab w:val="left" w:pos="9630"/>
          <w:tab w:val="left" w:pos="9810"/>
        </w:tabs>
        <w:spacing w:line="480" w:lineRule="auto"/>
        <w:ind w:right="792"/>
        <w:rPr>
          <w:b/>
          <w:sz w:val="24"/>
          <w:szCs w:val="24"/>
        </w:rPr>
      </w:pPr>
      <w:r w:rsidRPr="00211425">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4B2F" w:rsidRPr="00211425" w:rsidRDefault="00CE4B2F" w:rsidP="00A91FED">
      <w:pPr>
        <w:tabs>
          <w:tab w:val="left" w:pos="9630"/>
          <w:tab w:val="left" w:pos="9810"/>
        </w:tabs>
        <w:ind w:right="792"/>
        <w:rPr>
          <w:b/>
          <w:sz w:val="24"/>
          <w:szCs w:val="24"/>
        </w:rPr>
      </w:pPr>
    </w:p>
    <w:p w:rsidR="00CE4B2F" w:rsidRPr="00211425" w:rsidRDefault="00CE4B2F" w:rsidP="00A91FED">
      <w:pPr>
        <w:tabs>
          <w:tab w:val="left" w:pos="9630"/>
          <w:tab w:val="left" w:pos="9810"/>
        </w:tabs>
        <w:ind w:left="720" w:right="792"/>
        <w:rPr>
          <w:rFonts w:ascii="CG Times" w:hAnsi="CG Times"/>
          <w:sz w:val="24"/>
          <w:szCs w:val="24"/>
        </w:rPr>
      </w:pPr>
      <w:r w:rsidRPr="00211425">
        <w:rPr>
          <w:rFonts w:ascii="CG Times" w:hAnsi="CG Times"/>
          <w:sz w:val="24"/>
          <w:szCs w:val="24"/>
        </w:rPr>
        <w:t>There are no questions of a sensitive nature included in this clearance.</w:t>
      </w:r>
    </w:p>
    <w:p w:rsidR="00722985" w:rsidRPr="00211425" w:rsidRDefault="00722985" w:rsidP="00A91FED">
      <w:pPr>
        <w:tabs>
          <w:tab w:val="left" w:pos="9630"/>
          <w:tab w:val="left" w:pos="9810"/>
        </w:tabs>
        <w:ind w:left="720" w:right="792"/>
        <w:rPr>
          <w:b/>
          <w:sz w:val="24"/>
          <w:szCs w:val="24"/>
        </w:rPr>
      </w:pPr>
    </w:p>
    <w:p w:rsidR="006E71C3" w:rsidRPr="00211425" w:rsidRDefault="006E71C3">
      <w:pPr>
        <w:rPr>
          <w:b/>
          <w:sz w:val="24"/>
          <w:szCs w:val="24"/>
        </w:rPr>
      </w:pPr>
    </w:p>
    <w:p w:rsidR="00071F56" w:rsidRPr="00211425" w:rsidRDefault="00071F56" w:rsidP="00A91FED">
      <w:pPr>
        <w:tabs>
          <w:tab w:val="left" w:pos="9630"/>
          <w:tab w:val="left" w:pos="9810"/>
        </w:tabs>
        <w:ind w:left="720" w:right="792" w:hanging="720"/>
        <w:rPr>
          <w:b/>
          <w:sz w:val="24"/>
          <w:szCs w:val="24"/>
        </w:rPr>
      </w:pPr>
      <w:r w:rsidRPr="00211425">
        <w:rPr>
          <w:b/>
          <w:sz w:val="24"/>
          <w:szCs w:val="24"/>
        </w:rPr>
        <w:t>12.</w:t>
      </w:r>
      <w:r w:rsidRPr="00211425">
        <w:rPr>
          <w:b/>
          <w:sz w:val="24"/>
          <w:szCs w:val="24"/>
        </w:rPr>
        <w:tab/>
        <w:t>Provide estimates of the hour burden of the collection of information.  The statement should:</w:t>
      </w:r>
    </w:p>
    <w:p w:rsidR="00071F56" w:rsidRPr="00211425" w:rsidRDefault="00071F56" w:rsidP="00A91FED">
      <w:pPr>
        <w:tabs>
          <w:tab w:val="left" w:pos="9630"/>
          <w:tab w:val="left" w:pos="9810"/>
        </w:tabs>
        <w:ind w:right="792"/>
        <w:rPr>
          <w:b/>
          <w:sz w:val="24"/>
          <w:szCs w:val="24"/>
        </w:rPr>
      </w:pPr>
    </w:p>
    <w:p w:rsidR="008F468F" w:rsidRPr="00211425" w:rsidRDefault="00071F56" w:rsidP="008F468F">
      <w:pPr>
        <w:numPr>
          <w:ilvl w:val="0"/>
          <w:numId w:val="12"/>
        </w:numPr>
        <w:tabs>
          <w:tab w:val="clear" w:pos="360"/>
          <w:tab w:val="left" w:pos="9630"/>
          <w:tab w:val="left" w:pos="9810"/>
        </w:tabs>
        <w:spacing w:line="480" w:lineRule="auto"/>
        <w:ind w:left="1440" w:right="792"/>
        <w:rPr>
          <w:b/>
          <w:sz w:val="24"/>
          <w:szCs w:val="24"/>
        </w:rPr>
      </w:pPr>
      <w:r w:rsidRPr="00211425">
        <w:rPr>
          <w:b/>
          <w:sz w:val="24"/>
          <w:szCs w:val="24"/>
        </w:rPr>
        <w:lastRenderedPageBreak/>
        <w:t>Indicate the number of respo</w:t>
      </w:r>
      <w:r w:rsidR="003B33B6" w:rsidRPr="00211425">
        <w:rPr>
          <w:b/>
          <w:sz w:val="24"/>
          <w:szCs w:val="24"/>
        </w:rPr>
        <w:t xml:space="preserve">ndents, frequency of response, </w:t>
      </w:r>
      <w:r w:rsidRPr="00211425">
        <w:rPr>
          <w:b/>
          <w:sz w:val="24"/>
          <w:szCs w:val="24"/>
        </w:rPr>
        <w:t>annual hour burden, and an exp</w:t>
      </w:r>
      <w:r w:rsidR="00B62FE5" w:rsidRPr="00211425">
        <w:rPr>
          <w:b/>
          <w:sz w:val="24"/>
          <w:szCs w:val="24"/>
        </w:rPr>
        <w:t xml:space="preserve">lanation of how the burden was </w:t>
      </w:r>
      <w:r w:rsidRPr="00211425">
        <w:rPr>
          <w:b/>
          <w:sz w:val="24"/>
          <w:szCs w:val="24"/>
        </w:rPr>
        <w:t>estimated. If this request for approval covers more than one form, provide separate hour burden estimates for each form and aggregate the hour burdens in Item 13 of OMB Form 83-</w:t>
      </w:r>
      <w:r w:rsidR="008F468F" w:rsidRPr="00211425">
        <w:rPr>
          <w:b/>
          <w:sz w:val="24"/>
          <w:szCs w:val="24"/>
        </w:rPr>
        <w:t>I.</w:t>
      </w:r>
    </w:p>
    <w:p w:rsidR="008F468F" w:rsidRPr="00211425" w:rsidRDefault="008F468F" w:rsidP="008F468F">
      <w:pPr>
        <w:tabs>
          <w:tab w:val="left" w:pos="9630"/>
          <w:tab w:val="left" w:pos="9810"/>
        </w:tabs>
        <w:spacing w:line="480" w:lineRule="auto"/>
        <w:ind w:left="1440" w:right="792"/>
        <w:rPr>
          <w:b/>
          <w:sz w:val="24"/>
          <w:szCs w:val="24"/>
        </w:rPr>
      </w:pPr>
    </w:p>
    <w:p w:rsidR="00E96261" w:rsidRPr="00211425" w:rsidRDefault="008F468F" w:rsidP="00E96261">
      <w:pPr>
        <w:tabs>
          <w:tab w:val="left" w:pos="9630"/>
          <w:tab w:val="left" w:pos="9810"/>
        </w:tabs>
        <w:spacing w:line="480" w:lineRule="auto"/>
        <w:ind w:left="1440" w:right="792"/>
        <w:rPr>
          <w:sz w:val="24"/>
          <w:szCs w:val="24"/>
        </w:rPr>
      </w:pPr>
      <w:r w:rsidRPr="00211425">
        <w:rPr>
          <w:sz w:val="24"/>
          <w:szCs w:val="24"/>
        </w:rPr>
        <w:t xml:space="preserve">Table 12.1 estimates of the annual hour burden for the WIC Financial Management and Participation Report (Form FNS-798).  The number of respondents is 90 State agencies which is the affected public.  FNS estimates that approximately 3.2367 hours spent per report and the number of </w:t>
      </w:r>
      <w:r w:rsidRPr="000F5B9F">
        <w:rPr>
          <w:sz w:val="24"/>
          <w:szCs w:val="24"/>
        </w:rPr>
        <w:t xml:space="preserve">reports submitted per year is estimated at 15 reports totaling the burden hours requested at </w:t>
      </w:r>
      <w:r w:rsidR="002B620B" w:rsidRPr="000F5B9F">
        <w:rPr>
          <w:b/>
          <w:sz w:val="24"/>
          <w:szCs w:val="24"/>
        </w:rPr>
        <w:t>4,369.5 hours</w:t>
      </w:r>
      <w:r w:rsidRPr="000F5B9F">
        <w:rPr>
          <w:sz w:val="24"/>
          <w:szCs w:val="24"/>
        </w:rPr>
        <w:t>.</w:t>
      </w:r>
      <w:r w:rsidRPr="00211425">
        <w:rPr>
          <w:sz w:val="24"/>
          <w:szCs w:val="24"/>
        </w:rPr>
        <w:t xml:space="preserve"> </w:t>
      </w:r>
    </w:p>
    <w:p w:rsidR="00E96261" w:rsidRPr="00211425" w:rsidRDefault="00E96261" w:rsidP="00E96261">
      <w:pPr>
        <w:tabs>
          <w:tab w:val="left" w:pos="9630"/>
          <w:tab w:val="left" w:pos="9810"/>
        </w:tabs>
        <w:spacing w:line="480" w:lineRule="auto"/>
        <w:ind w:left="1440" w:right="792"/>
        <w:rPr>
          <w:sz w:val="24"/>
          <w:szCs w:val="24"/>
        </w:rPr>
      </w:pPr>
    </w:p>
    <w:p w:rsidR="00E96261" w:rsidRPr="00264960" w:rsidRDefault="008F468F" w:rsidP="00E96261">
      <w:pPr>
        <w:tabs>
          <w:tab w:val="left" w:pos="9630"/>
          <w:tab w:val="left" w:pos="9810"/>
        </w:tabs>
        <w:spacing w:line="480" w:lineRule="auto"/>
        <w:ind w:left="1440" w:right="792"/>
        <w:rPr>
          <w:b/>
          <w:sz w:val="24"/>
          <w:szCs w:val="24"/>
        </w:rPr>
      </w:pPr>
      <w:r w:rsidRPr="00211425">
        <w:rPr>
          <w:sz w:val="24"/>
          <w:szCs w:val="24"/>
        </w:rPr>
        <w:t xml:space="preserve">Table 12.1 also depicts the Addendum to the WIC Financial Management and Participation Report (Form FNS-798A).  There are 90 State agencies annually reporting 1 time.  The estimated number of hours spent per report - 1.7 </w:t>
      </w:r>
      <w:r w:rsidRPr="000F5B9F">
        <w:rPr>
          <w:sz w:val="24"/>
          <w:szCs w:val="24"/>
        </w:rPr>
        <w:t xml:space="preserve">hours; FNS estimates the burden hours needed to comply with this requirement is </w:t>
      </w:r>
      <w:r w:rsidR="002B620B" w:rsidRPr="000F5B9F">
        <w:rPr>
          <w:b/>
          <w:sz w:val="24"/>
          <w:szCs w:val="24"/>
        </w:rPr>
        <w:t>153 hours.</w:t>
      </w:r>
    </w:p>
    <w:p w:rsidR="00E96261" w:rsidRDefault="00E96261" w:rsidP="00E96261">
      <w:pPr>
        <w:tabs>
          <w:tab w:val="left" w:pos="9630"/>
          <w:tab w:val="left" w:pos="9810"/>
        </w:tabs>
        <w:spacing w:line="480" w:lineRule="auto"/>
        <w:ind w:left="1440" w:right="792"/>
        <w:rPr>
          <w:sz w:val="24"/>
          <w:szCs w:val="24"/>
        </w:rPr>
      </w:pPr>
    </w:p>
    <w:p w:rsidR="00264960" w:rsidRPr="00211425" w:rsidRDefault="00264960" w:rsidP="00E96261">
      <w:pPr>
        <w:tabs>
          <w:tab w:val="left" w:pos="9630"/>
          <w:tab w:val="left" w:pos="9810"/>
        </w:tabs>
        <w:spacing w:line="480" w:lineRule="auto"/>
        <w:ind w:left="1440" w:right="792"/>
        <w:rPr>
          <w:sz w:val="24"/>
          <w:szCs w:val="24"/>
        </w:rPr>
      </w:pPr>
      <w:r>
        <w:rPr>
          <w:sz w:val="24"/>
          <w:szCs w:val="24"/>
        </w:rPr>
        <w:t>There is no recordkeeping burden in retaining these forms.</w:t>
      </w:r>
    </w:p>
    <w:p w:rsidR="00071F56" w:rsidRPr="00211425" w:rsidRDefault="005C28DD" w:rsidP="00FD4AF7">
      <w:pPr>
        <w:tabs>
          <w:tab w:val="left" w:pos="9630"/>
          <w:tab w:val="left" w:pos="9810"/>
        </w:tabs>
        <w:spacing w:line="480" w:lineRule="auto"/>
        <w:ind w:left="1440" w:right="792"/>
        <w:rPr>
          <w:sz w:val="24"/>
          <w:szCs w:val="24"/>
        </w:rPr>
      </w:pPr>
      <w:r w:rsidRPr="00211425">
        <w:rPr>
          <w:b/>
          <w:sz w:val="24"/>
          <w:szCs w:val="24"/>
        </w:rPr>
        <w:t xml:space="preserve">Table </w:t>
      </w:r>
      <w:r w:rsidR="008F468F" w:rsidRPr="00211425">
        <w:rPr>
          <w:b/>
          <w:sz w:val="24"/>
          <w:szCs w:val="24"/>
        </w:rPr>
        <w:t>12.1 Estimates of Burden Hours</w:t>
      </w:r>
    </w:p>
    <w:tbl>
      <w:tblPr>
        <w:tblW w:w="9900" w:type="dxa"/>
        <w:tblInd w:w="649" w:type="dxa"/>
        <w:tblLook w:val="0000"/>
      </w:tblPr>
      <w:tblGrid>
        <w:gridCol w:w="1329"/>
        <w:gridCol w:w="999"/>
        <w:gridCol w:w="1625"/>
        <w:gridCol w:w="1530"/>
        <w:gridCol w:w="1282"/>
        <w:gridCol w:w="1720"/>
        <w:gridCol w:w="1589"/>
      </w:tblGrid>
      <w:tr w:rsidR="008F468F" w:rsidRPr="00211425" w:rsidTr="003242F7">
        <w:trPr>
          <w:trHeight w:val="720"/>
        </w:trPr>
        <w:tc>
          <w:tcPr>
            <w:tcW w:w="1257" w:type="dxa"/>
            <w:tcBorders>
              <w:top w:val="single" w:sz="4" w:space="0" w:color="auto"/>
              <w:left w:val="single" w:sz="4" w:space="0" w:color="auto"/>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Type of Respondent</w:t>
            </w:r>
          </w:p>
        </w:tc>
        <w:tc>
          <w:tcPr>
            <w:tcW w:w="897"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Form Number</w:t>
            </w:r>
          </w:p>
        </w:tc>
        <w:tc>
          <w:tcPr>
            <w:tcW w:w="1625"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Number of Respondents</w:t>
            </w:r>
          </w:p>
        </w:tc>
        <w:tc>
          <w:tcPr>
            <w:tcW w:w="1530"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Number of responses annually per Respondent</w:t>
            </w:r>
          </w:p>
        </w:tc>
        <w:tc>
          <w:tcPr>
            <w:tcW w:w="1282"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Total annual responses (c x d)</w:t>
            </w:r>
          </w:p>
        </w:tc>
        <w:tc>
          <w:tcPr>
            <w:tcW w:w="1720"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Estimate of Burden Hours per response</w:t>
            </w:r>
          </w:p>
        </w:tc>
        <w:tc>
          <w:tcPr>
            <w:tcW w:w="1589" w:type="dxa"/>
            <w:tcBorders>
              <w:top w:val="single" w:sz="4" w:space="0" w:color="auto"/>
              <w:left w:val="nil"/>
              <w:bottom w:val="single" w:sz="4" w:space="0" w:color="auto"/>
              <w:right w:val="single" w:sz="4" w:space="0" w:color="auto"/>
            </w:tcBorders>
            <w:shd w:val="clear" w:color="auto" w:fill="auto"/>
            <w:vAlign w:val="bottom"/>
          </w:tcPr>
          <w:p w:rsidR="008F468F" w:rsidRPr="00211425" w:rsidRDefault="008F468F" w:rsidP="008F468F">
            <w:pPr>
              <w:jc w:val="center"/>
              <w:rPr>
                <w:b/>
                <w:bCs/>
                <w:sz w:val="22"/>
                <w:szCs w:val="22"/>
              </w:rPr>
            </w:pPr>
            <w:r w:rsidRPr="00211425">
              <w:rPr>
                <w:b/>
                <w:bCs/>
                <w:sz w:val="22"/>
                <w:szCs w:val="22"/>
              </w:rPr>
              <w:t>Total Annual Burden Hours (e x f)</w:t>
            </w:r>
          </w:p>
        </w:tc>
      </w:tr>
      <w:tr w:rsidR="008F468F" w:rsidRPr="00211425" w:rsidTr="003242F7">
        <w:trPr>
          <w:trHeight w:val="255"/>
        </w:trPr>
        <w:tc>
          <w:tcPr>
            <w:tcW w:w="1257" w:type="dxa"/>
            <w:vMerge w:val="restart"/>
            <w:tcBorders>
              <w:top w:val="nil"/>
              <w:left w:val="single" w:sz="4" w:space="0" w:color="auto"/>
              <w:bottom w:val="single" w:sz="4" w:space="0" w:color="000000"/>
              <w:right w:val="single" w:sz="4" w:space="0" w:color="auto"/>
            </w:tcBorders>
            <w:shd w:val="clear" w:color="auto" w:fill="auto"/>
            <w:vAlign w:val="bottom"/>
          </w:tcPr>
          <w:p w:rsidR="008F468F" w:rsidRPr="00211425" w:rsidRDefault="008F468F" w:rsidP="008F468F">
            <w:pPr>
              <w:rPr>
                <w:sz w:val="22"/>
                <w:szCs w:val="22"/>
              </w:rPr>
            </w:pPr>
            <w:r w:rsidRPr="00211425">
              <w:rPr>
                <w:sz w:val="22"/>
                <w:szCs w:val="22"/>
              </w:rPr>
              <w:t>WIC State Agencies</w:t>
            </w:r>
          </w:p>
        </w:tc>
        <w:tc>
          <w:tcPr>
            <w:tcW w:w="897" w:type="dxa"/>
            <w:tcBorders>
              <w:top w:val="nil"/>
              <w:left w:val="nil"/>
              <w:bottom w:val="single" w:sz="4" w:space="0" w:color="auto"/>
              <w:right w:val="single" w:sz="4" w:space="0" w:color="auto"/>
            </w:tcBorders>
            <w:shd w:val="clear" w:color="auto" w:fill="auto"/>
            <w:vAlign w:val="bottom"/>
          </w:tcPr>
          <w:p w:rsidR="008F468F" w:rsidRPr="00211425" w:rsidRDefault="008F468F" w:rsidP="001E0D7C">
            <w:pPr>
              <w:jc w:val="center"/>
              <w:rPr>
                <w:sz w:val="22"/>
                <w:szCs w:val="22"/>
              </w:rPr>
            </w:pPr>
            <w:r w:rsidRPr="00211425">
              <w:rPr>
                <w:sz w:val="22"/>
                <w:szCs w:val="22"/>
              </w:rPr>
              <w:t>798</w:t>
            </w:r>
          </w:p>
        </w:tc>
        <w:tc>
          <w:tcPr>
            <w:tcW w:w="1625" w:type="dxa"/>
            <w:tcBorders>
              <w:top w:val="nil"/>
              <w:left w:val="nil"/>
              <w:bottom w:val="single" w:sz="4" w:space="0" w:color="auto"/>
              <w:right w:val="single" w:sz="4" w:space="0" w:color="auto"/>
            </w:tcBorders>
            <w:shd w:val="clear" w:color="auto" w:fill="auto"/>
            <w:noWrap/>
            <w:vAlign w:val="bottom"/>
          </w:tcPr>
          <w:p w:rsidR="008F468F" w:rsidRPr="00211425" w:rsidRDefault="008F468F" w:rsidP="001E0D7C">
            <w:pPr>
              <w:jc w:val="center"/>
              <w:rPr>
                <w:sz w:val="22"/>
                <w:szCs w:val="22"/>
              </w:rPr>
            </w:pPr>
            <w:r w:rsidRPr="00211425">
              <w:rPr>
                <w:sz w:val="22"/>
                <w:szCs w:val="22"/>
              </w:rPr>
              <w:t>90</w:t>
            </w:r>
          </w:p>
        </w:tc>
        <w:tc>
          <w:tcPr>
            <w:tcW w:w="1530" w:type="dxa"/>
            <w:tcBorders>
              <w:top w:val="nil"/>
              <w:left w:val="nil"/>
              <w:bottom w:val="single" w:sz="4" w:space="0" w:color="auto"/>
              <w:right w:val="single" w:sz="4" w:space="0" w:color="auto"/>
            </w:tcBorders>
            <w:shd w:val="clear" w:color="auto" w:fill="auto"/>
            <w:noWrap/>
            <w:vAlign w:val="bottom"/>
          </w:tcPr>
          <w:p w:rsidR="008F468F" w:rsidRPr="00211425" w:rsidRDefault="008F468F" w:rsidP="001E0D7C">
            <w:pPr>
              <w:jc w:val="center"/>
              <w:rPr>
                <w:sz w:val="22"/>
                <w:szCs w:val="22"/>
              </w:rPr>
            </w:pPr>
            <w:r w:rsidRPr="00211425">
              <w:rPr>
                <w:sz w:val="22"/>
                <w:szCs w:val="22"/>
              </w:rPr>
              <w:t>15</w:t>
            </w:r>
          </w:p>
        </w:tc>
        <w:tc>
          <w:tcPr>
            <w:tcW w:w="1282" w:type="dxa"/>
            <w:tcBorders>
              <w:top w:val="nil"/>
              <w:left w:val="nil"/>
              <w:bottom w:val="single" w:sz="4" w:space="0" w:color="auto"/>
              <w:right w:val="single" w:sz="4" w:space="0" w:color="auto"/>
            </w:tcBorders>
            <w:shd w:val="clear" w:color="auto" w:fill="auto"/>
            <w:vAlign w:val="bottom"/>
          </w:tcPr>
          <w:p w:rsidR="008F468F" w:rsidRPr="00211425" w:rsidRDefault="008F468F" w:rsidP="001E0D7C">
            <w:pPr>
              <w:jc w:val="right"/>
              <w:rPr>
                <w:sz w:val="22"/>
                <w:szCs w:val="22"/>
              </w:rPr>
            </w:pPr>
            <w:r w:rsidRPr="00211425">
              <w:rPr>
                <w:sz w:val="22"/>
                <w:szCs w:val="22"/>
              </w:rPr>
              <w:t>1,350.00</w:t>
            </w:r>
          </w:p>
        </w:tc>
        <w:tc>
          <w:tcPr>
            <w:tcW w:w="1720" w:type="dxa"/>
            <w:tcBorders>
              <w:top w:val="nil"/>
              <w:left w:val="nil"/>
              <w:bottom w:val="single" w:sz="4" w:space="0" w:color="auto"/>
              <w:right w:val="single" w:sz="4" w:space="0" w:color="auto"/>
            </w:tcBorders>
            <w:shd w:val="clear" w:color="auto" w:fill="auto"/>
            <w:noWrap/>
            <w:vAlign w:val="bottom"/>
          </w:tcPr>
          <w:p w:rsidR="008F468F" w:rsidRPr="00211425" w:rsidRDefault="008F468F" w:rsidP="001E0D7C">
            <w:pPr>
              <w:jc w:val="right"/>
              <w:rPr>
                <w:sz w:val="22"/>
                <w:szCs w:val="22"/>
              </w:rPr>
            </w:pPr>
            <w:r w:rsidRPr="00211425">
              <w:rPr>
                <w:sz w:val="22"/>
                <w:szCs w:val="22"/>
              </w:rPr>
              <w:t>3.2367</w:t>
            </w:r>
          </w:p>
        </w:tc>
        <w:tc>
          <w:tcPr>
            <w:tcW w:w="1589" w:type="dxa"/>
            <w:tcBorders>
              <w:top w:val="nil"/>
              <w:left w:val="nil"/>
              <w:bottom w:val="single" w:sz="4" w:space="0" w:color="auto"/>
              <w:right w:val="single" w:sz="4" w:space="0" w:color="auto"/>
            </w:tcBorders>
            <w:shd w:val="clear" w:color="auto" w:fill="auto"/>
            <w:noWrap/>
            <w:vAlign w:val="bottom"/>
          </w:tcPr>
          <w:p w:rsidR="008F468F" w:rsidRPr="00211425" w:rsidRDefault="008F468F" w:rsidP="001E0D7C">
            <w:pPr>
              <w:jc w:val="right"/>
              <w:rPr>
                <w:sz w:val="22"/>
                <w:szCs w:val="22"/>
              </w:rPr>
            </w:pPr>
            <w:r w:rsidRPr="00211425">
              <w:rPr>
                <w:sz w:val="22"/>
                <w:szCs w:val="22"/>
              </w:rPr>
              <w:t>4,369.55</w:t>
            </w:r>
          </w:p>
        </w:tc>
      </w:tr>
      <w:tr w:rsidR="008F468F" w:rsidRPr="00211425" w:rsidTr="003242F7">
        <w:trPr>
          <w:trHeight w:val="255"/>
        </w:trPr>
        <w:tc>
          <w:tcPr>
            <w:tcW w:w="1257" w:type="dxa"/>
            <w:vMerge/>
            <w:tcBorders>
              <w:top w:val="nil"/>
              <w:left w:val="single" w:sz="4" w:space="0" w:color="auto"/>
              <w:bottom w:val="single" w:sz="4" w:space="0" w:color="000000"/>
              <w:right w:val="single" w:sz="4" w:space="0" w:color="auto"/>
            </w:tcBorders>
            <w:shd w:val="clear" w:color="auto" w:fill="auto"/>
            <w:vAlign w:val="center"/>
          </w:tcPr>
          <w:p w:rsidR="008F468F" w:rsidRPr="00211425" w:rsidRDefault="008F468F" w:rsidP="008F468F">
            <w:pPr>
              <w:rPr>
                <w:sz w:val="22"/>
                <w:szCs w:val="22"/>
              </w:rPr>
            </w:pPr>
          </w:p>
        </w:tc>
        <w:tc>
          <w:tcPr>
            <w:tcW w:w="897" w:type="dxa"/>
            <w:tcBorders>
              <w:top w:val="nil"/>
              <w:left w:val="nil"/>
              <w:bottom w:val="single" w:sz="4" w:space="0" w:color="auto"/>
              <w:right w:val="single" w:sz="4" w:space="0" w:color="auto"/>
            </w:tcBorders>
            <w:shd w:val="clear" w:color="auto" w:fill="auto"/>
            <w:vAlign w:val="bottom"/>
          </w:tcPr>
          <w:p w:rsidR="008F468F" w:rsidRPr="00211425" w:rsidRDefault="008F468F" w:rsidP="001E0D7C">
            <w:pPr>
              <w:jc w:val="center"/>
              <w:rPr>
                <w:sz w:val="22"/>
                <w:szCs w:val="22"/>
              </w:rPr>
            </w:pPr>
            <w:r w:rsidRPr="00211425">
              <w:rPr>
                <w:sz w:val="22"/>
                <w:szCs w:val="22"/>
              </w:rPr>
              <w:t>798 A</w:t>
            </w:r>
          </w:p>
        </w:tc>
        <w:tc>
          <w:tcPr>
            <w:tcW w:w="1625" w:type="dxa"/>
            <w:tcBorders>
              <w:top w:val="nil"/>
              <w:left w:val="nil"/>
              <w:bottom w:val="single" w:sz="4" w:space="0" w:color="auto"/>
              <w:right w:val="single" w:sz="4" w:space="0" w:color="auto"/>
            </w:tcBorders>
            <w:shd w:val="clear" w:color="auto" w:fill="auto"/>
            <w:noWrap/>
            <w:vAlign w:val="bottom"/>
          </w:tcPr>
          <w:p w:rsidR="008F468F" w:rsidRPr="00211425" w:rsidRDefault="008F468F" w:rsidP="001E0D7C">
            <w:pPr>
              <w:jc w:val="center"/>
              <w:rPr>
                <w:sz w:val="22"/>
                <w:szCs w:val="22"/>
              </w:rPr>
            </w:pPr>
            <w:r w:rsidRPr="00211425">
              <w:rPr>
                <w:sz w:val="22"/>
                <w:szCs w:val="22"/>
              </w:rPr>
              <w:t>90</w:t>
            </w:r>
          </w:p>
        </w:tc>
        <w:tc>
          <w:tcPr>
            <w:tcW w:w="1530" w:type="dxa"/>
            <w:tcBorders>
              <w:top w:val="nil"/>
              <w:left w:val="nil"/>
              <w:bottom w:val="single" w:sz="4" w:space="0" w:color="auto"/>
              <w:right w:val="single" w:sz="4" w:space="0" w:color="auto"/>
            </w:tcBorders>
            <w:shd w:val="clear" w:color="auto" w:fill="auto"/>
            <w:noWrap/>
            <w:vAlign w:val="bottom"/>
          </w:tcPr>
          <w:p w:rsidR="008F468F" w:rsidRPr="00211425" w:rsidRDefault="008F468F" w:rsidP="001E0D7C">
            <w:pPr>
              <w:jc w:val="center"/>
              <w:rPr>
                <w:sz w:val="22"/>
                <w:szCs w:val="22"/>
              </w:rPr>
            </w:pPr>
            <w:r w:rsidRPr="00211425">
              <w:rPr>
                <w:sz w:val="22"/>
                <w:szCs w:val="22"/>
              </w:rPr>
              <w:t>1</w:t>
            </w:r>
          </w:p>
        </w:tc>
        <w:tc>
          <w:tcPr>
            <w:tcW w:w="1282" w:type="dxa"/>
            <w:tcBorders>
              <w:top w:val="nil"/>
              <w:left w:val="nil"/>
              <w:bottom w:val="single" w:sz="4" w:space="0" w:color="auto"/>
              <w:right w:val="single" w:sz="4" w:space="0" w:color="auto"/>
            </w:tcBorders>
            <w:shd w:val="clear" w:color="auto" w:fill="auto"/>
            <w:vAlign w:val="bottom"/>
          </w:tcPr>
          <w:p w:rsidR="008F468F" w:rsidRPr="00211425" w:rsidRDefault="008F468F" w:rsidP="001E0D7C">
            <w:pPr>
              <w:jc w:val="right"/>
              <w:rPr>
                <w:sz w:val="22"/>
                <w:szCs w:val="22"/>
              </w:rPr>
            </w:pPr>
            <w:r w:rsidRPr="00211425">
              <w:rPr>
                <w:sz w:val="22"/>
                <w:szCs w:val="22"/>
              </w:rPr>
              <w:t>90.00</w:t>
            </w:r>
          </w:p>
        </w:tc>
        <w:tc>
          <w:tcPr>
            <w:tcW w:w="1720" w:type="dxa"/>
            <w:tcBorders>
              <w:top w:val="nil"/>
              <w:left w:val="nil"/>
              <w:bottom w:val="single" w:sz="4" w:space="0" w:color="auto"/>
              <w:right w:val="single" w:sz="4" w:space="0" w:color="auto"/>
            </w:tcBorders>
            <w:shd w:val="clear" w:color="auto" w:fill="auto"/>
            <w:noWrap/>
            <w:vAlign w:val="bottom"/>
          </w:tcPr>
          <w:p w:rsidR="008F468F" w:rsidRPr="00211425" w:rsidRDefault="008F468F" w:rsidP="001E0D7C">
            <w:pPr>
              <w:jc w:val="right"/>
              <w:rPr>
                <w:sz w:val="22"/>
                <w:szCs w:val="22"/>
              </w:rPr>
            </w:pPr>
            <w:r w:rsidRPr="00211425">
              <w:rPr>
                <w:sz w:val="22"/>
                <w:szCs w:val="22"/>
              </w:rPr>
              <w:t>1.7</w:t>
            </w:r>
          </w:p>
        </w:tc>
        <w:tc>
          <w:tcPr>
            <w:tcW w:w="1589" w:type="dxa"/>
            <w:tcBorders>
              <w:top w:val="nil"/>
              <w:left w:val="nil"/>
              <w:bottom w:val="single" w:sz="4" w:space="0" w:color="auto"/>
              <w:right w:val="single" w:sz="4" w:space="0" w:color="auto"/>
            </w:tcBorders>
            <w:shd w:val="clear" w:color="auto" w:fill="auto"/>
            <w:noWrap/>
            <w:vAlign w:val="bottom"/>
          </w:tcPr>
          <w:p w:rsidR="008F468F" w:rsidRPr="00211425" w:rsidRDefault="008F468F" w:rsidP="001E0D7C">
            <w:pPr>
              <w:jc w:val="right"/>
              <w:rPr>
                <w:sz w:val="22"/>
                <w:szCs w:val="22"/>
              </w:rPr>
            </w:pPr>
            <w:r w:rsidRPr="00211425">
              <w:rPr>
                <w:sz w:val="22"/>
                <w:szCs w:val="22"/>
              </w:rPr>
              <w:t>153.00</w:t>
            </w:r>
          </w:p>
        </w:tc>
      </w:tr>
      <w:tr w:rsidR="008F468F" w:rsidRPr="00211425" w:rsidTr="003242F7">
        <w:trPr>
          <w:trHeight w:val="255"/>
        </w:trPr>
        <w:tc>
          <w:tcPr>
            <w:tcW w:w="1257" w:type="dxa"/>
            <w:tcBorders>
              <w:top w:val="nil"/>
              <w:left w:val="single" w:sz="4" w:space="0" w:color="auto"/>
              <w:bottom w:val="single" w:sz="4" w:space="0" w:color="auto"/>
              <w:right w:val="single" w:sz="4" w:space="0" w:color="auto"/>
            </w:tcBorders>
            <w:shd w:val="clear" w:color="auto" w:fill="auto"/>
            <w:noWrap/>
            <w:vAlign w:val="bottom"/>
          </w:tcPr>
          <w:p w:rsidR="008F468F" w:rsidRPr="003242F7" w:rsidRDefault="008F468F" w:rsidP="008F468F">
            <w:pPr>
              <w:rPr>
                <w:b/>
                <w:bCs/>
                <w:sz w:val="22"/>
                <w:szCs w:val="22"/>
              </w:rPr>
            </w:pPr>
            <w:r w:rsidRPr="003242F7">
              <w:rPr>
                <w:b/>
                <w:bCs/>
                <w:sz w:val="22"/>
                <w:szCs w:val="22"/>
              </w:rPr>
              <w:t xml:space="preserve">Total </w:t>
            </w:r>
          </w:p>
        </w:tc>
        <w:tc>
          <w:tcPr>
            <w:tcW w:w="897" w:type="dxa"/>
            <w:tcBorders>
              <w:top w:val="nil"/>
              <w:left w:val="nil"/>
              <w:bottom w:val="single" w:sz="4" w:space="0" w:color="auto"/>
              <w:right w:val="single" w:sz="4" w:space="0" w:color="auto"/>
            </w:tcBorders>
            <w:shd w:val="clear" w:color="auto" w:fill="999999"/>
            <w:noWrap/>
            <w:vAlign w:val="bottom"/>
          </w:tcPr>
          <w:p w:rsidR="008F468F" w:rsidRPr="003242F7" w:rsidRDefault="008F468F" w:rsidP="001E0D7C">
            <w:pPr>
              <w:rPr>
                <w:sz w:val="22"/>
                <w:szCs w:val="22"/>
              </w:rPr>
            </w:pPr>
            <w:r w:rsidRPr="003242F7">
              <w:rPr>
                <w:sz w:val="22"/>
                <w:szCs w:val="22"/>
              </w:rPr>
              <w:t> </w:t>
            </w:r>
          </w:p>
        </w:tc>
        <w:tc>
          <w:tcPr>
            <w:tcW w:w="1625" w:type="dxa"/>
            <w:tcBorders>
              <w:top w:val="nil"/>
              <w:left w:val="nil"/>
              <w:bottom w:val="single" w:sz="4" w:space="0" w:color="auto"/>
              <w:right w:val="single" w:sz="4" w:space="0" w:color="auto"/>
            </w:tcBorders>
            <w:shd w:val="clear" w:color="auto" w:fill="auto"/>
            <w:noWrap/>
            <w:vAlign w:val="bottom"/>
          </w:tcPr>
          <w:p w:rsidR="008F468F" w:rsidRPr="003242F7" w:rsidRDefault="003242F7" w:rsidP="003242F7">
            <w:pPr>
              <w:jc w:val="center"/>
              <w:rPr>
                <w:b/>
                <w:sz w:val="22"/>
                <w:szCs w:val="22"/>
              </w:rPr>
            </w:pPr>
            <w:r w:rsidRPr="003242F7">
              <w:rPr>
                <w:b/>
                <w:sz w:val="22"/>
                <w:szCs w:val="22"/>
              </w:rPr>
              <w:t>90</w:t>
            </w:r>
          </w:p>
        </w:tc>
        <w:tc>
          <w:tcPr>
            <w:tcW w:w="1530" w:type="dxa"/>
            <w:tcBorders>
              <w:top w:val="nil"/>
              <w:left w:val="nil"/>
              <w:bottom w:val="single" w:sz="4" w:space="0" w:color="auto"/>
              <w:right w:val="single" w:sz="4" w:space="0" w:color="auto"/>
            </w:tcBorders>
            <w:shd w:val="clear" w:color="auto" w:fill="999999"/>
            <w:noWrap/>
            <w:vAlign w:val="bottom"/>
          </w:tcPr>
          <w:p w:rsidR="008F468F" w:rsidRPr="003242F7" w:rsidRDefault="008F468F" w:rsidP="001E0D7C">
            <w:pPr>
              <w:jc w:val="right"/>
              <w:rPr>
                <w:b/>
                <w:sz w:val="22"/>
                <w:szCs w:val="22"/>
              </w:rPr>
            </w:pPr>
            <w:r w:rsidRPr="003242F7">
              <w:rPr>
                <w:b/>
                <w:sz w:val="22"/>
                <w:szCs w:val="22"/>
              </w:rPr>
              <w:t> </w:t>
            </w:r>
          </w:p>
        </w:tc>
        <w:tc>
          <w:tcPr>
            <w:tcW w:w="1282" w:type="dxa"/>
            <w:tcBorders>
              <w:top w:val="single" w:sz="4" w:space="0" w:color="auto"/>
              <w:left w:val="nil"/>
              <w:bottom w:val="single" w:sz="4" w:space="0" w:color="auto"/>
              <w:right w:val="single" w:sz="4" w:space="0" w:color="auto"/>
            </w:tcBorders>
            <w:shd w:val="clear" w:color="auto" w:fill="999999"/>
            <w:noWrap/>
            <w:vAlign w:val="bottom"/>
          </w:tcPr>
          <w:p w:rsidR="008F468F" w:rsidRPr="003242F7" w:rsidRDefault="008F468F" w:rsidP="001E0D7C">
            <w:pPr>
              <w:jc w:val="right"/>
              <w:rPr>
                <w:sz w:val="22"/>
                <w:szCs w:val="22"/>
              </w:rPr>
            </w:pPr>
            <w:r w:rsidRPr="003242F7">
              <w:rPr>
                <w:sz w:val="22"/>
                <w:szCs w:val="22"/>
              </w:rPr>
              <w:t> </w:t>
            </w:r>
          </w:p>
        </w:tc>
        <w:tc>
          <w:tcPr>
            <w:tcW w:w="1720" w:type="dxa"/>
            <w:tcBorders>
              <w:top w:val="single" w:sz="4" w:space="0" w:color="auto"/>
              <w:left w:val="nil"/>
              <w:bottom w:val="single" w:sz="4" w:space="0" w:color="auto"/>
              <w:right w:val="single" w:sz="4" w:space="0" w:color="auto"/>
            </w:tcBorders>
            <w:shd w:val="clear" w:color="auto" w:fill="999999"/>
            <w:noWrap/>
            <w:vAlign w:val="bottom"/>
          </w:tcPr>
          <w:p w:rsidR="008F468F" w:rsidRPr="003242F7" w:rsidRDefault="008F468F" w:rsidP="001E0D7C">
            <w:pPr>
              <w:jc w:val="right"/>
              <w:rPr>
                <w:sz w:val="22"/>
                <w:szCs w:val="22"/>
              </w:rPr>
            </w:pPr>
            <w:r w:rsidRPr="003242F7">
              <w:rPr>
                <w:sz w:val="22"/>
                <w:szCs w:val="22"/>
              </w:rPr>
              <w:t> </w:t>
            </w:r>
          </w:p>
        </w:tc>
        <w:tc>
          <w:tcPr>
            <w:tcW w:w="1589" w:type="dxa"/>
            <w:tcBorders>
              <w:top w:val="nil"/>
              <w:left w:val="nil"/>
              <w:bottom w:val="single" w:sz="4" w:space="0" w:color="auto"/>
              <w:right w:val="single" w:sz="4" w:space="0" w:color="auto"/>
            </w:tcBorders>
            <w:shd w:val="clear" w:color="auto" w:fill="auto"/>
            <w:noWrap/>
            <w:vAlign w:val="bottom"/>
          </w:tcPr>
          <w:p w:rsidR="008F468F" w:rsidRPr="003242F7" w:rsidRDefault="008F468F" w:rsidP="001E0D7C">
            <w:pPr>
              <w:jc w:val="right"/>
              <w:rPr>
                <w:b/>
                <w:bCs/>
                <w:sz w:val="22"/>
                <w:szCs w:val="22"/>
              </w:rPr>
            </w:pPr>
            <w:r w:rsidRPr="003242F7">
              <w:rPr>
                <w:b/>
                <w:bCs/>
                <w:sz w:val="22"/>
                <w:szCs w:val="22"/>
              </w:rPr>
              <w:t>4,522.55</w:t>
            </w:r>
          </w:p>
        </w:tc>
      </w:tr>
    </w:tbl>
    <w:p w:rsidR="008F468F" w:rsidRPr="00211425" w:rsidRDefault="008F468F" w:rsidP="008F468F">
      <w:pPr>
        <w:tabs>
          <w:tab w:val="left" w:pos="9630"/>
          <w:tab w:val="left" w:pos="9810"/>
        </w:tabs>
        <w:spacing w:line="480" w:lineRule="auto"/>
        <w:ind w:left="1440" w:right="792"/>
        <w:rPr>
          <w:sz w:val="24"/>
          <w:szCs w:val="24"/>
        </w:rPr>
      </w:pPr>
    </w:p>
    <w:p w:rsidR="008F468F" w:rsidRPr="00211425" w:rsidRDefault="008F468F" w:rsidP="008F468F">
      <w:pPr>
        <w:numPr>
          <w:ilvl w:val="0"/>
          <w:numId w:val="13"/>
        </w:numPr>
        <w:tabs>
          <w:tab w:val="left" w:pos="9630"/>
          <w:tab w:val="left" w:pos="9810"/>
        </w:tabs>
        <w:spacing w:line="480" w:lineRule="auto"/>
        <w:ind w:right="792"/>
        <w:rPr>
          <w:sz w:val="24"/>
          <w:szCs w:val="24"/>
        </w:rPr>
      </w:pPr>
      <w:r w:rsidRPr="00211425">
        <w:rPr>
          <w:b/>
          <w:sz w:val="24"/>
          <w:szCs w:val="24"/>
        </w:rPr>
        <w:lastRenderedPageBreak/>
        <w:t>Provide estimates of annualized cost to respondents for the hour burdens for collections of information, identifying and using appropriate wage rate categories.</w:t>
      </w:r>
    </w:p>
    <w:p w:rsidR="005C28DD" w:rsidRPr="00211425" w:rsidRDefault="005C28DD" w:rsidP="005C28DD">
      <w:pPr>
        <w:pStyle w:val="ListParagraph"/>
        <w:tabs>
          <w:tab w:val="left" w:pos="-720"/>
        </w:tabs>
        <w:suppressAutoHyphens/>
        <w:spacing w:line="480" w:lineRule="auto"/>
        <w:ind w:left="1440"/>
        <w:rPr>
          <w:sz w:val="24"/>
          <w:szCs w:val="24"/>
        </w:rPr>
      </w:pPr>
    </w:p>
    <w:p w:rsidR="0052676A" w:rsidRDefault="00E96261" w:rsidP="005C28DD">
      <w:pPr>
        <w:pStyle w:val="ListParagraph"/>
        <w:tabs>
          <w:tab w:val="left" w:pos="-720"/>
        </w:tabs>
        <w:suppressAutoHyphens/>
        <w:spacing w:line="480" w:lineRule="auto"/>
        <w:ind w:left="1440"/>
        <w:rPr>
          <w:sz w:val="24"/>
          <w:szCs w:val="24"/>
        </w:rPr>
      </w:pPr>
      <w:r w:rsidRPr="00211425">
        <w:rPr>
          <w:sz w:val="24"/>
          <w:szCs w:val="24"/>
        </w:rPr>
        <w:t>Table A.12.2 reports the respondent costs associated with the WIC Financial Management and Participation Report (Form FNS-798).  The median hourly wage rate for State Agencies is estimated at $2</w:t>
      </w:r>
      <w:r w:rsidR="00B27BD9" w:rsidRPr="00211425">
        <w:rPr>
          <w:sz w:val="24"/>
          <w:szCs w:val="24"/>
        </w:rPr>
        <w:t>3</w:t>
      </w:r>
      <w:r w:rsidRPr="00211425">
        <w:rPr>
          <w:sz w:val="24"/>
          <w:szCs w:val="24"/>
        </w:rPr>
        <w:t>.</w:t>
      </w:r>
      <w:r w:rsidR="00317CAE">
        <w:rPr>
          <w:sz w:val="24"/>
          <w:szCs w:val="24"/>
        </w:rPr>
        <w:t>07</w:t>
      </w:r>
      <w:r w:rsidRPr="00211425">
        <w:rPr>
          <w:sz w:val="24"/>
          <w:szCs w:val="24"/>
        </w:rPr>
        <w:t> per hour.  The estimated annual salary of respondent is $</w:t>
      </w:r>
      <w:r w:rsidR="00464E58">
        <w:rPr>
          <w:sz w:val="24"/>
          <w:szCs w:val="24"/>
        </w:rPr>
        <w:t>4</w:t>
      </w:r>
      <w:r w:rsidR="00317CAE">
        <w:rPr>
          <w:sz w:val="24"/>
          <w:szCs w:val="24"/>
        </w:rPr>
        <w:t>7</w:t>
      </w:r>
      <w:r w:rsidR="00464E58">
        <w:rPr>
          <w:sz w:val="24"/>
          <w:szCs w:val="24"/>
        </w:rPr>
        <w:t>,</w:t>
      </w:r>
      <w:r w:rsidR="00337BF5">
        <w:rPr>
          <w:sz w:val="24"/>
          <w:szCs w:val="24"/>
        </w:rPr>
        <w:t>9</w:t>
      </w:r>
      <w:r w:rsidR="00317CAE">
        <w:rPr>
          <w:sz w:val="24"/>
          <w:szCs w:val="24"/>
        </w:rPr>
        <w:t>8</w:t>
      </w:r>
      <w:r w:rsidR="00337BF5">
        <w:rPr>
          <w:sz w:val="24"/>
          <w:szCs w:val="24"/>
        </w:rPr>
        <w:t>0</w:t>
      </w:r>
      <w:r w:rsidRPr="00211425">
        <w:rPr>
          <w:sz w:val="24"/>
          <w:szCs w:val="24"/>
        </w:rPr>
        <w:t>* and the estimated salary per hour ($</w:t>
      </w:r>
      <w:r w:rsidR="00464E58">
        <w:rPr>
          <w:sz w:val="24"/>
          <w:szCs w:val="24"/>
        </w:rPr>
        <w:t>4</w:t>
      </w:r>
      <w:r w:rsidR="00317CAE">
        <w:rPr>
          <w:sz w:val="24"/>
          <w:szCs w:val="24"/>
        </w:rPr>
        <w:t>7</w:t>
      </w:r>
      <w:r w:rsidR="00464E58">
        <w:rPr>
          <w:sz w:val="24"/>
          <w:szCs w:val="24"/>
        </w:rPr>
        <w:t>,</w:t>
      </w:r>
      <w:r w:rsidR="00337BF5">
        <w:rPr>
          <w:sz w:val="24"/>
          <w:szCs w:val="24"/>
        </w:rPr>
        <w:t>9</w:t>
      </w:r>
      <w:r w:rsidR="00317CAE">
        <w:rPr>
          <w:sz w:val="24"/>
          <w:szCs w:val="24"/>
        </w:rPr>
        <w:t>8</w:t>
      </w:r>
      <w:r w:rsidR="00337BF5">
        <w:rPr>
          <w:sz w:val="24"/>
          <w:szCs w:val="24"/>
        </w:rPr>
        <w:t>0</w:t>
      </w:r>
      <w:r w:rsidRPr="00211425">
        <w:rPr>
          <w:sz w:val="24"/>
          <w:szCs w:val="24"/>
        </w:rPr>
        <w:t>/2,080) is $</w:t>
      </w:r>
      <w:r w:rsidR="00464E58" w:rsidRPr="00211425">
        <w:rPr>
          <w:sz w:val="24"/>
          <w:szCs w:val="24"/>
        </w:rPr>
        <w:t>23.</w:t>
      </w:r>
      <w:r w:rsidR="00317CAE">
        <w:rPr>
          <w:sz w:val="24"/>
          <w:szCs w:val="24"/>
        </w:rPr>
        <w:t>07</w:t>
      </w:r>
      <w:r w:rsidRPr="00211425">
        <w:rPr>
          <w:sz w:val="24"/>
          <w:szCs w:val="24"/>
        </w:rPr>
        <w:t>*.  Total burden hours (3.2367) multiplied by the total reports per year (1350) and the salary per hour ($</w:t>
      </w:r>
      <w:r w:rsidR="00464E58" w:rsidRPr="00211425">
        <w:rPr>
          <w:sz w:val="24"/>
          <w:szCs w:val="24"/>
        </w:rPr>
        <w:t>23.</w:t>
      </w:r>
      <w:r w:rsidR="00317CAE">
        <w:rPr>
          <w:sz w:val="24"/>
          <w:szCs w:val="24"/>
        </w:rPr>
        <w:t>07</w:t>
      </w:r>
      <w:r w:rsidRPr="00211425">
        <w:rPr>
          <w:sz w:val="24"/>
          <w:szCs w:val="24"/>
        </w:rPr>
        <w:t>) is estimated</w:t>
      </w:r>
      <w:r w:rsidR="00B27BD9" w:rsidRPr="00211425">
        <w:rPr>
          <w:sz w:val="24"/>
          <w:szCs w:val="24"/>
        </w:rPr>
        <w:t xml:space="preserve"> at an annual cost of $</w:t>
      </w:r>
      <w:r w:rsidR="00464E58">
        <w:rPr>
          <w:sz w:val="24"/>
          <w:szCs w:val="24"/>
        </w:rPr>
        <w:t>10</w:t>
      </w:r>
      <w:r w:rsidR="00317CAE">
        <w:rPr>
          <w:sz w:val="24"/>
          <w:szCs w:val="24"/>
        </w:rPr>
        <w:t>0</w:t>
      </w:r>
      <w:r w:rsidR="00464E58">
        <w:rPr>
          <w:sz w:val="24"/>
          <w:szCs w:val="24"/>
        </w:rPr>
        <w:t>,</w:t>
      </w:r>
      <w:r w:rsidR="00337BF5">
        <w:rPr>
          <w:sz w:val="24"/>
          <w:szCs w:val="24"/>
        </w:rPr>
        <w:t>8</w:t>
      </w:r>
      <w:r w:rsidR="00317CAE">
        <w:rPr>
          <w:sz w:val="24"/>
          <w:szCs w:val="24"/>
        </w:rPr>
        <w:t>05</w:t>
      </w:r>
      <w:r w:rsidR="00B27BD9" w:rsidRPr="00211425">
        <w:rPr>
          <w:sz w:val="24"/>
          <w:szCs w:val="24"/>
        </w:rPr>
        <w:t>.4</w:t>
      </w:r>
      <w:r w:rsidR="00317CAE">
        <w:rPr>
          <w:sz w:val="24"/>
          <w:szCs w:val="24"/>
        </w:rPr>
        <w:t>0</w:t>
      </w:r>
      <w:r w:rsidRPr="00211425">
        <w:rPr>
          <w:sz w:val="24"/>
          <w:szCs w:val="24"/>
        </w:rPr>
        <w:t>.</w:t>
      </w:r>
      <w:r w:rsidRPr="00211425">
        <w:rPr>
          <w:sz w:val="24"/>
          <w:szCs w:val="24"/>
        </w:rPr>
        <w:br/>
      </w:r>
      <w:r w:rsidRPr="00211425">
        <w:rPr>
          <w:sz w:val="24"/>
          <w:szCs w:val="24"/>
        </w:rPr>
        <w:br/>
        <w:t>Table A.12.2 also estimates the cost for the Addendum to the WIC Financial Management and Participation Report (Form FNS-798A).  There are 90 State agencies reporting 1 time.  The total burden hours (1.7) multiplied by the total reports per year (90) multiplied by the salary per hour ($</w:t>
      </w:r>
      <w:r w:rsidR="00CD17C0" w:rsidRPr="00211425">
        <w:rPr>
          <w:sz w:val="24"/>
          <w:szCs w:val="24"/>
        </w:rPr>
        <w:t>23.</w:t>
      </w:r>
      <w:r w:rsidR="00415AB0">
        <w:rPr>
          <w:sz w:val="24"/>
          <w:szCs w:val="24"/>
        </w:rPr>
        <w:t>07</w:t>
      </w:r>
      <w:r w:rsidRPr="00211425">
        <w:rPr>
          <w:sz w:val="24"/>
          <w:szCs w:val="24"/>
        </w:rPr>
        <w:t>) is estimated at an annual cost of $3,</w:t>
      </w:r>
      <w:r w:rsidR="00CD17C0">
        <w:rPr>
          <w:sz w:val="24"/>
          <w:szCs w:val="24"/>
        </w:rPr>
        <w:t>5</w:t>
      </w:r>
      <w:r w:rsidR="00415AB0">
        <w:rPr>
          <w:sz w:val="24"/>
          <w:szCs w:val="24"/>
        </w:rPr>
        <w:t>29</w:t>
      </w:r>
      <w:r w:rsidR="00CD17C0">
        <w:rPr>
          <w:sz w:val="24"/>
          <w:szCs w:val="24"/>
        </w:rPr>
        <w:t>.</w:t>
      </w:r>
      <w:r w:rsidR="00415AB0">
        <w:rPr>
          <w:sz w:val="24"/>
          <w:szCs w:val="24"/>
        </w:rPr>
        <w:t>7</w:t>
      </w:r>
      <w:r w:rsidR="00337BF5">
        <w:rPr>
          <w:sz w:val="24"/>
          <w:szCs w:val="24"/>
        </w:rPr>
        <w:t>1</w:t>
      </w:r>
      <w:r w:rsidR="0052676A" w:rsidRPr="00211425">
        <w:rPr>
          <w:sz w:val="24"/>
          <w:szCs w:val="24"/>
        </w:rPr>
        <w:t xml:space="preserve">. </w:t>
      </w:r>
      <w:r w:rsidRPr="00211425">
        <w:rPr>
          <w:sz w:val="24"/>
          <w:szCs w:val="24"/>
        </w:rPr>
        <w:t xml:space="preserve"> </w:t>
      </w:r>
    </w:p>
    <w:p w:rsidR="006F1BD2" w:rsidRPr="00211425" w:rsidRDefault="006F1BD2" w:rsidP="005C28DD">
      <w:pPr>
        <w:pStyle w:val="ListParagraph"/>
        <w:tabs>
          <w:tab w:val="left" w:pos="-720"/>
        </w:tabs>
        <w:suppressAutoHyphens/>
        <w:spacing w:line="480" w:lineRule="auto"/>
        <w:ind w:left="1440"/>
        <w:rPr>
          <w:sz w:val="24"/>
          <w:szCs w:val="24"/>
        </w:rPr>
      </w:pPr>
      <w:r>
        <w:rPr>
          <w:sz w:val="24"/>
          <w:szCs w:val="24"/>
        </w:rPr>
        <w:t>Total annual cost is estimated at $10</w:t>
      </w:r>
      <w:r w:rsidR="00317CAE">
        <w:rPr>
          <w:sz w:val="24"/>
          <w:szCs w:val="24"/>
        </w:rPr>
        <w:t>4</w:t>
      </w:r>
      <w:r>
        <w:rPr>
          <w:sz w:val="24"/>
          <w:szCs w:val="24"/>
        </w:rPr>
        <w:t>,</w:t>
      </w:r>
      <w:r w:rsidR="00CD17C0">
        <w:rPr>
          <w:sz w:val="24"/>
          <w:szCs w:val="24"/>
        </w:rPr>
        <w:t>3</w:t>
      </w:r>
      <w:r w:rsidR="00317CAE">
        <w:rPr>
          <w:sz w:val="24"/>
          <w:szCs w:val="24"/>
        </w:rPr>
        <w:t>35</w:t>
      </w:r>
      <w:r w:rsidR="00CD17C0">
        <w:rPr>
          <w:sz w:val="24"/>
          <w:szCs w:val="24"/>
        </w:rPr>
        <w:t>.</w:t>
      </w:r>
      <w:r w:rsidR="00337BF5">
        <w:rPr>
          <w:sz w:val="24"/>
          <w:szCs w:val="24"/>
        </w:rPr>
        <w:t>0</w:t>
      </w:r>
      <w:r w:rsidR="00317CAE">
        <w:rPr>
          <w:sz w:val="24"/>
          <w:szCs w:val="24"/>
        </w:rPr>
        <w:t>1</w:t>
      </w:r>
      <w:r>
        <w:rPr>
          <w:sz w:val="24"/>
          <w:szCs w:val="24"/>
        </w:rPr>
        <w:t>.</w:t>
      </w:r>
    </w:p>
    <w:p w:rsidR="0052676A" w:rsidRPr="00211425" w:rsidRDefault="0052676A" w:rsidP="005C28DD">
      <w:pPr>
        <w:pStyle w:val="ListParagraph"/>
        <w:tabs>
          <w:tab w:val="left" w:pos="-720"/>
        </w:tabs>
        <w:suppressAutoHyphens/>
        <w:spacing w:line="480" w:lineRule="auto"/>
        <w:ind w:left="1440"/>
        <w:rPr>
          <w:sz w:val="24"/>
          <w:szCs w:val="24"/>
        </w:rPr>
      </w:pPr>
    </w:p>
    <w:p w:rsidR="008F468F" w:rsidRPr="00211425" w:rsidRDefault="00E96261" w:rsidP="00FD4AF7">
      <w:pPr>
        <w:pStyle w:val="ListParagraph"/>
        <w:tabs>
          <w:tab w:val="left" w:pos="-720"/>
        </w:tabs>
        <w:suppressAutoHyphens/>
        <w:spacing w:line="480" w:lineRule="auto"/>
        <w:ind w:left="1440"/>
        <w:rPr>
          <w:sz w:val="24"/>
          <w:szCs w:val="24"/>
        </w:rPr>
      </w:pPr>
      <w:r w:rsidRPr="00211425">
        <w:rPr>
          <w:b/>
          <w:sz w:val="24"/>
          <w:szCs w:val="24"/>
        </w:rPr>
        <w:t>12.2 Estimates of Annualized Cost to Respondents</w:t>
      </w:r>
    </w:p>
    <w:tbl>
      <w:tblPr>
        <w:tblW w:w="9450" w:type="dxa"/>
        <w:tblInd w:w="1098" w:type="dxa"/>
        <w:tblLayout w:type="fixed"/>
        <w:tblLook w:val="0000"/>
      </w:tblPr>
      <w:tblGrid>
        <w:gridCol w:w="2473"/>
        <w:gridCol w:w="1161"/>
        <w:gridCol w:w="1117"/>
        <w:gridCol w:w="1395"/>
        <w:gridCol w:w="1161"/>
        <w:gridCol w:w="848"/>
        <w:gridCol w:w="1295"/>
      </w:tblGrid>
      <w:tr w:rsidR="008F468F" w:rsidRPr="00211425" w:rsidTr="006F1BD2">
        <w:trPr>
          <w:trHeight w:val="525"/>
        </w:trPr>
        <w:tc>
          <w:tcPr>
            <w:tcW w:w="2473" w:type="dxa"/>
            <w:tcBorders>
              <w:top w:val="single" w:sz="8" w:space="0" w:color="auto"/>
              <w:left w:val="single" w:sz="8" w:space="0" w:color="auto"/>
              <w:bottom w:val="single" w:sz="8" w:space="0" w:color="auto"/>
              <w:right w:val="single" w:sz="4" w:space="0" w:color="auto"/>
            </w:tcBorders>
            <w:shd w:val="clear" w:color="auto" w:fill="FFFF99"/>
            <w:vAlign w:val="bottom"/>
          </w:tcPr>
          <w:p w:rsidR="008F468F" w:rsidRPr="00CD17C0" w:rsidRDefault="008F468F" w:rsidP="001C626D">
            <w:pPr>
              <w:jc w:val="center"/>
            </w:pPr>
            <w:r w:rsidRPr="00CD17C0">
              <w:t>Type of Respondent</w:t>
            </w:r>
          </w:p>
        </w:tc>
        <w:tc>
          <w:tcPr>
            <w:tcW w:w="1161" w:type="dxa"/>
            <w:tcBorders>
              <w:top w:val="single" w:sz="8" w:space="0" w:color="auto"/>
              <w:left w:val="nil"/>
              <w:bottom w:val="single" w:sz="8" w:space="0" w:color="auto"/>
              <w:right w:val="single" w:sz="4" w:space="0" w:color="auto"/>
            </w:tcBorders>
            <w:shd w:val="clear" w:color="auto" w:fill="FFFF99"/>
            <w:vAlign w:val="bottom"/>
          </w:tcPr>
          <w:p w:rsidR="008F468F" w:rsidRPr="00CD17C0" w:rsidRDefault="008F468F" w:rsidP="008F468F">
            <w:pPr>
              <w:jc w:val="center"/>
            </w:pPr>
            <w:r w:rsidRPr="00CD17C0">
              <w:t>Type of Instrument</w:t>
            </w:r>
          </w:p>
        </w:tc>
        <w:tc>
          <w:tcPr>
            <w:tcW w:w="1117" w:type="dxa"/>
            <w:tcBorders>
              <w:top w:val="single" w:sz="8" w:space="0" w:color="auto"/>
              <w:left w:val="nil"/>
              <w:bottom w:val="single" w:sz="8" w:space="0" w:color="auto"/>
              <w:right w:val="single" w:sz="4" w:space="0" w:color="auto"/>
            </w:tcBorders>
            <w:shd w:val="clear" w:color="auto" w:fill="FFFF99"/>
            <w:vAlign w:val="bottom"/>
          </w:tcPr>
          <w:p w:rsidR="008F468F" w:rsidRPr="00CD17C0" w:rsidRDefault="008F468F" w:rsidP="008F468F">
            <w:pPr>
              <w:jc w:val="center"/>
            </w:pPr>
            <w:r w:rsidRPr="00CD17C0">
              <w:t>Average time per Response</w:t>
            </w:r>
          </w:p>
        </w:tc>
        <w:tc>
          <w:tcPr>
            <w:tcW w:w="1395" w:type="dxa"/>
            <w:tcBorders>
              <w:top w:val="single" w:sz="8" w:space="0" w:color="auto"/>
              <w:left w:val="nil"/>
              <w:bottom w:val="single" w:sz="8" w:space="0" w:color="auto"/>
              <w:right w:val="single" w:sz="4" w:space="0" w:color="auto"/>
            </w:tcBorders>
            <w:shd w:val="clear" w:color="auto" w:fill="FFFF99"/>
            <w:vAlign w:val="bottom"/>
          </w:tcPr>
          <w:p w:rsidR="008F468F" w:rsidRPr="00CD17C0" w:rsidRDefault="008F468F" w:rsidP="008F468F">
            <w:pPr>
              <w:jc w:val="center"/>
            </w:pPr>
            <w:r w:rsidRPr="00CD17C0">
              <w:t>Number of Respondents</w:t>
            </w:r>
          </w:p>
        </w:tc>
        <w:tc>
          <w:tcPr>
            <w:tcW w:w="1161" w:type="dxa"/>
            <w:tcBorders>
              <w:top w:val="single" w:sz="8" w:space="0" w:color="auto"/>
              <w:left w:val="nil"/>
              <w:bottom w:val="single" w:sz="8" w:space="0" w:color="auto"/>
              <w:right w:val="single" w:sz="4" w:space="0" w:color="auto"/>
            </w:tcBorders>
            <w:shd w:val="clear" w:color="auto" w:fill="FFFF99"/>
            <w:vAlign w:val="bottom"/>
          </w:tcPr>
          <w:p w:rsidR="008F468F" w:rsidRPr="00CD17C0" w:rsidRDefault="008F468F" w:rsidP="008F468F">
            <w:pPr>
              <w:jc w:val="center"/>
            </w:pPr>
            <w:r w:rsidRPr="00CD17C0">
              <w:t>Frequency of Response</w:t>
            </w:r>
          </w:p>
        </w:tc>
        <w:tc>
          <w:tcPr>
            <w:tcW w:w="848" w:type="dxa"/>
            <w:tcBorders>
              <w:top w:val="single" w:sz="8" w:space="0" w:color="auto"/>
              <w:left w:val="nil"/>
              <w:bottom w:val="single" w:sz="8" w:space="0" w:color="auto"/>
              <w:right w:val="single" w:sz="4" w:space="0" w:color="auto"/>
            </w:tcBorders>
            <w:shd w:val="clear" w:color="auto" w:fill="FFFF99"/>
            <w:vAlign w:val="bottom"/>
          </w:tcPr>
          <w:p w:rsidR="008F468F" w:rsidRPr="00CD17C0" w:rsidRDefault="008F468F" w:rsidP="008F468F">
            <w:pPr>
              <w:jc w:val="center"/>
            </w:pPr>
            <w:r w:rsidRPr="00CD17C0">
              <w:t>Hourly Wage rate</w:t>
            </w:r>
          </w:p>
        </w:tc>
        <w:tc>
          <w:tcPr>
            <w:tcW w:w="1295" w:type="dxa"/>
            <w:tcBorders>
              <w:top w:val="single" w:sz="8" w:space="0" w:color="auto"/>
              <w:left w:val="nil"/>
              <w:bottom w:val="single" w:sz="8" w:space="0" w:color="auto"/>
              <w:right w:val="single" w:sz="8" w:space="0" w:color="auto"/>
            </w:tcBorders>
            <w:shd w:val="clear" w:color="auto" w:fill="FFFF99"/>
            <w:vAlign w:val="bottom"/>
          </w:tcPr>
          <w:p w:rsidR="008F468F" w:rsidRPr="00CD17C0" w:rsidRDefault="008F468F" w:rsidP="008F468F">
            <w:pPr>
              <w:jc w:val="center"/>
            </w:pPr>
            <w:r w:rsidRPr="00CD17C0">
              <w:t>Respondent Cost</w:t>
            </w:r>
          </w:p>
        </w:tc>
      </w:tr>
      <w:tr w:rsidR="008F468F" w:rsidRPr="00211425" w:rsidTr="00337BF5">
        <w:trPr>
          <w:trHeight w:val="255"/>
        </w:trPr>
        <w:tc>
          <w:tcPr>
            <w:tcW w:w="2473" w:type="dxa"/>
            <w:vMerge w:val="restart"/>
            <w:tcBorders>
              <w:top w:val="nil"/>
              <w:left w:val="single" w:sz="4" w:space="0" w:color="auto"/>
              <w:bottom w:val="single" w:sz="4" w:space="0" w:color="000000"/>
              <w:right w:val="single" w:sz="4" w:space="0" w:color="auto"/>
            </w:tcBorders>
            <w:shd w:val="clear" w:color="auto" w:fill="auto"/>
            <w:noWrap/>
            <w:vAlign w:val="bottom"/>
          </w:tcPr>
          <w:p w:rsidR="008F468F" w:rsidRPr="00CD17C0" w:rsidRDefault="008F468F" w:rsidP="001C626D">
            <w:pPr>
              <w:jc w:val="center"/>
            </w:pPr>
            <w:r w:rsidRPr="00CD17C0">
              <w:t>WIC State agency</w:t>
            </w:r>
          </w:p>
        </w:tc>
        <w:tc>
          <w:tcPr>
            <w:tcW w:w="1161" w:type="dxa"/>
            <w:tcBorders>
              <w:top w:val="nil"/>
              <w:left w:val="nil"/>
              <w:bottom w:val="single" w:sz="4" w:space="0" w:color="auto"/>
              <w:right w:val="single" w:sz="4" w:space="0" w:color="auto"/>
            </w:tcBorders>
            <w:shd w:val="clear" w:color="auto" w:fill="auto"/>
            <w:noWrap/>
            <w:vAlign w:val="bottom"/>
          </w:tcPr>
          <w:p w:rsidR="008F468F" w:rsidRPr="00CD17C0" w:rsidRDefault="008F468F" w:rsidP="00003E0B">
            <w:pPr>
              <w:jc w:val="center"/>
            </w:pPr>
            <w:r w:rsidRPr="00CD17C0">
              <w:t>79</w:t>
            </w:r>
            <w:r w:rsidR="00003E0B">
              <w:t>8</w:t>
            </w:r>
          </w:p>
        </w:tc>
        <w:tc>
          <w:tcPr>
            <w:tcW w:w="1117"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pPr>
              <w:jc w:val="center"/>
            </w:pPr>
            <w:r w:rsidRPr="00CD17C0">
              <w:t>3.2367</w:t>
            </w:r>
          </w:p>
        </w:tc>
        <w:tc>
          <w:tcPr>
            <w:tcW w:w="1395"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pPr>
              <w:jc w:val="center"/>
            </w:pPr>
            <w:r w:rsidRPr="00CD17C0">
              <w:t>90</w:t>
            </w:r>
          </w:p>
        </w:tc>
        <w:tc>
          <w:tcPr>
            <w:tcW w:w="1161"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pPr>
              <w:jc w:val="center"/>
            </w:pPr>
            <w:r w:rsidRPr="00CD17C0">
              <w:t>15</w:t>
            </w:r>
          </w:p>
        </w:tc>
        <w:tc>
          <w:tcPr>
            <w:tcW w:w="848" w:type="dxa"/>
            <w:tcBorders>
              <w:top w:val="nil"/>
              <w:left w:val="nil"/>
              <w:bottom w:val="single" w:sz="4" w:space="0" w:color="auto"/>
              <w:right w:val="single" w:sz="4" w:space="0" w:color="auto"/>
            </w:tcBorders>
            <w:shd w:val="clear" w:color="auto" w:fill="auto"/>
            <w:noWrap/>
            <w:vAlign w:val="bottom"/>
          </w:tcPr>
          <w:p w:rsidR="008F468F" w:rsidRPr="00CD17C0" w:rsidRDefault="0052676A" w:rsidP="00415AB0">
            <w:pPr>
              <w:jc w:val="right"/>
            </w:pPr>
            <w:r w:rsidRPr="00CD17C0">
              <w:t>23.</w:t>
            </w:r>
            <w:r w:rsidR="00CD17C0" w:rsidRPr="00CD17C0">
              <w:t xml:space="preserve"> </w:t>
            </w:r>
            <w:r w:rsidR="00415AB0">
              <w:t>07</w:t>
            </w:r>
          </w:p>
        </w:tc>
        <w:tc>
          <w:tcPr>
            <w:tcW w:w="1295" w:type="dxa"/>
            <w:tcBorders>
              <w:top w:val="nil"/>
              <w:left w:val="nil"/>
              <w:bottom w:val="single" w:sz="4" w:space="0" w:color="auto"/>
              <w:right w:val="single" w:sz="4" w:space="0" w:color="auto"/>
            </w:tcBorders>
            <w:shd w:val="clear" w:color="auto" w:fill="auto"/>
            <w:noWrap/>
            <w:vAlign w:val="bottom"/>
          </w:tcPr>
          <w:p w:rsidR="008F468F" w:rsidRPr="00CD17C0" w:rsidRDefault="0052676A" w:rsidP="00317CAE">
            <w:pPr>
              <w:jc w:val="right"/>
            </w:pPr>
            <w:r w:rsidRPr="00CD17C0">
              <w:t>$</w:t>
            </w:r>
            <w:r w:rsidR="00317CAE">
              <w:t>100,805.30</w:t>
            </w:r>
          </w:p>
        </w:tc>
      </w:tr>
      <w:tr w:rsidR="008F468F" w:rsidRPr="00211425" w:rsidTr="00337BF5">
        <w:trPr>
          <w:trHeight w:val="255"/>
        </w:trPr>
        <w:tc>
          <w:tcPr>
            <w:tcW w:w="2473" w:type="dxa"/>
            <w:vMerge/>
            <w:tcBorders>
              <w:top w:val="nil"/>
              <w:left w:val="single" w:sz="4" w:space="0" w:color="auto"/>
              <w:bottom w:val="single" w:sz="4" w:space="0" w:color="000000"/>
              <w:right w:val="single" w:sz="4" w:space="0" w:color="auto"/>
            </w:tcBorders>
            <w:vAlign w:val="center"/>
          </w:tcPr>
          <w:p w:rsidR="008F468F" w:rsidRPr="00CD17C0" w:rsidRDefault="008F468F" w:rsidP="001C626D">
            <w:pPr>
              <w:jc w:val="center"/>
            </w:pPr>
          </w:p>
        </w:tc>
        <w:tc>
          <w:tcPr>
            <w:tcW w:w="1161" w:type="dxa"/>
            <w:tcBorders>
              <w:top w:val="nil"/>
              <w:left w:val="nil"/>
              <w:bottom w:val="single" w:sz="4" w:space="0" w:color="auto"/>
              <w:right w:val="single" w:sz="4" w:space="0" w:color="auto"/>
            </w:tcBorders>
            <w:shd w:val="clear" w:color="auto" w:fill="auto"/>
            <w:noWrap/>
            <w:vAlign w:val="bottom"/>
          </w:tcPr>
          <w:p w:rsidR="008F468F" w:rsidRPr="00CD17C0" w:rsidRDefault="00003E0B" w:rsidP="008F468F">
            <w:pPr>
              <w:jc w:val="center"/>
            </w:pPr>
            <w:r>
              <w:t>7</w:t>
            </w:r>
            <w:r w:rsidR="008F468F" w:rsidRPr="00CD17C0">
              <w:t>9</w:t>
            </w:r>
            <w:r>
              <w:t>8</w:t>
            </w:r>
            <w:r w:rsidR="008F468F" w:rsidRPr="00CD17C0">
              <w:t xml:space="preserve"> A</w:t>
            </w:r>
          </w:p>
        </w:tc>
        <w:tc>
          <w:tcPr>
            <w:tcW w:w="1117"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pPr>
              <w:jc w:val="center"/>
            </w:pPr>
            <w:r w:rsidRPr="00CD17C0">
              <w:t>1.7</w:t>
            </w:r>
          </w:p>
        </w:tc>
        <w:tc>
          <w:tcPr>
            <w:tcW w:w="1395"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pPr>
              <w:jc w:val="center"/>
            </w:pPr>
            <w:r w:rsidRPr="00CD17C0">
              <w:t>90</w:t>
            </w:r>
          </w:p>
        </w:tc>
        <w:tc>
          <w:tcPr>
            <w:tcW w:w="1161"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pPr>
              <w:jc w:val="center"/>
            </w:pPr>
            <w:r w:rsidRPr="00CD17C0">
              <w:t>1</w:t>
            </w:r>
          </w:p>
        </w:tc>
        <w:tc>
          <w:tcPr>
            <w:tcW w:w="848" w:type="dxa"/>
            <w:tcBorders>
              <w:top w:val="nil"/>
              <w:left w:val="nil"/>
              <w:bottom w:val="single" w:sz="4" w:space="0" w:color="auto"/>
              <w:right w:val="single" w:sz="4" w:space="0" w:color="auto"/>
            </w:tcBorders>
            <w:shd w:val="clear" w:color="auto" w:fill="auto"/>
            <w:noWrap/>
            <w:vAlign w:val="bottom"/>
          </w:tcPr>
          <w:p w:rsidR="008F468F" w:rsidRPr="00CD17C0" w:rsidRDefault="0052676A" w:rsidP="00415AB0">
            <w:pPr>
              <w:jc w:val="right"/>
            </w:pPr>
            <w:r w:rsidRPr="00CD17C0">
              <w:t>23.</w:t>
            </w:r>
            <w:r w:rsidR="00CD17C0" w:rsidRPr="00CD17C0">
              <w:t xml:space="preserve"> </w:t>
            </w:r>
            <w:r w:rsidR="00415AB0">
              <w:t>07</w:t>
            </w:r>
          </w:p>
        </w:tc>
        <w:tc>
          <w:tcPr>
            <w:tcW w:w="1295" w:type="dxa"/>
            <w:tcBorders>
              <w:top w:val="nil"/>
              <w:left w:val="nil"/>
              <w:bottom w:val="single" w:sz="4" w:space="0" w:color="auto"/>
              <w:right w:val="single" w:sz="4" w:space="0" w:color="auto"/>
            </w:tcBorders>
            <w:shd w:val="clear" w:color="auto" w:fill="auto"/>
            <w:noWrap/>
            <w:vAlign w:val="bottom"/>
          </w:tcPr>
          <w:p w:rsidR="008F468F" w:rsidRPr="00CD17C0" w:rsidRDefault="0052676A" w:rsidP="00317CAE">
            <w:pPr>
              <w:jc w:val="right"/>
            </w:pPr>
            <w:r w:rsidRPr="00CD17C0">
              <w:t>$3</w:t>
            </w:r>
            <w:r w:rsidR="00211425" w:rsidRPr="00CD17C0">
              <w:t>,</w:t>
            </w:r>
            <w:r w:rsidR="00CD17C0" w:rsidRPr="00CD17C0">
              <w:t xml:space="preserve"> </w:t>
            </w:r>
            <w:r w:rsidR="00317CAE">
              <w:t>529.71</w:t>
            </w:r>
          </w:p>
        </w:tc>
      </w:tr>
      <w:tr w:rsidR="008F468F" w:rsidRPr="00CD17C0" w:rsidTr="00337BF5">
        <w:trPr>
          <w:trHeight w:val="255"/>
        </w:trPr>
        <w:tc>
          <w:tcPr>
            <w:tcW w:w="2473" w:type="dxa"/>
            <w:tcBorders>
              <w:top w:val="nil"/>
              <w:left w:val="single" w:sz="4" w:space="0" w:color="auto"/>
              <w:bottom w:val="single" w:sz="4" w:space="0" w:color="auto"/>
              <w:right w:val="single" w:sz="4" w:space="0" w:color="auto"/>
            </w:tcBorders>
            <w:shd w:val="clear" w:color="auto" w:fill="auto"/>
            <w:noWrap/>
            <w:vAlign w:val="bottom"/>
          </w:tcPr>
          <w:p w:rsidR="008F468F" w:rsidRPr="00CD17C0" w:rsidRDefault="008F468F" w:rsidP="001C626D">
            <w:pPr>
              <w:jc w:val="center"/>
            </w:pPr>
            <w:r w:rsidRPr="00CD17C0">
              <w:t>Total Annual Cost to Respondents</w:t>
            </w:r>
          </w:p>
        </w:tc>
        <w:tc>
          <w:tcPr>
            <w:tcW w:w="1161"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pPr>
              <w:jc w:val="center"/>
            </w:pPr>
            <w:r w:rsidRPr="00CD17C0">
              <w:t> </w:t>
            </w:r>
          </w:p>
        </w:tc>
        <w:tc>
          <w:tcPr>
            <w:tcW w:w="1117" w:type="dxa"/>
            <w:tcBorders>
              <w:top w:val="nil"/>
              <w:left w:val="nil"/>
              <w:bottom w:val="single" w:sz="4" w:space="0" w:color="auto"/>
              <w:right w:val="single" w:sz="4" w:space="0" w:color="auto"/>
            </w:tcBorders>
            <w:shd w:val="clear" w:color="auto" w:fill="999999"/>
            <w:noWrap/>
            <w:vAlign w:val="bottom"/>
          </w:tcPr>
          <w:p w:rsidR="008F468F" w:rsidRPr="00CD17C0" w:rsidRDefault="008F468F" w:rsidP="008F468F">
            <w:r w:rsidRPr="00CD17C0">
              <w:t> </w:t>
            </w:r>
          </w:p>
        </w:tc>
        <w:tc>
          <w:tcPr>
            <w:tcW w:w="1395"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pPr>
              <w:jc w:val="center"/>
            </w:pPr>
            <w:r w:rsidRPr="00CD17C0">
              <w:t>90</w:t>
            </w:r>
          </w:p>
        </w:tc>
        <w:tc>
          <w:tcPr>
            <w:tcW w:w="1161" w:type="dxa"/>
            <w:tcBorders>
              <w:top w:val="nil"/>
              <w:left w:val="nil"/>
              <w:bottom w:val="single" w:sz="4" w:space="0" w:color="auto"/>
              <w:right w:val="single" w:sz="4" w:space="0" w:color="auto"/>
            </w:tcBorders>
            <w:shd w:val="clear" w:color="auto" w:fill="auto"/>
            <w:noWrap/>
            <w:vAlign w:val="bottom"/>
          </w:tcPr>
          <w:p w:rsidR="008F468F" w:rsidRPr="00CD17C0" w:rsidRDefault="008F468F" w:rsidP="008F468F">
            <w:pPr>
              <w:jc w:val="center"/>
            </w:pPr>
            <w:r w:rsidRPr="00CD17C0">
              <w:t>16</w:t>
            </w:r>
          </w:p>
        </w:tc>
        <w:tc>
          <w:tcPr>
            <w:tcW w:w="848" w:type="dxa"/>
            <w:tcBorders>
              <w:top w:val="nil"/>
              <w:left w:val="nil"/>
              <w:bottom w:val="single" w:sz="4" w:space="0" w:color="auto"/>
              <w:right w:val="single" w:sz="4" w:space="0" w:color="auto"/>
            </w:tcBorders>
            <w:shd w:val="clear" w:color="auto" w:fill="999999"/>
            <w:noWrap/>
            <w:vAlign w:val="bottom"/>
          </w:tcPr>
          <w:p w:rsidR="008F468F" w:rsidRPr="00CD17C0" w:rsidRDefault="008F468F" w:rsidP="001C626D">
            <w:pPr>
              <w:jc w:val="right"/>
            </w:pPr>
          </w:p>
        </w:tc>
        <w:tc>
          <w:tcPr>
            <w:tcW w:w="1295" w:type="dxa"/>
            <w:tcBorders>
              <w:top w:val="nil"/>
              <w:left w:val="nil"/>
              <w:bottom w:val="single" w:sz="4" w:space="0" w:color="auto"/>
              <w:right w:val="single" w:sz="4" w:space="0" w:color="auto"/>
            </w:tcBorders>
            <w:shd w:val="clear" w:color="auto" w:fill="auto"/>
            <w:noWrap/>
            <w:vAlign w:val="bottom"/>
          </w:tcPr>
          <w:p w:rsidR="00337BF5" w:rsidRDefault="00337BF5" w:rsidP="00337BF5">
            <w:pPr>
              <w:jc w:val="right"/>
            </w:pPr>
          </w:p>
          <w:p w:rsidR="00337BF5" w:rsidRPr="00CD17C0" w:rsidRDefault="00337BF5" w:rsidP="00317CAE">
            <w:pPr>
              <w:jc w:val="right"/>
            </w:pPr>
            <w:r>
              <w:t>$10</w:t>
            </w:r>
            <w:r w:rsidR="00317CAE">
              <w:t>4</w:t>
            </w:r>
            <w:r>
              <w:t>,</w:t>
            </w:r>
            <w:r w:rsidR="00317CAE">
              <w:t>335.01</w:t>
            </w:r>
          </w:p>
        </w:tc>
      </w:tr>
    </w:tbl>
    <w:p w:rsidR="00BF2D69" w:rsidRPr="00211425" w:rsidRDefault="00BF2D69" w:rsidP="00482E9A">
      <w:pPr>
        <w:tabs>
          <w:tab w:val="left" w:pos="9630"/>
          <w:tab w:val="left" w:pos="9810"/>
        </w:tabs>
        <w:spacing w:line="480" w:lineRule="auto"/>
        <w:ind w:left="1440" w:right="792"/>
        <w:rPr>
          <w:sz w:val="24"/>
          <w:szCs w:val="24"/>
        </w:rPr>
      </w:pPr>
    </w:p>
    <w:p w:rsidR="00066655" w:rsidRPr="00211425" w:rsidRDefault="00066655" w:rsidP="00482E9A">
      <w:pPr>
        <w:tabs>
          <w:tab w:val="left" w:pos="9630"/>
          <w:tab w:val="left" w:pos="9810"/>
        </w:tabs>
        <w:spacing w:line="480" w:lineRule="auto"/>
        <w:ind w:left="1440" w:right="792"/>
        <w:rPr>
          <w:b/>
          <w:sz w:val="24"/>
          <w:szCs w:val="24"/>
        </w:rPr>
      </w:pPr>
      <w:r w:rsidRPr="00211425">
        <w:rPr>
          <w:sz w:val="24"/>
          <w:szCs w:val="24"/>
        </w:rPr>
        <w:t xml:space="preserve">*These salary estimates are the Mean Annual and the Mean Hourly wage estimates for State Government employees </w:t>
      </w:r>
      <w:r w:rsidR="005567DC" w:rsidRPr="00211425">
        <w:rPr>
          <w:sz w:val="24"/>
          <w:szCs w:val="24"/>
        </w:rPr>
        <w:t>for calendar year 20</w:t>
      </w:r>
      <w:r w:rsidR="00317CAE">
        <w:rPr>
          <w:sz w:val="24"/>
          <w:szCs w:val="24"/>
        </w:rPr>
        <w:t>08</w:t>
      </w:r>
      <w:r w:rsidR="005567DC" w:rsidRPr="00211425">
        <w:rPr>
          <w:sz w:val="24"/>
          <w:szCs w:val="24"/>
        </w:rPr>
        <w:t xml:space="preserve"> obtained from the U.S. </w:t>
      </w:r>
      <w:r w:rsidR="005567DC" w:rsidRPr="00211425">
        <w:rPr>
          <w:sz w:val="24"/>
          <w:szCs w:val="24"/>
        </w:rPr>
        <w:lastRenderedPageBreak/>
        <w:t>Department of Labor</w:t>
      </w:r>
      <w:r w:rsidR="00086D9C" w:rsidRPr="00211425">
        <w:rPr>
          <w:sz w:val="24"/>
          <w:szCs w:val="24"/>
        </w:rPr>
        <w:t>, Bureau of Labor Statistics (BLS)</w:t>
      </w:r>
      <w:r w:rsidR="00095007" w:rsidRPr="00211425">
        <w:rPr>
          <w:sz w:val="24"/>
          <w:szCs w:val="24"/>
        </w:rPr>
        <w:t xml:space="preserve">.  </w:t>
      </w:r>
      <w:r w:rsidR="00086D9C" w:rsidRPr="00211425">
        <w:rPr>
          <w:sz w:val="24"/>
          <w:szCs w:val="24"/>
        </w:rPr>
        <w:t>As of the date of this submission, the 20</w:t>
      </w:r>
      <w:r w:rsidR="00317CAE">
        <w:rPr>
          <w:sz w:val="24"/>
          <w:szCs w:val="24"/>
        </w:rPr>
        <w:t>08</w:t>
      </w:r>
      <w:r w:rsidR="00086D9C" w:rsidRPr="00211425">
        <w:rPr>
          <w:sz w:val="24"/>
          <w:szCs w:val="24"/>
        </w:rPr>
        <w:t xml:space="preserve"> data is the latest data available from BLS for State Government employee salaries.</w:t>
      </w:r>
      <w:r w:rsidRPr="00211425">
        <w:rPr>
          <w:sz w:val="24"/>
          <w:szCs w:val="24"/>
        </w:rPr>
        <w:br/>
      </w:r>
    </w:p>
    <w:p w:rsidR="00071F56" w:rsidRPr="00211425" w:rsidRDefault="00071F56" w:rsidP="00482E9A">
      <w:pPr>
        <w:tabs>
          <w:tab w:val="left" w:pos="9630"/>
          <w:tab w:val="left" w:pos="9810"/>
        </w:tabs>
        <w:spacing w:line="480" w:lineRule="auto"/>
        <w:ind w:left="720" w:right="792" w:hanging="720"/>
        <w:rPr>
          <w:sz w:val="24"/>
          <w:szCs w:val="24"/>
        </w:rPr>
      </w:pPr>
      <w:r w:rsidRPr="00211425">
        <w:rPr>
          <w:b/>
          <w:sz w:val="24"/>
          <w:szCs w:val="24"/>
        </w:rPr>
        <w:t>13.</w:t>
      </w:r>
      <w:r w:rsidRPr="00211425">
        <w:rPr>
          <w:b/>
          <w:sz w:val="24"/>
          <w:szCs w:val="24"/>
        </w:rPr>
        <w:tab/>
        <w:t xml:space="preserve">Provide estimates of the </w:t>
      </w:r>
      <w:r w:rsidR="00664E43" w:rsidRPr="00211425">
        <w:rPr>
          <w:b/>
          <w:sz w:val="24"/>
          <w:szCs w:val="24"/>
        </w:rPr>
        <w:t xml:space="preserve">total annual cost burden to </w:t>
      </w:r>
      <w:r w:rsidRPr="00211425">
        <w:rPr>
          <w:b/>
          <w:sz w:val="24"/>
          <w:szCs w:val="24"/>
        </w:rPr>
        <w:t>respondents or record keepers resulting fro</w:t>
      </w:r>
      <w:r w:rsidR="00664E43" w:rsidRPr="00211425">
        <w:rPr>
          <w:b/>
          <w:sz w:val="24"/>
          <w:szCs w:val="24"/>
        </w:rPr>
        <w:t>m the collection of information</w:t>
      </w:r>
      <w:r w:rsidRPr="00211425">
        <w:rPr>
          <w:b/>
          <w:sz w:val="24"/>
          <w:szCs w:val="24"/>
        </w:rPr>
        <w:t xml:space="preserve"> (do not include the cost of any hour burden shown in items 12 and 14).  The cost estimates should be split into two components: (a) a total capital and</w:t>
      </w:r>
      <w:r w:rsidR="00664E43" w:rsidRPr="00211425">
        <w:rPr>
          <w:b/>
          <w:sz w:val="24"/>
          <w:szCs w:val="24"/>
        </w:rPr>
        <w:t xml:space="preserve"> start-up cost </w:t>
      </w:r>
      <w:r w:rsidRPr="00211425">
        <w:rPr>
          <w:b/>
          <w:sz w:val="24"/>
          <w:szCs w:val="24"/>
        </w:rPr>
        <w:t>component annualized over its expected useful life; and (b) a total operation and maintenance and purchase of services component.</w:t>
      </w:r>
    </w:p>
    <w:p w:rsidR="00071F56" w:rsidRPr="00211425" w:rsidRDefault="00071F56" w:rsidP="00A91FED">
      <w:pPr>
        <w:tabs>
          <w:tab w:val="left" w:pos="9630"/>
          <w:tab w:val="left" w:pos="9810"/>
        </w:tabs>
        <w:ind w:right="792"/>
        <w:rPr>
          <w:b/>
          <w:sz w:val="24"/>
          <w:szCs w:val="24"/>
        </w:rPr>
      </w:pPr>
    </w:p>
    <w:p w:rsidR="00066655" w:rsidRPr="000F5B9F" w:rsidRDefault="002B620B" w:rsidP="00AC4AD8">
      <w:pPr>
        <w:tabs>
          <w:tab w:val="left" w:pos="9630"/>
          <w:tab w:val="left" w:pos="9810"/>
        </w:tabs>
        <w:spacing w:line="480" w:lineRule="auto"/>
        <w:ind w:left="720" w:right="792"/>
        <w:rPr>
          <w:sz w:val="24"/>
          <w:szCs w:val="24"/>
        </w:rPr>
      </w:pPr>
      <w:r w:rsidRPr="000F5B9F">
        <w:rPr>
          <w:sz w:val="24"/>
          <w:szCs w:val="24"/>
        </w:rPr>
        <w:t>There are no capital/start-up or ongoing operation/maintenance costs associated with this information collection</w:t>
      </w:r>
      <w:r w:rsidR="00066655" w:rsidRPr="000F5B9F">
        <w:rPr>
          <w:sz w:val="24"/>
          <w:szCs w:val="24"/>
        </w:rPr>
        <w:t>.</w:t>
      </w:r>
    </w:p>
    <w:p w:rsidR="00BF2D69" w:rsidRPr="00211425" w:rsidRDefault="00BF2D69" w:rsidP="00367332">
      <w:pPr>
        <w:tabs>
          <w:tab w:val="left" w:pos="9630"/>
          <w:tab w:val="left" w:pos="9810"/>
        </w:tabs>
        <w:ind w:left="720" w:right="792"/>
        <w:rPr>
          <w:b/>
          <w:sz w:val="24"/>
          <w:szCs w:val="24"/>
        </w:rPr>
      </w:pPr>
    </w:p>
    <w:p w:rsidR="00CE4B2F" w:rsidRPr="00211425" w:rsidRDefault="00CE4B2F" w:rsidP="00A91FED">
      <w:pPr>
        <w:tabs>
          <w:tab w:val="left" w:pos="9630"/>
          <w:tab w:val="left" w:pos="9810"/>
        </w:tabs>
        <w:ind w:right="792"/>
        <w:rPr>
          <w:b/>
          <w:sz w:val="24"/>
          <w:szCs w:val="24"/>
        </w:rPr>
      </w:pP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14.</w:t>
      </w:r>
      <w:r w:rsidRPr="00211425">
        <w:rPr>
          <w:b/>
          <w:sz w:val="24"/>
          <w:szCs w:val="24"/>
        </w:rPr>
        <w:tab/>
        <w:t>Provide estimates of annualized cost to the Federal government</w:t>
      </w:r>
      <w:r w:rsidRPr="00211425">
        <w:rPr>
          <w:sz w:val="24"/>
          <w:szCs w:val="24"/>
        </w:rPr>
        <w:t xml:space="preserve">.  </w:t>
      </w:r>
      <w:r w:rsidRPr="00211425">
        <w:rPr>
          <w:b/>
          <w:sz w:val="24"/>
          <w:szCs w:val="24"/>
        </w:rPr>
        <w:t>Also, provide a description of the method used to estimate cost and any other expense that would not have been incurred without this collection of information.</w:t>
      </w:r>
    </w:p>
    <w:p w:rsidR="00066655" w:rsidRPr="00211425" w:rsidRDefault="00066655" w:rsidP="00A91FED">
      <w:pPr>
        <w:tabs>
          <w:tab w:val="left" w:pos="9630"/>
          <w:tab w:val="left" w:pos="9810"/>
        </w:tabs>
        <w:ind w:left="720" w:right="792" w:hanging="720"/>
        <w:rPr>
          <w:b/>
          <w:sz w:val="24"/>
          <w:szCs w:val="24"/>
        </w:rPr>
      </w:pPr>
    </w:p>
    <w:p w:rsidR="00B71358" w:rsidRPr="00211425" w:rsidRDefault="00066655">
      <w:pPr>
        <w:tabs>
          <w:tab w:val="left" w:pos="9630"/>
          <w:tab w:val="left" w:pos="9810"/>
        </w:tabs>
        <w:spacing w:line="480" w:lineRule="auto"/>
        <w:ind w:left="720" w:right="792" w:hanging="720"/>
        <w:rPr>
          <w:sz w:val="24"/>
          <w:szCs w:val="24"/>
        </w:rPr>
      </w:pPr>
      <w:r w:rsidRPr="00211425">
        <w:rPr>
          <w:b/>
          <w:sz w:val="24"/>
          <w:szCs w:val="24"/>
        </w:rPr>
        <w:tab/>
      </w:r>
      <w:r w:rsidRPr="00211425">
        <w:rPr>
          <w:sz w:val="24"/>
          <w:szCs w:val="24"/>
          <w:u w:val="single"/>
        </w:rPr>
        <w:t>Annualized cost to the Federal government is estimated to be</w:t>
      </w:r>
      <w:r w:rsidRPr="00211425">
        <w:rPr>
          <w:sz w:val="24"/>
          <w:szCs w:val="24"/>
        </w:rPr>
        <w:t>.</w:t>
      </w:r>
      <w:r w:rsidRPr="00211425">
        <w:rPr>
          <w:sz w:val="24"/>
          <w:szCs w:val="24"/>
        </w:rPr>
        <w:br/>
      </w:r>
      <w:r w:rsidR="00DA189A" w:rsidRPr="009F6A27">
        <w:rPr>
          <w:sz w:val="24"/>
        </w:rPr>
        <w:t xml:space="preserve">The cost to the Federal government is the cost of FNS Regional Office staff to review the data submitted by each of the </w:t>
      </w:r>
      <w:r w:rsidR="00DA189A">
        <w:rPr>
          <w:sz w:val="24"/>
        </w:rPr>
        <w:t>90</w:t>
      </w:r>
      <w:r w:rsidR="00DA189A" w:rsidRPr="009F6A27">
        <w:rPr>
          <w:sz w:val="24"/>
        </w:rPr>
        <w:t xml:space="preserve"> State agencies prior to its use by FNS Headquarters.</w:t>
      </w:r>
      <w:r w:rsidR="00DA189A" w:rsidRPr="009F6A27">
        <w:rPr>
          <w:sz w:val="24"/>
        </w:rPr>
        <w:br/>
      </w:r>
      <w:r w:rsidR="00DA189A" w:rsidRPr="00211425">
        <w:rPr>
          <w:sz w:val="24"/>
          <w:szCs w:val="24"/>
        </w:rPr>
        <w:t>GS9, step 1 Regional Program Analyst = $41,563*</w:t>
      </w:r>
      <w:r w:rsidR="00DA189A" w:rsidRPr="00211425">
        <w:rPr>
          <w:sz w:val="24"/>
          <w:szCs w:val="24"/>
        </w:rPr>
        <w:br/>
        <w:t>Salary per hour ($41,563/2080) = $19.98*</w:t>
      </w:r>
      <w:r w:rsidR="00DA189A" w:rsidRPr="00211425">
        <w:rPr>
          <w:sz w:val="24"/>
          <w:szCs w:val="24"/>
        </w:rPr>
        <w:br/>
      </w:r>
      <w:r w:rsidR="00DA189A" w:rsidRPr="009F6A27">
        <w:rPr>
          <w:sz w:val="24"/>
        </w:rPr>
        <w:t xml:space="preserve">Hours spent at region [review (0.50 hours) </w:t>
      </w:r>
      <w:r w:rsidR="00DA189A">
        <w:rPr>
          <w:sz w:val="24"/>
        </w:rPr>
        <w:t>multiplied by</w:t>
      </w:r>
      <w:r w:rsidR="00DA189A" w:rsidRPr="009F6A27">
        <w:rPr>
          <w:sz w:val="24"/>
        </w:rPr>
        <w:t xml:space="preserve"> 1,</w:t>
      </w:r>
      <w:r w:rsidR="00DA189A">
        <w:rPr>
          <w:sz w:val="24"/>
        </w:rPr>
        <w:t>350</w:t>
      </w:r>
      <w:r w:rsidR="00DA189A" w:rsidRPr="009F6A27">
        <w:rPr>
          <w:sz w:val="24"/>
        </w:rPr>
        <w:t xml:space="preserve"> reports (</w:t>
      </w:r>
      <w:r w:rsidR="00DA189A">
        <w:rPr>
          <w:sz w:val="24"/>
        </w:rPr>
        <w:t>90</w:t>
      </w:r>
      <w:r w:rsidR="00DA189A" w:rsidRPr="009F6A27">
        <w:rPr>
          <w:sz w:val="24"/>
        </w:rPr>
        <w:t xml:space="preserve"> State agencies X 1</w:t>
      </w:r>
      <w:r w:rsidR="00DA189A">
        <w:rPr>
          <w:sz w:val="24"/>
        </w:rPr>
        <w:t>5</w:t>
      </w:r>
      <w:r w:rsidR="00DA189A" w:rsidRPr="009F6A27">
        <w:rPr>
          <w:sz w:val="24"/>
        </w:rPr>
        <w:t xml:space="preserve"> reports)] = </w:t>
      </w:r>
      <w:r w:rsidR="00DA189A">
        <w:rPr>
          <w:sz w:val="24"/>
        </w:rPr>
        <w:t>675</w:t>
      </w:r>
      <w:r w:rsidR="00DA189A" w:rsidRPr="009F6A27">
        <w:rPr>
          <w:sz w:val="24"/>
        </w:rPr>
        <w:t xml:space="preserve"> total hours/year</w:t>
      </w:r>
      <w:r w:rsidR="00DA189A" w:rsidRPr="009F6A27">
        <w:rPr>
          <w:sz w:val="24"/>
        </w:rPr>
        <w:br/>
        <w:t>Total hours (</w:t>
      </w:r>
      <w:r w:rsidR="00DA189A">
        <w:rPr>
          <w:sz w:val="24"/>
        </w:rPr>
        <w:t>675</w:t>
      </w:r>
      <w:r w:rsidR="00DA189A" w:rsidRPr="009F6A27">
        <w:rPr>
          <w:sz w:val="24"/>
        </w:rPr>
        <w:t>) X salary per hour ($</w:t>
      </w:r>
      <w:r w:rsidR="00DA189A">
        <w:rPr>
          <w:sz w:val="24"/>
        </w:rPr>
        <w:t>19.98</w:t>
      </w:r>
      <w:r w:rsidR="00DA189A" w:rsidRPr="009F6A27">
        <w:rPr>
          <w:sz w:val="24"/>
        </w:rPr>
        <w:t>) = $</w:t>
      </w:r>
      <w:r w:rsidR="00DA189A">
        <w:rPr>
          <w:sz w:val="24"/>
        </w:rPr>
        <w:t>13,486.50</w:t>
      </w:r>
      <w:r w:rsidR="00DA189A" w:rsidRPr="009F6A27">
        <w:rPr>
          <w:sz w:val="24"/>
        </w:rPr>
        <w:t xml:space="preserve"> total regional cost</w:t>
      </w:r>
      <w:r w:rsidR="00DA189A" w:rsidRPr="009F6A27">
        <w:rPr>
          <w:sz w:val="24"/>
        </w:rPr>
        <w:br/>
      </w:r>
      <w:r w:rsidR="00B71358" w:rsidRPr="00211425">
        <w:rPr>
          <w:sz w:val="24"/>
          <w:szCs w:val="24"/>
        </w:rPr>
        <w:lastRenderedPageBreak/>
        <w:t xml:space="preserve">The cost to the Federal Government for the national office </w:t>
      </w:r>
      <w:r w:rsidR="001524CF" w:rsidRPr="00211425">
        <w:rPr>
          <w:sz w:val="24"/>
          <w:szCs w:val="24"/>
        </w:rPr>
        <w:t>staff to</w:t>
      </w:r>
      <w:r w:rsidR="00B71358" w:rsidRPr="00211425">
        <w:rPr>
          <w:sz w:val="24"/>
          <w:szCs w:val="24"/>
        </w:rPr>
        <w:t xml:space="preserve"> develop, revise and modify </w:t>
      </w:r>
      <w:r w:rsidR="00C36A7C" w:rsidRPr="00211425">
        <w:rPr>
          <w:sz w:val="24"/>
          <w:szCs w:val="24"/>
        </w:rPr>
        <w:t xml:space="preserve">the </w:t>
      </w:r>
      <w:r w:rsidR="00143FFD" w:rsidRPr="00211425">
        <w:rPr>
          <w:sz w:val="24"/>
          <w:szCs w:val="24"/>
        </w:rPr>
        <w:t>WIC Financial Management and Participation Report</w:t>
      </w:r>
      <w:r w:rsidR="00075000">
        <w:rPr>
          <w:sz w:val="24"/>
          <w:szCs w:val="24"/>
        </w:rPr>
        <w:t>s</w:t>
      </w:r>
      <w:r w:rsidR="00C36A7C" w:rsidRPr="00211425">
        <w:rPr>
          <w:sz w:val="24"/>
          <w:szCs w:val="24"/>
        </w:rPr>
        <w:t>:</w:t>
      </w:r>
    </w:p>
    <w:p w:rsidR="00F36A8C" w:rsidRPr="00211425" w:rsidRDefault="00B71358">
      <w:pPr>
        <w:tabs>
          <w:tab w:val="left" w:pos="9630"/>
          <w:tab w:val="left" w:pos="9810"/>
        </w:tabs>
        <w:spacing w:line="480" w:lineRule="auto"/>
        <w:ind w:left="720" w:right="792" w:hanging="720"/>
        <w:rPr>
          <w:sz w:val="24"/>
          <w:szCs w:val="24"/>
        </w:rPr>
      </w:pPr>
      <w:r w:rsidRPr="00211425">
        <w:rPr>
          <w:sz w:val="24"/>
          <w:szCs w:val="24"/>
        </w:rPr>
        <w:tab/>
      </w:r>
      <w:r w:rsidR="00F36A8C" w:rsidRPr="00211425">
        <w:rPr>
          <w:sz w:val="24"/>
          <w:szCs w:val="24"/>
        </w:rPr>
        <w:t xml:space="preserve">GS 11, step 1 </w:t>
      </w:r>
      <w:r w:rsidR="009F0442" w:rsidRPr="00211425">
        <w:rPr>
          <w:sz w:val="24"/>
          <w:szCs w:val="24"/>
        </w:rPr>
        <w:t xml:space="preserve">National </w:t>
      </w:r>
      <w:r w:rsidR="00F36A8C" w:rsidRPr="00211425">
        <w:rPr>
          <w:sz w:val="24"/>
          <w:szCs w:val="24"/>
        </w:rPr>
        <w:t>Program Analyst = $50,287*</w:t>
      </w:r>
    </w:p>
    <w:p w:rsidR="00F36A8C" w:rsidRDefault="00F36A8C">
      <w:pPr>
        <w:tabs>
          <w:tab w:val="left" w:pos="9630"/>
          <w:tab w:val="left" w:pos="9810"/>
        </w:tabs>
        <w:spacing w:line="480" w:lineRule="auto"/>
        <w:ind w:left="720" w:right="792" w:hanging="720"/>
        <w:rPr>
          <w:sz w:val="24"/>
          <w:szCs w:val="24"/>
        </w:rPr>
      </w:pPr>
      <w:r w:rsidRPr="00211425">
        <w:rPr>
          <w:sz w:val="24"/>
          <w:szCs w:val="24"/>
        </w:rPr>
        <w:tab/>
        <w:t>Salary per hour ($50,287/2080) =$24.18*</w:t>
      </w:r>
    </w:p>
    <w:p w:rsidR="00143FFD" w:rsidRDefault="00143FFD" w:rsidP="00143FFD">
      <w:pPr>
        <w:tabs>
          <w:tab w:val="left" w:pos="9630"/>
          <w:tab w:val="left" w:pos="9810"/>
        </w:tabs>
        <w:spacing w:line="480" w:lineRule="auto"/>
        <w:ind w:left="720" w:right="792" w:hanging="720"/>
        <w:rPr>
          <w:sz w:val="24"/>
          <w:szCs w:val="24"/>
        </w:rPr>
      </w:pPr>
      <w:r>
        <w:rPr>
          <w:sz w:val="24"/>
          <w:szCs w:val="24"/>
        </w:rPr>
        <w:tab/>
        <w:t>Hours spent developing and reviewing the report</w:t>
      </w:r>
      <w:r w:rsidR="00075000">
        <w:rPr>
          <w:sz w:val="24"/>
          <w:szCs w:val="24"/>
        </w:rPr>
        <w:t>s</w:t>
      </w:r>
      <w:r>
        <w:rPr>
          <w:sz w:val="24"/>
          <w:szCs w:val="24"/>
        </w:rPr>
        <w:t xml:space="preserve"> = 40 </w:t>
      </w:r>
      <w:r w:rsidRPr="00664E43">
        <w:rPr>
          <w:sz w:val="24"/>
          <w:szCs w:val="24"/>
        </w:rPr>
        <w:t>total hours</w:t>
      </w:r>
      <w:r>
        <w:rPr>
          <w:sz w:val="24"/>
          <w:szCs w:val="24"/>
        </w:rPr>
        <w:t>/year</w:t>
      </w:r>
    </w:p>
    <w:p w:rsidR="003242F7" w:rsidRPr="00211425" w:rsidRDefault="003242F7" w:rsidP="003242F7">
      <w:pPr>
        <w:tabs>
          <w:tab w:val="left" w:pos="9630"/>
          <w:tab w:val="left" w:pos="9810"/>
        </w:tabs>
        <w:spacing w:line="480" w:lineRule="auto"/>
        <w:ind w:left="720" w:right="792" w:hanging="720"/>
        <w:rPr>
          <w:sz w:val="24"/>
          <w:szCs w:val="24"/>
        </w:rPr>
      </w:pPr>
      <w:r>
        <w:rPr>
          <w:sz w:val="24"/>
          <w:szCs w:val="24"/>
        </w:rPr>
        <w:tab/>
      </w:r>
      <w:r w:rsidRPr="00211425">
        <w:rPr>
          <w:sz w:val="24"/>
          <w:szCs w:val="24"/>
        </w:rPr>
        <w:t xml:space="preserve">Total hours </w:t>
      </w:r>
      <w:r w:rsidRPr="003242F7">
        <w:rPr>
          <w:sz w:val="24"/>
          <w:szCs w:val="24"/>
        </w:rPr>
        <w:t>(</w:t>
      </w:r>
      <w:r>
        <w:rPr>
          <w:sz w:val="24"/>
          <w:szCs w:val="24"/>
        </w:rPr>
        <w:t>40</w:t>
      </w:r>
      <w:r w:rsidRPr="003242F7">
        <w:rPr>
          <w:sz w:val="24"/>
          <w:szCs w:val="24"/>
        </w:rPr>
        <w:t>) X salary per hour ($</w:t>
      </w:r>
      <w:r>
        <w:rPr>
          <w:sz w:val="24"/>
          <w:szCs w:val="24"/>
        </w:rPr>
        <w:t>24.18</w:t>
      </w:r>
      <w:r w:rsidRPr="003242F7">
        <w:rPr>
          <w:sz w:val="24"/>
          <w:szCs w:val="24"/>
        </w:rPr>
        <w:t>) = $</w:t>
      </w:r>
      <w:r>
        <w:rPr>
          <w:sz w:val="24"/>
          <w:szCs w:val="24"/>
        </w:rPr>
        <w:t>967.2</w:t>
      </w:r>
      <w:r w:rsidRPr="003242F7">
        <w:rPr>
          <w:sz w:val="24"/>
          <w:szCs w:val="24"/>
        </w:rPr>
        <w:t xml:space="preserve">0 </w:t>
      </w:r>
      <w:r w:rsidRPr="00211425">
        <w:rPr>
          <w:sz w:val="24"/>
          <w:szCs w:val="24"/>
        </w:rPr>
        <w:t>total cost.</w:t>
      </w:r>
    </w:p>
    <w:p w:rsidR="00F36A8C" w:rsidRPr="00211425" w:rsidRDefault="00F36A8C">
      <w:pPr>
        <w:tabs>
          <w:tab w:val="left" w:pos="9630"/>
          <w:tab w:val="left" w:pos="9810"/>
        </w:tabs>
        <w:spacing w:line="480" w:lineRule="auto"/>
        <w:ind w:left="720" w:right="792" w:hanging="720"/>
        <w:rPr>
          <w:sz w:val="24"/>
          <w:szCs w:val="24"/>
        </w:rPr>
      </w:pPr>
      <w:r w:rsidRPr="00211425">
        <w:rPr>
          <w:sz w:val="24"/>
          <w:szCs w:val="24"/>
        </w:rPr>
        <w:tab/>
        <w:t xml:space="preserve">GS14, </w:t>
      </w:r>
      <w:r w:rsidR="00B4203B" w:rsidRPr="00211425">
        <w:rPr>
          <w:sz w:val="24"/>
          <w:szCs w:val="24"/>
        </w:rPr>
        <w:t>step 1 Branch Chief = $</w:t>
      </w:r>
      <w:r w:rsidR="00B71358" w:rsidRPr="00211425">
        <w:rPr>
          <w:sz w:val="24"/>
          <w:szCs w:val="24"/>
        </w:rPr>
        <w:t>84,697*</w:t>
      </w:r>
      <w:r w:rsidR="00C36A7C" w:rsidRPr="00211425">
        <w:rPr>
          <w:sz w:val="24"/>
          <w:szCs w:val="24"/>
        </w:rPr>
        <w:t>.</w:t>
      </w:r>
    </w:p>
    <w:p w:rsidR="00B71358" w:rsidRPr="00211425" w:rsidRDefault="00B71358" w:rsidP="00B71358">
      <w:pPr>
        <w:tabs>
          <w:tab w:val="left" w:pos="9630"/>
          <w:tab w:val="left" w:pos="9810"/>
        </w:tabs>
        <w:spacing w:line="480" w:lineRule="auto"/>
        <w:ind w:left="720" w:right="792" w:hanging="720"/>
        <w:rPr>
          <w:sz w:val="24"/>
          <w:szCs w:val="24"/>
        </w:rPr>
      </w:pPr>
      <w:r w:rsidRPr="00211425">
        <w:rPr>
          <w:sz w:val="24"/>
          <w:szCs w:val="24"/>
        </w:rPr>
        <w:tab/>
        <w:t>Salary per hour ($84,697/2080) =$40.72*</w:t>
      </w:r>
      <w:r w:rsidR="00C36A7C" w:rsidRPr="00211425">
        <w:rPr>
          <w:sz w:val="24"/>
          <w:szCs w:val="24"/>
        </w:rPr>
        <w:t>.</w:t>
      </w:r>
    </w:p>
    <w:p w:rsidR="00B71358" w:rsidRPr="00211425" w:rsidRDefault="00B71358" w:rsidP="00143FFD">
      <w:pPr>
        <w:tabs>
          <w:tab w:val="left" w:pos="9630"/>
          <w:tab w:val="left" w:pos="9810"/>
        </w:tabs>
        <w:spacing w:line="480" w:lineRule="auto"/>
        <w:ind w:left="720" w:right="792" w:hanging="720"/>
        <w:rPr>
          <w:sz w:val="24"/>
          <w:szCs w:val="24"/>
        </w:rPr>
      </w:pPr>
      <w:r w:rsidRPr="00211425">
        <w:rPr>
          <w:sz w:val="24"/>
          <w:szCs w:val="24"/>
        </w:rPr>
        <w:tab/>
        <w:t>Hours spent develo</w:t>
      </w:r>
      <w:r w:rsidR="003242F7">
        <w:rPr>
          <w:sz w:val="24"/>
          <w:szCs w:val="24"/>
        </w:rPr>
        <w:t>ping and reviewing the report =</w:t>
      </w:r>
      <w:r w:rsidR="00143FFD">
        <w:rPr>
          <w:sz w:val="24"/>
          <w:szCs w:val="24"/>
        </w:rPr>
        <w:t xml:space="preserve"> </w:t>
      </w:r>
      <w:r w:rsidR="003242F7" w:rsidRPr="003242F7">
        <w:rPr>
          <w:sz w:val="24"/>
          <w:szCs w:val="24"/>
        </w:rPr>
        <w:t>40</w:t>
      </w:r>
      <w:r w:rsidR="00415AB0">
        <w:rPr>
          <w:sz w:val="24"/>
          <w:szCs w:val="24"/>
        </w:rPr>
        <w:t xml:space="preserve"> total hours</w:t>
      </w:r>
      <w:r w:rsidRPr="00211425">
        <w:rPr>
          <w:sz w:val="24"/>
          <w:szCs w:val="24"/>
        </w:rPr>
        <w:t>/year</w:t>
      </w:r>
      <w:r w:rsidR="00C36A7C" w:rsidRPr="00211425">
        <w:rPr>
          <w:sz w:val="24"/>
          <w:szCs w:val="24"/>
        </w:rPr>
        <w:t>.</w:t>
      </w:r>
    </w:p>
    <w:p w:rsidR="00B71358" w:rsidRPr="00211425" w:rsidRDefault="00B71358" w:rsidP="00B71358">
      <w:pPr>
        <w:tabs>
          <w:tab w:val="left" w:pos="9630"/>
          <w:tab w:val="left" w:pos="9810"/>
        </w:tabs>
        <w:spacing w:line="480" w:lineRule="auto"/>
        <w:ind w:left="720" w:right="792" w:hanging="720"/>
        <w:rPr>
          <w:sz w:val="24"/>
          <w:szCs w:val="24"/>
        </w:rPr>
      </w:pPr>
      <w:r w:rsidRPr="00211425">
        <w:rPr>
          <w:sz w:val="24"/>
          <w:szCs w:val="24"/>
        </w:rPr>
        <w:tab/>
        <w:t xml:space="preserve">Total hours </w:t>
      </w:r>
      <w:r w:rsidRPr="003242F7">
        <w:rPr>
          <w:sz w:val="24"/>
          <w:szCs w:val="24"/>
        </w:rPr>
        <w:t>(</w:t>
      </w:r>
      <w:r w:rsidR="003242F7">
        <w:rPr>
          <w:sz w:val="24"/>
          <w:szCs w:val="24"/>
        </w:rPr>
        <w:t>40</w:t>
      </w:r>
      <w:r w:rsidRPr="003242F7">
        <w:rPr>
          <w:sz w:val="24"/>
          <w:szCs w:val="24"/>
        </w:rPr>
        <w:t>) X salary per hour ($</w:t>
      </w:r>
      <w:r w:rsidR="00C36A7C" w:rsidRPr="003242F7">
        <w:rPr>
          <w:sz w:val="24"/>
          <w:szCs w:val="24"/>
        </w:rPr>
        <w:t>40.72</w:t>
      </w:r>
      <w:r w:rsidRPr="003242F7">
        <w:rPr>
          <w:sz w:val="24"/>
          <w:szCs w:val="24"/>
        </w:rPr>
        <w:t>) = $</w:t>
      </w:r>
      <w:r w:rsidR="003242F7" w:rsidRPr="003242F7">
        <w:rPr>
          <w:sz w:val="24"/>
          <w:szCs w:val="24"/>
        </w:rPr>
        <w:t>1628.80</w:t>
      </w:r>
      <w:r w:rsidR="00C36A7C" w:rsidRPr="003242F7">
        <w:rPr>
          <w:sz w:val="24"/>
          <w:szCs w:val="24"/>
        </w:rPr>
        <w:t xml:space="preserve"> </w:t>
      </w:r>
      <w:r w:rsidRPr="00211425">
        <w:rPr>
          <w:sz w:val="24"/>
          <w:szCs w:val="24"/>
        </w:rPr>
        <w:t>total cost</w:t>
      </w:r>
      <w:r w:rsidR="00C36A7C" w:rsidRPr="00211425">
        <w:rPr>
          <w:sz w:val="24"/>
          <w:szCs w:val="24"/>
        </w:rPr>
        <w:t>.</w:t>
      </w:r>
    </w:p>
    <w:p w:rsidR="009F0442" w:rsidRPr="00211425" w:rsidRDefault="00F46923" w:rsidP="00B71358">
      <w:pPr>
        <w:tabs>
          <w:tab w:val="left" w:pos="9630"/>
          <w:tab w:val="left" w:pos="9810"/>
        </w:tabs>
        <w:spacing w:line="480" w:lineRule="auto"/>
        <w:ind w:left="720" w:right="792" w:hanging="720"/>
        <w:rPr>
          <w:sz w:val="24"/>
          <w:szCs w:val="24"/>
        </w:rPr>
      </w:pPr>
      <w:r w:rsidRPr="00211425">
        <w:rPr>
          <w:sz w:val="24"/>
          <w:szCs w:val="24"/>
        </w:rPr>
        <w:tab/>
      </w:r>
    </w:p>
    <w:p w:rsidR="00F46923" w:rsidRPr="00DF1FC4" w:rsidRDefault="009F0442" w:rsidP="00B71358">
      <w:pPr>
        <w:tabs>
          <w:tab w:val="left" w:pos="9630"/>
          <w:tab w:val="left" w:pos="9810"/>
        </w:tabs>
        <w:spacing w:line="480" w:lineRule="auto"/>
        <w:ind w:left="720" w:right="792" w:hanging="720"/>
        <w:rPr>
          <w:sz w:val="24"/>
          <w:szCs w:val="24"/>
        </w:rPr>
      </w:pPr>
      <w:r w:rsidRPr="00211425">
        <w:rPr>
          <w:sz w:val="24"/>
          <w:szCs w:val="24"/>
        </w:rPr>
        <w:tab/>
      </w:r>
      <w:r w:rsidR="00F46923" w:rsidRPr="00211425">
        <w:rPr>
          <w:sz w:val="24"/>
          <w:szCs w:val="24"/>
        </w:rPr>
        <w:t xml:space="preserve">Regional Program Analyst cost </w:t>
      </w:r>
      <w:r w:rsidR="00F46923" w:rsidRPr="00DF1FC4">
        <w:rPr>
          <w:sz w:val="24"/>
          <w:szCs w:val="24"/>
        </w:rPr>
        <w:t>($</w:t>
      </w:r>
      <w:r w:rsidR="00DF1FC4">
        <w:rPr>
          <w:sz w:val="24"/>
        </w:rPr>
        <w:t>13,486.50</w:t>
      </w:r>
      <w:r w:rsidR="00F46923" w:rsidRPr="00DF1FC4">
        <w:rPr>
          <w:sz w:val="24"/>
          <w:szCs w:val="24"/>
        </w:rPr>
        <w:t>) + N</w:t>
      </w:r>
      <w:r w:rsidRPr="00DF1FC4">
        <w:rPr>
          <w:sz w:val="24"/>
          <w:szCs w:val="24"/>
        </w:rPr>
        <w:t>ational Program Analyst cost ($</w:t>
      </w:r>
      <w:r w:rsidR="003242F7" w:rsidRPr="00DF1FC4">
        <w:rPr>
          <w:sz w:val="24"/>
          <w:szCs w:val="24"/>
        </w:rPr>
        <w:t>967.20</w:t>
      </w:r>
      <w:r w:rsidRPr="00DF1FC4">
        <w:rPr>
          <w:sz w:val="24"/>
          <w:szCs w:val="24"/>
        </w:rPr>
        <w:t>) + Branch Chief cost ($</w:t>
      </w:r>
      <w:r w:rsidR="00DF1FC4" w:rsidRPr="003242F7">
        <w:rPr>
          <w:sz w:val="24"/>
          <w:szCs w:val="24"/>
        </w:rPr>
        <w:t>1628.80</w:t>
      </w:r>
      <w:r w:rsidRPr="00DF1FC4">
        <w:rPr>
          <w:sz w:val="24"/>
          <w:szCs w:val="24"/>
        </w:rPr>
        <w:t>) = $</w:t>
      </w:r>
      <w:r w:rsidR="00DF1FC4">
        <w:rPr>
          <w:sz w:val="24"/>
          <w:szCs w:val="24"/>
        </w:rPr>
        <w:t xml:space="preserve">16,082.50 </w:t>
      </w:r>
      <w:r w:rsidR="001762BB" w:rsidRPr="00DF1FC4">
        <w:rPr>
          <w:sz w:val="24"/>
          <w:szCs w:val="24"/>
        </w:rPr>
        <w:t>cumulative</w:t>
      </w:r>
      <w:r w:rsidRPr="00DF1FC4">
        <w:rPr>
          <w:sz w:val="24"/>
          <w:szCs w:val="24"/>
        </w:rPr>
        <w:t xml:space="preserve"> annual </w:t>
      </w:r>
      <w:r w:rsidR="001524CF" w:rsidRPr="00DF1FC4">
        <w:rPr>
          <w:sz w:val="24"/>
          <w:szCs w:val="24"/>
        </w:rPr>
        <w:t>cost.</w:t>
      </w:r>
    </w:p>
    <w:p w:rsidR="00FC1494" w:rsidRPr="00211425" w:rsidRDefault="00066655">
      <w:pPr>
        <w:tabs>
          <w:tab w:val="left" w:pos="9630"/>
          <w:tab w:val="left" w:pos="9810"/>
        </w:tabs>
        <w:spacing w:line="480" w:lineRule="auto"/>
        <w:ind w:left="720" w:right="792" w:hanging="720"/>
        <w:rPr>
          <w:sz w:val="24"/>
          <w:szCs w:val="24"/>
        </w:rPr>
      </w:pPr>
      <w:r w:rsidRPr="00211425">
        <w:rPr>
          <w:sz w:val="24"/>
          <w:szCs w:val="24"/>
        </w:rPr>
        <w:br/>
        <w:t>*These salaries are the Annual and Hourly Rates obtained from the Office of Personnel Management Salary Table 20</w:t>
      </w:r>
      <w:r w:rsidR="00367332" w:rsidRPr="00211425">
        <w:rPr>
          <w:sz w:val="24"/>
          <w:szCs w:val="24"/>
        </w:rPr>
        <w:t>1</w:t>
      </w:r>
      <w:r w:rsidR="00382486" w:rsidRPr="00211425">
        <w:rPr>
          <w:sz w:val="24"/>
          <w:szCs w:val="24"/>
        </w:rPr>
        <w:t>1</w:t>
      </w:r>
      <w:r w:rsidRPr="00211425">
        <w:rPr>
          <w:sz w:val="24"/>
          <w:szCs w:val="24"/>
        </w:rPr>
        <w:t>-General Schedule, Effective January 20</w:t>
      </w:r>
      <w:r w:rsidR="00367332" w:rsidRPr="00211425">
        <w:rPr>
          <w:sz w:val="24"/>
          <w:szCs w:val="24"/>
        </w:rPr>
        <w:t>1</w:t>
      </w:r>
      <w:r w:rsidR="00382486" w:rsidRPr="00211425">
        <w:rPr>
          <w:sz w:val="24"/>
          <w:szCs w:val="24"/>
        </w:rPr>
        <w:t>1</w:t>
      </w:r>
      <w:r w:rsidRPr="00211425">
        <w:rPr>
          <w:sz w:val="24"/>
          <w:szCs w:val="24"/>
        </w:rPr>
        <w:t>.</w:t>
      </w:r>
    </w:p>
    <w:p w:rsidR="00071F56" w:rsidRPr="00211425" w:rsidRDefault="00071F56" w:rsidP="00A91FED">
      <w:pPr>
        <w:tabs>
          <w:tab w:val="left" w:pos="9630"/>
          <w:tab w:val="left" w:pos="9810"/>
        </w:tabs>
        <w:ind w:right="792"/>
        <w:rPr>
          <w:sz w:val="24"/>
          <w:szCs w:val="24"/>
        </w:rPr>
      </w:pP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15.</w:t>
      </w:r>
      <w:r w:rsidRPr="00211425">
        <w:rPr>
          <w:b/>
          <w:sz w:val="24"/>
          <w:szCs w:val="24"/>
        </w:rPr>
        <w:tab/>
        <w:t>Explain the reasons for any program changes or adjustments reported in Items 13 or 14 of the OMB Form 83-1.</w:t>
      </w:r>
    </w:p>
    <w:p w:rsidR="00066655" w:rsidRPr="00211425" w:rsidRDefault="00066655" w:rsidP="00A91FED">
      <w:pPr>
        <w:tabs>
          <w:tab w:val="left" w:pos="9630"/>
          <w:tab w:val="left" w:pos="9810"/>
        </w:tabs>
        <w:ind w:left="720" w:right="792" w:hanging="720"/>
        <w:rPr>
          <w:b/>
          <w:sz w:val="24"/>
          <w:szCs w:val="24"/>
        </w:rPr>
      </w:pPr>
    </w:p>
    <w:p w:rsidR="00143FFD" w:rsidRPr="00211425" w:rsidRDefault="00926ED9" w:rsidP="00143FFD">
      <w:pPr>
        <w:spacing w:line="480" w:lineRule="auto"/>
        <w:ind w:left="720" w:right="792"/>
        <w:rPr>
          <w:sz w:val="24"/>
          <w:szCs w:val="24"/>
        </w:rPr>
      </w:pPr>
      <w:r w:rsidRPr="00926ED9">
        <w:rPr>
          <w:rFonts w:ascii="CG Times" w:hAnsi="CG Times"/>
          <w:sz w:val="24"/>
          <w:szCs w:val="24"/>
        </w:rPr>
        <w:t>Burden decreased due to program changes from 5,285 to 4</w:t>
      </w:r>
      <w:r w:rsidR="00A90998">
        <w:rPr>
          <w:rFonts w:ascii="CG Times" w:hAnsi="CG Times"/>
          <w:sz w:val="24"/>
          <w:szCs w:val="24"/>
        </w:rPr>
        <w:t>,</w:t>
      </w:r>
      <w:r w:rsidRPr="00926ED9">
        <w:rPr>
          <w:rFonts w:ascii="CG Times" w:hAnsi="CG Times"/>
          <w:sz w:val="24"/>
          <w:szCs w:val="24"/>
        </w:rPr>
        <w:t xml:space="preserve">523.  The program is no longer required to report funding from the American Recovery </w:t>
      </w:r>
      <w:r w:rsidR="000C030B" w:rsidRPr="000C030B">
        <w:rPr>
          <w:rFonts w:ascii="CG Times" w:hAnsi="CG Times"/>
          <w:sz w:val="24"/>
          <w:szCs w:val="24"/>
        </w:rPr>
        <w:t>Reinvestment Act.</w:t>
      </w:r>
      <w:r>
        <w:rPr>
          <w:rFonts w:ascii="CG Times" w:hAnsi="CG Times"/>
          <w:sz w:val="24"/>
          <w:szCs w:val="24"/>
        </w:rPr>
        <w:t xml:space="preserve">  In addition, t</w:t>
      </w:r>
      <w:r>
        <w:rPr>
          <w:sz w:val="24"/>
          <w:szCs w:val="24"/>
        </w:rPr>
        <w:t>h</w:t>
      </w:r>
      <w:r w:rsidR="00143FFD" w:rsidRPr="00211425">
        <w:rPr>
          <w:sz w:val="24"/>
          <w:szCs w:val="24"/>
        </w:rPr>
        <w:t xml:space="preserve">e proposed revision will return to a prior format to allow WIC State agencies to report unliquidated NSA obligations as a cumulative year-to-date total. </w:t>
      </w:r>
    </w:p>
    <w:p w:rsidR="00FC1494" w:rsidRPr="00211425" w:rsidRDefault="00FC1494">
      <w:pPr>
        <w:tabs>
          <w:tab w:val="left" w:pos="9630"/>
          <w:tab w:val="left" w:pos="9810"/>
        </w:tabs>
        <w:spacing w:line="480" w:lineRule="auto"/>
        <w:ind w:left="720" w:right="792" w:hanging="720"/>
        <w:rPr>
          <w:b/>
          <w:sz w:val="24"/>
          <w:szCs w:val="24"/>
        </w:rPr>
      </w:pPr>
    </w:p>
    <w:p w:rsidR="00071F56" w:rsidRPr="00211425" w:rsidRDefault="00071F56" w:rsidP="00A91FED">
      <w:pPr>
        <w:tabs>
          <w:tab w:val="left" w:pos="9630"/>
          <w:tab w:val="left" w:pos="9810"/>
        </w:tabs>
        <w:ind w:right="792"/>
        <w:rPr>
          <w:sz w:val="24"/>
          <w:szCs w:val="24"/>
        </w:rPr>
      </w:pP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lastRenderedPageBreak/>
        <w:t>16.</w:t>
      </w:r>
      <w:r w:rsidRPr="00211425">
        <w:rPr>
          <w:b/>
          <w:sz w:val="24"/>
          <w:szCs w:val="24"/>
        </w:rPr>
        <w:tab/>
        <w:t>For collections of information whose results are planned to be published, outline plans for tabulation and publication.</w:t>
      </w:r>
    </w:p>
    <w:p w:rsidR="00B22122" w:rsidRPr="00211425" w:rsidRDefault="00B22122">
      <w:pPr>
        <w:tabs>
          <w:tab w:val="left" w:pos="9630"/>
          <w:tab w:val="left" w:pos="9810"/>
        </w:tabs>
        <w:spacing w:line="480" w:lineRule="auto"/>
        <w:ind w:left="720" w:right="792" w:hanging="720"/>
        <w:rPr>
          <w:b/>
          <w:sz w:val="24"/>
          <w:szCs w:val="24"/>
        </w:rPr>
      </w:pPr>
    </w:p>
    <w:p w:rsidR="00071F56" w:rsidRPr="00211425" w:rsidRDefault="00DA239D" w:rsidP="00B22122">
      <w:pPr>
        <w:tabs>
          <w:tab w:val="left" w:pos="9630"/>
          <w:tab w:val="left" w:pos="9810"/>
        </w:tabs>
        <w:spacing w:line="480" w:lineRule="auto"/>
        <w:ind w:left="720" w:right="792" w:hanging="720"/>
        <w:rPr>
          <w:b/>
          <w:sz w:val="24"/>
          <w:szCs w:val="24"/>
        </w:rPr>
      </w:pPr>
      <w:r w:rsidRPr="00211425">
        <w:rPr>
          <w:b/>
          <w:sz w:val="24"/>
          <w:szCs w:val="24"/>
        </w:rPr>
        <w:tab/>
      </w:r>
      <w:r w:rsidR="00B22122" w:rsidRPr="00211425">
        <w:rPr>
          <w:sz w:val="24"/>
          <w:szCs w:val="24"/>
        </w:rPr>
        <w:t xml:space="preserve">Each month, FNS posts the latest available monthly and annual WIC financial and participation data on the WIC website.  </w:t>
      </w:r>
      <w:hyperlink r:id="rId13" w:history="1">
        <w:r w:rsidR="00B22122" w:rsidRPr="00211425">
          <w:rPr>
            <w:rStyle w:val="Hyperlink"/>
            <w:sz w:val="24"/>
            <w:szCs w:val="24"/>
          </w:rPr>
          <w:t>http://www.fns.usda.gov/wic/</w:t>
        </w:r>
      </w:hyperlink>
      <w:r w:rsidR="00B22122" w:rsidRPr="00211425">
        <w:rPr>
          <w:sz w:val="24"/>
          <w:szCs w:val="24"/>
        </w:rPr>
        <w:t xml:space="preserve"> The data is also part of the Food and Nutrition Service’s Key Data Report sent to the Office of Management and Budget (OMB) and Congress each month. </w:t>
      </w:r>
      <w:r w:rsidR="00B22122" w:rsidRPr="00211425">
        <w:rPr>
          <w:sz w:val="24"/>
          <w:szCs w:val="24"/>
        </w:rPr>
        <w:br/>
      </w: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17.</w:t>
      </w:r>
      <w:r w:rsidRPr="00211425">
        <w:rPr>
          <w:b/>
          <w:sz w:val="24"/>
          <w:szCs w:val="24"/>
        </w:rPr>
        <w:tab/>
        <w:t>If seeking approval</w:t>
      </w:r>
      <w:r w:rsidR="00086D9C" w:rsidRPr="00211425">
        <w:rPr>
          <w:b/>
          <w:sz w:val="24"/>
          <w:szCs w:val="24"/>
        </w:rPr>
        <w:t xml:space="preserve"> t</w:t>
      </w:r>
      <w:r w:rsidRPr="00211425">
        <w:rPr>
          <w:b/>
          <w:sz w:val="24"/>
          <w:szCs w:val="24"/>
        </w:rPr>
        <w:t>o not display the expiration date for OMB approval</w:t>
      </w:r>
      <w:r w:rsidR="00664E43" w:rsidRPr="00211425">
        <w:rPr>
          <w:b/>
          <w:sz w:val="24"/>
          <w:szCs w:val="24"/>
        </w:rPr>
        <w:t xml:space="preserve"> of the information collection, explain </w:t>
      </w:r>
      <w:r w:rsidRPr="00211425">
        <w:rPr>
          <w:b/>
          <w:sz w:val="24"/>
          <w:szCs w:val="24"/>
        </w:rPr>
        <w:t>the reasons that display would be inappropriate.</w:t>
      </w:r>
    </w:p>
    <w:p w:rsidR="00066655" w:rsidRPr="00211425" w:rsidRDefault="00066655" w:rsidP="00A91FED">
      <w:pPr>
        <w:tabs>
          <w:tab w:val="left" w:pos="9630"/>
          <w:tab w:val="left" w:pos="9810"/>
        </w:tabs>
        <w:ind w:left="720" w:right="792" w:hanging="720"/>
        <w:rPr>
          <w:b/>
          <w:sz w:val="24"/>
          <w:szCs w:val="24"/>
        </w:rPr>
      </w:pPr>
    </w:p>
    <w:p w:rsidR="00DF1FC4" w:rsidRPr="009A3085" w:rsidRDefault="00066655" w:rsidP="00DF1FC4">
      <w:pPr>
        <w:tabs>
          <w:tab w:val="left" w:pos="9630"/>
          <w:tab w:val="left" w:pos="9810"/>
        </w:tabs>
        <w:ind w:left="720" w:right="792" w:hanging="720"/>
        <w:rPr>
          <w:sz w:val="24"/>
          <w:szCs w:val="24"/>
        </w:rPr>
      </w:pPr>
      <w:r w:rsidRPr="00211425">
        <w:rPr>
          <w:b/>
          <w:sz w:val="24"/>
          <w:szCs w:val="24"/>
        </w:rPr>
        <w:tab/>
      </w:r>
      <w:r w:rsidR="00DF1FC4">
        <w:rPr>
          <w:rFonts w:ascii="CG Times" w:hAnsi="CG Times"/>
          <w:sz w:val="24"/>
        </w:rPr>
        <w:t>The expiration date will be displayed.</w:t>
      </w:r>
    </w:p>
    <w:p w:rsidR="00071F56" w:rsidRDefault="00071F56" w:rsidP="000A2745">
      <w:pPr>
        <w:tabs>
          <w:tab w:val="left" w:pos="9630"/>
          <w:tab w:val="left" w:pos="9810"/>
        </w:tabs>
        <w:spacing w:line="480" w:lineRule="auto"/>
        <w:ind w:left="720" w:right="792" w:hanging="720"/>
        <w:rPr>
          <w:b/>
          <w:sz w:val="24"/>
          <w:szCs w:val="24"/>
        </w:rPr>
      </w:pPr>
    </w:p>
    <w:p w:rsidR="00DF1FC4" w:rsidRPr="00211425" w:rsidRDefault="00DF1FC4" w:rsidP="000A2745">
      <w:pPr>
        <w:tabs>
          <w:tab w:val="left" w:pos="9630"/>
          <w:tab w:val="left" w:pos="9810"/>
        </w:tabs>
        <w:spacing w:line="480" w:lineRule="auto"/>
        <w:ind w:left="720" w:right="792" w:hanging="720"/>
        <w:rPr>
          <w:b/>
          <w:sz w:val="24"/>
          <w:szCs w:val="24"/>
        </w:rPr>
      </w:pPr>
    </w:p>
    <w:p w:rsidR="00FC1494" w:rsidRPr="00211425" w:rsidRDefault="00071F56">
      <w:pPr>
        <w:tabs>
          <w:tab w:val="left" w:pos="9630"/>
          <w:tab w:val="left" w:pos="9810"/>
        </w:tabs>
        <w:spacing w:line="480" w:lineRule="auto"/>
        <w:ind w:left="720" w:right="792" w:hanging="720"/>
        <w:rPr>
          <w:b/>
          <w:sz w:val="24"/>
          <w:szCs w:val="24"/>
        </w:rPr>
      </w:pPr>
      <w:r w:rsidRPr="00211425">
        <w:rPr>
          <w:b/>
          <w:sz w:val="24"/>
          <w:szCs w:val="24"/>
        </w:rPr>
        <w:t>18.</w:t>
      </w:r>
      <w:r w:rsidRPr="00211425">
        <w:rPr>
          <w:b/>
          <w:sz w:val="24"/>
          <w:szCs w:val="24"/>
        </w:rPr>
        <w:tab/>
        <w:t>Explain each exception to the certification statement identified in Item 19 "Certification for Paperwork Reduction Act."</w:t>
      </w:r>
    </w:p>
    <w:p w:rsidR="00661FA9" w:rsidRPr="00211425" w:rsidRDefault="00661FA9" w:rsidP="00A91FED">
      <w:pPr>
        <w:tabs>
          <w:tab w:val="left" w:pos="9630"/>
          <w:tab w:val="left" w:pos="9810"/>
        </w:tabs>
        <w:ind w:left="720" w:right="792" w:hanging="720"/>
        <w:rPr>
          <w:b/>
          <w:sz w:val="24"/>
          <w:szCs w:val="24"/>
        </w:rPr>
      </w:pPr>
    </w:p>
    <w:p w:rsidR="00661FA9" w:rsidRPr="00211425" w:rsidRDefault="00661FA9" w:rsidP="00A91FED">
      <w:pPr>
        <w:tabs>
          <w:tab w:val="left" w:pos="-720"/>
          <w:tab w:val="left" w:pos="9630"/>
          <w:tab w:val="left" w:pos="9810"/>
        </w:tabs>
        <w:suppressAutoHyphens/>
        <w:overflowPunct w:val="0"/>
        <w:autoSpaceDE w:val="0"/>
        <w:autoSpaceDN w:val="0"/>
        <w:adjustRightInd w:val="0"/>
        <w:ind w:left="720" w:right="792"/>
        <w:textAlignment w:val="baseline"/>
        <w:rPr>
          <w:sz w:val="24"/>
          <w:szCs w:val="24"/>
        </w:rPr>
      </w:pPr>
      <w:r w:rsidRPr="00211425">
        <w:rPr>
          <w:rFonts w:ascii="CG Times" w:hAnsi="CG Times"/>
          <w:sz w:val="24"/>
          <w:szCs w:val="24"/>
        </w:rPr>
        <w:t>There are no exceptions to the certification statement on OMB Form 83-1.</w:t>
      </w:r>
    </w:p>
    <w:sectPr w:rsidR="00661FA9" w:rsidRPr="00211425" w:rsidSect="008E11A7">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D8A" w:rsidRDefault="00B43D8A">
      <w:r>
        <w:separator/>
      </w:r>
    </w:p>
  </w:endnote>
  <w:endnote w:type="continuationSeparator" w:id="0">
    <w:p w:rsidR="00B43D8A" w:rsidRDefault="00B43D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D8A" w:rsidRDefault="00B43D8A">
      <w:r>
        <w:separator/>
      </w:r>
    </w:p>
  </w:footnote>
  <w:footnote w:type="continuationSeparator" w:id="0">
    <w:p w:rsidR="00B43D8A" w:rsidRDefault="00B43D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847CA0"/>
    <w:multiLevelType w:val="multilevel"/>
    <w:tmpl w:val="B9E40FC8"/>
    <w:lvl w:ilvl="0">
      <w:start w:val="1"/>
      <w:numFmt w:val="decimal"/>
      <w:lvlText w:val="%1."/>
      <w:lvlJc w:val="left"/>
      <w:pPr>
        <w:tabs>
          <w:tab w:val="num" w:pos="0"/>
        </w:tabs>
        <w:ind w:left="720" w:hanging="720"/>
      </w:pPr>
      <w:rPr>
        <w:rFonts w:ascii="Times New Roman" w:hAnsi="Times New Roman" w:hint="default"/>
        <w:b/>
        <w:i w:val="0"/>
        <w:color w:val="auto"/>
        <w:sz w:val="24"/>
      </w:rPr>
    </w:lvl>
    <w:lvl w:ilvl="1">
      <w:start w:val="1"/>
      <w:numFmt w:val="lowerLetter"/>
      <w:lvlText w:val="(%2)"/>
      <w:lvlJc w:val="left"/>
      <w:pPr>
        <w:tabs>
          <w:tab w:val="num" w:pos="-90"/>
        </w:tabs>
        <w:ind w:left="1350" w:hanging="720"/>
      </w:pPr>
      <w:rPr>
        <w:rFonts w:ascii="Times New Roman" w:hAnsi="Times New Roman" w:hint="default"/>
        <w:b/>
        <w:i w:val="0"/>
        <w:color w:val="auto"/>
        <w:sz w:val="24"/>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2">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B5336C1"/>
    <w:multiLevelType w:val="singleLevel"/>
    <w:tmpl w:val="9B98B6F6"/>
    <w:lvl w:ilvl="0">
      <w:start w:val="1"/>
      <w:numFmt w:val="none"/>
      <w:lvlText w:val="3."/>
      <w:lvlJc w:val="left"/>
      <w:pPr>
        <w:tabs>
          <w:tab w:val="num" w:pos="360"/>
        </w:tabs>
        <w:ind w:left="360" w:hanging="360"/>
      </w:pPr>
    </w:lvl>
  </w:abstractNum>
  <w:abstractNum w:abstractNumId="15">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6">
    <w:nsid w:val="64C3493C"/>
    <w:multiLevelType w:val="multilevel"/>
    <w:tmpl w:val="0868C872"/>
    <w:lvl w:ilvl="0">
      <w:start w:val="1"/>
      <w:numFmt w:val="decimal"/>
      <w:lvlText w:val="%1."/>
      <w:lvlJc w:val="left"/>
      <w:pPr>
        <w:tabs>
          <w:tab w:val="num" w:pos="720"/>
        </w:tabs>
        <w:ind w:left="720" w:hanging="72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D5C3E08"/>
    <w:multiLevelType w:val="singleLevel"/>
    <w:tmpl w:val="04090001"/>
    <w:lvl w:ilvl="0">
      <w:start w:val="1"/>
      <w:numFmt w:val="bullet"/>
      <w:lvlText w:val=""/>
      <w:lvlJc w:val="left"/>
      <w:pPr>
        <w:tabs>
          <w:tab w:val="num" w:pos="1440"/>
        </w:tabs>
        <w:ind w:left="1440" w:hanging="360"/>
      </w:pPr>
      <w:rPr>
        <w:rFonts w:ascii="Symbol" w:hAnsi="Symbol"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3C8099C"/>
    <w:multiLevelType w:val="multilevel"/>
    <w:tmpl w:val="122C77A2"/>
    <w:lvl w:ilvl="0">
      <w:start w:val="1"/>
      <w:numFmt w:val="decimal"/>
      <w:lvlText w:val="%1."/>
      <w:lvlJc w:val="left"/>
      <w:pPr>
        <w:tabs>
          <w:tab w:val="num" w:pos="0"/>
        </w:tabs>
        <w:ind w:left="720" w:hanging="720"/>
      </w:pPr>
      <w:rPr>
        <w:rFonts w:ascii="Times New Roman" w:hAnsi="Times New Roman" w:hint="default"/>
        <w:b/>
        <w:i w:val="0"/>
        <w:color w:val="auto"/>
        <w:sz w:val="24"/>
      </w:rPr>
    </w:lvl>
    <w:lvl w:ilvl="1">
      <w:start w:val="1"/>
      <w:numFmt w:val="lowerLetter"/>
      <w:lvlText w:val="(%2)"/>
      <w:lvlJc w:val="left"/>
      <w:pPr>
        <w:tabs>
          <w:tab w:val="num" w:pos="0"/>
        </w:tabs>
        <w:ind w:left="1440" w:hanging="720"/>
      </w:pPr>
      <w:rPr>
        <w:rFonts w:ascii="Times New Roman" w:hAnsi="Times New Roman" w:hint="default"/>
        <w:b/>
        <w:i w:val="0"/>
        <w:color w:val="auto"/>
        <w:sz w:val="24"/>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8"/>
  </w:num>
  <w:num w:numId="3">
    <w:abstractNumId w:val="4"/>
  </w:num>
  <w:num w:numId="4">
    <w:abstractNumId w:val="23"/>
  </w:num>
  <w:num w:numId="5">
    <w:abstractNumId w:val="21"/>
  </w:num>
  <w:num w:numId="6">
    <w:abstractNumId w:val="10"/>
  </w:num>
  <w:num w:numId="7">
    <w:abstractNumId w:val="3"/>
  </w:num>
  <w:num w:numId="8">
    <w:abstractNumId w:val="9"/>
  </w:num>
  <w:num w:numId="9">
    <w:abstractNumId w:val="0"/>
  </w:num>
  <w:num w:numId="10">
    <w:abstractNumId w:val="13"/>
  </w:num>
  <w:num w:numId="11">
    <w:abstractNumId w:val="1"/>
  </w:num>
  <w:num w:numId="12">
    <w:abstractNumId w:val="17"/>
  </w:num>
  <w:num w:numId="13">
    <w:abstractNumId w:val="20"/>
  </w:num>
  <w:num w:numId="14">
    <w:abstractNumId w:val="18"/>
  </w:num>
  <w:num w:numId="15">
    <w:abstractNumId w:val="5"/>
  </w:num>
  <w:num w:numId="16">
    <w:abstractNumId w:val="2"/>
  </w:num>
  <w:num w:numId="17">
    <w:abstractNumId w:val="19"/>
  </w:num>
  <w:num w:numId="18">
    <w:abstractNumId w:val="12"/>
  </w:num>
  <w:num w:numId="19">
    <w:abstractNumId w:val="14"/>
  </w:num>
  <w:num w:numId="20">
    <w:abstractNumId w:val="6"/>
  </w:num>
  <w:num w:numId="21">
    <w:abstractNumId w:val="11"/>
  </w:num>
  <w:num w:numId="22">
    <w:abstractNumId w:val="22"/>
  </w:num>
  <w:num w:numId="23">
    <w:abstractNumId w:val="7"/>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431A09"/>
    <w:rsid w:val="00003E0B"/>
    <w:rsid w:val="00013712"/>
    <w:rsid w:val="00014F4E"/>
    <w:rsid w:val="00016776"/>
    <w:rsid w:val="00043253"/>
    <w:rsid w:val="00066655"/>
    <w:rsid w:val="00071F56"/>
    <w:rsid w:val="00075000"/>
    <w:rsid w:val="00084E6C"/>
    <w:rsid w:val="00086D9C"/>
    <w:rsid w:val="00095007"/>
    <w:rsid w:val="000A2745"/>
    <w:rsid w:val="000C030B"/>
    <w:rsid w:val="000D29CC"/>
    <w:rsid w:val="000F3B93"/>
    <w:rsid w:val="000F5840"/>
    <w:rsid w:val="000F5B9F"/>
    <w:rsid w:val="00116E59"/>
    <w:rsid w:val="00127391"/>
    <w:rsid w:val="00141BF5"/>
    <w:rsid w:val="00143FFD"/>
    <w:rsid w:val="001524CF"/>
    <w:rsid w:val="0017044C"/>
    <w:rsid w:val="001762BB"/>
    <w:rsid w:val="00182AC0"/>
    <w:rsid w:val="001834E5"/>
    <w:rsid w:val="00197333"/>
    <w:rsid w:val="001C626D"/>
    <w:rsid w:val="001E0D7C"/>
    <w:rsid w:val="001E6B91"/>
    <w:rsid w:val="001F0AD1"/>
    <w:rsid w:val="00211425"/>
    <w:rsid w:val="00247428"/>
    <w:rsid w:val="00253889"/>
    <w:rsid w:val="00254A6B"/>
    <w:rsid w:val="00257AA8"/>
    <w:rsid w:val="00264960"/>
    <w:rsid w:val="002741FE"/>
    <w:rsid w:val="002B0AA1"/>
    <w:rsid w:val="002B620B"/>
    <w:rsid w:val="00317CAE"/>
    <w:rsid w:val="00323F2D"/>
    <w:rsid w:val="003242F7"/>
    <w:rsid w:val="00337BF5"/>
    <w:rsid w:val="00345651"/>
    <w:rsid w:val="00367332"/>
    <w:rsid w:val="00381774"/>
    <w:rsid w:val="00382486"/>
    <w:rsid w:val="003826F8"/>
    <w:rsid w:val="003A619D"/>
    <w:rsid w:val="003B33B6"/>
    <w:rsid w:val="003B49AF"/>
    <w:rsid w:val="003C5F19"/>
    <w:rsid w:val="003D4BD1"/>
    <w:rsid w:val="00412C90"/>
    <w:rsid w:val="00415AB0"/>
    <w:rsid w:val="00431A09"/>
    <w:rsid w:val="004326C8"/>
    <w:rsid w:val="004471F3"/>
    <w:rsid w:val="00464E58"/>
    <w:rsid w:val="00480D7B"/>
    <w:rsid w:val="00482E9A"/>
    <w:rsid w:val="004D69A1"/>
    <w:rsid w:val="00504CDB"/>
    <w:rsid w:val="005123B9"/>
    <w:rsid w:val="0052676A"/>
    <w:rsid w:val="005567DC"/>
    <w:rsid w:val="00575B3E"/>
    <w:rsid w:val="005816D8"/>
    <w:rsid w:val="005C0642"/>
    <w:rsid w:val="005C28DD"/>
    <w:rsid w:val="005E413E"/>
    <w:rsid w:val="00600297"/>
    <w:rsid w:val="00622AE3"/>
    <w:rsid w:val="00641F28"/>
    <w:rsid w:val="006438C6"/>
    <w:rsid w:val="00653A43"/>
    <w:rsid w:val="00661FA9"/>
    <w:rsid w:val="00664E43"/>
    <w:rsid w:val="00674F32"/>
    <w:rsid w:val="006A4FCC"/>
    <w:rsid w:val="006E3023"/>
    <w:rsid w:val="006E71C3"/>
    <w:rsid w:val="006E78B9"/>
    <w:rsid w:val="006F1BD2"/>
    <w:rsid w:val="00706B9F"/>
    <w:rsid w:val="00711608"/>
    <w:rsid w:val="00722985"/>
    <w:rsid w:val="007254EA"/>
    <w:rsid w:val="0074283D"/>
    <w:rsid w:val="00750E27"/>
    <w:rsid w:val="00792199"/>
    <w:rsid w:val="007F1D45"/>
    <w:rsid w:val="007F1DF1"/>
    <w:rsid w:val="00803CE3"/>
    <w:rsid w:val="00805C19"/>
    <w:rsid w:val="00857861"/>
    <w:rsid w:val="00874E8C"/>
    <w:rsid w:val="008E11A7"/>
    <w:rsid w:val="008F35BA"/>
    <w:rsid w:val="008F468F"/>
    <w:rsid w:val="009118AF"/>
    <w:rsid w:val="00925299"/>
    <w:rsid w:val="00926525"/>
    <w:rsid w:val="00926ED9"/>
    <w:rsid w:val="0092746F"/>
    <w:rsid w:val="009450EF"/>
    <w:rsid w:val="009672C2"/>
    <w:rsid w:val="009778BF"/>
    <w:rsid w:val="00985C20"/>
    <w:rsid w:val="009974F5"/>
    <w:rsid w:val="00997530"/>
    <w:rsid w:val="009A3085"/>
    <w:rsid w:val="009A423C"/>
    <w:rsid w:val="009A45CB"/>
    <w:rsid w:val="009A7F17"/>
    <w:rsid w:val="009F0442"/>
    <w:rsid w:val="009F11E4"/>
    <w:rsid w:val="00A2536F"/>
    <w:rsid w:val="00A616F9"/>
    <w:rsid w:val="00A90998"/>
    <w:rsid w:val="00A91FED"/>
    <w:rsid w:val="00AC005D"/>
    <w:rsid w:val="00AC4AD8"/>
    <w:rsid w:val="00AD1D62"/>
    <w:rsid w:val="00AD7952"/>
    <w:rsid w:val="00AE7449"/>
    <w:rsid w:val="00B04589"/>
    <w:rsid w:val="00B0605F"/>
    <w:rsid w:val="00B22122"/>
    <w:rsid w:val="00B253B3"/>
    <w:rsid w:val="00B27BD9"/>
    <w:rsid w:val="00B3191B"/>
    <w:rsid w:val="00B4203B"/>
    <w:rsid w:val="00B43D8A"/>
    <w:rsid w:val="00B449D1"/>
    <w:rsid w:val="00B56C8C"/>
    <w:rsid w:val="00B619C7"/>
    <w:rsid w:val="00B62FE5"/>
    <w:rsid w:val="00B657CE"/>
    <w:rsid w:val="00B71358"/>
    <w:rsid w:val="00B7647F"/>
    <w:rsid w:val="00BA0502"/>
    <w:rsid w:val="00BA14AC"/>
    <w:rsid w:val="00BE39EF"/>
    <w:rsid w:val="00BF2D69"/>
    <w:rsid w:val="00C20BAC"/>
    <w:rsid w:val="00C3230E"/>
    <w:rsid w:val="00C36A7C"/>
    <w:rsid w:val="00C47D33"/>
    <w:rsid w:val="00C630F0"/>
    <w:rsid w:val="00C71257"/>
    <w:rsid w:val="00C73BD1"/>
    <w:rsid w:val="00C8239C"/>
    <w:rsid w:val="00C9527F"/>
    <w:rsid w:val="00CC02D0"/>
    <w:rsid w:val="00CD17C0"/>
    <w:rsid w:val="00CD1ECC"/>
    <w:rsid w:val="00CE4B2F"/>
    <w:rsid w:val="00CE7639"/>
    <w:rsid w:val="00CF0CFF"/>
    <w:rsid w:val="00D04581"/>
    <w:rsid w:val="00D061C3"/>
    <w:rsid w:val="00D06346"/>
    <w:rsid w:val="00D11C05"/>
    <w:rsid w:val="00D24C2A"/>
    <w:rsid w:val="00DA189A"/>
    <w:rsid w:val="00DA239D"/>
    <w:rsid w:val="00DC23C5"/>
    <w:rsid w:val="00DC6092"/>
    <w:rsid w:val="00DD175A"/>
    <w:rsid w:val="00DD53A8"/>
    <w:rsid w:val="00DF1FC4"/>
    <w:rsid w:val="00E23E8E"/>
    <w:rsid w:val="00E31853"/>
    <w:rsid w:val="00E465D2"/>
    <w:rsid w:val="00E76DDD"/>
    <w:rsid w:val="00E8337D"/>
    <w:rsid w:val="00E9362B"/>
    <w:rsid w:val="00E96261"/>
    <w:rsid w:val="00EA4C9C"/>
    <w:rsid w:val="00EC3E9C"/>
    <w:rsid w:val="00ED116E"/>
    <w:rsid w:val="00ED3EA2"/>
    <w:rsid w:val="00EE46FB"/>
    <w:rsid w:val="00F27E39"/>
    <w:rsid w:val="00F27F8B"/>
    <w:rsid w:val="00F36A8C"/>
    <w:rsid w:val="00F46923"/>
    <w:rsid w:val="00F563B9"/>
    <w:rsid w:val="00F572D8"/>
    <w:rsid w:val="00F66DA6"/>
    <w:rsid w:val="00F81EF4"/>
    <w:rsid w:val="00F8552F"/>
    <w:rsid w:val="00FA7547"/>
    <w:rsid w:val="00FC1494"/>
    <w:rsid w:val="00FD4AF7"/>
    <w:rsid w:val="00FE7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71F3"/>
    <w:pPr>
      <w:tabs>
        <w:tab w:val="left" w:pos="720"/>
      </w:tabs>
      <w:spacing w:after="80"/>
      <w:ind w:left="720" w:hanging="720"/>
    </w:pPr>
    <w:rPr>
      <w:b/>
      <w:sz w:val="24"/>
    </w:rPr>
  </w:style>
  <w:style w:type="paragraph" w:styleId="BodyTextIndent2">
    <w:name w:val="Body Text Indent 2"/>
    <w:basedOn w:val="Normal"/>
    <w:rsid w:val="004471F3"/>
    <w:pPr>
      <w:ind w:left="720"/>
      <w:jc w:val="both"/>
    </w:pPr>
    <w:rPr>
      <w:b/>
      <w:sz w:val="24"/>
    </w:rPr>
  </w:style>
  <w:style w:type="paragraph" w:styleId="BodyTextIndent3">
    <w:name w:val="Body Text Indent 3"/>
    <w:basedOn w:val="Normal"/>
    <w:rsid w:val="004471F3"/>
    <w:pPr>
      <w:tabs>
        <w:tab w:val="left" w:pos="0"/>
        <w:tab w:val="left" w:pos="288"/>
        <w:tab w:val="left" w:pos="475"/>
        <w:tab w:val="left" w:pos="662"/>
      </w:tabs>
      <w:spacing w:after="80"/>
      <w:ind w:left="288" w:hanging="288"/>
    </w:pPr>
    <w:rPr>
      <w:b/>
      <w:sz w:val="24"/>
    </w:rPr>
  </w:style>
  <w:style w:type="paragraph" w:styleId="BodyText">
    <w:name w:val="Body Text"/>
    <w:basedOn w:val="Normal"/>
    <w:rsid w:val="004471F3"/>
    <w:pPr>
      <w:spacing w:after="80"/>
    </w:pPr>
    <w:rPr>
      <w:b/>
      <w:sz w:val="24"/>
    </w:rPr>
  </w:style>
  <w:style w:type="character" w:styleId="PageNumber">
    <w:name w:val="page number"/>
    <w:basedOn w:val="DefaultParagraphFont"/>
    <w:rsid w:val="00CE4B2F"/>
  </w:style>
  <w:style w:type="paragraph" w:styleId="ListParagraph">
    <w:name w:val="List Paragraph"/>
    <w:basedOn w:val="Normal"/>
    <w:uiPriority w:val="34"/>
    <w:qFormat/>
    <w:rsid w:val="00CE4B2F"/>
    <w:pPr>
      <w:ind w:left="720"/>
      <w:contextualSpacing/>
    </w:pPr>
  </w:style>
  <w:style w:type="character" w:styleId="CommentReference">
    <w:name w:val="annotation reference"/>
    <w:basedOn w:val="DefaultParagraphFont"/>
    <w:rsid w:val="00257AA8"/>
    <w:rPr>
      <w:sz w:val="16"/>
      <w:szCs w:val="16"/>
    </w:rPr>
  </w:style>
  <w:style w:type="paragraph" w:styleId="CommentText">
    <w:name w:val="annotation text"/>
    <w:basedOn w:val="Normal"/>
    <w:link w:val="CommentTextChar"/>
    <w:rsid w:val="00257AA8"/>
  </w:style>
  <w:style w:type="character" w:customStyle="1" w:styleId="CommentTextChar">
    <w:name w:val="Comment Text Char"/>
    <w:basedOn w:val="DefaultParagraphFont"/>
    <w:link w:val="CommentText"/>
    <w:rsid w:val="00257AA8"/>
  </w:style>
  <w:style w:type="paragraph" w:styleId="CommentSubject">
    <w:name w:val="annotation subject"/>
    <w:basedOn w:val="CommentText"/>
    <w:next w:val="CommentText"/>
    <w:link w:val="CommentSubjectChar"/>
    <w:rsid w:val="00257AA8"/>
    <w:rPr>
      <w:b/>
      <w:bCs/>
    </w:rPr>
  </w:style>
  <w:style w:type="character" w:customStyle="1" w:styleId="CommentSubjectChar">
    <w:name w:val="Comment Subject Char"/>
    <w:basedOn w:val="CommentTextChar"/>
    <w:link w:val="CommentSubject"/>
    <w:rsid w:val="00257AA8"/>
    <w:rPr>
      <w:b/>
      <w:bCs/>
    </w:rPr>
  </w:style>
  <w:style w:type="paragraph" w:styleId="BalloonText">
    <w:name w:val="Balloon Text"/>
    <w:basedOn w:val="Normal"/>
    <w:link w:val="BalloonTextChar"/>
    <w:rsid w:val="00257AA8"/>
    <w:rPr>
      <w:rFonts w:ascii="Tahoma" w:hAnsi="Tahoma" w:cs="Tahoma"/>
      <w:sz w:val="16"/>
      <w:szCs w:val="16"/>
    </w:rPr>
  </w:style>
  <w:style w:type="character" w:customStyle="1" w:styleId="BalloonTextChar">
    <w:name w:val="Balloon Text Char"/>
    <w:basedOn w:val="DefaultParagraphFont"/>
    <w:link w:val="BalloonText"/>
    <w:rsid w:val="00257AA8"/>
    <w:rPr>
      <w:rFonts w:ascii="Tahoma" w:hAnsi="Tahoma" w:cs="Tahoma"/>
      <w:sz w:val="16"/>
      <w:szCs w:val="16"/>
    </w:rPr>
  </w:style>
  <w:style w:type="character" w:styleId="Hyperlink">
    <w:name w:val="Hyperlink"/>
    <w:basedOn w:val="DefaultParagraphFont"/>
    <w:rsid w:val="00014F4E"/>
    <w:rPr>
      <w:color w:val="0000FF" w:themeColor="hyperlink"/>
      <w:u w:val="single"/>
    </w:rPr>
  </w:style>
  <w:style w:type="character" w:styleId="FollowedHyperlink">
    <w:name w:val="FollowedHyperlink"/>
    <w:basedOn w:val="DefaultParagraphFont"/>
    <w:rsid w:val="00014F4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ns.usda.gov/wi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prs.fns.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950A31485DDE214898E933A538E4C5A3" ma:contentTypeVersion="3" ma:contentTypeDescription="Create a new document." ma:contentTypeScope="" ma:versionID="4bdf253b781e6d75500fe946867915a1">
  <xsd:schema xmlns:xsd="http://www.w3.org/2001/XMLSchema" xmlns:p="http://schemas.microsoft.com/office/2006/metadata/properties" xmlns:ns1="http://schemas.microsoft.com/sharepoint/v3" targetNamespace="http://schemas.microsoft.com/office/2006/metadata/properties" ma:root="true" ma:fieldsID="1632d6b3f1ee7940332c8174cbbf079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BE76E-A58B-44D4-8A70-10A66101631A}">
  <ds:schemaRefs>
    <ds:schemaRef ds:uri="http://schemas.microsoft.com/office/2006/metadata/customXsn"/>
  </ds:schemaRefs>
</ds:datastoreItem>
</file>

<file path=customXml/itemProps2.xml><?xml version="1.0" encoding="utf-8"?>
<ds:datastoreItem xmlns:ds="http://schemas.openxmlformats.org/officeDocument/2006/customXml" ds:itemID="{B26C8100-2250-456A-80E3-F0419F8F3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A36C21-C0A8-4CEC-83B7-2EE16041494E}">
  <ds:schemaRefs>
    <ds:schemaRef ds:uri="http://schemas.microsoft.com/sharepoint/v3/contenttype/forms"/>
  </ds:schemaRefs>
</ds:datastoreItem>
</file>

<file path=customXml/itemProps4.xml><?xml version="1.0" encoding="utf-8"?>
<ds:datastoreItem xmlns:ds="http://schemas.openxmlformats.org/officeDocument/2006/customXml" ds:itemID="{7D7D6557-F2A3-4B5F-B202-04D2908E130C}">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ACD75DCE-81C6-4DA4-9844-371E2094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2819</Words>
  <Characters>15733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18515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rgreene</cp:lastModifiedBy>
  <cp:revision>2</cp:revision>
  <cp:lastPrinted>2011-09-12T15:43:00Z</cp:lastPrinted>
  <dcterms:created xsi:type="dcterms:W3CDTF">2011-09-28T18:36:00Z</dcterms:created>
  <dcterms:modified xsi:type="dcterms:W3CDTF">2011-09-28T18:36:00Z</dcterms:modified>
</cp:coreProperties>
</file>