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SUPPORTING STATEMENT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2008 Panel of the Survey of Income &amp; Program Participation,</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 xml:space="preserve">Wave </w:t>
      </w:r>
      <w:r w:rsidR="002D35A7">
        <w:rPr>
          <w:rFonts w:ascii="Helv" w:hAnsi="Helv" w:cs="Helv"/>
          <w:b/>
          <w:bCs/>
          <w:sz w:val="20"/>
          <w:szCs w:val="20"/>
        </w:rPr>
        <w:t>10</w:t>
      </w:r>
      <w:r>
        <w:rPr>
          <w:rFonts w:ascii="Helv" w:hAnsi="Helv" w:cs="Helv"/>
          <w:b/>
          <w:bCs/>
          <w:sz w:val="20"/>
          <w:szCs w:val="20"/>
        </w:rPr>
        <w:t xml:space="preserve"> Topical Modules</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OMB Control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Wave </w:t>
      </w:r>
      <w:r w:rsidR="002D35A7">
        <w:rPr>
          <w:rFonts w:ascii="Times New Roman" w:hAnsi="Times New Roman"/>
        </w:rPr>
        <w:t xml:space="preserve">10 </w:t>
      </w:r>
      <w:r>
        <w:rPr>
          <w:rFonts w:ascii="Times New Roman" w:hAnsi="Times New Roman"/>
        </w:rPr>
        <w:t>interview for the 2008 Panel of the Survey of Income and Program Participation (SIPP).  The core SIPP and re</w:t>
      </w:r>
      <w:r w:rsidR="002D35A7">
        <w:rPr>
          <w:rFonts w:ascii="Times New Roman" w:hAnsi="Times New Roman"/>
        </w:rPr>
        <w:t>-</w:t>
      </w:r>
      <w:r>
        <w:rPr>
          <w:rFonts w:ascii="Times New Roman" w:hAnsi="Times New Roman"/>
        </w:rPr>
        <w:t>interview instruments were cleared under Authorization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represents a source of information for a wide variety of separate topics to be integrated to form a single and unified database in order to examine the interaction between tax, transfer, and other government and private policies.  Government domestic policy formulators depend heavily upon the SIPP information to determine the effect of tax and transfer programs on the distribution of income received directly as money or indirectly as in-kind benefits.  They also need improved and expanded data on the income and general economic and financial situation of the U.S. population.  The SIPP has provided these kinds of data on a continuing basis since 1983, by measuring levels of economic</w:t>
      </w:r>
      <w:r w:rsidR="002D35A7">
        <w:rPr>
          <w:rFonts w:ascii="Times New Roman" w:hAnsi="Times New Roman"/>
        </w:rPr>
        <w:t xml:space="preserve"> </w:t>
      </w:r>
      <w:r>
        <w:rPr>
          <w:rFonts w:ascii="Times New Roman" w:hAnsi="Times New Roman"/>
        </w:rPr>
        <w:t xml:space="preserve">well-being and changes in these levels over time.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survey is molded around a central "core" of labor force and income questions that remain fixed throughout the life of a panel.  The core is supplemented with questions designed to answer specific needs such as estimating eligibility for government programs, examining pension and health care coverage, and analyzing individual net worth.  These supplemental questions are included with the core and are referred to as "topical modules."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6177"/>
        <w:rPr>
          <w:rFonts w:ascii="Times New Roman" w:hAnsi="Times New Roman"/>
        </w:rPr>
      </w:pPr>
    </w:p>
    <w:p w:rsidR="000C691B" w:rsidRDefault="000C691B" w:rsidP="006956CB">
      <w:pPr>
        <w:ind w:left="950"/>
        <w:rPr>
          <w:rFonts w:ascii="Times New Roman" w:hAnsi="Times New Roman"/>
        </w:rPr>
      </w:pPr>
      <w:r>
        <w:rPr>
          <w:rFonts w:ascii="Times New Roman" w:hAnsi="Times New Roman"/>
        </w:rPr>
        <w:t xml:space="preserve">The topical modules for the 2008 Panel Wave </w:t>
      </w:r>
      <w:r w:rsidR="002D35A7">
        <w:rPr>
          <w:rFonts w:ascii="Times New Roman" w:hAnsi="Times New Roman"/>
        </w:rPr>
        <w:t>10</w:t>
      </w:r>
      <w:r>
        <w:rPr>
          <w:rFonts w:ascii="Times New Roman" w:hAnsi="Times New Roman"/>
        </w:rPr>
        <w:t xml:space="preserve"> are as follows: </w:t>
      </w:r>
      <w:r w:rsidR="00CA170D" w:rsidRPr="001F50CE">
        <w:rPr>
          <w:rFonts w:ascii="Times New Roman" w:hAnsi="Times New Roman"/>
          <w:lang w:val="en-CA"/>
        </w:rPr>
        <w:fldChar w:fldCharType="begin"/>
      </w:r>
      <w:r w:rsidR="002D35A7" w:rsidRPr="001F50CE">
        <w:rPr>
          <w:rFonts w:ascii="Times New Roman" w:hAnsi="Times New Roman"/>
          <w:lang w:val="en-CA"/>
        </w:rPr>
        <w:instrText xml:space="preserve"> SEQ CHAPTER \h \r 1</w:instrText>
      </w:r>
      <w:r w:rsidR="00CA170D" w:rsidRPr="001F50CE">
        <w:rPr>
          <w:rFonts w:ascii="Times New Roman" w:hAnsi="Times New Roman"/>
          <w:lang w:val="en-CA"/>
        </w:rPr>
        <w:fldChar w:fldCharType="end"/>
      </w:r>
      <w:r w:rsidR="002D35A7" w:rsidRPr="001F50CE">
        <w:rPr>
          <w:rFonts w:ascii="Times New Roman" w:hAnsi="Times New Roman"/>
        </w:rPr>
        <w:t>Asse</w:t>
      </w:r>
      <w:r w:rsidR="00F83CD8" w:rsidRPr="001F50CE">
        <w:rPr>
          <w:rFonts w:ascii="Times New Roman" w:hAnsi="Times New Roman"/>
        </w:rPr>
        <w:t>ts and Liabilities</w:t>
      </w:r>
      <w:r w:rsidR="002D35A7" w:rsidRPr="001F50CE">
        <w:rPr>
          <w:rFonts w:ascii="Times New Roman" w:hAnsi="Times New Roman"/>
        </w:rPr>
        <w:t xml:space="preserve">; </w:t>
      </w:r>
      <w:r w:rsidR="00F83CD8" w:rsidRPr="001F50CE">
        <w:rPr>
          <w:rFonts w:ascii="Times New Roman" w:hAnsi="Times New Roman"/>
        </w:rPr>
        <w:t xml:space="preserve">Real Estate, Dependent Care, and Vehicles; </w:t>
      </w:r>
      <w:r w:rsidR="001F50CE">
        <w:rPr>
          <w:rFonts w:ascii="Times New Roman" w:hAnsi="Times New Roman"/>
        </w:rPr>
        <w:t>Child Well-</w:t>
      </w:r>
      <w:r w:rsidR="002D35A7" w:rsidRPr="001F50CE">
        <w:rPr>
          <w:rFonts w:ascii="Times New Roman" w:hAnsi="Times New Roman"/>
        </w:rPr>
        <w:t xml:space="preserve">Being; Medical Expenses and Utilization of Health Care (Adults and Children); </w:t>
      </w:r>
      <w:r w:rsidR="00F83CD8" w:rsidRPr="001F50CE">
        <w:rPr>
          <w:rFonts w:ascii="Times New Roman" w:hAnsi="Times New Roman"/>
        </w:rPr>
        <w:t xml:space="preserve">6 Asset </w:t>
      </w:r>
      <w:r w:rsidR="002D35A7" w:rsidRPr="001F50CE">
        <w:rPr>
          <w:rFonts w:ascii="Times New Roman" w:hAnsi="Times New Roman"/>
        </w:rPr>
        <w:t>Sections</w:t>
      </w:r>
      <w:r w:rsidR="006956CB">
        <w:rPr>
          <w:rFonts w:ascii="Times New Roman" w:hAnsi="Times New Roman"/>
        </w:rPr>
        <w:t xml:space="preserve"> (</w:t>
      </w:r>
      <w:r w:rsidR="006956CB" w:rsidRPr="001A3154">
        <w:rPr>
          <w:rFonts w:ascii="Times New Roman" w:hAnsi="Times New Roman"/>
        </w:rPr>
        <w:t>Interest Earning Accounts, Rental Properties, Mortgages, Stocks and Mutual Funds, Value of Busin</w:t>
      </w:r>
      <w:r w:rsidR="006956CB">
        <w:rPr>
          <w:rFonts w:ascii="Times New Roman" w:hAnsi="Times New Roman"/>
        </w:rPr>
        <w:t>ess, and Other Financial Assets)</w:t>
      </w:r>
      <w:r w:rsidR="002D35A7" w:rsidRPr="001F50CE">
        <w:rPr>
          <w:rFonts w:ascii="Times New Roman" w:hAnsi="Times New Roman"/>
        </w:rPr>
        <w:t>; and Work</w:t>
      </w:r>
      <w:r w:rsidR="001457B2">
        <w:rPr>
          <w:rFonts w:ascii="Times New Roman" w:hAnsi="Times New Roman"/>
        </w:rPr>
        <w:t>-</w:t>
      </w:r>
      <w:r w:rsidR="002D35A7" w:rsidRPr="001F50CE">
        <w:rPr>
          <w:rFonts w:ascii="Times New Roman" w:hAnsi="Times New Roman"/>
        </w:rPr>
        <w:t>Related Expenses and Child Support Paid</w:t>
      </w:r>
      <w:r w:rsidR="001A3154">
        <w:rPr>
          <w:rFonts w:ascii="Times New Roman" w:hAnsi="Times New Roman"/>
        </w:rPr>
        <w:t>;</w:t>
      </w:r>
      <w:r w:rsidR="002D35A7" w:rsidRPr="001F50CE">
        <w:rPr>
          <w:rFonts w:ascii="Times New Roman" w:hAnsi="Times New Roman"/>
        </w:rPr>
        <w:t xml:space="preserve"> (Attachment A).  These topical modules were previously conducted in the SIPP 2004 Panel Wave 3 instrument</w:t>
      </w:r>
      <w:r w:rsidR="0057521E" w:rsidRPr="001F50CE">
        <w:rPr>
          <w:rFonts w:ascii="Times New Roman" w:hAnsi="Times New Roman"/>
        </w:rPr>
        <w:t>,</w:t>
      </w:r>
      <w:r w:rsidR="00755095" w:rsidRPr="001F50CE">
        <w:rPr>
          <w:rFonts w:ascii="Times New Roman" w:hAnsi="Times New Roman"/>
        </w:rPr>
        <w:t xml:space="preserve"> </w:t>
      </w:r>
      <w:r w:rsidR="0057521E" w:rsidRPr="001F50CE">
        <w:rPr>
          <w:rFonts w:ascii="Times New Roman" w:hAnsi="Times New Roman"/>
        </w:rPr>
        <w:t xml:space="preserve">and </w:t>
      </w:r>
      <w:r w:rsidR="00755095" w:rsidRPr="001F50CE">
        <w:rPr>
          <w:rFonts w:ascii="Times New Roman" w:hAnsi="Times New Roman"/>
        </w:rPr>
        <w:t>the SIPP 2008 Panel Wave 4</w:t>
      </w:r>
      <w:r w:rsidR="0057521E" w:rsidRPr="001F50CE">
        <w:rPr>
          <w:rFonts w:ascii="Times New Roman" w:hAnsi="Times New Roman"/>
        </w:rPr>
        <w:t xml:space="preserve"> and Wave 7</w:t>
      </w:r>
      <w:r w:rsidR="001F50CE">
        <w:rPr>
          <w:rFonts w:ascii="Times New Roman" w:hAnsi="Times New Roman"/>
        </w:rPr>
        <w:t xml:space="preserve"> (except for Child Well-Being)</w:t>
      </w:r>
      <w:r w:rsidR="00755095" w:rsidRPr="001F50CE">
        <w:rPr>
          <w:rFonts w:ascii="Times New Roman" w:hAnsi="Times New Roman"/>
        </w:rPr>
        <w:t xml:space="preserve"> instrument</w:t>
      </w:r>
      <w:r w:rsidR="0057521E" w:rsidRPr="001F50CE">
        <w:rPr>
          <w:rFonts w:ascii="Times New Roman" w:hAnsi="Times New Roman"/>
        </w:rPr>
        <w:t>s</w:t>
      </w:r>
      <w:r w:rsidR="002D35A7" w:rsidRPr="001F50CE">
        <w:rPr>
          <w:rFonts w:ascii="Times New Roman" w:hAnsi="Times New Roman"/>
        </w:rPr>
        <w:t>.</w:t>
      </w:r>
      <w:r w:rsidR="006956CB">
        <w:rPr>
          <w:rFonts w:ascii="Times New Roman" w:hAnsi="Times New Roman"/>
        </w:rPr>
        <w:t xml:space="preserve"> </w:t>
      </w:r>
      <w:r w:rsidR="002D35A7" w:rsidRPr="001F50CE">
        <w:rPr>
          <w:rFonts w:ascii="Times New Roman" w:hAnsi="Times New Roman"/>
        </w:rPr>
        <w:t xml:space="preserve"> </w:t>
      </w:r>
      <w:r>
        <w:rPr>
          <w:rFonts w:ascii="Times New Roman" w:hAnsi="Times New Roman"/>
        </w:rPr>
        <w:t xml:space="preserve">Wave </w:t>
      </w:r>
      <w:r w:rsidR="00755095">
        <w:rPr>
          <w:rFonts w:ascii="Times New Roman" w:hAnsi="Times New Roman"/>
        </w:rPr>
        <w:t>10</w:t>
      </w:r>
      <w:r>
        <w:rPr>
          <w:rFonts w:ascii="Times New Roman" w:hAnsi="Times New Roman"/>
        </w:rPr>
        <w:t xml:space="preserve"> interviews will be conducted from </w:t>
      </w:r>
      <w:r w:rsidR="00755095">
        <w:rPr>
          <w:rFonts w:ascii="Times New Roman" w:hAnsi="Times New Roman"/>
        </w:rPr>
        <w:t xml:space="preserve">September </w:t>
      </w:r>
      <w:r>
        <w:rPr>
          <w:rFonts w:ascii="Times New Roman" w:hAnsi="Times New Roman"/>
        </w:rPr>
        <w:t xml:space="preserve">1, 2011 through </w:t>
      </w:r>
      <w:r w:rsidR="00755095">
        <w:rPr>
          <w:rFonts w:ascii="Times New Roman" w:hAnsi="Times New Roman"/>
        </w:rPr>
        <w:t xml:space="preserve">December </w:t>
      </w:r>
      <w:r>
        <w:rPr>
          <w:rFonts w:ascii="Times New Roman" w:hAnsi="Times New Roman"/>
        </w:rPr>
        <w:t>31, 2011.</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The SIPP is designed as a continuing series of national panels of interviewed households that are introduced every few years with each panel having durations of </w:t>
      </w:r>
      <w:r>
        <w:rPr>
          <w:rFonts w:ascii="Times New Roman" w:hAnsi="Times New Roman"/>
        </w:rPr>
        <w:lastRenderedPageBreak/>
        <w:t>approximately 3 to 6 years.  The 2008 Panel is schedule</w:t>
      </w:r>
      <w:r w:rsidR="002B66B1">
        <w:rPr>
          <w:rFonts w:ascii="Times New Roman" w:hAnsi="Times New Roman"/>
        </w:rPr>
        <w:t>d for approximately 6 years and</w:t>
      </w:r>
      <w:r>
        <w:rPr>
          <w:rFonts w:ascii="Times New Roman" w:hAnsi="Times New Roman"/>
        </w:rPr>
        <w:t xml:space="preserve"> includes seventeen waves which began September 1, 2008.  All household members 15 years old or over are interviewed using regular proxy-respondent rules.  They are interviewed a total of seventeen times or waves, at 4-month intervals, making the SIPP a longitudinal survey.  All household members present at the time of the first interview who move within the country and reasonably close to a SIPP primary sampling unit (PSU) will be followed and interviewed at their new address.  Individuals 15 years old or over who enter the household after Wave 1 will be interviewed; however, if these people move, they are not followed unless they happen to move along with a Wave 1 sample individual.</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OMB has established an Interagency Advisory Committee to provide guidance for the content and procedures for the SIPP.  Interagency subcommittees were set up to recommend specific areas of inquiries for supplemental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Census Bureau developed the 2008 Panel Wave </w:t>
      </w:r>
      <w:r w:rsidR="00DA0A92">
        <w:rPr>
          <w:rFonts w:ascii="Times New Roman" w:hAnsi="Times New Roman"/>
        </w:rPr>
        <w:t>10</w:t>
      </w:r>
      <w:r>
        <w:rPr>
          <w:rFonts w:ascii="Times New Roman" w:hAnsi="Times New Roman"/>
        </w:rPr>
        <w:t xml:space="preserve"> topical modules through consultation with the SIPP OMB Interagency Subcommittee.  The questions for the topical modules address major policy and program concerns as stated by this subcommittee and the SIPP Interagency Advisory Committee.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The SIPP is authorized by Title 13, United States Code, Section 182.</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Information quality, as described by the Census Bureau</w:t>
      </w:r>
      <w:r>
        <w:rPr>
          <w:rFonts w:ascii="Times New Roman" w:hAnsi="Times New Roman"/>
        </w:rPr>
        <w:sym w:font="WP TypographicSymbols" w:char="003D"/>
      </w:r>
      <w:r>
        <w:rPr>
          <w:rFonts w:ascii="Times New Roman" w:hAnsi="Times New Roman"/>
        </w:rPr>
        <w:t>s Information Quality Guidelines, is an integral part of the pre-dissemination review of information disseminated by the Census Bureau.  Information quality is integral to information collections conducted by the Census Bureau and is incorporated into the clearance process required by the Paperwork Reduction Act.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Data provided by the SIPP are being used by economic policymakers, Congress, state and local governments, and federal agencies that administer social welfare or transfer payment programs such as the Department of Health and Human Services and the Department of Agriculture.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following is a description and uses of the Wave </w:t>
      </w:r>
      <w:r w:rsidR="00DA0A92">
        <w:rPr>
          <w:rFonts w:ascii="Times New Roman" w:hAnsi="Times New Roman"/>
        </w:rPr>
        <w:t>10</w:t>
      </w:r>
      <w:r>
        <w:rPr>
          <w:rFonts w:ascii="Times New Roman" w:hAnsi="Times New Roman"/>
        </w:rPr>
        <w:t xml:space="preserve"> topical module data:</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DA0A92" w:rsidRPr="001A3154" w:rsidRDefault="00CB47D3" w:rsidP="001A3154">
      <w:pPr>
        <w:ind w:left="230" w:firstLine="720"/>
        <w:outlineLvl w:val="0"/>
        <w:rPr>
          <w:rFonts w:ascii="Times New Roman" w:hAnsi="Times New Roman"/>
          <w:u w:val="single"/>
        </w:rPr>
      </w:pPr>
      <w:r w:rsidRPr="00CB47D3">
        <w:rPr>
          <w:rFonts w:ascii="Times New Roman" w:hAnsi="Times New Roman"/>
          <w:u w:val="single"/>
          <w:lang w:val="en-CA"/>
        </w:rPr>
        <w:t>6 Asset Sections</w:t>
      </w:r>
    </w:p>
    <w:p w:rsidR="00DA0A92" w:rsidRPr="001A3154" w:rsidRDefault="00DA0A92" w:rsidP="00DA0A92">
      <w:pPr>
        <w:rPr>
          <w:rFonts w:ascii="Times New Roman" w:hAnsi="Times New Roman"/>
          <w:u w:val="single"/>
        </w:rPr>
      </w:pPr>
    </w:p>
    <w:p w:rsidR="00DA0A92" w:rsidRPr="001A3154" w:rsidRDefault="00DA0A92" w:rsidP="00DA0A92">
      <w:pPr>
        <w:ind w:left="950"/>
        <w:rPr>
          <w:rFonts w:ascii="Times New Roman" w:hAnsi="Times New Roman"/>
        </w:rPr>
      </w:pPr>
      <w:r w:rsidRPr="001A3154">
        <w:rPr>
          <w:rFonts w:ascii="Times New Roman" w:hAnsi="Times New Roman"/>
        </w:rPr>
        <w:t>The Asset Sections are a composite of six topical modules that individually cover the following assets: Interest Earning Accounts, Rental Properties, Mortgages, Stocks and Mutual Funds, Value of Business, and Other Financial Assets.</w:t>
      </w:r>
    </w:p>
    <w:p w:rsidR="00DA0A92" w:rsidRPr="001A3154" w:rsidRDefault="00DA0A92" w:rsidP="00DA0A92">
      <w:pPr>
        <w:rPr>
          <w:rFonts w:ascii="Times New Roman" w:hAnsi="Times New Roman"/>
        </w:rPr>
      </w:pPr>
    </w:p>
    <w:p w:rsidR="00CB47D3" w:rsidRDefault="00DA0A92" w:rsidP="001F0CBA">
      <w:pPr>
        <w:outlineLvl w:val="0"/>
        <w:rPr>
          <w:rFonts w:ascii="Times New Roman" w:hAnsi="Times New Roman"/>
        </w:rPr>
      </w:pPr>
      <w:r w:rsidRPr="001A3154">
        <w:rPr>
          <w:rFonts w:ascii="Times New Roman" w:hAnsi="Times New Roman"/>
        </w:rPr>
        <w:tab/>
      </w:r>
      <w:r w:rsidR="00C06434">
        <w:rPr>
          <w:rFonts w:ascii="Times New Roman" w:hAnsi="Times New Roman"/>
        </w:rPr>
        <w:t xml:space="preserve">  </w:t>
      </w:r>
    </w:p>
    <w:p w:rsidR="00DA0A92" w:rsidRPr="001A3154" w:rsidRDefault="00EE1FCF" w:rsidP="00CB47D3">
      <w:pPr>
        <w:ind w:left="230" w:firstLine="720"/>
        <w:outlineLvl w:val="0"/>
        <w:rPr>
          <w:rFonts w:ascii="Times New Roman" w:hAnsi="Times New Roman"/>
        </w:rPr>
      </w:pPr>
      <w:r w:rsidRPr="001A3154">
        <w:rPr>
          <w:rFonts w:ascii="Times New Roman" w:hAnsi="Times New Roman"/>
          <w:u w:val="single"/>
        </w:rPr>
        <w:lastRenderedPageBreak/>
        <w:t>Assets and</w:t>
      </w:r>
      <w:r w:rsidR="00DA0A92" w:rsidRPr="001A3154">
        <w:rPr>
          <w:rFonts w:ascii="Times New Roman" w:hAnsi="Times New Roman"/>
          <w:u w:val="single"/>
        </w:rPr>
        <w:t xml:space="preserve"> Liabilities</w:t>
      </w:r>
    </w:p>
    <w:p w:rsidR="00DA0A92" w:rsidRPr="001A3154" w:rsidRDefault="00DA0A92" w:rsidP="00DA0A92">
      <w:pPr>
        <w:rPr>
          <w:rFonts w:ascii="Times New Roman" w:hAnsi="Times New Roman"/>
        </w:rPr>
      </w:pPr>
    </w:p>
    <w:p w:rsidR="00DA0A92" w:rsidRPr="001A3154" w:rsidRDefault="00EE1FCF" w:rsidP="00DA0A92">
      <w:pPr>
        <w:ind w:left="950"/>
        <w:rPr>
          <w:rFonts w:ascii="Times New Roman" w:hAnsi="Times New Roman"/>
        </w:rPr>
      </w:pPr>
      <w:r w:rsidRPr="001A3154">
        <w:rPr>
          <w:rFonts w:ascii="Times New Roman" w:hAnsi="Times New Roman"/>
        </w:rPr>
        <w:t>The Assets and Liabilities</w:t>
      </w:r>
      <w:r w:rsidR="00DA0A92" w:rsidRPr="001A3154">
        <w:rPr>
          <w:rFonts w:ascii="Times New Roman" w:hAnsi="Times New Roman"/>
        </w:rPr>
        <w:t xml:space="preserve"> topical module is included in the SIPP to provide detailed data on assets and liabilities for households and individuals.  Some of the major types of asset information collected by this topical module are equity in various financial instruments, value of </w:t>
      </w:r>
      <w:r w:rsidR="00D54560">
        <w:rPr>
          <w:rFonts w:ascii="Times New Roman" w:hAnsi="Times New Roman"/>
        </w:rPr>
        <w:t xml:space="preserve">assets held in retirement accounts like </w:t>
      </w:r>
      <w:r w:rsidR="00DA0A92" w:rsidRPr="001A3154">
        <w:rPr>
          <w:rFonts w:ascii="Times New Roman" w:hAnsi="Times New Roman"/>
        </w:rPr>
        <w:t>Individual Retirement Accounts and Keogh plans, the face value of life insurance policies</w:t>
      </w:r>
      <w:r w:rsidR="00D54560">
        <w:rPr>
          <w:rFonts w:ascii="Times New Roman" w:hAnsi="Times New Roman"/>
        </w:rPr>
        <w:t>,</w:t>
      </w:r>
      <w:r w:rsidR="00F3294F">
        <w:rPr>
          <w:rFonts w:ascii="Times New Roman" w:hAnsi="Times New Roman"/>
        </w:rPr>
        <w:t xml:space="preserve"> </w:t>
      </w:r>
      <w:r w:rsidR="00D54560">
        <w:rPr>
          <w:rFonts w:ascii="Times New Roman" w:hAnsi="Times New Roman"/>
        </w:rPr>
        <w:t>and debts owed</w:t>
      </w:r>
      <w:r w:rsidR="00DA0A92" w:rsidRPr="001A3154">
        <w:rPr>
          <w:rFonts w:ascii="Times New Roman" w:hAnsi="Times New Roman"/>
        </w:rPr>
        <w:t xml:space="preserve">.  </w:t>
      </w:r>
    </w:p>
    <w:p w:rsidR="00DA0A92" w:rsidRPr="001A3154" w:rsidRDefault="00DA0A92" w:rsidP="00DA0A92">
      <w:pPr>
        <w:rPr>
          <w:rFonts w:ascii="Times New Roman" w:hAnsi="Times New Roman"/>
        </w:rPr>
      </w:pPr>
    </w:p>
    <w:p w:rsidR="00EE1FCF" w:rsidRPr="00CB47D3" w:rsidRDefault="00EE1FCF" w:rsidP="001F0CBA">
      <w:pPr>
        <w:outlineLvl w:val="0"/>
        <w:rPr>
          <w:rFonts w:ascii="Times New Roman" w:hAnsi="Times New Roman"/>
          <w:u w:val="single"/>
        </w:rPr>
      </w:pPr>
      <w:r w:rsidRPr="001A3154">
        <w:rPr>
          <w:rFonts w:ascii="Times New Roman" w:hAnsi="Times New Roman"/>
        </w:rPr>
        <w:tab/>
      </w:r>
      <w:r w:rsidR="00C06434">
        <w:rPr>
          <w:rFonts w:ascii="Times New Roman" w:hAnsi="Times New Roman"/>
        </w:rPr>
        <w:t xml:space="preserve">  </w:t>
      </w:r>
      <w:r w:rsidRPr="00CB47D3">
        <w:rPr>
          <w:rFonts w:ascii="Times New Roman" w:hAnsi="Times New Roman"/>
          <w:u w:val="single"/>
        </w:rPr>
        <w:t>Real Estate, Dependent Care, and Vehicles</w:t>
      </w:r>
    </w:p>
    <w:p w:rsidR="00EE1FCF" w:rsidRPr="001A3154" w:rsidRDefault="00EE1FCF" w:rsidP="00DA0A92">
      <w:pPr>
        <w:rPr>
          <w:rFonts w:ascii="Times New Roman" w:hAnsi="Times New Roman"/>
        </w:rPr>
      </w:pPr>
    </w:p>
    <w:p w:rsidR="00DA0A92" w:rsidRPr="001A3154" w:rsidRDefault="00EE1FCF" w:rsidP="00DA0A92">
      <w:pPr>
        <w:ind w:left="950"/>
        <w:rPr>
          <w:rFonts w:ascii="Times New Roman" w:hAnsi="Times New Roman"/>
        </w:rPr>
      </w:pPr>
      <w:r w:rsidRPr="001A3154">
        <w:rPr>
          <w:rFonts w:ascii="Times New Roman" w:hAnsi="Times New Roman"/>
        </w:rPr>
        <w:t>This topical module</w:t>
      </w:r>
      <w:r w:rsidR="00DA0A92" w:rsidRPr="001A3154">
        <w:rPr>
          <w:rFonts w:ascii="Times New Roman" w:hAnsi="Times New Roman"/>
        </w:rPr>
        <w:t xml:space="preserve"> provides data on real estate property, monthly housing payments, dependent care costs, and vehicle ownership.  Information is obtained about the ownership of and equity in rental properties and about the payments for rent/mortgage and utilities for the month prior to the interview.  It establishes who in the household contributes to the payments and how much.  Additionally, this module asks about dependent care expenses for the care of a child or a disabled individual due to the household member working, attending training, or looking for work.</w:t>
      </w:r>
    </w:p>
    <w:p w:rsidR="00DA0A92" w:rsidRPr="001A3154" w:rsidRDefault="00DA0A92" w:rsidP="00DA0A92">
      <w:pPr>
        <w:rPr>
          <w:rFonts w:ascii="Times New Roman" w:hAnsi="Times New Roman"/>
        </w:rPr>
      </w:pPr>
    </w:p>
    <w:p w:rsidR="00DA0A92" w:rsidRPr="001A3154" w:rsidRDefault="00DA0A92" w:rsidP="00C06434">
      <w:pPr>
        <w:ind w:left="950"/>
        <w:rPr>
          <w:rFonts w:ascii="Times New Roman" w:hAnsi="Times New Roman"/>
        </w:rPr>
      </w:pPr>
      <w:r w:rsidRPr="001A3154">
        <w:rPr>
          <w:rFonts w:ascii="Times New Roman" w:hAnsi="Times New Roman"/>
        </w:rPr>
        <w:t xml:space="preserve">Together, </w:t>
      </w:r>
      <w:r w:rsidR="00C06434">
        <w:rPr>
          <w:rFonts w:ascii="Times New Roman" w:hAnsi="Times New Roman"/>
        </w:rPr>
        <w:t>the</w:t>
      </w:r>
      <w:r w:rsidRPr="001A3154">
        <w:rPr>
          <w:rFonts w:ascii="Times New Roman" w:hAnsi="Times New Roman"/>
        </w:rPr>
        <w:t xml:space="preserve"> data </w:t>
      </w:r>
      <w:r w:rsidR="00C06434">
        <w:rPr>
          <w:rFonts w:ascii="Times New Roman" w:hAnsi="Times New Roman"/>
        </w:rPr>
        <w:t xml:space="preserve">from these three topical modules </w:t>
      </w:r>
      <w:r w:rsidRPr="001A3154">
        <w:rPr>
          <w:rFonts w:ascii="Times New Roman" w:hAnsi="Times New Roman"/>
        </w:rPr>
        <w:t xml:space="preserve">will allow an examination of economic well-being beyond that which can be observed through the study of income.  Participation in many federal programs is contingent upon not just the basic income level but upon the assets held by the individuals or household as well.  </w:t>
      </w:r>
    </w:p>
    <w:p w:rsidR="00DA0A92" w:rsidRPr="001A3154" w:rsidRDefault="00DA0A92" w:rsidP="00DA0A92">
      <w:pPr>
        <w:rPr>
          <w:rFonts w:ascii="Times New Roman" w:hAnsi="Times New Roman"/>
        </w:rPr>
      </w:pPr>
    </w:p>
    <w:p w:rsidR="00DA0A92" w:rsidRPr="001A3154" w:rsidRDefault="00DA0A92" w:rsidP="001F0CBA">
      <w:pPr>
        <w:outlineLvl w:val="0"/>
        <w:rPr>
          <w:rFonts w:ascii="Times New Roman" w:hAnsi="Times New Roman"/>
        </w:rPr>
      </w:pPr>
      <w:r w:rsidRPr="001A3154">
        <w:rPr>
          <w:rFonts w:ascii="Times New Roman" w:hAnsi="Times New Roman"/>
        </w:rPr>
        <w:tab/>
      </w:r>
      <w:r w:rsidR="00C06434">
        <w:rPr>
          <w:rFonts w:ascii="Times New Roman" w:hAnsi="Times New Roman"/>
        </w:rPr>
        <w:t xml:space="preserve">  </w:t>
      </w:r>
      <w:r w:rsidRPr="001A3154">
        <w:rPr>
          <w:rFonts w:ascii="Times New Roman" w:hAnsi="Times New Roman"/>
          <w:u w:val="single"/>
        </w:rPr>
        <w:t>Child Well-Being</w:t>
      </w:r>
      <w:r w:rsidRPr="001A3154">
        <w:rPr>
          <w:rFonts w:ascii="Times New Roman" w:hAnsi="Times New Roman"/>
        </w:rPr>
        <w:t xml:space="preserve"> </w:t>
      </w:r>
    </w:p>
    <w:p w:rsidR="00DA0A92" w:rsidRPr="001A3154" w:rsidRDefault="00DA0A92" w:rsidP="00DA0A92">
      <w:pPr>
        <w:rPr>
          <w:rFonts w:ascii="Times New Roman" w:hAnsi="Times New Roman"/>
        </w:rPr>
      </w:pPr>
    </w:p>
    <w:p w:rsidR="00DA0A92" w:rsidRPr="001A3154" w:rsidRDefault="00DA0A92" w:rsidP="00DA0A92">
      <w:pPr>
        <w:rPr>
          <w:rFonts w:ascii="Times New Roman" w:hAnsi="Times New Roman"/>
        </w:rPr>
        <w:sectPr w:rsidR="00DA0A92" w:rsidRPr="001A3154">
          <w:headerReference w:type="default" r:id="rId8"/>
          <w:type w:val="continuous"/>
          <w:pgSz w:w="12240" w:h="15840"/>
          <w:pgMar w:top="1440" w:right="1440" w:bottom="1440" w:left="1440" w:header="1440" w:footer="1440" w:gutter="0"/>
          <w:cols w:space="720"/>
        </w:sectPr>
      </w:pPr>
    </w:p>
    <w:p w:rsidR="00DA0A92" w:rsidRPr="001A3154" w:rsidRDefault="00DA0A92" w:rsidP="00DA0A92">
      <w:pPr>
        <w:ind w:left="950"/>
        <w:rPr>
          <w:rFonts w:ascii="Times New Roman" w:hAnsi="Times New Roman"/>
        </w:rPr>
      </w:pPr>
      <w:r w:rsidRPr="001A3154">
        <w:rPr>
          <w:rFonts w:ascii="Times New Roman" w:hAnsi="Times New Roman"/>
        </w:rPr>
        <w:lastRenderedPageBreak/>
        <w:t xml:space="preserve">The SIPP collects detailed information about income and program participation, child care, assets, and non-monetary measures of wealth.  What </w:t>
      </w:r>
      <w:r w:rsidR="00A60164">
        <w:rPr>
          <w:rFonts w:ascii="Times New Roman" w:hAnsi="Times New Roman"/>
        </w:rPr>
        <w:t>are</w:t>
      </w:r>
      <w:r w:rsidRPr="001A3154">
        <w:rPr>
          <w:rFonts w:ascii="Times New Roman" w:hAnsi="Times New Roman"/>
        </w:rPr>
        <w:t xml:space="preserve"> lacking are measures that can be used to assess how family economic circumstances affect children's well-being and development.  Analyses of child development indicators will provide a major basis for evaluating welfare reform.  This module includes measures of child outcomes, which makes the SIPP a valuable tool for such analyses.</w:t>
      </w:r>
    </w:p>
    <w:p w:rsidR="00DA0A92" w:rsidRPr="001A3154" w:rsidRDefault="00DA0A92" w:rsidP="00DA0A92">
      <w:pPr>
        <w:rPr>
          <w:rFonts w:ascii="Times New Roman" w:hAnsi="Times New Roman"/>
          <w:u w:val="single"/>
        </w:rPr>
      </w:pPr>
    </w:p>
    <w:p w:rsidR="00DA0A92" w:rsidRPr="001A3154" w:rsidRDefault="00DA0A92" w:rsidP="00DA0A92">
      <w:pPr>
        <w:ind w:left="950"/>
        <w:rPr>
          <w:rFonts w:ascii="Times New Roman" w:hAnsi="Times New Roman"/>
        </w:rPr>
      </w:pPr>
      <w:r w:rsidRPr="001A3154">
        <w:rPr>
          <w:rFonts w:ascii="Times New Roman" w:hAnsi="Times New Roman"/>
        </w:rPr>
        <w:t>Topics included in the topical module are:  1) cognitive development and education;</w:t>
      </w:r>
    </w:p>
    <w:p w:rsidR="00DA0A92" w:rsidRPr="001A3154" w:rsidRDefault="00DA0A92" w:rsidP="00DA0A92">
      <w:pPr>
        <w:ind w:left="950"/>
        <w:rPr>
          <w:rFonts w:ascii="Times New Roman" w:hAnsi="Times New Roman"/>
        </w:rPr>
      </w:pPr>
      <w:r w:rsidRPr="001A3154">
        <w:rPr>
          <w:rFonts w:ascii="Times New Roman" w:hAnsi="Times New Roman"/>
        </w:rPr>
        <w:t xml:space="preserve">2) </w:t>
      </w:r>
      <w:proofErr w:type="gramStart"/>
      <w:r w:rsidRPr="001A3154">
        <w:rPr>
          <w:rFonts w:ascii="Times New Roman" w:hAnsi="Times New Roman"/>
        </w:rPr>
        <w:t>child</w:t>
      </w:r>
      <w:proofErr w:type="gramEnd"/>
      <w:r w:rsidRPr="001A3154">
        <w:rPr>
          <w:rFonts w:ascii="Times New Roman" w:hAnsi="Times New Roman"/>
        </w:rPr>
        <w:t xml:space="preserve"> adjustment and behavioral problems; 3) family functioning; and </w:t>
      </w:r>
    </w:p>
    <w:p w:rsidR="00DA0A92" w:rsidRPr="001A3154" w:rsidRDefault="00DA0A92" w:rsidP="00DA0A92">
      <w:pPr>
        <w:ind w:left="950"/>
        <w:rPr>
          <w:rFonts w:ascii="Times New Roman" w:hAnsi="Times New Roman"/>
        </w:rPr>
      </w:pPr>
      <w:r w:rsidRPr="001A3154">
        <w:rPr>
          <w:rFonts w:ascii="Times New Roman" w:hAnsi="Times New Roman"/>
        </w:rPr>
        <w:t>4) neighborhood</w:t>
      </w:r>
      <w:r w:rsidR="00D54560">
        <w:rPr>
          <w:rFonts w:ascii="Times New Roman" w:hAnsi="Times New Roman"/>
        </w:rPr>
        <w:t>/community</w:t>
      </w:r>
      <w:r w:rsidRPr="001A3154">
        <w:rPr>
          <w:rFonts w:ascii="Times New Roman" w:hAnsi="Times New Roman"/>
        </w:rPr>
        <w:t>.</w:t>
      </w:r>
      <w:r w:rsidR="009C5E39">
        <w:rPr>
          <w:rFonts w:ascii="Times New Roman" w:hAnsi="Times New Roman"/>
        </w:rPr>
        <w:t xml:space="preserve"> </w:t>
      </w:r>
      <w:r w:rsidR="00F3294F">
        <w:rPr>
          <w:rFonts w:ascii="Times New Roman" w:hAnsi="Times New Roman"/>
        </w:rPr>
        <w:t xml:space="preserve"> </w:t>
      </w:r>
      <w:r w:rsidRPr="001A3154">
        <w:rPr>
          <w:rFonts w:ascii="Times New Roman" w:hAnsi="Times New Roman"/>
        </w:rPr>
        <w:t xml:space="preserve">Factors that contribute to childhood poverty and to welfare rolls include: income inequality, the deteriorating earning power of young workers, the number of children born to unmarried mothers, the large fraction of absent fathers who pay little or no child support, and the proportion of inner-city men and women who have little connection to the conventional labor force.  Developing useful and effective policies requires understanding the dynamics between and the relative importance of these various factors for children and their families.  </w:t>
      </w:r>
    </w:p>
    <w:p w:rsidR="00DA0A92" w:rsidRPr="001A3154" w:rsidRDefault="00DA0A92" w:rsidP="00DA0A92">
      <w:pPr>
        <w:rPr>
          <w:rFonts w:ascii="Times New Roman" w:hAnsi="Times New Roman"/>
        </w:rPr>
      </w:pPr>
    </w:p>
    <w:p w:rsidR="00CB47D3" w:rsidRDefault="00DA0A92" w:rsidP="001F0CBA">
      <w:pPr>
        <w:outlineLvl w:val="0"/>
        <w:rPr>
          <w:rFonts w:ascii="Times New Roman" w:hAnsi="Times New Roman"/>
        </w:rPr>
      </w:pPr>
      <w:r w:rsidRPr="001A3154">
        <w:rPr>
          <w:rFonts w:ascii="Times New Roman" w:hAnsi="Times New Roman"/>
        </w:rPr>
        <w:tab/>
      </w:r>
      <w:r w:rsidR="00C06434">
        <w:rPr>
          <w:rFonts w:ascii="Times New Roman" w:hAnsi="Times New Roman"/>
        </w:rPr>
        <w:t xml:space="preserve">  </w:t>
      </w:r>
    </w:p>
    <w:p w:rsidR="00CB47D3" w:rsidRDefault="00CB47D3" w:rsidP="001F0CBA">
      <w:pPr>
        <w:outlineLvl w:val="0"/>
        <w:rPr>
          <w:rFonts w:ascii="Times New Roman" w:hAnsi="Times New Roman"/>
        </w:rPr>
      </w:pPr>
    </w:p>
    <w:p w:rsidR="00DA0A92" w:rsidRPr="001A3154" w:rsidRDefault="00DA0A92" w:rsidP="00CB47D3">
      <w:pPr>
        <w:ind w:left="230" w:firstLine="720"/>
        <w:outlineLvl w:val="0"/>
        <w:rPr>
          <w:rFonts w:ascii="Times New Roman" w:hAnsi="Times New Roman"/>
        </w:rPr>
      </w:pPr>
      <w:r w:rsidRPr="001A3154">
        <w:rPr>
          <w:rFonts w:ascii="Times New Roman" w:hAnsi="Times New Roman"/>
          <w:u w:val="single"/>
        </w:rPr>
        <w:lastRenderedPageBreak/>
        <w:t>Medical Expenses and Utilization of Health Care (Adults and Children)</w:t>
      </w:r>
    </w:p>
    <w:p w:rsidR="00DA0A92" w:rsidRPr="001A3154" w:rsidRDefault="00DA0A92" w:rsidP="00DA0A92">
      <w:pPr>
        <w:rPr>
          <w:rFonts w:ascii="Times New Roman" w:hAnsi="Times New Roman"/>
        </w:rPr>
      </w:pPr>
    </w:p>
    <w:p w:rsidR="00DA0A92" w:rsidRPr="001A3154" w:rsidRDefault="00DA0A92" w:rsidP="00DA0A92">
      <w:pPr>
        <w:ind w:left="950"/>
        <w:rPr>
          <w:rFonts w:ascii="Times New Roman" w:hAnsi="Times New Roman"/>
        </w:rPr>
      </w:pPr>
      <w:r w:rsidRPr="001A3154">
        <w:rPr>
          <w:rFonts w:ascii="Times New Roman" w:hAnsi="Times New Roman"/>
        </w:rPr>
        <w:t xml:space="preserve">The Medical Expenses and Utilization of Health Care topical module asks about health status, utilization of health care services, medical expenses, and work disability.  A person’s health status and subsequent use of health care services are important predictors of annual out-of-pocket medical care and insurance payments.  In addition, questions to determine consumer units through housing, food, and living expenses were included.  All of these items are required in determining alternative poverty measures recommended by the National Academy of Sciences.  The information in this module will also determine how an individual's health and disability will affect earnings and participation in public programs. </w:t>
      </w:r>
      <w:r w:rsidRPr="001A3154">
        <w:rPr>
          <w:rFonts w:ascii="Times New Roman" w:hAnsi="Times New Roman"/>
        </w:rPr>
        <w:tab/>
      </w:r>
      <w:r w:rsidRPr="001A3154">
        <w:rPr>
          <w:rFonts w:ascii="Times New Roman" w:hAnsi="Times New Roman"/>
        </w:rPr>
        <w:tab/>
      </w:r>
      <w:r w:rsidRPr="001A3154">
        <w:rPr>
          <w:rFonts w:ascii="Times New Roman" w:hAnsi="Times New Roman"/>
        </w:rPr>
        <w:tab/>
      </w:r>
    </w:p>
    <w:p w:rsidR="00DA0A92" w:rsidRPr="001A3154" w:rsidRDefault="00DA0A92" w:rsidP="00DA0A92">
      <w:pPr>
        <w:rPr>
          <w:rFonts w:ascii="Times New Roman" w:hAnsi="Times New Roman"/>
        </w:rPr>
      </w:pPr>
    </w:p>
    <w:p w:rsidR="00DA0A92" w:rsidRPr="001A3154" w:rsidRDefault="00DA0A92" w:rsidP="001F0CBA">
      <w:pPr>
        <w:outlineLvl w:val="0"/>
        <w:rPr>
          <w:rFonts w:ascii="Times New Roman" w:hAnsi="Times New Roman"/>
          <w:u w:val="single"/>
        </w:rPr>
      </w:pPr>
      <w:r w:rsidRPr="001A3154">
        <w:rPr>
          <w:rFonts w:ascii="Times New Roman" w:hAnsi="Times New Roman"/>
        </w:rPr>
        <w:tab/>
      </w:r>
      <w:r w:rsidR="00C06434">
        <w:rPr>
          <w:rFonts w:ascii="Times New Roman" w:hAnsi="Times New Roman"/>
        </w:rPr>
        <w:t xml:space="preserve">  </w:t>
      </w:r>
      <w:r w:rsidRPr="001A3154">
        <w:rPr>
          <w:rFonts w:ascii="Times New Roman" w:hAnsi="Times New Roman"/>
          <w:u w:val="single"/>
        </w:rPr>
        <w:t>Work-Related Expenses and Child Support Paid</w:t>
      </w:r>
    </w:p>
    <w:p w:rsidR="00DA0A92" w:rsidRPr="001A3154" w:rsidRDefault="00DA0A92" w:rsidP="00DA0A92">
      <w:pPr>
        <w:rPr>
          <w:rFonts w:ascii="Times New Roman" w:hAnsi="Times New Roman"/>
          <w:u w:val="single"/>
        </w:rPr>
      </w:pPr>
    </w:p>
    <w:p w:rsidR="00DA0A92" w:rsidRPr="001A3154" w:rsidRDefault="00DA0A92" w:rsidP="00DA0A92">
      <w:pPr>
        <w:ind w:left="950"/>
        <w:rPr>
          <w:rFonts w:ascii="Times New Roman" w:hAnsi="Times New Roman"/>
        </w:rPr>
      </w:pPr>
      <w:r w:rsidRPr="001A3154">
        <w:rPr>
          <w:rFonts w:ascii="Times New Roman" w:hAnsi="Times New Roman"/>
        </w:rPr>
        <w:t xml:space="preserve">The Work-Related Expenses and Child Support Paid topical modules will include data used for poverty measures as recommended by the Committee on National Statistics (CNSTAT) of the National Academy of Sciences.  The questions included in these modules allow for calendar year measures of poverty.  Information is obtained about work-related expenditures for individuals who are employed.  Questions about child support paid are asked of people who pay child support for a child outside the home.  Finally, questions were added that address child care arrangements and costs. </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Information Technology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The survey is administered using computer-assisted personal interviewing (CAPI) methodologies.  The Census Bureau field representatives (FR) collect the data from respondents using laptop computers and the data are transmitted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can be minimized by incorporating design features that make it easier to collect and record respondent information.  Appropriate screening and lead in questions, which serve to skip respondents out of sections of the questionnaire that are not relevant or applicable, are built into the automated instrument.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Preliminary analysis from an Internet field test conducted by the SIPP Methods Panel in August and September 2000 indicated that using the Internet as a mode of collection for a complex demographic survey such as SIPP is not feasible.  The conclusions of the test indicated that Internet survey technology is not currently sophisticated enough to handle the complexity of the SIPP survey and the complicated skip pattern and </w:t>
      </w:r>
      <w:proofErr w:type="spellStart"/>
      <w:r>
        <w:rPr>
          <w:rFonts w:ascii="Times New Roman" w:hAnsi="Times New Roman"/>
        </w:rPr>
        <w:t>rostering</w:t>
      </w:r>
      <w:proofErr w:type="spellEnd"/>
      <w:r>
        <w:rPr>
          <w:rFonts w:ascii="Times New Roman" w:hAnsi="Times New Roman"/>
        </w:rPr>
        <w:t xml:space="preserve"> requirements.  A low response rate combined with technological challenges and limitations indicate that the costs of converting a complex questionnaire to an online survey far outweigh the benefits even in a multimode environment.  The final report is available upon request. </w:t>
      </w:r>
      <w:r>
        <w:rPr>
          <w:rFonts w:ascii="Times New Roman" w:hAnsi="Times New Roman"/>
        </w:rPr>
        <w:tab/>
      </w:r>
      <w:r>
        <w:rPr>
          <w:rFonts w:ascii="Times New Roman" w:hAnsi="Times New Roman"/>
        </w:rPr>
        <w:tab/>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lastRenderedPageBreak/>
        <w:t>4.</w:t>
      </w:r>
      <w:r>
        <w:rPr>
          <w:rFonts w:ascii="Times New Roman" w:hAnsi="Times New Roman"/>
        </w:rPr>
        <w:tab/>
      </w:r>
      <w:r>
        <w:rPr>
          <w:rFonts w:ascii="Times New Roman" w:hAnsi="Times New Roman"/>
          <w:u w:val="single"/>
        </w:rPr>
        <w:t>Efforts to Identify Duplication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To ascertain whether duplication exists between the SIPP and ongoing or previously approved Census Bureau information collections, we examined the following surveys: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Supplements to the Current Population Survey (CPS).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American Housing Survey.</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National Crime Victimization Survey.</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Consumer Expenditure Survey.</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National Health Interview Survey.</w:t>
      </w:r>
      <w:proofErr w:type="gramEnd"/>
    </w:p>
    <w:p w:rsidR="000C691B" w:rsidRDefault="000C691B" w:rsidP="00CB03FC">
      <w:pPr>
        <w:pStyle w:val="Level1"/>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The American Community Survey (ACS).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 review of information collections conducted outside the Census Bureau indicated that no past or current national survey duplicates the SIPP with respect to its longitudinal component or its scope and coverage.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Census Bureau tries to avoid unnecessary duplication in all of its surveys and will continue to do so.  Our views on the duplication problem were stated in a letter from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William P. </w:t>
      </w:r>
      <w:proofErr w:type="spellStart"/>
      <w:r>
        <w:rPr>
          <w:rFonts w:ascii="Times New Roman" w:hAnsi="Times New Roman"/>
        </w:rPr>
        <w:t>Butz</w:t>
      </w:r>
      <w:proofErr w:type="spellEnd"/>
      <w:r>
        <w:rPr>
          <w:rFonts w:ascii="Times New Roman" w:hAnsi="Times New Roman"/>
        </w:rPr>
        <w:t xml:space="preserve"> to James B. </w:t>
      </w:r>
      <w:proofErr w:type="spellStart"/>
      <w:r>
        <w:rPr>
          <w:rFonts w:ascii="Times New Roman" w:hAnsi="Times New Roman"/>
        </w:rPr>
        <w:t>MacRae</w:t>
      </w:r>
      <w:proofErr w:type="spellEnd"/>
      <w:r>
        <w:rPr>
          <w:rFonts w:ascii="Times New Roman" w:hAnsi="Times New Roman"/>
        </w:rPr>
        <w:t xml:space="preserve">, Jr., OMB, on July 29, 1988.  In that letter, we proposed three conditions under which duplication is warranted as follows: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t>a.</w:t>
      </w:r>
      <w:r>
        <w:rPr>
          <w:rFonts w:ascii="Times New Roman" w:hAnsi="Times New Roman"/>
        </w:rPr>
        <w:tab/>
        <w:t>When the duplication supplies necessary classifying variables for data analysis.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ascii="Times New Roman" w:hAnsi="Times New Roman"/>
        </w:rPr>
      </w:pPr>
      <w:r>
        <w:rPr>
          <w:rFonts w:ascii="Times New Roman" w:hAnsi="Times New Roman"/>
        </w:rPr>
        <w:t>b.</w:t>
      </w:r>
      <w:r>
        <w:rPr>
          <w:rFonts w:ascii="Times New Roman" w:hAnsi="Times New Roman"/>
        </w:rPr>
        <w:tab/>
        <w:t xml:space="preserve">When the duplication prevents more extensive duplication.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t>c.</w:t>
      </w:r>
      <w:r>
        <w:rPr>
          <w:rFonts w:ascii="Times New Roman" w:hAnsi="Times New Roman"/>
        </w:rPr>
        <w:tab/>
        <w:t>When the users' analyses requir</w:t>
      </w:r>
      <w:r w:rsidR="002B66B1">
        <w:rPr>
          <w:rFonts w:ascii="Times New Roman" w:hAnsi="Times New Roman"/>
        </w:rPr>
        <w:t xml:space="preserve">e the duplicate questions on a </w:t>
      </w:r>
      <w:r>
        <w:rPr>
          <w:rFonts w:ascii="Times New Roman" w:hAnsi="Times New Roman"/>
        </w:rPr>
        <w:t xml:space="preserve">particular survey.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Outside these areas of justified duplication, we think that duplication is unwarranted.  The Census Bureau has always attempted to avoid such situations in its own surveys and will continue to do so.  We are continuing to examine the content of the SIPP topical modules and recurring CPS supplements to determine whether these contain inappropriate duplication and we will take steps to eliminate any that we find from future collection efforts.  To the best of our ability we also try to make sponsors of other surveys aware of existing sources of data on subjects about which they propose to collect information.  However, if upon such notification of potential duplication the sponsor wishes to proceed with collection, we will go forward with a new or existing data collection effort.  This clearance request points out the duplication and the need for it from our perspective as well as that of the Interagency Advisory Committee.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p>
    <w:p w:rsidR="00001E90" w:rsidRDefault="00001E90"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p>
    <w:p w:rsidR="00001E90" w:rsidRDefault="00001E90"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p>
    <w:p w:rsidR="00CF0F42" w:rsidRDefault="00CF0F42"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lastRenderedPageBreak/>
        <w:t>5.</w:t>
      </w:r>
      <w:r>
        <w:rPr>
          <w:rFonts w:ascii="Times New Roman" w:hAnsi="Times New Roman"/>
        </w:rPr>
        <w:tab/>
      </w:r>
      <w:r>
        <w:rPr>
          <w:rFonts w:ascii="Times New Roman" w:hAnsi="Times New Roman"/>
          <w:u w:val="single"/>
        </w:rPr>
        <w:t>Minimizing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 use of flash cards to aid respondents with multiple response categories; and arrangement of</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roofErr w:type="gramStart"/>
      <w:r>
        <w:rPr>
          <w:rFonts w:ascii="Times New Roman" w:hAnsi="Times New Roman"/>
        </w:rPr>
        <w:t>questions</w:t>
      </w:r>
      <w:proofErr w:type="gramEnd"/>
      <w:r>
        <w:rPr>
          <w:rFonts w:ascii="Times New Roman" w:hAnsi="Times New Roman"/>
        </w:rPr>
        <w:t xml:space="preserve"> and sections of the CAPI instrument that facilitate the flow of administration from one topic area to another.</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is designed as a continuing series of national panels of interviewed households that are introduced every few years, with each panel having durations typically of 3 to </w:t>
      </w:r>
      <w:r w:rsidR="00CC0A4D">
        <w:rPr>
          <w:rFonts w:ascii="Times New Roman" w:hAnsi="Times New Roman"/>
        </w:rPr>
        <w:t>6</w:t>
      </w:r>
      <w:r>
        <w:rPr>
          <w:rFonts w:ascii="Times New Roman" w:hAnsi="Times New Roman"/>
        </w:rPr>
        <w:t xml:space="preserve"> years.  The 2008 Panel is scheduled for </w:t>
      </w:r>
      <w:r w:rsidR="007024FA">
        <w:rPr>
          <w:rFonts w:ascii="Times New Roman" w:hAnsi="Times New Roman"/>
        </w:rPr>
        <w:t>approximately</w:t>
      </w:r>
      <w:r w:rsidR="00CC0A4D">
        <w:rPr>
          <w:rFonts w:ascii="Times New Roman" w:hAnsi="Times New Roman"/>
        </w:rPr>
        <w:t xml:space="preserve"> 6 </w:t>
      </w:r>
      <w:r>
        <w:rPr>
          <w:rFonts w:ascii="Times New Roman" w:hAnsi="Times New Roman"/>
        </w:rPr>
        <w:t xml:space="preserve">years and includes seventeen waves which began September 1, 2008.  The survey uses a 4 month recall period with approximately </w:t>
      </w:r>
      <w:proofErr w:type="spellStart"/>
      <w:r>
        <w:rPr>
          <w:rFonts w:ascii="Times New Roman" w:hAnsi="Times New Roman"/>
        </w:rPr>
        <w:t>one</w:t>
      </w:r>
      <w:r>
        <w:rPr>
          <w:rFonts w:ascii="Times New Roman" w:hAnsi="Times New Roman"/>
        </w:rPr>
        <w:noBreakHyphen/>
        <w:t>fourth</w:t>
      </w:r>
      <w:proofErr w:type="spellEnd"/>
      <w:r>
        <w:rPr>
          <w:rFonts w:ascii="Times New Roman" w:hAnsi="Times New Roman"/>
        </w:rPr>
        <w:t xml:space="preserve"> of the sample households being interviewed each month.  A less frequent data collection schedule could cause a severe reduction in the accuracy of reporting due to memory decay.  Also, a major feature of the SIPP is that it produces a time series of data as described above.  Breaks in the series arising from cessation of the interviewing would severely limit the data's usability.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right" w:pos="9360"/>
        </w:tabs>
        <w:ind w:left="950"/>
        <w:outlineLvl w:val="0"/>
        <w:rPr>
          <w:rFonts w:ascii="Times New Roman" w:hAnsi="Times New Roman"/>
        </w:rPr>
      </w:pPr>
      <w:r>
        <w:rPr>
          <w:rFonts w:ascii="Times New Roman" w:hAnsi="Times New Roman"/>
        </w:rPr>
        <w:t xml:space="preserve">There are no special circumstances associated with this clearance request.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outlineLvl w:val="0"/>
        <w:rPr>
          <w:rFonts w:ascii="Times New Roman" w:hAnsi="Times New Roman"/>
        </w:rPr>
      </w:pPr>
      <w:r>
        <w:rPr>
          <w:rFonts w:ascii="Times New Roman" w:hAnsi="Times New Roman"/>
        </w:rPr>
        <w:t xml:space="preserve"> </w:t>
      </w:r>
      <w:r>
        <w:rPr>
          <w:rFonts w:ascii="Times New Roman" w:hAnsi="Times New Roman"/>
        </w:rPr>
        <w:tab/>
        <w:t>8.</w:t>
      </w:r>
      <w:r>
        <w:rPr>
          <w:rFonts w:ascii="Times New Roman" w:hAnsi="Times New Roman"/>
        </w:rPr>
        <w:tab/>
      </w:r>
      <w:r>
        <w:rPr>
          <w:rFonts w:ascii="Times New Roman" w:hAnsi="Times New Roman"/>
          <w:u w:val="single"/>
        </w:rPr>
        <w:t xml:space="preserve">Consultations </w:t>
      </w:r>
      <w:proofErr w:type="gramStart"/>
      <w:r>
        <w:rPr>
          <w:rFonts w:ascii="Times New Roman" w:hAnsi="Times New Roman"/>
          <w:u w:val="single"/>
        </w:rPr>
        <w:t>Outside</w:t>
      </w:r>
      <w:proofErr w:type="gramEnd"/>
      <w:r>
        <w:rPr>
          <w:rFonts w:ascii="Times New Roman" w:hAnsi="Times New Roman"/>
          <w:u w:val="single"/>
        </w:rPr>
        <w:t xml:space="preserve"> the Agency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OMB established an Interagency Advisory Committee to provide guidance for the content and procedures for the SIPP.  That committee along with the subcommittee on the topical modules has worked actively with the Census Bureau to assure that the SIPP content and procedures collect the appropriate data and that duplications between surveys are minimized to the extent possible.</w:t>
      </w:r>
    </w:p>
    <w:p w:rsidR="004A39B6" w:rsidRDefault="004A39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0C691B">
          <w:type w:val="continuous"/>
          <w:pgSz w:w="12240" w:h="15840"/>
          <w:pgMar w:top="1440" w:right="1440" w:bottom="1440" w:left="1440" w:header="1440" w:footer="1440" w:gutter="0"/>
          <w:cols w:space="720"/>
          <w:noEndnote/>
        </w:sectPr>
      </w:pPr>
    </w:p>
    <w:p w:rsidR="000C691B" w:rsidRPr="007024FA"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color w:val="0070C0"/>
        </w:rPr>
      </w:pPr>
      <w:r>
        <w:rPr>
          <w:rFonts w:ascii="Times New Roman" w:hAnsi="Times New Roman"/>
        </w:rPr>
        <w:lastRenderedPageBreak/>
        <w:t xml:space="preserve">We published a notice in the </w:t>
      </w:r>
      <w:r>
        <w:rPr>
          <w:rFonts w:ascii="Times New Roman" w:hAnsi="Times New Roman"/>
          <w:i/>
          <w:iCs/>
        </w:rPr>
        <w:t>Federal Register</w:t>
      </w:r>
      <w:r>
        <w:rPr>
          <w:rFonts w:ascii="Times New Roman" w:hAnsi="Times New Roman"/>
        </w:rPr>
        <w:t xml:space="preserve"> on</w:t>
      </w:r>
      <w:r w:rsidR="004A39B6">
        <w:rPr>
          <w:rFonts w:ascii="Times New Roman" w:hAnsi="Times New Roman"/>
        </w:rPr>
        <w:t xml:space="preserve"> December 23, 2010, Vol. 75, </w:t>
      </w:r>
      <w:r>
        <w:rPr>
          <w:rFonts w:ascii="Times New Roman" w:hAnsi="Times New Roman"/>
        </w:rPr>
        <w:t>No.</w:t>
      </w:r>
      <w:r w:rsidR="004A39B6">
        <w:rPr>
          <w:rFonts w:ascii="Times New Roman" w:hAnsi="Times New Roman"/>
        </w:rPr>
        <w:t xml:space="preserve"> 246</w:t>
      </w:r>
      <w:r>
        <w:rPr>
          <w:rFonts w:ascii="Times New Roman" w:hAnsi="Times New Roman"/>
        </w:rPr>
        <w:t xml:space="preserve">, page </w:t>
      </w:r>
      <w:r w:rsidR="000E339C">
        <w:rPr>
          <w:rFonts w:ascii="Times New Roman" w:hAnsi="Times New Roman"/>
        </w:rPr>
        <w:t>80790</w:t>
      </w:r>
      <w:r>
        <w:rPr>
          <w:rFonts w:ascii="Times New Roman" w:hAnsi="Times New Roman"/>
        </w:rPr>
        <w:t xml:space="preserve">, inviting public comment on our plans to submit this request. </w:t>
      </w:r>
      <w:r w:rsidR="007024FA">
        <w:rPr>
          <w:rFonts w:ascii="Times New Roman" w:hAnsi="Times New Roman"/>
        </w:rPr>
        <w:t xml:space="preserve"> </w:t>
      </w:r>
      <w:r w:rsidRPr="007024FA">
        <w:rPr>
          <w:rFonts w:ascii="Times New Roman" w:hAnsi="Times New Roman"/>
        </w:rPr>
        <w:t xml:space="preserve">We received </w:t>
      </w:r>
      <w:r w:rsidR="007024FA" w:rsidRPr="007024FA">
        <w:rPr>
          <w:rFonts w:ascii="Times New Roman" w:hAnsi="Times New Roman"/>
        </w:rPr>
        <w:t>no</w:t>
      </w:r>
      <w:r w:rsidRPr="007024FA">
        <w:rPr>
          <w:rFonts w:ascii="Times New Roman" w:hAnsi="Times New Roman"/>
        </w:rPr>
        <w:t xml:space="preserve"> comment</w:t>
      </w:r>
      <w:r w:rsidR="007024FA" w:rsidRPr="007024FA">
        <w:rPr>
          <w:rFonts w:ascii="Times New Roman" w:hAnsi="Times New Roman"/>
        </w:rPr>
        <w:t>s.</w:t>
      </w:r>
      <w:r w:rsidRPr="007024FA">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p>
    <w:p w:rsidR="00890ECE" w:rsidRDefault="00890ECE"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890ECE" w:rsidRDefault="00890ECE"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890ECE" w:rsidRDefault="00890ECE"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7024FA" w:rsidRDefault="007024FA"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7024FA" w:rsidRDefault="007024FA"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lastRenderedPageBreak/>
        <w:t>9.</w:t>
      </w:r>
      <w:r>
        <w:rPr>
          <w:rFonts w:ascii="Times New Roman" w:hAnsi="Times New Roman"/>
        </w:rPr>
        <w:tab/>
      </w:r>
      <w:r>
        <w:rPr>
          <w:rFonts w:ascii="Times New Roman" w:hAnsi="Times New Roman"/>
          <w:u w:val="single"/>
        </w:rPr>
        <w:t>Paying Respondents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Pr>
          <w:rFonts w:ascii="Times New Roman" w:hAnsi="Times New Roman"/>
        </w:rPr>
        <w:sym w:font="WP TypographicSymbols" w:char="003D"/>
      </w:r>
      <w:r>
        <w:rPr>
          <w:rFonts w:ascii="Times New Roman" w:hAnsi="Times New Roman"/>
        </w:rPr>
        <w:t xml:space="preserve">s plans are to continue the Incentive Test during the remaining waves of the 2008 Panel as described in the Memorandum from Ruth Ann </w:t>
      </w:r>
      <w:proofErr w:type="spellStart"/>
      <w:r>
        <w:rPr>
          <w:rFonts w:ascii="Times New Roman" w:hAnsi="Times New Roman"/>
        </w:rPr>
        <w:t>Killion</w:t>
      </w:r>
      <w:proofErr w:type="spellEnd"/>
      <w:r>
        <w:rPr>
          <w:rFonts w:ascii="Times New Roman" w:hAnsi="Times New Roman"/>
        </w:rPr>
        <w:t xml:space="preserve"> to Brian Harris-</w:t>
      </w:r>
      <w:proofErr w:type="spellStart"/>
      <w:r>
        <w:rPr>
          <w:rFonts w:ascii="Times New Roman" w:hAnsi="Times New Roman"/>
        </w:rPr>
        <w:t>Kojetin</w:t>
      </w:r>
      <w:proofErr w:type="spellEnd"/>
      <w:r>
        <w:rPr>
          <w:rFonts w:ascii="Times New Roman" w:hAnsi="Times New Roman"/>
        </w:rPr>
        <w:t xml:space="preserve"> dated July 2, 2008, with the subject </w:t>
      </w:r>
      <w:r>
        <w:rPr>
          <w:rFonts w:ascii="Times New Roman" w:hAnsi="Times New Roman"/>
        </w:rPr>
        <w:sym w:font="WP TypographicSymbols" w:char="0041"/>
      </w:r>
      <w:r>
        <w:rPr>
          <w:rFonts w:ascii="Times New Roman" w:hAnsi="Times New Roman"/>
        </w:rPr>
        <w:t>SIPP 2008: Incentive Test (ALYS-4).</w:t>
      </w:r>
      <w:r>
        <w:rPr>
          <w:rFonts w:ascii="Times New Roman" w:hAnsi="Times New Roman"/>
        </w:rPr>
        <w:sym w:font="WP TypographicSymbols" w:char="0040"/>
      </w:r>
      <w:r>
        <w:rPr>
          <w:rFonts w:ascii="Times New Roman" w:hAnsi="Times New Roman"/>
        </w:rPr>
        <w:t xml:space="preserve">  During Wave 1, 25 percent of the respondents were sent a $20 incentive with the Advance Letter, 25 percent were eligible for a $40 discretionary incentive, and 50 percent were assigned to the control group and not eligible for an incentive.  In Wave 2+ the same 25 percent of respondents continue to be eligible for the $40 discretionary incentives at each wave.  The incentive is in the form of a debit card with a unique PIN number which can be cashed at any ATM machine.  The discretionary incentive is offered by the FR at the point the respondent is clearly planning to leave the survey and is used to persuade them to respond.  The FR makes clear at the time the incentive is offered that a complete interview is required before the debit card and unique PIN number is given.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570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We are conducting this survey under the authority of Title 13, United States Code, </w:t>
      </w:r>
      <w:proofErr w:type="gramStart"/>
      <w:r>
        <w:rPr>
          <w:rFonts w:ascii="Times New Roman" w:hAnsi="Times New Roman"/>
        </w:rPr>
        <w:t>Section</w:t>
      </w:r>
      <w:proofErr w:type="gramEnd"/>
      <w:r>
        <w:rPr>
          <w:rFonts w:ascii="Times New Roman" w:hAnsi="Times New Roman"/>
        </w:rPr>
        <w:t xml:space="preserve"> 182.  Section 9 of this law requires us to keep all information strictly confidential.  Each wave, a letter from the Director of the Census Bureau is sent to each household. This letter informs respondents of the confidentiality of their responses and the voluntary nature of the survey. (Attachment</w:t>
      </w:r>
      <w:r w:rsidR="00146203">
        <w:rPr>
          <w:rFonts w:ascii="Times New Roman" w:hAnsi="Times New Roman"/>
        </w:rPr>
        <w:t>s</w:t>
      </w:r>
      <w:r>
        <w:rPr>
          <w:rFonts w:ascii="Times New Roman" w:hAnsi="Times New Roman"/>
        </w:rPr>
        <w:t xml:space="preserve"> B</w:t>
      </w:r>
      <w:r w:rsidR="00146203">
        <w:rPr>
          <w:rFonts w:ascii="Times New Roman" w:hAnsi="Times New Roman"/>
        </w:rPr>
        <w:t xml:space="preserve"> and C</w:t>
      </w:r>
      <w:r w:rsidR="00F3294F">
        <w:rPr>
          <w:rFonts w:ascii="Times New Roman" w:hAnsi="Times New Roman"/>
        </w:rPr>
        <w:t>)</w:t>
      </w:r>
      <w:r>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60164"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sources of income and assets are among the kinds of data collected and may be considered to be of a sensitive nature.  The Census Bureau takes the position that the collection of these types of data is necessary for the analysis of important policy and program issues and has structured the questions to lessen their sensitivity.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and 2004 SIPP panels and in-house testing, the burden estimates for FY 2011 are as follows:</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3294F" w:rsidRDefault="00F3294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3294F" w:rsidRDefault="00F3294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3294F" w:rsidRDefault="00F3294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890ECE"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b/>
          <w:bCs/>
        </w:rPr>
      </w:pPr>
      <w:r>
        <w:rPr>
          <w:rFonts w:ascii="Times New Roman" w:hAnsi="Times New Roman"/>
        </w:rPr>
        <w:lastRenderedPageBreak/>
        <w:tab/>
      </w:r>
      <w:r w:rsidR="000C691B">
        <w:rPr>
          <w:rFonts w:ascii="Times New Roman" w:hAnsi="Times New Roman"/>
          <w:b/>
          <w:bCs/>
        </w:rPr>
        <w:t>2008 SIPP PANEL</w:t>
      </w:r>
    </w:p>
    <w:p w:rsidR="000C691B" w:rsidRDefault="000C691B"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rPr>
      </w:pPr>
      <w:r>
        <w:rPr>
          <w:rFonts w:ascii="Times New Roman" w:hAnsi="Times New Roman"/>
          <w:b/>
          <w:bCs/>
        </w:rPr>
        <w:tab/>
        <w:t>FY 2011 BURDEN HOUR SUMMARY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tbl>
      <w:tblPr>
        <w:tblW w:w="0" w:type="auto"/>
        <w:tblInd w:w="1102" w:type="dxa"/>
        <w:tblLayout w:type="fixed"/>
        <w:tblCellMar>
          <w:left w:w="112" w:type="dxa"/>
          <w:right w:w="112" w:type="dxa"/>
        </w:tblCellMar>
        <w:tblLook w:val="0000"/>
      </w:tblPr>
      <w:tblGrid>
        <w:gridCol w:w="1530"/>
        <w:gridCol w:w="1530"/>
        <w:gridCol w:w="990"/>
        <w:gridCol w:w="1620"/>
        <w:gridCol w:w="1350"/>
        <w:gridCol w:w="1170"/>
      </w:tblGrid>
      <w:tr w:rsidR="000C691B" w:rsidTr="00D166DE">
        <w:tc>
          <w:tcPr>
            <w:tcW w:w="1530" w:type="dxa"/>
            <w:tcBorders>
              <w:top w:val="double" w:sz="7" w:space="0" w:color="000000"/>
              <w:left w:val="double" w:sz="7" w:space="0" w:color="000000"/>
              <w:bottom w:val="single" w:sz="6" w:space="0" w:color="FFFFFF"/>
              <w:right w:val="single" w:sz="6" w:space="0" w:color="FFFFFF"/>
            </w:tcBorders>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      </w:t>
            </w:r>
          </w:p>
        </w:tc>
        <w:tc>
          <w:tcPr>
            <w:tcW w:w="153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Respondents</w:t>
            </w:r>
          </w:p>
        </w:tc>
        <w:tc>
          <w:tcPr>
            <w:tcW w:w="99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Waves</w:t>
            </w:r>
          </w:p>
        </w:tc>
        <w:tc>
          <w:tcPr>
            <w:tcW w:w="162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Responses</w:t>
            </w:r>
          </w:p>
        </w:tc>
        <w:tc>
          <w:tcPr>
            <w:tcW w:w="135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 Per Response</w:t>
            </w:r>
          </w:p>
        </w:tc>
        <w:tc>
          <w:tcPr>
            <w:tcW w:w="1170" w:type="dxa"/>
            <w:tcBorders>
              <w:top w:val="double" w:sz="7" w:space="0" w:color="000000"/>
              <w:left w:val="single" w:sz="7" w:space="0" w:color="000000"/>
              <w:bottom w:val="single" w:sz="6" w:space="0" w:color="FFFFFF"/>
              <w:right w:val="double" w:sz="7" w:space="0" w:color="000000"/>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Total</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283,500</w:t>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.50</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141,750</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Re</w:t>
            </w:r>
            <w:r w:rsidR="00D166DE">
              <w:rPr>
                <w:rFonts w:ascii="Times New Roman" w:hAnsi="Times New Roman"/>
              </w:rPr>
              <w:t>-</w:t>
            </w: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3,100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9,300 </w:t>
            </w:r>
            <w:r>
              <w:rPr>
                <w:rStyle w:val="FootnoteReference"/>
                <w:rFonts w:ascii="Times New Roman" w:hAnsi="Times New Roman"/>
                <w:vertAlign w:val="superscript"/>
              </w:rPr>
              <w:footnoteReference w:id="1"/>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.167</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1,553</w:t>
            </w:r>
          </w:p>
        </w:tc>
      </w:tr>
      <w:tr w:rsidR="000C691B" w:rsidTr="00D166DE">
        <w:trPr>
          <w:trHeight w:val="586"/>
        </w:trPr>
        <w:tc>
          <w:tcPr>
            <w:tcW w:w="1530" w:type="dxa"/>
            <w:tcBorders>
              <w:top w:val="single" w:sz="7" w:space="0" w:color="000000"/>
              <w:left w:val="double" w:sz="7" w:space="0" w:color="000000"/>
              <w:bottom w:val="double" w:sz="7" w:space="0" w:color="000000"/>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right"/>
              <w:rPr>
                <w:rFonts w:ascii="Times New Roman" w:hAnsi="Times New Roman"/>
              </w:rPr>
            </w:pPr>
            <w:r>
              <w:rPr>
                <w:rFonts w:ascii="Times New Roman" w:hAnsi="Times New Roman"/>
              </w:rPr>
              <w:t xml:space="preserve">      Totals       </w:t>
            </w:r>
          </w:p>
        </w:tc>
        <w:tc>
          <w:tcPr>
            <w:tcW w:w="153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double" w:sz="7" w:space="0" w:color="000000"/>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3.09 </w:t>
            </w:r>
            <w:r>
              <w:rPr>
                <w:rStyle w:val="FootnoteReference"/>
                <w:rFonts w:ascii="Times New Roman" w:hAnsi="Times New Roman"/>
                <w:vertAlign w:val="superscript"/>
              </w:rPr>
              <w:footnoteReference w:id="2"/>
            </w:r>
          </w:p>
        </w:tc>
        <w:tc>
          <w:tcPr>
            <w:tcW w:w="162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292,800</w:t>
            </w:r>
          </w:p>
        </w:tc>
        <w:tc>
          <w:tcPr>
            <w:tcW w:w="135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.49 </w:t>
            </w:r>
            <w:r>
              <w:rPr>
                <w:rStyle w:val="FootnoteReference"/>
                <w:rFonts w:ascii="Times New Roman" w:hAnsi="Times New Roman"/>
                <w:vertAlign w:val="superscript"/>
              </w:rPr>
              <w:footnoteReference w:id="3"/>
            </w:r>
          </w:p>
        </w:tc>
        <w:tc>
          <w:tcPr>
            <w:tcW w:w="1170" w:type="dxa"/>
            <w:tcBorders>
              <w:top w:val="single" w:sz="7" w:space="0" w:color="000000"/>
              <w:left w:val="single" w:sz="7" w:space="0" w:color="000000"/>
              <w:bottom w:val="double" w:sz="7" w:space="0" w:color="000000"/>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143,303</w:t>
            </w:r>
          </w:p>
        </w:tc>
      </w:tr>
    </w:tbl>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will obtain interviews from approximately 45,000 households, yielding about 94,500 individual interviews (2.1 individuals 15 years old or over per household).  The household interviews are conducted at 4 month intervals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total number of burden hours requested for Wave</w:t>
      </w:r>
      <w:r w:rsidR="00C66254">
        <w:rPr>
          <w:rFonts w:ascii="Times New Roman" w:hAnsi="Times New Roman"/>
        </w:rPr>
        <w:t xml:space="preserve"> 10</w:t>
      </w:r>
      <w:r>
        <w:rPr>
          <w:rFonts w:ascii="Times New Roman" w:hAnsi="Times New Roman"/>
        </w:rPr>
        <w:t>, inclusive of the core, topical module sections of the instrument and re</w:t>
      </w:r>
      <w:r w:rsidR="00E54C34">
        <w:rPr>
          <w:rFonts w:ascii="Times New Roman" w:hAnsi="Times New Roman"/>
        </w:rPr>
        <w:t>-</w:t>
      </w:r>
      <w:r>
        <w:rPr>
          <w:rFonts w:ascii="Times New Roman" w:hAnsi="Times New Roman"/>
        </w:rPr>
        <w:t>interview is 47,767.  The total number of burden hours for the 2008 SIPP Panel in FY 2011 is 143,303.</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D296F" w:rsidRDefault="005D296F"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5D296F" w:rsidRDefault="005D296F"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146203" w:rsidRDefault="00146203"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146203" w:rsidRDefault="00146203"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146203" w:rsidRDefault="00146203"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lastRenderedPageBreak/>
        <w:t>14.</w:t>
      </w:r>
      <w:r>
        <w:rPr>
          <w:rFonts w:ascii="Times New Roman" w:hAnsi="Times New Roman"/>
        </w:rPr>
        <w:tab/>
      </w:r>
      <w:r>
        <w:rPr>
          <w:rFonts w:ascii="Times New Roman" w:hAnsi="Times New Roman"/>
          <w:u w:val="single"/>
        </w:rPr>
        <w:t>Cost to Federal Government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production costs of all parts of this survey are approximately $50,096,000 in FY 2011.  That amount is included in the estimate of total costs to the federal government of the Census Bureau's current programs supplied to the OMB.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lastRenderedPageBreak/>
        <w:t>15.</w:t>
      </w:r>
      <w:r>
        <w:rPr>
          <w:rFonts w:ascii="Times New Roman" w:hAnsi="Times New Roman"/>
        </w:rPr>
        <w:tab/>
      </w:r>
      <w:r>
        <w:rPr>
          <w:rFonts w:ascii="Times New Roman" w:hAnsi="Times New Roman"/>
          <w:u w:val="single"/>
        </w:rPr>
        <w:t>Reason for Change in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 xml:space="preserve">There is no change in burden.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sidR="00E54C34">
        <w:rPr>
          <w:rFonts w:ascii="Times New Roman" w:hAnsi="Times New Roman"/>
        </w:rPr>
        <w:t xml:space="preserve"> will release a series of cross-</w:t>
      </w:r>
      <w:r>
        <w:rPr>
          <w:rFonts w:ascii="Times New Roman" w:hAnsi="Times New Roman"/>
        </w:rPr>
        <w:t>sectional and topical module reports from the 2008 Panel.  Edited cross-sectional core files as well as topical module file</w:t>
      </w:r>
      <w:r w:rsidR="001F0CBA">
        <w:rPr>
          <w:rFonts w:ascii="Times New Roman" w:hAnsi="Times New Roman"/>
        </w:rPr>
        <w:t>s will be released.</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Wave-based data can be used to create a basic set of statistics from the SIPP core.  These statistics can be used to evaluate the survey, to profile the participants in various</w:t>
      </w:r>
      <w:r w:rsidR="001F0CBA">
        <w:rPr>
          <w:rFonts w:ascii="Times New Roman" w:hAnsi="Times New Roman"/>
        </w:rPr>
        <w:t xml:space="preserve"> </w:t>
      </w:r>
      <w:r w:rsidR="00D446B2">
        <w:rPr>
          <w:rFonts w:ascii="Times New Roman" w:hAnsi="Times New Roman"/>
        </w:rPr>
        <w:t>programs,</w:t>
      </w:r>
      <w:r>
        <w:rPr>
          <w:rFonts w:ascii="Times New Roman" w:hAnsi="Times New Roman"/>
        </w:rPr>
        <w:t xml:space="preserve"> to examine the characteristics of the population in need, and to examine how the economy is changing.  Such statistics can include average monthly estimates of:</w:t>
      </w:r>
    </w:p>
    <w:p w:rsidR="000A41C8" w:rsidRDefault="000A41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Median household income.</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Number of workers and their median earnings.</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Number of people in poverty.</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227" w:hanging="3802"/>
        <w:rPr>
          <w:rFonts w:ascii="Times New Roman" w:hAnsi="Times New Roman"/>
        </w:rPr>
      </w:pPr>
      <w:r>
        <w:rPr>
          <w:rFonts w:ascii="Times New Roman" w:hAnsi="Times New Roman"/>
        </w:rPr>
        <w:sym w:font="WP TypographicSymbols" w:char="0021"/>
      </w:r>
      <w:r>
        <w:rPr>
          <w:rFonts w:ascii="Times New Roman" w:hAnsi="Times New Roman"/>
        </w:rPr>
        <w:tab/>
        <w:t>People with labor force activities.</w:t>
      </w:r>
      <w:r>
        <w:rPr>
          <w:rFonts w:ascii="Times New Roman" w:hAnsi="Times New Roman"/>
        </w:rPr>
        <w:tab/>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People who spent time looking for work or on layoff.</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Participants in government programs, such as: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250F03">
        <w:rPr>
          <w:rFonts w:ascii="Times New Roman" w:hAnsi="Times New Roman"/>
        </w:rPr>
        <w:tab/>
      </w:r>
      <w:proofErr w:type="gramStart"/>
      <w:r w:rsidR="00250F03">
        <w:rPr>
          <w:rFonts w:ascii="Times New Roman" w:hAnsi="Times New Roman"/>
        </w:rPr>
        <w:t>Public A</w:t>
      </w:r>
      <w:r>
        <w:rPr>
          <w:rFonts w:ascii="Times New Roman" w:hAnsi="Times New Roman"/>
        </w:rPr>
        <w:t>ssistance.</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250F03">
        <w:rPr>
          <w:rFonts w:ascii="Times New Roman" w:hAnsi="Times New Roman"/>
        </w:rPr>
        <w:tab/>
      </w:r>
      <w:proofErr w:type="gramStart"/>
      <w:r w:rsidR="00250F03">
        <w:rPr>
          <w:rFonts w:ascii="Times New Roman" w:hAnsi="Times New Roman"/>
        </w:rPr>
        <w:t>Social Security and Supplemental Security I</w:t>
      </w:r>
      <w:r>
        <w:rPr>
          <w:rFonts w:ascii="Times New Roman" w:hAnsi="Times New Roman"/>
        </w:rPr>
        <w:t>ncome.</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School lunches.</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 xml:space="preserve">Food </w:t>
      </w:r>
      <w:r w:rsidR="00250F03">
        <w:rPr>
          <w:rFonts w:ascii="Times New Roman" w:hAnsi="Times New Roman"/>
        </w:rPr>
        <w:t>S</w:t>
      </w:r>
      <w:r>
        <w:rPr>
          <w:rFonts w:ascii="Times New Roman" w:hAnsi="Times New Roman"/>
        </w:rPr>
        <w:t>tamps.</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E54C34">
        <w:rPr>
          <w:rFonts w:ascii="Times New Roman" w:hAnsi="Times New Roman"/>
        </w:rPr>
        <w:tab/>
      </w:r>
      <w:proofErr w:type="gramStart"/>
      <w:r w:rsidR="00E54C34">
        <w:rPr>
          <w:rFonts w:ascii="Times New Roman" w:hAnsi="Times New Roman"/>
        </w:rPr>
        <w:t>Medicare and M</w:t>
      </w:r>
      <w:r>
        <w:rPr>
          <w:rFonts w:ascii="Times New Roman" w:hAnsi="Times New Roman"/>
        </w:rPr>
        <w:t>edicaid.</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Public or subsidized housing.</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Unemployment and workers' compensation.</w:t>
      </w:r>
      <w:proofErr w:type="gramEnd"/>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These statistics from each SIPP wave are crossed by race, age, and other characteristics and could be the basis for a report or fact sheet on the economic situation of Americans and their families.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r>
        <w:rPr>
          <w:rFonts w:ascii="Times New Roman" w:hAnsi="Times New Roman"/>
        </w:rPr>
        <w:tab/>
      </w:r>
    </w:p>
    <w:p w:rsidR="00CF0F42" w:rsidRDefault="00CF0F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CF0F42" w:rsidRDefault="00CF0F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CF0F42" w:rsidRDefault="00CF0F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CF0F42" w:rsidRDefault="00CF0F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CF0F42" w:rsidRDefault="00CF0F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85049" w:rsidRDefault="00F8504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These data products will enable us to examine issues such as: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Annual income and poverty estimates based on different definitions of income.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Estimates of people experiencing unemployment and median unemployment spells.</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characteristics of people ever participating in government programs and people who participated in each month.</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Median program participation spells.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The characteristics of people with lapses in health insurance coverage.</w:t>
      </w:r>
      <w:proofErr w:type="gramEnd"/>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Median spells without health insurance.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r>
      <w:proofErr w:type="gramStart"/>
      <w:r>
        <w:rPr>
          <w:rFonts w:ascii="Times New Roman" w:hAnsi="Times New Roman"/>
        </w:rPr>
        <w:t>Family and household transitions.</w:t>
      </w:r>
      <w:proofErr w:type="gramEnd"/>
    </w:p>
    <w:p w:rsidR="00890ECE" w:rsidRDefault="00890ECE">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In addition, as our observation length grows, we will be better able to examine issues such as long-term versus short-term poverty and program participation.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request not to display the expiration date to avoid unnecessary respondent confusion arising from the fact that the OMB approval lasts for three years and respondent participation in the SIPP often lasts for longer periods.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sectPr w:rsidR="000C691B" w:rsidSect="000C691B">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0D" w:rsidRDefault="00EC000D" w:rsidP="000C691B">
      <w:r>
        <w:separator/>
      </w:r>
    </w:p>
  </w:endnote>
  <w:endnote w:type="continuationSeparator" w:id="0">
    <w:p w:rsidR="00EC000D" w:rsidRDefault="00EC000D" w:rsidP="000C691B">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0D" w:rsidRDefault="00EC000D" w:rsidP="000C691B">
      <w:r>
        <w:separator/>
      </w:r>
    </w:p>
  </w:footnote>
  <w:footnote w:type="continuationSeparator" w:id="0">
    <w:p w:rsidR="00EC000D" w:rsidRDefault="00EC000D" w:rsidP="000C691B">
      <w:r>
        <w:continuationSeparator/>
      </w:r>
    </w:p>
  </w:footnote>
  <w:footnote w:id="1">
    <w:p w:rsidR="00EC000D" w:rsidRDefault="00EC000D" w:rsidP="00C71D1D">
      <w:pPr>
        <w:tabs>
          <w:tab w:val="left" w:pos="-1440"/>
        </w:tabs>
        <w:ind w:left="1440" w:hanging="720"/>
        <w:rPr>
          <w:rFonts w:ascii="Times New Roman" w:hAnsi="Times New Roman"/>
          <w:sz w:val="18"/>
          <w:szCs w:val="18"/>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 xml:space="preserve">The 3,100 cases in re-interview will be contacted twice during the same wave.  Therefore, the total number of </w:t>
      </w:r>
      <w:r>
        <w:rPr>
          <w:rFonts w:ascii="Times New Roman" w:hAnsi="Times New Roman"/>
          <w:b/>
          <w:bCs/>
          <w:sz w:val="18"/>
          <w:szCs w:val="18"/>
        </w:rPr>
        <w:t>respondents</w:t>
      </w:r>
      <w:r>
        <w:rPr>
          <w:rFonts w:ascii="Times New Roman" w:hAnsi="Times New Roman"/>
          <w:sz w:val="18"/>
          <w:szCs w:val="18"/>
        </w:rPr>
        <w:t xml:space="preserve"> is 94,500 per wave (included in original interview sample).</w:t>
      </w:r>
    </w:p>
    <w:p w:rsidR="00EC000D" w:rsidRDefault="00EC000D" w:rsidP="002B66B1">
      <w:pPr>
        <w:tabs>
          <w:tab w:val="left" w:pos="-1440"/>
        </w:tabs>
        <w:ind w:left="1440" w:hanging="720"/>
        <w:rPr>
          <w:rFonts w:cs="Shruti"/>
          <w:sz w:val="22"/>
          <w:szCs w:val="22"/>
        </w:rPr>
      </w:pPr>
    </w:p>
  </w:footnote>
  <w:footnote w:id="2">
    <w:p w:rsidR="00EC000D" w:rsidRDefault="00EC000D">
      <w:pPr>
        <w:spacing w:after="240"/>
        <w:ind w:firstLine="720"/>
        <w:rPr>
          <w:rFonts w:cs="Shruti"/>
          <w:sz w:val="18"/>
          <w:szCs w:val="18"/>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 xml:space="preserve">The weighted average for waves is determined by taking the number of respondents interviewed once during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a wave (91,400 contacts) plus the number of households that will be interviewed twice during a wave due to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re-interview (6,200 contacts) and dividing this sum by the number of total respondents in the SIPP/CAPI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sample (94,500 respondents) times three waves; this comes out to 3.09 (weighted average).</w:t>
      </w:r>
      <w:r>
        <w:rPr>
          <w:rFonts w:ascii="Times New Roman" w:hAnsi="Times New Roman"/>
          <w:sz w:val="18"/>
          <w:szCs w:val="18"/>
        </w:rPr>
        <w:tab/>
      </w:r>
    </w:p>
  </w:footnote>
  <w:footnote w:id="3">
    <w:p w:rsidR="00EC000D" w:rsidRDefault="00EC000D">
      <w:pPr>
        <w:tabs>
          <w:tab w:val="left" w:pos="-1440"/>
        </w:tabs>
        <w:ind w:left="1440" w:hanging="720"/>
        <w:rPr>
          <w:rFonts w:ascii="Times New Roman" w:hAnsi="Times New Roman"/>
          <w:sz w:val="22"/>
          <w:szCs w:val="22"/>
        </w:rPr>
      </w:pPr>
      <w:r>
        <w:rPr>
          <w:rStyle w:val="FootnoteReference"/>
          <w:sz w:val="22"/>
          <w:szCs w:val="22"/>
          <w:vertAlign w:val="superscript"/>
        </w:rPr>
        <w:footnoteRef/>
      </w:r>
      <w:r>
        <w:rPr>
          <w:rFonts w:ascii="Times New Roman" w:hAnsi="Times New Roman"/>
          <w:sz w:val="18"/>
          <w:szCs w:val="18"/>
        </w:rPr>
        <w:tab/>
        <w:t>The weighted average for hours per response is determined by multiplying the number of interview responses by the response hours (283,500 * .50) plus the number of re-interview responses multiplied by the response hours (9,300 * .167) and dividing this sum by the total number of responses per fiscal year (292,800); this comes out to 0.49.</w:t>
      </w:r>
    </w:p>
    <w:p w:rsidR="00EC000D" w:rsidRDefault="00EC000D">
      <w:pPr>
        <w:tabs>
          <w:tab w:val="left" w:pos="0"/>
        </w:tabs>
        <w:spacing w:after="240"/>
        <w:ind w:left="1440"/>
        <w:rPr>
          <w:rFonts w:cs="Shruti"/>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0D" w:rsidRDefault="00EC000D">
    <w:pPr>
      <w:framePr w:w="9361" w:wrap="notBeside" w:vAnchor="text" w:hAnchor="text" w:x="1" w:y="1"/>
      <w:jc w:val="right"/>
      <w:rPr>
        <w:sz w:val="22"/>
        <w:szCs w:val="22"/>
      </w:rPr>
    </w:pPr>
    <w:r>
      <w:rPr>
        <w:sz w:val="22"/>
        <w:szCs w:val="22"/>
      </w:rPr>
      <w:fldChar w:fldCharType="begin"/>
    </w:r>
    <w:r>
      <w:rPr>
        <w:sz w:val="22"/>
        <w:szCs w:val="22"/>
      </w:rPr>
      <w:instrText xml:space="preserve">PAGE </w:instrText>
    </w:r>
    <w:r>
      <w:rPr>
        <w:sz w:val="22"/>
        <w:szCs w:val="22"/>
      </w:rPr>
      <w:fldChar w:fldCharType="separate"/>
    </w:r>
    <w:r w:rsidR="00F8375D">
      <w:rPr>
        <w:noProof/>
        <w:sz w:val="22"/>
        <w:szCs w:val="22"/>
      </w:rPr>
      <w:t>9</w:t>
    </w:r>
    <w:r>
      <w:rPr>
        <w:sz w:val="22"/>
        <w:szCs w:val="22"/>
      </w:rPr>
      <w:fldChar w:fldCharType="end"/>
    </w:r>
  </w:p>
  <w:p w:rsidR="00EC000D" w:rsidRDefault="00EC000D">
    <w:pPr>
      <w:rPr>
        <w:sz w:val="22"/>
        <w:szCs w:val="22"/>
      </w:rPr>
    </w:pPr>
  </w:p>
  <w:p w:rsidR="00EC000D" w:rsidRDefault="00EC000D">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40A832"/>
    <w:lvl w:ilvl="0">
      <w:numFmt w:val="bullet"/>
      <w:lvlText w:val="*"/>
      <w:lvlJc w:val="left"/>
    </w:lvl>
  </w:abstractNum>
  <w:abstractNum w:abstractNumId="1">
    <w:nsid w:val="0000000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0C691B"/>
    <w:rsid w:val="00001E90"/>
    <w:rsid w:val="0005501F"/>
    <w:rsid w:val="000A41C8"/>
    <w:rsid w:val="000C691B"/>
    <w:rsid w:val="000E339C"/>
    <w:rsid w:val="00134DFE"/>
    <w:rsid w:val="001457B2"/>
    <w:rsid w:val="00146203"/>
    <w:rsid w:val="00190C35"/>
    <w:rsid w:val="001A3154"/>
    <w:rsid w:val="001F0CBA"/>
    <w:rsid w:val="001F50CE"/>
    <w:rsid w:val="00250F03"/>
    <w:rsid w:val="00276D80"/>
    <w:rsid w:val="002B66B1"/>
    <w:rsid w:val="002D35A7"/>
    <w:rsid w:val="00465EF2"/>
    <w:rsid w:val="00487E45"/>
    <w:rsid w:val="004A39B6"/>
    <w:rsid w:val="0057093B"/>
    <w:rsid w:val="0057521E"/>
    <w:rsid w:val="005908F3"/>
    <w:rsid w:val="005D296F"/>
    <w:rsid w:val="006956CB"/>
    <w:rsid w:val="006C1CA7"/>
    <w:rsid w:val="007024FA"/>
    <w:rsid w:val="00755095"/>
    <w:rsid w:val="007B25BB"/>
    <w:rsid w:val="00862617"/>
    <w:rsid w:val="00870DA3"/>
    <w:rsid w:val="00890ECE"/>
    <w:rsid w:val="008D65C1"/>
    <w:rsid w:val="009C5E39"/>
    <w:rsid w:val="00A60164"/>
    <w:rsid w:val="00AA519A"/>
    <w:rsid w:val="00AC7DB4"/>
    <w:rsid w:val="00B404FA"/>
    <w:rsid w:val="00B43005"/>
    <w:rsid w:val="00C06434"/>
    <w:rsid w:val="00C10BC6"/>
    <w:rsid w:val="00C66254"/>
    <w:rsid w:val="00C71D1D"/>
    <w:rsid w:val="00CA170D"/>
    <w:rsid w:val="00CB03FC"/>
    <w:rsid w:val="00CB1D86"/>
    <w:rsid w:val="00CB47D3"/>
    <w:rsid w:val="00CC0088"/>
    <w:rsid w:val="00CC0A4D"/>
    <w:rsid w:val="00CF0F42"/>
    <w:rsid w:val="00D02229"/>
    <w:rsid w:val="00D166DE"/>
    <w:rsid w:val="00D42C62"/>
    <w:rsid w:val="00D446B2"/>
    <w:rsid w:val="00D54560"/>
    <w:rsid w:val="00DA0A92"/>
    <w:rsid w:val="00E54C34"/>
    <w:rsid w:val="00E83D3F"/>
    <w:rsid w:val="00EC000D"/>
    <w:rsid w:val="00EC435B"/>
    <w:rsid w:val="00EE1FCF"/>
    <w:rsid w:val="00F3294F"/>
    <w:rsid w:val="00F8375D"/>
    <w:rsid w:val="00F83CD8"/>
    <w:rsid w:val="00F847F7"/>
    <w:rsid w:val="00F850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86"/>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B1D86"/>
  </w:style>
  <w:style w:type="paragraph" w:customStyle="1" w:styleId="Style">
    <w:name w:val="Style"/>
    <w:basedOn w:val="Normal"/>
    <w:uiPriority w:val="99"/>
    <w:rsid w:val="00CB1D86"/>
    <w:pPr>
      <w:ind w:left="1900" w:hanging="475"/>
    </w:pPr>
  </w:style>
  <w:style w:type="paragraph" w:customStyle="1" w:styleId="Level1">
    <w:name w:val="Level 1"/>
    <w:basedOn w:val="Normal"/>
    <w:uiPriority w:val="99"/>
    <w:rsid w:val="00CB1D86"/>
    <w:pPr>
      <w:ind w:left="2376" w:hanging="476"/>
    </w:pPr>
  </w:style>
  <w:style w:type="paragraph" w:styleId="DocumentMap">
    <w:name w:val="Document Map"/>
    <w:basedOn w:val="Normal"/>
    <w:link w:val="DocumentMapChar"/>
    <w:uiPriority w:val="99"/>
    <w:semiHidden/>
    <w:unhideWhenUsed/>
    <w:rsid w:val="001F0CBA"/>
    <w:rPr>
      <w:rFonts w:ascii="Tahoma" w:hAnsi="Tahoma" w:cs="Tahoma"/>
      <w:sz w:val="16"/>
      <w:szCs w:val="16"/>
    </w:rPr>
  </w:style>
  <w:style w:type="character" w:customStyle="1" w:styleId="DocumentMapChar">
    <w:name w:val="Document Map Char"/>
    <w:basedOn w:val="DefaultParagraphFont"/>
    <w:link w:val="DocumentMap"/>
    <w:uiPriority w:val="99"/>
    <w:semiHidden/>
    <w:rsid w:val="001F0CBA"/>
    <w:rPr>
      <w:rFonts w:ascii="Tahoma" w:hAnsi="Tahoma" w:cs="Tahoma"/>
      <w:sz w:val="16"/>
      <w:szCs w:val="16"/>
    </w:rPr>
  </w:style>
  <w:style w:type="paragraph" w:styleId="BalloonText">
    <w:name w:val="Balloon Text"/>
    <w:basedOn w:val="Normal"/>
    <w:link w:val="BalloonTextChar"/>
    <w:uiPriority w:val="99"/>
    <w:semiHidden/>
    <w:unhideWhenUsed/>
    <w:rsid w:val="001F50CE"/>
    <w:rPr>
      <w:rFonts w:ascii="Tahoma" w:hAnsi="Tahoma" w:cs="Tahoma"/>
      <w:sz w:val="16"/>
      <w:szCs w:val="16"/>
    </w:rPr>
  </w:style>
  <w:style w:type="character" w:customStyle="1" w:styleId="BalloonTextChar">
    <w:name w:val="Balloon Text Char"/>
    <w:basedOn w:val="DefaultParagraphFont"/>
    <w:link w:val="BalloonText"/>
    <w:uiPriority w:val="99"/>
    <w:semiHidden/>
    <w:rsid w:val="001F5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8C81-0B9E-4401-9955-BE3F21C0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10</Pages>
  <Words>3123</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easto003</cp:lastModifiedBy>
  <cp:revision>20</cp:revision>
  <cp:lastPrinted>2011-02-16T21:37:00Z</cp:lastPrinted>
  <dcterms:created xsi:type="dcterms:W3CDTF">2011-01-25T13:33:00Z</dcterms:created>
  <dcterms:modified xsi:type="dcterms:W3CDTF">2011-02-16T22:43:00Z</dcterms:modified>
</cp:coreProperties>
</file>