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39" w:rsidRDefault="004812C2" w:rsidP="00695539">
      <w:pPr>
        <w:jc w:val="center"/>
        <w:rPr>
          <w:b/>
          <w:bCs/>
          <w:sz w:val="32"/>
          <w:szCs w:val="32"/>
        </w:rPr>
      </w:pPr>
      <w:r>
        <w:rPr>
          <w:b/>
          <w:bCs/>
          <w:sz w:val="32"/>
          <w:szCs w:val="32"/>
        </w:rPr>
        <w:t xml:space="preserve">ICR </w:t>
      </w:r>
      <w:r w:rsidR="00695539">
        <w:rPr>
          <w:b/>
          <w:bCs/>
          <w:sz w:val="32"/>
          <w:szCs w:val="32"/>
        </w:rPr>
        <w:t xml:space="preserve">Supporting Statement </w:t>
      </w:r>
      <w:r w:rsidR="000813B5">
        <w:rPr>
          <w:b/>
          <w:bCs/>
          <w:sz w:val="32"/>
          <w:szCs w:val="32"/>
        </w:rPr>
        <w:t xml:space="preserve">Part </w:t>
      </w:r>
      <w:r w:rsidR="00695539">
        <w:rPr>
          <w:b/>
          <w:bCs/>
          <w:sz w:val="32"/>
          <w:szCs w:val="32"/>
        </w:rPr>
        <w:t>B</w:t>
      </w:r>
    </w:p>
    <w:p w:rsidR="00695539" w:rsidRDefault="00695539" w:rsidP="00695539">
      <w:pPr>
        <w:jc w:val="center"/>
        <w:rPr>
          <w:b/>
          <w:sz w:val="32"/>
          <w:szCs w:val="32"/>
        </w:rPr>
      </w:pPr>
    </w:p>
    <w:p w:rsidR="00310985" w:rsidRDefault="00310985" w:rsidP="00310985">
      <w:pPr>
        <w:jc w:val="center"/>
        <w:rPr>
          <w:b/>
          <w:sz w:val="32"/>
          <w:szCs w:val="32"/>
        </w:rPr>
      </w:pPr>
    </w:p>
    <w:p w:rsidR="00310985" w:rsidRPr="00F0666F" w:rsidRDefault="00310985" w:rsidP="00310985">
      <w:pPr>
        <w:rPr>
          <w:b/>
          <w:sz w:val="28"/>
          <w:szCs w:val="28"/>
        </w:rPr>
      </w:pPr>
      <w:r w:rsidRPr="00F0666F">
        <w:rPr>
          <w:b/>
          <w:sz w:val="28"/>
          <w:szCs w:val="28"/>
        </w:rPr>
        <w:t>Project Title: Division of Behavioral Surveillance (DBS) Gulf States Population Survey</w:t>
      </w:r>
    </w:p>
    <w:p w:rsidR="00310985" w:rsidRPr="00F0666F" w:rsidRDefault="00310985" w:rsidP="00310985">
      <w:pPr>
        <w:rPr>
          <w:b/>
          <w:sz w:val="28"/>
          <w:szCs w:val="28"/>
        </w:rPr>
      </w:pPr>
    </w:p>
    <w:p w:rsidR="00310985" w:rsidRPr="00F0666F" w:rsidRDefault="006A14BC" w:rsidP="00310985">
      <w:pPr>
        <w:rPr>
          <w:b/>
          <w:sz w:val="28"/>
          <w:szCs w:val="28"/>
        </w:rPr>
      </w:pPr>
      <w:r>
        <w:rPr>
          <w:b/>
          <w:sz w:val="28"/>
          <w:szCs w:val="28"/>
        </w:rPr>
        <w:t>COTR/</w:t>
      </w:r>
      <w:r w:rsidR="00310985" w:rsidRPr="00F0666F">
        <w:rPr>
          <w:b/>
          <w:sz w:val="28"/>
          <w:szCs w:val="28"/>
        </w:rPr>
        <w:t>Project Officer: Deborah Gould, PhD</w:t>
      </w:r>
    </w:p>
    <w:p w:rsidR="00310985" w:rsidRPr="00F0666F" w:rsidRDefault="00310985" w:rsidP="00310985">
      <w:pPr>
        <w:rPr>
          <w:b/>
          <w:sz w:val="28"/>
          <w:szCs w:val="28"/>
        </w:rPr>
      </w:pPr>
      <w:r w:rsidRPr="00F0666F">
        <w:rPr>
          <w:b/>
          <w:sz w:val="28"/>
          <w:szCs w:val="28"/>
        </w:rPr>
        <w:t>Phone: 404-498-0562</w:t>
      </w:r>
    </w:p>
    <w:p w:rsidR="00310985" w:rsidRDefault="00310985" w:rsidP="00310985">
      <w:pPr>
        <w:rPr>
          <w:b/>
          <w:sz w:val="28"/>
          <w:szCs w:val="28"/>
        </w:rPr>
      </w:pPr>
      <w:r w:rsidRPr="00F0666F">
        <w:rPr>
          <w:b/>
          <w:sz w:val="28"/>
          <w:szCs w:val="28"/>
        </w:rPr>
        <w:t>Fax: 404-498-</w:t>
      </w:r>
      <w:r>
        <w:rPr>
          <w:b/>
          <w:sz w:val="28"/>
          <w:szCs w:val="28"/>
        </w:rPr>
        <w:t>0595</w:t>
      </w:r>
    </w:p>
    <w:p w:rsidR="00310985" w:rsidRPr="00F0666F" w:rsidRDefault="00310985" w:rsidP="00310985">
      <w:pPr>
        <w:rPr>
          <w:b/>
          <w:sz w:val="28"/>
          <w:szCs w:val="28"/>
        </w:rPr>
      </w:pPr>
      <w:r w:rsidRPr="00F0666F">
        <w:rPr>
          <w:b/>
          <w:sz w:val="28"/>
          <w:szCs w:val="28"/>
        </w:rPr>
        <w:t xml:space="preserve">E-Mail: </w:t>
      </w:r>
      <w:hyperlink r:id="rId8" w:history="1">
        <w:r w:rsidRPr="00F0666F">
          <w:rPr>
            <w:rStyle w:val="Hyperlink"/>
            <w:rFonts w:eastAsiaTheme="majorEastAsia"/>
            <w:b/>
            <w:sz w:val="28"/>
            <w:szCs w:val="28"/>
          </w:rPr>
          <w:t>dgould@cdc.gov</w:t>
        </w:r>
      </w:hyperlink>
    </w:p>
    <w:p w:rsidR="00310985" w:rsidRPr="00F0666F" w:rsidRDefault="00310985" w:rsidP="00310985">
      <w:pPr>
        <w:rPr>
          <w:b/>
          <w:sz w:val="28"/>
          <w:szCs w:val="28"/>
        </w:rPr>
      </w:pPr>
    </w:p>
    <w:p w:rsidR="00310985" w:rsidRPr="00F0666F" w:rsidRDefault="00310985" w:rsidP="00310985">
      <w:pPr>
        <w:rPr>
          <w:b/>
          <w:sz w:val="28"/>
          <w:szCs w:val="28"/>
        </w:rPr>
      </w:pPr>
      <w:r w:rsidRPr="00F0666F">
        <w:rPr>
          <w:b/>
          <w:sz w:val="28"/>
          <w:szCs w:val="28"/>
        </w:rPr>
        <w:t>03/02/2011</w:t>
      </w:r>
    </w:p>
    <w:p w:rsidR="00695539" w:rsidRDefault="00695539">
      <w:pPr>
        <w:widowControl/>
        <w:autoSpaceDE/>
        <w:autoSpaceDN/>
        <w:adjustRightInd/>
        <w:rPr>
          <w:b/>
          <w:sz w:val="32"/>
          <w:szCs w:val="32"/>
        </w:rPr>
      </w:pPr>
      <w:r>
        <w:rPr>
          <w:b/>
          <w:sz w:val="32"/>
          <w:szCs w:val="32"/>
        </w:rPr>
        <w:br w:type="page"/>
      </w:r>
    </w:p>
    <w:sdt>
      <w:sdtPr>
        <w:rPr>
          <w:rFonts w:ascii="Times New Roman" w:eastAsia="Times New Roman" w:hAnsi="Times New Roman" w:cs="Times New Roman"/>
          <w:b w:val="0"/>
          <w:bCs w:val="0"/>
          <w:color w:val="auto"/>
          <w:sz w:val="20"/>
          <w:szCs w:val="24"/>
        </w:rPr>
        <w:id w:val="330203391"/>
        <w:docPartObj>
          <w:docPartGallery w:val="Table of Contents"/>
          <w:docPartUnique/>
        </w:docPartObj>
      </w:sdtPr>
      <w:sdtContent>
        <w:p w:rsidR="00695539" w:rsidRDefault="00695539">
          <w:pPr>
            <w:pStyle w:val="TOCHeading"/>
          </w:pPr>
          <w:r>
            <w:t>Contents</w:t>
          </w:r>
        </w:p>
        <w:p w:rsidR="00695539" w:rsidRDefault="008E55DC">
          <w:pPr>
            <w:pStyle w:val="TOC2"/>
            <w:tabs>
              <w:tab w:val="right" w:leader="dot" w:pos="9782"/>
            </w:tabs>
            <w:rPr>
              <w:rFonts w:asciiTheme="minorHAnsi" w:eastAsiaTheme="minorEastAsia" w:hAnsiTheme="minorHAnsi" w:cstheme="minorBidi"/>
              <w:noProof/>
              <w:sz w:val="22"/>
              <w:szCs w:val="22"/>
            </w:rPr>
          </w:pPr>
          <w:r>
            <w:fldChar w:fldCharType="begin"/>
          </w:r>
          <w:r w:rsidR="00695539">
            <w:instrText xml:space="preserve"> TOC \o "1-3" \h \z \u </w:instrText>
          </w:r>
          <w:r>
            <w:fldChar w:fldCharType="separate"/>
          </w:r>
          <w:hyperlink w:anchor="_Toc278190128" w:history="1">
            <w:r w:rsidR="00695539" w:rsidRPr="007C6CDE">
              <w:rPr>
                <w:rStyle w:val="Hyperlink"/>
                <w:noProof/>
              </w:rPr>
              <w:t>B.   Collection of Information Employing Statistical Methods</w:t>
            </w:r>
            <w:r w:rsidR="00695539">
              <w:rPr>
                <w:noProof/>
                <w:webHidden/>
              </w:rPr>
              <w:tab/>
            </w:r>
            <w:r>
              <w:rPr>
                <w:noProof/>
                <w:webHidden/>
              </w:rPr>
              <w:fldChar w:fldCharType="begin"/>
            </w:r>
            <w:r w:rsidR="00695539">
              <w:rPr>
                <w:noProof/>
                <w:webHidden/>
              </w:rPr>
              <w:instrText xml:space="preserve"> PAGEREF _Toc278190128 \h </w:instrText>
            </w:r>
            <w:r>
              <w:rPr>
                <w:noProof/>
                <w:webHidden/>
              </w:rPr>
            </w:r>
            <w:r>
              <w:rPr>
                <w:noProof/>
                <w:webHidden/>
              </w:rPr>
              <w:fldChar w:fldCharType="separate"/>
            </w:r>
            <w:r w:rsidR="00B84EE3">
              <w:rPr>
                <w:noProof/>
                <w:webHidden/>
              </w:rPr>
              <w:t>3</w:t>
            </w:r>
            <w:r>
              <w:rPr>
                <w:noProof/>
                <w:webHidden/>
              </w:rPr>
              <w:fldChar w:fldCharType="end"/>
            </w:r>
          </w:hyperlink>
        </w:p>
        <w:p w:rsidR="00695539" w:rsidRDefault="008E55DC">
          <w:pPr>
            <w:pStyle w:val="TOC3"/>
            <w:tabs>
              <w:tab w:val="left" w:pos="880"/>
              <w:tab w:val="right" w:leader="dot" w:pos="9782"/>
            </w:tabs>
            <w:rPr>
              <w:rFonts w:asciiTheme="minorHAnsi" w:eastAsiaTheme="minorEastAsia" w:hAnsiTheme="minorHAnsi" w:cstheme="minorBidi"/>
              <w:noProof/>
              <w:sz w:val="22"/>
              <w:szCs w:val="22"/>
            </w:rPr>
          </w:pPr>
          <w:hyperlink w:anchor="_Toc278190129" w:history="1">
            <w:r w:rsidR="00695539" w:rsidRPr="007C6CDE">
              <w:rPr>
                <w:rStyle w:val="Hyperlink"/>
                <w:noProof/>
              </w:rPr>
              <w:t>1.</w:t>
            </w:r>
            <w:r w:rsidR="00695539">
              <w:rPr>
                <w:rFonts w:asciiTheme="minorHAnsi" w:eastAsiaTheme="minorEastAsia" w:hAnsiTheme="minorHAnsi" w:cstheme="minorBidi"/>
                <w:noProof/>
                <w:sz w:val="22"/>
                <w:szCs w:val="22"/>
              </w:rPr>
              <w:tab/>
            </w:r>
            <w:r w:rsidR="00695539" w:rsidRPr="007C6CDE">
              <w:rPr>
                <w:rStyle w:val="Hyperlink"/>
                <w:noProof/>
              </w:rPr>
              <w:t>Respondent Universe and Sampling Methods</w:t>
            </w:r>
            <w:r w:rsidR="00695539">
              <w:rPr>
                <w:noProof/>
                <w:webHidden/>
              </w:rPr>
              <w:tab/>
            </w:r>
            <w:r>
              <w:rPr>
                <w:noProof/>
                <w:webHidden/>
              </w:rPr>
              <w:fldChar w:fldCharType="begin"/>
            </w:r>
            <w:r w:rsidR="00695539">
              <w:rPr>
                <w:noProof/>
                <w:webHidden/>
              </w:rPr>
              <w:instrText xml:space="preserve"> PAGEREF _Toc278190129 \h </w:instrText>
            </w:r>
            <w:r>
              <w:rPr>
                <w:noProof/>
                <w:webHidden/>
              </w:rPr>
            </w:r>
            <w:r>
              <w:rPr>
                <w:noProof/>
                <w:webHidden/>
              </w:rPr>
              <w:fldChar w:fldCharType="separate"/>
            </w:r>
            <w:r w:rsidR="00B84EE3">
              <w:rPr>
                <w:noProof/>
                <w:webHidden/>
              </w:rPr>
              <w:t>3</w:t>
            </w:r>
            <w:r>
              <w:rPr>
                <w:noProof/>
                <w:webHidden/>
              </w:rPr>
              <w:fldChar w:fldCharType="end"/>
            </w:r>
          </w:hyperlink>
        </w:p>
        <w:p w:rsidR="00695539" w:rsidRDefault="008E55DC">
          <w:pPr>
            <w:pStyle w:val="TOC3"/>
            <w:tabs>
              <w:tab w:val="left" w:pos="880"/>
              <w:tab w:val="right" w:leader="dot" w:pos="9782"/>
            </w:tabs>
            <w:rPr>
              <w:rFonts w:asciiTheme="minorHAnsi" w:eastAsiaTheme="minorEastAsia" w:hAnsiTheme="minorHAnsi" w:cstheme="minorBidi"/>
              <w:noProof/>
              <w:sz w:val="22"/>
              <w:szCs w:val="22"/>
            </w:rPr>
          </w:pPr>
          <w:hyperlink w:anchor="_Toc278190130" w:history="1">
            <w:r w:rsidR="00695539" w:rsidRPr="007C6CDE">
              <w:rPr>
                <w:rStyle w:val="Hyperlink"/>
                <w:noProof/>
              </w:rPr>
              <w:t xml:space="preserve">2. </w:t>
            </w:r>
            <w:r w:rsidR="00695539">
              <w:rPr>
                <w:rFonts w:asciiTheme="minorHAnsi" w:eastAsiaTheme="minorEastAsia" w:hAnsiTheme="minorHAnsi" w:cstheme="minorBidi"/>
                <w:noProof/>
                <w:sz w:val="22"/>
                <w:szCs w:val="22"/>
              </w:rPr>
              <w:tab/>
            </w:r>
            <w:r w:rsidR="00695539" w:rsidRPr="007C6CDE">
              <w:rPr>
                <w:rStyle w:val="Hyperlink"/>
                <w:noProof/>
              </w:rPr>
              <w:t>Procedures for the Collection of Information</w:t>
            </w:r>
            <w:r w:rsidR="00695539">
              <w:rPr>
                <w:noProof/>
                <w:webHidden/>
              </w:rPr>
              <w:tab/>
            </w:r>
            <w:r>
              <w:rPr>
                <w:noProof/>
                <w:webHidden/>
              </w:rPr>
              <w:fldChar w:fldCharType="begin"/>
            </w:r>
            <w:r w:rsidR="00695539">
              <w:rPr>
                <w:noProof/>
                <w:webHidden/>
              </w:rPr>
              <w:instrText xml:space="preserve"> PAGEREF _Toc278190130 \h </w:instrText>
            </w:r>
            <w:r>
              <w:rPr>
                <w:noProof/>
                <w:webHidden/>
              </w:rPr>
            </w:r>
            <w:r>
              <w:rPr>
                <w:noProof/>
                <w:webHidden/>
              </w:rPr>
              <w:fldChar w:fldCharType="separate"/>
            </w:r>
            <w:r w:rsidR="00B84EE3">
              <w:rPr>
                <w:noProof/>
                <w:webHidden/>
              </w:rPr>
              <w:t>5</w:t>
            </w:r>
            <w:r>
              <w:rPr>
                <w:noProof/>
                <w:webHidden/>
              </w:rPr>
              <w:fldChar w:fldCharType="end"/>
            </w:r>
          </w:hyperlink>
        </w:p>
        <w:p w:rsidR="00695539" w:rsidRDefault="008E55DC">
          <w:pPr>
            <w:pStyle w:val="TOC3"/>
            <w:tabs>
              <w:tab w:val="left" w:pos="880"/>
              <w:tab w:val="right" w:leader="dot" w:pos="9782"/>
            </w:tabs>
            <w:rPr>
              <w:rFonts w:asciiTheme="minorHAnsi" w:eastAsiaTheme="minorEastAsia" w:hAnsiTheme="minorHAnsi" w:cstheme="minorBidi"/>
              <w:noProof/>
              <w:sz w:val="22"/>
              <w:szCs w:val="22"/>
            </w:rPr>
          </w:pPr>
          <w:hyperlink w:anchor="_Toc278190131" w:history="1">
            <w:r w:rsidR="00695539" w:rsidRPr="007C6CDE">
              <w:rPr>
                <w:rStyle w:val="Hyperlink"/>
                <w:noProof/>
              </w:rPr>
              <w:t>3.</w:t>
            </w:r>
            <w:r w:rsidR="00695539">
              <w:rPr>
                <w:rFonts w:asciiTheme="minorHAnsi" w:eastAsiaTheme="minorEastAsia" w:hAnsiTheme="minorHAnsi" w:cstheme="minorBidi"/>
                <w:noProof/>
                <w:sz w:val="22"/>
                <w:szCs w:val="22"/>
              </w:rPr>
              <w:tab/>
            </w:r>
            <w:r w:rsidR="00695539" w:rsidRPr="007C6CDE">
              <w:rPr>
                <w:rStyle w:val="Hyperlink"/>
                <w:noProof/>
              </w:rPr>
              <w:t>Methods to Maximize Response Rates and Deal with Nonresponse</w:t>
            </w:r>
            <w:r w:rsidR="00695539">
              <w:rPr>
                <w:noProof/>
                <w:webHidden/>
              </w:rPr>
              <w:tab/>
            </w:r>
            <w:r>
              <w:rPr>
                <w:noProof/>
                <w:webHidden/>
              </w:rPr>
              <w:fldChar w:fldCharType="begin"/>
            </w:r>
            <w:r w:rsidR="00695539">
              <w:rPr>
                <w:noProof/>
                <w:webHidden/>
              </w:rPr>
              <w:instrText xml:space="preserve"> PAGEREF _Toc278190131 \h </w:instrText>
            </w:r>
            <w:r>
              <w:rPr>
                <w:noProof/>
                <w:webHidden/>
              </w:rPr>
            </w:r>
            <w:r>
              <w:rPr>
                <w:noProof/>
                <w:webHidden/>
              </w:rPr>
              <w:fldChar w:fldCharType="separate"/>
            </w:r>
            <w:r w:rsidR="00B84EE3">
              <w:rPr>
                <w:noProof/>
                <w:webHidden/>
              </w:rPr>
              <w:t>6</w:t>
            </w:r>
            <w:r>
              <w:rPr>
                <w:noProof/>
                <w:webHidden/>
              </w:rPr>
              <w:fldChar w:fldCharType="end"/>
            </w:r>
          </w:hyperlink>
        </w:p>
        <w:p w:rsidR="00695539" w:rsidRDefault="008E55DC">
          <w:pPr>
            <w:pStyle w:val="TOC3"/>
            <w:tabs>
              <w:tab w:val="left" w:pos="880"/>
              <w:tab w:val="right" w:leader="dot" w:pos="9782"/>
            </w:tabs>
            <w:rPr>
              <w:rFonts w:asciiTheme="minorHAnsi" w:eastAsiaTheme="minorEastAsia" w:hAnsiTheme="minorHAnsi" w:cstheme="minorBidi"/>
              <w:noProof/>
              <w:sz w:val="22"/>
              <w:szCs w:val="22"/>
            </w:rPr>
          </w:pPr>
          <w:hyperlink w:anchor="_Toc278190132" w:history="1">
            <w:r w:rsidR="00695539" w:rsidRPr="007C6CDE">
              <w:rPr>
                <w:rStyle w:val="Hyperlink"/>
                <w:noProof/>
              </w:rPr>
              <w:t>4.</w:t>
            </w:r>
            <w:r w:rsidR="00695539">
              <w:rPr>
                <w:rFonts w:asciiTheme="minorHAnsi" w:eastAsiaTheme="minorEastAsia" w:hAnsiTheme="minorHAnsi" w:cstheme="minorBidi"/>
                <w:noProof/>
                <w:sz w:val="22"/>
                <w:szCs w:val="22"/>
              </w:rPr>
              <w:tab/>
            </w:r>
            <w:r w:rsidR="00695539" w:rsidRPr="007C6CDE">
              <w:rPr>
                <w:rStyle w:val="Hyperlink"/>
                <w:noProof/>
              </w:rPr>
              <w:t>Tests of Procedures or Methods to be Undertaken</w:t>
            </w:r>
            <w:r w:rsidR="00695539">
              <w:rPr>
                <w:noProof/>
                <w:webHidden/>
              </w:rPr>
              <w:tab/>
            </w:r>
            <w:r>
              <w:rPr>
                <w:noProof/>
                <w:webHidden/>
              </w:rPr>
              <w:fldChar w:fldCharType="begin"/>
            </w:r>
            <w:r w:rsidR="00695539">
              <w:rPr>
                <w:noProof/>
                <w:webHidden/>
              </w:rPr>
              <w:instrText xml:space="preserve"> PAGEREF _Toc278190132 \h </w:instrText>
            </w:r>
            <w:r>
              <w:rPr>
                <w:noProof/>
                <w:webHidden/>
              </w:rPr>
            </w:r>
            <w:r>
              <w:rPr>
                <w:noProof/>
                <w:webHidden/>
              </w:rPr>
              <w:fldChar w:fldCharType="separate"/>
            </w:r>
            <w:r w:rsidR="00B84EE3">
              <w:rPr>
                <w:noProof/>
                <w:webHidden/>
              </w:rPr>
              <w:t>7</w:t>
            </w:r>
            <w:r>
              <w:rPr>
                <w:noProof/>
                <w:webHidden/>
              </w:rPr>
              <w:fldChar w:fldCharType="end"/>
            </w:r>
          </w:hyperlink>
        </w:p>
        <w:p w:rsidR="00695539" w:rsidRDefault="008E55DC">
          <w:pPr>
            <w:pStyle w:val="TOC3"/>
            <w:tabs>
              <w:tab w:val="left" w:pos="880"/>
              <w:tab w:val="right" w:leader="dot" w:pos="9782"/>
            </w:tabs>
            <w:rPr>
              <w:rFonts w:asciiTheme="minorHAnsi" w:eastAsiaTheme="minorEastAsia" w:hAnsiTheme="minorHAnsi" w:cstheme="minorBidi"/>
              <w:noProof/>
              <w:sz w:val="22"/>
              <w:szCs w:val="22"/>
            </w:rPr>
          </w:pPr>
          <w:hyperlink w:anchor="_Toc278190133" w:history="1">
            <w:r w:rsidR="00695539" w:rsidRPr="007C6CDE">
              <w:rPr>
                <w:rStyle w:val="Hyperlink"/>
                <w:noProof/>
              </w:rPr>
              <w:t>5.</w:t>
            </w:r>
            <w:r w:rsidR="00695539">
              <w:rPr>
                <w:rFonts w:asciiTheme="minorHAnsi" w:eastAsiaTheme="minorEastAsia" w:hAnsiTheme="minorHAnsi" w:cstheme="minorBidi"/>
                <w:noProof/>
                <w:sz w:val="22"/>
                <w:szCs w:val="22"/>
              </w:rPr>
              <w:tab/>
            </w:r>
            <w:r w:rsidR="00695539" w:rsidRPr="007C6CDE">
              <w:rPr>
                <w:rStyle w:val="Hyperlink"/>
                <w:noProof/>
              </w:rPr>
              <w:t>Individuals Consulted on Statistical Aspects and Individuals Collecting and/or Analyzing Data</w:t>
            </w:r>
            <w:r w:rsidR="00695539">
              <w:rPr>
                <w:noProof/>
                <w:webHidden/>
              </w:rPr>
              <w:tab/>
            </w:r>
            <w:r>
              <w:rPr>
                <w:noProof/>
                <w:webHidden/>
              </w:rPr>
              <w:fldChar w:fldCharType="begin"/>
            </w:r>
            <w:r w:rsidR="00695539">
              <w:rPr>
                <w:noProof/>
                <w:webHidden/>
              </w:rPr>
              <w:instrText xml:space="preserve"> PAGEREF _Toc278190133 \h </w:instrText>
            </w:r>
            <w:r>
              <w:rPr>
                <w:noProof/>
                <w:webHidden/>
              </w:rPr>
            </w:r>
            <w:r>
              <w:rPr>
                <w:noProof/>
                <w:webHidden/>
              </w:rPr>
              <w:fldChar w:fldCharType="separate"/>
            </w:r>
            <w:r w:rsidR="00B84EE3">
              <w:rPr>
                <w:noProof/>
                <w:webHidden/>
              </w:rPr>
              <w:t>8</w:t>
            </w:r>
            <w:r>
              <w:rPr>
                <w:noProof/>
                <w:webHidden/>
              </w:rPr>
              <w:fldChar w:fldCharType="end"/>
            </w:r>
          </w:hyperlink>
        </w:p>
        <w:p w:rsidR="00695539" w:rsidRDefault="008E55DC">
          <w:r>
            <w:fldChar w:fldCharType="end"/>
          </w:r>
        </w:p>
      </w:sdtContent>
    </w:sdt>
    <w:p w:rsidR="00695539" w:rsidRDefault="00695539">
      <w:pPr>
        <w:widowControl/>
        <w:autoSpaceDE/>
        <w:autoSpaceDN/>
        <w:adjustRightInd/>
        <w:rPr>
          <w:b/>
          <w:sz w:val="32"/>
          <w:szCs w:val="32"/>
        </w:rPr>
      </w:pPr>
      <w:r>
        <w:rPr>
          <w:b/>
          <w:sz w:val="32"/>
          <w:szCs w:val="32"/>
        </w:rPr>
        <w:br w:type="page"/>
      </w:r>
    </w:p>
    <w:p w:rsidR="00C737A7" w:rsidRPr="00F95C70" w:rsidRDefault="00C737A7" w:rsidP="00C737A7">
      <w:pPr>
        <w:pStyle w:val="Heading2"/>
      </w:pPr>
      <w:bookmarkStart w:id="0" w:name="_Toc272937162"/>
      <w:bookmarkStart w:id="1" w:name="_Toc278190128"/>
      <w:r>
        <w:lastRenderedPageBreak/>
        <w:t xml:space="preserve">B.   </w:t>
      </w:r>
      <w:r w:rsidRPr="00F95C70">
        <w:t>Collection of Information Employing Statistical Methods</w:t>
      </w:r>
      <w:bookmarkEnd w:id="0"/>
      <w:bookmarkEnd w:id="1"/>
    </w:p>
    <w:p w:rsidR="00C737A7" w:rsidRPr="00B8179D" w:rsidRDefault="00C737A7" w:rsidP="00C737A7">
      <w:pPr>
        <w:pStyle w:val="Heading3"/>
      </w:pPr>
      <w:bookmarkStart w:id="2" w:name="_Toc272937163"/>
      <w:bookmarkStart w:id="3" w:name="_Toc278190129"/>
      <w:r w:rsidRPr="00B8179D">
        <w:t>1.</w:t>
      </w:r>
      <w:r w:rsidRPr="00B8179D">
        <w:tab/>
        <w:t>Respondent Universe and Sampling Methods</w:t>
      </w:r>
      <w:bookmarkEnd w:id="2"/>
      <w:bookmarkEnd w:id="3"/>
    </w:p>
    <w:p w:rsidR="00C737A7" w:rsidRDefault="00C737A7" w:rsidP="00C737A7">
      <w:pPr>
        <w:widowControl/>
        <w:tabs>
          <w:tab w:val="left" w:pos="-1440"/>
          <w:tab w:val="left" w:pos="-720"/>
        </w:tabs>
        <w:rPr>
          <w:sz w:val="22"/>
          <w:szCs w:val="22"/>
        </w:rPr>
      </w:pPr>
    </w:p>
    <w:p w:rsidR="00C737A7" w:rsidRPr="008511F0" w:rsidRDefault="007D7E46" w:rsidP="00C737A7">
      <w:pPr>
        <w:rPr>
          <w:color w:val="000000"/>
          <w:sz w:val="24"/>
        </w:rPr>
      </w:pPr>
      <w:r>
        <w:rPr>
          <w:color w:val="000000"/>
          <w:sz w:val="24"/>
        </w:rPr>
        <w:t xml:space="preserve">The Division of Behavioral Surveillance (DBS) Gulf States Population Survey (GSPS) will include interviews from target and comparison areas. </w:t>
      </w:r>
      <w:r w:rsidR="00CC3A8D" w:rsidRPr="008511F0">
        <w:rPr>
          <w:color w:val="000000"/>
          <w:sz w:val="24"/>
        </w:rPr>
        <w:t>The target</w:t>
      </w:r>
      <w:r w:rsidR="00052D95">
        <w:rPr>
          <w:color w:val="000000"/>
          <w:sz w:val="24"/>
        </w:rPr>
        <w:t xml:space="preserve"> </w:t>
      </w:r>
      <w:r w:rsidR="00C737A7" w:rsidRPr="008511F0">
        <w:rPr>
          <w:color w:val="000000"/>
          <w:sz w:val="24"/>
        </w:rPr>
        <w:t xml:space="preserve">geographic area for inclusion in </w:t>
      </w:r>
      <w:r w:rsidR="00CC3A8D" w:rsidRPr="008511F0">
        <w:rPr>
          <w:color w:val="000000"/>
          <w:sz w:val="24"/>
        </w:rPr>
        <w:t xml:space="preserve">the </w:t>
      </w:r>
      <w:r w:rsidR="00CC3A8D">
        <w:rPr>
          <w:color w:val="000000"/>
          <w:sz w:val="24"/>
        </w:rPr>
        <w:t>GSPS</w:t>
      </w:r>
      <w:r>
        <w:rPr>
          <w:color w:val="000000"/>
          <w:sz w:val="24"/>
        </w:rPr>
        <w:t xml:space="preserve"> </w:t>
      </w:r>
      <w:r w:rsidR="00C737A7" w:rsidRPr="008511F0">
        <w:rPr>
          <w:color w:val="000000"/>
          <w:sz w:val="24"/>
        </w:rPr>
        <w:t xml:space="preserve">was selected by determining the </w:t>
      </w:r>
      <w:r w:rsidR="001B6565">
        <w:rPr>
          <w:color w:val="000000"/>
          <w:sz w:val="24"/>
        </w:rPr>
        <w:t xml:space="preserve">coastal </w:t>
      </w:r>
      <w:r w:rsidR="00C737A7" w:rsidRPr="008511F0">
        <w:rPr>
          <w:color w:val="000000"/>
          <w:sz w:val="24"/>
        </w:rPr>
        <w:t>counties within the states of Florida, Louisiana, Alabama</w:t>
      </w:r>
      <w:r w:rsidR="00C737A7">
        <w:rPr>
          <w:color w:val="000000"/>
          <w:sz w:val="24"/>
        </w:rPr>
        <w:t>,</w:t>
      </w:r>
      <w:r w:rsidR="00C737A7" w:rsidRPr="008511F0">
        <w:rPr>
          <w:color w:val="000000"/>
          <w:sz w:val="24"/>
        </w:rPr>
        <w:t xml:space="preserve"> and Mississippi which are within 32 miles of areas closed to fishing as a result of the Deepwater Horizon Event.  The table below indicates the counties within the </w:t>
      </w:r>
      <w:r>
        <w:rPr>
          <w:color w:val="000000"/>
          <w:sz w:val="24"/>
        </w:rPr>
        <w:t>target</w:t>
      </w:r>
      <w:r w:rsidR="00E92F05">
        <w:rPr>
          <w:color w:val="000000"/>
          <w:sz w:val="24"/>
        </w:rPr>
        <w:t>ed</w:t>
      </w:r>
      <w:r w:rsidRPr="008511F0">
        <w:rPr>
          <w:color w:val="000000"/>
          <w:sz w:val="24"/>
        </w:rPr>
        <w:t xml:space="preserve"> </w:t>
      </w:r>
      <w:r w:rsidR="00C737A7" w:rsidRPr="008511F0">
        <w:rPr>
          <w:color w:val="000000"/>
          <w:sz w:val="24"/>
        </w:rPr>
        <w:t xml:space="preserve">area and the 2009 population estimates for each county. The total population residing within the targeted area is 3.5 million. </w:t>
      </w:r>
    </w:p>
    <w:p w:rsidR="00C737A7" w:rsidRPr="008511F0" w:rsidRDefault="00C737A7" w:rsidP="00C737A7">
      <w:pPr>
        <w:rPr>
          <w:color w:val="000000"/>
          <w:sz w:val="24"/>
        </w:rPr>
      </w:pPr>
    </w:p>
    <w:p w:rsidR="00C737A7" w:rsidRPr="008511F0" w:rsidRDefault="00C737A7" w:rsidP="00C737A7">
      <w:pPr>
        <w:rPr>
          <w:color w:val="000000"/>
          <w:sz w:val="24"/>
        </w:rPr>
      </w:pP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2790"/>
      </w:tblGrid>
      <w:tr w:rsidR="00C737A7" w:rsidRPr="008511F0" w:rsidTr="006250AA">
        <w:trPr>
          <w:trHeight w:val="300"/>
        </w:trPr>
        <w:tc>
          <w:tcPr>
            <w:tcW w:w="8568" w:type="dxa"/>
            <w:gridSpan w:val="2"/>
            <w:noWrap/>
            <w:hideMark/>
          </w:tcPr>
          <w:p w:rsidR="00C737A7" w:rsidRPr="008511F0" w:rsidRDefault="00C737A7" w:rsidP="006250AA">
            <w:pPr>
              <w:jc w:val="center"/>
              <w:rPr>
                <w:color w:val="000000"/>
                <w:sz w:val="24"/>
              </w:rPr>
            </w:pPr>
            <w:r w:rsidRPr="008511F0">
              <w:rPr>
                <w:color w:val="000000"/>
                <w:sz w:val="24"/>
              </w:rPr>
              <w:t>2009 POPULATION ESTIMATE BY COUNTY OF TARGETED AREA</w:t>
            </w:r>
          </w:p>
        </w:tc>
      </w:tr>
      <w:tr w:rsidR="00C737A7" w:rsidRPr="008511F0" w:rsidTr="006250AA">
        <w:trPr>
          <w:trHeight w:val="300"/>
        </w:trPr>
        <w:tc>
          <w:tcPr>
            <w:tcW w:w="5778" w:type="dxa"/>
            <w:noWrap/>
            <w:hideMark/>
          </w:tcPr>
          <w:p w:rsidR="00C737A7" w:rsidRPr="008511F0" w:rsidRDefault="00C737A7" w:rsidP="006250AA">
            <w:pPr>
              <w:rPr>
                <w:color w:val="000000"/>
                <w:sz w:val="24"/>
              </w:rPr>
            </w:pPr>
          </w:p>
        </w:tc>
        <w:tc>
          <w:tcPr>
            <w:tcW w:w="2790" w:type="dxa"/>
            <w:noWrap/>
            <w:hideMark/>
          </w:tcPr>
          <w:p w:rsidR="00C737A7" w:rsidRPr="008511F0" w:rsidRDefault="00C737A7" w:rsidP="006250AA">
            <w:pPr>
              <w:rPr>
                <w:color w:val="000000"/>
                <w:sz w:val="24"/>
              </w:rPr>
            </w:pPr>
            <w:r w:rsidRPr="008511F0">
              <w:rPr>
                <w:color w:val="000000"/>
                <w:sz w:val="24"/>
              </w:rPr>
              <w:t>2009 Population Estimate</w:t>
            </w:r>
          </w:p>
        </w:tc>
      </w:tr>
      <w:tr w:rsidR="00C737A7" w:rsidRPr="008511F0" w:rsidTr="006250AA">
        <w:trPr>
          <w:trHeight w:val="300"/>
        </w:trPr>
        <w:tc>
          <w:tcPr>
            <w:tcW w:w="8568" w:type="dxa"/>
            <w:gridSpan w:val="2"/>
            <w:noWrap/>
            <w:hideMark/>
          </w:tcPr>
          <w:p w:rsidR="00C737A7" w:rsidRPr="008511F0" w:rsidRDefault="00C737A7" w:rsidP="006250AA">
            <w:pPr>
              <w:jc w:val="center"/>
              <w:rPr>
                <w:color w:val="000000"/>
                <w:sz w:val="24"/>
              </w:rPr>
            </w:pPr>
            <w:r w:rsidRPr="008511F0">
              <w:rPr>
                <w:color w:val="000000"/>
                <w:sz w:val="24"/>
              </w:rPr>
              <w:t>Louisiana</w:t>
            </w:r>
          </w:p>
        </w:tc>
      </w:tr>
      <w:tr w:rsidR="00C737A7" w:rsidRPr="008511F0" w:rsidTr="006250AA">
        <w:trPr>
          <w:trHeight w:val="300"/>
        </w:trPr>
        <w:tc>
          <w:tcPr>
            <w:tcW w:w="5778" w:type="dxa"/>
            <w:noWrap/>
            <w:hideMark/>
          </w:tcPr>
          <w:p w:rsidR="00C737A7" w:rsidRPr="008511F0" w:rsidRDefault="00C737A7" w:rsidP="006250AA">
            <w:pPr>
              <w:rPr>
                <w:color w:val="000000"/>
                <w:sz w:val="24"/>
              </w:rPr>
            </w:pPr>
            <w:r w:rsidRPr="008511F0">
              <w:rPr>
                <w:color w:val="000000"/>
                <w:sz w:val="24"/>
              </w:rPr>
              <w:t>Jefferson Parish</w:t>
            </w:r>
          </w:p>
        </w:tc>
        <w:tc>
          <w:tcPr>
            <w:tcW w:w="2790" w:type="dxa"/>
            <w:noWrap/>
            <w:hideMark/>
          </w:tcPr>
          <w:p w:rsidR="00C737A7" w:rsidRPr="008511F0" w:rsidRDefault="00C737A7" w:rsidP="006250AA">
            <w:pPr>
              <w:jc w:val="right"/>
              <w:rPr>
                <w:color w:val="000000"/>
                <w:sz w:val="24"/>
              </w:rPr>
            </w:pPr>
            <w:r w:rsidRPr="008511F0">
              <w:rPr>
                <w:color w:val="000000"/>
                <w:sz w:val="24"/>
              </w:rPr>
              <w:t>443,342</w:t>
            </w:r>
          </w:p>
        </w:tc>
      </w:tr>
      <w:tr w:rsidR="00C737A7" w:rsidRPr="008511F0" w:rsidTr="006250AA">
        <w:trPr>
          <w:trHeight w:val="300"/>
        </w:trPr>
        <w:tc>
          <w:tcPr>
            <w:tcW w:w="5778" w:type="dxa"/>
            <w:noWrap/>
            <w:hideMark/>
          </w:tcPr>
          <w:p w:rsidR="00C737A7" w:rsidRPr="008511F0" w:rsidRDefault="00C737A7" w:rsidP="006250AA">
            <w:pPr>
              <w:rPr>
                <w:color w:val="000000"/>
                <w:sz w:val="24"/>
              </w:rPr>
            </w:pPr>
            <w:r w:rsidRPr="008511F0">
              <w:rPr>
                <w:color w:val="000000"/>
                <w:sz w:val="24"/>
              </w:rPr>
              <w:t>St. Tammany Parish</w:t>
            </w:r>
          </w:p>
        </w:tc>
        <w:tc>
          <w:tcPr>
            <w:tcW w:w="2790" w:type="dxa"/>
            <w:noWrap/>
            <w:hideMark/>
          </w:tcPr>
          <w:p w:rsidR="00C737A7" w:rsidRPr="008511F0" w:rsidRDefault="00C737A7" w:rsidP="006250AA">
            <w:pPr>
              <w:jc w:val="right"/>
              <w:rPr>
                <w:color w:val="000000"/>
                <w:sz w:val="24"/>
              </w:rPr>
            </w:pPr>
            <w:r w:rsidRPr="008511F0">
              <w:rPr>
                <w:color w:val="000000"/>
                <w:sz w:val="24"/>
              </w:rPr>
              <w:t>231,495</w:t>
            </w:r>
          </w:p>
        </w:tc>
      </w:tr>
      <w:tr w:rsidR="00C737A7" w:rsidRPr="008511F0" w:rsidTr="006250AA">
        <w:trPr>
          <w:trHeight w:val="300"/>
        </w:trPr>
        <w:tc>
          <w:tcPr>
            <w:tcW w:w="5778" w:type="dxa"/>
            <w:noWrap/>
            <w:hideMark/>
          </w:tcPr>
          <w:p w:rsidR="00C737A7" w:rsidRPr="008511F0" w:rsidRDefault="00C737A7" w:rsidP="006250AA">
            <w:pPr>
              <w:rPr>
                <w:color w:val="000000"/>
                <w:sz w:val="24"/>
              </w:rPr>
            </w:pPr>
            <w:r w:rsidRPr="008511F0">
              <w:rPr>
                <w:color w:val="000000"/>
                <w:sz w:val="24"/>
              </w:rPr>
              <w:t>Tangipahoa Parish</w:t>
            </w:r>
          </w:p>
        </w:tc>
        <w:tc>
          <w:tcPr>
            <w:tcW w:w="2790" w:type="dxa"/>
            <w:noWrap/>
            <w:hideMark/>
          </w:tcPr>
          <w:p w:rsidR="00C737A7" w:rsidRPr="008511F0" w:rsidRDefault="00C737A7" w:rsidP="006250AA">
            <w:pPr>
              <w:jc w:val="right"/>
              <w:rPr>
                <w:color w:val="000000"/>
                <w:sz w:val="24"/>
              </w:rPr>
            </w:pPr>
            <w:r w:rsidRPr="008511F0">
              <w:rPr>
                <w:color w:val="000000"/>
                <w:sz w:val="24"/>
              </w:rPr>
              <w:t>118,688</w:t>
            </w:r>
          </w:p>
        </w:tc>
      </w:tr>
      <w:tr w:rsidR="00C737A7" w:rsidRPr="008511F0" w:rsidTr="006250AA">
        <w:trPr>
          <w:trHeight w:val="300"/>
        </w:trPr>
        <w:tc>
          <w:tcPr>
            <w:tcW w:w="5778" w:type="dxa"/>
            <w:noWrap/>
            <w:hideMark/>
          </w:tcPr>
          <w:p w:rsidR="00C737A7" w:rsidRPr="008511F0" w:rsidRDefault="00C737A7" w:rsidP="006250AA">
            <w:pPr>
              <w:rPr>
                <w:color w:val="000000"/>
                <w:sz w:val="24"/>
              </w:rPr>
            </w:pPr>
            <w:r w:rsidRPr="008511F0">
              <w:rPr>
                <w:color w:val="000000"/>
                <w:sz w:val="24"/>
              </w:rPr>
              <w:t>Lafourche Parish</w:t>
            </w:r>
          </w:p>
        </w:tc>
        <w:tc>
          <w:tcPr>
            <w:tcW w:w="2790" w:type="dxa"/>
            <w:noWrap/>
            <w:hideMark/>
          </w:tcPr>
          <w:p w:rsidR="00C737A7" w:rsidRPr="008511F0" w:rsidRDefault="00C737A7" w:rsidP="006250AA">
            <w:pPr>
              <w:jc w:val="right"/>
              <w:rPr>
                <w:color w:val="000000"/>
                <w:sz w:val="24"/>
              </w:rPr>
            </w:pPr>
            <w:r w:rsidRPr="008511F0">
              <w:rPr>
                <w:color w:val="000000"/>
                <w:sz w:val="24"/>
              </w:rPr>
              <w:t>93,682</w:t>
            </w:r>
          </w:p>
        </w:tc>
      </w:tr>
      <w:tr w:rsidR="00C737A7" w:rsidRPr="008511F0" w:rsidTr="006250AA">
        <w:trPr>
          <w:trHeight w:val="300"/>
        </w:trPr>
        <w:tc>
          <w:tcPr>
            <w:tcW w:w="5778" w:type="dxa"/>
            <w:noWrap/>
            <w:hideMark/>
          </w:tcPr>
          <w:p w:rsidR="00C737A7" w:rsidRPr="008511F0" w:rsidRDefault="00C737A7" w:rsidP="006250AA">
            <w:pPr>
              <w:rPr>
                <w:color w:val="000000"/>
                <w:sz w:val="24"/>
              </w:rPr>
            </w:pPr>
            <w:r w:rsidRPr="008511F0">
              <w:rPr>
                <w:color w:val="000000"/>
                <w:sz w:val="24"/>
              </w:rPr>
              <w:t>Iberia Parish</w:t>
            </w:r>
          </w:p>
        </w:tc>
        <w:tc>
          <w:tcPr>
            <w:tcW w:w="2790" w:type="dxa"/>
            <w:noWrap/>
            <w:hideMark/>
          </w:tcPr>
          <w:p w:rsidR="00C737A7" w:rsidRPr="008511F0" w:rsidRDefault="00C737A7" w:rsidP="006250AA">
            <w:pPr>
              <w:jc w:val="right"/>
              <w:rPr>
                <w:color w:val="000000"/>
                <w:sz w:val="24"/>
              </w:rPr>
            </w:pPr>
            <w:r w:rsidRPr="008511F0">
              <w:rPr>
                <w:color w:val="000000"/>
                <w:sz w:val="24"/>
              </w:rPr>
              <w:t>75,101</w:t>
            </w:r>
          </w:p>
        </w:tc>
      </w:tr>
      <w:tr w:rsidR="00C737A7" w:rsidRPr="008511F0" w:rsidTr="006250AA">
        <w:trPr>
          <w:trHeight w:val="300"/>
        </w:trPr>
        <w:tc>
          <w:tcPr>
            <w:tcW w:w="5778" w:type="dxa"/>
            <w:noWrap/>
            <w:hideMark/>
          </w:tcPr>
          <w:p w:rsidR="00C737A7" w:rsidRPr="008511F0" w:rsidRDefault="00C737A7" w:rsidP="006250AA">
            <w:pPr>
              <w:rPr>
                <w:color w:val="000000"/>
                <w:sz w:val="24"/>
              </w:rPr>
            </w:pPr>
            <w:r w:rsidRPr="008511F0">
              <w:rPr>
                <w:color w:val="000000"/>
                <w:sz w:val="24"/>
              </w:rPr>
              <w:t>Vermilion Parish</w:t>
            </w:r>
          </w:p>
        </w:tc>
        <w:tc>
          <w:tcPr>
            <w:tcW w:w="2790" w:type="dxa"/>
            <w:noWrap/>
            <w:hideMark/>
          </w:tcPr>
          <w:p w:rsidR="00C737A7" w:rsidRPr="008511F0" w:rsidRDefault="00C737A7" w:rsidP="006250AA">
            <w:pPr>
              <w:jc w:val="right"/>
              <w:rPr>
                <w:color w:val="000000"/>
                <w:sz w:val="24"/>
              </w:rPr>
            </w:pPr>
            <w:r w:rsidRPr="008511F0">
              <w:rPr>
                <w:color w:val="000000"/>
                <w:sz w:val="24"/>
              </w:rPr>
              <w:t>56,141</w:t>
            </w:r>
          </w:p>
        </w:tc>
      </w:tr>
      <w:tr w:rsidR="00C737A7" w:rsidRPr="008511F0" w:rsidTr="006250AA">
        <w:trPr>
          <w:trHeight w:val="300"/>
        </w:trPr>
        <w:tc>
          <w:tcPr>
            <w:tcW w:w="5778" w:type="dxa"/>
            <w:noWrap/>
            <w:hideMark/>
          </w:tcPr>
          <w:p w:rsidR="00C737A7" w:rsidRPr="008511F0" w:rsidRDefault="00C737A7" w:rsidP="006250AA">
            <w:pPr>
              <w:rPr>
                <w:color w:val="000000"/>
                <w:sz w:val="24"/>
              </w:rPr>
            </w:pPr>
            <w:r w:rsidRPr="008511F0">
              <w:rPr>
                <w:color w:val="000000"/>
                <w:sz w:val="24"/>
              </w:rPr>
              <w:t>St. Mary Parish</w:t>
            </w:r>
          </w:p>
        </w:tc>
        <w:tc>
          <w:tcPr>
            <w:tcW w:w="2790" w:type="dxa"/>
            <w:noWrap/>
            <w:hideMark/>
          </w:tcPr>
          <w:p w:rsidR="00C737A7" w:rsidRPr="008511F0" w:rsidRDefault="00C737A7" w:rsidP="006250AA">
            <w:pPr>
              <w:jc w:val="right"/>
              <w:rPr>
                <w:color w:val="000000"/>
                <w:sz w:val="24"/>
              </w:rPr>
            </w:pPr>
            <w:r w:rsidRPr="008511F0">
              <w:rPr>
                <w:color w:val="000000"/>
                <w:sz w:val="24"/>
              </w:rPr>
              <w:t>50,815</w:t>
            </w:r>
          </w:p>
        </w:tc>
      </w:tr>
      <w:tr w:rsidR="00C737A7" w:rsidRPr="008511F0" w:rsidTr="006250AA">
        <w:trPr>
          <w:trHeight w:val="300"/>
        </w:trPr>
        <w:tc>
          <w:tcPr>
            <w:tcW w:w="5778" w:type="dxa"/>
            <w:noWrap/>
            <w:hideMark/>
          </w:tcPr>
          <w:p w:rsidR="00C737A7" w:rsidRPr="008511F0" w:rsidRDefault="00C737A7" w:rsidP="006250AA">
            <w:pPr>
              <w:rPr>
                <w:color w:val="000000"/>
                <w:sz w:val="24"/>
              </w:rPr>
            </w:pPr>
            <w:r w:rsidRPr="008511F0">
              <w:rPr>
                <w:color w:val="000000"/>
                <w:sz w:val="24"/>
              </w:rPr>
              <w:t>St. Bernard Parish</w:t>
            </w:r>
          </w:p>
        </w:tc>
        <w:tc>
          <w:tcPr>
            <w:tcW w:w="2790" w:type="dxa"/>
            <w:noWrap/>
            <w:hideMark/>
          </w:tcPr>
          <w:p w:rsidR="00C737A7" w:rsidRPr="008511F0" w:rsidRDefault="00C737A7" w:rsidP="006250AA">
            <w:pPr>
              <w:jc w:val="right"/>
              <w:rPr>
                <w:color w:val="000000"/>
                <w:sz w:val="24"/>
              </w:rPr>
            </w:pPr>
            <w:r w:rsidRPr="008511F0">
              <w:rPr>
                <w:color w:val="000000"/>
                <w:sz w:val="24"/>
              </w:rPr>
              <w:t>40,655</w:t>
            </w:r>
          </w:p>
        </w:tc>
      </w:tr>
      <w:tr w:rsidR="00C737A7" w:rsidRPr="008511F0" w:rsidTr="006250AA">
        <w:trPr>
          <w:trHeight w:val="300"/>
        </w:trPr>
        <w:tc>
          <w:tcPr>
            <w:tcW w:w="5778" w:type="dxa"/>
            <w:noWrap/>
            <w:hideMark/>
          </w:tcPr>
          <w:p w:rsidR="00C737A7" w:rsidRPr="008511F0" w:rsidRDefault="00C737A7" w:rsidP="006250AA">
            <w:pPr>
              <w:rPr>
                <w:color w:val="000000"/>
                <w:sz w:val="24"/>
              </w:rPr>
            </w:pPr>
            <w:r w:rsidRPr="008511F0">
              <w:rPr>
                <w:color w:val="000000"/>
                <w:sz w:val="24"/>
              </w:rPr>
              <w:t>Jefferson Davis Parish</w:t>
            </w:r>
          </w:p>
        </w:tc>
        <w:tc>
          <w:tcPr>
            <w:tcW w:w="2790" w:type="dxa"/>
            <w:noWrap/>
            <w:hideMark/>
          </w:tcPr>
          <w:p w:rsidR="00C737A7" w:rsidRPr="008511F0" w:rsidRDefault="00C737A7" w:rsidP="006250AA">
            <w:pPr>
              <w:jc w:val="right"/>
              <w:rPr>
                <w:color w:val="000000"/>
                <w:sz w:val="24"/>
              </w:rPr>
            </w:pPr>
            <w:r w:rsidRPr="008511F0">
              <w:rPr>
                <w:color w:val="000000"/>
                <w:sz w:val="24"/>
              </w:rPr>
              <w:t>31,097</w:t>
            </w:r>
          </w:p>
        </w:tc>
      </w:tr>
      <w:tr w:rsidR="00C737A7" w:rsidRPr="008511F0" w:rsidTr="006250AA">
        <w:trPr>
          <w:trHeight w:val="300"/>
        </w:trPr>
        <w:tc>
          <w:tcPr>
            <w:tcW w:w="5778" w:type="dxa"/>
            <w:noWrap/>
            <w:hideMark/>
          </w:tcPr>
          <w:p w:rsidR="00C737A7" w:rsidRPr="008511F0" w:rsidRDefault="00C737A7" w:rsidP="006250AA">
            <w:pPr>
              <w:rPr>
                <w:color w:val="000000"/>
                <w:sz w:val="24"/>
              </w:rPr>
            </w:pPr>
            <w:r w:rsidRPr="008511F0">
              <w:rPr>
                <w:color w:val="000000"/>
                <w:sz w:val="24"/>
              </w:rPr>
              <w:t>Assumption Parish</w:t>
            </w:r>
          </w:p>
        </w:tc>
        <w:tc>
          <w:tcPr>
            <w:tcW w:w="2790" w:type="dxa"/>
            <w:noWrap/>
            <w:hideMark/>
          </w:tcPr>
          <w:p w:rsidR="00C737A7" w:rsidRPr="008511F0" w:rsidRDefault="00C737A7" w:rsidP="006250AA">
            <w:pPr>
              <w:jc w:val="right"/>
              <w:rPr>
                <w:color w:val="000000"/>
                <w:sz w:val="24"/>
              </w:rPr>
            </w:pPr>
            <w:r w:rsidRPr="008511F0">
              <w:rPr>
                <w:color w:val="000000"/>
                <w:sz w:val="24"/>
              </w:rPr>
              <w:t>22,874</w:t>
            </w:r>
          </w:p>
        </w:tc>
      </w:tr>
      <w:tr w:rsidR="00C737A7" w:rsidRPr="008511F0" w:rsidTr="006250AA">
        <w:trPr>
          <w:trHeight w:val="300"/>
        </w:trPr>
        <w:tc>
          <w:tcPr>
            <w:tcW w:w="5778" w:type="dxa"/>
            <w:noWrap/>
            <w:hideMark/>
          </w:tcPr>
          <w:p w:rsidR="00C737A7" w:rsidRPr="008511F0" w:rsidRDefault="00C737A7" w:rsidP="006250AA">
            <w:pPr>
              <w:rPr>
                <w:color w:val="000000"/>
                <w:sz w:val="24"/>
              </w:rPr>
            </w:pPr>
            <w:r w:rsidRPr="008511F0">
              <w:rPr>
                <w:color w:val="000000"/>
                <w:sz w:val="24"/>
              </w:rPr>
              <w:t>Plaquemines Parish</w:t>
            </w:r>
          </w:p>
        </w:tc>
        <w:tc>
          <w:tcPr>
            <w:tcW w:w="2790" w:type="dxa"/>
            <w:noWrap/>
            <w:hideMark/>
          </w:tcPr>
          <w:p w:rsidR="00C737A7" w:rsidRPr="008511F0" w:rsidRDefault="00C737A7" w:rsidP="006250AA">
            <w:pPr>
              <w:jc w:val="right"/>
              <w:rPr>
                <w:color w:val="000000"/>
                <w:sz w:val="24"/>
              </w:rPr>
            </w:pPr>
            <w:r w:rsidRPr="008511F0">
              <w:rPr>
                <w:color w:val="000000"/>
                <w:sz w:val="24"/>
              </w:rPr>
              <w:t>20,942</w:t>
            </w:r>
          </w:p>
        </w:tc>
      </w:tr>
      <w:tr w:rsidR="00C737A7" w:rsidRPr="008511F0" w:rsidTr="006250AA">
        <w:trPr>
          <w:trHeight w:val="315"/>
        </w:trPr>
        <w:tc>
          <w:tcPr>
            <w:tcW w:w="5778" w:type="dxa"/>
            <w:hideMark/>
          </w:tcPr>
          <w:p w:rsidR="00C737A7" w:rsidRPr="008511F0" w:rsidRDefault="00C737A7" w:rsidP="006250AA">
            <w:pPr>
              <w:rPr>
                <w:color w:val="000000"/>
                <w:sz w:val="24"/>
              </w:rPr>
            </w:pPr>
            <w:r w:rsidRPr="008511F0">
              <w:rPr>
                <w:color w:val="000000"/>
                <w:sz w:val="24"/>
              </w:rPr>
              <w:t>Calcasieu Parish</w:t>
            </w:r>
          </w:p>
        </w:tc>
        <w:tc>
          <w:tcPr>
            <w:tcW w:w="2790" w:type="dxa"/>
            <w:noWrap/>
            <w:hideMark/>
          </w:tcPr>
          <w:p w:rsidR="00C737A7" w:rsidRPr="008511F0" w:rsidRDefault="00C737A7" w:rsidP="006250AA">
            <w:pPr>
              <w:jc w:val="right"/>
              <w:rPr>
                <w:color w:val="000000"/>
                <w:sz w:val="24"/>
              </w:rPr>
            </w:pPr>
            <w:r w:rsidRPr="008511F0">
              <w:rPr>
                <w:color w:val="000000"/>
                <w:sz w:val="24"/>
              </w:rPr>
              <w:t>187,554</w:t>
            </w:r>
          </w:p>
        </w:tc>
      </w:tr>
      <w:tr w:rsidR="00C737A7" w:rsidRPr="008511F0" w:rsidTr="006250AA">
        <w:trPr>
          <w:trHeight w:val="315"/>
        </w:trPr>
        <w:tc>
          <w:tcPr>
            <w:tcW w:w="5778" w:type="dxa"/>
            <w:hideMark/>
          </w:tcPr>
          <w:p w:rsidR="00C737A7" w:rsidRPr="008511F0" w:rsidRDefault="00C737A7" w:rsidP="006250AA">
            <w:pPr>
              <w:rPr>
                <w:color w:val="000000"/>
                <w:sz w:val="24"/>
              </w:rPr>
            </w:pPr>
            <w:r w:rsidRPr="008511F0">
              <w:rPr>
                <w:color w:val="000000"/>
                <w:sz w:val="24"/>
              </w:rPr>
              <w:t>Cameron Parish</w:t>
            </w:r>
          </w:p>
        </w:tc>
        <w:tc>
          <w:tcPr>
            <w:tcW w:w="2790" w:type="dxa"/>
            <w:noWrap/>
            <w:hideMark/>
          </w:tcPr>
          <w:p w:rsidR="00C737A7" w:rsidRPr="008511F0" w:rsidRDefault="00C737A7" w:rsidP="006250AA">
            <w:pPr>
              <w:jc w:val="right"/>
              <w:rPr>
                <w:color w:val="000000"/>
                <w:sz w:val="24"/>
              </w:rPr>
            </w:pPr>
            <w:r w:rsidRPr="008511F0">
              <w:rPr>
                <w:color w:val="000000"/>
                <w:sz w:val="24"/>
              </w:rPr>
              <w:t>6,584</w:t>
            </w:r>
          </w:p>
        </w:tc>
      </w:tr>
      <w:tr w:rsidR="00C737A7" w:rsidRPr="008511F0" w:rsidTr="006250AA">
        <w:trPr>
          <w:trHeight w:val="315"/>
        </w:trPr>
        <w:tc>
          <w:tcPr>
            <w:tcW w:w="5778" w:type="dxa"/>
            <w:hideMark/>
          </w:tcPr>
          <w:p w:rsidR="00C737A7" w:rsidRPr="008511F0" w:rsidRDefault="00C737A7" w:rsidP="006250AA">
            <w:pPr>
              <w:rPr>
                <w:color w:val="000000"/>
                <w:sz w:val="24"/>
              </w:rPr>
            </w:pPr>
            <w:r w:rsidRPr="008511F0">
              <w:rPr>
                <w:color w:val="000000"/>
                <w:sz w:val="24"/>
              </w:rPr>
              <w:t>Terrebonne Parish</w:t>
            </w:r>
          </w:p>
        </w:tc>
        <w:tc>
          <w:tcPr>
            <w:tcW w:w="2790" w:type="dxa"/>
            <w:noWrap/>
            <w:hideMark/>
          </w:tcPr>
          <w:p w:rsidR="00C737A7" w:rsidRPr="008511F0" w:rsidRDefault="00C737A7" w:rsidP="006250AA">
            <w:pPr>
              <w:jc w:val="right"/>
              <w:rPr>
                <w:color w:val="000000"/>
                <w:sz w:val="24"/>
              </w:rPr>
            </w:pPr>
            <w:r w:rsidRPr="008511F0">
              <w:rPr>
                <w:color w:val="000000"/>
                <w:sz w:val="24"/>
              </w:rPr>
              <w:t>109,291</w:t>
            </w:r>
          </w:p>
        </w:tc>
      </w:tr>
      <w:tr w:rsidR="00C737A7" w:rsidRPr="008511F0" w:rsidTr="006250AA">
        <w:trPr>
          <w:trHeight w:val="315"/>
        </w:trPr>
        <w:tc>
          <w:tcPr>
            <w:tcW w:w="5778" w:type="dxa"/>
            <w:hideMark/>
          </w:tcPr>
          <w:p w:rsidR="00C737A7" w:rsidRPr="008511F0" w:rsidRDefault="00C737A7" w:rsidP="006250AA">
            <w:pPr>
              <w:rPr>
                <w:color w:val="000000"/>
                <w:sz w:val="24"/>
              </w:rPr>
            </w:pPr>
            <w:r w:rsidRPr="008511F0">
              <w:rPr>
                <w:color w:val="000000"/>
                <w:sz w:val="24"/>
              </w:rPr>
              <w:t>St. Charles Parish</w:t>
            </w:r>
          </w:p>
        </w:tc>
        <w:tc>
          <w:tcPr>
            <w:tcW w:w="2790" w:type="dxa"/>
            <w:noWrap/>
            <w:hideMark/>
          </w:tcPr>
          <w:p w:rsidR="00C737A7" w:rsidRPr="008511F0" w:rsidRDefault="00C737A7" w:rsidP="006250AA">
            <w:pPr>
              <w:jc w:val="right"/>
              <w:rPr>
                <w:color w:val="000000"/>
                <w:sz w:val="24"/>
              </w:rPr>
            </w:pPr>
            <w:r w:rsidRPr="008511F0">
              <w:rPr>
                <w:color w:val="000000"/>
                <w:sz w:val="24"/>
              </w:rPr>
              <w:t>51,611</w:t>
            </w:r>
          </w:p>
        </w:tc>
      </w:tr>
      <w:tr w:rsidR="00C737A7" w:rsidRPr="008511F0" w:rsidTr="006250AA">
        <w:trPr>
          <w:trHeight w:val="315"/>
        </w:trPr>
        <w:tc>
          <w:tcPr>
            <w:tcW w:w="5778" w:type="dxa"/>
            <w:hideMark/>
          </w:tcPr>
          <w:p w:rsidR="00C737A7" w:rsidRPr="008511F0" w:rsidRDefault="00C737A7" w:rsidP="006250AA">
            <w:pPr>
              <w:rPr>
                <w:color w:val="000000"/>
                <w:sz w:val="24"/>
              </w:rPr>
            </w:pPr>
            <w:r w:rsidRPr="008511F0">
              <w:rPr>
                <w:color w:val="000000"/>
                <w:sz w:val="24"/>
              </w:rPr>
              <w:t>Orleans Parish</w:t>
            </w:r>
          </w:p>
        </w:tc>
        <w:tc>
          <w:tcPr>
            <w:tcW w:w="2790" w:type="dxa"/>
            <w:noWrap/>
            <w:hideMark/>
          </w:tcPr>
          <w:p w:rsidR="00C737A7" w:rsidRPr="008511F0" w:rsidRDefault="00C737A7" w:rsidP="006250AA">
            <w:pPr>
              <w:jc w:val="right"/>
              <w:rPr>
                <w:color w:val="000000"/>
                <w:sz w:val="24"/>
              </w:rPr>
            </w:pPr>
            <w:r w:rsidRPr="008511F0">
              <w:rPr>
                <w:color w:val="000000"/>
                <w:sz w:val="24"/>
              </w:rPr>
              <w:t>354,850</w:t>
            </w:r>
          </w:p>
        </w:tc>
      </w:tr>
      <w:tr w:rsidR="007D7E46" w:rsidRPr="008511F0" w:rsidTr="006250AA">
        <w:trPr>
          <w:trHeight w:val="315"/>
        </w:trPr>
        <w:tc>
          <w:tcPr>
            <w:tcW w:w="5778" w:type="dxa"/>
            <w:hideMark/>
          </w:tcPr>
          <w:p w:rsidR="007D7E46" w:rsidRPr="008511F0" w:rsidRDefault="007D7E46" w:rsidP="006250AA">
            <w:pPr>
              <w:rPr>
                <w:color w:val="000000"/>
                <w:sz w:val="24"/>
              </w:rPr>
            </w:pPr>
            <w:r>
              <w:rPr>
                <w:color w:val="000000"/>
                <w:sz w:val="24"/>
              </w:rPr>
              <w:t>Total target</w:t>
            </w:r>
            <w:r w:rsidR="00C66CBA">
              <w:rPr>
                <w:color w:val="000000"/>
                <w:sz w:val="24"/>
              </w:rPr>
              <w:t>ed</w:t>
            </w:r>
            <w:r>
              <w:rPr>
                <w:color w:val="000000"/>
                <w:sz w:val="24"/>
              </w:rPr>
              <w:t xml:space="preserve"> population for Louisiana</w:t>
            </w:r>
          </w:p>
        </w:tc>
        <w:tc>
          <w:tcPr>
            <w:tcW w:w="2790" w:type="dxa"/>
            <w:noWrap/>
            <w:hideMark/>
          </w:tcPr>
          <w:p w:rsidR="007D7E46" w:rsidRPr="008511F0" w:rsidRDefault="008E55DC" w:rsidP="006250AA">
            <w:pPr>
              <w:jc w:val="right"/>
              <w:rPr>
                <w:color w:val="000000"/>
                <w:sz w:val="24"/>
              </w:rPr>
            </w:pPr>
            <w:r>
              <w:rPr>
                <w:color w:val="000000"/>
                <w:sz w:val="24"/>
              </w:rPr>
              <w:fldChar w:fldCharType="begin"/>
            </w:r>
            <w:r w:rsidR="007D7E46">
              <w:rPr>
                <w:color w:val="000000"/>
                <w:sz w:val="24"/>
              </w:rPr>
              <w:instrText xml:space="preserve"> =SUM(ABOVE) </w:instrText>
            </w:r>
            <w:r>
              <w:rPr>
                <w:color w:val="000000"/>
                <w:sz w:val="24"/>
              </w:rPr>
              <w:fldChar w:fldCharType="separate"/>
            </w:r>
            <w:r w:rsidR="007D7E46">
              <w:rPr>
                <w:noProof/>
                <w:color w:val="000000"/>
                <w:sz w:val="24"/>
              </w:rPr>
              <w:t>1,894,722</w:t>
            </w:r>
            <w:r>
              <w:rPr>
                <w:color w:val="000000"/>
                <w:sz w:val="24"/>
              </w:rPr>
              <w:fldChar w:fldCharType="end"/>
            </w:r>
          </w:p>
        </w:tc>
      </w:tr>
      <w:tr w:rsidR="00C737A7" w:rsidRPr="008511F0" w:rsidTr="006250AA">
        <w:trPr>
          <w:trHeight w:val="300"/>
        </w:trPr>
        <w:tc>
          <w:tcPr>
            <w:tcW w:w="8568" w:type="dxa"/>
            <w:gridSpan w:val="2"/>
            <w:hideMark/>
          </w:tcPr>
          <w:p w:rsidR="00C737A7" w:rsidRPr="008511F0" w:rsidRDefault="00C737A7" w:rsidP="006250AA">
            <w:pPr>
              <w:jc w:val="center"/>
              <w:rPr>
                <w:color w:val="000000"/>
                <w:sz w:val="24"/>
              </w:rPr>
            </w:pPr>
            <w:r w:rsidRPr="008511F0">
              <w:rPr>
                <w:color w:val="000000"/>
                <w:sz w:val="24"/>
              </w:rPr>
              <w:t>Mississippi</w:t>
            </w:r>
          </w:p>
        </w:tc>
      </w:tr>
      <w:tr w:rsidR="00C737A7" w:rsidRPr="008511F0" w:rsidTr="006250AA">
        <w:trPr>
          <w:trHeight w:val="315"/>
        </w:trPr>
        <w:tc>
          <w:tcPr>
            <w:tcW w:w="5778" w:type="dxa"/>
            <w:hideMark/>
          </w:tcPr>
          <w:p w:rsidR="00C737A7" w:rsidRPr="008511F0" w:rsidRDefault="00C737A7" w:rsidP="006250AA">
            <w:pPr>
              <w:rPr>
                <w:color w:val="000000"/>
                <w:sz w:val="24"/>
              </w:rPr>
            </w:pPr>
            <w:r w:rsidRPr="008511F0">
              <w:rPr>
                <w:color w:val="000000"/>
                <w:sz w:val="24"/>
              </w:rPr>
              <w:t>Hancock County</w:t>
            </w:r>
          </w:p>
        </w:tc>
        <w:tc>
          <w:tcPr>
            <w:tcW w:w="2790" w:type="dxa"/>
            <w:noWrap/>
            <w:hideMark/>
          </w:tcPr>
          <w:p w:rsidR="00C737A7" w:rsidRPr="008511F0" w:rsidRDefault="00C737A7" w:rsidP="006250AA">
            <w:pPr>
              <w:jc w:val="right"/>
              <w:rPr>
                <w:color w:val="000000"/>
                <w:sz w:val="24"/>
              </w:rPr>
            </w:pPr>
            <w:r w:rsidRPr="008511F0">
              <w:rPr>
                <w:color w:val="000000"/>
                <w:sz w:val="24"/>
              </w:rPr>
              <w:t>40,962</w:t>
            </w:r>
          </w:p>
        </w:tc>
      </w:tr>
      <w:tr w:rsidR="00C737A7" w:rsidRPr="008511F0" w:rsidTr="006250AA">
        <w:trPr>
          <w:trHeight w:val="315"/>
        </w:trPr>
        <w:tc>
          <w:tcPr>
            <w:tcW w:w="5778" w:type="dxa"/>
            <w:hideMark/>
          </w:tcPr>
          <w:p w:rsidR="00C737A7" w:rsidRPr="008511F0" w:rsidRDefault="00C737A7" w:rsidP="006250AA">
            <w:pPr>
              <w:rPr>
                <w:color w:val="000000"/>
                <w:sz w:val="24"/>
              </w:rPr>
            </w:pPr>
            <w:r w:rsidRPr="008511F0">
              <w:rPr>
                <w:color w:val="000000"/>
                <w:sz w:val="24"/>
              </w:rPr>
              <w:t>Harrison County</w:t>
            </w:r>
          </w:p>
        </w:tc>
        <w:tc>
          <w:tcPr>
            <w:tcW w:w="2790" w:type="dxa"/>
            <w:noWrap/>
            <w:hideMark/>
          </w:tcPr>
          <w:p w:rsidR="00C737A7" w:rsidRPr="008511F0" w:rsidRDefault="00C737A7" w:rsidP="006250AA">
            <w:pPr>
              <w:jc w:val="right"/>
              <w:rPr>
                <w:color w:val="000000"/>
                <w:sz w:val="24"/>
              </w:rPr>
            </w:pPr>
            <w:r w:rsidRPr="008511F0">
              <w:rPr>
                <w:color w:val="000000"/>
                <w:sz w:val="24"/>
              </w:rPr>
              <w:t>181,191</w:t>
            </w:r>
          </w:p>
        </w:tc>
      </w:tr>
      <w:tr w:rsidR="00C737A7" w:rsidRPr="008511F0" w:rsidTr="006250AA">
        <w:trPr>
          <w:trHeight w:val="315"/>
        </w:trPr>
        <w:tc>
          <w:tcPr>
            <w:tcW w:w="5778" w:type="dxa"/>
            <w:hideMark/>
          </w:tcPr>
          <w:p w:rsidR="00C737A7" w:rsidRPr="008511F0" w:rsidRDefault="00C737A7" w:rsidP="006250AA">
            <w:pPr>
              <w:rPr>
                <w:color w:val="000000"/>
                <w:sz w:val="24"/>
              </w:rPr>
            </w:pPr>
            <w:r w:rsidRPr="008511F0">
              <w:rPr>
                <w:color w:val="000000"/>
                <w:sz w:val="24"/>
              </w:rPr>
              <w:t>Jackson County</w:t>
            </w:r>
          </w:p>
        </w:tc>
        <w:tc>
          <w:tcPr>
            <w:tcW w:w="2790" w:type="dxa"/>
            <w:noWrap/>
            <w:hideMark/>
          </w:tcPr>
          <w:p w:rsidR="00C737A7" w:rsidRPr="008511F0" w:rsidRDefault="00C737A7" w:rsidP="006250AA">
            <w:pPr>
              <w:jc w:val="right"/>
              <w:rPr>
                <w:color w:val="000000"/>
                <w:sz w:val="24"/>
              </w:rPr>
            </w:pPr>
            <w:r w:rsidRPr="008511F0">
              <w:rPr>
                <w:color w:val="000000"/>
                <w:sz w:val="24"/>
              </w:rPr>
              <w:t>132,922</w:t>
            </w:r>
          </w:p>
        </w:tc>
      </w:tr>
      <w:tr w:rsidR="00C737A7" w:rsidRPr="008511F0" w:rsidTr="006250AA">
        <w:trPr>
          <w:trHeight w:val="315"/>
        </w:trPr>
        <w:tc>
          <w:tcPr>
            <w:tcW w:w="5778" w:type="dxa"/>
            <w:hideMark/>
          </w:tcPr>
          <w:p w:rsidR="00C737A7" w:rsidRPr="008511F0" w:rsidRDefault="007D7E46" w:rsidP="006250AA">
            <w:pPr>
              <w:rPr>
                <w:color w:val="000000"/>
                <w:sz w:val="24"/>
              </w:rPr>
            </w:pPr>
            <w:r>
              <w:rPr>
                <w:color w:val="000000"/>
                <w:sz w:val="24"/>
              </w:rPr>
              <w:t>Total target</w:t>
            </w:r>
            <w:r w:rsidR="00C66CBA">
              <w:rPr>
                <w:color w:val="000000"/>
                <w:sz w:val="24"/>
              </w:rPr>
              <w:t>ed</w:t>
            </w:r>
            <w:r>
              <w:rPr>
                <w:color w:val="000000"/>
                <w:sz w:val="24"/>
              </w:rPr>
              <w:t xml:space="preserve"> population for Mississippi</w:t>
            </w:r>
          </w:p>
        </w:tc>
        <w:tc>
          <w:tcPr>
            <w:tcW w:w="2790" w:type="dxa"/>
            <w:noWrap/>
            <w:hideMark/>
          </w:tcPr>
          <w:p w:rsidR="00C737A7" w:rsidRPr="008511F0" w:rsidRDefault="008E55DC" w:rsidP="006250AA">
            <w:pPr>
              <w:jc w:val="right"/>
              <w:rPr>
                <w:color w:val="000000"/>
                <w:sz w:val="24"/>
              </w:rPr>
            </w:pPr>
            <w:r>
              <w:rPr>
                <w:color w:val="000000"/>
                <w:sz w:val="24"/>
              </w:rPr>
              <w:fldChar w:fldCharType="begin"/>
            </w:r>
            <w:r w:rsidR="00C737A7">
              <w:rPr>
                <w:color w:val="000000"/>
                <w:sz w:val="24"/>
              </w:rPr>
              <w:instrText xml:space="preserve"> =SUM(ABOVE) </w:instrText>
            </w:r>
            <w:r>
              <w:rPr>
                <w:color w:val="000000"/>
                <w:sz w:val="24"/>
              </w:rPr>
              <w:fldChar w:fldCharType="separate"/>
            </w:r>
            <w:r w:rsidR="00C737A7">
              <w:rPr>
                <w:noProof/>
                <w:color w:val="000000"/>
                <w:sz w:val="24"/>
              </w:rPr>
              <w:t>355,075</w:t>
            </w:r>
            <w:r>
              <w:rPr>
                <w:color w:val="000000"/>
                <w:sz w:val="24"/>
              </w:rPr>
              <w:fldChar w:fldCharType="end"/>
            </w:r>
          </w:p>
        </w:tc>
      </w:tr>
      <w:tr w:rsidR="00C737A7" w:rsidRPr="008511F0" w:rsidTr="006250AA">
        <w:trPr>
          <w:trHeight w:val="300"/>
        </w:trPr>
        <w:tc>
          <w:tcPr>
            <w:tcW w:w="8568" w:type="dxa"/>
            <w:gridSpan w:val="2"/>
            <w:hideMark/>
          </w:tcPr>
          <w:p w:rsidR="00C737A7" w:rsidRPr="008511F0" w:rsidRDefault="00C737A7" w:rsidP="006250AA">
            <w:pPr>
              <w:jc w:val="center"/>
              <w:rPr>
                <w:color w:val="000000"/>
                <w:sz w:val="24"/>
              </w:rPr>
            </w:pPr>
            <w:r w:rsidRPr="008511F0">
              <w:rPr>
                <w:color w:val="000000"/>
                <w:sz w:val="24"/>
              </w:rPr>
              <w:t>Alabama</w:t>
            </w:r>
          </w:p>
        </w:tc>
      </w:tr>
      <w:tr w:rsidR="00C737A7" w:rsidRPr="008511F0" w:rsidTr="006250AA">
        <w:trPr>
          <w:trHeight w:val="315"/>
        </w:trPr>
        <w:tc>
          <w:tcPr>
            <w:tcW w:w="5778" w:type="dxa"/>
            <w:hideMark/>
          </w:tcPr>
          <w:p w:rsidR="00C737A7" w:rsidRPr="008511F0" w:rsidRDefault="00C737A7" w:rsidP="006250AA">
            <w:pPr>
              <w:rPr>
                <w:color w:val="000000"/>
                <w:sz w:val="24"/>
              </w:rPr>
            </w:pPr>
            <w:r w:rsidRPr="008511F0">
              <w:rPr>
                <w:color w:val="000000"/>
                <w:sz w:val="24"/>
              </w:rPr>
              <w:t>Mobile County</w:t>
            </w:r>
          </w:p>
        </w:tc>
        <w:tc>
          <w:tcPr>
            <w:tcW w:w="2790" w:type="dxa"/>
            <w:noWrap/>
            <w:hideMark/>
          </w:tcPr>
          <w:p w:rsidR="00C737A7" w:rsidRPr="008511F0" w:rsidRDefault="00C737A7" w:rsidP="006250AA">
            <w:pPr>
              <w:jc w:val="right"/>
              <w:rPr>
                <w:color w:val="000000"/>
                <w:sz w:val="24"/>
              </w:rPr>
            </w:pPr>
            <w:r w:rsidRPr="008511F0">
              <w:rPr>
                <w:color w:val="000000"/>
                <w:sz w:val="24"/>
              </w:rPr>
              <w:t>411,721</w:t>
            </w:r>
          </w:p>
        </w:tc>
      </w:tr>
      <w:tr w:rsidR="00C737A7" w:rsidRPr="008511F0" w:rsidTr="006250AA">
        <w:trPr>
          <w:trHeight w:val="315"/>
        </w:trPr>
        <w:tc>
          <w:tcPr>
            <w:tcW w:w="5778" w:type="dxa"/>
            <w:hideMark/>
          </w:tcPr>
          <w:p w:rsidR="00C737A7" w:rsidRPr="008511F0" w:rsidRDefault="00C737A7" w:rsidP="006250AA">
            <w:pPr>
              <w:rPr>
                <w:color w:val="000000"/>
                <w:sz w:val="24"/>
              </w:rPr>
            </w:pPr>
            <w:r w:rsidRPr="008511F0">
              <w:rPr>
                <w:color w:val="000000"/>
                <w:sz w:val="24"/>
              </w:rPr>
              <w:t>Baldwin County</w:t>
            </w:r>
          </w:p>
        </w:tc>
        <w:tc>
          <w:tcPr>
            <w:tcW w:w="2790" w:type="dxa"/>
            <w:noWrap/>
            <w:hideMark/>
          </w:tcPr>
          <w:p w:rsidR="00C737A7" w:rsidRPr="008511F0" w:rsidRDefault="00C737A7" w:rsidP="006250AA">
            <w:pPr>
              <w:jc w:val="right"/>
              <w:rPr>
                <w:color w:val="000000"/>
                <w:sz w:val="24"/>
              </w:rPr>
            </w:pPr>
            <w:r w:rsidRPr="008511F0">
              <w:rPr>
                <w:color w:val="000000"/>
                <w:sz w:val="24"/>
              </w:rPr>
              <w:t>179,878</w:t>
            </w:r>
          </w:p>
        </w:tc>
      </w:tr>
      <w:tr w:rsidR="007D7E46" w:rsidRPr="008511F0" w:rsidTr="006250AA">
        <w:trPr>
          <w:trHeight w:val="315"/>
        </w:trPr>
        <w:tc>
          <w:tcPr>
            <w:tcW w:w="5778" w:type="dxa"/>
            <w:hideMark/>
          </w:tcPr>
          <w:p w:rsidR="007D7E46" w:rsidRPr="008511F0" w:rsidRDefault="007D7E46" w:rsidP="007D7E46">
            <w:pPr>
              <w:rPr>
                <w:color w:val="000000"/>
                <w:sz w:val="24"/>
              </w:rPr>
            </w:pPr>
            <w:r>
              <w:rPr>
                <w:color w:val="000000"/>
                <w:sz w:val="24"/>
              </w:rPr>
              <w:t>Total target</w:t>
            </w:r>
            <w:r w:rsidR="00C66CBA">
              <w:rPr>
                <w:color w:val="000000"/>
                <w:sz w:val="24"/>
              </w:rPr>
              <w:t>ed</w:t>
            </w:r>
            <w:r>
              <w:rPr>
                <w:color w:val="000000"/>
                <w:sz w:val="24"/>
              </w:rPr>
              <w:t xml:space="preserve"> population for Alabama</w:t>
            </w:r>
          </w:p>
        </w:tc>
        <w:tc>
          <w:tcPr>
            <w:tcW w:w="2790" w:type="dxa"/>
            <w:noWrap/>
            <w:hideMark/>
          </w:tcPr>
          <w:p w:rsidR="007D7E46" w:rsidRPr="008511F0" w:rsidRDefault="008E55DC" w:rsidP="006250AA">
            <w:pPr>
              <w:jc w:val="right"/>
              <w:rPr>
                <w:color w:val="000000"/>
                <w:sz w:val="24"/>
              </w:rPr>
            </w:pPr>
            <w:r>
              <w:rPr>
                <w:color w:val="000000"/>
                <w:sz w:val="24"/>
              </w:rPr>
              <w:fldChar w:fldCharType="begin"/>
            </w:r>
            <w:r w:rsidR="007D7E46">
              <w:rPr>
                <w:color w:val="000000"/>
                <w:sz w:val="24"/>
              </w:rPr>
              <w:instrText xml:space="preserve"> =SUM(ABOVE) </w:instrText>
            </w:r>
            <w:r>
              <w:rPr>
                <w:color w:val="000000"/>
                <w:sz w:val="24"/>
              </w:rPr>
              <w:fldChar w:fldCharType="separate"/>
            </w:r>
            <w:r w:rsidR="007D7E46">
              <w:rPr>
                <w:noProof/>
                <w:color w:val="000000"/>
                <w:sz w:val="24"/>
              </w:rPr>
              <w:t>591,599</w:t>
            </w:r>
            <w:r>
              <w:rPr>
                <w:color w:val="000000"/>
                <w:sz w:val="24"/>
              </w:rPr>
              <w:fldChar w:fldCharType="end"/>
            </w:r>
          </w:p>
        </w:tc>
      </w:tr>
      <w:tr w:rsidR="00C737A7" w:rsidRPr="008511F0" w:rsidTr="006250AA">
        <w:trPr>
          <w:trHeight w:val="300"/>
        </w:trPr>
        <w:tc>
          <w:tcPr>
            <w:tcW w:w="8568" w:type="dxa"/>
            <w:gridSpan w:val="2"/>
            <w:hideMark/>
          </w:tcPr>
          <w:p w:rsidR="00C737A7" w:rsidRPr="008511F0" w:rsidRDefault="00C737A7" w:rsidP="006250AA">
            <w:pPr>
              <w:jc w:val="center"/>
              <w:rPr>
                <w:color w:val="000000"/>
                <w:sz w:val="24"/>
              </w:rPr>
            </w:pPr>
            <w:r w:rsidRPr="008511F0">
              <w:rPr>
                <w:color w:val="000000"/>
                <w:sz w:val="24"/>
              </w:rPr>
              <w:t>Florida</w:t>
            </w:r>
          </w:p>
        </w:tc>
      </w:tr>
      <w:tr w:rsidR="00C737A7" w:rsidRPr="008511F0" w:rsidTr="006250AA">
        <w:trPr>
          <w:trHeight w:val="315"/>
        </w:trPr>
        <w:tc>
          <w:tcPr>
            <w:tcW w:w="5778" w:type="dxa"/>
            <w:hideMark/>
          </w:tcPr>
          <w:p w:rsidR="00C737A7" w:rsidRPr="008511F0" w:rsidRDefault="00C737A7" w:rsidP="006250AA">
            <w:pPr>
              <w:rPr>
                <w:color w:val="000000"/>
                <w:sz w:val="24"/>
              </w:rPr>
            </w:pPr>
            <w:r w:rsidRPr="008511F0">
              <w:rPr>
                <w:color w:val="000000"/>
                <w:sz w:val="24"/>
              </w:rPr>
              <w:lastRenderedPageBreak/>
              <w:t>Escambia County</w:t>
            </w:r>
          </w:p>
        </w:tc>
        <w:tc>
          <w:tcPr>
            <w:tcW w:w="2790" w:type="dxa"/>
            <w:noWrap/>
            <w:hideMark/>
          </w:tcPr>
          <w:p w:rsidR="00C737A7" w:rsidRPr="008511F0" w:rsidRDefault="00C737A7" w:rsidP="006250AA">
            <w:pPr>
              <w:jc w:val="right"/>
              <w:rPr>
                <w:color w:val="000000"/>
                <w:sz w:val="24"/>
              </w:rPr>
            </w:pPr>
            <w:r w:rsidRPr="008511F0">
              <w:rPr>
                <w:color w:val="000000"/>
                <w:sz w:val="24"/>
              </w:rPr>
              <w:t>303,343</w:t>
            </w:r>
          </w:p>
        </w:tc>
      </w:tr>
      <w:tr w:rsidR="00C737A7" w:rsidRPr="008511F0" w:rsidTr="006250AA">
        <w:trPr>
          <w:trHeight w:val="315"/>
        </w:trPr>
        <w:tc>
          <w:tcPr>
            <w:tcW w:w="5778" w:type="dxa"/>
            <w:hideMark/>
          </w:tcPr>
          <w:p w:rsidR="00C737A7" w:rsidRPr="008511F0" w:rsidRDefault="00C737A7" w:rsidP="006250AA">
            <w:pPr>
              <w:rPr>
                <w:color w:val="000000"/>
                <w:sz w:val="24"/>
              </w:rPr>
            </w:pPr>
            <w:r w:rsidRPr="008511F0">
              <w:rPr>
                <w:color w:val="000000"/>
                <w:sz w:val="24"/>
              </w:rPr>
              <w:t>Santa Rosa County</w:t>
            </w:r>
          </w:p>
        </w:tc>
        <w:tc>
          <w:tcPr>
            <w:tcW w:w="2790" w:type="dxa"/>
            <w:noWrap/>
            <w:hideMark/>
          </w:tcPr>
          <w:p w:rsidR="00C737A7" w:rsidRPr="008511F0" w:rsidRDefault="00C737A7" w:rsidP="006250AA">
            <w:pPr>
              <w:jc w:val="right"/>
              <w:rPr>
                <w:color w:val="000000"/>
                <w:sz w:val="24"/>
              </w:rPr>
            </w:pPr>
            <w:r w:rsidRPr="008511F0">
              <w:rPr>
                <w:color w:val="000000"/>
                <w:sz w:val="24"/>
              </w:rPr>
              <w:t>151,759</w:t>
            </w:r>
          </w:p>
        </w:tc>
      </w:tr>
      <w:tr w:rsidR="00C737A7" w:rsidRPr="008511F0" w:rsidTr="006250AA">
        <w:trPr>
          <w:trHeight w:val="315"/>
        </w:trPr>
        <w:tc>
          <w:tcPr>
            <w:tcW w:w="5778" w:type="dxa"/>
            <w:hideMark/>
          </w:tcPr>
          <w:p w:rsidR="00C737A7" w:rsidRPr="008511F0" w:rsidRDefault="00C737A7" w:rsidP="006250AA">
            <w:pPr>
              <w:rPr>
                <w:color w:val="000000"/>
                <w:sz w:val="24"/>
              </w:rPr>
            </w:pPr>
            <w:r w:rsidRPr="008511F0">
              <w:rPr>
                <w:color w:val="000000"/>
                <w:sz w:val="24"/>
              </w:rPr>
              <w:t>Walton County</w:t>
            </w:r>
          </w:p>
        </w:tc>
        <w:tc>
          <w:tcPr>
            <w:tcW w:w="2790" w:type="dxa"/>
            <w:noWrap/>
            <w:hideMark/>
          </w:tcPr>
          <w:p w:rsidR="00C737A7" w:rsidRPr="008511F0" w:rsidRDefault="00C737A7" w:rsidP="006250AA">
            <w:pPr>
              <w:jc w:val="right"/>
              <w:rPr>
                <w:color w:val="000000"/>
                <w:sz w:val="24"/>
              </w:rPr>
            </w:pPr>
            <w:r w:rsidRPr="008511F0">
              <w:rPr>
                <w:color w:val="000000"/>
                <w:sz w:val="24"/>
              </w:rPr>
              <w:t>55,105</w:t>
            </w:r>
          </w:p>
        </w:tc>
      </w:tr>
      <w:tr w:rsidR="00C737A7" w:rsidRPr="008511F0" w:rsidTr="006250AA">
        <w:trPr>
          <w:trHeight w:val="315"/>
        </w:trPr>
        <w:tc>
          <w:tcPr>
            <w:tcW w:w="5778" w:type="dxa"/>
            <w:hideMark/>
          </w:tcPr>
          <w:p w:rsidR="00C737A7" w:rsidRPr="008511F0" w:rsidRDefault="00C737A7" w:rsidP="006250AA">
            <w:pPr>
              <w:rPr>
                <w:color w:val="000000"/>
                <w:sz w:val="24"/>
              </w:rPr>
            </w:pPr>
            <w:r w:rsidRPr="008511F0">
              <w:rPr>
                <w:color w:val="000000"/>
                <w:sz w:val="24"/>
              </w:rPr>
              <w:t>Okaloosa County</w:t>
            </w:r>
          </w:p>
        </w:tc>
        <w:tc>
          <w:tcPr>
            <w:tcW w:w="2790" w:type="dxa"/>
            <w:noWrap/>
            <w:hideMark/>
          </w:tcPr>
          <w:p w:rsidR="00C737A7" w:rsidRPr="008511F0" w:rsidRDefault="00C737A7" w:rsidP="006250AA">
            <w:pPr>
              <w:jc w:val="right"/>
              <w:rPr>
                <w:color w:val="000000"/>
                <w:sz w:val="24"/>
              </w:rPr>
            </w:pPr>
            <w:r w:rsidRPr="008511F0">
              <w:rPr>
                <w:color w:val="000000"/>
                <w:sz w:val="24"/>
              </w:rPr>
              <w:t>178,473</w:t>
            </w:r>
          </w:p>
        </w:tc>
      </w:tr>
      <w:tr w:rsidR="007D7E46" w:rsidRPr="008511F0" w:rsidTr="006250AA">
        <w:trPr>
          <w:trHeight w:val="300"/>
        </w:trPr>
        <w:tc>
          <w:tcPr>
            <w:tcW w:w="5778" w:type="dxa"/>
            <w:noWrap/>
            <w:hideMark/>
          </w:tcPr>
          <w:p w:rsidR="007D7E46" w:rsidRPr="008511F0" w:rsidRDefault="007D7E46" w:rsidP="006250AA">
            <w:pPr>
              <w:rPr>
                <w:color w:val="000000"/>
                <w:sz w:val="24"/>
              </w:rPr>
            </w:pPr>
            <w:r>
              <w:rPr>
                <w:color w:val="000000"/>
                <w:sz w:val="24"/>
              </w:rPr>
              <w:t>Total target</w:t>
            </w:r>
            <w:r w:rsidR="00C66CBA">
              <w:rPr>
                <w:color w:val="000000"/>
                <w:sz w:val="24"/>
              </w:rPr>
              <w:t>ed</w:t>
            </w:r>
            <w:r>
              <w:rPr>
                <w:color w:val="000000"/>
                <w:sz w:val="24"/>
              </w:rPr>
              <w:t xml:space="preserve"> population for Florida</w:t>
            </w:r>
          </w:p>
        </w:tc>
        <w:tc>
          <w:tcPr>
            <w:tcW w:w="2790" w:type="dxa"/>
            <w:noWrap/>
            <w:hideMark/>
          </w:tcPr>
          <w:p w:rsidR="007D7E46" w:rsidRPr="008511F0" w:rsidRDefault="008E55DC" w:rsidP="006250AA">
            <w:pPr>
              <w:jc w:val="right"/>
              <w:rPr>
                <w:color w:val="000000"/>
                <w:sz w:val="24"/>
              </w:rPr>
            </w:pPr>
            <w:r>
              <w:rPr>
                <w:color w:val="000000"/>
                <w:sz w:val="24"/>
              </w:rPr>
              <w:fldChar w:fldCharType="begin"/>
            </w:r>
            <w:r w:rsidR="007D7E46">
              <w:rPr>
                <w:color w:val="000000"/>
                <w:sz w:val="24"/>
              </w:rPr>
              <w:instrText xml:space="preserve"> =SUM(ABOVE) </w:instrText>
            </w:r>
            <w:r>
              <w:rPr>
                <w:color w:val="000000"/>
                <w:sz w:val="24"/>
              </w:rPr>
              <w:fldChar w:fldCharType="separate"/>
            </w:r>
            <w:r w:rsidR="007D7E46">
              <w:rPr>
                <w:noProof/>
                <w:color w:val="000000"/>
                <w:sz w:val="24"/>
              </w:rPr>
              <w:t>688,680</w:t>
            </w:r>
            <w:r>
              <w:rPr>
                <w:color w:val="000000"/>
                <w:sz w:val="24"/>
              </w:rPr>
              <w:fldChar w:fldCharType="end"/>
            </w:r>
          </w:p>
        </w:tc>
      </w:tr>
      <w:tr w:rsidR="00C737A7" w:rsidRPr="008511F0" w:rsidTr="006250AA">
        <w:trPr>
          <w:trHeight w:val="300"/>
        </w:trPr>
        <w:tc>
          <w:tcPr>
            <w:tcW w:w="5778" w:type="dxa"/>
            <w:noWrap/>
            <w:hideMark/>
          </w:tcPr>
          <w:p w:rsidR="00C737A7" w:rsidRPr="008511F0" w:rsidRDefault="00C737A7" w:rsidP="006250AA">
            <w:pPr>
              <w:rPr>
                <w:color w:val="000000"/>
                <w:sz w:val="24"/>
              </w:rPr>
            </w:pPr>
            <w:r w:rsidRPr="008511F0">
              <w:rPr>
                <w:color w:val="000000"/>
                <w:sz w:val="24"/>
              </w:rPr>
              <w:t>TOTAL TARGETED AREA POPULATION</w:t>
            </w:r>
          </w:p>
        </w:tc>
        <w:tc>
          <w:tcPr>
            <w:tcW w:w="2790" w:type="dxa"/>
            <w:noWrap/>
            <w:hideMark/>
          </w:tcPr>
          <w:p w:rsidR="00C737A7" w:rsidRPr="008511F0" w:rsidRDefault="00C737A7" w:rsidP="006250AA">
            <w:pPr>
              <w:jc w:val="right"/>
              <w:rPr>
                <w:color w:val="000000"/>
                <w:sz w:val="24"/>
              </w:rPr>
            </w:pPr>
            <w:r w:rsidRPr="008511F0">
              <w:rPr>
                <w:color w:val="000000"/>
                <w:sz w:val="24"/>
              </w:rPr>
              <w:t>3,530,076</w:t>
            </w:r>
          </w:p>
        </w:tc>
      </w:tr>
    </w:tbl>
    <w:p w:rsidR="00C737A7" w:rsidRPr="008511F0" w:rsidRDefault="00C737A7" w:rsidP="00C737A7">
      <w:pPr>
        <w:ind w:left="1440"/>
        <w:rPr>
          <w:color w:val="000000"/>
          <w:sz w:val="24"/>
        </w:rPr>
        <w:sectPr w:rsidR="00C737A7" w:rsidRPr="008511F0" w:rsidSect="00C737A7">
          <w:headerReference w:type="default" r:id="rId9"/>
          <w:footerReference w:type="default" r:id="rId10"/>
          <w:pgSz w:w="12240" w:h="15840" w:code="1"/>
          <w:pgMar w:top="1440" w:right="1008" w:bottom="1008" w:left="1440" w:header="720" w:footer="720" w:gutter="0"/>
          <w:pgNumType w:start="1"/>
          <w:cols w:space="720"/>
          <w:docGrid w:linePitch="360"/>
        </w:sectPr>
      </w:pPr>
    </w:p>
    <w:p w:rsidR="00C737A7" w:rsidRDefault="00C737A7" w:rsidP="00C737A7">
      <w:pPr>
        <w:ind w:left="1440"/>
        <w:rPr>
          <w:color w:val="000000"/>
          <w:sz w:val="24"/>
        </w:rPr>
      </w:pPr>
    </w:p>
    <w:p w:rsidR="007073B1" w:rsidRDefault="007D7E46" w:rsidP="007073B1">
      <w:pPr>
        <w:rPr>
          <w:color w:val="000000"/>
          <w:sz w:val="24"/>
        </w:rPr>
      </w:pPr>
      <w:r>
        <w:rPr>
          <w:color w:val="000000"/>
          <w:sz w:val="24"/>
        </w:rPr>
        <w:t xml:space="preserve">The table below illustrates </w:t>
      </w:r>
      <w:r w:rsidR="00C66CBA">
        <w:rPr>
          <w:color w:val="000000"/>
          <w:sz w:val="24"/>
        </w:rPr>
        <w:t xml:space="preserve">the </w:t>
      </w:r>
      <w:r>
        <w:rPr>
          <w:color w:val="000000"/>
          <w:sz w:val="24"/>
        </w:rPr>
        <w:t xml:space="preserve">2009 population estimates for the balance of each state, which will be the comparison population. </w:t>
      </w:r>
    </w:p>
    <w:p w:rsidR="007D7E46" w:rsidRDefault="007D7E46" w:rsidP="00C737A7">
      <w:pPr>
        <w:ind w:left="1440"/>
        <w:rPr>
          <w:color w:val="000000"/>
          <w:sz w:val="24"/>
        </w:rPr>
      </w:pPr>
    </w:p>
    <w:p w:rsidR="007D7E46" w:rsidRPr="008511F0" w:rsidRDefault="007D7E46" w:rsidP="00C737A7">
      <w:pPr>
        <w:ind w:left="1440"/>
        <w:rPr>
          <w:color w:val="000000"/>
          <w:sz w:val="24"/>
        </w:rPr>
      </w:pPr>
    </w:p>
    <w:tbl>
      <w:tblPr>
        <w:tblStyle w:val="TableGrid"/>
        <w:tblW w:w="0" w:type="auto"/>
        <w:tblLook w:val="04A0"/>
      </w:tblPr>
      <w:tblGrid>
        <w:gridCol w:w="3888"/>
        <w:gridCol w:w="4860"/>
      </w:tblGrid>
      <w:tr w:rsidR="007D7E46" w:rsidTr="00CC3A8D">
        <w:tc>
          <w:tcPr>
            <w:tcW w:w="8748" w:type="dxa"/>
            <w:gridSpan w:val="2"/>
          </w:tcPr>
          <w:p w:rsidR="007D7E46" w:rsidRPr="008511F0" w:rsidRDefault="007D7E46" w:rsidP="007D7E46">
            <w:pPr>
              <w:jc w:val="center"/>
              <w:rPr>
                <w:color w:val="000000"/>
                <w:sz w:val="24"/>
              </w:rPr>
            </w:pPr>
            <w:r w:rsidRPr="008511F0">
              <w:rPr>
                <w:color w:val="000000"/>
                <w:sz w:val="24"/>
              </w:rPr>
              <w:t xml:space="preserve">2009 POPULATION ESTIMATE BY COUNTY OF </w:t>
            </w:r>
            <w:r>
              <w:rPr>
                <w:color w:val="000000"/>
                <w:sz w:val="24"/>
              </w:rPr>
              <w:t>COMPARISON</w:t>
            </w:r>
            <w:r w:rsidRPr="008511F0">
              <w:rPr>
                <w:color w:val="000000"/>
                <w:sz w:val="24"/>
              </w:rPr>
              <w:t xml:space="preserve"> AREA</w:t>
            </w:r>
          </w:p>
        </w:tc>
      </w:tr>
      <w:tr w:rsidR="007D7E46" w:rsidTr="00CC3A8D">
        <w:tc>
          <w:tcPr>
            <w:tcW w:w="3888" w:type="dxa"/>
          </w:tcPr>
          <w:p w:rsidR="007073B1" w:rsidRDefault="007D7E46" w:rsidP="007073B1">
            <w:pPr>
              <w:jc w:val="center"/>
              <w:rPr>
                <w:color w:val="000000"/>
                <w:sz w:val="24"/>
              </w:rPr>
            </w:pPr>
            <w:r>
              <w:rPr>
                <w:color w:val="000000"/>
                <w:sz w:val="24"/>
              </w:rPr>
              <w:t>State</w:t>
            </w:r>
          </w:p>
        </w:tc>
        <w:tc>
          <w:tcPr>
            <w:tcW w:w="4860" w:type="dxa"/>
          </w:tcPr>
          <w:p w:rsidR="007073B1" w:rsidRDefault="004E19A9" w:rsidP="007073B1">
            <w:pPr>
              <w:jc w:val="center"/>
              <w:rPr>
                <w:color w:val="000000"/>
                <w:sz w:val="24"/>
              </w:rPr>
            </w:pPr>
            <w:r>
              <w:rPr>
                <w:color w:val="000000"/>
                <w:sz w:val="24"/>
              </w:rPr>
              <w:t>2005-</w:t>
            </w:r>
            <w:r w:rsidR="007D7E46" w:rsidRPr="008511F0">
              <w:rPr>
                <w:color w:val="000000"/>
                <w:sz w:val="24"/>
              </w:rPr>
              <w:t xml:space="preserve">2009 </w:t>
            </w:r>
            <w:r>
              <w:rPr>
                <w:color w:val="000000"/>
                <w:sz w:val="24"/>
              </w:rPr>
              <w:t xml:space="preserve">ACS </w:t>
            </w:r>
            <w:r w:rsidR="007D7E46" w:rsidRPr="008511F0">
              <w:rPr>
                <w:color w:val="000000"/>
                <w:sz w:val="24"/>
              </w:rPr>
              <w:t>Population Estimate</w:t>
            </w:r>
          </w:p>
          <w:p w:rsidR="007073B1" w:rsidRDefault="004E19A9" w:rsidP="007073B1">
            <w:pPr>
              <w:jc w:val="center"/>
              <w:rPr>
                <w:color w:val="000000"/>
                <w:sz w:val="24"/>
              </w:rPr>
            </w:pPr>
            <w:r>
              <w:rPr>
                <w:color w:val="000000"/>
                <w:sz w:val="24"/>
              </w:rPr>
              <w:t>For Comparison Area</w:t>
            </w:r>
          </w:p>
        </w:tc>
      </w:tr>
      <w:tr w:rsidR="007D7E46" w:rsidTr="00CC3A8D">
        <w:tc>
          <w:tcPr>
            <w:tcW w:w="3888" w:type="dxa"/>
          </w:tcPr>
          <w:p w:rsidR="007D7E46" w:rsidRDefault="007D7E46" w:rsidP="00C737A7">
            <w:pPr>
              <w:rPr>
                <w:color w:val="000000"/>
                <w:sz w:val="24"/>
              </w:rPr>
            </w:pPr>
            <w:r>
              <w:rPr>
                <w:color w:val="000000"/>
                <w:sz w:val="24"/>
              </w:rPr>
              <w:t>Louisiana</w:t>
            </w:r>
          </w:p>
        </w:tc>
        <w:tc>
          <w:tcPr>
            <w:tcW w:w="4860" w:type="dxa"/>
          </w:tcPr>
          <w:p w:rsidR="007073B1" w:rsidRDefault="004E19A9" w:rsidP="007073B1">
            <w:pPr>
              <w:jc w:val="right"/>
              <w:rPr>
                <w:color w:val="000000"/>
                <w:sz w:val="24"/>
              </w:rPr>
            </w:pPr>
            <w:r>
              <w:rPr>
                <w:color w:val="000000"/>
                <w:sz w:val="24"/>
              </w:rPr>
              <w:t>2,516,842</w:t>
            </w:r>
          </w:p>
        </w:tc>
      </w:tr>
      <w:tr w:rsidR="007D7E46" w:rsidTr="00CC3A8D">
        <w:tc>
          <w:tcPr>
            <w:tcW w:w="3888" w:type="dxa"/>
          </w:tcPr>
          <w:p w:rsidR="007D7E46" w:rsidRDefault="007D7E46" w:rsidP="00C737A7">
            <w:pPr>
              <w:rPr>
                <w:color w:val="000000"/>
                <w:sz w:val="24"/>
              </w:rPr>
            </w:pPr>
            <w:r>
              <w:rPr>
                <w:color w:val="000000"/>
                <w:sz w:val="24"/>
              </w:rPr>
              <w:t>Mississippi</w:t>
            </w:r>
          </w:p>
        </w:tc>
        <w:tc>
          <w:tcPr>
            <w:tcW w:w="4860" w:type="dxa"/>
          </w:tcPr>
          <w:p w:rsidR="007073B1" w:rsidRDefault="004E19A9" w:rsidP="007073B1">
            <w:pPr>
              <w:jc w:val="right"/>
              <w:rPr>
                <w:color w:val="000000"/>
                <w:sz w:val="24"/>
              </w:rPr>
            </w:pPr>
            <w:r>
              <w:rPr>
                <w:color w:val="000000"/>
                <w:sz w:val="24"/>
              </w:rPr>
              <w:t>2,567,165</w:t>
            </w:r>
          </w:p>
        </w:tc>
      </w:tr>
      <w:tr w:rsidR="007D7E46" w:rsidTr="00CC3A8D">
        <w:tc>
          <w:tcPr>
            <w:tcW w:w="3888" w:type="dxa"/>
          </w:tcPr>
          <w:p w:rsidR="007D7E46" w:rsidRDefault="007D7E46" w:rsidP="00C737A7">
            <w:pPr>
              <w:rPr>
                <w:color w:val="000000"/>
                <w:sz w:val="24"/>
              </w:rPr>
            </w:pPr>
            <w:r>
              <w:rPr>
                <w:color w:val="000000"/>
                <w:sz w:val="24"/>
              </w:rPr>
              <w:t>Alabama</w:t>
            </w:r>
          </w:p>
        </w:tc>
        <w:tc>
          <w:tcPr>
            <w:tcW w:w="4860" w:type="dxa"/>
          </w:tcPr>
          <w:p w:rsidR="007073B1" w:rsidRDefault="004E19A9" w:rsidP="007073B1">
            <w:pPr>
              <w:jc w:val="right"/>
              <w:rPr>
                <w:color w:val="000000"/>
                <w:sz w:val="24"/>
              </w:rPr>
            </w:pPr>
            <w:r>
              <w:rPr>
                <w:color w:val="000000"/>
                <w:sz w:val="24"/>
              </w:rPr>
              <w:t>4,041,761</w:t>
            </w:r>
          </w:p>
        </w:tc>
      </w:tr>
      <w:tr w:rsidR="007D7E46" w:rsidTr="00CC3A8D">
        <w:tc>
          <w:tcPr>
            <w:tcW w:w="3888" w:type="dxa"/>
          </w:tcPr>
          <w:p w:rsidR="007D7E46" w:rsidRDefault="007D7E46" w:rsidP="00C737A7">
            <w:pPr>
              <w:rPr>
                <w:color w:val="000000"/>
                <w:sz w:val="24"/>
              </w:rPr>
            </w:pPr>
            <w:r>
              <w:rPr>
                <w:color w:val="000000"/>
                <w:sz w:val="24"/>
              </w:rPr>
              <w:t>Florida</w:t>
            </w:r>
          </w:p>
        </w:tc>
        <w:tc>
          <w:tcPr>
            <w:tcW w:w="4860" w:type="dxa"/>
          </w:tcPr>
          <w:p w:rsidR="007073B1" w:rsidRDefault="004E19A9" w:rsidP="007073B1">
            <w:pPr>
              <w:jc w:val="right"/>
              <w:rPr>
                <w:color w:val="000000"/>
                <w:sz w:val="24"/>
              </w:rPr>
            </w:pPr>
            <w:r>
              <w:rPr>
                <w:color w:val="000000"/>
                <w:sz w:val="24"/>
              </w:rPr>
              <w:t>17,533,740</w:t>
            </w:r>
          </w:p>
        </w:tc>
      </w:tr>
    </w:tbl>
    <w:p w:rsidR="00C737A7" w:rsidRPr="008511F0" w:rsidRDefault="00C737A7" w:rsidP="00C737A7">
      <w:pPr>
        <w:rPr>
          <w:color w:val="000000"/>
          <w:sz w:val="24"/>
        </w:rPr>
      </w:pPr>
    </w:p>
    <w:p w:rsidR="00C737A7" w:rsidRPr="008511F0" w:rsidRDefault="00F314A3" w:rsidP="00C737A7">
      <w:pPr>
        <w:rPr>
          <w:color w:val="000000"/>
          <w:sz w:val="24"/>
        </w:rPr>
      </w:pPr>
      <w:r>
        <w:rPr>
          <w:color w:val="000000"/>
          <w:sz w:val="24"/>
        </w:rPr>
        <w:t xml:space="preserve">The </w:t>
      </w:r>
      <w:r w:rsidR="00674802">
        <w:rPr>
          <w:color w:val="000000"/>
          <w:sz w:val="24"/>
        </w:rPr>
        <w:t>GSPS</w:t>
      </w:r>
      <w:r w:rsidR="00C737A7" w:rsidRPr="008511F0">
        <w:rPr>
          <w:color w:val="000000"/>
          <w:sz w:val="24"/>
        </w:rPr>
        <w:t xml:space="preserve"> will collect data from a random sample of telephone households which include land</w:t>
      </w:r>
      <w:r w:rsidR="00D32CBF">
        <w:rPr>
          <w:color w:val="000000"/>
          <w:sz w:val="24"/>
        </w:rPr>
        <w:t>line</w:t>
      </w:r>
      <w:r w:rsidR="00CC3A8D">
        <w:rPr>
          <w:color w:val="000000"/>
          <w:sz w:val="24"/>
        </w:rPr>
        <w:t xml:space="preserve"> </w:t>
      </w:r>
      <w:r w:rsidR="00FD4E8E">
        <w:rPr>
          <w:color w:val="000000"/>
          <w:sz w:val="24"/>
        </w:rPr>
        <w:t xml:space="preserve">and cellular </w:t>
      </w:r>
      <w:r w:rsidR="00C737A7" w:rsidRPr="008511F0">
        <w:rPr>
          <w:color w:val="000000"/>
          <w:sz w:val="24"/>
        </w:rPr>
        <w:t>telephones.  This is accomplished by selecting a random sample of phone numbers. The sampled phone numbers are called and screened to determine whether the numbers dialed are residential numbers</w:t>
      </w:r>
      <w:r w:rsidR="004E19A9">
        <w:rPr>
          <w:color w:val="000000"/>
          <w:sz w:val="24"/>
        </w:rPr>
        <w:t>. For landline phone numbers</w:t>
      </w:r>
      <w:r w:rsidR="00D32CBF">
        <w:rPr>
          <w:color w:val="000000"/>
          <w:sz w:val="24"/>
        </w:rPr>
        <w:t>,</w:t>
      </w:r>
      <w:r w:rsidR="004E19A9">
        <w:rPr>
          <w:color w:val="000000"/>
          <w:sz w:val="24"/>
        </w:rPr>
        <w:t xml:space="preserve"> </w:t>
      </w:r>
      <w:r w:rsidR="00D32CBF">
        <w:rPr>
          <w:color w:val="000000"/>
          <w:sz w:val="24"/>
        </w:rPr>
        <w:t xml:space="preserve">a </w:t>
      </w:r>
      <w:r w:rsidR="004E19A9">
        <w:rPr>
          <w:color w:val="000000"/>
          <w:sz w:val="24"/>
        </w:rPr>
        <w:t xml:space="preserve">random selection of eligible adults will </w:t>
      </w:r>
      <w:r w:rsidR="00CC3A8D">
        <w:rPr>
          <w:color w:val="000000"/>
          <w:sz w:val="24"/>
        </w:rPr>
        <w:t>be administered the</w:t>
      </w:r>
      <w:r w:rsidR="004E19A9">
        <w:rPr>
          <w:color w:val="000000"/>
          <w:sz w:val="24"/>
        </w:rPr>
        <w:t xml:space="preserve"> survey.  Surveys conducted by cell phone will be completed with eligible respondents without further random selection. Cell phone numbers are selected using random digit dialing (RDD) protocols.  </w:t>
      </w:r>
    </w:p>
    <w:p w:rsidR="00C737A7" w:rsidRPr="008511F0" w:rsidRDefault="00C737A7" w:rsidP="00C737A7">
      <w:pPr>
        <w:rPr>
          <w:color w:val="000000"/>
          <w:sz w:val="24"/>
        </w:rPr>
      </w:pPr>
    </w:p>
    <w:p w:rsidR="00C737A7" w:rsidRPr="008511F0" w:rsidRDefault="00174DE0" w:rsidP="00C737A7">
      <w:pPr>
        <w:rPr>
          <w:color w:val="000000"/>
          <w:sz w:val="24"/>
        </w:rPr>
      </w:pPr>
      <w:r>
        <w:rPr>
          <w:color w:val="000000"/>
          <w:sz w:val="24"/>
        </w:rPr>
        <w:t xml:space="preserve">The </w:t>
      </w:r>
      <w:r w:rsidR="00674802">
        <w:rPr>
          <w:color w:val="000000"/>
          <w:sz w:val="24"/>
        </w:rPr>
        <w:t>GSPS</w:t>
      </w:r>
      <w:r w:rsidR="00C737A7" w:rsidRPr="008511F0">
        <w:rPr>
          <w:color w:val="000000"/>
          <w:sz w:val="24"/>
        </w:rPr>
        <w:t xml:space="preserve"> will use a list-assisted method to improve efficiency and reduce unproductive calling</w:t>
      </w:r>
      <w:r w:rsidR="004E19A9">
        <w:rPr>
          <w:color w:val="000000"/>
          <w:sz w:val="24"/>
        </w:rPr>
        <w:t xml:space="preserve"> for landline samp</w:t>
      </w:r>
      <w:r w:rsidR="00024A38">
        <w:rPr>
          <w:color w:val="000000"/>
          <w:sz w:val="24"/>
        </w:rPr>
        <w:t>l</w:t>
      </w:r>
      <w:r w:rsidR="004E19A9">
        <w:rPr>
          <w:color w:val="000000"/>
          <w:sz w:val="24"/>
        </w:rPr>
        <w:t>es</w:t>
      </w:r>
      <w:r w:rsidR="00C737A7" w:rsidRPr="008511F0">
        <w:rPr>
          <w:color w:val="000000"/>
          <w:sz w:val="24"/>
        </w:rPr>
        <w:t>.  Samples</w:t>
      </w:r>
      <w:r w:rsidR="00C737A7">
        <w:rPr>
          <w:color w:val="000000"/>
          <w:sz w:val="24"/>
        </w:rPr>
        <w:t xml:space="preserve"> of </w:t>
      </w:r>
      <w:r w:rsidR="004E19A9">
        <w:rPr>
          <w:color w:val="000000"/>
          <w:sz w:val="24"/>
        </w:rPr>
        <w:t xml:space="preserve">landline </w:t>
      </w:r>
      <w:r w:rsidR="00C737A7">
        <w:rPr>
          <w:color w:val="000000"/>
          <w:sz w:val="24"/>
        </w:rPr>
        <w:t>telephone numbers</w:t>
      </w:r>
      <w:r w:rsidR="00C737A7" w:rsidRPr="008511F0">
        <w:rPr>
          <w:color w:val="000000"/>
          <w:sz w:val="24"/>
        </w:rPr>
        <w:t xml:space="preserve"> purchased using this method have been prescreened to ensure that they are residential phone numbers.  Dedicated FAX and computer lines, ported cell phone numbers, business numbers and other ineligible numbers have been identified prior to implementation of the survey. The list</w:t>
      </w:r>
      <w:r w:rsidR="00024A38">
        <w:rPr>
          <w:color w:val="000000"/>
          <w:sz w:val="24"/>
        </w:rPr>
        <w:t>-</w:t>
      </w:r>
      <w:r w:rsidR="00C737A7" w:rsidRPr="008511F0">
        <w:rPr>
          <w:color w:val="000000"/>
          <w:sz w:val="24"/>
        </w:rPr>
        <w:t>assisted design reduces the number of unproductive screening calls while maintaining sampling weights that are roughly equal.</w:t>
      </w:r>
    </w:p>
    <w:p w:rsidR="00C737A7" w:rsidRPr="008511F0" w:rsidRDefault="00C737A7" w:rsidP="00C737A7">
      <w:pPr>
        <w:rPr>
          <w:color w:val="000000"/>
          <w:sz w:val="24"/>
        </w:rPr>
      </w:pPr>
    </w:p>
    <w:p w:rsidR="00C737A7" w:rsidRPr="008511F0" w:rsidRDefault="004E19A9" w:rsidP="00C737A7">
      <w:pPr>
        <w:rPr>
          <w:color w:val="000000"/>
          <w:sz w:val="24"/>
        </w:rPr>
      </w:pPr>
      <w:r>
        <w:rPr>
          <w:color w:val="000000"/>
          <w:sz w:val="24"/>
        </w:rPr>
        <w:t>For landline</w:t>
      </w:r>
      <w:r w:rsidR="00CC3A8D">
        <w:rPr>
          <w:color w:val="000000"/>
          <w:sz w:val="24"/>
        </w:rPr>
        <w:t>,</w:t>
      </w:r>
      <w:r>
        <w:rPr>
          <w:color w:val="000000"/>
          <w:sz w:val="24"/>
        </w:rPr>
        <w:t xml:space="preserve"> </w:t>
      </w:r>
      <w:r w:rsidR="00C737A7" w:rsidRPr="008511F0">
        <w:rPr>
          <w:color w:val="000000"/>
          <w:sz w:val="24"/>
        </w:rPr>
        <w:t>list</w:t>
      </w:r>
      <w:r w:rsidR="00F05477">
        <w:rPr>
          <w:color w:val="000000"/>
          <w:sz w:val="24"/>
        </w:rPr>
        <w:t>-</w:t>
      </w:r>
      <w:r w:rsidR="00C737A7" w:rsidRPr="008511F0">
        <w:rPr>
          <w:color w:val="000000"/>
          <w:sz w:val="24"/>
        </w:rPr>
        <w:t>assisted frame</w:t>
      </w:r>
      <w:r>
        <w:rPr>
          <w:color w:val="000000"/>
          <w:sz w:val="24"/>
        </w:rPr>
        <w:t>s</w:t>
      </w:r>
      <w:r w:rsidR="00C737A7" w:rsidRPr="008511F0">
        <w:rPr>
          <w:color w:val="000000"/>
          <w:sz w:val="24"/>
        </w:rPr>
        <w:t xml:space="preserve">, sampling frames of 100-number banks are created from all known area codes and telephone exchanges, </w:t>
      </w:r>
      <w:r w:rsidR="001B6565" w:rsidRPr="008511F0">
        <w:rPr>
          <w:color w:val="000000"/>
          <w:sz w:val="24"/>
        </w:rPr>
        <w:t>and then</w:t>
      </w:r>
      <w:r w:rsidR="00C737A7" w:rsidRPr="008511F0">
        <w:rPr>
          <w:color w:val="000000"/>
          <w:sz w:val="24"/>
        </w:rPr>
        <w:t xml:space="preserve"> matched against published residential telephone directories, and a count of the number of listed residential numbers is determined for each 100-number bank. The sampling frame is then restricted to </w:t>
      </w:r>
      <w:r w:rsidR="00C737A7" w:rsidRPr="008511F0">
        <w:rPr>
          <w:i/>
          <w:iCs/>
          <w:color w:val="000000"/>
          <w:sz w:val="24"/>
        </w:rPr>
        <w:t>1+ bank—</w:t>
      </w:r>
      <w:r w:rsidR="00C737A7" w:rsidRPr="008511F0">
        <w:rPr>
          <w:color w:val="000000"/>
          <w:sz w:val="24"/>
        </w:rPr>
        <w:t xml:space="preserve">that is, 100-number banks that contain at least one listed household phone number. An unclustered sample of all </w:t>
      </w:r>
      <w:r w:rsidR="00C737A7">
        <w:rPr>
          <w:color w:val="000000"/>
          <w:sz w:val="24"/>
        </w:rPr>
        <w:t xml:space="preserve">telephone </w:t>
      </w:r>
      <w:r w:rsidR="00C737A7" w:rsidRPr="008511F0">
        <w:rPr>
          <w:color w:val="000000"/>
          <w:sz w:val="24"/>
        </w:rPr>
        <w:t xml:space="preserve">numbers contained in the sampling frame of 1+ banks is then drawn and interviewed. </w:t>
      </w:r>
    </w:p>
    <w:p w:rsidR="00C737A7" w:rsidRPr="008511F0" w:rsidRDefault="00C737A7" w:rsidP="00C737A7">
      <w:pPr>
        <w:rPr>
          <w:color w:val="000000"/>
          <w:sz w:val="24"/>
        </w:rPr>
      </w:pPr>
    </w:p>
    <w:p w:rsidR="00C737A7" w:rsidRPr="008511F0" w:rsidRDefault="00C737A7" w:rsidP="00C737A7">
      <w:pPr>
        <w:rPr>
          <w:color w:val="000000"/>
          <w:sz w:val="24"/>
        </w:rPr>
      </w:pPr>
      <w:r w:rsidRPr="008511F0">
        <w:rPr>
          <w:color w:val="000000"/>
          <w:sz w:val="24"/>
        </w:rPr>
        <w:t xml:space="preserve">Stratification will be used to select a random sample of phone numbers from the 1+ banks. Because residency rates and cooperation rates are higher for listed phone numbers (those present in a directory of household telephone numbers) than they are for unlisted numbers, the cost per completed interview for a listed number is less than for an unlisted number. Hence, stratifying </w:t>
      </w:r>
      <w:r w:rsidRPr="008511F0">
        <w:rPr>
          <w:color w:val="000000"/>
          <w:sz w:val="24"/>
        </w:rPr>
        <w:lastRenderedPageBreak/>
        <w:t xml:space="preserve">phone numbers by listed status and then sampling listed numbers at a higher rate than unlisted numbers allows one to complete more cases subject to a fixed survey budget compared to sampling listed and unlisted phone numbers at the same rate. This stratification approach is used in the BRFSS Disproportionate Stratified Sampling (DSS) design, in which listed numbers are sampled at a rate 1.5 times greater than unlisted numbers. </w:t>
      </w:r>
    </w:p>
    <w:p w:rsidR="00C737A7" w:rsidRPr="008511F0" w:rsidRDefault="00C737A7" w:rsidP="00C737A7">
      <w:pPr>
        <w:rPr>
          <w:color w:val="000000"/>
          <w:sz w:val="24"/>
        </w:rPr>
      </w:pPr>
    </w:p>
    <w:p w:rsidR="00C737A7" w:rsidRPr="008511F0" w:rsidRDefault="00174DE0" w:rsidP="00C737A7">
      <w:pPr>
        <w:rPr>
          <w:color w:val="000000"/>
          <w:sz w:val="24"/>
        </w:rPr>
      </w:pPr>
      <w:r>
        <w:rPr>
          <w:color w:val="000000"/>
          <w:sz w:val="24"/>
        </w:rPr>
        <w:t xml:space="preserve">The sample designer for the </w:t>
      </w:r>
      <w:r w:rsidR="00EF7D74">
        <w:rPr>
          <w:color w:val="000000"/>
          <w:sz w:val="24"/>
        </w:rPr>
        <w:t>GSPS</w:t>
      </w:r>
      <w:r w:rsidR="00C737A7" w:rsidRPr="008511F0">
        <w:rPr>
          <w:color w:val="000000"/>
          <w:sz w:val="24"/>
        </w:rPr>
        <w:t xml:space="preserve"> will then use the specified number of completed interviews to predict how many telephone numbers to select from the sampling frame of 1+ banks. In this case the number of completes per month </w:t>
      </w:r>
      <w:r w:rsidR="004812C2">
        <w:rPr>
          <w:color w:val="000000"/>
          <w:sz w:val="24"/>
        </w:rPr>
        <w:t xml:space="preserve">for the target areas </w:t>
      </w:r>
      <w:r w:rsidR="00C737A7" w:rsidRPr="008511F0">
        <w:rPr>
          <w:color w:val="000000"/>
          <w:sz w:val="24"/>
        </w:rPr>
        <w:t>is 2,500</w:t>
      </w:r>
      <w:r w:rsidR="004812C2">
        <w:rPr>
          <w:color w:val="000000"/>
          <w:sz w:val="24"/>
        </w:rPr>
        <w:t xml:space="preserve"> and the number of completes per month for the comparison areas </w:t>
      </w:r>
      <w:r w:rsidR="001B6565">
        <w:rPr>
          <w:color w:val="000000"/>
          <w:sz w:val="24"/>
        </w:rPr>
        <w:t xml:space="preserve">is </w:t>
      </w:r>
      <w:r w:rsidR="001B6565" w:rsidRPr="008511F0">
        <w:rPr>
          <w:color w:val="000000"/>
          <w:sz w:val="24"/>
        </w:rPr>
        <w:t>1,250</w:t>
      </w:r>
      <w:r w:rsidR="00C737A7" w:rsidRPr="008511F0">
        <w:rPr>
          <w:color w:val="000000"/>
          <w:sz w:val="24"/>
        </w:rPr>
        <w:t xml:space="preserve">. In order to reduce bias, small subsamples are released into the working sample in groups (also know as replicates) of 30. This process will continue until the desired number of completed interviews is achieved. </w:t>
      </w:r>
    </w:p>
    <w:p w:rsidR="00C737A7" w:rsidRDefault="00C737A7" w:rsidP="00C737A7">
      <w:pPr>
        <w:rPr>
          <w:rFonts w:ascii="Garamond" w:hAnsi="Garamond" w:cs="Garamond"/>
          <w:color w:val="000000"/>
          <w:sz w:val="24"/>
        </w:rPr>
      </w:pPr>
    </w:p>
    <w:p w:rsidR="00C737A7" w:rsidRPr="00B8179D" w:rsidRDefault="00C737A7" w:rsidP="00C737A7">
      <w:pPr>
        <w:pStyle w:val="Heading3"/>
      </w:pPr>
      <w:r>
        <w:t xml:space="preserve"> </w:t>
      </w:r>
      <w:bookmarkStart w:id="4" w:name="_Toc272937164"/>
      <w:bookmarkStart w:id="5" w:name="_Toc278190130"/>
      <w:r>
        <w:t xml:space="preserve">2. </w:t>
      </w:r>
      <w:r w:rsidR="00695539">
        <w:tab/>
      </w:r>
      <w:r w:rsidRPr="00B8179D">
        <w:t>Procedures for the Collection of Information</w:t>
      </w:r>
      <w:bookmarkEnd w:id="4"/>
      <w:bookmarkEnd w:id="5"/>
    </w:p>
    <w:p w:rsidR="00C737A7" w:rsidRPr="005767F8" w:rsidRDefault="00C737A7" w:rsidP="00C737A7">
      <w:pPr>
        <w:widowControl/>
        <w:tabs>
          <w:tab w:val="left" w:pos="-1440"/>
          <w:tab w:val="left" w:pos="-720"/>
        </w:tabs>
        <w:ind w:left="720"/>
        <w:rPr>
          <w:b/>
          <w:sz w:val="24"/>
        </w:rPr>
      </w:pPr>
    </w:p>
    <w:p w:rsidR="00916B36" w:rsidRPr="005767F8" w:rsidRDefault="006B06F4" w:rsidP="00C737A7">
      <w:pPr>
        <w:rPr>
          <w:sz w:val="24"/>
        </w:rPr>
      </w:pPr>
      <w:r w:rsidRPr="005767F8">
        <w:rPr>
          <w:sz w:val="24"/>
        </w:rPr>
        <w:t xml:space="preserve">The </w:t>
      </w:r>
      <w:r w:rsidR="00EF7D74" w:rsidRPr="005767F8">
        <w:rPr>
          <w:sz w:val="24"/>
        </w:rPr>
        <w:t>GSPS</w:t>
      </w:r>
      <w:r w:rsidRPr="005767F8">
        <w:rPr>
          <w:sz w:val="24"/>
        </w:rPr>
        <w:t xml:space="preserve"> questionnaire was developed by DBS in partnership with the Substance Abuse and Mental Health Services Administration (SAMHSA) and state public health and mental health departments from </w:t>
      </w:r>
      <w:r w:rsidRPr="005767F8">
        <w:rPr>
          <w:color w:val="000000"/>
          <w:sz w:val="24"/>
        </w:rPr>
        <w:t>Louisiana, Mississippi, Alabama, and Florida, where the survey is being conducted. A copy of the</w:t>
      </w:r>
      <w:r w:rsidR="00C737A7" w:rsidRPr="005767F8">
        <w:rPr>
          <w:sz w:val="24"/>
        </w:rPr>
        <w:t xml:space="preserve"> questionnaire is submitted with this </w:t>
      </w:r>
      <w:r w:rsidRPr="005767F8">
        <w:rPr>
          <w:sz w:val="24"/>
        </w:rPr>
        <w:t>new ICR submission</w:t>
      </w:r>
      <w:r w:rsidR="00C737A7" w:rsidRPr="005767F8">
        <w:rPr>
          <w:sz w:val="24"/>
        </w:rPr>
        <w:t xml:space="preserve">. </w:t>
      </w:r>
      <w:r w:rsidR="00B54036" w:rsidRPr="005767F8">
        <w:rPr>
          <w:sz w:val="24"/>
        </w:rPr>
        <w:t xml:space="preserve">In addition to English, interviews will also be </w:t>
      </w:r>
      <w:r w:rsidR="00FD4E8E">
        <w:rPr>
          <w:sz w:val="24"/>
        </w:rPr>
        <w:t>translated into</w:t>
      </w:r>
      <w:r w:rsidR="00B54036" w:rsidRPr="005767F8">
        <w:rPr>
          <w:sz w:val="24"/>
        </w:rPr>
        <w:t xml:space="preserve"> Spanish</w:t>
      </w:r>
      <w:r w:rsidR="00FD4E8E">
        <w:rPr>
          <w:sz w:val="24"/>
        </w:rPr>
        <w:t xml:space="preserve"> for respondents who speak Spanish only</w:t>
      </w:r>
      <w:r w:rsidR="00B54036" w:rsidRPr="005767F8">
        <w:rPr>
          <w:sz w:val="24"/>
        </w:rPr>
        <w:t xml:space="preserve">. </w:t>
      </w:r>
      <w:r w:rsidR="00DF4C94" w:rsidRPr="005767F8">
        <w:rPr>
          <w:sz w:val="24"/>
        </w:rPr>
        <w:t xml:space="preserve">Estimates for the number of Spanish speaking individuals within select coastal counties ranges from 2% to 10%. Offering the survey in Spanish will allow for the inclusion of Spanish speaking people who otherwise </w:t>
      </w:r>
      <w:r w:rsidR="005767F8">
        <w:rPr>
          <w:sz w:val="24"/>
        </w:rPr>
        <w:t>could not</w:t>
      </w:r>
      <w:r w:rsidR="00DF4C94" w:rsidRPr="005767F8">
        <w:rPr>
          <w:sz w:val="24"/>
        </w:rPr>
        <w:t xml:space="preserve"> participate in the survey</w:t>
      </w:r>
      <w:r w:rsidR="005767F8">
        <w:rPr>
          <w:sz w:val="24"/>
        </w:rPr>
        <w:t xml:space="preserve"> due to a language barrier</w:t>
      </w:r>
      <w:r w:rsidR="00DF4C94" w:rsidRPr="005767F8">
        <w:rPr>
          <w:sz w:val="24"/>
        </w:rPr>
        <w:t xml:space="preserve">. </w:t>
      </w:r>
      <w:r w:rsidR="00916B36" w:rsidRPr="005767F8">
        <w:rPr>
          <w:sz w:val="24"/>
        </w:rPr>
        <w:t xml:space="preserve">The survey methodology is the same for all respondents and no specific recruitment efforts will be used for </w:t>
      </w:r>
      <w:r w:rsidR="005767F8">
        <w:rPr>
          <w:sz w:val="24"/>
        </w:rPr>
        <w:t>Spanish</w:t>
      </w:r>
      <w:r w:rsidR="00916B36" w:rsidRPr="005767F8">
        <w:rPr>
          <w:sz w:val="24"/>
        </w:rPr>
        <w:t xml:space="preserve"> speaking </w:t>
      </w:r>
      <w:r w:rsidR="00CE4857" w:rsidRPr="005767F8">
        <w:rPr>
          <w:sz w:val="24"/>
        </w:rPr>
        <w:t>participants</w:t>
      </w:r>
      <w:r w:rsidR="00916B36" w:rsidRPr="005767F8">
        <w:rPr>
          <w:sz w:val="24"/>
        </w:rPr>
        <w:t>.</w:t>
      </w:r>
      <w:r w:rsidR="00B54036" w:rsidRPr="005767F8">
        <w:rPr>
          <w:sz w:val="24"/>
        </w:rPr>
        <w:t xml:space="preserve"> </w:t>
      </w:r>
    </w:p>
    <w:p w:rsidR="00916B36" w:rsidRDefault="00916B36" w:rsidP="00C737A7">
      <w:pPr>
        <w:rPr>
          <w:sz w:val="22"/>
          <w:szCs w:val="22"/>
        </w:rPr>
      </w:pPr>
    </w:p>
    <w:p w:rsidR="00C737A7" w:rsidRDefault="004D13F8" w:rsidP="00C737A7">
      <w:pPr>
        <w:rPr>
          <w:color w:val="000000"/>
          <w:sz w:val="24"/>
        </w:rPr>
      </w:pPr>
      <w:r w:rsidRPr="00F314A3">
        <w:rPr>
          <w:sz w:val="24"/>
        </w:rPr>
        <w:t>Macro</w:t>
      </w:r>
      <w:r w:rsidR="006B06F4">
        <w:rPr>
          <w:sz w:val="24"/>
        </w:rPr>
        <w:t xml:space="preserve"> International Inc.</w:t>
      </w:r>
      <w:r w:rsidRPr="00F314A3">
        <w:rPr>
          <w:sz w:val="24"/>
        </w:rPr>
        <w:t xml:space="preserve">, under contract with CDC/DBS, will implement the survey including fielding questions using CATI and data cleaning. </w:t>
      </w:r>
      <w:r w:rsidR="00C737A7" w:rsidRPr="00F314A3">
        <w:rPr>
          <w:sz w:val="24"/>
        </w:rPr>
        <w:t xml:space="preserve">The DBS will provide the sample to </w:t>
      </w:r>
      <w:r w:rsidRPr="00F314A3">
        <w:rPr>
          <w:sz w:val="24"/>
        </w:rPr>
        <w:t>Macro.</w:t>
      </w:r>
      <w:r w:rsidR="00C737A7" w:rsidRPr="00F314A3">
        <w:rPr>
          <w:sz w:val="24"/>
        </w:rPr>
        <w:t xml:space="preserve"> The sample will be purchased by </w:t>
      </w:r>
      <w:r w:rsidR="00F314A3">
        <w:rPr>
          <w:sz w:val="24"/>
        </w:rPr>
        <w:t>DBS</w:t>
      </w:r>
      <w:r w:rsidR="00C737A7" w:rsidRPr="00F314A3">
        <w:rPr>
          <w:sz w:val="24"/>
        </w:rPr>
        <w:t xml:space="preserve"> from </w:t>
      </w:r>
      <w:r w:rsidR="00057FCA" w:rsidRPr="00F314A3">
        <w:rPr>
          <w:sz w:val="24"/>
        </w:rPr>
        <w:t>AUS Marketing Research Systems, Inc</w:t>
      </w:r>
      <w:r w:rsidR="00C737A7" w:rsidRPr="00F314A3">
        <w:rPr>
          <w:sz w:val="24"/>
        </w:rPr>
        <w:t>.</w:t>
      </w:r>
      <w:r w:rsidR="00C737A7" w:rsidRPr="008511F0">
        <w:rPr>
          <w:sz w:val="24"/>
        </w:rPr>
        <w:t xml:space="preserve"> </w:t>
      </w:r>
      <w:r w:rsidR="00057FCA">
        <w:rPr>
          <w:sz w:val="24"/>
        </w:rPr>
        <w:t xml:space="preserve">Macro </w:t>
      </w:r>
      <w:r w:rsidR="00C737A7" w:rsidRPr="008511F0">
        <w:rPr>
          <w:sz w:val="24"/>
        </w:rPr>
        <w:t xml:space="preserve">will receive the sample from </w:t>
      </w:r>
      <w:r w:rsidR="00622083">
        <w:rPr>
          <w:sz w:val="24"/>
        </w:rPr>
        <w:t>DBS</w:t>
      </w:r>
      <w:r w:rsidR="00C737A7" w:rsidRPr="008511F0">
        <w:rPr>
          <w:sz w:val="24"/>
        </w:rPr>
        <w:t xml:space="preserve"> and conduct interviews </w:t>
      </w:r>
      <w:r w:rsidR="00C737A7" w:rsidRPr="008511F0">
        <w:rPr>
          <w:color w:val="000000"/>
          <w:sz w:val="24"/>
        </w:rPr>
        <w:t xml:space="preserve">during each month in accordance with a prescribed protocol, and incorporate surveillance results into </w:t>
      </w:r>
      <w:r w:rsidR="00057FCA">
        <w:rPr>
          <w:color w:val="000000"/>
          <w:sz w:val="24"/>
        </w:rPr>
        <w:t xml:space="preserve">CATI computer files. Macro </w:t>
      </w:r>
      <w:r w:rsidR="00C737A7" w:rsidRPr="008511F0">
        <w:rPr>
          <w:color w:val="000000"/>
          <w:sz w:val="24"/>
        </w:rPr>
        <w:t xml:space="preserve">must ask all survey questions without modification. Systematic, unobtrusive electronic monitoring </w:t>
      </w:r>
      <w:r w:rsidR="00956861">
        <w:rPr>
          <w:color w:val="000000"/>
          <w:sz w:val="24"/>
        </w:rPr>
        <w:t>will</w:t>
      </w:r>
      <w:r w:rsidR="00C737A7" w:rsidRPr="008511F0">
        <w:rPr>
          <w:color w:val="000000"/>
          <w:sz w:val="24"/>
        </w:rPr>
        <w:t xml:space="preserve"> be a routine and integral part of monthly survey procedures f</w:t>
      </w:r>
      <w:r w:rsidR="00057FCA">
        <w:rPr>
          <w:color w:val="000000"/>
          <w:sz w:val="24"/>
        </w:rPr>
        <w:t xml:space="preserve">or all interviewers. Macro </w:t>
      </w:r>
      <w:r w:rsidR="00C737A7" w:rsidRPr="008511F0">
        <w:rPr>
          <w:color w:val="000000"/>
          <w:sz w:val="24"/>
        </w:rPr>
        <w:t>will edit and correct completed interviews each month prior to submissio</w:t>
      </w:r>
      <w:r w:rsidR="00057FCA">
        <w:rPr>
          <w:color w:val="000000"/>
          <w:sz w:val="24"/>
        </w:rPr>
        <w:t>n of data to the DBS. Macro</w:t>
      </w:r>
      <w:r w:rsidR="00C737A7" w:rsidRPr="008511F0">
        <w:rPr>
          <w:color w:val="000000"/>
          <w:sz w:val="24"/>
        </w:rPr>
        <w:t xml:space="preserve"> will also submit monthly disposition files on calling attempts and outcomes. </w:t>
      </w:r>
    </w:p>
    <w:p w:rsidR="00107C7B" w:rsidRPr="008511F0" w:rsidRDefault="00107C7B" w:rsidP="00C737A7">
      <w:pPr>
        <w:rPr>
          <w:color w:val="000000"/>
          <w:sz w:val="24"/>
        </w:rPr>
      </w:pPr>
    </w:p>
    <w:p w:rsidR="00C737A7" w:rsidRPr="008511F0" w:rsidRDefault="00C737A7" w:rsidP="00C737A7">
      <w:pPr>
        <w:rPr>
          <w:color w:val="000000"/>
          <w:sz w:val="24"/>
        </w:rPr>
      </w:pPr>
      <w:r w:rsidRPr="008511F0">
        <w:rPr>
          <w:color w:val="000000"/>
          <w:sz w:val="24"/>
        </w:rPr>
        <w:t xml:space="preserve"> </w:t>
      </w:r>
      <w:r w:rsidR="0058170F">
        <w:rPr>
          <w:color w:val="000000"/>
          <w:sz w:val="24"/>
        </w:rPr>
        <w:t>Macro will follow</w:t>
      </w:r>
      <w:r w:rsidRPr="008511F0">
        <w:rPr>
          <w:color w:val="000000"/>
          <w:sz w:val="24"/>
        </w:rPr>
        <w:t xml:space="preserve"> standard </w:t>
      </w:r>
      <w:r w:rsidR="0058170F">
        <w:rPr>
          <w:color w:val="000000"/>
          <w:sz w:val="24"/>
        </w:rPr>
        <w:t>Behavioral Risk Factor Surveillance System (</w:t>
      </w:r>
      <w:r w:rsidRPr="008511F0">
        <w:rPr>
          <w:color w:val="000000"/>
          <w:sz w:val="24"/>
        </w:rPr>
        <w:t>BRFSS</w:t>
      </w:r>
      <w:r w:rsidR="0058170F">
        <w:rPr>
          <w:color w:val="000000"/>
          <w:sz w:val="24"/>
        </w:rPr>
        <w:t>) protocol</w:t>
      </w:r>
      <w:r w:rsidRPr="008511F0">
        <w:rPr>
          <w:color w:val="000000"/>
          <w:sz w:val="24"/>
        </w:rPr>
        <w:t xml:space="preserve"> durin</w:t>
      </w:r>
      <w:r w:rsidR="00174DE0">
        <w:rPr>
          <w:color w:val="000000"/>
          <w:sz w:val="24"/>
        </w:rPr>
        <w:t xml:space="preserve">g the implementation of the </w:t>
      </w:r>
      <w:r w:rsidR="00EF7D74">
        <w:rPr>
          <w:color w:val="000000"/>
          <w:sz w:val="24"/>
        </w:rPr>
        <w:t>GSPS</w:t>
      </w:r>
      <w:r w:rsidR="0058170F">
        <w:rPr>
          <w:color w:val="000000"/>
          <w:sz w:val="24"/>
        </w:rPr>
        <w:t>, including:</w:t>
      </w:r>
    </w:p>
    <w:p w:rsidR="00C737A7" w:rsidRPr="008511F0" w:rsidRDefault="00C737A7" w:rsidP="00C737A7">
      <w:pPr>
        <w:rPr>
          <w:color w:val="000000"/>
          <w:sz w:val="24"/>
        </w:rPr>
      </w:pPr>
    </w:p>
    <w:p w:rsidR="00C737A7" w:rsidRPr="008511F0" w:rsidRDefault="00C737A7" w:rsidP="00C737A7">
      <w:pPr>
        <w:numPr>
          <w:ilvl w:val="0"/>
          <w:numId w:val="1"/>
        </w:numPr>
        <w:rPr>
          <w:color w:val="000000"/>
          <w:sz w:val="24"/>
        </w:rPr>
      </w:pPr>
      <w:r w:rsidRPr="008511F0">
        <w:rPr>
          <w:color w:val="000000"/>
          <w:sz w:val="24"/>
        </w:rPr>
        <w:t>An eligible household is a housing unit that has a separate entrance, where occupants eat separately from other persons on the property, and that is occupied by its members as their principal or secondary place of residence. Noneligible households are (1) vacation homes not occupied by household members for more than 30 days per year, (2) group homes, and (3) institutions.</w:t>
      </w:r>
    </w:p>
    <w:p w:rsidR="00C737A7" w:rsidRPr="008511F0" w:rsidRDefault="00C737A7" w:rsidP="00C737A7">
      <w:pPr>
        <w:numPr>
          <w:ilvl w:val="0"/>
          <w:numId w:val="1"/>
        </w:numPr>
        <w:rPr>
          <w:color w:val="000000"/>
          <w:sz w:val="24"/>
        </w:rPr>
      </w:pPr>
      <w:r w:rsidRPr="008511F0">
        <w:rPr>
          <w:color w:val="000000"/>
          <w:sz w:val="24"/>
        </w:rPr>
        <w:t xml:space="preserve">Eligible household members include all related adults (aged 18 years or older), unrelated </w:t>
      </w:r>
      <w:r w:rsidRPr="008511F0">
        <w:rPr>
          <w:color w:val="000000"/>
          <w:sz w:val="24"/>
        </w:rPr>
        <w:lastRenderedPageBreak/>
        <w:t>adults, roomers, and domestic workers who consider the household their home, even though they may not be home at the time of the call. Household members do not include adult family members who are currently living elsewhere.</w:t>
      </w:r>
    </w:p>
    <w:p w:rsidR="00C737A7" w:rsidRPr="008511F0" w:rsidRDefault="00C737A7" w:rsidP="00C737A7">
      <w:pPr>
        <w:numPr>
          <w:ilvl w:val="0"/>
          <w:numId w:val="1"/>
        </w:numPr>
        <w:rPr>
          <w:color w:val="000000"/>
          <w:sz w:val="24"/>
        </w:rPr>
      </w:pPr>
      <w:r w:rsidRPr="008511F0">
        <w:rPr>
          <w:color w:val="000000"/>
          <w:sz w:val="24"/>
        </w:rPr>
        <w:t xml:space="preserve">Proxy interviews are not conducted within the BRFSS. Individual respondents are randomly selected from all </w:t>
      </w:r>
      <w:r w:rsidR="004812C2" w:rsidRPr="008511F0">
        <w:rPr>
          <w:color w:val="000000"/>
          <w:sz w:val="24"/>
        </w:rPr>
        <w:t>adults’</w:t>
      </w:r>
      <w:r w:rsidRPr="008511F0">
        <w:rPr>
          <w:color w:val="000000"/>
          <w:sz w:val="24"/>
        </w:rPr>
        <w:t xml:space="preserve"> aged 18 years and older living in a household and are interviewed in accordance with BRFSS protocol.</w:t>
      </w:r>
    </w:p>
    <w:p w:rsidR="00C737A7" w:rsidRPr="008511F0" w:rsidRDefault="00C737A7" w:rsidP="00C737A7">
      <w:pPr>
        <w:numPr>
          <w:ilvl w:val="0"/>
          <w:numId w:val="1"/>
        </w:numPr>
        <w:rPr>
          <w:color w:val="000000"/>
          <w:sz w:val="24"/>
        </w:rPr>
      </w:pPr>
      <w:r w:rsidRPr="008511F0">
        <w:rPr>
          <w:color w:val="000000"/>
          <w:sz w:val="24"/>
        </w:rPr>
        <w:t>An interview is considered complete if data are collected for age, race, and sex. If values on age or race are not entered, imputed values will be generated and used only to assign post-stratification weights.</w:t>
      </w:r>
    </w:p>
    <w:p w:rsidR="00C737A7" w:rsidRPr="008511F0" w:rsidRDefault="00C737A7" w:rsidP="00C737A7">
      <w:pPr>
        <w:numPr>
          <w:ilvl w:val="0"/>
          <w:numId w:val="1"/>
        </w:numPr>
        <w:rPr>
          <w:color w:val="000000"/>
          <w:sz w:val="24"/>
        </w:rPr>
      </w:pPr>
      <w:r w:rsidRPr="008511F0">
        <w:rPr>
          <w:color w:val="000000"/>
          <w:sz w:val="24"/>
        </w:rPr>
        <w:t xml:space="preserve">Unless electronic monitoring of interviewers is being routinely conducted, a 5% random sample of each month’s interviews must be called back to verify selected responses for quality assurance. </w:t>
      </w:r>
    </w:p>
    <w:p w:rsidR="00C737A7" w:rsidRPr="008511F0" w:rsidRDefault="00C737A7" w:rsidP="00C737A7">
      <w:pPr>
        <w:numPr>
          <w:ilvl w:val="0"/>
          <w:numId w:val="1"/>
        </w:numPr>
        <w:rPr>
          <w:color w:val="000000"/>
          <w:sz w:val="24"/>
        </w:rPr>
      </w:pPr>
      <w:r>
        <w:rPr>
          <w:color w:val="000000"/>
          <w:sz w:val="24"/>
        </w:rPr>
        <w:t>E</w:t>
      </w:r>
      <w:r w:rsidRPr="008511F0">
        <w:rPr>
          <w:color w:val="000000"/>
          <w:sz w:val="24"/>
        </w:rPr>
        <w:t xml:space="preserve">ligible persons who initially </w:t>
      </w:r>
      <w:r>
        <w:rPr>
          <w:color w:val="000000"/>
          <w:sz w:val="24"/>
        </w:rPr>
        <w:t xml:space="preserve">provide a soft </w:t>
      </w:r>
      <w:r w:rsidRPr="008511F0">
        <w:rPr>
          <w:color w:val="000000"/>
          <w:sz w:val="24"/>
        </w:rPr>
        <w:t>refus</w:t>
      </w:r>
      <w:r>
        <w:rPr>
          <w:color w:val="000000"/>
          <w:sz w:val="24"/>
        </w:rPr>
        <w:t>al</w:t>
      </w:r>
      <w:r w:rsidRPr="008511F0">
        <w:rPr>
          <w:color w:val="000000"/>
          <w:sz w:val="24"/>
        </w:rPr>
        <w:t xml:space="preserve"> to be interviewed will be contacted at least one additional time and given the opportunity to be interviewed. Preferably, this second contact will be made by a supervisor or a different interviewer.</w:t>
      </w:r>
    </w:p>
    <w:p w:rsidR="00C737A7" w:rsidRPr="008511F0" w:rsidRDefault="00C737A7" w:rsidP="00C737A7">
      <w:pPr>
        <w:numPr>
          <w:ilvl w:val="0"/>
          <w:numId w:val="1"/>
        </w:numPr>
        <w:rPr>
          <w:color w:val="000000"/>
          <w:sz w:val="24"/>
        </w:rPr>
      </w:pPr>
      <w:r w:rsidRPr="008511F0">
        <w:rPr>
          <w:color w:val="000000"/>
          <w:sz w:val="24"/>
        </w:rPr>
        <w:t xml:space="preserve">Call attempts on all sample pieces should be completed during the calendar month of the sample selection. However, if there are unresolved sample pieces remaining without the required call-backs at the end of the month, calls should continue until each sample piece can be given a final disposition. </w:t>
      </w:r>
    </w:p>
    <w:p w:rsidR="00C737A7" w:rsidRPr="008511F0" w:rsidRDefault="00C737A7" w:rsidP="00C737A7">
      <w:pPr>
        <w:rPr>
          <w:color w:val="000000"/>
          <w:sz w:val="24"/>
        </w:rPr>
      </w:pPr>
    </w:p>
    <w:p w:rsidR="00C737A7" w:rsidRDefault="00C737A7" w:rsidP="00C737A7">
      <w:pPr>
        <w:rPr>
          <w:rFonts w:ascii="Garamond" w:hAnsi="Garamond" w:cs="Garamond"/>
          <w:color w:val="000000"/>
          <w:sz w:val="24"/>
        </w:rPr>
      </w:pPr>
      <w:r w:rsidRPr="008511F0">
        <w:rPr>
          <w:color w:val="000000"/>
          <w:sz w:val="24"/>
        </w:rPr>
        <w:t xml:space="preserve">DBS will weight data monthly according to county-specific population estimates. The </w:t>
      </w:r>
      <w:r w:rsidR="007973BD">
        <w:rPr>
          <w:color w:val="000000"/>
          <w:sz w:val="24"/>
        </w:rPr>
        <w:t>s</w:t>
      </w:r>
      <w:r w:rsidR="00190568">
        <w:rPr>
          <w:color w:val="000000"/>
          <w:sz w:val="24"/>
        </w:rPr>
        <w:t>urvey</w:t>
      </w:r>
      <w:r w:rsidRPr="008511F0">
        <w:rPr>
          <w:color w:val="000000"/>
          <w:sz w:val="24"/>
        </w:rPr>
        <w:t xml:space="preserve"> will not include advance letters, respondent incentives</w:t>
      </w:r>
      <w:r>
        <w:rPr>
          <w:color w:val="000000"/>
          <w:sz w:val="24"/>
        </w:rPr>
        <w:t>,</w:t>
      </w:r>
      <w:r w:rsidRPr="008511F0">
        <w:rPr>
          <w:color w:val="000000"/>
          <w:sz w:val="24"/>
        </w:rPr>
        <w:t xml:space="preserve"> and</w:t>
      </w:r>
      <w:r>
        <w:rPr>
          <w:color w:val="000000"/>
          <w:sz w:val="24"/>
        </w:rPr>
        <w:t>/</w:t>
      </w:r>
      <w:r w:rsidRPr="008511F0">
        <w:rPr>
          <w:color w:val="000000"/>
          <w:sz w:val="24"/>
        </w:rPr>
        <w:t>or other modes of respondent contact other than RDD telephone interviews. Appointments with respondents may be made by intervi</w:t>
      </w:r>
      <w:r w:rsidR="00871AE9">
        <w:rPr>
          <w:color w:val="000000"/>
          <w:sz w:val="24"/>
        </w:rPr>
        <w:t xml:space="preserve">ewers </w:t>
      </w:r>
      <w:r w:rsidRPr="008511F0">
        <w:rPr>
          <w:color w:val="000000"/>
          <w:sz w:val="24"/>
        </w:rPr>
        <w:t xml:space="preserve">during the calling process, but advance interviews will not be established prior to calling. </w:t>
      </w:r>
    </w:p>
    <w:p w:rsidR="00C737A7" w:rsidRDefault="00C737A7" w:rsidP="00C737A7">
      <w:pPr>
        <w:pStyle w:val="Heading3"/>
      </w:pPr>
      <w:bookmarkStart w:id="6" w:name="_Toc272937165"/>
      <w:bookmarkStart w:id="7" w:name="_Toc278190131"/>
      <w:r w:rsidRPr="00B8179D">
        <w:t>3.</w:t>
      </w:r>
      <w:r w:rsidRPr="00B8179D">
        <w:tab/>
        <w:t>Methods to Maximize Response Rates and Deal with No</w:t>
      </w:r>
      <w:r>
        <w:t>n</w:t>
      </w:r>
      <w:r w:rsidRPr="00B8179D">
        <w:t>response</w:t>
      </w:r>
      <w:bookmarkEnd w:id="6"/>
      <w:bookmarkEnd w:id="7"/>
    </w:p>
    <w:p w:rsidR="00C737A7" w:rsidRPr="00B8179D" w:rsidRDefault="00C737A7" w:rsidP="00C737A7">
      <w:pPr>
        <w:widowControl/>
        <w:tabs>
          <w:tab w:val="left" w:pos="-1440"/>
          <w:tab w:val="left" w:pos="-720"/>
        </w:tabs>
        <w:rPr>
          <w:rFonts w:ascii="Arial" w:hAnsi="Arial" w:cs="Arial"/>
          <w:b/>
        </w:rPr>
      </w:pPr>
    </w:p>
    <w:p w:rsidR="00C737A7" w:rsidRPr="008511F0" w:rsidRDefault="00C737A7" w:rsidP="00C737A7">
      <w:pPr>
        <w:rPr>
          <w:color w:val="000000"/>
          <w:sz w:val="24"/>
        </w:rPr>
      </w:pPr>
      <w:r w:rsidRPr="008511F0">
        <w:rPr>
          <w:color w:val="000000"/>
          <w:sz w:val="24"/>
        </w:rPr>
        <w:t>Response rates for the 2009 BRFSS in Mississippi, Alabama, Louisiana and Florida are presented in the table below. It is anticipated</w:t>
      </w:r>
      <w:r w:rsidR="00174DE0">
        <w:rPr>
          <w:color w:val="000000"/>
          <w:sz w:val="24"/>
        </w:rPr>
        <w:t xml:space="preserve"> that response rates for the </w:t>
      </w:r>
      <w:r w:rsidR="00EF7D74">
        <w:rPr>
          <w:color w:val="000000"/>
          <w:sz w:val="24"/>
        </w:rPr>
        <w:t>GSPS</w:t>
      </w:r>
      <w:r w:rsidR="007973BD" w:rsidRPr="007973BD">
        <w:rPr>
          <w:bCs/>
          <w:sz w:val="24"/>
        </w:rPr>
        <w:t xml:space="preserve"> </w:t>
      </w:r>
      <w:r w:rsidR="006B06F4" w:rsidRPr="007973BD">
        <w:rPr>
          <w:bCs/>
          <w:sz w:val="24"/>
        </w:rPr>
        <w:t>will</w:t>
      </w:r>
      <w:r w:rsidR="006B06F4" w:rsidRPr="008511F0">
        <w:rPr>
          <w:bCs/>
        </w:rPr>
        <w:t xml:space="preserve"> </w:t>
      </w:r>
      <w:r w:rsidR="006B06F4" w:rsidRPr="008511F0">
        <w:rPr>
          <w:color w:val="000000"/>
          <w:sz w:val="24"/>
        </w:rPr>
        <w:t>be</w:t>
      </w:r>
      <w:r w:rsidRPr="008511F0">
        <w:rPr>
          <w:color w:val="000000"/>
          <w:sz w:val="24"/>
        </w:rPr>
        <w:t xml:space="preserve"> within the ranges of the BRFSS in these areas. </w:t>
      </w:r>
    </w:p>
    <w:p w:rsidR="00C737A7" w:rsidRPr="008511F0" w:rsidRDefault="00C737A7" w:rsidP="00C737A7">
      <w:pPr>
        <w:rPr>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2"/>
        <w:gridCol w:w="4784"/>
      </w:tblGrid>
      <w:tr w:rsidR="00C737A7" w:rsidRPr="00E56539" w:rsidTr="006250AA">
        <w:tc>
          <w:tcPr>
            <w:tcW w:w="5004" w:type="dxa"/>
          </w:tcPr>
          <w:p w:rsidR="00C737A7" w:rsidRPr="00E56539" w:rsidRDefault="00C737A7" w:rsidP="006250AA">
            <w:pPr>
              <w:rPr>
                <w:color w:val="000000"/>
                <w:sz w:val="24"/>
              </w:rPr>
            </w:pPr>
            <w:r w:rsidRPr="00E56539">
              <w:rPr>
                <w:color w:val="000000"/>
                <w:sz w:val="24"/>
              </w:rPr>
              <w:t>State</w:t>
            </w:r>
          </w:p>
        </w:tc>
        <w:tc>
          <w:tcPr>
            <w:tcW w:w="5004" w:type="dxa"/>
          </w:tcPr>
          <w:p w:rsidR="00C737A7" w:rsidRPr="00E56539" w:rsidRDefault="00C737A7" w:rsidP="006250AA">
            <w:pPr>
              <w:jc w:val="center"/>
              <w:rPr>
                <w:color w:val="000000"/>
                <w:sz w:val="24"/>
              </w:rPr>
            </w:pPr>
            <w:r w:rsidRPr="00E56539">
              <w:rPr>
                <w:color w:val="000000"/>
                <w:sz w:val="24"/>
              </w:rPr>
              <w:t>RDD Response Rate (CASRO)</w:t>
            </w:r>
          </w:p>
        </w:tc>
      </w:tr>
      <w:tr w:rsidR="00C737A7" w:rsidRPr="00E56539" w:rsidTr="006250AA">
        <w:tc>
          <w:tcPr>
            <w:tcW w:w="5004" w:type="dxa"/>
          </w:tcPr>
          <w:p w:rsidR="00C737A7" w:rsidRPr="00E56539" w:rsidRDefault="00C737A7" w:rsidP="006250AA">
            <w:pPr>
              <w:rPr>
                <w:color w:val="000000"/>
                <w:sz w:val="24"/>
              </w:rPr>
            </w:pPr>
            <w:r w:rsidRPr="00E56539">
              <w:rPr>
                <w:color w:val="000000"/>
                <w:sz w:val="24"/>
              </w:rPr>
              <w:t>Florida</w:t>
            </w:r>
          </w:p>
        </w:tc>
        <w:tc>
          <w:tcPr>
            <w:tcW w:w="5004" w:type="dxa"/>
          </w:tcPr>
          <w:p w:rsidR="00C737A7" w:rsidRPr="00E56539" w:rsidRDefault="00C737A7" w:rsidP="006250AA">
            <w:pPr>
              <w:jc w:val="center"/>
              <w:rPr>
                <w:color w:val="000000"/>
                <w:sz w:val="24"/>
              </w:rPr>
            </w:pPr>
            <w:r w:rsidRPr="00E56539">
              <w:rPr>
                <w:color w:val="000000"/>
                <w:sz w:val="24"/>
              </w:rPr>
              <w:t>50.7</w:t>
            </w:r>
          </w:p>
        </w:tc>
      </w:tr>
      <w:tr w:rsidR="00C737A7" w:rsidRPr="00E56539" w:rsidTr="006250AA">
        <w:tc>
          <w:tcPr>
            <w:tcW w:w="5004" w:type="dxa"/>
          </w:tcPr>
          <w:p w:rsidR="00C737A7" w:rsidRPr="00E56539" w:rsidRDefault="00C737A7" w:rsidP="006250AA">
            <w:pPr>
              <w:rPr>
                <w:color w:val="000000"/>
                <w:sz w:val="24"/>
              </w:rPr>
            </w:pPr>
            <w:r w:rsidRPr="00E56539">
              <w:rPr>
                <w:color w:val="000000"/>
                <w:sz w:val="24"/>
              </w:rPr>
              <w:t>Louisiana</w:t>
            </w:r>
          </w:p>
        </w:tc>
        <w:tc>
          <w:tcPr>
            <w:tcW w:w="5004" w:type="dxa"/>
          </w:tcPr>
          <w:p w:rsidR="00C737A7" w:rsidRPr="00E56539" w:rsidRDefault="00C737A7" w:rsidP="006250AA">
            <w:pPr>
              <w:jc w:val="center"/>
              <w:rPr>
                <w:color w:val="000000"/>
                <w:sz w:val="24"/>
              </w:rPr>
            </w:pPr>
            <w:r w:rsidRPr="00E56539">
              <w:rPr>
                <w:color w:val="000000"/>
                <w:sz w:val="24"/>
              </w:rPr>
              <w:t>51.9</w:t>
            </w:r>
          </w:p>
        </w:tc>
      </w:tr>
      <w:tr w:rsidR="00C737A7" w:rsidRPr="00E56539" w:rsidTr="006250AA">
        <w:tc>
          <w:tcPr>
            <w:tcW w:w="5004" w:type="dxa"/>
          </w:tcPr>
          <w:p w:rsidR="00C737A7" w:rsidRPr="00E56539" w:rsidRDefault="00C737A7" w:rsidP="006250AA">
            <w:pPr>
              <w:rPr>
                <w:color w:val="000000"/>
                <w:sz w:val="24"/>
              </w:rPr>
            </w:pPr>
            <w:r w:rsidRPr="00E56539">
              <w:rPr>
                <w:color w:val="000000"/>
                <w:sz w:val="24"/>
              </w:rPr>
              <w:t>Mississippi</w:t>
            </w:r>
          </w:p>
        </w:tc>
        <w:tc>
          <w:tcPr>
            <w:tcW w:w="5004" w:type="dxa"/>
          </w:tcPr>
          <w:p w:rsidR="00C737A7" w:rsidRPr="00E56539" w:rsidRDefault="00C737A7" w:rsidP="006250AA">
            <w:pPr>
              <w:jc w:val="center"/>
              <w:rPr>
                <w:color w:val="000000"/>
                <w:sz w:val="24"/>
              </w:rPr>
            </w:pPr>
            <w:r w:rsidRPr="00E56539">
              <w:rPr>
                <w:color w:val="000000"/>
                <w:sz w:val="24"/>
              </w:rPr>
              <w:t>65.1</w:t>
            </w:r>
          </w:p>
        </w:tc>
      </w:tr>
      <w:tr w:rsidR="00C737A7" w:rsidRPr="00E56539" w:rsidTr="006250AA">
        <w:tc>
          <w:tcPr>
            <w:tcW w:w="5004" w:type="dxa"/>
          </w:tcPr>
          <w:p w:rsidR="00C737A7" w:rsidRPr="00E56539" w:rsidRDefault="00C737A7" w:rsidP="006250AA">
            <w:pPr>
              <w:rPr>
                <w:color w:val="000000"/>
                <w:sz w:val="24"/>
              </w:rPr>
            </w:pPr>
            <w:r w:rsidRPr="00E56539">
              <w:rPr>
                <w:color w:val="000000"/>
                <w:sz w:val="24"/>
              </w:rPr>
              <w:t>Alabama</w:t>
            </w:r>
          </w:p>
        </w:tc>
        <w:tc>
          <w:tcPr>
            <w:tcW w:w="5004" w:type="dxa"/>
          </w:tcPr>
          <w:p w:rsidR="00C737A7" w:rsidRPr="00E56539" w:rsidRDefault="00C737A7" w:rsidP="006250AA">
            <w:pPr>
              <w:jc w:val="center"/>
              <w:rPr>
                <w:color w:val="000000"/>
                <w:sz w:val="24"/>
              </w:rPr>
            </w:pPr>
            <w:r w:rsidRPr="00E56539">
              <w:rPr>
                <w:color w:val="000000"/>
                <w:sz w:val="24"/>
              </w:rPr>
              <w:t>52.7</w:t>
            </w:r>
          </w:p>
        </w:tc>
      </w:tr>
    </w:tbl>
    <w:p w:rsidR="00C737A7" w:rsidRPr="008511F0" w:rsidRDefault="00C737A7" w:rsidP="00C737A7">
      <w:pPr>
        <w:rPr>
          <w:color w:val="000000"/>
          <w:sz w:val="24"/>
        </w:rPr>
      </w:pPr>
    </w:p>
    <w:p w:rsidR="00C737A7" w:rsidRPr="008511F0" w:rsidRDefault="00C737A7" w:rsidP="00C737A7">
      <w:pPr>
        <w:pStyle w:val="NormalWeb"/>
        <w:rPr>
          <w:bCs/>
        </w:rPr>
      </w:pPr>
      <w:r w:rsidRPr="008511F0">
        <w:rPr>
          <w:bCs/>
        </w:rPr>
        <w:t xml:space="preserve">Nonresponse may be a result of two sources:  Unit nonresponse, in which an eligible respondent and/or respondent household is not included, and item nonresponse, in which data are missing for one or more variables for respondents who complete other portions of the survey.  The </w:t>
      </w:r>
      <w:r w:rsidR="00EF7D74">
        <w:rPr>
          <w:bCs/>
        </w:rPr>
        <w:t>GSPS</w:t>
      </w:r>
      <w:r w:rsidRPr="008511F0">
        <w:rPr>
          <w:bCs/>
        </w:rPr>
        <w:t xml:space="preserve"> will address unit nonresponse through weighting of respondents to known characteristics of the target populations. </w:t>
      </w:r>
    </w:p>
    <w:p w:rsidR="00C737A7" w:rsidRPr="008511F0" w:rsidRDefault="00C737A7" w:rsidP="00C737A7">
      <w:pPr>
        <w:pStyle w:val="NormalWeb"/>
        <w:rPr>
          <w:bCs/>
        </w:rPr>
      </w:pPr>
      <w:r w:rsidRPr="008511F0">
        <w:rPr>
          <w:bCs/>
        </w:rPr>
        <w:lastRenderedPageBreak/>
        <w:t>Weighting will be accomplished in the standard procedures in place for the BRFSS.  The formulae for the weighting process are described in the section below:</w:t>
      </w:r>
    </w:p>
    <w:p w:rsidR="00C737A7" w:rsidRPr="008511F0" w:rsidRDefault="00C737A7" w:rsidP="00C737A7">
      <w:pPr>
        <w:pStyle w:val="NormalWeb"/>
        <w:jc w:val="center"/>
        <w:rPr>
          <w:i/>
        </w:rPr>
      </w:pPr>
      <w:r w:rsidRPr="008511F0">
        <w:rPr>
          <w:b/>
          <w:bCs/>
          <w:i/>
        </w:rPr>
        <w:t>FINALWT = STRWT * 1 OVER NPH * NAD * Raking</w:t>
      </w:r>
    </w:p>
    <w:p w:rsidR="00C737A7" w:rsidRPr="008511F0" w:rsidRDefault="00C737A7" w:rsidP="00C737A7">
      <w:pPr>
        <w:pStyle w:val="NormalWeb"/>
        <w:jc w:val="center"/>
        <w:rPr>
          <w:i/>
        </w:rPr>
      </w:pPr>
      <w:r w:rsidRPr="008511F0">
        <w:rPr>
          <w:b/>
          <w:bCs/>
          <w:i/>
        </w:rPr>
        <w:t>FINALWT</w:t>
      </w:r>
      <w:r w:rsidRPr="008511F0">
        <w:rPr>
          <w:i/>
        </w:rPr>
        <w:t xml:space="preserve"> is the final weight assigned to each respondent.</w:t>
      </w:r>
    </w:p>
    <w:p w:rsidR="00C737A7" w:rsidRPr="008511F0" w:rsidRDefault="00C737A7" w:rsidP="00C737A7">
      <w:pPr>
        <w:pStyle w:val="NormalWeb"/>
        <w:jc w:val="center"/>
        <w:rPr>
          <w:i/>
        </w:rPr>
      </w:pPr>
      <w:r w:rsidRPr="008511F0">
        <w:rPr>
          <w:b/>
          <w:bCs/>
          <w:i/>
        </w:rPr>
        <w:t>STRWT</w:t>
      </w:r>
      <w:r w:rsidRPr="008511F0">
        <w:rPr>
          <w:i/>
        </w:rPr>
        <w:t xml:space="preserve"> accounts for differences in the basic probability of selection among strata (subsets of area code/prefix combinations). It is the inverse of the sampling fraction of each stratum. There is almost never a complete correspondence between strata, which are defined by subsets of area code/prefix combinations, and regions, which are defined by the boundaries of government entities.</w:t>
      </w:r>
    </w:p>
    <w:p w:rsidR="00C737A7" w:rsidRPr="008511F0" w:rsidRDefault="00C737A7" w:rsidP="00C737A7">
      <w:pPr>
        <w:pStyle w:val="NormalWeb"/>
        <w:jc w:val="center"/>
        <w:rPr>
          <w:i/>
        </w:rPr>
      </w:pPr>
      <w:r w:rsidRPr="008511F0">
        <w:rPr>
          <w:b/>
          <w:bCs/>
          <w:i/>
        </w:rPr>
        <w:t>1/NPH</w:t>
      </w:r>
      <w:r w:rsidRPr="008511F0">
        <w:rPr>
          <w:i/>
        </w:rPr>
        <w:t xml:space="preserve"> is the inverse of the number of residential telephone numbers in the respondent's household.</w:t>
      </w:r>
    </w:p>
    <w:p w:rsidR="00C737A7" w:rsidRPr="008511F0" w:rsidRDefault="00C737A7" w:rsidP="00C737A7">
      <w:pPr>
        <w:pStyle w:val="NormalWeb"/>
        <w:jc w:val="center"/>
        <w:rPr>
          <w:i/>
        </w:rPr>
      </w:pPr>
      <w:r w:rsidRPr="008511F0">
        <w:rPr>
          <w:b/>
          <w:bCs/>
          <w:i/>
        </w:rPr>
        <w:t>NAD</w:t>
      </w:r>
      <w:r w:rsidRPr="008511F0">
        <w:rPr>
          <w:i/>
        </w:rPr>
        <w:t xml:space="preserve"> is the number of adults in the respondent's household.</w:t>
      </w:r>
    </w:p>
    <w:p w:rsidR="00C737A7" w:rsidRPr="008511F0" w:rsidRDefault="00C737A7" w:rsidP="00C737A7">
      <w:pPr>
        <w:ind w:firstLine="720"/>
        <w:jc w:val="center"/>
        <w:rPr>
          <w:i/>
          <w:sz w:val="24"/>
        </w:rPr>
      </w:pPr>
      <w:r w:rsidRPr="008511F0">
        <w:rPr>
          <w:b/>
          <w:bCs/>
          <w:i/>
          <w:sz w:val="24"/>
        </w:rPr>
        <w:t xml:space="preserve">Raking </w:t>
      </w:r>
      <w:r w:rsidRPr="008511F0">
        <w:rPr>
          <w:bCs/>
          <w:i/>
          <w:sz w:val="24"/>
        </w:rPr>
        <w:t>represents</w:t>
      </w:r>
      <w:r>
        <w:rPr>
          <w:i/>
          <w:sz w:val="24"/>
        </w:rPr>
        <w:t xml:space="preserve"> process of iterative</w:t>
      </w:r>
      <w:r w:rsidRPr="008511F0">
        <w:rPr>
          <w:i/>
          <w:sz w:val="24"/>
        </w:rPr>
        <w:t xml:space="preserve"> weighting.</w:t>
      </w:r>
    </w:p>
    <w:p w:rsidR="00C737A7" w:rsidRPr="008511F0" w:rsidRDefault="00C737A7" w:rsidP="00C737A7">
      <w:pPr>
        <w:ind w:firstLine="720"/>
        <w:rPr>
          <w:sz w:val="24"/>
        </w:rPr>
      </w:pPr>
    </w:p>
    <w:p w:rsidR="00C737A7" w:rsidRPr="008511F0" w:rsidRDefault="00C737A7" w:rsidP="00C737A7">
      <w:pPr>
        <w:ind w:firstLine="720"/>
        <w:rPr>
          <w:color w:val="000000"/>
          <w:sz w:val="24"/>
        </w:rPr>
      </w:pPr>
      <w:r w:rsidRPr="008511F0">
        <w:rPr>
          <w:sz w:val="24"/>
        </w:rPr>
        <w:t xml:space="preserve">Raking weighting adjusts for non-coverage and non-response and adjusts for different probabilities of selection by region, where applicable. The DBS will use raking weighting for the post stratification process. </w:t>
      </w:r>
      <w:r w:rsidRPr="008511F0">
        <w:rPr>
          <w:color w:val="000000"/>
          <w:sz w:val="24"/>
        </w:rPr>
        <w:t xml:space="preserve">Once data are collected, weighting is completed using Iterative Proportional Fitting or Raking Weighting.  Raking weighting methodology adjusts the data so that groups which are underrepresented in the sample can be accurately represented in the final dataset.  Raking methodologies allow for the introduction of additional demographic characteristics and more accurately match sample distributions to known demographic characteristics of the populations.  The use of Raking reduces nonresponse bias and has been shown to reduce error within estimates. Raking is completed by adjusting for one demographic variable (or dimension) at a time.  Iterations of weighting continue until weights across all demographic characteristics are similar to those of the population.  For example, when weighting by age and gender, weights would first be conducted for gender groups, then those estimates would be adjusted by age groups.  This process would continue in an iterative process until all group proportions in the sample match to a specified margin of the total population.  Raking includes categories of age by gender, detailed race and ethnicity groups, education levels, marital status, regions within states, gender by race/ethnicity, and age group by race/ethnicity.  </w:t>
      </w:r>
    </w:p>
    <w:p w:rsidR="00C737A7" w:rsidRPr="008511F0" w:rsidRDefault="00C737A7" w:rsidP="00C737A7">
      <w:pPr>
        <w:ind w:firstLine="720"/>
        <w:rPr>
          <w:color w:val="000000"/>
          <w:sz w:val="24"/>
        </w:rPr>
      </w:pPr>
      <w:r w:rsidRPr="008511F0">
        <w:rPr>
          <w:color w:val="000000"/>
          <w:sz w:val="24"/>
        </w:rPr>
        <w:t xml:space="preserve">Item nonresponse will be address through the use of imputation. Imputation is used to infer missing demographic information.  Based on the missing at random assumption, the hot-deck method is often used. In this method, a missing value is imputed using a randomly selected respondent value within an appropriately defined imputation cell. The imputation cells are defined using cross-classified groups of survey respondent units by categorical variables without missing values. Under the assumption of the missing at random nonresponse mechanism, the hot-deck method produces unbiased imputed data. </w:t>
      </w:r>
    </w:p>
    <w:p w:rsidR="00C737A7" w:rsidRPr="00B8179D" w:rsidRDefault="00C737A7" w:rsidP="00C737A7">
      <w:pPr>
        <w:pStyle w:val="Heading3"/>
      </w:pPr>
      <w:bookmarkStart w:id="8" w:name="_Toc272937166"/>
      <w:bookmarkStart w:id="9" w:name="_Toc278190132"/>
      <w:r w:rsidRPr="00B8179D">
        <w:t>4.</w:t>
      </w:r>
      <w:r w:rsidRPr="00B8179D">
        <w:tab/>
        <w:t>Tests of Procedures or Methods to be Undertaken</w:t>
      </w:r>
      <w:bookmarkEnd w:id="8"/>
      <w:bookmarkEnd w:id="9"/>
    </w:p>
    <w:p w:rsidR="00C737A7" w:rsidRDefault="00C737A7" w:rsidP="00C737A7">
      <w:pPr>
        <w:widowControl/>
        <w:tabs>
          <w:tab w:val="left" w:pos="-1440"/>
          <w:tab w:val="left" w:pos="-720"/>
        </w:tabs>
        <w:rPr>
          <w:sz w:val="22"/>
          <w:szCs w:val="22"/>
        </w:rPr>
      </w:pPr>
    </w:p>
    <w:p w:rsidR="00E17B68" w:rsidRDefault="00EB0DF7" w:rsidP="00C737A7">
      <w:pPr>
        <w:widowControl/>
        <w:tabs>
          <w:tab w:val="left" w:pos="-1440"/>
          <w:tab w:val="left" w:pos="-720"/>
        </w:tabs>
        <w:rPr>
          <w:sz w:val="24"/>
        </w:rPr>
      </w:pPr>
      <w:r w:rsidRPr="008511F0">
        <w:rPr>
          <w:sz w:val="24"/>
        </w:rPr>
        <w:lastRenderedPageBreak/>
        <w:t xml:space="preserve">The </w:t>
      </w:r>
      <w:r w:rsidR="00EF7D74">
        <w:rPr>
          <w:sz w:val="24"/>
        </w:rPr>
        <w:t xml:space="preserve">GSPS uses </w:t>
      </w:r>
      <w:r w:rsidRPr="008511F0">
        <w:rPr>
          <w:sz w:val="24"/>
        </w:rPr>
        <w:t xml:space="preserve">established protocols of the BRFSS which has been in continuous implementation for over 30 years.  These </w:t>
      </w:r>
      <w:r w:rsidR="00EF7D74">
        <w:rPr>
          <w:sz w:val="24"/>
        </w:rPr>
        <w:t xml:space="preserve">BRFSS </w:t>
      </w:r>
      <w:r w:rsidRPr="008511F0">
        <w:rPr>
          <w:sz w:val="24"/>
        </w:rPr>
        <w:t xml:space="preserve">protocols have been adapted over time to meet the needs of the data collection process and maximize response rates while minimizing respondent burden. </w:t>
      </w:r>
    </w:p>
    <w:p w:rsidR="00E17B68" w:rsidRDefault="00E17B68" w:rsidP="00C737A7">
      <w:pPr>
        <w:widowControl/>
        <w:tabs>
          <w:tab w:val="left" w:pos="-1440"/>
          <w:tab w:val="left" w:pos="-720"/>
        </w:tabs>
        <w:rPr>
          <w:sz w:val="24"/>
        </w:rPr>
      </w:pPr>
    </w:p>
    <w:p w:rsidR="008A233B" w:rsidRPr="008511F0" w:rsidRDefault="00A65659" w:rsidP="00C737A7">
      <w:pPr>
        <w:widowControl/>
        <w:tabs>
          <w:tab w:val="left" w:pos="-1440"/>
          <w:tab w:val="left" w:pos="-720"/>
        </w:tabs>
        <w:rPr>
          <w:sz w:val="24"/>
        </w:rPr>
      </w:pPr>
      <w:r>
        <w:rPr>
          <w:sz w:val="24"/>
        </w:rPr>
        <w:t xml:space="preserve">The GSPS questionnaire submitted with this ICR request has been used in the field since December 14, 2010 (OMB emergency clearance control # 0920-0868, expiration April 30, 2011). </w:t>
      </w:r>
      <w:r w:rsidR="008A233B" w:rsidRPr="008A233B">
        <w:rPr>
          <w:sz w:val="24"/>
        </w:rPr>
        <w:t xml:space="preserve">The </w:t>
      </w:r>
      <w:r w:rsidR="008A233B">
        <w:rPr>
          <w:sz w:val="24"/>
        </w:rPr>
        <w:t>G</w:t>
      </w:r>
      <w:r w:rsidR="00EF7D74">
        <w:rPr>
          <w:sz w:val="24"/>
        </w:rPr>
        <w:t xml:space="preserve">SPS </w:t>
      </w:r>
      <w:r w:rsidR="001F4EEA">
        <w:rPr>
          <w:sz w:val="24"/>
        </w:rPr>
        <w:t>questionnaire</w:t>
      </w:r>
      <w:r w:rsidR="008A233B">
        <w:rPr>
          <w:sz w:val="24"/>
        </w:rPr>
        <w:t xml:space="preserve"> </w:t>
      </w:r>
      <w:r w:rsidR="008A233B" w:rsidRPr="008A233B">
        <w:rPr>
          <w:sz w:val="24"/>
        </w:rPr>
        <w:t>includes health related questions taken from the ongoing BRFSS as well as additional questions taken from standardized scales or from other surveys designed to measure anxiety, depression, and potential stress-associated physical health effects</w:t>
      </w:r>
      <w:r w:rsidR="00A42280">
        <w:rPr>
          <w:sz w:val="24"/>
        </w:rPr>
        <w:t xml:space="preserve">. </w:t>
      </w:r>
      <w:r w:rsidR="00C737A7" w:rsidRPr="008511F0">
        <w:rPr>
          <w:sz w:val="24"/>
        </w:rPr>
        <w:t xml:space="preserve">All </w:t>
      </w:r>
      <w:r w:rsidR="0058170F">
        <w:rPr>
          <w:sz w:val="24"/>
        </w:rPr>
        <w:t>G</w:t>
      </w:r>
      <w:r w:rsidR="001F4EEA">
        <w:rPr>
          <w:sz w:val="24"/>
        </w:rPr>
        <w:t>SPS</w:t>
      </w:r>
      <w:r w:rsidR="0058170F">
        <w:rPr>
          <w:sz w:val="24"/>
        </w:rPr>
        <w:t xml:space="preserve"> </w:t>
      </w:r>
      <w:r w:rsidR="00C737A7" w:rsidRPr="008511F0">
        <w:rPr>
          <w:sz w:val="24"/>
        </w:rPr>
        <w:t xml:space="preserve">questions taken from the BRFSS have been used over many years and previously cognitively tested.  Minor modifications in some questions </w:t>
      </w:r>
      <w:r w:rsidR="00956861">
        <w:rPr>
          <w:sz w:val="24"/>
        </w:rPr>
        <w:t xml:space="preserve">taken from the BRFSS </w:t>
      </w:r>
      <w:r w:rsidR="00C737A7" w:rsidRPr="008511F0">
        <w:rPr>
          <w:sz w:val="24"/>
        </w:rPr>
        <w:t>ha</w:t>
      </w:r>
      <w:r w:rsidR="00C737A7">
        <w:rPr>
          <w:sz w:val="24"/>
        </w:rPr>
        <w:t>ve</w:t>
      </w:r>
      <w:r w:rsidR="00C737A7" w:rsidRPr="008511F0">
        <w:rPr>
          <w:sz w:val="24"/>
        </w:rPr>
        <w:t xml:space="preserve"> been made i</w:t>
      </w:r>
      <w:r w:rsidR="00C737A7">
        <w:rPr>
          <w:sz w:val="24"/>
        </w:rPr>
        <w:t xml:space="preserve">n order to define time periods </w:t>
      </w:r>
      <w:r w:rsidR="00C737A7" w:rsidRPr="008511F0">
        <w:rPr>
          <w:sz w:val="24"/>
        </w:rPr>
        <w:t>for respondents</w:t>
      </w:r>
      <w:r w:rsidR="00C737A7">
        <w:rPr>
          <w:sz w:val="24"/>
        </w:rPr>
        <w:t>.</w:t>
      </w:r>
      <w:r w:rsidR="005E1322">
        <w:rPr>
          <w:sz w:val="24"/>
        </w:rPr>
        <w:t xml:space="preserve"> </w:t>
      </w:r>
    </w:p>
    <w:p w:rsidR="005016CB" w:rsidRDefault="005016CB" w:rsidP="005016CB">
      <w:pPr>
        <w:widowControl/>
        <w:tabs>
          <w:tab w:val="left" w:pos="-1440"/>
          <w:tab w:val="left" w:pos="-720"/>
        </w:tabs>
        <w:rPr>
          <w:sz w:val="24"/>
        </w:rPr>
      </w:pPr>
    </w:p>
    <w:p w:rsidR="00C737A7" w:rsidRPr="00B8179D" w:rsidRDefault="00C737A7" w:rsidP="00C737A7">
      <w:pPr>
        <w:pStyle w:val="Heading3"/>
      </w:pPr>
      <w:bookmarkStart w:id="10" w:name="_Toc272937167"/>
      <w:bookmarkStart w:id="11" w:name="_Toc278190133"/>
      <w:r w:rsidRPr="00B8179D">
        <w:t>5.</w:t>
      </w:r>
      <w:r w:rsidRPr="00B8179D">
        <w:tab/>
        <w:t>Individuals Consulted on Statistical Aspects and Individuals Collecting and/or Analyzing Data</w:t>
      </w:r>
      <w:bookmarkEnd w:id="10"/>
      <w:bookmarkEnd w:id="11"/>
    </w:p>
    <w:p w:rsidR="00C737A7" w:rsidRDefault="00C737A7" w:rsidP="00C737A7">
      <w:pPr>
        <w:widowControl/>
        <w:tabs>
          <w:tab w:val="left" w:pos="-1440"/>
          <w:tab w:val="left" w:pos="-720"/>
        </w:tabs>
        <w:rPr>
          <w:sz w:val="22"/>
          <w:szCs w:val="22"/>
        </w:rPr>
      </w:pPr>
    </w:p>
    <w:p w:rsidR="00A65659" w:rsidRDefault="008D7D24" w:rsidP="00C737A7">
      <w:pPr>
        <w:rPr>
          <w:sz w:val="24"/>
        </w:rPr>
      </w:pPr>
      <w:r>
        <w:rPr>
          <w:sz w:val="24"/>
        </w:rPr>
        <w:t xml:space="preserve">DBS </w:t>
      </w:r>
      <w:r w:rsidR="00C737A7" w:rsidRPr="008511F0">
        <w:rPr>
          <w:sz w:val="24"/>
        </w:rPr>
        <w:t xml:space="preserve">personnel </w:t>
      </w:r>
      <w:r w:rsidR="006C1553">
        <w:rPr>
          <w:sz w:val="24"/>
        </w:rPr>
        <w:t>are</w:t>
      </w:r>
      <w:r w:rsidR="00C737A7" w:rsidRPr="008511F0">
        <w:rPr>
          <w:sz w:val="24"/>
        </w:rPr>
        <w:t xml:space="preserve"> responsible for all </w:t>
      </w:r>
      <w:r w:rsidR="009105FD">
        <w:rPr>
          <w:sz w:val="24"/>
        </w:rPr>
        <w:t xml:space="preserve">statistical aspects of the GSPS including data analyses and reporting. </w:t>
      </w:r>
    </w:p>
    <w:p w:rsidR="00A65659" w:rsidRDefault="00A65659" w:rsidP="00C737A7">
      <w:pPr>
        <w:rPr>
          <w:sz w:val="24"/>
        </w:rPr>
      </w:pPr>
    </w:p>
    <w:tbl>
      <w:tblPr>
        <w:tblStyle w:val="TableGrid"/>
        <w:tblW w:w="0" w:type="auto"/>
        <w:jc w:val="center"/>
        <w:tblInd w:w="468" w:type="dxa"/>
        <w:tblLook w:val="04A0"/>
      </w:tblPr>
      <w:tblGrid>
        <w:gridCol w:w="2250"/>
        <w:gridCol w:w="2160"/>
        <w:gridCol w:w="1440"/>
        <w:gridCol w:w="1800"/>
      </w:tblGrid>
      <w:tr w:rsidR="009105FD" w:rsidTr="00D47FBD">
        <w:trPr>
          <w:jc w:val="center"/>
        </w:trPr>
        <w:tc>
          <w:tcPr>
            <w:tcW w:w="2250" w:type="dxa"/>
          </w:tcPr>
          <w:p w:rsidR="009105FD" w:rsidRPr="00A107F6" w:rsidRDefault="00DB254F" w:rsidP="00DB254F">
            <w:pPr>
              <w:jc w:val="center"/>
              <w:rPr>
                <w:szCs w:val="20"/>
              </w:rPr>
            </w:pPr>
            <w:r w:rsidRPr="00A107F6">
              <w:rPr>
                <w:szCs w:val="20"/>
              </w:rPr>
              <w:t>Name</w:t>
            </w:r>
          </w:p>
        </w:tc>
        <w:tc>
          <w:tcPr>
            <w:tcW w:w="2160" w:type="dxa"/>
          </w:tcPr>
          <w:p w:rsidR="009105FD" w:rsidRPr="00A107F6" w:rsidRDefault="00DB254F" w:rsidP="00DB254F">
            <w:pPr>
              <w:jc w:val="center"/>
              <w:rPr>
                <w:szCs w:val="20"/>
              </w:rPr>
            </w:pPr>
            <w:r w:rsidRPr="00A107F6">
              <w:rPr>
                <w:szCs w:val="20"/>
              </w:rPr>
              <w:t>Title</w:t>
            </w:r>
          </w:p>
        </w:tc>
        <w:tc>
          <w:tcPr>
            <w:tcW w:w="1440" w:type="dxa"/>
          </w:tcPr>
          <w:p w:rsidR="009105FD" w:rsidRPr="00A107F6" w:rsidRDefault="00DB254F" w:rsidP="00DB254F">
            <w:pPr>
              <w:jc w:val="center"/>
              <w:rPr>
                <w:szCs w:val="20"/>
              </w:rPr>
            </w:pPr>
            <w:r w:rsidRPr="00A107F6">
              <w:rPr>
                <w:szCs w:val="20"/>
              </w:rPr>
              <w:t>Phone</w:t>
            </w:r>
          </w:p>
        </w:tc>
        <w:tc>
          <w:tcPr>
            <w:tcW w:w="1800" w:type="dxa"/>
          </w:tcPr>
          <w:p w:rsidR="009105FD" w:rsidRPr="00A107F6" w:rsidRDefault="00DB254F" w:rsidP="00DB254F">
            <w:pPr>
              <w:jc w:val="center"/>
              <w:rPr>
                <w:szCs w:val="20"/>
              </w:rPr>
            </w:pPr>
            <w:r w:rsidRPr="00A107F6">
              <w:rPr>
                <w:szCs w:val="20"/>
              </w:rPr>
              <w:t>E-mail</w:t>
            </w:r>
          </w:p>
        </w:tc>
      </w:tr>
      <w:tr w:rsidR="001B6565" w:rsidTr="00D47FBD">
        <w:trPr>
          <w:jc w:val="center"/>
        </w:trPr>
        <w:tc>
          <w:tcPr>
            <w:tcW w:w="2250" w:type="dxa"/>
          </w:tcPr>
          <w:p w:rsidR="001B6565" w:rsidRPr="00A107F6" w:rsidRDefault="001B6565" w:rsidP="001B6565">
            <w:pPr>
              <w:rPr>
                <w:szCs w:val="20"/>
              </w:rPr>
            </w:pPr>
            <w:r>
              <w:rPr>
                <w:szCs w:val="20"/>
              </w:rPr>
              <w:t>Fred Shaw, MD, JD</w:t>
            </w:r>
          </w:p>
        </w:tc>
        <w:tc>
          <w:tcPr>
            <w:tcW w:w="2160" w:type="dxa"/>
          </w:tcPr>
          <w:p w:rsidR="001B6565" w:rsidRPr="00A107F6" w:rsidRDefault="001B6565" w:rsidP="001B6565">
            <w:pPr>
              <w:rPr>
                <w:szCs w:val="20"/>
              </w:rPr>
            </w:pPr>
            <w:r>
              <w:rPr>
                <w:szCs w:val="20"/>
              </w:rPr>
              <w:t>Acting Director, DBS</w:t>
            </w:r>
          </w:p>
        </w:tc>
        <w:tc>
          <w:tcPr>
            <w:tcW w:w="1440" w:type="dxa"/>
          </w:tcPr>
          <w:p w:rsidR="001B6565" w:rsidRPr="00A107F6" w:rsidRDefault="001B6565" w:rsidP="001B6565">
            <w:pPr>
              <w:rPr>
                <w:szCs w:val="20"/>
              </w:rPr>
            </w:pPr>
            <w:r>
              <w:rPr>
                <w:noProof/>
              </w:rPr>
              <w:t>404- 498-6364</w:t>
            </w:r>
          </w:p>
        </w:tc>
        <w:tc>
          <w:tcPr>
            <w:tcW w:w="1800" w:type="dxa"/>
          </w:tcPr>
          <w:p w:rsidR="001B6565" w:rsidRPr="00A107F6" w:rsidRDefault="001B6565" w:rsidP="001B6565">
            <w:pPr>
              <w:rPr>
                <w:szCs w:val="20"/>
              </w:rPr>
            </w:pPr>
            <w:r>
              <w:rPr>
                <w:szCs w:val="20"/>
              </w:rPr>
              <w:t>Fxs6@cdc.gov</w:t>
            </w:r>
          </w:p>
        </w:tc>
      </w:tr>
      <w:tr w:rsidR="00DB254F" w:rsidTr="00D47FBD">
        <w:trPr>
          <w:jc w:val="center"/>
        </w:trPr>
        <w:tc>
          <w:tcPr>
            <w:tcW w:w="2250" w:type="dxa"/>
          </w:tcPr>
          <w:p w:rsidR="00DB254F" w:rsidRPr="00A107F6" w:rsidRDefault="00DB254F" w:rsidP="00DB254F">
            <w:pPr>
              <w:rPr>
                <w:szCs w:val="20"/>
              </w:rPr>
            </w:pPr>
            <w:r w:rsidRPr="00A107F6">
              <w:rPr>
                <w:szCs w:val="20"/>
              </w:rPr>
              <w:t>Lina Balluz, PhD</w:t>
            </w:r>
          </w:p>
        </w:tc>
        <w:tc>
          <w:tcPr>
            <w:tcW w:w="2160" w:type="dxa"/>
          </w:tcPr>
          <w:p w:rsidR="00DB254F" w:rsidRPr="00A107F6" w:rsidRDefault="004812C2" w:rsidP="00DB254F">
            <w:pPr>
              <w:rPr>
                <w:szCs w:val="20"/>
              </w:rPr>
            </w:pPr>
            <w:r>
              <w:rPr>
                <w:szCs w:val="20"/>
              </w:rPr>
              <w:t>Branch Chief, BRFSS</w:t>
            </w:r>
          </w:p>
        </w:tc>
        <w:tc>
          <w:tcPr>
            <w:tcW w:w="1440" w:type="dxa"/>
          </w:tcPr>
          <w:p w:rsidR="00DB254F" w:rsidRPr="00A107F6" w:rsidRDefault="00DB254F" w:rsidP="00DB254F">
            <w:pPr>
              <w:rPr>
                <w:szCs w:val="20"/>
              </w:rPr>
            </w:pPr>
            <w:r w:rsidRPr="00A107F6">
              <w:rPr>
                <w:szCs w:val="20"/>
              </w:rPr>
              <w:t>404-498-0496</w:t>
            </w:r>
          </w:p>
        </w:tc>
        <w:tc>
          <w:tcPr>
            <w:tcW w:w="1800" w:type="dxa"/>
          </w:tcPr>
          <w:p w:rsidR="00DB254F" w:rsidRPr="00A107F6" w:rsidRDefault="00DB254F" w:rsidP="00DB254F">
            <w:pPr>
              <w:rPr>
                <w:szCs w:val="20"/>
              </w:rPr>
            </w:pPr>
            <w:r w:rsidRPr="00A107F6">
              <w:rPr>
                <w:szCs w:val="20"/>
              </w:rPr>
              <w:t>Lib7@cdc.gov</w:t>
            </w:r>
          </w:p>
        </w:tc>
      </w:tr>
      <w:tr w:rsidR="00DB254F" w:rsidTr="00D47FBD">
        <w:trPr>
          <w:jc w:val="center"/>
        </w:trPr>
        <w:tc>
          <w:tcPr>
            <w:tcW w:w="2250" w:type="dxa"/>
          </w:tcPr>
          <w:p w:rsidR="00DB254F" w:rsidRPr="00A107F6" w:rsidRDefault="00DB254F" w:rsidP="00DB254F">
            <w:pPr>
              <w:rPr>
                <w:color w:val="000000"/>
                <w:szCs w:val="20"/>
              </w:rPr>
            </w:pPr>
            <w:r w:rsidRPr="00A107F6">
              <w:rPr>
                <w:szCs w:val="20"/>
              </w:rPr>
              <w:t>Carol Pieran</w:t>
            </w:r>
            <w:r w:rsidR="006227C7" w:rsidRPr="00A107F6">
              <w:rPr>
                <w:szCs w:val="20"/>
              </w:rPr>
              <w:t>n</w:t>
            </w:r>
            <w:r w:rsidRPr="00A107F6">
              <w:rPr>
                <w:szCs w:val="20"/>
              </w:rPr>
              <w:t>u</w:t>
            </w:r>
            <w:r w:rsidR="006227C7" w:rsidRPr="00A107F6">
              <w:rPr>
                <w:szCs w:val="20"/>
              </w:rPr>
              <w:t>n</w:t>
            </w:r>
            <w:r w:rsidRPr="00A107F6">
              <w:rPr>
                <w:szCs w:val="20"/>
              </w:rPr>
              <w:t xml:space="preserve">zi, PhD,   </w:t>
            </w:r>
          </w:p>
          <w:p w:rsidR="00DB254F" w:rsidRPr="00A107F6" w:rsidRDefault="00DB254F" w:rsidP="00C737A7">
            <w:pPr>
              <w:rPr>
                <w:szCs w:val="20"/>
              </w:rPr>
            </w:pPr>
          </w:p>
        </w:tc>
        <w:tc>
          <w:tcPr>
            <w:tcW w:w="2160" w:type="dxa"/>
          </w:tcPr>
          <w:p w:rsidR="00DB254F" w:rsidRPr="00A107F6" w:rsidRDefault="00DB254F" w:rsidP="00C737A7">
            <w:pPr>
              <w:rPr>
                <w:szCs w:val="20"/>
              </w:rPr>
            </w:pPr>
            <w:r w:rsidRPr="00A107F6">
              <w:rPr>
                <w:szCs w:val="20"/>
              </w:rPr>
              <w:t>Senior Survey Methodologist</w:t>
            </w:r>
          </w:p>
        </w:tc>
        <w:tc>
          <w:tcPr>
            <w:tcW w:w="1440" w:type="dxa"/>
          </w:tcPr>
          <w:p w:rsidR="00DB254F" w:rsidRPr="00A107F6" w:rsidRDefault="00DB254F" w:rsidP="00C737A7">
            <w:pPr>
              <w:rPr>
                <w:szCs w:val="20"/>
              </w:rPr>
            </w:pPr>
            <w:r w:rsidRPr="00A107F6">
              <w:rPr>
                <w:szCs w:val="20"/>
              </w:rPr>
              <w:t>404-498-0501</w:t>
            </w:r>
          </w:p>
        </w:tc>
        <w:tc>
          <w:tcPr>
            <w:tcW w:w="1800" w:type="dxa"/>
          </w:tcPr>
          <w:p w:rsidR="00DB254F" w:rsidRPr="00A107F6" w:rsidRDefault="00DB254F" w:rsidP="00C737A7">
            <w:pPr>
              <w:rPr>
                <w:szCs w:val="20"/>
              </w:rPr>
            </w:pPr>
            <w:r w:rsidRPr="00A107F6">
              <w:rPr>
                <w:szCs w:val="20"/>
              </w:rPr>
              <w:t>Ivk7@cdc.gov</w:t>
            </w:r>
          </w:p>
        </w:tc>
      </w:tr>
      <w:tr w:rsidR="00D47FBD" w:rsidTr="00D47FBD">
        <w:trPr>
          <w:jc w:val="center"/>
        </w:trPr>
        <w:tc>
          <w:tcPr>
            <w:tcW w:w="2250" w:type="dxa"/>
          </w:tcPr>
          <w:p w:rsidR="00D47FBD" w:rsidRPr="00A107F6" w:rsidRDefault="00D47FBD" w:rsidP="00D47FBD">
            <w:pPr>
              <w:rPr>
                <w:szCs w:val="20"/>
              </w:rPr>
            </w:pPr>
            <w:r w:rsidRPr="00A107F6">
              <w:rPr>
                <w:szCs w:val="20"/>
              </w:rPr>
              <w:t>Sally Lin, PhD</w:t>
            </w:r>
          </w:p>
        </w:tc>
        <w:tc>
          <w:tcPr>
            <w:tcW w:w="2160" w:type="dxa"/>
          </w:tcPr>
          <w:p w:rsidR="00D47FBD" w:rsidRPr="00A107F6" w:rsidRDefault="00E92F05" w:rsidP="00D47FBD">
            <w:pPr>
              <w:rPr>
                <w:szCs w:val="20"/>
              </w:rPr>
            </w:pPr>
            <w:r>
              <w:rPr>
                <w:szCs w:val="20"/>
              </w:rPr>
              <w:t xml:space="preserve">Mathematical </w:t>
            </w:r>
            <w:r w:rsidR="00D47FBD" w:rsidRPr="00A107F6">
              <w:rPr>
                <w:szCs w:val="20"/>
              </w:rPr>
              <w:t>Statistician</w:t>
            </w:r>
          </w:p>
        </w:tc>
        <w:tc>
          <w:tcPr>
            <w:tcW w:w="1440" w:type="dxa"/>
          </w:tcPr>
          <w:p w:rsidR="00D47FBD" w:rsidRPr="00A107F6" w:rsidRDefault="00D47FBD" w:rsidP="00D47FBD">
            <w:pPr>
              <w:rPr>
                <w:szCs w:val="20"/>
              </w:rPr>
            </w:pPr>
            <w:r w:rsidRPr="00A107F6">
              <w:rPr>
                <w:szCs w:val="20"/>
              </w:rPr>
              <w:t>404-498-0560</w:t>
            </w:r>
          </w:p>
        </w:tc>
        <w:tc>
          <w:tcPr>
            <w:tcW w:w="1800" w:type="dxa"/>
          </w:tcPr>
          <w:p w:rsidR="00D47FBD" w:rsidRPr="00A107F6" w:rsidRDefault="00D47FBD" w:rsidP="00D47FBD">
            <w:pPr>
              <w:rPr>
                <w:szCs w:val="20"/>
              </w:rPr>
            </w:pPr>
            <w:r w:rsidRPr="00A107F6">
              <w:rPr>
                <w:szCs w:val="20"/>
              </w:rPr>
              <w:t>Dwe3@cdc.gov</w:t>
            </w:r>
          </w:p>
        </w:tc>
      </w:tr>
      <w:tr w:rsidR="00D47FBD" w:rsidTr="00D47FBD">
        <w:trPr>
          <w:jc w:val="center"/>
        </w:trPr>
        <w:tc>
          <w:tcPr>
            <w:tcW w:w="2250" w:type="dxa"/>
          </w:tcPr>
          <w:p w:rsidR="00D47FBD" w:rsidRPr="00A107F6" w:rsidRDefault="00D47FBD" w:rsidP="00D47FBD">
            <w:pPr>
              <w:rPr>
                <w:szCs w:val="20"/>
              </w:rPr>
            </w:pPr>
            <w:r w:rsidRPr="00A107F6">
              <w:rPr>
                <w:szCs w:val="20"/>
              </w:rPr>
              <w:t>Machell Town, MS</w:t>
            </w:r>
          </w:p>
        </w:tc>
        <w:tc>
          <w:tcPr>
            <w:tcW w:w="2160" w:type="dxa"/>
          </w:tcPr>
          <w:p w:rsidR="00D47FBD" w:rsidRPr="00A107F6" w:rsidRDefault="001C457F" w:rsidP="00D47FBD">
            <w:pPr>
              <w:rPr>
                <w:szCs w:val="20"/>
              </w:rPr>
            </w:pPr>
            <w:r>
              <w:rPr>
                <w:szCs w:val="20"/>
              </w:rPr>
              <w:t xml:space="preserve">Lead </w:t>
            </w:r>
            <w:r w:rsidR="00E92F05">
              <w:rPr>
                <w:szCs w:val="20"/>
              </w:rPr>
              <w:t xml:space="preserve"> </w:t>
            </w:r>
            <w:r w:rsidR="00D47FBD" w:rsidRPr="00A107F6">
              <w:rPr>
                <w:szCs w:val="20"/>
              </w:rPr>
              <w:t>Statistician</w:t>
            </w:r>
          </w:p>
        </w:tc>
        <w:tc>
          <w:tcPr>
            <w:tcW w:w="1440" w:type="dxa"/>
          </w:tcPr>
          <w:p w:rsidR="00D47FBD" w:rsidRPr="00A107F6" w:rsidRDefault="00D47FBD" w:rsidP="00D47FBD">
            <w:pPr>
              <w:rPr>
                <w:szCs w:val="20"/>
              </w:rPr>
            </w:pPr>
            <w:r w:rsidRPr="00A107F6">
              <w:rPr>
                <w:szCs w:val="20"/>
              </w:rPr>
              <w:t>404-498-0503</w:t>
            </w:r>
          </w:p>
        </w:tc>
        <w:tc>
          <w:tcPr>
            <w:tcW w:w="1800" w:type="dxa"/>
          </w:tcPr>
          <w:p w:rsidR="00D47FBD" w:rsidRPr="00A107F6" w:rsidRDefault="00D47FBD" w:rsidP="00D47FBD">
            <w:pPr>
              <w:rPr>
                <w:szCs w:val="20"/>
              </w:rPr>
            </w:pPr>
            <w:r w:rsidRPr="00A107F6">
              <w:rPr>
                <w:szCs w:val="20"/>
              </w:rPr>
              <w:t>Mpt2@cdc.gov</w:t>
            </w:r>
          </w:p>
        </w:tc>
      </w:tr>
      <w:tr w:rsidR="00D47FBD" w:rsidTr="00D47FBD">
        <w:trPr>
          <w:jc w:val="center"/>
        </w:trPr>
        <w:tc>
          <w:tcPr>
            <w:tcW w:w="2250" w:type="dxa"/>
          </w:tcPr>
          <w:p w:rsidR="00D47FBD" w:rsidRPr="00A107F6" w:rsidRDefault="00D47FBD" w:rsidP="00D47FBD">
            <w:pPr>
              <w:rPr>
                <w:szCs w:val="20"/>
              </w:rPr>
            </w:pPr>
            <w:r w:rsidRPr="00A107F6">
              <w:rPr>
                <w:szCs w:val="20"/>
              </w:rPr>
              <w:t>Tara Strine, PhD</w:t>
            </w:r>
          </w:p>
        </w:tc>
        <w:tc>
          <w:tcPr>
            <w:tcW w:w="2160" w:type="dxa"/>
          </w:tcPr>
          <w:p w:rsidR="00D47FBD" w:rsidRPr="00A107F6" w:rsidRDefault="00D47FBD" w:rsidP="00D47FBD">
            <w:pPr>
              <w:rPr>
                <w:szCs w:val="20"/>
              </w:rPr>
            </w:pPr>
            <w:r w:rsidRPr="00A107F6">
              <w:rPr>
                <w:szCs w:val="20"/>
              </w:rPr>
              <w:t>Epidemiologist</w:t>
            </w:r>
          </w:p>
        </w:tc>
        <w:tc>
          <w:tcPr>
            <w:tcW w:w="1440" w:type="dxa"/>
          </w:tcPr>
          <w:p w:rsidR="00D47FBD" w:rsidRPr="00A107F6" w:rsidRDefault="00D47FBD" w:rsidP="00D47FBD">
            <w:pPr>
              <w:rPr>
                <w:szCs w:val="20"/>
              </w:rPr>
            </w:pPr>
            <w:r w:rsidRPr="00A107F6">
              <w:rPr>
                <w:szCs w:val="20"/>
              </w:rPr>
              <w:t>404-498-0507</w:t>
            </w:r>
          </w:p>
        </w:tc>
        <w:tc>
          <w:tcPr>
            <w:tcW w:w="1800" w:type="dxa"/>
          </w:tcPr>
          <w:p w:rsidR="00D47FBD" w:rsidRPr="00A107F6" w:rsidRDefault="00D47FBD" w:rsidP="00D47FBD">
            <w:pPr>
              <w:rPr>
                <w:szCs w:val="20"/>
              </w:rPr>
            </w:pPr>
            <w:r w:rsidRPr="00A107F6">
              <w:rPr>
                <w:szCs w:val="20"/>
              </w:rPr>
              <w:t>Tws2@cdc.gov</w:t>
            </w:r>
          </w:p>
        </w:tc>
      </w:tr>
    </w:tbl>
    <w:p w:rsidR="00210DEC" w:rsidRDefault="00210DEC">
      <w:pPr>
        <w:rPr>
          <w:sz w:val="24"/>
        </w:rPr>
      </w:pPr>
    </w:p>
    <w:p w:rsidR="00D94E28" w:rsidRDefault="00D94E28">
      <w:pPr>
        <w:rPr>
          <w:sz w:val="24"/>
        </w:rPr>
      </w:pPr>
      <w:r>
        <w:rPr>
          <w:sz w:val="24"/>
        </w:rPr>
        <w:t xml:space="preserve">Macro, International, Inc. </w:t>
      </w:r>
      <w:r w:rsidR="006C1553">
        <w:rPr>
          <w:sz w:val="24"/>
        </w:rPr>
        <w:t xml:space="preserve">is </w:t>
      </w:r>
      <w:r>
        <w:rPr>
          <w:sz w:val="24"/>
        </w:rPr>
        <w:t>responsible for the GSPS data collection.</w:t>
      </w:r>
    </w:p>
    <w:p w:rsidR="00D94E28" w:rsidRDefault="00D94E28">
      <w:pPr>
        <w:rPr>
          <w:sz w:val="24"/>
        </w:rPr>
      </w:pPr>
    </w:p>
    <w:tbl>
      <w:tblPr>
        <w:tblStyle w:val="TableGrid"/>
        <w:tblW w:w="0" w:type="auto"/>
        <w:jc w:val="center"/>
        <w:tblInd w:w="468" w:type="dxa"/>
        <w:tblLayout w:type="fixed"/>
        <w:tblLook w:val="04A0"/>
      </w:tblPr>
      <w:tblGrid>
        <w:gridCol w:w="2250"/>
        <w:gridCol w:w="2160"/>
        <w:gridCol w:w="1350"/>
        <w:gridCol w:w="1890"/>
      </w:tblGrid>
      <w:tr w:rsidR="00D94E28" w:rsidRPr="00DB254F" w:rsidTr="00D47FBD">
        <w:trPr>
          <w:jc w:val="center"/>
        </w:trPr>
        <w:tc>
          <w:tcPr>
            <w:tcW w:w="2250" w:type="dxa"/>
          </w:tcPr>
          <w:p w:rsidR="00D94E28" w:rsidRPr="00A107F6" w:rsidRDefault="00D94E28" w:rsidP="003F046A">
            <w:pPr>
              <w:jc w:val="center"/>
              <w:rPr>
                <w:szCs w:val="20"/>
              </w:rPr>
            </w:pPr>
            <w:r w:rsidRPr="00A107F6">
              <w:rPr>
                <w:szCs w:val="20"/>
              </w:rPr>
              <w:t>Name</w:t>
            </w:r>
          </w:p>
        </w:tc>
        <w:tc>
          <w:tcPr>
            <w:tcW w:w="2160" w:type="dxa"/>
          </w:tcPr>
          <w:p w:rsidR="00D94E28" w:rsidRPr="00A107F6" w:rsidRDefault="00D94E28" w:rsidP="003F046A">
            <w:pPr>
              <w:jc w:val="center"/>
              <w:rPr>
                <w:szCs w:val="20"/>
              </w:rPr>
            </w:pPr>
            <w:r w:rsidRPr="00A107F6">
              <w:rPr>
                <w:szCs w:val="20"/>
              </w:rPr>
              <w:t>Title</w:t>
            </w:r>
          </w:p>
        </w:tc>
        <w:tc>
          <w:tcPr>
            <w:tcW w:w="1350" w:type="dxa"/>
          </w:tcPr>
          <w:p w:rsidR="00D94E28" w:rsidRPr="00A107F6" w:rsidRDefault="00D94E28" w:rsidP="003F046A">
            <w:pPr>
              <w:jc w:val="center"/>
              <w:rPr>
                <w:szCs w:val="20"/>
              </w:rPr>
            </w:pPr>
            <w:r w:rsidRPr="00A107F6">
              <w:rPr>
                <w:szCs w:val="20"/>
              </w:rPr>
              <w:t>Phone</w:t>
            </w:r>
          </w:p>
        </w:tc>
        <w:tc>
          <w:tcPr>
            <w:tcW w:w="1890" w:type="dxa"/>
          </w:tcPr>
          <w:p w:rsidR="00D94E28" w:rsidRPr="00A107F6" w:rsidRDefault="00D94E28" w:rsidP="003F046A">
            <w:pPr>
              <w:jc w:val="center"/>
              <w:rPr>
                <w:szCs w:val="20"/>
              </w:rPr>
            </w:pPr>
            <w:r w:rsidRPr="00A107F6">
              <w:rPr>
                <w:szCs w:val="20"/>
              </w:rPr>
              <w:t>E-mail</w:t>
            </w:r>
          </w:p>
        </w:tc>
      </w:tr>
      <w:tr w:rsidR="00D94E28" w:rsidRPr="00DB254F" w:rsidTr="00D47FBD">
        <w:trPr>
          <w:jc w:val="center"/>
        </w:trPr>
        <w:tc>
          <w:tcPr>
            <w:tcW w:w="2250" w:type="dxa"/>
          </w:tcPr>
          <w:p w:rsidR="00D94E28" w:rsidRPr="00A107F6" w:rsidRDefault="003F046A" w:rsidP="003F046A">
            <w:pPr>
              <w:rPr>
                <w:szCs w:val="20"/>
              </w:rPr>
            </w:pPr>
            <w:r w:rsidRPr="00A107F6">
              <w:rPr>
                <w:szCs w:val="20"/>
              </w:rPr>
              <w:t>Jamie Dayton</w:t>
            </w:r>
          </w:p>
        </w:tc>
        <w:tc>
          <w:tcPr>
            <w:tcW w:w="2160" w:type="dxa"/>
          </w:tcPr>
          <w:p w:rsidR="00D94E28" w:rsidRPr="00A107F6" w:rsidRDefault="003F046A" w:rsidP="003F046A">
            <w:pPr>
              <w:rPr>
                <w:szCs w:val="20"/>
              </w:rPr>
            </w:pPr>
            <w:r w:rsidRPr="00A107F6">
              <w:rPr>
                <w:szCs w:val="20"/>
              </w:rPr>
              <w:t>Sr. Vice President</w:t>
            </w:r>
          </w:p>
        </w:tc>
        <w:tc>
          <w:tcPr>
            <w:tcW w:w="1350" w:type="dxa"/>
          </w:tcPr>
          <w:p w:rsidR="00D94E28" w:rsidRPr="00A107F6" w:rsidRDefault="003F046A" w:rsidP="003F046A">
            <w:pPr>
              <w:rPr>
                <w:szCs w:val="20"/>
              </w:rPr>
            </w:pPr>
            <w:r w:rsidRPr="00A107F6">
              <w:rPr>
                <w:szCs w:val="20"/>
              </w:rPr>
              <w:t>802-264-3723</w:t>
            </w:r>
          </w:p>
        </w:tc>
        <w:tc>
          <w:tcPr>
            <w:tcW w:w="1890" w:type="dxa"/>
          </w:tcPr>
          <w:p w:rsidR="00D94E28" w:rsidRPr="00A107F6" w:rsidRDefault="003F046A" w:rsidP="003F046A">
            <w:pPr>
              <w:rPr>
                <w:szCs w:val="20"/>
              </w:rPr>
            </w:pPr>
            <w:r w:rsidRPr="00A107F6">
              <w:rPr>
                <w:szCs w:val="20"/>
              </w:rPr>
              <w:t>Jdayton@icfi.com</w:t>
            </w:r>
          </w:p>
        </w:tc>
      </w:tr>
      <w:tr w:rsidR="00D94E28" w:rsidRPr="00DB254F" w:rsidTr="00D47FBD">
        <w:trPr>
          <w:jc w:val="center"/>
        </w:trPr>
        <w:tc>
          <w:tcPr>
            <w:tcW w:w="2250" w:type="dxa"/>
          </w:tcPr>
          <w:p w:rsidR="00D94E28" w:rsidRPr="00A107F6" w:rsidRDefault="003F046A" w:rsidP="003F046A">
            <w:pPr>
              <w:rPr>
                <w:szCs w:val="20"/>
              </w:rPr>
            </w:pPr>
            <w:r w:rsidRPr="00A107F6">
              <w:rPr>
                <w:szCs w:val="20"/>
              </w:rPr>
              <w:t>Naomi Freedner</w:t>
            </w:r>
          </w:p>
        </w:tc>
        <w:tc>
          <w:tcPr>
            <w:tcW w:w="2160" w:type="dxa"/>
          </w:tcPr>
          <w:p w:rsidR="00D94E28" w:rsidRPr="00A107F6" w:rsidRDefault="003F046A" w:rsidP="003F046A">
            <w:pPr>
              <w:rPr>
                <w:szCs w:val="20"/>
              </w:rPr>
            </w:pPr>
            <w:r w:rsidRPr="00A107F6">
              <w:rPr>
                <w:szCs w:val="20"/>
              </w:rPr>
              <w:t>Principal</w:t>
            </w:r>
          </w:p>
        </w:tc>
        <w:tc>
          <w:tcPr>
            <w:tcW w:w="1350" w:type="dxa"/>
          </w:tcPr>
          <w:p w:rsidR="00D94E28" w:rsidRPr="00A107F6" w:rsidRDefault="003F046A" w:rsidP="003F046A">
            <w:pPr>
              <w:rPr>
                <w:szCs w:val="20"/>
              </w:rPr>
            </w:pPr>
            <w:r w:rsidRPr="00A107F6">
              <w:rPr>
                <w:szCs w:val="20"/>
              </w:rPr>
              <w:t>802-264-</w:t>
            </w:r>
            <w:r w:rsidR="00A107F6" w:rsidRPr="00A107F6">
              <w:rPr>
                <w:szCs w:val="20"/>
              </w:rPr>
              <w:t>3730</w:t>
            </w:r>
          </w:p>
        </w:tc>
        <w:tc>
          <w:tcPr>
            <w:tcW w:w="1890" w:type="dxa"/>
          </w:tcPr>
          <w:p w:rsidR="00D94E28" w:rsidRPr="00A107F6" w:rsidRDefault="00A107F6" w:rsidP="003F046A">
            <w:pPr>
              <w:rPr>
                <w:szCs w:val="20"/>
              </w:rPr>
            </w:pPr>
            <w:r w:rsidRPr="00A107F6">
              <w:rPr>
                <w:szCs w:val="20"/>
              </w:rPr>
              <w:t>nfreedner@icfi.com</w:t>
            </w:r>
          </w:p>
        </w:tc>
      </w:tr>
      <w:tr w:rsidR="00D94E28" w:rsidRPr="00DB254F" w:rsidTr="00D47FBD">
        <w:trPr>
          <w:jc w:val="center"/>
        </w:trPr>
        <w:tc>
          <w:tcPr>
            <w:tcW w:w="2250" w:type="dxa"/>
          </w:tcPr>
          <w:p w:rsidR="00D94E28" w:rsidRPr="00A107F6" w:rsidRDefault="00A107F6" w:rsidP="003F046A">
            <w:pPr>
              <w:rPr>
                <w:szCs w:val="20"/>
              </w:rPr>
            </w:pPr>
            <w:r w:rsidRPr="00A107F6">
              <w:rPr>
                <w:szCs w:val="20"/>
              </w:rPr>
              <w:t>Beth Tarallo</w:t>
            </w:r>
          </w:p>
        </w:tc>
        <w:tc>
          <w:tcPr>
            <w:tcW w:w="2160" w:type="dxa"/>
          </w:tcPr>
          <w:p w:rsidR="00D94E28" w:rsidRPr="00A107F6" w:rsidRDefault="00A107F6" w:rsidP="003F046A">
            <w:pPr>
              <w:rPr>
                <w:szCs w:val="20"/>
              </w:rPr>
            </w:pPr>
            <w:r w:rsidRPr="00A107F6">
              <w:rPr>
                <w:szCs w:val="20"/>
              </w:rPr>
              <w:t>Project Manager</w:t>
            </w:r>
          </w:p>
        </w:tc>
        <w:tc>
          <w:tcPr>
            <w:tcW w:w="1350" w:type="dxa"/>
          </w:tcPr>
          <w:p w:rsidR="00D94E28" w:rsidRPr="00A107F6" w:rsidRDefault="00A107F6" w:rsidP="003F046A">
            <w:pPr>
              <w:rPr>
                <w:szCs w:val="20"/>
              </w:rPr>
            </w:pPr>
            <w:r w:rsidRPr="00A107F6">
              <w:rPr>
                <w:szCs w:val="20"/>
              </w:rPr>
              <w:t>802-264-3719</w:t>
            </w:r>
          </w:p>
        </w:tc>
        <w:tc>
          <w:tcPr>
            <w:tcW w:w="1890" w:type="dxa"/>
          </w:tcPr>
          <w:p w:rsidR="00D94E28" w:rsidRPr="00A107F6" w:rsidRDefault="00A107F6" w:rsidP="003F046A">
            <w:pPr>
              <w:rPr>
                <w:szCs w:val="20"/>
              </w:rPr>
            </w:pPr>
            <w:r w:rsidRPr="00A107F6">
              <w:rPr>
                <w:szCs w:val="20"/>
              </w:rPr>
              <w:t>btarallo@icfi.com</w:t>
            </w:r>
          </w:p>
        </w:tc>
      </w:tr>
    </w:tbl>
    <w:p w:rsidR="00D94E28" w:rsidRDefault="00D94E28">
      <w:pPr>
        <w:rPr>
          <w:sz w:val="24"/>
        </w:rPr>
      </w:pPr>
    </w:p>
    <w:p w:rsidR="005F7AD6" w:rsidRDefault="005F7AD6">
      <w:pPr>
        <w:rPr>
          <w:sz w:val="24"/>
        </w:rPr>
      </w:pPr>
      <w:r>
        <w:rPr>
          <w:sz w:val="24"/>
        </w:rPr>
        <w:t>The following DBS personnel are responsible for receiving and approving contract deliverables.</w:t>
      </w:r>
    </w:p>
    <w:p w:rsidR="005F7AD6" w:rsidRDefault="005F7AD6">
      <w:pPr>
        <w:rPr>
          <w:sz w:val="24"/>
        </w:rPr>
      </w:pPr>
    </w:p>
    <w:tbl>
      <w:tblPr>
        <w:tblStyle w:val="TableGrid"/>
        <w:tblW w:w="0" w:type="auto"/>
        <w:jc w:val="center"/>
        <w:tblInd w:w="468" w:type="dxa"/>
        <w:tblLayout w:type="fixed"/>
        <w:tblLook w:val="04A0"/>
      </w:tblPr>
      <w:tblGrid>
        <w:gridCol w:w="2250"/>
        <w:gridCol w:w="2160"/>
        <w:gridCol w:w="1350"/>
        <w:gridCol w:w="1890"/>
      </w:tblGrid>
      <w:tr w:rsidR="005F7AD6" w:rsidRPr="00A107F6" w:rsidTr="00D47FBD">
        <w:trPr>
          <w:jc w:val="center"/>
        </w:trPr>
        <w:tc>
          <w:tcPr>
            <w:tcW w:w="2250" w:type="dxa"/>
          </w:tcPr>
          <w:p w:rsidR="005F7AD6" w:rsidRPr="00A107F6" w:rsidRDefault="005F7AD6" w:rsidP="005F7AD6">
            <w:pPr>
              <w:jc w:val="center"/>
              <w:rPr>
                <w:szCs w:val="20"/>
              </w:rPr>
            </w:pPr>
            <w:r w:rsidRPr="00A107F6">
              <w:rPr>
                <w:szCs w:val="20"/>
              </w:rPr>
              <w:t>Name</w:t>
            </w:r>
          </w:p>
        </w:tc>
        <w:tc>
          <w:tcPr>
            <w:tcW w:w="2160" w:type="dxa"/>
          </w:tcPr>
          <w:p w:rsidR="005F7AD6" w:rsidRPr="00A107F6" w:rsidRDefault="005F7AD6" w:rsidP="005F7AD6">
            <w:pPr>
              <w:jc w:val="center"/>
              <w:rPr>
                <w:szCs w:val="20"/>
              </w:rPr>
            </w:pPr>
            <w:r w:rsidRPr="00A107F6">
              <w:rPr>
                <w:szCs w:val="20"/>
              </w:rPr>
              <w:t>Title</w:t>
            </w:r>
          </w:p>
        </w:tc>
        <w:tc>
          <w:tcPr>
            <w:tcW w:w="1350" w:type="dxa"/>
          </w:tcPr>
          <w:p w:rsidR="005F7AD6" w:rsidRPr="00A107F6" w:rsidRDefault="005F7AD6" w:rsidP="005F7AD6">
            <w:pPr>
              <w:jc w:val="center"/>
              <w:rPr>
                <w:szCs w:val="20"/>
              </w:rPr>
            </w:pPr>
            <w:r w:rsidRPr="00A107F6">
              <w:rPr>
                <w:szCs w:val="20"/>
              </w:rPr>
              <w:t>Phone</w:t>
            </w:r>
          </w:p>
        </w:tc>
        <w:tc>
          <w:tcPr>
            <w:tcW w:w="1890" w:type="dxa"/>
          </w:tcPr>
          <w:p w:rsidR="005F7AD6" w:rsidRPr="00A107F6" w:rsidRDefault="005F7AD6" w:rsidP="005F7AD6">
            <w:pPr>
              <w:jc w:val="center"/>
              <w:rPr>
                <w:szCs w:val="20"/>
              </w:rPr>
            </w:pPr>
            <w:r w:rsidRPr="00A107F6">
              <w:rPr>
                <w:szCs w:val="20"/>
              </w:rPr>
              <w:t>E-mail</w:t>
            </w:r>
          </w:p>
        </w:tc>
      </w:tr>
      <w:tr w:rsidR="005F7AD6" w:rsidRPr="00A107F6" w:rsidTr="00D47FBD">
        <w:trPr>
          <w:jc w:val="center"/>
        </w:trPr>
        <w:tc>
          <w:tcPr>
            <w:tcW w:w="2250" w:type="dxa"/>
          </w:tcPr>
          <w:p w:rsidR="005F7AD6" w:rsidRPr="00A107F6" w:rsidRDefault="005F7AD6" w:rsidP="005F7AD6">
            <w:pPr>
              <w:rPr>
                <w:szCs w:val="20"/>
              </w:rPr>
            </w:pPr>
            <w:r w:rsidRPr="005F7AD6">
              <w:rPr>
                <w:szCs w:val="20"/>
              </w:rPr>
              <w:t>Deborah Gould, PhD</w:t>
            </w:r>
          </w:p>
        </w:tc>
        <w:tc>
          <w:tcPr>
            <w:tcW w:w="2160" w:type="dxa"/>
          </w:tcPr>
          <w:p w:rsidR="005F7AD6" w:rsidRPr="00A107F6" w:rsidRDefault="005F7AD6" w:rsidP="005F7AD6">
            <w:pPr>
              <w:rPr>
                <w:szCs w:val="20"/>
              </w:rPr>
            </w:pPr>
            <w:r>
              <w:rPr>
                <w:szCs w:val="20"/>
              </w:rPr>
              <w:t xml:space="preserve">Special Advisor and </w:t>
            </w:r>
            <w:r w:rsidRPr="005F7AD6">
              <w:rPr>
                <w:szCs w:val="20"/>
              </w:rPr>
              <w:t>Contracting Officers Technical Representative (COTR)</w:t>
            </w:r>
          </w:p>
        </w:tc>
        <w:tc>
          <w:tcPr>
            <w:tcW w:w="1350" w:type="dxa"/>
          </w:tcPr>
          <w:p w:rsidR="005F7AD6" w:rsidRPr="00A107F6" w:rsidRDefault="005F7AD6" w:rsidP="005F7AD6">
            <w:pPr>
              <w:rPr>
                <w:szCs w:val="20"/>
              </w:rPr>
            </w:pPr>
            <w:r w:rsidRPr="005F7AD6">
              <w:rPr>
                <w:szCs w:val="20"/>
              </w:rPr>
              <w:t>404-498-0562</w:t>
            </w:r>
          </w:p>
        </w:tc>
        <w:tc>
          <w:tcPr>
            <w:tcW w:w="1890" w:type="dxa"/>
          </w:tcPr>
          <w:p w:rsidR="005F7AD6" w:rsidRPr="00A107F6" w:rsidRDefault="005F7AD6" w:rsidP="005F7AD6">
            <w:pPr>
              <w:rPr>
                <w:szCs w:val="20"/>
              </w:rPr>
            </w:pPr>
            <w:r>
              <w:rPr>
                <w:szCs w:val="20"/>
              </w:rPr>
              <w:t>Dgw8@cdc.gov</w:t>
            </w:r>
          </w:p>
        </w:tc>
      </w:tr>
      <w:tr w:rsidR="005F7AD6" w:rsidRPr="00A107F6" w:rsidTr="00D47FBD">
        <w:trPr>
          <w:jc w:val="center"/>
        </w:trPr>
        <w:tc>
          <w:tcPr>
            <w:tcW w:w="2250" w:type="dxa"/>
          </w:tcPr>
          <w:p w:rsidR="005F7AD6" w:rsidRPr="00A107F6" w:rsidRDefault="005F7AD6" w:rsidP="005F7AD6">
            <w:pPr>
              <w:rPr>
                <w:szCs w:val="20"/>
              </w:rPr>
            </w:pPr>
            <w:r>
              <w:rPr>
                <w:szCs w:val="20"/>
              </w:rPr>
              <w:t>Suzianne Garner</w:t>
            </w:r>
          </w:p>
        </w:tc>
        <w:tc>
          <w:tcPr>
            <w:tcW w:w="2160" w:type="dxa"/>
          </w:tcPr>
          <w:p w:rsidR="005F7AD6" w:rsidRPr="00A107F6" w:rsidRDefault="005F7AD6" w:rsidP="005F7AD6">
            <w:pPr>
              <w:rPr>
                <w:szCs w:val="20"/>
              </w:rPr>
            </w:pPr>
            <w:r>
              <w:rPr>
                <w:szCs w:val="20"/>
              </w:rPr>
              <w:t xml:space="preserve">Acting </w:t>
            </w:r>
            <w:r w:rsidR="00D47FBD">
              <w:rPr>
                <w:szCs w:val="20"/>
              </w:rPr>
              <w:t xml:space="preserve">Deputy, </w:t>
            </w:r>
            <w:r>
              <w:rPr>
                <w:szCs w:val="20"/>
              </w:rPr>
              <w:t xml:space="preserve">DBS </w:t>
            </w:r>
          </w:p>
        </w:tc>
        <w:tc>
          <w:tcPr>
            <w:tcW w:w="1350" w:type="dxa"/>
          </w:tcPr>
          <w:p w:rsidR="005F7AD6" w:rsidRPr="00A107F6" w:rsidRDefault="005F7AD6" w:rsidP="005F7AD6">
            <w:pPr>
              <w:rPr>
                <w:szCs w:val="20"/>
              </w:rPr>
            </w:pPr>
            <w:r>
              <w:rPr>
                <w:szCs w:val="20"/>
              </w:rPr>
              <w:t>404-498-</w:t>
            </w:r>
            <w:r w:rsidR="00D47FBD">
              <w:rPr>
                <w:szCs w:val="20"/>
              </w:rPr>
              <w:t>0498</w:t>
            </w:r>
          </w:p>
        </w:tc>
        <w:tc>
          <w:tcPr>
            <w:tcW w:w="1890" w:type="dxa"/>
          </w:tcPr>
          <w:p w:rsidR="005F7AD6" w:rsidRPr="00A107F6" w:rsidRDefault="005F7AD6" w:rsidP="005F7AD6">
            <w:pPr>
              <w:rPr>
                <w:szCs w:val="20"/>
              </w:rPr>
            </w:pPr>
            <w:r>
              <w:rPr>
                <w:szCs w:val="20"/>
              </w:rPr>
              <w:t>Sle1@cdc.gov</w:t>
            </w:r>
          </w:p>
        </w:tc>
      </w:tr>
    </w:tbl>
    <w:p w:rsidR="005F7AD6" w:rsidRDefault="005F7AD6" w:rsidP="005F7AD6">
      <w:pPr>
        <w:rPr>
          <w:sz w:val="24"/>
        </w:rPr>
      </w:pPr>
    </w:p>
    <w:sectPr w:rsidR="005F7AD6" w:rsidSect="006250AA">
      <w:headerReference w:type="even" r:id="rId11"/>
      <w:headerReference w:type="default" r:id="rId12"/>
      <w:footerReference w:type="default" r:id="rId13"/>
      <w:headerReference w:type="first" r:id="rId1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7F8" w:rsidRDefault="005767F8" w:rsidP="00C7566E">
      <w:r>
        <w:separator/>
      </w:r>
    </w:p>
  </w:endnote>
  <w:endnote w:type="continuationSeparator" w:id="0">
    <w:p w:rsidR="005767F8" w:rsidRDefault="005767F8" w:rsidP="00C756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F8" w:rsidRDefault="008E55DC">
    <w:pPr>
      <w:pStyle w:val="Footer"/>
      <w:jc w:val="right"/>
    </w:pPr>
    <w:fldSimple w:instr=" PAGE   \* MERGEFORMAT ">
      <w:r w:rsidR="0087634E">
        <w:rPr>
          <w:noProof/>
        </w:rPr>
        <w:t>1</w:t>
      </w:r>
    </w:fldSimple>
  </w:p>
  <w:p w:rsidR="005767F8" w:rsidRDefault="005767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F8" w:rsidRDefault="008E55DC">
    <w:pPr>
      <w:pStyle w:val="Footer"/>
      <w:jc w:val="right"/>
    </w:pPr>
    <w:fldSimple w:instr=" PAGE   \* MERGEFORMAT ">
      <w:r w:rsidR="0087634E">
        <w:rPr>
          <w:noProof/>
        </w:rPr>
        <w:t>5</w:t>
      </w:r>
    </w:fldSimple>
  </w:p>
  <w:p w:rsidR="005767F8" w:rsidRDefault="005767F8">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7F8" w:rsidRDefault="005767F8" w:rsidP="00C7566E">
      <w:r>
        <w:separator/>
      </w:r>
    </w:p>
  </w:footnote>
  <w:footnote w:type="continuationSeparator" w:id="0">
    <w:p w:rsidR="005767F8" w:rsidRDefault="005767F8" w:rsidP="00C75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85" w:rsidRPr="00310985" w:rsidRDefault="00310985">
    <w:pPr>
      <w:pStyle w:val="Header"/>
      <w:rPr>
        <w:sz w:val="16"/>
        <w:szCs w:val="16"/>
      </w:rPr>
    </w:pPr>
    <w:r w:rsidRPr="00310985">
      <w:rPr>
        <w:sz w:val="16"/>
        <w:szCs w:val="16"/>
      </w:rPr>
      <w:t>03.02.2011</w:t>
    </w:r>
  </w:p>
  <w:p w:rsidR="005767F8" w:rsidRDefault="005767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F8" w:rsidRDefault="005767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4E" w:rsidRPr="0087634E" w:rsidRDefault="0087634E">
    <w:pPr>
      <w:pStyle w:val="Header"/>
      <w:rPr>
        <w:sz w:val="16"/>
        <w:szCs w:val="16"/>
      </w:rPr>
    </w:pPr>
    <w:r w:rsidRPr="0087634E">
      <w:rPr>
        <w:sz w:val="16"/>
        <w:szCs w:val="16"/>
      </w:rPr>
      <w:t>03.02.2011</w:t>
    </w:r>
  </w:p>
  <w:p w:rsidR="005767F8" w:rsidRDefault="005767F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F8" w:rsidRDefault="005767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871C3"/>
    <w:multiLevelType w:val="hybridMultilevel"/>
    <w:tmpl w:val="351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12289"/>
  </w:hdrShapeDefaults>
  <w:footnotePr>
    <w:footnote w:id="-1"/>
    <w:footnote w:id="0"/>
  </w:footnotePr>
  <w:endnotePr>
    <w:endnote w:id="-1"/>
    <w:endnote w:id="0"/>
  </w:endnotePr>
  <w:compat/>
  <w:rsids>
    <w:rsidRoot w:val="00C737A7"/>
    <w:rsid w:val="00012D14"/>
    <w:rsid w:val="00024A38"/>
    <w:rsid w:val="00036221"/>
    <w:rsid w:val="00052D95"/>
    <w:rsid w:val="00057FCA"/>
    <w:rsid w:val="00061F8F"/>
    <w:rsid w:val="000813B5"/>
    <w:rsid w:val="000A3DD5"/>
    <w:rsid w:val="000C57CB"/>
    <w:rsid w:val="00107C7B"/>
    <w:rsid w:val="00162D71"/>
    <w:rsid w:val="00174DE0"/>
    <w:rsid w:val="00190568"/>
    <w:rsid w:val="001A26A7"/>
    <w:rsid w:val="001B6565"/>
    <w:rsid w:val="001C457F"/>
    <w:rsid w:val="001F4EEA"/>
    <w:rsid w:val="00210DEC"/>
    <w:rsid w:val="00242AB5"/>
    <w:rsid w:val="002563C6"/>
    <w:rsid w:val="00310985"/>
    <w:rsid w:val="00342A1E"/>
    <w:rsid w:val="003D5042"/>
    <w:rsid w:val="003F046A"/>
    <w:rsid w:val="003F7B4E"/>
    <w:rsid w:val="00446617"/>
    <w:rsid w:val="0045271C"/>
    <w:rsid w:val="0047632B"/>
    <w:rsid w:val="004812C2"/>
    <w:rsid w:val="00486551"/>
    <w:rsid w:val="004D13F8"/>
    <w:rsid w:val="004E19A9"/>
    <w:rsid w:val="005016CB"/>
    <w:rsid w:val="005767F8"/>
    <w:rsid w:val="0058170F"/>
    <w:rsid w:val="005B0BCE"/>
    <w:rsid w:val="005E1322"/>
    <w:rsid w:val="005F7AD6"/>
    <w:rsid w:val="00605D3D"/>
    <w:rsid w:val="00622083"/>
    <w:rsid w:val="006227C7"/>
    <w:rsid w:val="006250AA"/>
    <w:rsid w:val="00630BA2"/>
    <w:rsid w:val="00672F40"/>
    <w:rsid w:val="00674802"/>
    <w:rsid w:val="00695539"/>
    <w:rsid w:val="00695AD2"/>
    <w:rsid w:val="006A14BC"/>
    <w:rsid w:val="006B06F4"/>
    <w:rsid w:val="006C1553"/>
    <w:rsid w:val="006D37F6"/>
    <w:rsid w:val="007073B1"/>
    <w:rsid w:val="00713925"/>
    <w:rsid w:val="007962CE"/>
    <w:rsid w:val="007973BD"/>
    <w:rsid w:val="007D7E46"/>
    <w:rsid w:val="00871AE9"/>
    <w:rsid w:val="0087634E"/>
    <w:rsid w:val="00883BEE"/>
    <w:rsid w:val="008A233B"/>
    <w:rsid w:val="008C27B4"/>
    <w:rsid w:val="008D7D24"/>
    <w:rsid w:val="008E0F03"/>
    <w:rsid w:val="008E55DC"/>
    <w:rsid w:val="009105FD"/>
    <w:rsid w:val="00916B36"/>
    <w:rsid w:val="00956861"/>
    <w:rsid w:val="009B2E9B"/>
    <w:rsid w:val="009E405D"/>
    <w:rsid w:val="00A107F6"/>
    <w:rsid w:val="00A42280"/>
    <w:rsid w:val="00A65659"/>
    <w:rsid w:val="00A66DFC"/>
    <w:rsid w:val="00B54036"/>
    <w:rsid w:val="00B84EE3"/>
    <w:rsid w:val="00BF38D9"/>
    <w:rsid w:val="00C24D6F"/>
    <w:rsid w:val="00C66CBA"/>
    <w:rsid w:val="00C737A7"/>
    <w:rsid w:val="00C7566E"/>
    <w:rsid w:val="00CC3A8D"/>
    <w:rsid w:val="00CE4857"/>
    <w:rsid w:val="00D03509"/>
    <w:rsid w:val="00D24C43"/>
    <w:rsid w:val="00D32CBF"/>
    <w:rsid w:val="00D47FBD"/>
    <w:rsid w:val="00D563B9"/>
    <w:rsid w:val="00D94E28"/>
    <w:rsid w:val="00D9688F"/>
    <w:rsid w:val="00DB254F"/>
    <w:rsid w:val="00DD25F9"/>
    <w:rsid w:val="00DE50AA"/>
    <w:rsid w:val="00DF4C94"/>
    <w:rsid w:val="00E17B68"/>
    <w:rsid w:val="00E42B29"/>
    <w:rsid w:val="00E84DB7"/>
    <w:rsid w:val="00E92F05"/>
    <w:rsid w:val="00EB0DF7"/>
    <w:rsid w:val="00EF7D74"/>
    <w:rsid w:val="00F05477"/>
    <w:rsid w:val="00F314A3"/>
    <w:rsid w:val="00FA362D"/>
    <w:rsid w:val="00FB628D"/>
    <w:rsid w:val="00FD4E8E"/>
    <w:rsid w:val="00FD7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7A7"/>
    <w:pPr>
      <w:widowControl w:val="0"/>
      <w:autoSpaceDE w:val="0"/>
      <w:autoSpaceDN w:val="0"/>
      <w:adjustRightInd w:val="0"/>
    </w:pPr>
    <w:rPr>
      <w:szCs w:val="24"/>
    </w:rPr>
  </w:style>
  <w:style w:type="paragraph" w:styleId="Heading1">
    <w:name w:val="heading 1"/>
    <w:basedOn w:val="Normal"/>
    <w:next w:val="Normal"/>
    <w:link w:val="Heading1Char"/>
    <w:qFormat/>
    <w:rsid w:val="00695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7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37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7A7"/>
    <w:rPr>
      <w:rFonts w:ascii="Arial" w:hAnsi="Arial" w:cs="Arial"/>
      <w:b/>
      <w:bCs/>
      <w:i/>
      <w:iCs/>
      <w:sz w:val="28"/>
      <w:szCs w:val="28"/>
    </w:rPr>
  </w:style>
  <w:style w:type="character" w:customStyle="1" w:styleId="Heading3Char">
    <w:name w:val="Heading 3 Char"/>
    <w:basedOn w:val="DefaultParagraphFont"/>
    <w:link w:val="Heading3"/>
    <w:rsid w:val="00C737A7"/>
    <w:rPr>
      <w:rFonts w:ascii="Arial" w:hAnsi="Arial" w:cs="Arial"/>
      <w:b/>
      <w:bCs/>
      <w:sz w:val="26"/>
      <w:szCs w:val="26"/>
    </w:rPr>
  </w:style>
  <w:style w:type="paragraph" w:styleId="Header">
    <w:name w:val="header"/>
    <w:basedOn w:val="Normal"/>
    <w:link w:val="HeaderChar"/>
    <w:uiPriority w:val="99"/>
    <w:rsid w:val="00C737A7"/>
    <w:pPr>
      <w:tabs>
        <w:tab w:val="center" w:pos="4320"/>
        <w:tab w:val="right" w:pos="8640"/>
      </w:tabs>
    </w:pPr>
  </w:style>
  <w:style w:type="character" w:customStyle="1" w:styleId="HeaderChar">
    <w:name w:val="Header Char"/>
    <w:basedOn w:val="DefaultParagraphFont"/>
    <w:link w:val="Header"/>
    <w:uiPriority w:val="99"/>
    <w:rsid w:val="00C737A7"/>
    <w:rPr>
      <w:szCs w:val="24"/>
    </w:rPr>
  </w:style>
  <w:style w:type="paragraph" w:styleId="Footer">
    <w:name w:val="footer"/>
    <w:basedOn w:val="Normal"/>
    <w:link w:val="FooterChar"/>
    <w:uiPriority w:val="99"/>
    <w:rsid w:val="00C737A7"/>
    <w:pPr>
      <w:tabs>
        <w:tab w:val="center" w:pos="4320"/>
        <w:tab w:val="right" w:pos="8640"/>
      </w:tabs>
    </w:pPr>
  </w:style>
  <w:style w:type="character" w:customStyle="1" w:styleId="FooterChar">
    <w:name w:val="Footer Char"/>
    <w:basedOn w:val="DefaultParagraphFont"/>
    <w:link w:val="Footer"/>
    <w:uiPriority w:val="99"/>
    <w:rsid w:val="00C737A7"/>
    <w:rPr>
      <w:szCs w:val="24"/>
    </w:rPr>
  </w:style>
  <w:style w:type="paragraph" w:styleId="NormalWeb">
    <w:name w:val="Normal (Web)"/>
    <w:basedOn w:val="Normal"/>
    <w:uiPriority w:val="99"/>
    <w:unhideWhenUsed/>
    <w:rsid w:val="00C737A7"/>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rsid w:val="00695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5539"/>
    <w:pPr>
      <w:widowControl/>
      <w:autoSpaceDE/>
      <w:autoSpaceDN/>
      <w:adjustRightInd/>
      <w:spacing w:line="276" w:lineRule="auto"/>
      <w:outlineLvl w:val="9"/>
    </w:pPr>
  </w:style>
  <w:style w:type="paragraph" w:styleId="TOC2">
    <w:name w:val="toc 2"/>
    <w:basedOn w:val="Normal"/>
    <w:next w:val="Normal"/>
    <w:autoRedefine/>
    <w:uiPriority w:val="39"/>
    <w:rsid w:val="00695539"/>
    <w:pPr>
      <w:spacing w:after="100"/>
      <w:ind w:left="200"/>
    </w:pPr>
  </w:style>
  <w:style w:type="paragraph" w:styleId="TOC3">
    <w:name w:val="toc 3"/>
    <w:basedOn w:val="Normal"/>
    <w:next w:val="Normal"/>
    <w:autoRedefine/>
    <w:uiPriority w:val="39"/>
    <w:rsid w:val="00695539"/>
    <w:pPr>
      <w:spacing w:after="100"/>
      <w:ind w:left="400"/>
    </w:pPr>
  </w:style>
  <w:style w:type="character" w:styleId="Hyperlink">
    <w:name w:val="Hyperlink"/>
    <w:basedOn w:val="DefaultParagraphFont"/>
    <w:uiPriority w:val="99"/>
    <w:unhideWhenUsed/>
    <w:rsid w:val="00695539"/>
    <w:rPr>
      <w:color w:val="0000FF" w:themeColor="hyperlink"/>
      <w:u w:val="single"/>
    </w:rPr>
  </w:style>
  <w:style w:type="paragraph" w:styleId="BalloonText">
    <w:name w:val="Balloon Text"/>
    <w:basedOn w:val="Normal"/>
    <w:link w:val="BalloonTextChar"/>
    <w:rsid w:val="00695539"/>
    <w:rPr>
      <w:rFonts w:ascii="Tahoma" w:hAnsi="Tahoma" w:cs="Tahoma"/>
      <w:sz w:val="16"/>
      <w:szCs w:val="16"/>
    </w:rPr>
  </w:style>
  <w:style w:type="character" w:customStyle="1" w:styleId="BalloonTextChar">
    <w:name w:val="Balloon Text Char"/>
    <w:basedOn w:val="DefaultParagraphFont"/>
    <w:link w:val="BalloonText"/>
    <w:rsid w:val="00695539"/>
    <w:rPr>
      <w:rFonts w:ascii="Tahoma" w:hAnsi="Tahoma" w:cs="Tahoma"/>
      <w:sz w:val="16"/>
      <w:szCs w:val="16"/>
    </w:rPr>
  </w:style>
  <w:style w:type="character" w:styleId="CommentReference">
    <w:name w:val="annotation reference"/>
    <w:basedOn w:val="DefaultParagraphFont"/>
    <w:rsid w:val="00916B36"/>
    <w:rPr>
      <w:sz w:val="16"/>
      <w:szCs w:val="16"/>
    </w:rPr>
  </w:style>
  <w:style w:type="paragraph" w:styleId="CommentText">
    <w:name w:val="annotation text"/>
    <w:basedOn w:val="Normal"/>
    <w:link w:val="CommentTextChar"/>
    <w:rsid w:val="00916B36"/>
    <w:rPr>
      <w:szCs w:val="20"/>
    </w:rPr>
  </w:style>
  <w:style w:type="character" w:customStyle="1" w:styleId="CommentTextChar">
    <w:name w:val="Comment Text Char"/>
    <w:basedOn w:val="DefaultParagraphFont"/>
    <w:link w:val="CommentText"/>
    <w:rsid w:val="00916B36"/>
  </w:style>
  <w:style w:type="paragraph" w:styleId="CommentSubject">
    <w:name w:val="annotation subject"/>
    <w:basedOn w:val="CommentText"/>
    <w:next w:val="CommentText"/>
    <w:link w:val="CommentSubjectChar"/>
    <w:rsid w:val="00916B36"/>
    <w:rPr>
      <w:b/>
      <w:bCs/>
    </w:rPr>
  </w:style>
  <w:style w:type="character" w:customStyle="1" w:styleId="CommentSubjectChar">
    <w:name w:val="Comment Subject Char"/>
    <w:basedOn w:val="CommentTextChar"/>
    <w:link w:val="CommentSubject"/>
    <w:rsid w:val="00916B36"/>
    <w:rPr>
      <w:b/>
      <w:bCs/>
    </w:rPr>
  </w:style>
  <w:style w:type="table" w:styleId="TableGrid">
    <w:name w:val="Table Grid"/>
    <w:basedOn w:val="TableNormal"/>
    <w:rsid w:val="00910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ould@cdc.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277B6"/>
    <w:rsid w:val="00427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C4E1A7D0E443EB8862F4C9A77573A3">
    <w:name w:val="FFC4E1A7D0E443EB8862F4C9A77573A3"/>
    <w:rsid w:val="004277B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05F8C-D3F7-4A29-91BA-7B626946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2319</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cww6</dc:creator>
  <cp:keywords/>
  <dc:description/>
  <cp:lastModifiedBy>dgw8</cp:lastModifiedBy>
  <cp:revision>4</cp:revision>
  <cp:lastPrinted>2011-02-17T17:10:00Z</cp:lastPrinted>
  <dcterms:created xsi:type="dcterms:W3CDTF">2011-03-03T00:53:00Z</dcterms:created>
  <dcterms:modified xsi:type="dcterms:W3CDTF">2011-03-03T01:32:00Z</dcterms:modified>
</cp:coreProperties>
</file>