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D3" w:rsidRDefault="003527D3" w:rsidP="003527D3">
      <w:pPr>
        <w:pStyle w:val="Default"/>
      </w:pPr>
    </w:p>
    <w:p w:rsidR="003527D3" w:rsidRPr="003527D3" w:rsidRDefault="003527D3" w:rsidP="003527D3">
      <w:pPr>
        <w:pStyle w:val="Default"/>
        <w:jc w:val="center"/>
        <w:rPr>
          <w:b/>
        </w:rPr>
      </w:pPr>
      <w:r w:rsidRPr="003527D3">
        <w:rPr>
          <w:b/>
        </w:rPr>
        <w:t>SAMHSA Customer Satisfaction Survey</w:t>
      </w:r>
    </w:p>
    <w:p w:rsidR="003527D3" w:rsidRDefault="003527D3" w:rsidP="003527D3">
      <w:pPr>
        <w:pStyle w:val="Default"/>
        <w:jc w:val="center"/>
      </w:pPr>
      <w:r>
        <w:t>Center for Behavioral Health Statistics and Quality</w:t>
      </w:r>
    </w:p>
    <w:p w:rsidR="003527D3" w:rsidRDefault="003527D3" w:rsidP="003527D3">
      <w:pPr>
        <w:pStyle w:val="Default"/>
        <w:jc w:val="center"/>
      </w:pPr>
      <w:r>
        <w:t>Post Behavioral Health Data Users Conference Satisfaction Survey</w:t>
      </w:r>
    </w:p>
    <w:p w:rsidR="0003386B" w:rsidRDefault="0003386B" w:rsidP="003527D3">
      <w:pPr>
        <w:pStyle w:val="Default"/>
      </w:pPr>
    </w:p>
    <w:p w:rsidR="0003386B" w:rsidRPr="00A4429E" w:rsidRDefault="0003386B" w:rsidP="0003386B">
      <w:pPr>
        <w:pStyle w:val="Default"/>
        <w:numPr>
          <w:ilvl w:val="0"/>
          <w:numId w:val="1"/>
        </w:numPr>
        <w:rPr>
          <w:b/>
        </w:rPr>
      </w:pPr>
      <w:r w:rsidRPr="00A4429E">
        <w:rPr>
          <w:b/>
        </w:rPr>
        <w:t>Product/Activity to be Assessed</w:t>
      </w:r>
    </w:p>
    <w:p w:rsidR="003527D3" w:rsidRDefault="003527D3" w:rsidP="0003386B">
      <w:pPr>
        <w:pStyle w:val="Default"/>
      </w:pPr>
      <w:r>
        <w:t xml:space="preserve"> </w:t>
      </w:r>
    </w:p>
    <w:p w:rsidR="0003386B" w:rsidRDefault="0003386B" w:rsidP="0003386B">
      <w:pPr>
        <w:pStyle w:val="Default"/>
      </w:pPr>
      <w:r>
        <w:t>The Substance Abuse and Mental Health Services Administration’s (SAMHSA), Center for Behavioral Health and Statistics (CBHSQ) sponsored an initial Behavioral Health Data Users Conference from August 8-10, 2012. The purpose of the</w:t>
      </w:r>
      <w:r w:rsidR="00F73126">
        <w:t xml:space="preserve"> conference was to present the range of data CBHSQ collects on a variety of behavioral health topics as well as offer attendees the opportunity to </w:t>
      </w:r>
      <w:r w:rsidR="00C02821">
        <w:t>participate</w:t>
      </w:r>
      <w:r w:rsidR="00F73126">
        <w:t xml:space="preserve"> in hands</w:t>
      </w:r>
      <w:r w:rsidR="00C02821">
        <w:t>-on</w:t>
      </w:r>
      <w:r w:rsidR="00F73126">
        <w:t xml:space="preserve"> </w:t>
      </w:r>
      <w:r w:rsidR="00C02821">
        <w:t xml:space="preserve">data </w:t>
      </w:r>
      <w:r w:rsidR="00F73126">
        <w:t xml:space="preserve">training sessions with any of the three major data collections CBHSQ sponsors – this includes the National Survey on Drug Use and Health (NSDUH); the Drug Abuse Warning Network (DAWN); and the Behavioral Health Information Services System (BHSIS). </w:t>
      </w:r>
      <w:r w:rsidR="00A4429E">
        <w:t>Feedback from conference attendees will offer SAMHSA/CBHSQ</w:t>
      </w:r>
      <w:r w:rsidR="00D02AF2">
        <w:t xml:space="preserve"> </w:t>
      </w:r>
      <w:r w:rsidR="00A4429E">
        <w:t xml:space="preserve">vital information on what worked well, what didn’t work so well, and the types of sessions attendees would like to see in the future. For this reason, </w:t>
      </w:r>
      <w:r w:rsidR="00D02AF2">
        <w:t>CBHSQ is</w:t>
      </w:r>
      <w:r w:rsidR="00A4429E">
        <w:t xml:space="preserve"> requesting OMB approval for a customer satisfaction survey designed to solicit feedback from attendees at SAMHSA/CBHSQ’s</w:t>
      </w:r>
      <w:r w:rsidR="00D02AF2">
        <w:t xml:space="preserve"> </w:t>
      </w:r>
      <w:r w:rsidR="00A4429E">
        <w:t xml:space="preserve">initial Behavioral Health Data Users Conference. </w:t>
      </w:r>
    </w:p>
    <w:p w:rsidR="00F73126" w:rsidRDefault="00F73126" w:rsidP="0003386B">
      <w:pPr>
        <w:pStyle w:val="Default"/>
      </w:pPr>
    </w:p>
    <w:p w:rsidR="00485BAC" w:rsidRDefault="00485BAC" w:rsidP="0003386B">
      <w:pPr>
        <w:pStyle w:val="Default"/>
      </w:pPr>
      <w:r>
        <w:t xml:space="preserve">Attachment 1 includes the survey questions </w:t>
      </w:r>
      <w:r w:rsidR="00C02821">
        <w:t>CBHSQ wants to ask</w:t>
      </w:r>
      <w:r>
        <w:t xml:space="preserve"> for assessing attendee satisfaction with the conference presentations and </w:t>
      </w:r>
      <w:r w:rsidR="00A41FD5">
        <w:t xml:space="preserve">the </w:t>
      </w:r>
      <w:r w:rsidR="00C02821">
        <w:t xml:space="preserve">hands-on </w:t>
      </w:r>
      <w:r>
        <w:t xml:space="preserve">data training sessions. The survey primarily includes </w:t>
      </w:r>
      <w:proofErr w:type="spellStart"/>
      <w:r>
        <w:t>Likert</w:t>
      </w:r>
      <w:proofErr w:type="spellEnd"/>
      <w:r>
        <w:t xml:space="preserve"> scale items (strongly agree, agree, disagree, strongly disagree,  and not applicable) and open-ended feedback questions. </w:t>
      </w:r>
      <w:r w:rsidR="00D02AF2">
        <w:t xml:space="preserve">CBHSQ would </w:t>
      </w:r>
      <w:r>
        <w:t xml:space="preserve">like to administer the survey within 30 days post data conference. </w:t>
      </w:r>
    </w:p>
    <w:p w:rsidR="00485BAC" w:rsidRDefault="00485BAC" w:rsidP="0003386B">
      <w:pPr>
        <w:pStyle w:val="Default"/>
      </w:pPr>
    </w:p>
    <w:p w:rsidR="00F73126" w:rsidRPr="00C11E25" w:rsidRDefault="00A4429E" w:rsidP="00A4429E">
      <w:pPr>
        <w:pStyle w:val="Default"/>
        <w:numPr>
          <w:ilvl w:val="0"/>
          <w:numId w:val="1"/>
        </w:numPr>
        <w:rPr>
          <w:b/>
        </w:rPr>
      </w:pPr>
      <w:r w:rsidRPr="00C11E25">
        <w:rPr>
          <w:b/>
        </w:rPr>
        <w:t>Brief Statement of Objectives</w:t>
      </w:r>
    </w:p>
    <w:p w:rsidR="0003386B" w:rsidRDefault="0003386B" w:rsidP="0003386B">
      <w:pPr>
        <w:pStyle w:val="Default"/>
      </w:pPr>
    </w:p>
    <w:p w:rsidR="0003386B" w:rsidRDefault="00485BAC" w:rsidP="0003386B">
      <w:pPr>
        <w:pStyle w:val="Default"/>
        <w:rPr>
          <w:sz w:val="23"/>
          <w:szCs w:val="23"/>
        </w:rPr>
      </w:pPr>
      <w:r>
        <w:rPr>
          <w:sz w:val="23"/>
          <w:szCs w:val="23"/>
        </w:rPr>
        <w:t xml:space="preserve">The survey will assess attendee satisfaction with the conference presentations and </w:t>
      </w:r>
      <w:r w:rsidR="00A41FD5">
        <w:rPr>
          <w:sz w:val="23"/>
          <w:szCs w:val="23"/>
        </w:rPr>
        <w:t xml:space="preserve">the hands-on </w:t>
      </w:r>
      <w:r>
        <w:rPr>
          <w:sz w:val="23"/>
          <w:szCs w:val="23"/>
        </w:rPr>
        <w:t xml:space="preserve">data training sessions. The data collected from the surveys will include the following components: </w:t>
      </w:r>
    </w:p>
    <w:p w:rsidR="00485BAC" w:rsidRDefault="00485BAC" w:rsidP="0003386B">
      <w:pPr>
        <w:pStyle w:val="Default"/>
        <w:rPr>
          <w:sz w:val="23"/>
          <w:szCs w:val="23"/>
        </w:rPr>
      </w:pPr>
    </w:p>
    <w:p w:rsidR="00485BAC" w:rsidRDefault="00C11E25" w:rsidP="00C11E25">
      <w:pPr>
        <w:pStyle w:val="Default"/>
        <w:numPr>
          <w:ilvl w:val="0"/>
          <w:numId w:val="3"/>
        </w:numPr>
        <w:rPr>
          <w:sz w:val="23"/>
          <w:szCs w:val="23"/>
        </w:rPr>
      </w:pPr>
      <w:r>
        <w:rPr>
          <w:sz w:val="23"/>
          <w:szCs w:val="23"/>
        </w:rPr>
        <w:t xml:space="preserve">Specific satisfaction – responses will determine mean satisfaction across multiple items, indicating the extent to which conference attendees were satisfied with the conference accommodations, behavioral health data topic presentations, and </w:t>
      </w:r>
      <w:r w:rsidR="00A41FD5">
        <w:rPr>
          <w:sz w:val="23"/>
          <w:szCs w:val="23"/>
        </w:rPr>
        <w:t>hands-on</w:t>
      </w:r>
      <w:r>
        <w:rPr>
          <w:sz w:val="23"/>
          <w:szCs w:val="23"/>
        </w:rPr>
        <w:t xml:space="preserve"> data training sessions. </w:t>
      </w:r>
    </w:p>
    <w:p w:rsidR="00C11E25" w:rsidRDefault="00C11E25" w:rsidP="00C11E25">
      <w:pPr>
        <w:pStyle w:val="Default"/>
        <w:numPr>
          <w:ilvl w:val="0"/>
          <w:numId w:val="3"/>
        </w:numPr>
        <w:rPr>
          <w:sz w:val="23"/>
          <w:szCs w:val="23"/>
        </w:rPr>
      </w:pPr>
      <w:r>
        <w:rPr>
          <w:sz w:val="23"/>
          <w:szCs w:val="23"/>
        </w:rPr>
        <w:t xml:space="preserve">Personal satisfaction – responses will include comments and recommendations on all conference activities (i.e., plenary sessions, behavioral health data topic presentations, and </w:t>
      </w:r>
      <w:r w:rsidR="00A41FD5">
        <w:rPr>
          <w:sz w:val="23"/>
          <w:szCs w:val="23"/>
        </w:rPr>
        <w:t>hands-on</w:t>
      </w:r>
      <w:r>
        <w:rPr>
          <w:sz w:val="23"/>
          <w:szCs w:val="23"/>
        </w:rPr>
        <w:t xml:space="preserve"> data training sessions) as well as insight into their needs to be covered in possible future conferences. </w:t>
      </w:r>
    </w:p>
    <w:p w:rsidR="003527D3" w:rsidRDefault="003527D3" w:rsidP="003527D3">
      <w:pPr>
        <w:pStyle w:val="Default"/>
        <w:rPr>
          <w:sz w:val="23"/>
          <w:szCs w:val="23"/>
        </w:rPr>
      </w:pPr>
    </w:p>
    <w:p w:rsidR="00C11E25" w:rsidRDefault="00C11E25" w:rsidP="003527D3">
      <w:pPr>
        <w:pStyle w:val="Default"/>
        <w:rPr>
          <w:sz w:val="23"/>
          <w:szCs w:val="23"/>
        </w:rPr>
      </w:pPr>
      <w:r>
        <w:rPr>
          <w:sz w:val="23"/>
          <w:szCs w:val="23"/>
        </w:rPr>
        <w:t xml:space="preserve">CBHSQ will use the </w:t>
      </w:r>
      <w:r w:rsidR="00C02821">
        <w:rPr>
          <w:sz w:val="23"/>
          <w:szCs w:val="23"/>
        </w:rPr>
        <w:t xml:space="preserve">survey </w:t>
      </w:r>
      <w:r>
        <w:rPr>
          <w:sz w:val="23"/>
          <w:szCs w:val="23"/>
        </w:rPr>
        <w:t>da</w:t>
      </w:r>
      <w:r w:rsidR="00A41FD5">
        <w:rPr>
          <w:sz w:val="23"/>
          <w:szCs w:val="23"/>
        </w:rPr>
        <w:t xml:space="preserve">ta to assess the success of this initial data users </w:t>
      </w:r>
      <w:r>
        <w:rPr>
          <w:sz w:val="23"/>
          <w:szCs w:val="23"/>
        </w:rPr>
        <w:t>conference</w:t>
      </w:r>
      <w:r w:rsidR="00A41FD5">
        <w:rPr>
          <w:sz w:val="23"/>
          <w:szCs w:val="23"/>
        </w:rPr>
        <w:t xml:space="preserve">. Should CBHSQ plan future conferences the information from this survey can be used in planning to help build off the initial conference experience by more fully addressing the needs and interests of the </w:t>
      </w:r>
      <w:r>
        <w:rPr>
          <w:sz w:val="23"/>
          <w:szCs w:val="23"/>
        </w:rPr>
        <w:t>behavioral health data user</w:t>
      </w:r>
      <w:r w:rsidR="00C02821">
        <w:rPr>
          <w:sz w:val="23"/>
          <w:szCs w:val="23"/>
        </w:rPr>
        <w:t xml:space="preserve"> community</w:t>
      </w:r>
      <w:r>
        <w:rPr>
          <w:sz w:val="23"/>
          <w:szCs w:val="23"/>
        </w:rPr>
        <w:t xml:space="preserve">. Analysis of the data will </w:t>
      </w:r>
      <w:r>
        <w:rPr>
          <w:sz w:val="23"/>
          <w:szCs w:val="23"/>
        </w:rPr>
        <w:lastRenderedPageBreak/>
        <w:t xml:space="preserve">include computing descriptive statistics on the </w:t>
      </w:r>
      <w:proofErr w:type="spellStart"/>
      <w:r>
        <w:rPr>
          <w:sz w:val="23"/>
          <w:szCs w:val="23"/>
        </w:rPr>
        <w:t>Likert</w:t>
      </w:r>
      <w:proofErr w:type="spellEnd"/>
      <w:r>
        <w:rPr>
          <w:sz w:val="23"/>
          <w:szCs w:val="23"/>
        </w:rPr>
        <w:t xml:space="preserve"> scale items and summarizing the open-ended comments and recommendations. </w:t>
      </w:r>
    </w:p>
    <w:p w:rsidR="00C11E25" w:rsidRDefault="00C11E25" w:rsidP="003527D3">
      <w:pPr>
        <w:pStyle w:val="Default"/>
        <w:rPr>
          <w:sz w:val="23"/>
          <w:szCs w:val="23"/>
        </w:rPr>
      </w:pPr>
    </w:p>
    <w:p w:rsidR="00C11E25" w:rsidRPr="00112CE2" w:rsidRDefault="00112CE2" w:rsidP="00112CE2">
      <w:pPr>
        <w:pStyle w:val="Default"/>
        <w:numPr>
          <w:ilvl w:val="0"/>
          <w:numId w:val="1"/>
        </w:numPr>
        <w:rPr>
          <w:b/>
          <w:sz w:val="23"/>
          <w:szCs w:val="23"/>
        </w:rPr>
      </w:pPr>
      <w:r w:rsidRPr="00112CE2">
        <w:rPr>
          <w:b/>
          <w:sz w:val="23"/>
          <w:szCs w:val="23"/>
        </w:rPr>
        <w:t>Overview of Methods to Collect the Information</w:t>
      </w:r>
    </w:p>
    <w:p w:rsidR="00112CE2" w:rsidRDefault="00112CE2" w:rsidP="00112CE2">
      <w:pPr>
        <w:pStyle w:val="Default"/>
        <w:rPr>
          <w:sz w:val="23"/>
          <w:szCs w:val="23"/>
        </w:rPr>
      </w:pPr>
    </w:p>
    <w:p w:rsidR="00112CE2" w:rsidRPr="00112CE2" w:rsidRDefault="00112CE2" w:rsidP="00112CE2">
      <w:pPr>
        <w:pStyle w:val="Default"/>
        <w:rPr>
          <w:b/>
          <w:sz w:val="23"/>
          <w:szCs w:val="23"/>
        </w:rPr>
      </w:pPr>
      <w:r w:rsidRPr="00112CE2">
        <w:rPr>
          <w:b/>
          <w:sz w:val="23"/>
          <w:szCs w:val="23"/>
        </w:rPr>
        <w:t>Data collection method</w:t>
      </w:r>
    </w:p>
    <w:p w:rsidR="00112CE2" w:rsidRDefault="00112CE2" w:rsidP="00112CE2">
      <w:pPr>
        <w:pStyle w:val="Default"/>
        <w:numPr>
          <w:ilvl w:val="0"/>
          <w:numId w:val="3"/>
        </w:numPr>
        <w:rPr>
          <w:sz w:val="23"/>
          <w:szCs w:val="23"/>
        </w:rPr>
      </w:pPr>
      <w:r>
        <w:rPr>
          <w:sz w:val="23"/>
          <w:szCs w:val="23"/>
        </w:rPr>
        <w:t xml:space="preserve">CBHSQs conference logistics contractor will use </w:t>
      </w:r>
      <w:proofErr w:type="spellStart"/>
      <w:r w:rsidR="00C02821">
        <w:rPr>
          <w:sz w:val="23"/>
          <w:szCs w:val="23"/>
        </w:rPr>
        <w:t>Qualtrics</w:t>
      </w:r>
      <w:proofErr w:type="spellEnd"/>
      <w:r w:rsidR="00C02821">
        <w:rPr>
          <w:sz w:val="23"/>
          <w:szCs w:val="23"/>
        </w:rPr>
        <w:t xml:space="preserve"> (</w:t>
      </w:r>
      <w:hyperlink r:id="rId7" w:history="1">
        <w:r w:rsidR="00C02821" w:rsidRPr="007173AE">
          <w:rPr>
            <w:rStyle w:val="Hyperlink"/>
            <w:sz w:val="23"/>
            <w:szCs w:val="23"/>
          </w:rPr>
          <w:t>https://www.qualtrics.com</w:t>
        </w:r>
      </w:hyperlink>
      <w:r w:rsidR="00C02821">
        <w:rPr>
          <w:sz w:val="23"/>
          <w:szCs w:val="23"/>
        </w:rPr>
        <w:t xml:space="preserve">) </w:t>
      </w:r>
      <w:r>
        <w:rPr>
          <w:sz w:val="23"/>
          <w:szCs w:val="23"/>
        </w:rPr>
        <w:t xml:space="preserve">to administer to the individuals who registered and attended the conference. The survey invitation will be distributed by email with an electronic link to </w:t>
      </w:r>
      <w:proofErr w:type="spellStart"/>
      <w:r w:rsidR="00C02821">
        <w:rPr>
          <w:sz w:val="23"/>
          <w:szCs w:val="23"/>
        </w:rPr>
        <w:t>Qualtrics</w:t>
      </w:r>
      <w:proofErr w:type="spellEnd"/>
      <w:r>
        <w:rPr>
          <w:sz w:val="23"/>
          <w:szCs w:val="23"/>
        </w:rPr>
        <w:t xml:space="preserve">. </w:t>
      </w:r>
    </w:p>
    <w:p w:rsidR="00112CE2" w:rsidRDefault="00112CE2" w:rsidP="00112CE2">
      <w:pPr>
        <w:pStyle w:val="Default"/>
        <w:rPr>
          <w:sz w:val="23"/>
          <w:szCs w:val="23"/>
        </w:rPr>
      </w:pPr>
    </w:p>
    <w:p w:rsidR="00112CE2" w:rsidRPr="00112CE2" w:rsidRDefault="00112CE2" w:rsidP="00112CE2">
      <w:pPr>
        <w:pStyle w:val="Default"/>
        <w:rPr>
          <w:b/>
          <w:sz w:val="23"/>
          <w:szCs w:val="23"/>
        </w:rPr>
      </w:pPr>
      <w:r w:rsidRPr="00112CE2">
        <w:rPr>
          <w:b/>
          <w:sz w:val="23"/>
          <w:szCs w:val="23"/>
        </w:rPr>
        <w:t>Method for identifying respondents</w:t>
      </w:r>
    </w:p>
    <w:p w:rsidR="00112CE2" w:rsidRDefault="00112CE2" w:rsidP="00112CE2">
      <w:pPr>
        <w:pStyle w:val="Default"/>
        <w:numPr>
          <w:ilvl w:val="0"/>
          <w:numId w:val="3"/>
        </w:numPr>
        <w:rPr>
          <w:sz w:val="23"/>
          <w:szCs w:val="23"/>
        </w:rPr>
      </w:pPr>
      <w:r>
        <w:rPr>
          <w:sz w:val="23"/>
          <w:szCs w:val="23"/>
        </w:rPr>
        <w:t xml:space="preserve">All registered conference attendees will be offered the voluntary opportunity to complete the survey through </w:t>
      </w:r>
      <w:proofErr w:type="spellStart"/>
      <w:r w:rsidR="00C02821">
        <w:rPr>
          <w:sz w:val="23"/>
          <w:szCs w:val="23"/>
        </w:rPr>
        <w:t>Qualtrics</w:t>
      </w:r>
      <w:proofErr w:type="spellEnd"/>
      <w:r>
        <w:rPr>
          <w:sz w:val="23"/>
          <w:szCs w:val="23"/>
        </w:rPr>
        <w:t xml:space="preserve">. </w:t>
      </w:r>
    </w:p>
    <w:p w:rsidR="00112CE2" w:rsidRDefault="00112CE2" w:rsidP="00112CE2">
      <w:pPr>
        <w:pStyle w:val="Default"/>
        <w:rPr>
          <w:sz w:val="23"/>
          <w:szCs w:val="23"/>
        </w:rPr>
      </w:pPr>
    </w:p>
    <w:p w:rsidR="00112CE2" w:rsidRPr="00112CE2" w:rsidRDefault="00112CE2" w:rsidP="00112CE2">
      <w:pPr>
        <w:pStyle w:val="Default"/>
        <w:rPr>
          <w:b/>
          <w:sz w:val="23"/>
          <w:szCs w:val="23"/>
        </w:rPr>
      </w:pPr>
      <w:r w:rsidRPr="00112CE2">
        <w:rPr>
          <w:b/>
          <w:sz w:val="23"/>
          <w:szCs w:val="23"/>
        </w:rPr>
        <w:t>Proposed sample size and rationale</w:t>
      </w:r>
    </w:p>
    <w:p w:rsidR="00112CE2" w:rsidRDefault="00112CE2" w:rsidP="00112CE2">
      <w:pPr>
        <w:pStyle w:val="Default"/>
        <w:numPr>
          <w:ilvl w:val="0"/>
          <w:numId w:val="3"/>
        </w:numPr>
        <w:rPr>
          <w:sz w:val="23"/>
          <w:szCs w:val="23"/>
        </w:rPr>
      </w:pPr>
      <w:r>
        <w:rPr>
          <w:sz w:val="23"/>
          <w:szCs w:val="23"/>
        </w:rPr>
        <w:t xml:space="preserve">Approximately 250 individuals attended the conference. </w:t>
      </w:r>
    </w:p>
    <w:p w:rsidR="00112CE2" w:rsidRDefault="00112CE2" w:rsidP="00112CE2">
      <w:pPr>
        <w:pStyle w:val="Default"/>
        <w:rPr>
          <w:sz w:val="23"/>
          <w:szCs w:val="23"/>
        </w:rPr>
      </w:pPr>
    </w:p>
    <w:p w:rsidR="00112CE2" w:rsidRPr="00112CE2" w:rsidRDefault="00112CE2" w:rsidP="00112CE2">
      <w:pPr>
        <w:pStyle w:val="Default"/>
        <w:rPr>
          <w:b/>
          <w:sz w:val="23"/>
          <w:szCs w:val="23"/>
        </w:rPr>
      </w:pPr>
      <w:r w:rsidRPr="00112CE2">
        <w:rPr>
          <w:b/>
          <w:sz w:val="23"/>
          <w:szCs w:val="23"/>
        </w:rPr>
        <w:t>Planned frequency of information collection</w:t>
      </w:r>
    </w:p>
    <w:p w:rsidR="00112CE2" w:rsidRDefault="00C02821" w:rsidP="00112CE2">
      <w:pPr>
        <w:pStyle w:val="Default"/>
        <w:numPr>
          <w:ilvl w:val="0"/>
          <w:numId w:val="3"/>
        </w:numPr>
        <w:rPr>
          <w:sz w:val="23"/>
          <w:szCs w:val="23"/>
        </w:rPr>
      </w:pPr>
      <w:r>
        <w:rPr>
          <w:sz w:val="23"/>
          <w:szCs w:val="23"/>
        </w:rPr>
        <w:t xml:space="preserve">The </w:t>
      </w:r>
      <w:r w:rsidR="00D02AF2">
        <w:rPr>
          <w:sz w:val="23"/>
          <w:szCs w:val="23"/>
        </w:rPr>
        <w:t xml:space="preserve">CBHSQ’s </w:t>
      </w:r>
      <w:r w:rsidR="00112CE2">
        <w:rPr>
          <w:sz w:val="23"/>
          <w:szCs w:val="23"/>
        </w:rPr>
        <w:t xml:space="preserve">conference logistics contractor will administer the survey one time, with </w:t>
      </w:r>
      <w:r w:rsidR="00D02AF2">
        <w:rPr>
          <w:sz w:val="23"/>
          <w:szCs w:val="23"/>
        </w:rPr>
        <w:t xml:space="preserve">two </w:t>
      </w:r>
      <w:r w:rsidR="00112CE2">
        <w:rPr>
          <w:sz w:val="23"/>
          <w:szCs w:val="23"/>
        </w:rPr>
        <w:t>planned non-response follow-up</w:t>
      </w:r>
      <w:r w:rsidR="00D02AF2">
        <w:rPr>
          <w:sz w:val="23"/>
          <w:szCs w:val="23"/>
        </w:rPr>
        <w:t>s</w:t>
      </w:r>
      <w:r w:rsidR="00112CE2">
        <w:rPr>
          <w:sz w:val="23"/>
          <w:szCs w:val="23"/>
        </w:rPr>
        <w:t xml:space="preserve">. </w:t>
      </w:r>
    </w:p>
    <w:p w:rsidR="00112CE2" w:rsidRDefault="00112CE2" w:rsidP="00112CE2">
      <w:pPr>
        <w:pStyle w:val="Default"/>
        <w:rPr>
          <w:sz w:val="23"/>
          <w:szCs w:val="23"/>
        </w:rPr>
      </w:pPr>
    </w:p>
    <w:p w:rsidR="00112CE2" w:rsidRPr="00B35D4E" w:rsidRDefault="00112CE2" w:rsidP="00112CE2">
      <w:pPr>
        <w:pStyle w:val="Default"/>
        <w:rPr>
          <w:b/>
          <w:sz w:val="23"/>
          <w:szCs w:val="23"/>
        </w:rPr>
      </w:pPr>
      <w:r w:rsidRPr="00B35D4E">
        <w:rPr>
          <w:b/>
          <w:sz w:val="23"/>
          <w:szCs w:val="23"/>
        </w:rPr>
        <w:t>Time period over which the information will be collected</w:t>
      </w:r>
    </w:p>
    <w:p w:rsidR="00112CE2" w:rsidRDefault="00112CE2" w:rsidP="00112CE2">
      <w:pPr>
        <w:pStyle w:val="Default"/>
        <w:numPr>
          <w:ilvl w:val="0"/>
          <w:numId w:val="3"/>
        </w:numPr>
        <w:rPr>
          <w:sz w:val="23"/>
          <w:szCs w:val="23"/>
        </w:rPr>
      </w:pPr>
      <w:r>
        <w:rPr>
          <w:sz w:val="23"/>
          <w:szCs w:val="23"/>
        </w:rPr>
        <w:t>The survey will remain active for four weeks</w:t>
      </w:r>
      <w:r w:rsidR="00D02AF2">
        <w:rPr>
          <w:sz w:val="23"/>
          <w:szCs w:val="23"/>
        </w:rPr>
        <w:t xml:space="preserve"> (30 days)</w:t>
      </w:r>
      <w:r>
        <w:rPr>
          <w:sz w:val="23"/>
          <w:szCs w:val="23"/>
        </w:rPr>
        <w:t xml:space="preserve">. This allows for an initial non-response follow-up after </w:t>
      </w:r>
      <w:r w:rsidR="00D02AF2">
        <w:rPr>
          <w:sz w:val="23"/>
          <w:szCs w:val="23"/>
        </w:rPr>
        <w:t>week 1</w:t>
      </w:r>
      <w:r>
        <w:rPr>
          <w:sz w:val="23"/>
          <w:szCs w:val="23"/>
        </w:rPr>
        <w:t xml:space="preserve"> and a second non-response follow-up after</w:t>
      </w:r>
      <w:r w:rsidR="00D02AF2">
        <w:rPr>
          <w:sz w:val="23"/>
          <w:szCs w:val="23"/>
        </w:rPr>
        <w:t xml:space="preserve"> week 3</w:t>
      </w:r>
      <w:r>
        <w:rPr>
          <w:sz w:val="23"/>
          <w:szCs w:val="23"/>
        </w:rPr>
        <w:t xml:space="preserve">. </w:t>
      </w:r>
    </w:p>
    <w:p w:rsidR="00112CE2" w:rsidRDefault="00112CE2" w:rsidP="00112CE2">
      <w:pPr>
        <w:pStyle w:val="Default"/>
        <w:rPr>
          <w:sz w:val="23"/>
          <w:szCs w:val="23"/>
        </w:rPr>
      </w:pPr>
    </w:p>
    <w:p w:rsidR="00112CE2" w:rsidRPr="00B35D4E" w:rsidRDefault="00112CE2" w:rsidP="00112CE2">
      <w:pPr>
        <w:pStyle w:val="Default"/>
        <w:rPr>
          <w:b/>
          <w:sz w:val="23"/>
          <w:szCs w:val="23"/>
        </w:rPr>
      </w:pPr>
      <w:r w:rsidRPr="00B35D4E">
        <w:rPr>
          <w:b/>
          <w:sz w:val="23"/>
          <w:szCs w:val="23"/>
        </w:rPr>
        <w:t>Expected response rate and plan for follow-up, if any, of non-respondents</w:t>
      </w:r>
    </w:p>
    <w:p w:rsidR="00112CE2" w:rsidRDefault="00D02AF2" w:rsidP="00B35D4E">
      <w:pPr>
        <w:pStyle w:val="Default"/>
        <w:numPr>
          <w:ilvl w:val="0"/>
          <w:numId w:val="3"/>
        </w:numPr>
        <w:rPr>
          <w:sz w:val="23"/>
          <w:szCs w:val="23"/>
        </w:rPr>
      </w:pPr>
      <w:r>
        <w:rPr>
          <w:sz w:val="23"/>
          <w:szCs w:val="23"/>
        </w:rPr>
        <w:t>CBHSQ has</w:t>
      </w:r>
      <w:r w:rsidR="00B35D4E">
        <w:rPr>
          <w:sz w:val="23"/>
          <w:szCs w:val="23"/>
        </w:rPr>
        <w:t xml:space="preserve"> no set expectations for an achievable response rate based on prior experience. </w:t>
      </w:r>
      <w:r w:rsidR="00C02821">
        <w:rPr>
          <w:sz w:val="23"/>
          <w:szCs w:val="23"/>
        </w:rPr>
        <w:t>Ideally</w:t>
      </w:r>
      <w:r w:rsidR="00A41FD5">
        <w:rPr>
          <w:sz w:val="23"/>
          <w:szCs w:val="23"/>
        </w:rPr>
        <w:t xml:space="preserve"> </w:t>
      </w:r>
      <w:r w:rsidR="00C02821">
        <w:rPr>
          <w:sz w:val="23"/>
          <w:szCs w:val="23"/>
        </w:rPr>
        <w:t xml:space="preserve">CBHSQ prefers a response rate of </w:t>
      </w:r>
      <w:r w:rsidR="00B35D4E">
        <w:rPr>
          <w:sz w:val="23"/>
          <w:szCs w:val="23"/>
        </w:rPr>
        <w:t xml:space="preserve">80 percent </w:t>
      </w:r>
      <w:r w:rsidR="00C02821">
        <w:rPr>
          <w:sz w:val="23"/>
          <w:szCs w:val="23"/>
        </w:rPr>
        <w:t>or higher</w:t>
      </w:r>
      <w:r w:rsidR="00B35D4E">
        <w:rPr>
          <w:sz w:val="23"/>
          <w:szCs w:val="23"/>
        </w:rPr>
        <w:t xml:space="preserve"> based on the initial email invitation and two non-response follow-ups staged after week 1 and week 3. </w:t>
      </w:r>
    </w:p>
    <w:p w:rsidR="00B35D4E" w:rsidRDefault="00B35D4E" w:rsidP="00B35D4E">
      <w:pPr>
        <w:pStyle w:val="Default"/>
        <w:rPr>
          <w:sz w:val="23"/>
          <w:szCs w:val="23"/>
        </w:rPr>
      </w:pPr>
    </w:p>
    <w:p w:rsidR="00B35D4E" w:rsidRPr="00B35D4E" w:rsidRDefault="00B35D4E" w:rsidP="00B35D4E">
      <w:pPr>
        <w:pStyle w:val="Default"/>
        <w:rPr>
          <w:b/>
          <w:sz w:val="23"/>
          <w:szCs w:val="23"/>
        </w:rPr>
      </w:pPr>
      <w:r w:rsidRPr="00B35D4E">
        <w:rPr>
          <w:b/>
          <w:sz w:val="23"/>
          <w:szCs w:val="23"/>
        </w:rPr>
        <w:t>Expected ability to assess non-response bias using existing information</w:t>
      </w:r>
    </w:p>
    <w:p w:rsidR="00B35D4E" w:rsidRDefault="00D02AF2" w:rsidP="00B35D4E">
      <w:pPr>
        <w:pStyle w:val="Default"/>
        <w:numPr>
          <w:ilvl w:val="0"/>
          <w:numId w:val="3"/>
        </w:numPr>
        <w:rPr>
          <w:sz w:val="23"/>
          <w:szCs w:val="23"/>
        </w:rPr>
      </w:pPr>
      <w:r>
        <w:rPr>
          <w:sz w:val="23"/>
          <w:szCs w:val="23"/>
        </w:rPr>
        <w:t xml:space="preserve">CBHSQ does not </w:t>
      </w:r>
      <w:r w:rsidR="00B35D4E">
        <w:rPr>
          <w:sz w:val="23"/>
          <w:szCs w:val="23"/>
        </w:rPr>
        <w:t>anticipate any non-response bias</w:t>
      </w:r>
      <w:r>
        <w:rPr>
          <w:sz w:val="23"/>
          <w:szCs w:val="23"/>
        </w:rPr>
        <w:t xml:space="preserve">. There is also not enough information about the conference attendees to fully assess any true bias between respondents and non-respondents. </w:t>
      </w:r>
      <w:r w:rsidR="00B35D4E">
        <w:rPr>
          <w:sz w:val="23"/>
          <w:szCs w:val="23"/>
        </w:rPr>
        <w:t xml:space="preserve">  </w:t>
      </w:r>
    </w:p>
    <w:p w:rsidR="00B35D4E" w:rsidRDefault="00B35D4E" w:rsidP="00B35D4E">
      <w:pPr>
        <w:pStyle w:val="Default"/>
        <w:rPr>
          <w:sz w:val="23"/>
          <w:szCs w:val="23"/>
        </w:rPr>
      </w:pPr>
    </w:p>
    <w:p w:rsidR="003E681B" w:rsidRPr="003E681B" w:rsidRDefault="003E681B" w:rsidP="00B35D4E">
      <w:pPr>
        <w:pStyle w:val="Default"/>
        <w:rPr>
          <w:b/>
          <w:sz w:val="23"/>
          <w:szCs w:val="23"/>
        </w:rPr>
      </w:pPr>
      <w:r w:rsidRPr="003E681B">
        <w:rPr>
          <w:b/>
          <w:sz w:val="23"/>
          <w:szCs w:val="23"/>
        </w:rPr>
        <w:t>Methods used to maintain customer privacy</w:t>
      </w:r>
    </w:p>
    <w:p w:rsidR="003E681B" w:rsidRDefault="003E681B" w:rsidP="003E681B">
      <w:pPr>
        <w:pStyle w:val="Default"/>
        <w:numPr>
          <w:ilvl w:val="0"/>
          <w:numId w:val="3"/>
        </w:numPr>
        <w:rPr>
          <w:sz w:val="23"/>
          <w:szCs w:val="23"/>
        </w:rPr>
      </w:pPr>
      <w:r>
        <w:rPr>
          <w:sz w:val="23"/>
          <w:szCs w:val="23"/>
        </w:rPr>
        <w:t>The survey will not include any questio</w:t>
      </w:r>
      <w:r w:rsidR="00C02821">
        <w:rPr>
          <w:sz w:val="23"/>
          <w:szCs w:val="23"/>
        </w:rPr>
        <w:t xml:space="preserve">ns seeking names or emails. </w:t>
      </w:r>
      <w:proofErr w:type="spellStart"/>
      <w:r w:rsidR="00C02821">
        <w:rPr>
          <w:sz w:val="23"/>
          <w:szCs w:val="23"/>
        </w:rPr>
        <w:t>Qualtrics</w:t>
      </w:r>
      <w:proofErr w:type="spellEnd"/>
      <w:r w:rsidR="00C02821">
        <w:rPr>
          <w:sz w:val="23"/>
          <w:szCs w:val="23"/>
        </w:rPr>
        <w:t xml:space="preserve"> includes features for ensuring data collected from surveys remains anonymous. </w:t>
      </w:r>
    </w:p>
    <w:p w:rsidR="00112CE2" w:rsidRDefault="00112CE2" w:rsidP="00112CE2">
      <w:pPr>
        <w:pStyle w:val="Default"/>
        <w:rPr>
          <w:sz w:val="23"/>
          <w:szCs w:val="23"/>
        </w:rPr>
      </w:pPr>
    </w:p>
    <w:p w:rsidR="003E681B" w:rsidRPr="003E681B" w:rsidRDefault="003E681B" w:rsidP="003E681B">
      <w:pPr>
        <w:pStyle w:val="Default"/>
        <w:numPr>
          <w:ilvl w:val="0"/>
          <w:numId w:val="1"/>
        </w:numPr>
        <w:rPr>
          <w:b/>
          <w:sz w:val="23"/>
          <w:szCs w:val="23"/>
        </w:rPr>
      </w:pPr>
      <w:r w:rsidRPr="003E681B">
        <w:rPr>
          <w:b/>
          <w:sz w:val="23"/>
          <w:szCs w:val="23"/>
        </w:rPr>
        <w:t>Annual Response Burden Estimate</w:t>
      </w:r>
    </w:p>
    <w:p w:rsidR="003E681B" w:rsidRDefault="003E681B" w:rsidP="003E681B">
      <w:pPr>
        <w:pStyle w:val="Default"/>
        <w:rPr>
          <w:sz w:val="23"/>
          <w:szCs w:val="23"/>
        </w:rPr>
      </w:pPr>
    </w:p>
    <w:tbl>
      <w:tblPr>
        <w:tblStyle w:val="TableGrid"/>
        <w:tblW w:w="9900" w:type="dxa"/>
        <w:tblInd w:w="-522" w:type="dxa"/>
        <w:tblLayout w:type="fixed"/>
        <w:tblLook w:val="04A0"/>
      </w:tblPr>
      <w:tblGrid>
        <w:gridCol w:w="1980"/>
        <w:gridCol w:w="1260"/>
        <w:gridCol w:w="1710"/>
        <w:gridCol w:w="1350"/>
        <w:gridCol w:w="1080"/>
        <w:gridCol w:w="1050"/>
        <w:gridCol w:w="1470"/>
      </w:tblGrid>
      <w:tr w:rsidR="003E681B" w:rsidTr="003E681B">
        <w:tc>
          <w:tcPr>
            <w:tcW w:w="1980" w:type="dxa"/>
          </w:tcPr>
          <w:p w:rsidR="003E681B" w:rsidRPr="003E681B" w:rsidRDefault="003E681B" w:rsidP="003E681B">
            <w:pPr>
              <w:pStyle w:val="Default"/>
              <w:jc w:val="center"/>
              <w:rPr>
                <w:sz w:val="20"/>
                <w:szCs w:val="20"/>
              </w:rPr>
            </w:pPr>
            <w:r w:rsidRPr="003E681B">
              <w:rPr>
                <w:sz w:val="20"/>
                <w:szCs w:val="20"/>
              </w:rPr>
              <w:t>Respondent</w:t>
            </w:r>
          </w:p>
        </w:tc>
        <w:tc>
          <w:tcPr>
            <w:tcW w:w="1260" w:type="dxa"/>
          </w:tcPr>
          <w:p w:rsidR="003E681B" w:rsidRPr="003E681B" w:rsidRDefault="003E681B" w:rsidP="003E681B">
            <w:pPr>
              <w:pStyle w:val="Default"/>
              <w:jc w:val="center"/>
              <w:rPr>
                <w:sz w:val="20"/>
                <w:szCs w:val="20"/>
              </w:rPr>
            </w:pPr>
            <w:r w:rsidRPr="003E681B">
              <w:rPr>
                <w:sz w:val="20"/>
                <w:szCs w:val="20"/>
              </w:rPr>
              <w:t>Number of Respondents (a)</w:t>
            </w:r>
          </w:p>
        </w:tc>
        <w:tc>
          <w:tcPr>
            <w:tcW w:w="1710" w:type="dxa"/>
          </w:tcPr>
          <w:p w:rsidR="003E681B" w:rsidRDefault="003E681B" w:rsidP="003E681B">
            <w:pPr>
              <w:pStyle w:val="Default"/>
              <w:jc w:val="center"/>
              <w:rPr>
                <w:sz w:val="20"/>
                <w:szCs w:val="20"/>
              </w:rPr>
            </w:pPr>
            <w:r w:rsidRPr="003E681B">
              <w:rPr>
                <w:sz w:val="20"/>
                <w:szCs w:val="20"/>
              </w:rPr>
              <w:t>Number of Responses/</w:t>
            </w:r>
          </w:p>
          <w:p w:rsidR="003E681B" w:rsidRPr="003E681B" w:rsidRDefault="003E681B" w:rsidP="003E681B">
            <w:pPr>
              <w:pStyle w:val="Default"/>
              <w:jc w:val="center"/>
              <w:rPr>
                <w:sz w:val="20"/>
                <w:szCs w:val="20"/>
              </w:rPr>
            </w:pPr>
            <w:r w:rsidRPr="003E681B">
              <w:rPr>
                <w:sz w:val="20"/>
                <w:szCs w:val="20"/>
              </w:rPr>
              <w:t>Respondent (b)</w:t>
            </w:r>
          </w:p>
        </w:tc>
        <w:tc>
          <w:tcPr>
            <w:tcW w:w="1350" w:type="dxa"/>
          </w:tcPr>
          <w:p w:rsidR="003E681B" w:rsidRDefault="003E681B" w:rsidP="003E681B">
            <w:pPr>
              <w:pStyle w:val="Default"/>
              <w:jc w:val="center"/>
              <w:rPr>
                <w:sz w:val="20"/>
                <w:szCs w:val="20"/>
              </w:rPr>
            </w:pPr>
            <w:r w:rsidRPr="003E681B">
              <w:rPr>
                <w:sz w:val="20"/>
                <w:szCs w:val="20"/>
              </w:rPr>
              <w:t>Hours/</w:t>
            </w:r>
          </w:p>
          <w:p w:rsidR="003E681B" w:rsidRPr="003E681B" w:rsidRDefault="003E681B" w:rsidP="003E681B">
            <w:pPr>
              <w:pStyle w:val="Default"/>
              <w:jc w:val="center"/>
              <w:rPr>
                <w:sz w:val="20"/>
                <w:szCs w:val="20"/>
              </w:rPr>
            </w:pPr>
            <w:r w:rsidRPr="003E681B">
              <w:rPr>
                <w:sz w:val="20"/>
                <w:szCs w:val="20"/>
              </w:rPr>
              <w:t>Response in Minutes (c)</w:t>
            </w:r>
          </w:p>
        </w:tc>
        <w:tc>
          <w:tcPr>
            <w:tcW w:w="1080" w:type="dxa"/>
          </w:tcPr>
          <w:p w:rsidR="003E681B" w:rsidRPr="003E681B" w:rsidRDefault="003E681B" w:rsidP="003E681B">
            <w:pPr>
              <w:pStyle w:val="Default"/>
              <w:jc w:val="center"/>
              <w:rPr>
                <w:sz w:val="20"/>
                <w:szCs w:val="20"/>
              </w:rPr>
            </w:pPr>
            <w:r w:rsidRPr="003E681B">
              <w:rPr>
                <w:sz w:val="20"/>
                <w:szCs w:val="20"/>
              </w:rPr>
              <w:t>Annual Burden Hours</w:t>
            </w:r>
          </w:p>
        </w:tc>
        <w:tc>
          <w:tcPr>
            <w:tcW w:w="1050" w:type="dxa"/>
          </w:tcPr>
          <w:p w:rsidR="003E681B" w:rsidRPr="003E681B" w:rsidRDefault="003E681B" w:rsidP="003E681B">
            <w:pPr>
              <w:pStyle w:val="Default"/>
              <w:jc w:val="center"/>
              <w:rPr>
                <w:sz w:val="20"/>
                <w:szCs w:val="20"/>
              </w:rPr>
            </w:pPr>
            <w:r w:rsidRPr="003E681B">
              <w:rPr>
                <w:sz w:val="20"/>
                <w:szCs w:val="20"/>
              </w:rPr>
              <w:t>Hourly Wage (d)</w:t>
            </w:r>
          </w:p>
        </w:tc>
        <w:tc>
          <w:tcPr>
            <w:tcW w:w="1470" w:type="dxa"/>
          </w:tcPr>
          <w:p w:rsidR="003E681B" w:rsidRPr="003E681B" w:rsidRDefault="003E681B" w:rsidP="003E681B">
            <w:pPr>
              <w:pStyle w:val="Default"/>
              <w:jc w:val="center"/>
              <w:rPr>
                <w:sz w:val="20"/>
                <w:szCs w:val="20"/>
              </w:rPr>
            </w:pPr>
            <w:r w:rsidRPr="003E681B">
              <w:rPr>
                <w:sz w:val="20"/>
                <w:szCs w:val="20"/>
              </w:rPr>
              <w:t>Annual Cost ($)</w:t>
            </w:r>
          </w:p>
        </w:tc>
      </w:tr>
      <w:tr w:rsidR="003E681B" w:rsidTr="003E681B">
        <w:tc>
          <w:tcPr>
            <w:tcW w:w="1980" w:type="dxa"/>
          </w:tcPr>
          <w:p w:rsidR="003E681B" w:rsidRPr="003E681B" w:rsidRDefault="003E681B" w:rsidP="003E681B">
            <w:pPr>
              <w:pStyle w:val="Default"/>
              <w:rPr>
                <w:sz w:val="20"/>
                <w:szCs w:val="20"/>
              </w:rPr>
            </w:pPr>
            <w:r w:rsidRPr="003E681B">
              <w:rPr>
                <w:sz w:val="20"/>
                <w:szCs w:val="20"/>
              </w:rPr>
              <w:t>Conference Attendee</w:t>
            </w:r>
          </w:p>
        </w:tc>
        <w:tc>
          <w:tcPr>
            <w:tcW w:w="1260" w:type="dxa"/>
          </w:tcPr>
          <w:p w:rsidR="003E681B" w:rsidRPr="003E681B" w:rsidRDefault="00D02AF2" w:rsidP="00973E1F">
            <w:pPr>
              <w:pStyle w:val="Default"/>
              <w:jc w:val="center"/>
              <w:rPr>
                <w:sz w:val="20"/>
                <w:szCs w:val="20"/>
              </w:rPr>
            </w:pPr>
            <w:r>
              <w:rPr>
                <w:sz w:val="20"/>
                <w:szCs w:val="20"/>
              </w:rPr>
              <w:t>200</w:t>
            </w:r>
          </w:p>
        </w:tc>
        <w:tc>
          <w:tcPr>
            <w:tcW w:w="1710" w:type="dxa"/>
          </w:tcPr>
          <w:p w:rsidR="003E681B" w:rsidRPr="003E681B" w:rsidRDefault="00973E1F" w:rsidP="00973E1F">
            <w:pPr>
              <w:pStyle w:val="Default"/>
              <w:jc w:val="center"/>
              <w:rPr>
                <w:sz w:val="20"/>
                <w:szCs w:val="20"/>
              </w:rPr>
            </w:pPr>
            <w:r>
              <w:rPr>
                <w:sz w:val="20"/>
                <w:szCs w:val="20"/>
              </w:rPr>
              <w:t>1</w:t>
            </w:r>
          </w:p>
        </w:tc>
        <w:tc>
          <w:tcPr>
            <w:tcW w:w="1350" w:type="dxa"/>
          </w:tcPr>
          <w:p w:rsidR="003E681B" w:rsidRPr="003E681B" w:rsidRDefault="00973E1F" w:rsidP="0037303E">
            <w:pPr>
              <w:pStyle w:val="Default"/>
              <w:jc w:val="center"/>
              <w:rPr>
                <w:sz w:val="20"/>
                <w:szCs w:val="20"/>
              </w:rPr>
            </w:pPr>
            <w:r>
              <w:rPr>
                <w:sz w:val="20"/>
                <w:szCs w:val="20"/>
              </w:rPr>
              <w:t>.</w:t>
            </w:r>
            <w:r w:rsidR="0037303E">
              <w:rPr>
                <w:sz w:val="20"/>
                <w:szCs w:val="20"/>
              </w:rPr>
              <w:t>20</w:t>
            </w:r>
          </w:p>
        </w:tc>
        <w:tc>
          <w:tcPr>
            <w:tcW w:w="1080" w:type="dxa"/>
          </w:tcPr>
          <w:p w:rsidR="003E681B" w:rsidRPr="003E681B" w:rsidRDefault="0037303E" w:rsidP="0037303E">
            <w:pPr>
              <w:pStyle w:val="Default"/>
              <w:jc w:val="center"/>
              <w:rPr>
                <w:sz w:val="20"/>
                <w:szCs w:val="20"/>
              </w:rPr>
            </w:pPr>
            <w:r>
              <w:rPr>
                <w:sz w:val="20"/>
                <w:szCs w:val="20"/>
              </w:rPr>
              <w:t>40</w:t>
            </w:r>
          </w:p>
        </w:tc>
        <w:tc>
          <w:tcPr>
            <w:tcW w:w="1050" w:type="dxa"/>
          </w:tcPr>
          <w:p w:rsidR="003E681B" w:rsidRPr="003E681B" w:rsidRDefault="002859E6" w:rsidP="00973E1F">
            <w:pPr>
              <w:pStyle w:val="Default"/>
              <w:jc w:val="center"/>
              <w:rPr>
                <w:sz w:val="20"/>
                <w:szCs w:val="20"/>
              </w:rPr>
            </w:pPr>
            <w:r>
              <w:rPr>
                <w:sz w:val="20"/>
                <w:szCs w:val="20"/>
              </w:rPr>
              <w:t>$35.96</w:t>
            </w:r>
          </w:p>
        </w:tc>
        <w:tc>
          <w:tcPr>
            <w:tcW w:w="1470" w:type="dxa"/>
          </w:tcPr>
          <w:p w:rsidR="003E681B" w:rsidRPr="003E681B" w:rsidRDefault="00973E1F" w:rsidP="0037303E">
            <w:pPr>
              <w:pStyle w:val="Default"/>
              <w:jc w:val="center"/>
              <w:rPr>
                <w:sz w:val="20"/>
                <w:szCs w:val="20"/>
              </w:rPr>
            </w:pPr>
            <w:r>
              <w:rPr>
                <w:sz w:val="20"/>
                <w:szCs w:val="20"/>
              </w:rPr>
              <w:t>$</w:t>
            </w:r>
            <w:r w:rsidR="0037303E">
              <w:rPr>
                <w:sz w:val="20"/>
                <w:szCs w:val="20"/>
              </w:rPr>
              <w:t>1</w:t>
            </w:r>
            <w:r>
              <w:rPr>
                <w:sz w:val="20"/>
                <w:szCs w:val="20"/>
              </w:rPr>
              <w:t>,</w:t>
            </w:r>
            <w:r w:rsidR="0037303E">
              <w:rPr>
                <w:sz w:val="20"/>
                <w:szCs w:val="20"/>
              </w:rPr>
              <w:t>438</w:t>
            </w:r>
          </w:p>
        </w:tc>
      </w:tr>
    </w:tbl>
    <w:p w:rsidR="003E681B" w:rsidRPr="00112CE2" w:rsidRDefault="003E681B" w:rsidP="003E681B">
      <w:pPr>
        <w:pStyle w:val="Default"/>
        <w:rPr>
          <w:sz w:val="23"/>
          <w:szCs w:val="23"/>
        </w:rPr>
      </w:pPr>
    </w:p>
    <w:p w:rsidR="003527D3" w:rsidRDefault="002529E1" w:rsidP="002529E1">
      <w:pPr>
        <w:pStyle w:val="Default"/>
        <w:numPr>
          <w:ilvl w:val="0"/>
          <w:numId w:val="4"/>
        </w:numPr>
        <w:rPr>
          <w:sz w:val="23"/>
          <w:szCs w:val="23"/>
        </w:rPr>
      </w:pPr>
      <w:r>
        <w:rPr>
          <w:sz w:val="23"/>
          <w:szCs w:val="23"/>
        </w:rPr>
        <w:t xml:space="preserve">The number of respondents has been estimated by multiplying the number of registered conference attendees by 80% response rate. </w:t>
      </w:r>
    </w:p>
    <w:p w:rsidR="002529E1" w:rsidRDefault="002529E1" w:rsidP="002529E1">
      <w:pPr>
        <w:pStyle w:val="Default"/>
        <w:rPr>
          <w:sz w:val="23"/>
          <w:szCs w:val="23"/>
        </w:rPr>
      </w:pPr>
    </w:p>
    <w:p w:rsidR="002529E1" w:rsidRDefault="002529E1" w:rsidP="002529E1">
      <w:pPr>
        <w:pStyle w:val="Default"/>
        <w:numPr>
          <w:ilvl w:val="0"/>
          <w:numId w:val="4"/>
        </w:numPr>
        <w:rPr>
          <w:sz w:val="23"/>
          <w:szCs w:val="23"/>
        </w:rPr>
      </w:pPr>
      <w:r>
        <w:rPr>
          <w:sz w:val="23"/>
          <w:szCs w:val="23"/>
        </w:rPr>
        <w:t xml:space="preserve">For purposes of estimating annual cost, we assume conference attendees will complete the survey one time. </w:t>
      </w:r>
    </w:p>
    <w:p w:rsidR="002529E1" w:rsidRDefault="002529E1" w:rsidP="002529E1">
      <w:pPr>
        <w:pStyle w:val="Default"/>
        <w:rPr>
          <w:sz w:val="23"/>
          <w:szCs w:val="23"/>
        </w:rPr>
      </w:pPr>
    </w:p>
    <w:p w:rsidR="002529E1" w:rsidRDefault="002529E1" w:rsidP="002529E1">
      <w:pPr>
        <w:pStyle w:val="Default"/>
        <w:numPr>
          <w:ilvl w:val="0"/>
          <w:numId w:val="4"/>
        </w:numPr>
        <w:rPr>
          <w:sz w:val="23"/>
          <w:szCs w:val="23"/>
        </w:rPr>
      </w:pPr>
      <w:r>
        <w:rPr>
          <w:sz w:val="23"/>
          <w:szCs w:val="23"/>
        </w:rPr>
        <w:t xml:space="preserve">The average burden per response was estimated by assuming </w:t>
      </w:r>
      <w:r w:rsidR="00943FEB">
        <w:rPr>
          <w:sz w:val="23"/>
          <w:szCs w:val="23"/>
        </w:rPr>
        <w:t>1</w:t>
      </w:r>
      <w:r w:rsidR="0037303E">
        <w:rPr>
          <w:sz w:val="23"/>
          <w:szCs w:val="23"/>
        </w:rPr>
        <w:t>0</w:t>
      </w:r>
      <w:r>
        <w:rPr>
          <w:sz w:val="23"/>
          <w:szCs w:val="23"/>
        </w:rPr>
        <w:t xml:space="preserve"> seconds to complete each closed-ended question and </w:t>
      </w:r>
      <w:r w:rsidR="0037303E">
        <w:rPr>
          <w:sz w:val="23"/>
          <w:szCs w:val="23"/>
        </w:rPr>
        <w:t>30</w:t>
      </w:r>
      <w:r>
        <w:rPr>
          <w:sz w:val="23"/>
          <w:szCs w:val="23"/>
        </w:rPr>
        <w:t xml:space="preserve"> seconds to complete each open-ended question. </w:t>
      </w:r>
    </w:p>
    <w:p w:rsidR="002529E1" w:rsidRDefault="002529E1" w:rsidP="002529E1">
      <w:pPr>
        <w:pStyle w:val="ListParagraph"/>
        <w:rPr>
          <w:sz w:val="23"/>
          <w:szCs w:val="23"/>
        </w:rPr>
      </w:pPr>
    </w:p>
    <w:p w:rsidR="002529E1" w:rsidRDefault="002529E1" w:rsidP="002529E1">
      <w:pPr>
        <w:pStyle w:val="Default"/>
        <w:numPr>
          <w:ilvl w:val="0"/>
          <w:numId w:val="4"/>
        </w:numPr>
        <w:rPr>
          <w:sz w:val="23"/>
          <w:szCs w:val="23"/>
        </w:rPr>
      </w:pPr>
      <w:r>
        <w:rPr>
          <w:sz w:val="23"/>
          <w:szCs w:val="23"/>
        </w:rPr>
        <w:t xml:space="preserve">Given the range of professional positions represented by conference attendees, for purposes of estimating annual cost, we assume most all attendees do statistical work </w:t>
      </w:r>
      <w:r w:rsidR="002859E6">
        <w:rPr>
          <w:sz w:val="23"/>
          <w:szCs w:val="23"/>
        </w:rPr>
        <w:t xml:space="preserve">at the Federal, State, or Local level, </w:t>
      </w:r>
      <w:r>
        <w:rPr>
          <w:sz w:val="23"/>
          <w:szCs w:val="23"/>
        </w:rPr>
        <w:t>and thus we rely on the BLS wage rates for a Statistician</w:t>
      </w:r>
      <w:r w:rsidR="002859E6">
        <w:rPr>
          <w:sz w:val="23"/>
          <w:szCs w:val="23"/>
        </w:rPr>
        <w:t xml:space="preserve"> (Public Sector Federal/State/Local). </w:t>
      </w:r>
      <w:r w:rsidR="008D4895">
        <w:rPr>
          <w:sz w:val="23"/>
          <w:szCs w:val="23"/>
        </w:rPr>
        <w:t xml:space="preserve">The $35.96 hourly mean wage is from the period May 2011. </w:t>
      </w:r>
      <w:hyperlink r:id="rId8" w:history="1">
        <w:r w:rsidR="008D4895" w:rsidRPr="007820B4">
          <w:rPr>
            <w:rStyle w:val="Hyperlink"/>
            <w:sz w:val="23"/>
            <w:szCs w:val="23"/>
          </w:rPr>
          <w:t>http://www.bls.gov/oes/data.htm</w:t>
        </w:r>
      </w:hyperlink>
      <w:r w:rsidR="008D4895">
        <w:rPr>
          <w:sz w:val="23"/>
          <w:szCs w:val="23"/>
        </w:rPr>
        <w:t xml:space="preserve"> </w:t>
      </w:r>
    </w:p>
    <w:p w:rsidR="002529E1" w:rsidRDefault="002529E1" w:rsidP="002529E1">
      <w:pPr>
        <w:pStyle w:val="ListParagraph"/>
        <w:rPr>
          <w:sz w:val="23"/>
          <w:szCs w:val="23"/>
        </w:rPr>
      </w:pPr>
    </w:p>
    <w:p w:rsidR="002529E1" w:rsidRPr="00C522D8" w:rsidRDefault="002529E1" w:rsidP="002529E1">
      <w:pPr>
        <w:pStyle w:val="Default"/>
        <w:numPr>
          <w:ilvl w:val="0"/>
          <w:numId w:val="1"/>
        </w:numPr>
        <w:rPr>
          <w:b/>
          <w:sz w:val="23"/>
          <w:szCs w:val="23"/>
        </w:rPr>
      </w:pPr>
      <w:r w:rsidRPr="00C522D8">
        <w:rPr>
          <w:b/>
          <w:sz w:val="23"/>
          <w:szCs w:val="23"/>
        </w:rPr>
        <w:t>Methods Used to Develop and Test the Questions</w:t>
      </w:r>
    </w:p>
    <w:p w:rsidR="002529E1" w:rsidRDefault="002529E1" w:rsidP="002529E1">
      <w:pPr>
        <w:pStyle w:val="Default"/>
        <w:rPr>
          <w:sz w:val="23"/>
          <w:szCs w:val="23"/>
        </w:rPr>
      </w:pPr>
    </w:p>
    <w:p w:rsidR="002529E1" w:rsidRDefault="002529E1" w:rsidP="002529E1">
      <w:pPr>
        <w:pStyle w:val="Default"/>
        <w:rPr>
          <w:sz w:val="23"/>
          <w:szCs w:val="23"/>
        </w:rPr>
      </w:pPr>
      <w:r>
        <w:rPr>
          <w:sz w:val="23"/>
          <w:szCs w:val="23"/>
        </w:rPr>
        <w:t xml:space="preserve">CBHSQ staff who participated in planning the data users conference collaborated in preparing the survey questions. </w:t>
      </w:r>
      <w:r w:rsidR="00C522D8">
        <w:rPr>
          <w:sz w:val="23"/>
          <w:szCs w:val="23"/>
        </w:rPr>
        <w:t>Most of these sta</w:t>
      </w:r>
      <w:r w:rsidR="00EF1D92">
        <w:rPr>
          <w:sz w:val="23"/>
          <w:szCs w:val="23"/>
        </w:rPr>
        <w:t xml:space="preserve">ff are statisticians who work on the various CBHSQ </w:t>
      </w:r>
      <w:r w:rsidR="00C522D8">
        <w:rPr>
          <w:sz w:val="23"/>
          <w:szCs w:val="23"/>
        </w:rPr>
        <w:t xml:space="preserve">survey data collections. </w:t>
      </w:r>
    </w:p>
    <w:p w:rsidR="00C522D8" w:rsidRDefault="00C522D8" w:rsidP="002529E1">
      <w:pPr>
        <w:pStyle w:val="Default"/>
        <w:rPr>
          <w:sz w:val="23"/>
          <w:szCs w:val="23"/>
        </w:rPr>
      </w:pPr>
    </w:p>
    <w:p w:rsidR="00C522D8" w:rsidRPr="00C522D8" w:rsidRDefault="00C522D8" w:rsidP="00C522D8">
      <w:pPr>
        <w:pStyle w:val="Default"/>
        <w:numPr>
          <w:ilvl w:val="0"/>
          <w:numId w:val="1"/>
        </w:numPr>
        <w:rPr>
          <w:b/>
          <w:sz w:val="23"/>
          <w:szCs w:val="23"/>
        </w:rPr>
      </w:pPr>
      <w:r w:rsidRPr="00C522D8">
        <w:rPr>
          <w:b/>
          <w:sz w:val="23"/>
          <w:szCs w:val="23"/>
        </w:rPr>
        <w:t>Federal Project Officer and Contractor</w:t>
      </w:r>
    </w:p>
    <w:p w:rsidR="00C522D8" w:rsidRDefault="00C522D8" w:rsidP="00C522D8">
      <w:pPr>
        <w:pStyle w:val="Default"/>
        <w:rPr>
          <w:sz w:val="23"/>
          <w:szCs w:val="23"/>
        </w:rPr>
      </w:pPr>
    </w:p>
    <w:p w:rsidR="00C522D8" w:rsidRDefault="00C522D8" w:rsidP="00C522D8">
      <w:pPr>
        <w:pStyle w:val="Default"/>
        <w:ind w:firstLine="360"/>
        <w:rPr>
          <w:sz w:val="23"/>
          <w:szCs w:val="23"/>
        </w:rPr>
      </w:pPr>
      <w:r>
        <w:rPr>
          <w:sz w:val="23"/>
          <w:szCs w:val="23"/>
        </w:rPr>
        <w:t>Peter Tice, Ph.D.</w:t>
      </w:r>
    </w:p>
    <w:p w:rsidR="00C522D8" w:rsidRDefault="00C522D8" w:rsidP="00C522D8">
      <w:pPr>
        <w:pStyle w:val="Default"/>
        <w:ind w:firstLine="360"/>
        <w:rPr>
          <w:sz w:val="23"/>
          <w:szCs w:val="23"/>
        </w:rPr>
      </w:pPr>
      <w:r>
        <w:rPr>
          <w:sz w:val="23"/>
          <w:szCs w:val="23"/>
        </w:rPr>
        <w:t>SAMHSA/CBHSQ</w:t>
      </w:r>
    </w:p>
    <w:p w:rsidR="00C522D8" w:rsidRDefault="00C522D8" w:rsidP="00C522D8">
      <w:pPr>
        <w:pStyle w:val="Default"/>
        <w:ind w:firstLine="360"/>
        <w:rPr>
          <w:sz w:val="23"/>
          <w:szCs w:val="23"/>
        </w:rPr>
      </w:pPr>
      <w:r>
        <w:rPr>
          <w:sz w:val="23"/>
          <w:szCs w:val="23"/>
        </w:rPr>
        <w:t>1 Choke Cherry Road, Room 2-1094</w:t>
      </w:r>
    </w:p>
    <w:p w:rsidR="00C522D8" w:rsidRDefault="00C522D8" w:rsidP="00C522D8">
      <w:pPr>
        <w:pStyle w:val="Default"/>
        <w:ind w:firstLine="360"/>
        <w:rPr>
          <w:sz w:val="23"/>
          <w:szCs w:val="23"/>
        </w:rPr>
      </w:pPr>
      <w:r>
        <w:rPr>
          <w:sz w:val="23"/>
          <w:szCs w:val="23"/>
        </w:rPr>
        <w:t>Rockville, MD 20857</w:t>
      </w:r>
    </w:p>
    <w:p w:rsidR="00C522D8" w:rsidRDefault="00C522D8" w:rsidP="00C522D8">
      <w:pPr>
        <w:pStyle w:val="Default"/>
        <w:ind w:firstLine="360"/>
        <w:rPr>
          <w:sz w:val="23"/>
          <w:szCs w:val="23"/>
        </w:rPr>
      </w:pPr>
      <w:r>
        <w:rPr>
          <w:sz w:val="23"/>
          <w:szCs w:val="23"/>
        </w:rPr>
        <w:t>Phone: (240) 276-1254</w:t>
      </w:r>
    </w:p>
    <w:p w:rsidR="00C522D8" w:rsidRDefault="00C522D8" w:rsidP="00C522D8">
      <w:pPr>
        <w:pStyle w:val="Default"/>
        <w:ind w:firstLine="360"/>
        <w:rPr>
          <w:sz w:val="23"/>
          <w:szCs w:val="23"/>
        </w:rPr>
      </w:pPr>
      <w:r>
        <w:rPr>
          <w:sz w:val="23"/>
          <w:szCs w:val="23"/>
        </w:rPr>
        <w:t>Fax: (240) 276-1260</w:t>
      </w:r>
    </w:p>
    <w:p w:rsidR="00C522D8" w:rsidRDefault="00C522D8" w:rsidP="00C522D8">
      <w:pPr>
        <w:pStyle w:val="Default"/>
        <w:ind w:firstLine="360"/>
        <w:rPr>
          <w:sz w:val="23"/>
          <w:szCs w:val="23"/>
        </w:rPr>
      </w:pPr>
      <w:r>
        <w:rPr>
          <w:sz w:val="23"/>
          <w:szCs w:val="23"/>
        </w:rPr>
        <w:t xml:space="preserve">Email: </w:t>
      </w:r>
      <w:hyperlink r:id="rId9" w:history="1">
        <w:r w:rsidR="008D4895" w:rsidRPr="007820B4">
          <w:rPr>
            <w:rStyle w:val="Hyperlink"/>
            <w:sz w:val="23"/>
            <w:szCs w:val="23"/>
          </w:rPr>
          <w:t>peter.tice@samhsa.hhs.gov</w:t>
        </w:r>
      </w:hyperlink>
    </w:p>
    <w:p w:rsidR="00C522D8" w:rsidRDefault="00C522D8" w:rsidP="00C522D8">
      <w:pPr>
        <w:pStyle w:val="Default"/>
        <w:ind w:firstLine="360"/>
        <w:rPr>
          <w:sz w:val="23"/>
          <w:szCs w:val="23"/>
        </w:rPr>
      </w:pPr>
    </w:p>
    <w:p w:rsidR="00EF1D92" w:rsidRDefault="00EF1D92" w:rsidP="00C522D8">
      <w:pPr>
        <w:pStyle w:val="Default"/>
        <w:ind w:firstLine="360"/>
        <w:rPr>
          <w:sz w:val="23"/>
          <w:szCs w:val="23"/>
        </w:rPr>
      </w:pPr>
      <w:r>
        <w:rPr>
          <w:sz w:val="23"/>
          <w:szCs w:val="23"/>
        </w:rPr>
        <w:t>Courtney Kirk</w:t>
      </w:r>
    </w:p>
    <w:p w:rsidR="00EF1D92" w:rsidRDefault="00EF1D92" w:rsidP="00C522D8">
      <w:pPr>
        <w:pStyle w:val="Default"/>
        <w:ind w:firstLine="360"/>
        <w:rPr>
          <w:sz w:val="23"/>
          <w:szCs w:val="23"/>
        </w:rPr>
      </w:pPr>
      <w:r>
        <w:rPr>
          <w:sz w:val="23"/>
          <w:szCs w:val="23"/>
        </w:rPr>
        <w:t>Conference Planner</w:t>
      </w:r>
    </w:p>
    <w:p w:rsidR="00EF1D92" w:rsidRDefault="00EF1D92" w:rsidP="00C522D8">
      <w:pPr>
        <w:pStyle w:val="Default"/>
        <w:ind w:firstLine="360"/>
        <w:rPr>
          <w:sz w:val="23"/>
          <w:szCs w:val="23"/>
        </w:rPr>
      </w:pPr>
      <w:r>
        <w:rPr>
          <w:sz w:val="23"/>
          <w:szCs w:val="23"/>
        </w:rPr>
        <w:t>MANILA Consulting Group, Inc.</w:t>
      </w:r>
    </w:p>
    <w:p w:rsidR="00EF1D92" w:rsidRDefault="00EF1D92" w:rsidP="00C522D8">
      <w:pPr>
        <w:pStyle w:val="Default"/>
        <w:ind w:firstLine="360"/>
        <w:rPr>
          <w:sz w:val="23"/>
          <w:szCs w:val="23"/>
        </w:rPr>
      </w:pPr>
      <w:r>
        <w:rPr>
          <w:sz w:val="23"/>
          <w:szCs w:val="23"/>
        </w:rPr>
        <w:t>6707 Old Dominion Road, Suite 315</w:t>
      </w:r>
    </w:p>
    <w:p w:rsidR="00EF1D92" w:rsidRDefault="00EF1D92" w:rsidP="00C522D8">
      <w:pPr>
        <w:pStyle w:val="Default"/>
        <w:ind w:firstLine="360"/>
        <w:rPr>
          <w:sz w:val="23"/>
          <w:szCs w:val="23"/>
        </w:rPr>
      </w:pPr>
      <w:r>
        <w:rPr>
          <w:sz w:val="23"/>
          <w:szCs w:val="23"/>
        </w:rPr>
        <w:t>McLean, VA 22101</w:t>
      </w:r>
    </w:p>
    <w:p w:rsidR="00EF1D92" w:rsidRDefault="00EF1D92" w:rsidP="00C522D8">
      <w:pPr>
        <w:pStyle w:val="Default"/>
        <w:ind w:firstLine="360"/>
        <w:rPr>
          <w:sz w:val="23"/>
          <w:szCs w:val="23"/>
        </w:rPr>
      </w:pPr>
      <w:r>
        <w:rPr>
          <w:sz w:val="23"/>
          <w:szCs w:val="23"/>
        </w:rPr>
        <w:t>Phone: (571) 633-9797 ex. 235</w:t>
      </w:r>
    </w:p>
    <w:p w:rsidR="00EF1D92" w:rsidRDefault="00891FBB" w:rsidP="00C522D8">
      <w:pPr>
        <w:pStyle w:val="Default"/>
        <w:ind w:firstLine="360"/>
        <w:rPr>
          <w:sz w:val="23"/>
          <w:szCs w:val="23"/>
        </w:rPr>
      </w:pPr>
      <w:hyperlink r:id="rId10" w:history="1">
        <w:r w:rsidR="00EF1D92" w:rsidRPr="007173AE">
          <w:rPr>
            <w:rStyle w:val="Hyperlink"/>
            <w:sz w:val="23"/>
            <w:szCs w:val="23"/>
          </w:rPr>
          <w:t>ckirk@manilaconsulting.net</w:t>
        </w:r>
      </w:hyperlink>
    </w:p>
    <w:p w:rsidR="00EF1D92" w:rsidRDefault="00EF1D92" w:rsidP="00C522D8">
      <w:pPr>
        <w:pStyle w:val="Default"/>
        <w:ind w:firstLine="360"/>
        <w:rPr>
          <w:sz w:val="23"/>
          <w:szCs w:val="23"/>
        </w:rPr>
      </w:pPr>
    </w:p>
    <w:p w:rsidR="00C522D8" w:rsidRDefault="00C522D8" w:rsidP="00C522D8">
      <w:pPr>
        <w:pStyle w:val="Default"/>
        <w:ind w:firstLine="360"/>
        <w:rPr>
          <w:sz w:val="23"/>
          <w:szCs w:val="23"/>
        </w:rPr>
      </w:pPr>
      <w:r>
        <w:rPr>
          <w:sz w:val="23"/>
          <w:szCs w:val="23"/>
        </w:rPr>
        <w:tab/>
      </w:r>
    </w:p>
    <w:p w:rsidR="00C522D8" w:rsidRPr="002859E6" w:rsidRDefault="00C522D8" w:rsidP="00C522D8">
      <w:pPr>
        <w:pStyle w:val="Default"/>
        <w:numPr>
          <w:ilvl w:val="0"/>
          <w:numId w:val="1"/>
        </w:numPr>
        <w:rPr>
          <w:b/>
          <w:sz w:val="23"/>
          <w:szCs w:val="23"/>
        </w:rPr>
      </w:pPr>
      <w:r w:rsidRPr="002859E6">
        <w:rPr>
          <w:b/>
          <w:sz w:val="23"/>
          <w:szCs w:val="23"/>
        </w:rPr>
        <w:t>Project Statistician and Data Collection Entity</w:t>
      </w:r>
    </w:p>
    <w:p w:rsidR="00C522D8" w:rsidRDefault="00C522D8" w:rsidP="00C522D8">
      <w:pPr>
        <w:pStyle w:val="Default"/>
        <w:rPr>
          <w:sz w:val="23"/>
          <w:szCs w:val="23"/>
        </w:rPr>
      </w:pPr>
    </w:p>
    <w:p w:rsidR="00C522D8" w:rsidRDefault="00C522D8" w:rsidP="00C522D8">
      <w:pPr>
        <w:pStyle w:val="Default"/>
        <w:rPr>
          <w:sz w:val="23"/>
          <w:szCs w:val="23"/>
        </w:rPr>
      </w:pPr>
      <w:r>
        <w:rPr>
          <w:sz w:val="23"/>
          <w:szCs w:val="23"/>
        </w:rPr>
        <w:t xml:space="preserve">The conference logistics contractor will </w:t>
      </w:r>
      <w:r w:rsidR="002859E6">
        <w:rPr>
          <w:sz w:val="23"/>
          <w:szCs w:val="23"/>
        </w:rPr>
        <w:t xml:space="preserve">administer the survey electronically using </w:t>
      </w:r>
      <w:proofErr w:type="spellStart"/>
      <w:r w:rsidR="00EF1D92">
        <w:rPr>
          <w:sz w:val="23"/>
          <w:szCs w:val="23"/>
        </w:rPr>
        <w:t>Qualtrics</w:t>
      </w:r>
      <w:proofErr w:type="spellEnd"/>
      <w:r w:rsidR="00EF1D92">
        <w:rPr>
          <w:sz w:val="23"/>
          <w:szCs w:val="23"/>
        </w:rPr>
        <w:t xml:space="preserve"> (</w:t>
      </w:r>
      <w:hyperlink r:id="rId11" w:history="1">
        <w:r w:rsidR="00EF1D92" w:rsidRPr="007173AE">
          <w:rPr>
            <w:rStyle w:val="Hyperlink"/>
            <w:sz w:val="23"/>
            <w:szCs w:val="23"/>
          </w:rPr>
          <w:t>https://www.qualtrics.com</w:t>
        </w:r>
      </w:hyperlink>
      <w:r w:rsidR="00EF1D92">
        <w:rPr>
          <w:sz w:val="23"/>
          <w:szCs w:val="23"/>
        </w:rPr>
        <w:t>)</w:t>
      </w:r>
      <w:r w:rsidR="002859E6">
        <w:rPr>
          <w:sz w:val="23"/>
          <w:szCs w:val="23"/>
        </w:rPr>
        <w:t xml:space="preserve">. </w:t>
      </w:r>
      <w:r w:rsidR="00EF1D92">
        <w:rPr>
          <w:sz w:val="23"/>
          <w:szCs w:val="23"/>
        </w:rPr>
        <w:t xml:space="preserve">CBHSQ staff involved in the conference planning will analyze the survey data and share results with appropriate CBHSQ and SAMHSA senior staff and management. </w:t>
      </w:r>
    </w:p>
    <w:p w:rsidR="002859E6" w:rsidRDefault="002859E6" w:rsidP="00C522D8">
      <w:pPr>
        <w:pStyle w:val="Default"/>
        <w:rPr>
          <w:sz w:val="23"/>
          <w:szCs w:val="23"/>
        </w:rPr>
      </w:pPr>
    </w:p>
    <w:p w:rsidR="002859E6" w:rsidRPr="002859E6" w:rsidRDefault="002859E6" w:rsidP="002859E6">
      <w:pPr>
        <w:pStyle w:val="Default"/>
        <w:jc w:val="center"/>
        <w:rPr>
          <w:b/>
          <w:sz w:val="23"/>
          <w:szCs w:val="23"/>
        </w:rPr>
      </w:pPr>
      <w:r w:rsidRPr="002859E6">
        <w:rPr>
          <w:b/>
          <w:sz w:val="23"/>
          <w:szCs w:val="23"/>
        </w:rPr>
        <w:t>List of Attachments</w:t>
      </w:r>
    </w:p>
    <w:p w:rsidR="002859E6" w:rsidRDefault="002859E6" w:rsidP="00C522D8">
      <w:pPr>
        <w:pStyle w:val="Default"/>
        <w:rPr>
          <w:sz w:val="23"/>
          <w:szCs w:val="23"/>
        </w:rPr>
      </w:pPr>
    </w:p>
    <w:p w:rsidR="00C522D8" w:rsidRDefault="002859E6" w:rsidP="00EF1D92">
      <w:pPr>
        <w:pStyle w:val="Default"/>
        <w:rPr>
          <w:sz w:val="23"/>
          <w:szCs w:val="23"/>
        </w:rPr>
      </w:pPr>
      <w:r>
        <w:rPr>
          <w:sz w:val="23"/>
          <w:szCs w:val="23"/>
        </w:rPr>
        <w:t>Attachment 1: Post Data Conference Survey</w:t>
      </w:r>
    </w:p>
    <w:sectPr w:rsidR="00C522D8" w:rsidSect="009F6460">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2D8" w:rsidRDefault="00C522D8" w:rsidP="00C11E25">
      <w:r>
        <w:separator/>
      </w:r>
    </w:p>
  </w:endnote>
  <w:endnote w:type="continuationSeparator" w:id="0">
    <w:p w:rsidR="00C522D8" w:rsidRDefault="00C522D8" w:rsidP="00C11E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8219"/>
      <w:docPartObj>
        <w:docPartGallery w:val="Page Numbers (Bottom of Page)"/>
        <w:docPartUnique/>
      </w:docPartObj>
    </w:sdtPr>
    <w:sdtContent>
      <w:p w:rsidR="00C522D8" w:rsidRDefault="00891FBB">
        <w:pPr>
          <w:pStyle w:val="Footer"/>
          <w:jc w:val="center"/>
        </w:pPr>
        <w:fldSimple w:instr=" PAGE   \* MERGEFORMAT ">
          <w:r w:rsidR="009B64C0">
            <w:rPr>
              <w:noProof/>
            </w:rPr>
            <w:t>3</w:t>
          </w:r>
        </w:fldSimple>
      </w:p>
    </w:sdtContent>
  </w:sdt>
  <w:p w:rsidR="00C522D8" w:rsidRDefault="00C52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2D8" w:rsidRDefault="00C522D8" w:rsidP="00C11E25">
      <w:r>
        <w:separator/>
      </w:r>
    </w:p>
  </w:footnote>
  <w:footnote w:type="continuationSeparator" w:id="0">
    <w:p w:rsidR="00C522D8" w:rsidRDefault="00C522D8" w:rsidP="00C11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633"/>
    <w:multiLevelType w:val="hybridMultilevel"/>
    <w:tmpl w:val="A11A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40E4C"/>
    <w:multiLevelType w:val="hybridMultilevel"/>
    <w:tmpl w:val="5FFEF9BE"/>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7534DB"/>
    <w:multiLevelType w:val="hybridMultilevel"/>
    <w:tmpl w:val="3D6483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6311C3"/>
    <w:multiLevelType w:val="hybridMultilevel"/>
    <w:tmpl w:val="8B48CBD8"/>
    <w:lvl w:ilvl="0" w:tplc="2F16B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footnotePr>
    <w:footnote w:id="-1"/>
    <w:footnote w:id="0"/>
  </w:footnotePr>
  <w:endnotePr>
    <w:endnote w:id="-1"/>
    <w:endnote w:id="0"/>
  </w:endnotePr>
  <w:compat/>
  <w:rsids>
    <w:rsidRoot w:val="003527D3"/>
    <w:rsid w:val="00031977"/>
    <w:rsid w:val="0003386B"/>
    <w:rsid w:val="00087C14"/>
    <w:rsid w:val="00112CE2"/>
    <w:rsid w:val="002529E1"/>
    <w:rsid w:val="002859E6"/>
    <w:rsid w:val="00313DD0"/>
    <w:rsid w:val="0032163D"/>
    <w:rsid w:val="003527D3"/>
    <w:rsid w:val="003622CE"/>
    <w:rsid w:val="0037303E"/>
    <w:rsid w:val="003E681B"/>
    <w:rsid w:val="004446CE"/>
    <w:rsid w:val="00485BAC"/>
    <w:rsid w:val="004D74FE"/>
    <w:rsid w:val="005C2BF6"/>
    <w:rsid w:val="006E1758"/>
    <w:rsid w:val="007A3078"/>
    <w:rsid w:val="0087236F"/>
    <w:rsid w:val="00877F1B"/>
    <w:rsid w:val="00891FBB"/>
    <w:rsid w:val="008D4895"/>
    <w:rsid w:val="00932E7A"/>
    <w:rsid w:val="00943FEB"/>
    <w:rsid w:val="00973E1F"/>
    <w:rsid w:val="009B64C0"/>
    <w:rsid w:val="009F5911"/>
    <w:rsid w:val="009F6460"/>
    <w:rsid w:val="00A41FD5"/>
    <w:rsid w:val="00A4429E"/>
    <w:rsid w:val="00A9318F"/>
    <w:rsid w:val="00B35D4E"/>
    <w:rsid w:val="00B6688B"/>
    <w:rsid w:val="00BA60DF"/>
    <w:rsid w:val="00C02821"/>
    <w:rsid w:val="00C11E25"/>
    <w:rsid w:val="00C522D8"/>
    <w:rsid w:val="00D02AF2"/>
    <w:rsid w:val="00D720C3"/>
    <w:rsid w:val="00EA0133"/>
    <w:rsid w:val="00EE012A"/>
    <w:rsid w:val="00EF1D92"/>
    <w:rsid w:val="00F73126"/>
    <w:rsid w:val="00FB5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D92"/>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7D3"/>
    <w:pPr>
      <w:autoSpaceDE w:val="0"/>
      <w:autoSpaceDN w:val="0"/>
      <w:adjustRightInd w:val="0"/>
    </w:pPr>
    <w:rPr>
      <w:color w:val="000000"/>
      <w:sz w:val="24"/>
      <w:szCs w:val="24"/>
    </w:rPr>
  </w:style>
  <w:style w:type="paragraph" w:styleId="Header">
    <w:name w:val="header"/>
    <w:basedOn w:val="Normal"/>
    <w:link w:val="HeaderChar"/>
    <w:rsid w:val="00C11E25"/>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11E25"/>
    <w:rPr>
      <w:sz w:val="24"/>
      <w:szCs w:val="24"/>
    </w:rPr>
  </w:style>
  <w:style w:type="paragraph" w:styleId="Footer">
    <w:name w:val="footer"/>
    <w:basedOn w:val="Normal"/>
    <w:link w:val="FooterChar"/>
    <w:uiPriority w:val="99"/>
    <w:rsid w:val="00C11E2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11E25"/>
    <w:rPr>
      <w:sz w:val="24"/>
      <w:szCs w:val="24"/>
    </w:rPr>
  </w:style>
  <w:style w:type="table" w:styleId="TableGrid">
    <w:name w:val="Table Grid"/>
    <w:basedOn w:val="TableNormal"/>
    <w:rsid w:val="003E6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9E1"/>
    <w:pPr>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C522D8"/>
    <w:rPr>
      <w:color w:val="0000FF" w:themeColor="hyperlink"/>
      <w:u w:val="single"/>
    </w:rPr>
  </w:style>
  <w:style w:type="character" w:styleId="FollowedHyperlink">
    <w:name w:val="FollowedHyperlink"/>
    <w:basedOn w:val="DefaultParagraphFont"/>
    <w:rsid w:val="008D48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635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dat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ltri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trics.com" TargetMode="External"/><Relationship Id="rId5" Type="http://schemas.openxmlformats.org/officeDocument/2006/relationships/footnotes" Target="footnotes.xml"/><Relationship Id="rId10" Type="http://schemas.openxmlformats.org/officeDocument/2006/relationships/hyperlink" Target="mailto:ckirk@manilaconsulting.net" TargetMode="External"/><Relationship Id="rId4" Type="http://schemas.openxmlformats.org/officeDocument/2006/relationships/webSettings" Target="webSettings.xml"/><Relationship Id="rId9" Type="http://schemas.openxmlformats.org/officeDocument/2006/relationships/hyperlink" Target="mailto:peter.tice@samhs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976</Words>
  <Characters>6000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peter.tice</dc:creator>
  <cp:keywords/>
  <dc:description/>
  <cp:lastModifiedBy>peter.tice</cp:lastModifiedBy>
  <cp:revision>4</cp:revision>
  <dcterms:created xsi:type="dcterms:W3CDTF">2012-08-21T13:14:00Z</dcterms:created>
  <dcterms:modified xsi:type="dcterms:W3CDTF">2012-08-21T13:54:00Z</dcterms:modified>
</cp:coreProperties>
</file>