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F5" w:rsidRPr="00A447FF" w:rsidRDefault="00452467" w:rsidP="00F079F5">
      <w:pPr>
        <w:pStyle w:val="CoverTitle"/>
        <w:jc w:val="center"/>
        <w:rPr>
          <w:rFonts w:ascii="Times New Roman" w:hAnsi="Times New Roman"/>
          <w:sz w:val="24"/>
          <w:szCs w:val="24"/>
        </w:rPr>
      </w:pPr>
      <w:r w:rsidRPr="00A447FF">
        <w:rPr>
          <w:rFonts w:ascii="Times New Roman" w:hAnsi="Times New Roman"/>
          <w:sz w:val="24"/>
          <w:szCs w:val="24"/>
        </w:rPr>
        <w:t xml:space="preserve">Training and Technical Assistance </w:t>
      </w:r>
    </w:p>
    <w:p w:rsidR="008751A7" w:rsidRDefault="00DE7F0D" w:rsidP="00905AE0">
      <w:pPr>
        <w:pStyle w:val="CoverTitle"/>
        <w:jc w:val="center"/>
        <w:rPr>
          <w:rFonts w:ascii="Times New Roman" w:hAnsi="Times New Roman"/>
          <w:sz w:val="24"/>
          <w:szCs w:val="24"/>
        </w:rPr>
      </w:pPr>
      <w:r w:rsidRPr="00A447FF">
        <w:rPr>
          <w:rFonts w:ascii="Times New Roman" w:hAnsi="Times New Roman"/>
          <w:sz w:val="24"/>
          <w:szCs w:val="24"/>
        </w:rPr>
        <w:t>Performance Measures</w:t>
      </w:r>
    </w:p>
    <w:p w:rsidR="007B079F" w:rsidRPr="007B079F" w:rsidRDefault="007B079F" w:rsidP="007B079F">
      <w:pPr>
        <w:pStyle w:val="CoverSubtitle"/>
      </w:pPr>
    </w:p>
    <w:p w:rsidR="005A35A6" w:rsidRPr="00A447FF" w:rsidRDefault="0005705B" w:rsidP="0005705B">
      <w:pPr>
        <w:pStyle w:val="Heading2"/>
        <w:spacing w:before="120" w:line="360" w:lineRule="auto"/>
        <w:rPr>
          <w:rFonts w:ascii="Times New Roman" w:hAnsi="Times New Roman"/>
          <w:sz w:val="24"/>
          <w:szCs w:val="24"/>
        </w:rPr>
      </w:pPr>
      <w:r w:rsidRPr="00A447FF">
        <w:rPr>
          <w:rFonts w:ascii="Times New Roman" w:hAnsi="Times New Roman"/>
          <w:sz w:val="24"/>
          <w:szCs w:val="24"/>
        </w:rPr>
        <w:t>A. Product/Activity to be Assessed</w:t>
      </w:r>
    </w:p>
    <w:p w:rsidR="008C2F54" w:rsidRDefault="0022225F" w:rsidP="008C2F54">
      <w:r w:rsidRPr="00A447FF">
        <w:t xml:space="preserve">SAMHSA/CSAP supports a community-based approach to substance abuse prevention through the Strategic Prevention Framework (SPF) in order to promote youth development, reduce risk-taking behaviors, build assets and resilience, and prevent problem behaviors across the individual's life span. One aspect of CSAP’s work is to provide training and technical assistance (TTA) through independent contractors to state substance abuse agencies and other grantees.  </w:t>
      </w:r>
      <w:r w:rsidR="0081295E" w:rsidRPr="00A447FF">
        <w:t xml:space="preserve">The </w:t>
      </w:r>
      <w:r w:rsidR="008751A7" w:rsidRPr="00A447FF">
        <w:t>Substance Abuse and Mental Health Services Administration (SAMHSA)</w:t>
      </w:r>
      <w:r w:rsidR="00D01D08" w:rsidRPr="00A447FF">
        <w:t xml:space="preserve"> is </w:t>
      </w:r>
      <w:r w:rsidR="008C2F54" w:rsidRPr="00A447FF">
        <w:t>request</w:t>
      </w:r>
      <w:r w:rsidR="00D01D08" w:rsidRPr="00A447FF">
        <w:t xml:space="preserve">ing </w:t>
      </w:r>
      <w:r w:rsidR="008751A7" w:rsidRPr="00A447FF">
        <w:t xml:space="preserve">approval from the </w:t>
      </w:r>
      <w:r w:rsidR="008C2F54" w:rsidRPr="00A447FF">
        <w:t xml:space="preserve">Office of Management and Budget (OMB), </w:t>
      </w:r>
      <w:r w:rsidR="0081295E" w:rsidRPr="00A447FF">
        <w:t>for</w:t>
      </w:r>
      <w:r w:rsidRPr="00A447FF">
        <w:t xml:space="preserve"> seven common TTA </w:t>
      </w:r>
      <w:r w:rsidR="00D830EA" w:rsidRPr="00A447FF">
        <w:t xml:space="preserve">measures </w:t>
      </w:r>
      <w:r w:rsidR="008C2F54" w:rsidRPr="00A447FF">
        <w:t xml:space="preserve">to implement </w:t>
      </w:r>
      <w:r w:rsidR="0081295E" w:rsidRPr="00A447FF">
        <w:t xml:space="preserve">the </w:t>
      </w:r>
      <w:r w:rsidR="008C2F54" w:rsidRPr="00A447FF">
        <w:t xml:space="preserve">Executive Order 12862 in relation to satisfaction of our customers, broadly defined as customer perception of the value of services provided. </w:t>
      </w:r>
      <w:r w:rsidRPr="00A447FF">
        <w:t>SAMHSA</w:t>
      </w:r>
      <w:r w:rsidR="008C2F54" w:rsidRPr="00A447FF">
        <w:t xml:space="preserve"> considers it important to assess the customer’s perception of the value of services rendered through this contractual mechanism.  </w:t>
      </w:r>
      <w:r w:rsidR="00D04D5E" w:rsidRPr="00A447FF">
        <w:t xml:space="preserve">The four contracts that will be using these common measures include: </w:t>
      </w:r>
    </w:p>
    <w:p w:rsidR="00A447FF" w:rsidRPr="00A447FF" w:rsidRDefault="00A447FF" w:rsidP="008C2F54"/>
    <w:tbl>
      <w:tblPr>
        <w:tblStyle w:val="TableGrid"/>
        <w:tblpPr w:leftFromText="180" w:rightFromText="180" w:vertAnchor="text" w:horzAnchor="margin" w:tblpY="84"/>
        <w:tblW w:w="10132" w:type="dxa"/>
        <w:tblLook w:val="04A0"/>
      </w:tblPr>
      <w:tblGrid>
        <w:gridCol w:w="1998"/>
        <w:gridCol w:w="6030"/>
        <w:gridCol w:w="2104"/>
      </w:tblGrid>
      <w:tr w:rsidR="00905AE0" w:rsidRPr="00A447FF" w:rsidTr="00905AE0">
        <w:trPr>
          <w:tblHeader/>
        </w:trPr>
        <w:tc>
          <w:tcPr>
            <w:tcW w:w="1998" w:type="dxa"/>
            <w:shd w:val="clear" w:color="auto" w:fill="000000" w:themeFill="text1"/>
            <w:vAlign w:val="center"/>
          </w:tcPr>
          <w:p w:rsidR="00905AE0" w:rsidRPr="00A447FF" w:rsidRDefault="00905AE0" w:rsidP="00905AE0">
            <w:pPr>
              <w:jc w:val="center"/>
              <w:rPr>
                <w:b/>
              </w:rPr>
            </w:pPr>
            <w:r w:rsidRPr="00A447FF">
              <w:rPr>
                <w:b/>
              </w:rPr>
              <w:t>TTA Provider</w:t>
            </w:r>
          </w:p>
        </w:tc>
        <w:tc>
          <w:tcPr>
            <w:tcW w:w="6030" w:type="dxa"/>
            <w:shd w:val="clear" w:color="auto" w:fill="000000" w:themeFill="text1"/>
            <w:vAlign w:val="center"/>
          </w:tcPr>
          <w:p w:rsidR="00905AE0" w:rsidRPr="00A447FF" w:rsidRDefault="00905AE0" w:rsidP="00905AE0">
            <w:pPr>
              <w:jc w:val="center"/>
              <w:rPr>
                <w:b/>
              </w:rPr>
            </w:pPr>
            <w:r w:rsidRPr="00A447FF">
              <w:rPr>
                <w:b/>
              </w:rPr>
              <w:t>Description of Services</w:t>
            </w:r>
          </w:p>
        </w:tc>
        <w:tc>
          <w:tcPr>
            <w:tcW w:w="0" w:type="auto"/>
            <w:shd w:val="clear" w:color="auto" w:fill="000000" w:themeFill="text1"/>
            <w:vAlign w:val="center"/>
          </w:tcPr>
          <w:p w:rsidR="00905AE0" w:rsidRPr="00A447FF" w:rsidRDefault="00905AE0" w:rsidP="00905AE0">
            <w:pPr>
              <w:jc w:val="center"/>
              <w:rPr>
                <w:b/>
              </w:rPr>
            </w:pPr>
            <w:r w:rsidRPr="00A447FF">
              <w:rPr>
                <w:b/>
              </w:rPr>
              <w:t>Segment of the Population Served</w:t>
            </w:r>
          </w:p>
        </w:tc>
      </w:tr>
      <w:tr w:rsidR="00905AE0" w:rsidRPr="00A447FF" w:rsidTr="00905AE0">
        <w:tc>
          <w:tcPr>
            <w:tcW w:w="1998" w:type="dxa"/>
          </w:tcPr>
          <w:p w:rsidR="00905AE0" w:rsidRPr="00A447FF" w:rsidRDefault="00905AE0" w:rsidP="00905AE0">
            <w:r w:rsidRPr="00A447FF">
              <w:t xml:space="preserve">SAMHSA’s Collaborative for the </w:t>
            </w:r>
          </w:p>
          <w:p w:rsidR="00905AE0" w:rsidRPr="00A447FF" w:rsidRDefault="00905AE0" w:rsidP="00905AE0">
            <w:r w:rsidRPr="00A447FF">
              <w:t>Application of Prevention Technologies (CAPT)</w:t>
            </w:r>
          </w:p>
        </w:tc>
        <w:tc>
          <w:tcPr>
            <w:tcW w:w="6030" w:type="dxa"/>
          </w:tcPr>
          <w:p w:rsidR="00905AE0" w:rsidRPr="00A447FF" w:rsidRDefault="00905AE0" w:rsidP="00905AE0">
            <w:r w:rsidRPr="00A447FF">
              <w:t>The Collaborative for the Application of Prevention Technologies (CAPT) provides responsive, tailored, and outcomes</w:t>
            </w:r>
            <w:r w:rsidRPr="00A447FF">
              <w:rPr>
                <w:rFonts w:ascii="Cambria Math" w:hAnsi="Cambria Math"/>
              </w:rPr>
              <w:t>‐</w:t>
            </w:r>
            <w:r w:rsidRPr="00A447FF">
              <w:t>focused training and technical assistance (TTA) to prevent and reduce substance abuse and associated public health issues across the lifespan. The CAPT also assists SAMHSA/CSAP grantees in the application of data</w:t>
            </w:r>
            <w:r w:rsidRPr="00A447FF">
              <w:rPr>
                <w:rFonts w:ascii="Cambria Math" w:hAnsi="Cambria Math"/>
              </w:rPr>
              <w:t>‐</w:t>
            </w:r>
            <w:r w:rsidRPr="00A447FF">
              <w:t>driven decision</w:t>
            </w:r>
            <w:r w:rsidRPr="00A447FF">
              <w:rPr>
                <w:rFonts w:ascii="Cambria Math" w:hAnsi="Cambria Math"/>
              </w:rPr>
              <w:t>‐</w:t>
            </w:r>
            <w:r w:rsidRPr="00A447FF">
              <w:t>making to the selection and implementation of evidence</w:t>
            </w:r>
            <w:r w:rsidRPr="00A447FF">
              <w:rPr>
                <w:rFonts w:ascii="Cambria Math" w:hAnsi="Cambria Math"/>
              </w:rPr>
              <w:t>‐</w:t>
            </w:r>
            <w:r w:rsidRPr="00A447FF">
              <w:t>based practices and programs.</w:t>
            </w:r>
          </w:p>
        </w:tc>
        <w:tc>
          <w:tcPr>
            <w:tcW w:w="0" w:type="auto"/>
          </w:tcPr>
          <w:p w:rsidR="00905AE0" w:rsidRPr="00A447FF" w:rsidRDefault="00905AE0" w:rsidP="00905AE0">
            <w:r w:rsidRPr="00A447FF">
              <w:t>States, Tribes, Jurisdictions (STJ) and their sub-recipient communities</w:t>
            </w:r>
          </w:p>
        </w:tc>
      </w:tr>
      <w:tr w:rsidR="00905AE0" w:rsidRPr="00A447FF" w:rsidTr="00905AE0">
        <w:tc>
          <w:tcPr>
            <w:tcW w:w="1998" w:type="dxa"/>
          </w:tcPr>
          <w:p w:rsidR="00905AE0" w:rsidRPr="00A447FF" w:rsidRDefault="00905AE0" w:rsidP="00905AE0">
            <w:r w:rsidRPr="00A447FF">
              <w:t>SAMHSA’s Prevention Fellowship Program (PFP)</w:t>
            </w:r>
          </w:p>
        </w:tc>
        <w:tc>
          <w:tcPr>
            <w:tcW w:w="6030" w:type="dxa"/>
          </w:tcPr>
          <w:p w:rsidR="00905AE0" w:rsidRPr="00A447FF" w:rsidRDefault="00905AE0" w:rsidP="00905AE0">
            <w:r w:rsidRPr="00A447FF">
              <w:t xml:space="preserve">In 2006, SAMHSA/CSAP launched the Prevention Fellowship Program (PFP) to address the critical shortage of substance abuse prevention professionals throughout the nation. The PFP is a key part of SAMHSA's overarching public health approach that aims to enable States and communities to build prevention infrastructures and sustainable prevention programming. The PFP provides fellowships to state agencies, promotes a workforce development approach </w:t>
            </w:r>
            <w:r w:rsidR="008434A9" w:rsidRPr="00A447FF">
              <w:t>and increases the</w:t>
            </w:r>
            <w:r w:rsidRPr="00A447FF">
              <w:t xml:space="preserve"> fellows’ likelihood for being certified according to recognized standards.</w:t>
            </w:r>
          </w:p>
        </w:tc>
        <w:tc>
          <w:tcPr>
            <w:tcW w:w="0" w:type="auto"/>
          </w:tcPr>
          <w:p w:rsidR="00905AE0" w:rsidRPr="00A447FF" w:rsidRDefault="00905AE0" w:rsidP="00905AE0">
            <w:r w:rsidRPr="00A447FF">
              <w:t>Substance Abuse Prevention workforce</w:t>
            </w:r>
          </w:p>
        </w:tc>
      </w:tr>
      <w:tr w:rsidR="00905AE0" w:rsidRPr="00A447FF" w:rsidTr="00905AE0">
        <w:tc>
          <w:tcPr>
            <w:tcW w:w="1998" w:type="dxa"/>
          </w:tcPr>
          <w:p w:rsidR="00905AE0" w:rsidRPr="00A447FF" w:rsidRDefault="00905AE0" w:rsidP="00905AE0">
            <w:r w:rsidRPr="00A447FF">
              <w:t>FASD</w:t>
            </w:r>
          </w:p>
        </w:tc>
        <w:tc>
          <w:tcPr>
            <w:tcW w:w="6030" w:type="dxa"/>
          </w:tcPr>
          <w:p w:rsidR="00905AE0" w:rsidRPr="00A447FF" w:rsidRDefault="00905AE0" w:rsidP="00905AE0">
            <w:r w:rsidRPr="00A447FF">
              <w:t>The SAMHSA FASD Center for Excellence was launched in 2001. Congress authorized the Center in Section 519D of the Children's Health Act of 2000, which included six mandates (</w:t>
            </w:r>
            <w:hyperlink r:id="rId8" w:tooltip="Legislation creating FASD Center for Excellence" w:history="1">
              <w:r w:rsidRPr="00A447FF">
                <w:rPr>
                  <w:rStyle w:val="Hyperlink"/>
                </w:rPr>
                <w:t>Section b of 42 USC 290bb-25d</w:t>
              </w:r>
            </w:hyperlink>
            <w:r w:rsidRPr="00A447FF">
              <w:t xml:space="preserve">  or </w:t>
            </w:r>
            <w:hyperlink r:id="rId9" w:tooltip="Public Law 106-310" w:history="1">
              <w:r w:rsidRPr="00A447FF">
                <w:rPr>
                  <w:rStyle w:val="Hyperlink"/>
                </w:rPr>
                <w:t>Public Law 106-310</w:t>
              </w:r>
            </w:hyperlink>
            <w:r w:rsidRPr="00A447FF">
              <w:t>) which focus on exploring innovative service delivery strategies, developing comprehensive systems of care for FASD prevention and treatment, training service system staff, families, and individuals with an FASD, and preventing alcohol use among women of childbearing age.</w:t>
            </w:r>
          </w:p>
          <w:p w:rsidR="00905AE0" w:rsidRPr="00A447FF" w:rsidRDefault="00905AE0" w:rsidP="00905AE0"/>
        </w:tc>
        <w:tc>
          <w:tcPr>
            <w:tcW w:w="0" w:type="auto"/>
          </w:tcPr>
          <w:p w:rsidR="00905AE0" w:rsidRPr="00A447FF" w:rsidRDefault="00905AE0" w:rsidP="00905AE0">
            <w:r w:rsidRPr="00A447FF">
              <w:t>At risk women, FASD children, providers of FASD support programs.</w:t>
            </w:r>
          </w:p>
        </w:tc>
      </w:tr>
      <w:tr w:rsidR="00905AE0" w:rsidRPr="00A447FF" w:rsidTr="00905AE0">
        <w:tc>
          <w:tcPr>
            <w:tcW w:w="1998" w:type="dxa"/>
          </w:tcPr>
          <w:p w:rsidR="00905AE0" w:rsidRPr="00A447FF" w:rsidRDefault="00905AE0" w:rsidP="00905AE0">
            <w:r w:rsidRPr="00A447FF">
              <w:lastRenderedPageBreak/>
              <w:t>SAMHSA’s Native American Center for Excellence</w:t>
            </w:r>
          </w:p>
        </w:tc>
        <w:tc>
          <w:tcPr>
            <w:tcW w:w="6030" w:type="dxa"/>
          </w:tcPr>
          <w:p w:rsidR="00905AE0" w:rsidRPr="00A447FF" w:rsidRDefault="00905AE0" w:rsidP="00905AE0">
            <w:r w:rsidRPr="00A447FF">
              <w:t>The Native American Center for Excellence (NACE) was established by SAMHSA’s Center for Substance Abuse Prevention (CSAP) as a national resource to address issues related to substance abuse prevention and behavioral health in Native American communities. Specifically, NACE also provides training and technical assistance support for urban and rural prevention programs serving AI/AN populations</w:t>
            </w:r>
          </w:p>
        </w:tc>
        <w:tc>
          <w:tcPr>
            <w:tcW w:w="0" w:type="auto"/>
          </w:tcPr>
          <w:p w:rsidR="00905AE0" w:rsidRPr="00A447FF" w:rsidRDefault="00905AE0" w:rsidP="00905AE0">
            <w:r w:rsidRPr="00A447FF">
              <w:t>Tribes/Tribal Government</w:t>
            </w:r>
          </w:p>
          <w:p w:rsidR="00905AE0" w:rsidRPr="00A447FF" w:rsidRDefault="00905AE0" w:rsidP="00905AE0"/>
          <w:p w:rsidR="00905AE0" w:rsidRPr="00A447FF" w:rsidRDefault="00905AE0" w:rsidP="00905AE0">
            <w:r w:rsidRPr="00A447FF">
              <w:t>Native American-serving organizations</w:t>
            </w:r>
          </w:p>
        </w:tc>
      </w:tr>
    </w:tbl>
    <w:p w:rsidR="008C2F54" w:rsidRPr="00A447FF" w:rsidRDefault="008C2F54" w:rsidP="008C2F54"/>
    <w:p w:rsidR="005A35A6" w:rsidRPr="00A447FF" w:rsidRDefault="0005705B" w:rsidP="007D761D">
      <w:pPr>
        <w:pStyle w:val="Heading2"/>
        <w:rPr>
          <w:rFonts w:ascii="Times New Roman" w:hAnsi="Times New Roman"/>
          <w:sz w:val="24"/>
          <w:szCs w:val="24"/>
        </w:rPr>
      </w:pPr>
      <w:r w:rsidRPr="00A447FF">
        <w:rPr>
          <w:rFonts w:ascii="Times New Roman" w:eastAsia="MS Mincho" w:hAnsi="Times New Roman"/>
          <w:sz w:val="24"/>
          <w:szCs w:val="24"/>
        </w:rPr>
        <w:t>B. Brief Statement of Objectives</w:t>
      </w:r>
    </w:p>
    <w:p w:rsidR="008E3AC6" w:rsidRPr="00A447FF" w:rsidRDefault="0005705B" w:rsidP="007D761D">
      <w:r w:rsidRPr="00A447FF">
        <w:t>The collection</w:t>
      </w:r>
      <w:r w:rsidR="00E17098" w:rsidRPr="00A447FF">
        <w:t xml:space="preserve"> of </w:t>
      </w:r>
      <w:r w:rsidR="00FD295C" w:rsidRPr="00A447FF">
        <w:t xml:space="preserve">the </w:t>
      </w:r>
      <w:r w:rsidR="00E17098" w:rsidRPr="00A447FF">
        <w:t xml:space="preserve">common </w:t>
      </w:r>
      <w:r w:rsidR="00314E7A" w:rsidRPr="00A447FF">
        <w:t xml:space="preserve">satisfaction </w:t>
      </w:r>
      <w:r w:rsidR="00E17098" w:rsidRPr="00A447FF">
        <w:t xml:space="preserve">measures will be used for three primary purposes. First, </w:t>
      </w:r>
      <w:r w:rsidR="00314E7A" w:rsidRPr="00A447FF">
        <w:t xml:space="preserve">these </w:t>
      </w:r>
      <w:r w:rsidR="00E17098" w:rsidRPr="00A447FF">
        <w:t>data</w:t>
      </w:r>
      <w:r w:rsidR="004E1C07" w:rsidRPr="00A447FF">
        <w:t xml:space="preserve"> wil</w:t>
      </w:r>
      <w:r w:rsidR="00E17098" w:rsidRPr="00A447FF">
        <w:t>l assist SAMHSA</w:t>
      </w:r>
      <w:r w:rsidR="00420AC0" w:rsidRPr="00A447FF">
        <w:t>/CSAP</w:t>
      </w:r>
      <w:r w:rsidR="00E17098" w:rsidRPr="00A447FF">
        <w:t xml:space="preserve"> in strengthening the </w:t>
      </w:r>
      <w:r w:rsidR="004E1C07" w:rsidRPr="00A447FF">
        <w:t xml:space="preserve">overall </w:t>
      </w:r>
      <w:r w:rsidR="00E17098" w:rsidRPr="00A447FF">
        <w:t xml:space="preserve">quality of </w:t>
      </w:r>
      <w:r w:rsidR="00314E7A" w:rsidRPr="00A447FF">
        <w:t xml:space="preserve">TTA </w:t>
      </w:r>
      <w:r w:rsidR="00E17098" w:rsidRPr="00A447FF">
        <w:t>services provided directly to the public. Second, the collection and analysis of these data will enable SAMHSA</w:t>
      </w:r>
      <w:r w:rsidR="00420AC0" w:rsidRPr="00A447FF">
        <w:t>/CSAP</w:t>
      </w:r>
      <w:r w:rsidR="00E17098" w:rsidRPr="00A447FF">
        <w:t xml:space="preserve"> to </w:t>
      </w:r>
      <w:r w:rsidR="00314E7A" w:rsidRPr="00A447FF">
        <w:t xml:space="preserve">fully </w:t>
      </w:r>
      <w:r w:rsidR="00E17098" w:rsidRPr="00A447FF">
        <w:t>comply with Executive Order 12862 that require</w:t>
      </w:r>
      <w:r w:rsidR="00314E7A" w:rsidRPr="00A447FF">
        <w:t>s</w:t>
      </w:r>
      <w:r w:rsidR="00E17098" w:rsidRPr="00A447FF">
        <w:t xml:space="preserve"> Federal agencies to assess satisfaction with services provided directly to the public. Lastly, these data will also enable SAMHSA</w:t>
      </w:r>
      <w:r w:rsidR="00420AC0" w:rsidRPr="00A447FF">
        <w:t>/CSAP</w:t>
      </w:r>
      <w:r w:rsidR="00E17098" w:rsidRPr="00A447FF">
        <w:t xml:space="preserve"> to reporting requirements set forth by the GPRA Modernization Act of 2010</w:t>
      </w:r>
      <w:r w:rsidR="00314E7A" w:rsidRPr="00A447FF">
        <w:t>.</w:t>
      </w:r>
    </w:p>
    <w:p w:rsidR="00033FEB" w:rsidRPr="00A447FF" w:rsidRDefault="00033FEB" w:rsidP="007D761D"/>
    <w:p w:rsidR="00E56AC3" w:rsidRPr="00A447FF" w:rsidRDefault="00E56AC3" w:rsidP="00A447FF">
      <w:r w:rsidRPr="00A447FF">
        <w:t>The performance measures information is</w:t>
      </w:r>
      <w:r w:rsidR="00921567" w:rsidRPr="00A447FF">
        <w:t xml:space="preserve"> used by SAMHSA and by the individual contractors.  </w:t>
      </w:r>
      <w:r w:rsidRPr="00A447FF">
        <w:t xml:space="preserve">  </w:t>
      </w:r>
      <w:r w:rsidR="00921567" w:rsidRPr="00A447FF">
        <w:t>T</w:t>
      </w:r>
      <w:r w:rsidRPr="00A447FF">
        <w:t xml:space="preserve">he information is used to monitor and manage </w:t>
      </w:r>
      <w:r w:rsidR="00921567" w:rsidRPr="00A447FF">
        <w:t xml:space="preserve">the individual contracts by the COR.  It is used </w:t>
      </w:r>
      <w:r w:rsidR="00A447FF">
        <w:t xml:space="preserve">at the Federal level </w:t>
      </w:r>
      <w:r w:rsidR="00921567" w:rsidRPr="00A447FF">
        <w:t xml:space="preserve">to track performance over time and in relation to previously established targets or benchmarks. These findings are used for GPRA reporting in quarterly and annual documents. It is also used to assess Center progress over all of its TTA mechanisms over time. </w:t>
      </w:r>
      <w:r w:rsidR="00A447FF">
        <w:t xml:space="preserve">In addition, </w:t>
      </w:r>
      <w:r w:rsidR="00921567" w:rsidRPr="00A447FF">
        <w:t xml:space="preserve">the </w:t>
      </w:r>
      <w:r w:rsidRPr="00A447FF">
        <w:t>contract staff uses the information to improve the quality of</w:t>
      </w:r>
      <w:r w:rsidR="00921567" w:rsidRPr="00A447FF">
        <w:t xml:space="preserve"> the TTA services it provides</w:t>
      </w:r>
      <w:r w:rsidR="003F75D3">
        <w:t>.</w:t>
      </w:r>
    </w:p>
    <w:p w:rsidR="004E1C07" w:rsidRPr="00A447FF" w:rsidRDefault="004E1C07" w:rsidP="00DE7F0D"/>
    <w:p w:rsidR="00401FE0" w:rsidRPr="00A447FF" w:rsidRDefault="00401FE0" w:rsidP="00401FE0">
      <w:r w:rsidRPr="00A447FF">
        <w:t xml:space="preserve">The information is gathered through voluntary customer surveys and is used to identify strengths and weaknesses in current services provided by CSAP and to make improvements that are practical and feasible. Information from these customer surveys is used to plan and to redirect resources and efforts to improve or maintain a high quality of service to prevention providers and members of the public. </w:t>
      </w:r>
    </w:p>
    <w:p w:rsidR="00401FE0" w:rsidRPr="00A447FF" w:rsidRDefault="00401FE0" w:rsidP="00401FE0"/>
    <w:p w:rsidR="00401FE0" w:rsidRPr="00A447FF" w:rsidRDefault="00401FE0" w:rsidP="00401FE0">
      <w:r w:rsidRPr="00A447FF">
        <w:t>If this information is not collected, vital feedback regarding customers’ perception of the value various aspects of the Agency’s program services will be unavailable. This would inhibit SAMHSA’s ability to develop, implement and refine programs, products, and services in a manner that is most consistent with customers’ needs.</w:t>
      </w:r>
    </w:p>
    <w:p w:rsidR="005A35A6" w:rsidRPr="00A447FF" w:rsidRDefault="0005705B" w:rsidP="0005705B">
      <w:pPr>
        <w:pStyle w:val="Body"/>
        <w:rPr>
          <w:rFonts w:ascii="Times New Roman" w:eastAsia="MS Mincho" w:hAnsi="Times New Roman"/>
          <w:b/>
          <w:szCs w:val="24"/>
        </w:rPr>
      </w:pPr>
      <w:r w:rsidRPr="00A447FF">
        <w:rPr>
          <w:rFonts w:ascii="Times New Roman" w:eastAsia="MS Mincho" w:hAnsi="Times New Roman"/>
          <w:b/>
          <w:szCs w:val="24"/>
        </w:rPr>
        <w:t xml:space="preserve">C. </w:t>
      </w:r>
      <w:r w:rsidR="00777A7B" w:rsidRPr="00A447FF">
        <w:rPr>
          <w:rFonts w:ascii="Times New Roman" w:eastAsia="MS Mincho" w:hAnsi="Times New Roman"/>
          <w:b/>
          <w:szCs w:val="24"/>
        </w:rPr>
        <w:t>Overview of Methods to Collect Information</w:t>
      </w:r>
    </w:p>
    <w:p w:rsidR="00777A7B" w:rsidRPr="00A447FF" w:rsidRDefault="00777A7B" w:rsidP="00777A7B">
      <w:pPr>
        <w:pStyle w:val="Body"/>
        <w:spacing w:line="240" w:lineRule="auto"/>
        <w:rPr>
          <w:rFonts w:ascii="Times New Roman" w:eastAsia="MS Mincho" w:hAnsi="Times New Roman"/>
          <w:b/>
          <w:kern w:val="28"/>
          <w:szCs w:val="24"/>
        </w:rPr>
      </w:pPr>
      <w:r w:rsidRPr="00A447FF">
        <w:rPr>
          <w:rFonts w:ascii="Times New Roman" w:eastAsia="MS Mincho" w:hAnsi="Times New Roman"/>
          <w:b/>
          <w:kern w:val="28"/>
          <w:szCs w:val="24"/>
        </w:rPr>
        <w:t>Data Collection Method</w:t>
      </w:r>
    </w:p>
    <w:p w:rsidR="00866D62" w:rsidRPr="00A447FF" w:rsidRDefault="007B011C" w:rsidP="00777A7B">
      <w:pPr>
        <w:pStyle w:val="Body"/>
        <w:numPr>
          <w:ilvl w:val="0"/>
          <w:numId w:val="21"/>
        </w:numPr>
        <w:spacing w:line="240" w:lineRule="auto"/>
        <w:rPr>
          <w:rFonts w:ascii="Times New Roman" w:eastAsia="MS Mincho" w:hAnsi="Times New Roman"/>
          <w:b/>
          <w:kern w:val="28"/>
          <w:szCs w:val="24"/>
        </w:rPr>
      </w:pPr>
      <w:r w:rsidRPr="00A447FF">
        <w:rPr>
          <w:rFonts w:ascii="Times New Roman" w:hAnsi="Times New Roman"/>
          <w:szCs w:val="24"/>
        </w:rPr>
        <w:t xml:space="preserve">Data will be collected at the end of the learning event and again electronically 3-6 months following the event for implementation </w:t>
      </w:r>
      <w:r w:rsidR="00FF335E" w:rsidRPr="00A447FF">
        <w:rPr>
          <w:rFonts w:ascii="Times New Roman" w:hAnsi="Times New Roman"/>
          <w:szCs w:val="24"/>
        </w:rPr>
        <w:t xml:space="preserve">related </w:t>
      </w:r>
      <w:r w:rsidRPr="00A447FF">
        <w:rPr>
          <w:rFonts w:ascii="Times New Roman" w:hAnsi="Times New Roman"/>
          <w:szCs w:val="24"/>
        </w:rPr>
        <w:t>questions.</w:t>
      </w:r>
    </w:p>
    <w:p w:rsidR="00E90AF6" w:rsidRPr="00A447FF" w:rsidRDefault="00E90AF6" w:rsidP="00777A7B">
      <w:pPr>
        <w:pStyle w:val="Body"/>
        <w:numPr>
          <w:ilvl w:val="0"/>
          <w:numId w:val="21"/>
        </w:numPr>
        <w:spacing w:line="240" w:lineRule="auto"/>
        <w:rPr>
          <w:rFonts w:ascii="Times New Roman" w:eastAsia="MS Mincho" w:hAnsi="Times New Roman"/>
          <w:b/>
          <w:kern w:val="28"/>
          <w:szCs w:val="24"/>
        </w:rPr>
      </w:pPr>
      <w:r w:rsidRPr="00A447FF">
        <w:rPr>
          <w:rFonts w:ascii="Times New Roman" w:hAnsi="Times New Roman"/>
          <w:szCs w:val="24"/>
        </w:rPr>
        <w:t xml:space="preserve">Analyses will primarily consist of descriptive statistics (e.g., frequency distributions, means, and other measures of central tendency) to better understand associations between recipient characteristics and their satisfaction with, and perceived value of TTA services.     </w:t>
      </w:r>
    </w:p>
    <w:p w:rsidR="008A5156" w:rsidRPr="00A447FF" w:rsidRDefault="00FF335E" w:rsidP="008A5156">
      <w:pPr>
        <w:rPr>
          <w:b/>
        </w:rPr>
      </w:pPr>
      <w:r w:rsidRPr="00A447FF">
        <w:rPr>
          <w:b/>
        </w:rPr>
        <w:t>Identifying respondents</w:t>
      </w:r>
    </w:p>
    <w:p w:rsidR="003F75D3" w:rsidRDefault="00FF335E" w:rsidP="008A5156">
      <w:pPr>
        <w:numPr>
          <w:ilvl w:val="0"/>
          <w:numId w:val="21"/>
        </w:numPr>
      </w:pPr>
      <w:r w:rsidRPr="00A447FF">
        <w:lastRenderedPageBreak/>
        <w:t xml:space="preserve">All recipients of TTA will be eligible and encouraged to participate in the data collection. </w:t>
      </w:r>
    </w:p>
    <w:p w:rsidR="008A5156" w:rsidRPr="00A447FF" w:rsidRDefault="00FF335E" w:rsidP="003F75D3">
      <w:pPr>
        <w:ind w:left="720"/>
      </w:pPr>
      <w:r w:rsidRPr="00A447FF">
        <w:t xml:space="preserve"> </w:t>
      </w:r>
    </w:p>
    <w:p w:rsidR="00FF335E" w:rsidRDefault="008A5156" w:rsidP="00FF335E">
      <w:pPr>
        <w:numPr>
          <w:ilvl w:val="0"/>
          <w:numId w:val="21"/>
        </w:numPr>
      </w:pPr>
      <w:r w:rsidRPr="00A447FF">
        <w:t xml:space="preserve">Participation will be fully voluntary, and non-participation will have no impact on eligibility for or receipt of future services. </w:t>
      </w:r>
      <w:r w:rsidR="00FF335E" w:rsidRPr="00A447FF">
        <w:t>Given the voluntary nature of the data collection efforts, efforts will be made to achieve the highest response rate possible. To the extent feasible, efforts will be made to assess non-response bias.</w:t>
      </w:r>
      <w:r w:rsidR="00851E95" w:rsidRPr="00A447FF">
        <w:t xml:space="preserve">  Historically, response rates to satisfactions surveys from recipients of TTA services have ranged from 70 to 90 percent.</w:t>
      </w:r>
    </w:p>
    <w:p w:rsidR="003F75D3" w:rsidRDefault="003F75D3" w:rsidP="003F75D3">
      <w:pPr>
        <w:pStyle w:val="ListParagraph"/>
      </w:pPr>
    </w:p>
    <w:p w:rsidR="006451AC" w:rsidRPr="00A447FF" w:rsidRDefault="006451AC" w:rsidP="00E90AF6">
      <w:pPr>
        <w:pStyle w:val="ListParagraph"/>
        <w:numPr>
          <w:ilvl w:val="0"/>
          <w:numId w:val="21"/>
        </w:numPr>
        <w:spacing w:line="240" w:lineRule="auto"/>
        <w:rPr>
          <w:rFonts w:ascii="Times New Roman" w:hAnsi="Times New Roman"/>
          <w:sz w:val="24"/>
          <w:szCs w:val="24"/>
        </w:rPr>
      </w:pPr>
      <w:r w:rsidRPr="00A447FF">
        <w:rPr>
          <w:rFonts w:ascii="Times New Roman" w:hAnsi="Times New Roman"/>
          <w:sz w:val="24"/>
          <w:szCs w:val="24"/>
        </w:rPr>
        <w:t>The protection of respondents’ identifying information will be assured and, to the extent possible, responses will be anonymous. In instances where respondent identity is needed for follow-up, the information collection will fully comply with relevant aspects of the Privacy Act, as well as 42CFR Part II. As mandated by the Paperwork Reduction Act of 1995, respondents will be assured that their decision to participate will not have any effect on their eligibility to receive TTA services.</w:t>
      </w:r>
    </w:p>
    <w:p w:rsidR="003F75D3" w:rsidRDefault="00FF335E" w:rsidP="008A5156">
      <w:pPr>
        <w:rPr>
          <w:b/>
        </w:rPr>
      </w:pPr>
      <w:r w:rsidRPr="00A447FF">
        <w:rPr>
          <w:b/>
        </w:rPr>
        <w:t>Frequency of data collection</w:t>
      </w:r>
    </w:p>
    <w:p w:rsidR="008A5156" w:rsidRPr="00A447FF" w:rsidRDefault="00FF335E" w:rsidP="008A5156">
      <w:pPr>
        <w:rPr>
          <w:b/>
        </w:rPr>
      </w:pPr>
      <w:r w:rsidRPr="00A447FF">
        <w:rPr>
          <w:b/>
        </w:rPr>
        <w:t xml:space="preserve"> </w:t>
      </w:r>
    </w:p>
    <w:p w:rsidR="008A5156" w:rsidRPr="00A447FF" w:rsidRDefault="008434A9" w:rsidP="008A5156">
      <w:pPr>
        <w:numPr>
          <w:ilvl w:val="0"/>
          <w:numId w:val="21"/>
        </w:numPr>
      </w:pPr>
      <w:r w:rsidRPr="00A447FF">
        <w:t xml:space="preserve">Information will be collected after the event and 3-6 months following the event on the implementation questions. </w:t>
      </w:r>
      <w:r w:rsidR="008A5156" w:rsidRPr="00A447FF">
        <w:t>Follow-up efforts will take place in accordance with contractual agreements and at an interval that is appropriate to accurately measure the effect of services provided.</w:t>
      </w:r>
    </w:p>
    <w:p w:rsidR="005A35A6" w:rsidRPr="00A447FF" w:rsidRDefault="00777A7B" w:rsidP="007D761D">
      <w:pPr>
        <w:pStyle w:val="Heading2"/>
        <w:rPr>
          <w:rFonts w:ascii="Times New Roman" w:eastAsia="MS Mincho" w:hAnsi="Times New Roman"/>
          <w:sz w:val="24"/>
          <w:szCs w:val="24"/>
        </w:rPr>
      </w:pPr>
      <w:r w:rsidRPr="00A447FF">
        <w:rPr>
          <w:rFonts w:ascii="Times New Roman" w:eastAsia="MS Mincho" w:hAnsi="Times New Roman"/>
          <w:sz w:val="24"/>
          <w:szCs w:val="24"/>
        </w:rPr>
        <w:t xml:space="preserve">Methods for </w:t>
      </w:r>
      <w:r w:rsidR="00E7401F" w:rsidRPr="00A447FF">
        <w:rPr>
          <w:rFonts w:ascii="Times New Roman" w:eastAsia="MS Mincho" w:hAnsi="Times New Roman"/>
          <w:sz w:val="24"/>
          <w:szCs w:val="24"/>
        </w:rPr>
        <w:t>Identify</w:t>
      </w:r>
      <w:r w:rsidRPr="00A447FF">
        <w:rPr>
          <w:rFonts w:ascii="Times New Roman" w:eastAsia="MS Mincho" w:hAnsi="Times New Roman"/>
          <w:sz w:val="24"/>
          <w:szCs w:val="24"/>
        </w:rPr>
        <w:t>ing</w:t>
      </w:r>
      <w:r w:rsidR="00E7401F" w:rsidRPr="00A447FF">
        <w:rPr>
          <w:rFonts w:ascii="Times New Roman" w:eastAsia="MS Mincho" w:hAnsi="Times New Roman"/>
          <w:sz w:val="24"/>
          <w:szCs w:val="24"/>
        </w:rPr>
        <w:t xml:space="preserve"> Duplication</w:t>
      </w:r>
      <w:r w:rsidRPr="00A447FF">
        <w:rPr>
          <w:rFonts w:ascii="Times New Roman" w:eastAsia="MS Mincho" w:hAnsi="Times New Roman"/>
          <w:sz w:val="24"/>
          <w:szCs w:val="24"/>
        </w:rPr>
        <w:t>s</w:t>
      </w:r>
    </w:p>
    <w:p w:rsidR="00FF335E" w:rsidRDefault="007D0417" w:rsidP="00FF335E">
      <w:pPr>
        <w:pStyle w:val="ListParagraph"/>
        <w:numPr>
          <w:ilvl w:val="0"/>
          <w:numId w:val="21"/>
        </w:numPr>
        <w:spacing w:line="240" w:lineRule="auto"/>
        <w:rPr>
          <w:rFonts w:ascii="Times New Roman" w:hAnsi="Times New Roman"/>
          <w:sz w:val="24"/>
          <w:szCs w:val="24"/>
        </w:rPr>
      </w:pPr>
      <w:r w:rsidRPr="00A447FF">
        <w:rPr>
          <w:rFonts w:ascii="Times New Roman" w:hAnsi="Times New Roman"/>
          <w:sz w:val="24"/>
          <w:szCs w:val="24"/>
        </w:rPr>
        <w:t xml:space="preserve">The identified common measures resulted from an internal effort to reduce duplication and maximize data collection efforts among TTA </w:t>
      </w:r>
      <w:r w:rsidR="00A6603D" w:rsidRPr="00A447FF">
        <w:rPr>
          <w:rFonts w:ascii="Times New Roman" w:hAnsi="Times New Roman"/>
          <w:sz w:val="24"/>
          <w:szCs w:val="24"/>
        </w:rPr>
        <w:t>providers.  A</w:t>
      </w:r>
      <w:r w:rsidRPr="00A447FF">
        <w:rPr>
          <w:rFonts w:ascii="Times New Roman" w:hAnsi="Times New Roman"/>
          <w:sz w:val="24"/>
          <w:szCs w:val="24"/>
        </w:rPr>
        <w:t xml:space="preserve">ny potential for further duplication </w:t>
      </w:r>
      <w:r w:rsidR="007D761D" w:rsidRPr="00A447FF">
        <w:rPr>
          <w:rFonts w:ascii="Times New Roman" w:hAnsi="Times New Roman"/>
          <w:sz w:val="24"/>
          <w:szCs w:val="24"/>
        </w:rPr>
        <w:t xml:space="preserve">will be identified </w:t>
      </w:r>
      <w:r w:rsidRPr="00A447FF">
        <w:rPr>
          <w:rFonts w:ascii="Times New Roman" w:hAnsi="Times New Roman"/>
          <w:sz w:val="24"/>
          <w:szCs w:val="24"/>
        </w:rPr>
        <w:t>during</w:t>
      </w:r>
      <w:r w:rsidR="007D761D" w:rsidRPr="00A447FF">
        <w:rPr>
          <w:rFonts w:ascii="Times New Roman" w:hAnsi="Times New Roman"/>
          <w:sz w:val="24"/>
          <w:szCs w:val="24"/>
        </w:rPr>
        <w:t xml:space="preserve"> SAMHSA</w:t>
      </w:r>
      <w:r w:rsidR="001D70BD" w:rsidRPr="00A447FF">
        <w:rPr>
          <w:rFonts w:ascii="Times New Roman" w:hAnsi="Times New Roman"/>
          <w:sz w:val="24"/>
          <w:szCs w:val="24"/>
        </w:rPr>
        <w:t>’s</w:t>
      </w:r>
      <w:r w:rsidR="007D761D" w:rsidRPr="00A447FF">
        <w:rPr>
          <w:rFonts w:ascii="Times New Roman" w:hAnsi="Times New Roman"/>
          <w:sz w:val="24"/>
          <w:szCs w:val="24"/>
        </w:rPr>
        <w:t xml:space="preserve"> </w:t>
      </w:r>
      <w:r w:rsidR="001D70BD" w:rsidRPr="00A447FF">
        <w:rPr>
          <w:rFonts w:ascii="Times New Roman" w:hAnsi="Times New Roman"/>
          <w:sz w:val="24"/>
          <w:szCs w:val="24"/>
        </w:rPr>
        <w:t xml:space="preserve">internal </w:t>
      </w:r>
      <w:r w:rsidR="007D761D" w:rsidRPr="00A447FF">
        <w:rPr>
          <w:rFonts w:ascii="Times New Roman" w:hAnsi="Times New Roman"/>
          <w:sz w:val="24"/>
          <w:szCs w:val="24"/>
        </w:rPr>
        <w:t>review and approval process.</w:t>
      </w:r>
      <w:r w:rsidR="00420AC0" w:rsidRPr="00A447FF">
        <w:rPr>
          <w:rFonts w:ascii="Times New Roman" w:hAnsi="Times New Roman"/>
          <w:sz w:val="24"/>
          <w:szCs w:val="24"/>
        </w:rPr>
        <w:t xml:space="preserve"> This and other proposed data collection activities will </w:t>
      </w:r>
      <w:r w:rsidR="001D70BD" w:rsidRPr="00A447FF">
        <w:rPr>
          <w:rFonts w:ascii="Times New Roman" w:hAnsi="Times New Roman"/>
          <w:sz w:val="24"/>
          <w:szCs w:val="24"/>
        </w:rPr>
        <w:t xml:space="preserve">also be </w:t>
      </w:r>
      <w:r w:rsidR="007D761D" w:rsidRPr="00A447FF">
        <w:rPr>
          <w:rFonts w:ascii="Times New Roman" w:hAnsi="Times New Roman"/>
          <w:sz w:val="24"/>
          <w:szCs w:val="24"/>
        </w:rPr>
        <w:t xml:space="preserve">shared among </w:t>
      </w:r>
      <w:r w:rsidR="00420AC0" w:rsidRPr="00A447FF">
        <w:rPr>
          <w:rFonts w:ascii="Times New Roman" w:hAnsi="Times New Roman"/>
          <w:sz w:val="24"/>
          <w:szCs w:val="24"/>
        </w:rPr>
        <w:t xml:space="preserve">SAMHSA staff </w:t>
      </w:r>
      <w:r w:rsidR="001D70BD" w:rsidRPr="00A447FF">
        <w:rPr>
          <w:rFonts w:ascii="Times New Roman" w:hAnsi="Times New Roman"/>
          <w:sz w:val="24"/>
          <w:szCs w:val="24"/>
        </w:rPr>
        <w:t>in an effort to increase awareness within SAMHSA about the proposed</w:t>
      </w:r>
      <w:r w:rsidR="00FE22DE" w:rsidRPr="00A447FF">
        <w:rPr>
          <w:rFonts w:ascii="Times New Roman" w:hAnsi="Times New Roman"/>
          <w:sz w:val="24"/>
          <w:szCs w:val="24"/>
        </w:rPr>
        <w:t xml:space="preserve"> </w:t>
      </w:r>
      <w:r w:rsidR="001D70BD" w:rsidRPr="00A447FF">
        <w:rPr>
          <w:rFonts w:ascii="Times New Roman" w:hAnsi="Times New Roman"/>
          <w:sz w:val="24"/>
          <w:szCs w:val="24"/>
        </w:rPr>
        <w:t xml:space="preserve">data collection activity. </w:t>
      </w:r>
      <w:r w:rsidR="00420AC0" w:rsidRPr="00A447FF">
        <w:rPr>
          <w:rFonts w:ascii="Times New Roman" w:hAnsi="Times New Roman"/>
          <w:sz w:val="24"/>
          <w:szCs w:val="24"/>
        </w:rPr>
        <w:t xml:space="preserve">In turn, this will help prevent duplication and increase coordination </w:t>
      </w:r>
      <w:r w:rsidR="00FD295C" w:rsidRPr="00A447FF">
        <w:rPr>
          <w:rFonts w:ascii="Times New Roman" w:hAnsi="Times New Roman"/>
          <w:sz w:val="24"/>
          <w:szCs w:val="24"/>
        </w:rPr>
        <w:t xml:space="preserve">of </w:t>
      </w:r>
      <w:r w:rsidR="006D5F1B">
        <w:rPr>
          <w:rFonts w:ascii="Times New Roman" w:hAnsi="Times New Roman"/>
          <w:sz w:val="24"/>
          <w:szCs w:val="24"/>
        </w:rPr>
        <w:t>TTA-related data collection activities within SAMHSA.</w:t>
      </w:r>
    </w:p>
    <w:p w:rsidR="00D477DD" w:rsidRPr="00A447FF" w:rsidRDefault="00E90AF6" w:rsidP="00A447FF">
      <w:pPr>
        <w:pStyle w:val="Heading2"/>
        <w:spacing w:before="120" w:after="0" w:line="360" w:lineRule="auto"/>
        <w:rPr>
          <w:rFonts w:ascii="Times New Roman" w:hAnsi="Times New Roman"/>
          <w:b w:val="0"/>
          <w:sz w:val="24"/>
          <w:szCs w:val="24"/>
        </w:rPr>
      </w:pPr>
      <w:r w:rsidRPr="00A447FF">
        <w:rPr>
          <w:rFonts w:ascii="Times New Roman" w:hAnsi="Times New Roman"/>
          <w:sz w:val="24"/>
          <w:szCs w:val="24"/>
        </w:rPr>
        <w:t xml:space="preserve">D.  </w:t>
      </w:r>
      <w:r w:rsidR="003C15FA" w:rsidRPr="00A447FF">
        <w:rPr>
          <w:rFonts w:ascii="Times New Roman" w:hAnsi="Times New Roman"/>
          <w:sz w:val="24"/>
          <w:szCs w:val="24"/>
        </w:rPr>
        <w:t xml:space="preserve">Annualized </w:t>
      </w:r>
      <w:r w:rsidRPr="00A447FF">
        <w:rPr>
          <w:rFonts w:ascii="Times New Roman" w:hAnsi="Times New Roman"/>
          <w:sz w:val="24"/>
          <w:szCs w:val="24"/>
        </w:rPr>
        <w:t xml:space="preserve">Response </w:t>
      </w:r>
      <w:r w:rsidR="003C15FA" w:rsidRPr="00A447FF">
        <w:rPr>
          <w:rFonts w:ascii="Times New Roman" w:hAnsi="Times New Roman"/>
          <w:sz w:val="24"/>
          <w:szCs w:val="24"/>
        </w:rPr>
        <w:t>Burden</w:t>
      </w:r>
      <w:r w:rsidRPr="00A447FF">
        <w:rPr>
          <w:rFonts w:ascii="Times New Roman" w:hAnsi="Times New Roman"/>
          <w:sz w:val="24"/>
          <w:szCs w:val="24"/>
        </w:rPr>
        <w:t xml:space="preserve"> Estimate </w:t>
      </w:r>
    </w:p>
    <w:tbl>
      <w:tblPr>
        <w:tblStyle w:val="LightList1"/>
        <w:tblpPr w:leftFromText="180" w:rightFromText="180" w:vertAnchor="text" w:tblpY="159"/>
        <w:tblW w:w="5367" w:type="pct"/>
        <w:tblBorders>
          <w:insideH w:val="single" w:sz="8" w:space="0" w:color="000000" w:themeColor="text1"/>
          <w:insideV w:val="single" w:sz="8" w:space="0" w:color="000000" w:themeColor="text1"/>
        </w:tblBorders>
        <w:tblLook w:val="04A0"/>
      </w:tblPr>
      <w:tblGrid>
        <w:gridCol w:w="2411"/>
        <w:gridCol w:w="1458"/>
        <w:gridCol w:w="1363"/>
        <w:gridCol w:w="1270"/>
        <w:gridCol w:w="1110"/>
        <w:gridCol w:w="804"/>
        <w:gridCol w:w="950"/>
        <w:gridCol w:w="913"/>
      </w:tblGrid>
      <w:tr w:rsidR="008A5156" w:rsidRPr="00A447FF" w:rsidTr="00A447FF">
        <w:trPr>
          <w:cnfStyle w:val="100000000000"/>
          <w:tblHeader/>
        </w:trPr>
        <w:tc>
          <w:tcPr>
            <w:cnfStyle w:val="001000000000"/>
            <w:tcW w:w="1173" w:type="pct"/>
            <w:vAlign w:val="center"/>
          </w:tcPr>
          <w:p w:rsidR="008A5156" w:rsidRPr="00A447FF" w:rsidRDefault="008A5156" w:rsidP="008A5156">
            <w:pPr>
              <w:jc w:val="center"/>
              <w:rPr>
                <w:rFonts w:ascii="Times New Roman" w:hAnsi="Times New Roman" w:cs="Times New Roman"/>
                <w:b w:val="0"/>
                <w:bCs w:val="0"/>
                <w:iCs/>
                <w:color w:val="FFFFFF"/>
              </w:rPr>
            </w:pPr>
            <w:r w:rsidRPr="00A447FF">
              <w:rPr>
                <w:rFonts w:ascii="Times New Roman" w:hAnsi="Times New Roman" w:cs="Times New Roman"/>
                <w:iCs/>
                <w:color w:val="FFFFFF"/>
              </w:rPr>
              <w:t>TTA Provider</w:t>
            </w:r>
          </w:p>
        </w:tc>
        <w:tc>
          <w:tcPr>
            <w:tcW w:w="709" w:type="pct"/>
            <w:vAlign w:val="center"/>
          </w:tcPr>
          <w:p w:rsidR="008A5156" w:rsidRPr="00A447FF" w:rsidRDefault="008A5156" w:rsidP="008A5156">
            <w:pPr>
              <w:jc w:val="center"/>
              <w:cnfStyle w:val="100000000000"/>
              <w:rPr>
                <w:rFonts w:ascii="Times New Roman" w:hAnsi="Times New Roman" w:cs="Times New Roman"/>
                <w:b w:val="0"/>
                <w:bCs w:val="0"/>
                <w:color w:val="FFFFFF"/>
              </w:rPr>
            </w:pPr>
            <w:r w:rsidRPr="00A447FF">
              <w:rPr>
                <w:rFonts w:ascii="Times New Roman" w:hAnsi="Times New Roman" w:cs="Times New Roman"/>
                <w:color w:val="FFFFFF"/>
              </w:rPr>
              <w:t>Number of respondents</w:t>
            </w:r>
          </w:p>
        </w:tc>
        <w:tc>
          <w:tcPr>
            <w:tcW w:w="663" w:type="pct"/>
            <w:vAlign w:val="center"/>
          </w:tcPr>
          <w:p w:rsidR="008A5156" w:rsidRPr="00A447FF" w:rsidRDefault="008A5156" w:rsidP="008A5156">
            <w:pPr>
              <w:jc w:val="center"/>
              <w:cnfStyle w:val="100000000000"/>
              <w:rPr>
                <w:rFonts w:ascii="Times New Roman" w:hAnsi="Times New Roman" w:cs="Times New Roman"/>
                <w:b w:val="0"/>
                <w:bCs w:val="0"/>
                <w:iCs/>
                <w:color w:val="FFFFFF"/>
              </w:rPr>
            </w:pPr>
            <w:r w:rsidRPr="00A447FF">
              <w:rPr>
                <w:rFonts w:ascii="Times New Roman" w:hAnsi="Times New Roman" w:cs="Times New Roman"/>
                <w:iCs/>
                <w:color w:val="FFFFFF"/>
              </w:rPr>
              <w:t>Responses per respondent</w:t>
            </w:r>
          </w:p>
        </w:tc>
        <w:tc>
          <w:tcPr>
            <w:tcW w:w="618" w:type="pct"/>
            <w:vAlign w:val="center"/>
          </w:tcPr>
          <w:p w:rsidR="008A5156" w:rsidRPr="00A447FF" w:rsidRDefault="008A5156" w:rsidP="008A5156">
            <w:pPr>
              <w:jc w:val="center"/>
              <w:cnfStyle w:val="100000000000"/>
              <w:rPr>
                <w:rFonts w:ascii="Times New Roman" w:hAnsi="Times New Roman" w:cs="Times New Roman"/>
              </w:rPr>
            </w:pPr>
            <w:r w:rsidRPr="00A447FF">
              <w:rPr>
                <w:rFonts w:ascii="Times New Roman" w:hAnsi="Times New Roman" w:cs="Times New Roman"/>
              </w:rPr>
              <w:t>Total Number of Responses</w:t>
            </w:r>
          </w:p>
        </w:tc>
        <w:tc>
          <w:tcPr>
            <w:tcW w:w="540" w:type="pct"/>
            <w:vAlign w:val="center"/>
          </w:tcPr>
          <w:p w:rsidR="008A5156" w:rsidRPr="00A447FF" w:rsidRDefault="008A5156" w:rsidP="008A5156">
            <w:pPr>
              <w:jc w:val="center"/>
              <w:cnfStyle w:val="100000000000"/>
              <w:rPr>
                <w:rFonts w:ascii="Times New Roman" w:hAnsi="Times New Roman" w:cs="Times New Roman"/>
                <w:b w:val="0"/>
                <w:bCs w:val="0"/>
                <w:iCs/>
                <w:color w:val="FFFFFF"/>
              </w:rPr>
            </w:pPr>
            <w:r w:rsidRPr="00A447FF">
              <w:rPr>
                <w:rFonts w:ascii="Times New Roman" w:hAnsi="Times New Roman" w:cs="Times New Roman"/>
                <w:iCs/>
                <w:color w:val="FFFFFF"/>
              </w:rPr>
              <w:t>Hours/ response</w:t>
            </w:r>
          </w:p>
        </w:tc>
        <w:tc>
          <w:tcPr>
            <w:tcW w:w="391" w:type="pct"/>
            <w:vAlign w:val="center"/>
          </w:tcPr>
          <w:p w:rsidR="008A5156" w:rsidRPr="00A447FF" w:rsidRDefault="008A5156" w:rsidP="008A5156">
            <w:pPr>
              <w:jc w:val="center"/>
              <w:cnfStyle w:val="100000000000"/>
              <w:rPr>
                <w:rFonts w:ascii="Times New Roman" w:hAnsi="Times New Roman" w:cs="Times New Roman"/>
                <w:b w:val="0"/>
                <w:bCs w:val="0"/>
                <w:color w:val="FFFFFF"/>
              </w:rPr>
            </w:pPr>
            <w:r w:rsidRPr="00A447FF">
              <w:rPr>
                <w:rFonts w:ascii="Times New Roman" w:hAnsi="Times New Roman" w:cs="Times New Roman"/>
                <w:color w:val="FFFFFF"/>
              </w:rPr>
              <w:t>Total hours</w:t>
            </w:r>
          </w:p>
        </w:tc>
        <w:tc>
          <w:tcPr>
            <w:tcW w:w="462" w:type="pct"/>
            <w:vAlign w:val="center"/>
          </w:tcPr>
          <w:p w:rsidR="008A5156" w:rsidRPr="00A447FF" w:rsidRDefault="008A5156" w:rsidP="008A5156">
            <w:pPr>
              <w:jc w:val="center"/>
              <w:cnfStyle w:val="100000000000"/>
              <w:rPr>
                <w:rFonts w:ascii="Times New Roman" w:hAnsi="Times New Roman" w:cs="Times New Roman"/>
                <w:b w:val="0"/>
                <w:bCs w:val="0"/>
                <w:color w:val="FFFFFF"/>
              </w:rPr>
            </w:pPr>
            <w:r w:rsidRPr="00A447FF">
              <w:rPr>
                <w:rFonts w:ascii="Times New Roman" w:hAnsi="Times New Roman" w:cs="Times New Roman"/>
                <w:color w:val="FFFFFF"/>
              </w:rPr>
              <w:t>Hourly Wage</w:t>
            </w:r>
            <w:r w:rsidRPr="00A447FF">
              <w:rPr>
                <w:rStyle w:val="FootnoteReference"/>
                <w:rFonts w:ascii="Times New Roman" w:hAnsi="Times New Roman" w:cs="Times New Roman"/>
                <w:color w:val="FFFFFF"/>
              </w:rPr>
              <w:footnoteReference w:id="1"/>
            </w:r>
          </w:p>
        </w:tc>
        <w:tc>
          <w:tcPr>
            <w:tcW w:w="445" w:type="pct"/>
            <w:vAlign w:val="center"/>
          </w:tcPr>
          <w:p w:rsidR="008A5156" w:rsidRPr="00A447FF" w:rsidRDefault="008A5156" w:rsidP="008A5156">
            <w:pPr>
              <w:jc w:val="center"/>
              <w:cnfStyle w:val="100000000000"/>
              <w:rPr>
                <w:rFonts w:ascii="Times New Roman" w:hAnsi="Times New Roman" w:cs="Times New Roman"/>
                <w:b w:val="0"/>
                <w:bCs w:val="0"/>
                <w:color w:val="FFFFFF"/>
              </w:rPr>
            </w:pPr>
            <w:r w:rsidRPr="00A447FF">
              <w:rPr>
                <w:rFonts w:ascii="Times New Roman" w:hAnsi="Times New Roman" w:cs="Times New Roman"/>
                <w:color w:val="FFFFFF"/>
              </w:rPr>
              <w:t>Total Hour Cost</w:t>
            </w:r>
          </w:p>
        </w:tc>
      </w:tr>
      <w:tr w:rsidR="008A5156" w:rsidRPr="00A447FF" w:rsidTr="00A447FF">
        <w:trPr>
          <w:cnfStyle w:val="000000100000"/>
        </w:trPr>
        <w:tc>
          <w:tcPr>
            <w:cnfStyle w:val="001000000000"/>
            <w:tcW w:w="5000" w:type="pct"/>
            <w:gridSpan w:val="8"/>
            <w:shd w:val="clear" w:color="auto" w:fill="A6A6A6"/>
            <w:vAlign w:val="center"/>
          </w:tcPr>
          <w:p w:rsidR="008A5156" w:rsidRPr="00A447FF" w:rsidRDefault="008A5156" w:rsidP="008A5156">
            <w:pPr>
              <w:rPr>
                <w:rFonts w:ascii="Times New Roman" w:hAnsi="Times New Roman" w:cs="Times New Roman"/>
              </w:rPr>
            </w:pPr>
          </w:p>
        </w:tc>
      </w:tr>
      <w:tr w:rsidR="008A5156" w:rsidRPr="00A447FF" w:rsidTr="00A447FF">
        <w:tc>
          <w:tcPr>
            <w:cnfStyle w:val="001000000000"/>
            <w:tcW w:w="1173" w:type="pct"/>
          </w:tcPr>
          <w:p w:rsidR="008A5156" w:rsidRPr="00A447FF" w:rsidRDefault="008A5156" w:rsidP="008A5156">
            <w:pPr>
              <w:rPr>
                <w:rFonts w:ascii="Times New Roman" w:hAnsi="Times New Roman" w:cs="Times New Roman"/>
                <w:b w:val="0"/>
                <w:color w:val="000000"/>
              </w:rPr>
            </w:pPr>
            <w:r w:rsidRPr="00A447FF">
              <w:rPr>
                <w:rFonts w:ascii="Times New Roman" w:hAnsi="Times New Roman" w:cs="Times New Roman"/>
                <w:b w:val="0"/>
                <w:color w:val="000000"/>
              </w:rPr>
              <w:t>CAPT</w:t>
            </w:r>
          </w:p>
        </w:tc>
        <w:tc>
          <w:tcPr>
            <w:tcW w:w="709"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3,750</w:t>
            </w:r>
          </w:p>
        </w:tc>
        <w:tc>
          <w:tcPr>
            <w:tcW w:w="663"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1</w:t>
            </w:r>
          </w:p>
        </w:tc>
        <w:tc>
          <w:tcPr>
            <w:tcW w:w="618" w:type="pct"/>
            <w:vAlign w:val="center"/>
          </w:tcPr>
          <w:p w:rsidR="008A5156" w:rsidRPr="00A447FF" w:rsidRDefault="008A5156" w:rsidP="008A5156">
            <w:pPr>
              <w:jc w:val="right"/>
              <w:cnfStyle w:val="000000000000"/>
              <w:rPr>
                <w:rFonts w:ascii="Times New Roman" w:hAnsi="Times New Roman" w:cs="Times New Roman"/>
              </w:rPr>
            </w:pPr>
            <w:r w:rsidRPr="00A447FF">
              <w:rPr>
                <w:rFonts w:ascii="Times New Roman" w:hAnsi="Times New Roman" w:cs="Times New Roman"/>
              </w:rPr>
              <w:t>1</w:t>
            </w:r>
          </w:p>
        </w:tc>
        <w:tc>
          <w:tcPr>
            <w:tcW w:w="540"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.083</w:t>
            </w:r>
          </w:p>
        </w:tc>
        <w:tc>
          <w:tcPr>
            <w:tcW w:w="391"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311</w:t>
            </w:r>
          </w:p>
        </w:tc>
        <w:tc>
          <w:tcPr>
            <w:tcW w:w="462"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37.72</w:t>
            </w:r>
          </w:p>
        </w:tc>
        <w:tc>
          <w:tcPr>
            <w:tcW w:w="445"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11,740</w:t>
            </w:r>
          </w:p>
        </w:tc>
      </w:tr>
      <w:tr w:rsidR="008A5156" w:rsidRPr="00A447FF" w:rsidTr="00A447FF">
        <w:trPr>
          <w:cnfStyle w:val="000000100000"/>
        </w:trPr>
        <w:tc>
          <w:tcPr>
            <w:cnfStyle w:val="001000000000"/>
            <w:tcW w:w="1173" w:type="pct"/>
          </w:tcPr>
          <w:p w:rsidR="008A5156" w:rsidRPr="00A447FF" w:rsidRDefault="008A5156" w:rsidP="008A5156">
            <w:pPr>
              <w:rPr>
                <w:rFonts w:ascii="Times New Roman" w:hAnsi="Times New Roman" w:cs="Times New Roman"/>
                <w:b w:val="0"/>
                <w:color w:val="000000"/>
              </w:rPr>
            </w:pPr>
            <w:r w:rsidRPr="00A447FF">
              <w:rPr>
                <w:rFonts w:ascii="Times New Roman" w:hAnsi="Times New Roman" w:cs="Times New Roman"/>
                <w:b w:val="0"/>
                <w:color w:val="000000"/>
              </w:rPr>
              <w:t>FASD</w:t>
            </w:r>
          </w:p>
        </w:tc>
        <w:tc>
          <w:tcPr>
            <w:tcW w:w="709" w:type="pct"/>
            <w:vAlign w:val="center"/>
          </w:tcPr>
          <w:p w:rsidR="008A5156" w:rsidRPr="00A447FF" w:rsidRDefault="008A5156" w:rsidP="008A5156">
            <w:pPr>
              <w:jc w:val="right"/>
              <w:cnfStyle w:val="000000100000"/>
              <w:rPr>
                <w:rFonts w:ascii="Times New Roman" w:hAnsi="Times New Roman" w:cs="Times New Roman"/>
                <w:color w:val="000000"/>
              </w:rPr>
            </w:pPr>
            <w:r w:rsidRPr="00A447FF">
              <w:rPr>
                <w:rFonts w:ascii="Times New Roman" w:hAnsi="Times New Roman" w:cs="Times New Roman"/>
                <w:color w:val="000000"/>
              </w:rPr>
              <w:t>379</w:t>
            </w:r>
          </w:p>
        </w:tc>
        <w:tc>
          <w:tcPr>
            <w:tcW w:w="663" w:type="pct"/>
            <w:vAlign w:val="center"/>
          </w:tcPr>
          <w:p w:rsidR="008A5156" w:rsidRPr="00A447FF" w:rsidRDefault="008A5156" w:rsidP="008A5156">
            <w:pPr>
              <w:jc w:val="right"/>
              <w:cnfStyle w:val="000000100000"/>
              <w:rPr>
                <w:rFonts w:ascii="Times New Roman" w:hAnsi="Times New Roman" w:cs="Times New Roman"/>
                <w:color w:val="000000"/>
              </w:rPr>
            </w:pPr>
            <w:r w:rsidRPr="00A447FF">
              <w:rPr>
                <w:rFonts w:ascii="Times New Roman" w:hAnsi="Times New Roman" w:cs="Times New Roman"/>
                <w:color w:val="000000"/>
              </w:rPr>
              <w:t>1</w:t>
            </w:r>
          </w:p>
        </w:tc>
        <w:tc>
          <w:tcPr>
            <w:tcW w:w="618" w:type="pct"/>
            <w:vAlign w:val="center"/>
          </w:tcPr>
          <w:p w:rsidR="008A5156" w:rsidRPr="00A447FF" w:rsidRDefault="008A5156" w:rsidP="008A5156">
            <w:pPr>
              <w:jc w:val="right"/>
              <w:cnfStyle w:val="000000100000"/>
              <w:rPr>
                <w:rFonts w:ascii="Times New Roman" w:hAnsi="Times New Roman" w:cs="Times New Roman"/>
              </w:rPr>
            </w:pPr>
            <w:r w:rsidRPr="00A447FF">
              <w:rPr>
                <w:rFonts w:ascii="Times New Roman" w:hAnsi="Times New Roman" w:cs="Times New Roman"/>
              </w:rPr>
              <w:t>1</w:t>
            </w:r>
          </w:p>
        </w:tc>
        <w:tc>
          <w:tcPr>
            <w:tcW w:w="540" w:type="pct"/>
            <w:vAlign w:val="center"/>
          </w:tcPr>
          <w:p w:rsidR="008A5156" w:rsidRPr="00A447FF" w:rsidRDefault="008A5156" w:rsidP="008A5156">
            <w:pPr>
              <w:jc w:val="right"/>
              <w:cnfStyle w:val="000000100000"/>
              <w:rPr>
                <w:rFonts w:ascii="Times New Roman" w:hAnsi="Times New Roman" w:cs="Times New Roman"/>
                <w:color w:val="000000"/>
              </w:rPr>
            </w:pPr>
            <w:r w:rsidRPr="00A447FF">
              <w:rPr>
                <w:rFonts w:ascii="Times New Roman" w:hAnsi="Times New Roman" w:cs="Times New Roman"/>
                <w:color w:val="000000"/>
              </w:rPr>
              <w:t>.083</w:t>
            </w:r>
          </w:p>
        </w:tc>
        <w:tc>
          <w:tcPr>
            <w:tcW w:w="391" w:type="pct"/>
            <w:vAlign w:val="center"/>
          </w:tcPr>
          <w:p w:rsidR="008A5156" w:rsidRPr="00A447FF" w:rsidRDefault="008A5156" w:rsidP="008A5156">
            <w:pPr>
              <w:jc w:val="right"/>
              <w:cnfStyle w:val="000000100000"/>
              <w:rPr>
                <w:rFonts w:ascii="Times New Roman" w:hAnsi="Times New Roman" w:cs="Times New Roman"/>
                <w:color w:val="000000"/>
              </w:rPr>
            </w:pPr>
            <w:r w:rsidRPr="00A447FF">
              <w:rPr>
                <w:rFonts w:ascii="Times New Roman" w:hAnsi="Times New Roman" w:cs="Times New Roman"/>
                <w:color w:val="000000"/>
              </w:rPr>
              <w:t>31</w:t>
            </w:r>
          </w:p>
        </w:tc>
        <w:tc>
          <w:tcPr>
            <w:tcW w:w="462" w:type="pct"/>
            <w:vAlign w:val="center"/>
          </w:tcPr>
          <w:p w:rsidR="008A5156" w:rsidRPr="00A447FF" w:rsidRDefault="008A5156" w:rsidP="008A5156">
            <w:pPr>
              <w:jc w:val="right"/>
              <w:cnfStyle w:val="000000100000"/>
              <w:rPr>
                <w:rFonts w:ascii="Times New Roman" w:hAnsi="Times New Roman" w:cs="Times New Roman"/>
                <w:color w:val="000000"/>
              </w:rPr>
            </w:pPr>
            <w:r w:rsidRPr="00A447FF">
              <w:rPr>
                <w:rFonts w:ascii="Times New Roman" w:hAnsi="Times New Roman" w:cs="Times New Roman"/>
                <w:color w:val="000000"/>
              </w:rPr>
              <w:t>37.72</w:t>
            </w:r>
          </w:p>
        </w:tc>
        <w:tc>
          <w:tcPr>
            <w:tcW w:w="445" w:type="pct"/>
            <w:vAlign w:val="center"/>
          </w:tcPr>
          <w:p w:rsidR="008A5156" w:rsidRPr="00A447FF" w:rsidRDefault="008A5156" w:rsidP="008A5156">
            <w:pPr>
              <w:jc w:val="right"/>
              <w:cnfStyle w:val="000000100000"/>
              <w:rPr>
                <w:rFonts w:ascii="Times New Roman" w:hAnsi="Times New Roman" w:cs="Times New Roman"/>
                <w:color w:val="000000"/>
              </w:rPr>
            </w:pPr>
            <w:r w:rsidRPr="00A447FF">
              <w:rPr>
                <w:rFonts w:ascii="Times New Roman" w:hAnsi="Times New Roman" w:cs="Times New Roman"/>
                <w:color w:val="000000"/>
              </w:rPr>
              <w:t>1,169</w:t>
            </w:r>
          </w:p>
        </w:tc>
      </w:tr>
      <w:tr w:rsidR="008A5156" w:rsidRPr="00A447FF" w:rsidTr="00A447FF">
        <w:tc>
          <w:tcPr>
            <w:cnfStyle w:val="001000000000"/>
            <w:tcW w:w="1173" w:type="pct"/>
          </w:tcPr>
          <w:p w:rsidR="008A5156" w:rsidRPr="00A447FF" w:rsidRDefault="008A5156" w:rsidP="008A5156">
            <w:pPr>
              <w:rPr>
                <w:rFonts w:ascii="Times New Roman" w:eastAsia="Times New Roman" w:hAnsi="Times New Roman" w:cs="Times New Roman"/>
                <w:b w:val="0"/>
                <w:bCs w:val="0"/>
                <w:color w:val="000000"/>
              </w:rPr>
            </w:pPr>
            <w:r w:rsidRPr="00A447FF">
              <w:rPr>
                <w:rFonts w:ascii="Times New Roman" w:eastAsia="Times New Roman" w:hAnsi="Times New Roman" w:cs="Times New Roman"/>
                <w:b w:val="0"/>
                <w:bCs w:val="0"/>
                <w:color w:val="000000"/>
              </w:rPr>
              <w:lastRenderedPageBreak/>
              <w:t>NACE</w:t>
            </w:r>
          </w:p>
        </w:tc>
        <w:tc>
          <w:tcPr>
            <w:tcW w:w="709"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500</w:t>
            </w:r>
          </w:p>
        </w:tc>
        <w:tc>
          <w:tcPr>
            <w:tcW w:w="663"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1</w:t>
            </w:r>
          </w:p>
        </w:tc>
        <w:tc>
          <w:tcPr>
            <w:tcW w:w="618" w:type="pct"/>
            <w:vAlign w:val="center"/>
          </w:tcPr>
          <w:p w:rsidR="008A5156" w:rsidRPr="00A447FF" w:rsidRDefault="008A5156" w:rsidP="008A5156">
            <w:pPr>
              <w:jc w:val="right"/>
              <w:cnfStyle w:val="000000000000"/>
              <w:rPr>
                <w:rFonts w:ascii="Times New Roman" w:hAnsi="Times New Roman" w:cs="Times New Roman"/>
              </w:rPr>
            </w:pPr>
            <w:r w:rsidRPr="00A447FF">
              <w:rPr>
                <w:rFonts w:ascii="Times New Roman" w:hAnsi="Times New Roman" w:cs="Times New Roman"/>
              </w:rPr>
              <w:t>1</w:t>
            </w:r>
          </w:p>
        </w:tc>
        <w:tc>
          <w:tcPr>
            <w:tcW w:w="540"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.083</w:t>
            </w:r>
          </w:p>
        </w:tc>
        <w:tc>
          <w:tcPr>
            <w:tcW w:w="391"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42</w:t>
            </w:r>
          </w:p>
        </w:tc>
        <w:tc>
          <w:tcPr>
            <w:tcW w:w="462"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37.72</w:t>
            </w:r>
          </w:p>
        </w:tc>
        <w:tc>
          <w:tcPr>
            <w:tcW w:w="445" w:type="pct"/>
            <w:vAlign w:val="center"/>
          </w:tcPr>
          <w:p w:rsidR="008A5156" w:rsidRPr="00A447FF" w:rsidRDefault="00FB74E7" w:rsidP="00A447FF">
            <w:pPr>
              <w:jc w:val="right"/>
              <w:cnfStyle w:val="000000000000"/>
              <w:rPr>
                <w:rFonts w:ascii="Times New Roman" w:hAnsi="Times New Roman" w:cs="Times New Roman"/>
                <w:color w:val="000000"/>
              </w:rPr>
            </w:pPr>
            <w:r>
              <w:rPr>
                <w:rFonts w:ascii="Times New Roman" w:hAnsi="Times New Roman" w:cs="Times New Roman"/>
                <w:color w:val="000000"/>
              </w:rPr>
              <w:t>1,584</w:t>
            </w:r>
            <w:r w:rsidR="008A5156" w:rsidRPr="00A447FF">
              <w:rPr>
                <w:rFonts w:ascii="Times New Roman" w:hAnsi="Times New Roman" w:cs="Times New Roman"/>
                <w:color w:val="000000"/>
              </w:rPr>
              <w:t xml:space="preserve">          </w:t>
            </w:r>
            <w:r w:rsidR="00A447FF">
              <w:rPr>
                <w:rFonts w:ascii="Times New Roman" w:hAnsi="Times New Roman" w:cs="Times New Roman"/>
                <w:color w:val="000000"/>
              </w:rPr>
              <w:t xml:space="preserve">        </w:t>
            </w:r>
          </w:p>
        </w:tc>
      </w:tr>
      <w:tr w:rsidR="008A5156" w:rsidRPr="00A447FF" w:rsidTr="00A447FF">
        <w:trPr>
          <w:cnfStyle w:val="000000100000"/>
        </w:trPr>
        <w:tc>
          <w:tcPr>
            <w:cnfStyle w:val="001000000000"/>
            <w:tcW w:w="1173" w:type="pct"/>
          </w:tcPr>
          <w:p w:rsidR="008A5156" w:rsidRPr="00A447FF" w:rsidRDefault="008A5156" w:rsidP="008A5156">
            <w:pPr>
              <w:rPr>
                <w:rFonts w:ascii="Times New Roman" w:hAnsi="Times New Roman" w:cs="Times New Roman"/>
                <w:b w:val="0"/>
                <w:bCs w:val="0"/>
                <w:iCs/>
                <w:color w:val="000000"/>
              </w:rPr>
            </w:pPr>
            <w:r w:rsidRPr="00A447FF">
              <w:rPr>
                <w:rFonts w:ascii="Times New Roman" w:hAnsi="Times New Roman" w:cs="Times New Roman"/>
                <w:b w:val="0"/>
                <w:bCs w:val="0"/>
                <w:iCs/>
                <w:color w:val="000000"/>
              </w:rPr>
              <w:t>FELLOWS</w:t>
            </w:r>
          </w:p>
        </w:tc>
        <w:tc>
          <w:tcPr>
            <w:tcW w:w="709" w:type="pct"/>
            <w:vAlign w:val="center"/>
          </w:tcPr>
          <w:p w:rsidR="008A5156" w:rsidRPr="00A447FF" w:rsidRDefault="008A5156" w:rsidP="008A5156">
            <w:pPr>
              <w:jc w:val="right"/>
              <w:cnfStyle w:val="000000100000"/>
              <w:rPr>
                <w:rFonts w:ascii="Times New Roman" w:hAnsi="Times New Roman" w:cs="Times New Roman"/>
                <w:bCs/>
                <w:iCs/>
                <w:color w:val="000000"/>
              </w:rPr>
            </w:pPr>
            <w:r w:rsidRPr="00A447FF">
              <w:rPr>
                <w:rFonts w:ascii="Times New Roman" w:hAnsi="Times New Roman" w:cs="Times New Roman"/>
                <w:bCs/>
                <w:iCs/>
                <w:noProof/>
                <w:color w:val="000000"/>
              </w:rPr>
              <w:t>65</w:t>
            </w:r>
          </w:p>
        </w:tc>
        <w:tc>
          <w:tcPr>
            <w:tcW w:w="663" w:type="pct"/>
            <w:vAlign w:val="center"/>
          </w:tcPr>
          <w:p w:rsidR="008A5156" w:rsidRPr="00A447FF" w:rsidRDefault="008A5156" w:rsidP="008A5156">
            <w:pPr>
              <w:jc w:val="right"/>
              <w:cnfStyle w:val="000000100000"/>
              <w:rPr>
                <w:rFonts w:ascii="Times New Roman" w:hAnsi="Times New Roman" w:cs="Times New Roman"/>
                <w:bCs/>
                <w:iCs/>
                <w:color w:val="000000"/>
              </w:rPr>
            </w:pPr>
            <w:r w:rsidRPr="00A447FF">
              <w:rPr>
                <w:rFonts w:ascii="Times New Roman" w:hAnsi="Times New Roman" w:cs="Times New Roman"/>
                <w:bCs/>
                <w:iCs/>
                <w:color w:val="000000"/>
              </w:rPr>
              <w:t>1</w:t>
            </w:r>
          </w:p>
        </w:tc>
        <w:tc>
          <w:tcPr>
            <w:tcW w:w="618" w:type="pct"/>
          </w:tcPr>
          <w:p w:rsidR="008A5156" w:rsidRPr="00A447FF" w:rsidRDefault="008A5156" w:rsidP="008A5156">
            <w:pPr>
              <w:jc w:val="right"/>
              <w:cnfStyle w:val="000000100000"/>
              <w:rPr>
                <w:rFonts w:ascii="Times New Roman" w:hAnsi="Times New Roman" w:cs="Times New Roman"/>
              </w:rPr>
            </w:pPr>
            <w:r w:rsidRPr="00A447FF">
              <w:rPr>
                <w:rFonts w:ascii="Times New Roman" w:hAnsi="Times New Roman" w:cs="Times New Roman"/>
                <w:bCs/>
                <w:iCs/>
                <w:color w:val="000000"/>
              </w:rPr>
              <w:t>1</w:t>
            </w:r>
          </w:p>
        </w:tc>
        <w:tc>
          <w:tcPr>
            <w:tcW w:w="540" w:type="pct"/>
            <w:vAlign w:val="center"/>
          </w:tcPr>
          <w:p w:rsidR="008A5156" w:rsidRPr="00A447FF" w:rsidRDefault="008A5156" w:rsidP="008A5156">
            <w:pPr>
              <w:jc w:val="right"/>
              <w:cnfStyle w:val="000000100000"/>
              <w:rPr>
                <w:rFonts w:ascii="Times New Roman" w:hAnsi="Times New Roman" w:cs="Times New Roman"/>
                <w:bCs/>
                <w:iCs/>
                <w:color w:val="000000"/>
              </w:rPr>
            </w:pPr>
            <w:r w:rsidRPr="00A447FF">
              <w:rPr>
                <w:rFonts w:ascii="Times New Roman" w:hAnsi="Times New Roman" w:cs="Times New Roman"/>
                <w:bCs/>
                <w:iCs/>
                <w:color w:val="000000"/>
              </w:rPr>
              <w:t>.083</w:t>
            </w:r>
          </w:p>
        </w:tc>
        <w:tc>
          <w:tcPr>
            <w:tcW w:w="391" w:type="pct"/>
            <w:vAlign w:val="center"/>
          </w:tcPr>
          <w:p w:rsidR="008A5156" w:rsidRPr="00A447FF" w:rsidRDefault="008A5156" w:rsidP="008A5156">
            <w:pPr>
              <w:jc w:val="right"/>
              <w:cnfStyle w:val="000000100000"/>
              <w:rPr>
                <w:rFonts w:ascii="Times New Roman" w:hAnsi="Times New Roman" w:cs="Times New Roman"/>
                <w:bCs/>
                <w:iCs/>
                <w:color w:val="000000"/>
              </w:rPr>
            </w:pPr>
            <w:r w:rsidRPr="00A447FF">
              <w:rPr>
                <w:rFonts w:ascii="Times New Roman" w:hAnsi="Times New Roman" w:cs="Times New Roman"/>
                <w:bCs/>
                <w:iCs/>
                <w:noProof/>
                <w:color w:val="000000"/>
              </w:rPr>
              <w:t>5</w:t>
            </w:r>
          </w:p>
        </w:tc>
        <w:tc>
          <w:tcPr>
            <w:tcW w:w="462" w:type="pct"/>
            <w:vAlign w:val="center"/>
          </w:tcPr>
          <w:p w:rsidR="008A5156" w:rsidRPr="00A447FF" w:rsidRDefault="008A5156" w:rsidP="008A5156">
            <w:pPr>
              <w:jc w:val="right"/>
              <w:cnfStyle w:val="000000100000"/>
              <w:rPr>
                <w:rFonts w:ascii="Times New Roman" w:hAnsi="Times New Roman" w:cs="Times New Roman"/>
                <w:color w:val="000000"/>
              </w:rPr>
            </w:pPr>
            <w:r w:rsidRPr="00A447FF">
              <w:rPr>
                <w:rFonts w:ascii="Times New Roman" w:hAnsi="Times New Roman" w:cs="Times New Roman"/>
                <w:color w:val="000000"/>
              </w:rPr>
              <w:t>37.72</w:t>
            </w:r>
          </w:p>
        </w:tc>
        <w:tc>
          <w:tcPr>
            <w:tcW w:w="445" w:type="pct"/>
            <w:vAlign w:val="center"/>
          </w:tcPr>
          <w:p w:rsidR="008A5156" w:rsidRPr="00A447FF" w:rsidRDefault="008A5156" w:rsidP="008A5156">
            <w:pPr>
              <w:jc w:val="right"/>
              <w:cnfStyle w:val="000000100000"/>
              <w:rPr>
                <w:rFonts w:ascii="Times New Roman" w:hAnsi="Times New Roman" w:cs="Times New Roman"/>
                <w:bCs/>
                <w:iCs/>
                <w:color w:val="000000"/>
              </w:rPr>
            </w:pPr>
            <w:r w:rsidRPr="00A447FF">
              <w:rPr>
                <w:rFonts w:ascii="Times New Roman" w:hAnsi="Times New Roman" w:cs="Times New Roman"/>
                <w:bCs/>
                <w:iCs/>
                <w:color w:val="000000"/>
              </w:rPr>
              <w:t xml:space="preserve">188 </w:t>
            </w:r>
          </w:p>
        </w:tc>
      </w:tr>
      <w:tr w:rsidR="008A5156" w:rsidRPr="00A447FF" w:rsidTr="00A447FF">
        <w:tc>
          <w:tcPr>
            <w:cnfStyle w:val="001000000000"/>
            <w:tcW w:w="1173" w:type="pct"/>
          </w:tcPr>
          <w:p w:rsidR="008A5156" w:rsidRPr="00A447FF" w:rsidRDefault="008A5156" w:rsidP="008A5156">
            <w:pPr>
              <w:rPr>
                <w:rFonts w:ascii="Times New Roman" w:hAnsi="Times New Roman" w:cs="Times New Roman"/>
                <w:color w:val="000000"/>
              </w:rPr>
            </w:pPr>
            <w:r w:rsidRPr="00A447FF">
              <w:rPr>
                <w:rFonts w:ascii="Times New Roman" w:hAnsi="Times New Roman" w:cs="Times New Roman"/>
                <w:color w:val="000000"/>
              </w:rPr>
              <w:t>TOTAL</w:t>
            </w:r>
          </w:p>
        </w:tc>
        <w:tc>
          <w:tcPr>
            <w:tcW w:w="709"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4,694</w:t>
            </w:r>
          </w:p>
        </w:tc>
        <w:tc>
          <w:tcPr>
            <w:tcW w:w="663" w:type="pct"/>
            <w:vAlign w:val="center"/>
          </w:tcPr>
          <w:p w:rsidR="008A5156" w:rsidRPr="00A447FF" w:rsidRDefault="008A5156" w:rsidP="008A5156">
            <w:pPr>
              <w:jc w:val="right"/>
              <w:cnfStyle w:val="000000000000"/>
              <w:rPr>
                <w:rFonts w:ascii="Times New Roman" w:hAnsi="Times New Roman" w:cs="Times New Roman"/>
                <w:color w:val="000000"/>
              </w:rPr>
            </w:pPr>
          </w:p>
        </w:tc>
        <w:tc>
          <w:tcPr>
            <w:tcW w:w="618" w:type="pct"/>
            <w:vAlign w:val="center"/>
          </w:tcPr>
          <w:p w:rsidR="008A5156" w:rsidRPr="00A447FF" w:rsidRDefault="008A5156" w:rsidP="008A5156">
            <w:pPr>
              <w:jc w:val="right"/>
              <w:cnfStyle w:val="000000000000"/>
              <w:rPr>
                <w:rFonts w:ascii="Times New Roman" w:hAnsi="Times New Roman" w:cs="Times New Roman"/>
              </w:rPr>
            </w:pPr>
          </w:p>
        </w:tc>
        <w:tc>
          <w:tcPr>
            <w:tcW w:w="540" w:type="pct"/>
            <w:vAlign w:val="center"/>
          </w:tcPr>
          <w:p w:rsidR="008A5156" w:rsidRPr="00A447FF" w:rsidRDefault="008A5156" w:rsidP="008A5156">
            <w:pPr>
              <w:jc w:val="right"/>
              <w:cnfStyle w:val="000000000000"/>
              <w:rPr>
                <w:rFonts w:ascii="Times New Roman" w:hAnsi="Times New Roman" w:cs="Times New Roman"/>
                <w:color w:val="000000"/>
              </w:rPr>
            </w:pPr>
          </w:p>
        </w:tc>
        <w:tc>
          <w:tcPr>
            <w:tcW w:w="391"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389</w:t>
            </w:r>
          </w:p>
        </w:tc>
        <w:tc>
          <w:tcPr>
            <w:tcW w:w="462" w:type="pct"/>
            <w:vAlign w:val="center"/>
          </w:tcPr>
          <w:p w:rsidR="008A5156" w:rsidRPr="00A447FF" w:rsidRDefault="008A5156" w:rsidP="008A5156">
            <w:pPr>
              <w:jc w:val="right"/>
              <w:cnfStyle w:val="000000000000"/>
              <w:rPr>
                <w:rFonts w:ascii="Times New Roman" w:hAnsi="Times New Roman" w:cs="Times New Roman"/>
                <w:color w:val="000000"/>
              </w:rPr>
            </w:pPr>
          </w:p>
        </w:tc>
        <w:tc>
          <w:tcPr>
            <w:tcW w:w="445" w:type="pct"/>
            <w:vAlign w:val="center"/>
          </w:tcPr>
          <w:p w:rsidR="008A5156" w:rsidRPr="00A447FF" w:rsidRDefault="008A5156" w:rsidP="008A5156">
            <w:pPr>
              <w:jc w:val="right"/>
              <w:cnfStyle w:val="000000000000"/>
              <w:rPr>
                <w:rFonts w:ascii="Times New Roman" w:hAnsi="Times New Roman" w:cs="Times New Roman"/>
                <w:color w:val="000000"/>
              </w:rPr>
            </w:pPr>
            <w:r w:rsidRPr="00A447FF">
              <w:rPr>
                <w:rFonts w:ascii="Times New Roman" w:hAnsi="Times New Roman" w:cs="Times New Roman"/>
                <w:color w:val="000000"/>
              </w:rPr>
              <w:t>14,681</w:t>
            </w:r>
          </w:p>
        </w:tc>
      </w:tr>
    </w:tbl>
    <w:p w:rsidR="00004D4B" w:rsidRPr="00A447FF" w:rsidRDefault="005857AB" w:rsidP="00004D4B">
      <w:pPr>
        <w:pStyle w:val="Body"/>
        <w:spacing w:before="0" w:line="240" w:lineRule="auto"/>
        <w:rPr>
          <w:rFonts w:ascii="Times New Roman" w:hAnsi="Times New Roman"/>
          <w:szCs w:val="24"/>
        </w:rPr>
      </w:pPr>
      <w:r w:rsidRPr="00A447FF">
        <w:rPr>
          <w:rFonts w:ascii="Times New Roman" w:hAnsi="Times New Roman"/>
          <w:szCs w:val="24"/>
        </w:rPr>
        <w:t>T</w:t>
      </w:r>
      <w:r w:rsidR="00BC626F" w:rsidRPr="00A447FF">
        <w:rPr>
          <w:rFonts w:ascii="Times New Roman" w:hAnsi="Times New Roman"/>
          <w:szCs w:val="24"/>
        </w:rPr>
        <w:t xml:space="preserve">he estimated annualized cost to respondents for the proposed data </w:t>
      </w:r>
      <w:r w:rsidR="0092334A" w:rsidRPr="00A447FF">
        <w:rPr>
          <w:rFonts w:ascii="Times New Roman" w:hAnsi="Times New Roman"/>
          <w:szCs w:val="24"/>
        </w:rPr>
        <w:t>collection activities is $</w:t>
      </w:r>
      <w:r w:rsidR="00795611" w:rsidRPr="00A447FF">
        <w:rPr>
          <w:rFonts w:ascii="Times New Roman" w:hAnsi="Times New Roman"/>
          <w:szCs w:val="24"/>
        </w:rPr>
        <w:t>14,681</w:t>
      </w:r>
      <w:r w:rsidR="00BC626F" w:rsidRPr="00A447FF">
        <w:rPr>
          <w:rFonts w:ascii="Times New Roman" w:hAnsi="Times New Roman"/>
          <w:szCs w:val="24"/>
        </w:rPr>
        <w:t xml:space="preserve">. </w:t>
      </w:r>
      <w:r w:rsidRPr="00A447FF">
        <w:rPr>
          <w:rFonts w:ascii="Times New Roman" w:hAnsi="Times New Roman"/>
          <w:szCs w:val="24"/>
        </w:rPr>
        <w:t xml:space="preserve"> For the purposes of estimating annual cost, it is assumed that the participants will complete each survey once.  The average burden was estimated based on independent review of the survey by contractor and Federal staff.</w:t>
      </w:r>
    </w:p>
    <w:p w:rsidR="00D477DD" w:rsidRPr="00A447FF" w:rsidRDefault="003C15FA" w:rsidP="00E90AF6">
      <w:pPr>
        <w:pStyle w:val="Heading2"/>
        <w:spacing w:before="0" w:after="0" w:line="360" w:lineRule="auto"/>
        <w:rPr>
          <w:rFonts w:ascii="Times New Roman" w:hAnsi="Times New Roman"/>
          <w:sz w:val="24"/>
          <w:szCs w:val="24"/>
        </w:rPr>
      </w:pPr>
      <w:r w:rsidRPr="00A447FF">
        <w:rPr>
          <w:rFonts w:ascii="Times New Roman" w:hAnsi="Times New Roman"/>
          <w:sz w:val="24"/>
          <w:szCs w:val="24"/>
        </w:rPr>
        <w:t>Estimates of Annualized Cost to the Government</w:t>
      </w:r>
    </w:p>
    <w:p w:rsidR="00282929" w:rsidRPr="00A447FF" w:rsidRDefault="000B58CE" w:rsidP="00E90AF6">
      <w:pPr>
        <w:pStyle w:val="Body"/>
        <w:spacing w:before="0" w:line="240" w:lineRule="auto"/>
        <w:rPr>
          <w:rFonts w:ascii="Times New Roman" w:hAnsi="Times New Roman"/>
          <w:b/>
          <w:szCs w:val="24"/>
        </w:rPr>
      </w:pPr>
      <w:r w:rsidRPr="00A447FF">
        <w:rPr>
          <w:rFonts w:ascii="Times New Roman" w:hAnsi="Times New Roman"/>
          <w:szCs w:val="24"/>
        </w:rPr>
        <w:t xml:space="preserve">The estimate annualized cost to the government </w:t>
      </w:r>
      <w:r w:rsidR="00004D4B" w:rsidRPr="00A447FF">
        <w:rPr>
          <w:rFonts w:ascii="Times New Roman" w:hAnsi="Times New Roman"/>
          <w:szCs w:val="24"/>
        </w:rPr>
        <w:t>for the</w:t>
      </w:r>
      <w:r w:rsidR="001A1CC9" w:rsidRPr="00A447FF">
        <w:rPr>
          <w:rFonts w:ascii="Times New Roman" w:hAnsi="Times New Roman"/>
          <w:szCs w:val="24"/>
        </w:rPr>
        <w:t xml:space="preserve"> proposed data collection activities </w:t>
      </w:r>
      <w:r w:rsidR="00BC626F" w:rsidRPr="00A447FF">
        <w:rPr>
          <w:rFonts w:ascii="Times New Roman" w:hAnsi="Times New Roman"/>
          <w:szCs w:val="24"/>
        </w:rPr>
        <w:t xml:space="preserve">is </w:t>
      </w:r>
      <w:r w:rsidR="0020240C" w:rsidRPr="00A447FF">
        <w:rPr>
          <w:rFonts w:ascii="Times New Roman" w:hAnsi="Times New Roman"/>
          <w:szCs w:val="24"/>
        </w:rPr>
        <w:t>$</w:t>
      </w:r>
      <w:r w:rsidR="00217CB3" w:rsidRPr="00A447FF">
        <w:rPr>
          <w:rFonts w:ascii="Times New Roman" w:hAnsi="Times New Roman"/>
          <w:szCs w:val="24"/>
        </w:rPr>
        <w:t>7,680</w:t>
      </w:r>
      <w:r w:rsidR="00E90AF6" w:rsidRPr="00A447FF">
        <w:rPr>
          <w:rFonts w:ascii="Times New Roman" w:hAnsi="Times New Roman"/>
          <w:szCs w:val="24"/>
        </w:rPr>
        <w:t xml:space="preserve"> </w:t>
      </w:r>
      <w:r w:rsidR="00FD295C" w:rsidRPr="00A447FF">
        <w:rPr>
          <w:rFonts w:ascii="Times New Roman" w:hAnsi="Times New Roman"/>
          <w:szCs w:val="24"/>
        </w:rPr>
        <w:t>and include</w:t>
      </w:r>
      <w:r w:rsidR="00E90AF6" w:rsidRPr="00A447FF">
        <w:rPr>
          <w:rFonts w:ascii="Times New Roman" w:hAnsi="Times New Roman"/>
          <w:szCs w:val="24"/>
        </w:rPr>
        <w:t>s</w:t>
      </w:r>
      <w:r w:rsidR="00FD295C" w:rsidRPr="00A447FF">
        <w:rPr>
          <w:rFonts w:ascii="Times New Roman" w:hAnsi="Times New Roman"/>
          <w:szCs w:val="24"/>
        </w:rPr>
        <w:t xml:space="preserve"> the expected cost for each of the COTRs who oversee TTA provider contracts. </w:t>
      </w:r>
    </w:p>
    <w:tbl>
      <w:tblPr>
        <w:tblpPr w:leftFromText="180" w:rightFromText="180" w:vertAnchor="text" w:horzAnchor="margin" w:tblpY="180"/>
        <w:tblW w:w="7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813"/>
        <w:gridCol w:w="952"/>
        <w:gridCol w:w="948"/>
        <w:gridCol w:w="863"/>
        <w:gridCol w:w="1559"/>
      </w:tblGrid>
      <w:tr w:rsidR="008A5156" w:rsidRPr="00A447FF" w:rsidTr="008A5156">
        <w:trPr>
          <w:trHeight w:val="513"/>
          <w:tblHeader/>
        </w:trPr>
        <w:tc>
          <w:tcPr>
            <w:tcW w:w="2813" w:type="dxa"/>
            <w:shd w:val="clear" w:color="auto" w:fill="000000"/>
          </w:tcPr>
          <w:p w:rsidR="008A5156" w:rsidRPr="00A447FF" w:rsidRDefault="008A5156" w:rsidP="008A5156">
            <w:pPr>
              <w:jc w:val="both"/>
              <w:rPr>
                <w:color w:val="FFFFFF"/>
              </w:rPr>
            </w:pPr>
            <w:r w:rsidRPr="00A447FF">
              <w:rPr>
                <w:color w:val="FFFFFF"/>
              </w:rPr>
              <w:t>Position</w:t>
            </w:r>
          </w:p>
        </w:tc>
        <w:tc>
          <w:tcPr>
            <w:tcW w:w="952" w:type="dxa"/>
            <w:shd w:val="clear" w:color="auto" w:fill="000000"/>
          </w:tcPr>
          <w:p w:rsidR="008A5156" w:rsidRPr="00A447FF" w:rsidRDefault="008A5156" w:rsidP="008A5156">
            <w:pPr>
              <w:jc w:val="both"/>
              <w:rPr>
                <w:color w:val="FFFFFF"/>
              </w:rPr>
            </w:pPr>
            <w:r w:rsidRPr="00A447FF">
              <w:rPr>
                <w:color w:val="FFFFFF"/>
              </w:rPr>
              <w:t>Percent FTE</w:t>
            </w:r>
          </w:p>
        </w:tc>
        <w:tc>
          <w:tcPr>
            <w:tcW w:w="948" w:type="dxa"/>
            <w:shd w:val="clear" w:color="auto" w:fill="000000"/>
          </w:tcPr>
          <w:p w:rsidR="008A5156" w:rsidRPr="00A447FF" w:rsidRDefault="008A5156" w:rsidP="008A5156">
            <w:pPr>
              <w:jc w:val="both"/>
              <w:rPr>
                <w:color w:val="FFFFFF"/>
              </w:rPr>
            </w:pPr>
            <w:r w:rsidRPr="00A447FF">
              <w:rPr>
                <w:color w:val="FFFFFF"/>
              </w:rPr>
              <w:t>Annual Hours</w:t>
            </w:r>
          </w:p>
        </w:tc>
        <w:tc>
          <w:tcPr>
            <w:tcW w:w="863" w:type="dxa"/>
            <w:shd w:val="clear" w:color="auto" w:fill="000000"/>
          </w:tcPr>
          <w:p w:rsidR="008A5156" w:rsidRPr="00A447FF" w:rsidRDefault="008A5156" w:rsidP="008A5156">
            <w:pPr>
              <w:jc w:val="both"/>
              <w:rPr>
                <w:color w:val="FFFFFF"/>
              </w:rPr>
            </w:pPr>
            <w:r w:rsidRPr="00A447FF">
              <w:rPr>
                <w:color w:val="FFFFFF"/>
              </w:rPr>
              <w:t>Rate</w:t>
            </w:r>
          </w:p>
        </w:tc>
        <w:tc>
          <w:tcPr>
            <w:tcW w:w="1559" w:type="dxa"/>
            <w:shd w:val="clear" w:color="auto" w:fill="000000"/>
          </w:tcPr>
          <w:p w:rsidR="008A5156" w:rsidRPr="00A447FF" w:rsidRDefault="008A5156" w:rsidP="008A5156">
            <w:pPr>
              <w:rPr>
                <w:color w:val="FFFFFF"/>
              </w:rPr>
            </w:pPr>
            <w:r w:rsidRPr="00A447FF">
              <w:rPr>
                <w:color w:val="FFFFFF"/>
              </w:rPr>
              <w:t>Total Annual Cost</w:t>
            </w:r>
            <w:r w:rsidRPr="00A447FF">
              <w:rPr>
                <w:rStyle w:val="FootnoteReference"/>
                <w:color w:val="FFFFFF"/>
              </w:rPr>
              <w:footnoteReference w:id="2"/>
            </w:r>
          </w:p>
        </w:tc>
      </w:tr>
      <w:tr w:rsidR="008A5156" w:rsidRPr="00A447FF" w:rsidTr="008A5156">
        <w:trPr>
          <w:trHeight w:val="63"/>
        </w:trPr>
        <w:tc>
          <w:tcPr>
            <w:tcW w:w="2813" w:type="dxa"/>
            <w:shd w:val="clear" w:color="auto" w:fill="auto"/>
          </w:tcPr>
          <w:p w:rsidR="008A5156" w:rsidRPr="00A447FF" w:rsidRDefault="008A5156" w:rsidP="008A5156">
            <w:pPr>
              <w:jc w:val="both"/>
              <w:rPr>
                <w:color w:val="000000"/>
              </w:rPr>
            </w:pPr>
            <w:r w:rsidRPr="00A447FF">
              <w:rPr>
                <w:color w:val="000000"/>
              </w:rPr>
              <w:t>FASD GPO</w:t>
            </w:r>
          </w:p>
        </w:tc>
        <w:tc>
          <w:tcPr>
            <w:tcW w:w="952" w:type="dxa"/>
            <w:shd w:val="clear" w:color="auto" w:fill="auto"/>
          </w:tcPr>
          <w:p w:rsidR="008A5156" w:rsidRPr="00A447FF" w:rsidRDefault="008A5156" w:rsidP="008A5156">
            <w:pPr>
              <w:jc w:val="both"/>
              <w:rPr>
                <w:color w:val="000000"/>
              </w:rPr>
            </w:pPr>
            <w:r w:rsidRPr="00A447FF">
              <w:rPr>
                <w:color w:val="000000"/>
              </w:rPr>
              <w:t>2.50%</w:t>
            </w:r>
          </w:p>
        </w:tc>
        <w:tc>
          <w:tcPr>
            <w:tcW w:w="948" w:type="dxa"/>
            <w:shd w:val="clear" w:color="auto" w:fill="auto"/>
          </w:tcPr>
          <w:p w:rsidR="008A5156" w:rsidRPr="00A447FF" w:rsidRDefault="008A5156" w:rsidP="008A5156">
            <w:pPr>
              <w:jc w:val="both"/>
              <w:rPr>
                <w:color w:val="000000"/>
              </w:rPr>
            </w:pPr>
            <w:r w:rsidRPr="00A447FF">
              <w:rPr>
                <w:color w:val="000000"/>
              </w:rPr>
              <w:t>48</w:t>
            </w:r>
          </w:p>
        </w:tc>
        <w:tc>
          <w:tcPr>
            <w:tcW w:w="863" w:type="dxa"/>
            <w:shd w:val="clear" w:color="auto" w:fill="auto"/>
          </w:tcPr>
          <w:p w:rsidR="008A5156" w:rsidRPr="00A447FF" w:rsidRDefault="008A5156" w:rsidP="008A5156">
            <w:pPr>
              <w:jc w:val="both"/>
              <w:rPr>
                <w:color w:val="000000"/>
              </w:rPr>
            </w:pPr>
            <w:r w:rsidRPr="00A447FF">
              <w:rPr>
                <w:color w:val="000000"/>
              </w:rPr>
              <w:t>40</w:t>
            </w:r>
          </w:p>
        </w:tc>
        <w:tc>
          <w:tcPr>
            <w:tcW w:w="1559" w:type="dxa"/>
            <w:shd w:val="clear" w:color="auto" w:fill="auto"/>
          </w:tcPr>
          <w:p w:rsidR="008A5156" w:rsidRPr="00A447FF" w:rsidRDefault="008A5156" w:rsidP="008A5156">
            <w:pPr>
              <w:jc w:val="both"/>
              <w:rPr>
                <w:color w:val="000000"/>
              </w:rPr>
            </w:pPr>
            <w:r w:rsidRPr="00A447FF">
              <w:rPr>
                <w:color w:val="000000"/>
              </w:rPr>
              <w:t>$1,920</w:t>
            </w:r>
          </w:p>
        </w:tc>
      </w:tr>
      <w:tr w:rsidR="008A5156" w:rsidRPr="00A447FF" w:rsidTr="008A5156">
        <w:trPr>
          <w:trHeight w:val="330"/>
        </w:trPr>
        <w:tc>
          <w:tcPr>
            <w:tcW w:w="2813" w:type="dxa"/>
            <w:shd w:val="clear" w:color="auto" w:fill="auto"/>
          </w:tcPr>
          <w:p w:rsidR="008A5156" w:rsidRPr="00A447FF" w:rsidRDefault="008A5156" w:rsidP="008A5156">
            <w:pPr>
              <w:jc w:val="both"/>
              <w:rPr>
                <w:color w:val="000000"/>
              </w:rPr>
            </w:pPr>
            <w:r w:rsidRPr="00A447FF">
              <w:rPr>
                <w:color w:val="000000"/>
              </w:rPr>
              <w:t>CAPT GPO</w:t>
            </w:r>
          </w:p>
        </w:tc>
        <w:tc>
          <w:tcPr>
            <w:tcW w:w="952" w:type="dxa"/>
            <w:shd w:val="clear" w:color="auto" w:fill="auto"/>
          </w:tcPr>
          <w:p w:rsidR="008A5156" w:rsidRPr="00A447FF" w:rsidRDefault="008A5156" w:rsidP="008A5156">
            <w:pPr>
              <w:jc w:val="both"/>
              <w:rPr>
                <w:color w:val="000000"/>
              </w:rPr>
            </w:pPr>
            <w:r w:rsidRPr="00A447FF">
              <w:rPr>
                <w:color w:val="000000"/>
              </w:rPr>
              <w:t>2.50%</w:t>
            </w:r>
          </w:p>
        </w:tc>
        <w:tc>
          <w:tcPr>
            <w:tcW w:w="948" w:type="dxa"/>
            <w:shd w:val="clear" w:color="auto" w:fill="auto"/>
          </w:tcPr>
          <w:p w:rsidR="008A5156" w:rsidRPr="00A447FF" w:rsidRDefault="008A5156" w:rsidP="008A5156">
            <w:pPr>
              <w:jc w:val="both"/>
              <w:rPr>
                <w:color w:val="000000"/>
              </w:rPr>
            </w:pPr>
            <w:r w:rsidRPr="00A447FF">
              <w:rPr>
                <w:color w:val="000000"/>
              </w:rPr>
              <w:t>48</w:t>
            </w:r>
          </w:p>
        </w:tc>
        <w:tc>
          <w:tcPr>
            <w:tcW w:w="863" w:type="dxa"/>
            <w:shd w:val="clear" w:color="auto" w:fill="auto"/>
          </w:tcPr>
          <w:p w:rsidR="008A5156" w:rsidRPr="00A447FF" w:rsidRDefault="008A5156" w:rsidP="008A5156">
            <w:pPr>
              <w:jc w:val="both"/>
              <w:rPr>
                <w:color w:val="000000"/>
              </w:rPr>
            </w:pPr>
            <w:r w:rsidRPr="00A447FF">
              <w:rPr>
                <w:color w:val="000000"/>
              </w:rPr>
              <w:t xml:space="preserve">$40 </w:t>
            </w:r>
          </w:p>
        </w:tc>
        <w:tc>
          <w:tcPr>
            <w:tcW w:w="1559" w:type="dxa"/>
            <w:shd w:val="clear" w:color="auto" w:fill="auto"/>
          </w:tcPr>
          <w:p w:rsidR="008A5156" w:rsidRPr="00A447FF" w:rsidRDefault="008A5156" w:rsidP="008A5156">
            <w:pPr>
              <w:jc w:val="both"/>
              <w:rPr>
                <w:color w:val="000000"/>
              </w:rPr>
            </w:pPr>
            <w:r w:rsidRPr="00A447FF">
              <w:rPr>
                <w:color w:val="000000"/>
              </w:rPr>
              <w:t xml:space="preserve">$1,920 </w:t>
            </w:r>
          </w:p>
        </w:tc>
      </w:tr>
      <w:tr w:rsidR="008A5156" w:rsidRPr="00A447FF" w:rsidTr="008A5156">
        <w:trPr>
          <w:trHeight w:val="330"/>
        </w:trPr>
        <w:tc>
          <w:tcPr>
            <w:tcW w:w="2813" w:type="dxa"/>
            <w:shd w:val="clear" w:color="auto" w:fill="auto"/>
          </w:tcPr>
          <w:p w:rsidR="008A5156" w:rsidRPr="00A447FF" w:rsidRDefault="008A5156" w:rsidP="008A5156">
            <w:pPr>
              <w:jc w:val="both"/>
              <w:rPr>
                <w:color w:val="000000"/>
              </w:rPr>
            </w:pPr>
            <w:r w:rsidRPr="00A447FF">
              <w:rPr>
                <w:color w:val="000000"/>
              </w:rPr>
              <w:t>NACE GPO</w:t>
            </w:r>
          </w:p>
        </w:tc>
        <w:tc>
          <w:tcPr>
            <w:tcW w:w="952" w:type="dxa"/>
            <w:shd w:val="clear" w:color="auto" w:fill="auto"/>
          </w:tcPr>
          <w:p w:rsidR="008A5156" w:rsidRPr="00A447FF" w:rsidRDefault="008A5156" w:rsidP="008A5156">
            <w:pPr>
              <w:jc w:val="both"/>
              <w:rPr>
                <w:color w:val="000000"/>
              </w:rPr>
            </w:pPr>
            <w:r w:rsidRPr="00A447FF">
              <w:rPr>
                <w:color w:val="000000"/>
              </w:rPr>
              <w:t>2.50%</w:t>
            </w:r>
          </w:p>
        </w:tc>
        <w:tc>
          <w:tcPr>
            <w:tcW w:w="948" w:type="dxa"/>
            <w:shd w:val="clear" w:color="auto" w:fill="auto"/>
          </w:tcPr>
          <w:p w:rsidR="008A5156" w:rsidRPr="00A447FF" w:rsidRDefault="008A5156" w:rsidP="008A5156">
            <w:pPr>
              <w:jc w:val="both"/>
              <w:rPr>
                <w:color w:val="000000"/>
              </w:rPr>
            </w:pPr>
            <w:r w:rsidRPr="00A447FF">
              <w:rPr>
                <w:color w:val="000000"/>
              </w:rPr>
              <w:t>48</w:t>
            </w:r>
          </w:p>
        </w:tc>
        <w:tc>
          <w:tcPr>
            <w:tcW w:w="863" w:type="dxa"/>
            <w:shd w:val="clear" w:color="auto" w:fill="auto"/>
          </w:tcPr>
          <w:p w:rsidR="008A5156" w:rsidRPr="00A447FF" w:rsidRDefault="008A5156" w:rsidP="008A5156">
            <w:pPr>
              <w:jc w:val="both"/>
              <w:rPr>
                <w:color w:val="000000"/>
              </w:rPr>
            </w:pPr>
            <w:r w:rsidRPr="00A447FF">
              <w:rPr>
                <w:color w:val="000000"/>
              </w:rPr>
              <w:t xml:space="preserve">$40 </w:t>
            </w:r>
          </w:p>
        </w:tc>
        <w:tc>
          <w:tcPr>
            <w:tcW w:w="1559" w:type="dxa"/>
            <w:shd w:val="clear" w:color="auto" w:fill="auto"/>
          </w:tcPr>
          <w:p w:rsidR="008A5156" w:rsidRPr="00A447FF" w:rsidRDefault="008A5156" w:rsidP="008A5156">
            <w:pPr>
              <w:jc w:val="both"/>
              <w:rPr>
                <w:color w:val="000000"/>
              </w:rPr>
            </w:pPr>
            <w:r w:rsidRPr="00A447FF">
              <w:rPr>
                <w:color w:val="000000"/>
              </w:rPr>
              <w:t xml:space="preserve">$1,920 </w:t>
            </w:r>
          </w:p>
        </w:tc>
      </w:tr>
      <w:tr w:rsidR="008A5156" w:rsidRPr="00A447FF" w:rsidTr="008A5156">
        <w:trPr>
          <w:trHeight w:val="330"/>
        </w:trPr>
        <w:tc>
          <w:tcPr>
            <w:tcW w:w="2813" w:type="dxa"/>
            <w:shd w:val="clear" w:color="auto" w:fill="auto"/>
          </w:tcPr>
          <w:p w:rsidR="008A5156" w:rsidRPr="00A447FF" w:rsidRDefault="008A5156" w:rsidP="008A5156">
            <w:pPr>
              <w:jc w:val="both"/>
              <w:rPr>
                <w:color w:val="000000"/>
              </w:rPr>
            </w:pPr>
            <w:r w:rsidRPr="00A447FF">
              <w:rPr>
                <w:color w:val="000000"/>
              </w:rPr>
              <w:t>Prevention Fellows GPO</w:t>
            </w:r>
          </w:p>
        </w:tc>
        <w:tc>
          <w:tcPr>
            <w:tcW w:w="952" w:type="dxa"/>
            <w:shd w:val="clear" w:color="auto" w:fill="auto"/>
          </w:tcPr>
          <w:p w:rsidR="008A5156" w:rsidRPr="00A447FF" w:rsidRDefault="008A5156" w:rsidP="008A5156">
            <w:pPr>
              <w:jc w:val="both"/>
              <w:rPr>
                <w:color w:val="000000"/>
              </w:rPr>
            </w:pPr>
            <w:r w:rsidRPr="00A447FF">
              <w:rPr>
                <w:color w:val="000000"/>
              </w:rPr>
              <w:t>2.50%</w:t>
            </w:r>
          </w:p>
        </w:tc>
        <w:tc>
          <w:tcPr>
            <w:tcW w:w="948" w:type="dxa"/>
            <w:shd w:val="clear" w:color="auto" w:fill="auto"/>
          </w:tcPr>
          <w:p w:rsidR="008A5156" w:rsidRPr="00A447FF" w:rsidRDefault="008A5156" w:rsidP="008A5156">
            <w:pPr>
              <w:jc w:val="both"/>
              <w:rPr>
                <w:color w:val="000000"/>
              </w:rPr>
            </w:pPr>
            <w:r w:rsidRPr="00A447FF">
              <w:rPr>
                <w:color w:val="000000"/>
              </w:rPr>
              <w:t>48</w:t>
            </w:r>
          </w:p>
        </w:tc>
        <w:tc>
          <w:tcPr>
            <w:tcW w:w="863" w:type="dxa"/>
            <w:shd w:val="clear" w:color="auto" w:fill="auto"/>
          </w:tcPr>
          <w:p w:rsidR="008A5156" w:rsidRPr="00A447FF" w:rsidRDefault="008A5156" w:rsidP="008A5156">
            <w:pPr>
              <w:jc w:val="both"/>
              <w:rPr>
                <w:color w:val="000000"/>
              </w:rPr>
            </w:pPr>
            <w:r w:rsidRPr="00A447FF">
              <w:rPr>
                <w:color w:val="000000"/>
              </w:rPr>
              <w:t xml:space="preserve">$40 </w:t>
            </w:r>
          </w:p>
        </w:tc>
        <w:tc>
          <w:tcPr>
            <w:tcW w:w="1559" w:type="dxa"/>
            <w:shd w:val="clear" w:color="auto" w:fill="auto"/>
          </w:tcPr>
          <w:p w:rsidR="008A5156" w:rsidRPr="00A447FF" w:rsidRDefault="008A5156" w:rsidP="008A5156">
            <w:pPr>
              <w:jc w:val="both"/>
              <w:rPr>
                <w:color w:val="000000"/>
              </w:rPr>
            </w:pPr>
            <w:r w:rsidRPr="00A447FF">
              <w:rPr>
                <w:color w:val="000000"/>
              </w:rPr>
              <w:t xml:space="preserve">$1,920 </w:t>
            </w:r>
          </w:p>
        </w:tc>
      </w:tr>
      <w:tr w:rsidR="008A5156" w:rsidRPr="00A447FF" w:rsidTr="008A5156">
        <w:trPr>
          <w:trHeight w:val="345"/>
        </w:trPr>
        <w:tc>
          <w:tcPr>
            <w:tcW w:w="2813" w:type="dxa"/>
            <w:shd w:val="clear" w:color="auto" w:fill="0C0C0C"/>
          </w:tcPr>
          <w:p w:rsidR="008A5156" w:rsidRPr="00A447FF" w:rsidRDefault="008A5156" w:rsidP="008A5156">
            <w:pPr>
              <w:jc w:val="both"/>
              <w:rPr>
                <w:color w:val="FFFFFF" w:themeColor="background1"/>
              </w:rPr>
            </w:pPr>
            <w:r w:rsidRPr="00A447FF">
              <w:rPr>
                <w:color w:val="FFFFFF" w:themeColor="background1"/>
              </w:rPr>
              <w:t> </w:t>
            </w:r>
            <w:r w:rsidRPr="00A447FF">
              <w:rPr>
                <w:b/>
                <w:bCs/>
                <w:color w:val="FFFFFF" w:themeColor="background1"/>
              </w:rPr>
              <w:t>Totals</w:t>
            </w:r>
          </w:p>
        </w:tc>
        <w:tc>
          <w:tcPr>
            <w:tcW w:w="952" w:type="dxa"/>
            <w:shd w:val="clear" w:color="auto" w:fill="0C0C0C"/>
          </w:tcPr>
          <w:p w:rsidR="008A5156" w:rsidRPr="00A447FF" w:rsidRDefault="008A5156" w:rsidP="008A5156">
            <w:pPr>
              <w:jc w:val="both"/>
              <w:rPr>
                <w:b/>
                <w:bCs/>
                <w:i/>
                <w:color w:val="FFFFFF" w:themeColor="background1"/>
              </w:rPr>
            </w:pPr>
            <w:r w:rsidRPr="00A447FF">
              <w:rPr>
                <w:b/>
                <w:bCs/>
                <w:i/>
                <w:color w:val="FFFFFF" w:themeColor="background1"/>
              </w:rPr>
              <w:t>varies</w:t>
            </w:r>
          </w:p>
        </w:tc>
        <w:tc>
          <w:tcPr>
            <w:tcW w:w="948" w:type="dxa"/>
            <w:shd w:val="clear" w:color="auto" w:fill="0C0C0C"/>
          </w:tcPr>
          <w:p w:rsidR="008A5156" w:rsidRPr="00A447FF" w:rsidRDefault="008A5156" w:rsidP="008A5156">
            <w:pPr>
              <w:jc w:val="both"/>
              <w:rPr>
                <w:b/>
                <w:bCs/>
                <w:color w:val="FFFFFF" w:themeColor="background1"/>
              </w:rPr>
            </w:pPr>
            <w:r w:rsidRPr="00A447FF">
              <w:rPr>
                <w:b/>
                <w:bCs/>
                <w:color w:val="FFFFFF" w:themeColor="background1"/>
              </w:rPr>
              <w:t>192</w:t>
            </w:r>
          </w:p>
        </w:tc>
        <w:tc>
          <w:tcPr>
            <w:tcW w:w="863" w:type="dxa"/>
            <w:shd w:val="clear" w:color="auto" w:fill="0C0C0C"/>
          </w:tcPr>
          <w:p w:rsidR="008A5156" w:rsidRPr="00A447FF" w:rsidRDefault="008A5156" w:rsidP="008A5156">
            <w:pPr>
              <w:jc w:val="both"/>
              <w:rPr>
                <w:b/>
                <w:bCs/>
                <w:i/>
                <w:color w:val="FFFFFF" w:themeColor="background1"/>
              </w:rPr>
            </w:pPr>
            <w:r w:rsidRPr="00A447FF">
              <w:rPr>
                <w:b/>
                <w:bCs/>
                <w:color w:val="FFFFFF" w:themeColor="background1"/>
              </w:rPr>
              <w:t> </w:t>
            </w:r>
            <w:r w:rsidRPr="00A447FF">
              <w:rPr>
                <w:b/>
                <w:bCs/>
                <w:i/>
                <w:color w:val="FFFFFF" w:themeColor="background1"/>
              </w:rPr>
              <w:t>varies</w:t>
            </w:r>
          </w:p>
        </w:tc>
        <w:tc>
          <w:tcPr>
            <w:tcW w:w="1559" w:type="dxa"/>
            <w:shd w:val="clear" w:color="auto" w:fill="0C0C0C"/>
          </w:tcPr>
          <w:p w:rsidR="008A5156" w:rsidRPr="00A447FF" w:rsidRDefault="008A5156" w:rsidP="008A5156">
            <w:pPr>
              <w:jc w:val="both"/>
              <w:rPr>
                <w:b/>
                <w:bCs/>
                <w:color w:val="FFFFFF" w:themeColor="background1"/>
              </w:rPr>
            </w:pPr>
            <w:r w:rsidRPr="00A447FF">
              <w:rPr>
                <w:b/>
                <w:bCs/>
                <w:color w:val="FFFFFF" w:themeColor="background1"/>
              </w:rPr>
              <w:t>$7,680</w:t>
            </w:r>
          </w:p>
        </w:tc>
      </w:tr>
    </w:tbl>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0B659C" w:rsidRPr="00A447FF" w:rsidRDefault="008A5156" w:rsidP="00A8332D">
      <w:pPr>
        <w:pStyle w:val="Heading2"/>
        <w:rPr>
          <w:rFonts w:ascii="Times New Roman" w:hAnsi="Times New Roman"/>
          <w:sz w:val="24"/>
          <w:szCs w:val="24"/>
        </w:rPr>
      </w:pPr>
      <w:bookmarkStart w:id="0" w:name="_Toc189457721"/>
      <w:r w:rsidRPr="00A447FF">
        <w:rPr>
          <w:rFonts w:ascii="Times New Roman" w:hAnsi="Times New Roman"/>
          <w:sz w:val="24"/>
          <w:szCs w:val="24"/>
        </w:rPr>
        <w:t>E</w:t>
      </w:r>
      <w:r w:rsidR="000B659C" w:rsidRPr="00A447FF">
        <w:rPr>
          <w:rFonts w:ascii="Times New Roman" w:hAnsi="Times New Roman"/>
          <w:sz w:val="24"/>
          <w:szCs w:val="24"/>
        </w:rPr>
        <w:t>.</w:t>
      </w:r>
      <w:r w:rsidR="005857AB" w:rsidRPr="00A447FF">
        <w:rPr>
          <w:rFonts w:ascii="Times New Roman" w:hAnsi="Times New Roman"/>
          <w:sz w:val="24"/>
          <w:szCs w:val="24"/>
        </w:rPr>
        <w:t xml:space="preserve"> Methods used to develop the questions</w:t>
      </w:r>
    </w:p>
    <w:p w:rsidR="003F75D3" w:rsidRDefault="005857AB" w:rsidP="003F75D3">
      <w:pPr>
        <w:pStyle w:val="Body"/>
        <w:spacing w:line="240" w:lineRule="auto"/>
        <w:rPr>
          <w:rFonts w:ascii="Times New Roman" w:hAnsi="Times New Roman"/>
          <w:szCs w:val="24"/>
        </w:rPr>
      </w:pPr>
      <w:r w:rsidRPr="00A447FF">
        <w:rPr>
          <w:rFonts w:ascii="Times New Roman" w:hAnsi="Times New Roman"/>
          <w:szCs w:val="24"/>
        </w:rPr>
        <w:t>The questions were selected based on a review of existing TTA items in current use and multiple phases of discussion and consensus building across all existing TTA contractors and CORs during 2010.</w:t>
      </w:r>
    </w:p>
    <w:bookmarkEnd w:id="0"/>
    <w:p w:rsidR="005A35A6" w:rsidRPr="00A447FF" w:rsidRDefault="005857AB" w:rsidP="00905AE0">
      <w:pPr>
        <w:pStyle w:val="Heading2"/>
        <w:spacing w:before="120"/>
        <w:rPr>
          <w:rFonts w:ascii="Times New Roman" w:hAnsi="Times New Roman"/>
          <w:b w:val="0"/>
          <w:sz w:val="24"/>
          <w:szCs w:val="24"/>
        </w:rPr>
      </w:pPr>
      <w:r w:rsidRPr="00A447FF">
        <w:rPr>
          <w:rFonts w:ascii="Times New Roman" w:hAnsi="Times New Roman"/>
          <w:sz w:val="24"/>
          <w:szCs w:val="24"/>
        </w:rPr>
        <w:t>F</w:t>
      </w:r>
      <w:r w:rsidR="00C9462D" w:rsidRPr="00A447FF">
        <w:rPr>
          <w:rFonts w:ascii="Times New Roman" w:hAnsi="Times New Roman"/>
          <w:sz w:val="24"/>
          <w:szCs w:val="24"/>
        </w:rPr>
        <w:t xml:space="preserve">  Consultants</w:t>
      </w:r>
      <w:r w:rsidR="0067567E" w:rsidRPr="00A447FF">
        <w:rPr>
          <w:rFonts w:ascii="Times New Roman" w:hAnsi="Times New Roman"/>
          <w:sz w:val="24"/>
          <w:szCs w:val="24"/>
        </w:rPr>
        <w:t xml:space="preserve"> within </w:t>
      </w:r>
      <w:r w:rsidR="00A447FF">
        <w:rPr>
          <w:rFonts w:ascii="Times New Roman" w:hAnsi="Times New Roman"/>
          <w:sz w:val="24"/>
          <w:szCs w:val="24"/>
        </w:rPr>
        <w:t xml:space="preserve">SAMHSA/ </w:t>
      </w:r>
      <w:r w:rsidR="0067567E" w:rsidRPr="00A447FF">
        <w:rPr>
          <w:rFonts w:ascii="Times New Roman" w:hAnsi="Times New Roman"/>
          <w:sz w:val="24"/>
          <w:szCs w:val="24"/>
        </w:rPr>
        <w:t>CSAP and outside the Agency</w:t>
      </w:r>
    </w:p>
    <w:p w:rsidR="008546CD" w:rsidRPr="00A447FF" w:rsidRDefault="009B0505" w:rsidP="009B0505">
      <w:r w:rsidRPr="00A447FF">
        <w:t xml:space="preserve">The </w:t>
      </w:r>
      <w:r w:rsidR="008546CD" w:rsidRPr="00A447FF">
        <w:t xml:space="preserve">common </w:t>
      </w:r>
      <w:r w:rsidRPr="00A447FF">
        <w:t xml:space="preserve">measures submitted here for OMB approval are </w:t>
      </w:r>
      <w:r w:rsidR="005B6F86" w:rsidRPr="00A447FF">
        <w:t>the</w:t>
      </w:r>
      <w:r w:rsidRPr="00A447FF">
        <w:t xml:space="preserve"> result of lengthy consultation and discussion among </w:t>
      </w:r>
      <w:r w:rsidR="008546CD" w:rsidRPr="00A447FF">
        <w:t>SAMHSA/</w:t>
      </w:r>
      <w:r w:rsidR="001A0721" w:rsidRPr="00A447FF">
        <w:t>CSAP</w:t>
      </w:r>
      <w:r w:rsidRPr="00A447FF">
        <w:t xml:space="preserve"> personnel, training and TA contract representatives, and the DACCC staff. </w:t>
      </w:r>
      <w:r w:rsidR="00E450D6" w:rsidRPr="00A447FF">
        <w:t>See Attachment D for staff</w:t>
      </w:r>
      <w:r w:rsidR="00A447FF">
        <w:t xml:space="preserve"> and consultants involved (see Attachment B)</w:t>
      </w:r>
      <w:r w:rsidR="008434A9">
        <w:t>.</w:t>
      </w:r>
      <w:r w:rsidR="00A447FF">
        <w:t xml:space="preserve"> </w:t>
      </w:r>
      <w:r w:rsidRPr="00A447FF">
        <w:t>The final selection of these measures was made by SAMHSA</w:t>
      </w:r>
      <w:r w:rsidR="008546CD" w:rsidRPr="00A447FF">
        <w:t>/</w:t>
      </w:r>
      <w:r w:rsidRPr="00A447FF">
        <w:t>CSAP senior officials.</w:t>
      </w:r>
      <w:r w:rsidR="008546CD" w:rsidRPr="00A447FF">
        <w:t xml:space="preserve"> </w:t>
      </w:r>
    </w:p>
    <w:p w:rsidR="00426E74" w:rsidRPr="00A447FF" w:rsidRDefault="00426E74" w:rsidP="00426E74">
      <w:pPr>
        <w:pStyle w:val="Heading2"/>
        <w:rPr>
          <w:rFonts w:ascii="Times New Roman" w:hAnsi="Times New Roman"/>
          <w:noProof/>
          <w:sz w:val="24"/>
          <w:szCs w:val="24"/>
        </w:rPr>
      </w:pPr>
      <w:r w:rsidRPr="00A447FF">
        <w:rPr>
          <w:rFonts w:ascii="Times New Roman" w:hAnsi="Times New Roman"/>
          <w:noProof/>
          <w:sz w:val="24"/>
          <w:szCs w:val="24"/>
        </w:rPr>
        <w:t>List of Attachments:</w:t>
      </w:r>
    </w:p>
    <w:p w:rsidR="00E24C62" w:rsidRPr="00A447FF" w:rsidRDefault="00905AE0" w:rsidP="00E24C62">
      <w:r w:rsidRPr="00A447FF">
        <w:t>Attachment A</w:t>
      </w:r>
      <w:r w:rsidR="00E24C62" w:rsidRPr="00A447FF">
        <w:t xml:space="preserve">: </w:t>
      </w:r>
      <w:r w:rsidR="00E450D6" w:rsidRPr="00A447FF">
        <w:t xml:space="preserve">Common </w:t>
      </w:r>
      <w:r w:rsidR="00E24C62" w:rsidRPr="00A447FF">
        <w:t>Training and TA Satisfaction Measures</w:t>
      </w:r>
    </w:p>
    <w:p w:rsidR="00C90B58" w:rsidRPr="00A447FF" w:rsidRDefault="00905AE0" w:rsidP="008A0219">
      <w:r w:rsidRPr="00A447FF">
        <w:t>Attachment B</w:t>
      </w:r>
      <w:r w:rsidR="00305FB3" w:rsidRPr="00A447FF">
        <w:t>: Staff and Consultants I</w:t>
      </w:r>
      <w:r w:rsidR="00E24C62" w:rsidRPr="00A447FF">
        <w:t>nvolved</w:t>
      </w:r>
    </w:p>
    <w:sectPr w:rsidR="00C90B58" w:rsidRPr="00A447FF" w:rsidSect="00092877">
      <w:footerReference w:type="default" r:id="rId10"/>
      <w:headerReference w:type="first" r:id="rId11"/>
      <w:footnotePr>
        <w:numRestart w:val="eachSect"/>
      </w:footnotePr>
      <w:pgSz w:w="12240" w:h="15840"/>
      <w:pgMar w:top="1296" w:right="1440" w:bottom="1440" w:left="1440" w:header="547"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3F9" w:rsidRDefault="000513F9">
      <w:r>
        <w:separator/>
      </w:r>
    </w:p>
  </w:endnote>
  <w:endnote w:type="continuationSeparator" w:id="0">
    <w:p w:rsidR="000513F9" w:rsidRDefault="000513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EngraversGothic BT">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FF" w:rsidRDefault="009E0172" w:rsidP="008A0219">
    <w:pPr>
      <w:pStyle w:val="Footer"/>
      <w:jc w:val="right"/>
    </w:pPr>
    <w:fldSimple w:instr=" PAGE   \* MERGEFORMAT ">
      <w:r w:rsidR="007B079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3F9" w:rsidRDefault="000513F9">
      <w:r>
        <w:separator/>
      </w:r>
    </w:p>
  </w:footnote>
  <w:footnote w:type="continuationSeparator" w:id="0">
    <w:p w:rsidR="000513F9" w:rsidRDefault="000513F9">
      <w:r>
        <w:continuationSeparator/>
      </w:r>
    </w:p>
  </w:footnote>
  <w:footnote w:id="1">
    <w:p w:rsidR="008A5156" w:rsidRDefault="008A5156" w:rsidP="008A5156">
      <w:pPr>
        <w:pStyle w:val="FootnoteText"/>
        <w:rPr>
          <w:rFonts w:ascii="Times New Roman" w:hAnsi="Times New Roman"/>
          <w:sz w:val="20"/>
        </w:rPr>
      </w:pPr>
      <w:r w:rsidRPr="0020240C">
        <w:rPr>
          <w:rStyle w:val="FootnoteReference"/>
          <w:rFonts w:ascii="Times New Roman" w:hAnsi="Times New Roman"/>
          <w:sz w:val="20"/>
        </w:rPr>
        <w:footnoteRef/>
      </w:r>
      <w:r w:rsidRPr="0020240C">
        <w:rPr>
          <w:rFonts w:ascii="Times New Roman" w:hAnsi="Times New Roman"/>
          <w:sz w:val="20"/>
        </w:rPr>
        <w:t xml:space="preserve"> </w:t>
      </w:r>
      <w:r w:rsidRPr="0020240C">
        <w:rPr>
          <w:rFonts w:ascii="Times New Roman" w:hAnsi="Times New Roman"/>
          <w:sz w:val="20"/>
          <w:vertAlign w:val="superscript"/>
        </w:rPr>
        <w:t>Hourly Wage: Given that most TTA providers serve management-level personnel, the $37.72 rate is used as the mean hourly wage as reported on the Bureau of Labor Statistics website (</w:t>
      </w:r>
      <w:hyperlink r:id="rId1" w:history="1">
        <w:r w:rsidRPr="0020240C">
          <w:rPr>
            <w:rStyle w:val="Hyperlink"/>
            <w:rFonts w:ascii="Times New Roman" w:hAnsi="Times New Roman"/>
            <w:sz w:val="20"/>
            <w:vertAlign w:val="superscript"/>
          </w:rPr>
          <w:t>http://www.bls.gov/</w:t>
        </w:r>
      </w:hyperlink>
      <w:r w:rsidRPr="0020240C">
        <w:rPr>
          <w:rFonts w:ascii="Times New Roman" w:hAnsi="Times New Roman"/>
          <w:sz w:val="20"/>
          <w:vertAlign w:val="superscript"/>
        </w:rPr>
        <w:t>). However, FCBSI primarily serves direct service personnel and uses the $25.00 rate. Lastly, the Prevention Fellow Program uses the $15.00 rate to reflect the rate that fellows are paid during their term in the program.</w:t>
      </w:r>
    </w:p>
  </w:footnote>
  <w:footnote w:id="2">
    <w:p w:rsidR="008A5156" w:rsidRPr="00DF3602" w:rsidRDefault="008A5156" w:rsidP="008A5156">
      <w:pPr>
        <w:pStyle w:val="FootnoteText"/>
        <w:rPr>
          <w:rFonts w:ascii="Times New Roman" w:hAnsi="Times New Roman"/>
        </w:rPr>
      </w:pPr>
      <w:r w:rsidRPr="0020240C">
        <w:rPr>
          <w:rFonts w:ascii="Times New Roman" w:hAnsi="Times New Roman"/>
          <w:sz w:val="20"/>
        </w:rPr>
        <w:t>Annual hours are based on a 40-hour work week for 48 weeks per year.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FF" w:rsidRDefault="004570FF" w:rsidP="00A1310E">
    <w:pPr>
      <w:tabs>
        <w:tab w:val="center" w:pos="4680"/>
        <w:tab w:val="left" w:pos="6785"/>
      </w:tabs>
      <w:spacing w:line="287" w:lineRule="atLeast"/>
      <w:outlineLvl w:val="0"/>
      <w:rPr>
        <w:b/>
      </w:rPr>
    </w:pPr>
    <w:r>
      <w:rPr>
        <w:b/>
      </w:rPr>
      <w:tab/>
    </w:r>
  </w:p>
  <w:p w:rsidR="004570FF" w:rsidRDefault="004570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D6A7006"/>
    <w:lvl w:ilvl="0">
      <w:start w:val="1"/>
      <w:numFmt w:val="decimal"/>
      <w:pStyle w:val="ListNumber2"/>
      <w:lvlText w:val="%1."/>
      <w:lvlJc w:val="left"/>
      <w:pPr>
        <w:tabs>
          <w:tab w:val="num" w:pos="720"/>
        </w:tabs>
        <w:ind w:left="720" w:hanging="360"/>
      </w:pPr>
    </w:lvl>
  </w:abstractNum>
  <w:abstractNum w:abstractNumId="1">
    <w:nsid w:val="FFFFFF82"/>
    <w:multiLevelType w:val="singleLevel"/>
    <w:tmpl w:val="33EEABEE"/>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20825EC8"/>
    <w:lvl w:ilvl="0">
      <w:start w:val="1"/>
      <w:numFmt w:val="decimal"/>
      <w:pStyle w:val="ListNumber"/>
      <w:lvlText w:val="%1."/>
      <w:lvlJc w:val="left"/>
      <w:pPr>
        <w:tabs>
          <w:tab w:val="num" w:pos="360"/>
        </w:tabs>
        <w:ind w:left="360" w:hanging="360"/>
      </w:pPr>
    </w:lvl>
  </w:abstractNum>
  <w:abstractNum w:abstractNumId="3">
    <w:nsid w:val="0000000B"/>
    <w:multiLevelType w:val="multilevel"/>
    <w:tmpl w:val="695EA29C"/>
    <w:name w:val="WW8Num8"/>
    <w:lvl w:ilvl="0">
      <w:start w:val="1"/>
      <w:numFmt w:val="decimal"/>
      <w:lvlText w:val="%1."/>
      <w:lvlJc w:val="left"/>
      <w:pPr>
        <w:tabs>
          <w:tab w:val="num" w:pos="720"/>
        </w:tabs>
        <w:ind w:left="720" w:hanging="360"/>
      </w:pPr>
    </w:lvl>
    <w:lvl w:ilvl="1">
      <w:start w:val="1"/>
      <w:numFmt w:val="lowerLetter"/>
      <w:lvlText w:val="%2."/>
      <w:lvlJc w:val="left"/>
      <w:pPr>
        <w:tabs>
          <w:tab w:val="num" w:pos="1152"/>
        </w:tabs>
        <w:ind w:left="1080" w:hanging="360"/>
      </w:pPr>
      <w:rPr>
        <w:rFonts w:hint="default"/>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1435990"/>
    <w:multiLevelType w:val="hybridMultilevel"/>
    <w:tmpl w:val="7942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31BC5"/>
    <w:multiLevelType w:val="hybridMultilevel"/>
    <w:tmpl w:val="D45C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7">
    <w:nsid w:val="280D38C5"/>
    <w:multiLevelType w:val="hybridMultilevel"/>
    <w:tmpl w:val="EF344654"/>
    <w:lvl w:ilvl="0" w:tplc="93AA66E4">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2E1843"/>
    <w:multiLevelType w:val="hybridMultilevel"/>
    <w:tmpl w:val="98E4D1A0"/>
    <w:lvl w:ilvl="0" w:tplc="984E651A">
      <w:start w:val="1"/>
      <w:numFmt w:val="bullet"/>
      <w:pStyle w:val="A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7C4305"/>
    <w:multiLevelType w:val="hybridMultilevel"/>
    <w:tmpl w:val="A14C4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B4008"/>
    <w:multiLevelType w:val="multilevel"/>
    <w:tmpl w:val="7CEE2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B2D5C5F"/>
    <w:multiLevelType w:val="hybridMultilevel"/>
    <w:tmpl w:val="06FEA232"/>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3C2DB8"/>
    <w:multiLevelType w:val="hybridMultilevel"/>
    <w:tmpl w:val="73E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17166"/>
    <w:multiLevelType w:val="singleLevel"/>
    <w:tmpl w:val="D05016B2"/>
    <w:lvl w:ilvl="0">
      <w:start w:val="1"/>
      <w:numFmt w:val="bullet"/>
      <w:pStyle w:val="BulletCorpCape"/>
      <w:lvlText w:val=""/>
      <w:lvlJc w:val="left"/>
      <w:pPr>
        <w:tabs>
          <w:tab w:val="num" w:pos="810"/>
        </w:tabs>
        <w:ind w:left="810" w:hanging="360"/>
      </w:pPr>
      <w:rPr>
        <w:rFonts w:ascii="Wingdings" w:hAnsi="Wingdings" w:hint="default"/>
      </w:rPr>
    </w:lvl>
  </w:abstractNum>
  <w:abstractNum w:abstractNumId="14">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93BAE"/>
    <w:multiLevelType w:val="hybridMultilevel"/>
    <w:tmpl w:val="66183516"/>
    <w:lvl w:ilvl="0" w:tplc="F50EE2EA">
      <w:start w:val="1"/>
      <w:numFmt w:val="bullet"/>
      <w:pStyle w:val="Style1"/>
      <w:lvlText w:val=""/>
      <w:lvlJc w:val="left"/>
      <w:pPr>
        <w:tabs>
          <w:tab w:val="num" w:pos="1260"/>
        </w:tabs>
        <w:ind w:left="1260" w:hanging="360"/>
      </w:pPr>
      <w:rPr>
        <w:rFonts w:ascii="Symbol" w:hAnsi="Symbol"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A9106D"/>
    <w:multiLevelType w:val="hybridMultilevel"/>
    <w:tmpl w:val="BB38F5DA"/>
    <w:lvl w:ilvl="0" w:tplc="0F5CAC8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7">
    <w:nsid w:val="67A874B9"/>
    <w:multiLevelType w:val="singleLevel"/>
    <w:tmpl w:val="67A0D5FE"/>
    <w:lvl w:ilvl="0">
      <w:start w:val="1"/>
      <w:numFmt w:val="decimal"/>
      <w:pStyle w:val="TableNumberedList"/>
      <w:lvlText w:val="%1."/>
      <w:lvlJc w:val="left"/>
      <w:pPr>
        <w:tabs>
          <w:tab w:val="num" w:pos="360"/>
        </w:tabs>
        <w:ind w:left="360" w:hanging="360"/>
      </w:pPr>
      <w:rPr>
        <w:rFonts w:hint="default"/>
        <w:b w:val="0"/>
        <w:i w:val="0"/>
      </w:rPr>
    </w:lvl>
  </w:abstractNum>
  <w:abstractNum w:abstractNumId="18">
    <w:nsid w:val="68B52B16"/>
    <w:multiLevelType w:val="hybridMultilevel"/>
    <w:tmpl w:val="BE0A2026"/>
    <w:lvl w:ilvl="0" w:tplc="B8D67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A5735AD"/>
    <w:multiLevelType w:val="hybridMultilevel"/>
    <w:tmpl w:val="C8D4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11"/>
  </w:num>
  <w:num w:numId="5">
    <w:abstractNumId w:val="13"/>
  </w:num>
  <w:num w:numId="6">
    <w:abstractNumId w:val="19"/>
  </w:num>
  <w:num w:numId="7">
    <w:abstractNumId w:val="12"/>
  </w:num>
  <w:num w:numId="8">
    <w:abstractNumId w:val="0"/>
  </w:num>
  <w:num w:numId="9">
    <w:abstractNumId w:val="2"/>
  </w:num>
  <w:num w:numId="10">
    <w:abstractNumId w:val="7"/>
  </w:num>
  <w:num w:numId="11">
    <w:abstractNumId w:val="1"/>
  </w:num>
  <w:num w:numId="12">
    <w:abstractNumId w:val="8"/>
  </w:num>
  <w:num w:numId="13">
    <w:abstractNumId w:val="15"/>
  </w:num>
  <w:num w:numId="14">
    <w:abstractNumId w:val="16"/>
  </w:num>
  <w:num w:numId="15">
    <w:abstractNumId w:val="5"/>
  </w:num>
  <w:num w:numId="16">
    <w:abstractNumId w:val="4"/>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num>
  <w:num w:numId="22">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rsids>
    <w:rsidRoot w:val="00514F49"/>
    <w:rsid w:val="00002383"/>
    <w:rsid w:val="00003AA8"/>
    <w:rsid w:val="0000419F"/>
    <w:rsid w:val="00004D4B"/>
    <w:rsid w:val="000058D3"/>
    <w:rsid w:val="00005CB7"/>
    <w:rsid w:val="000109B5"/>
    <w:rsid w:val="000112E9"/>
    <w:rsid w:val="000117F0"/>
    <w:rsid w:val="000154EF"/>
    <w:rsid w:val="000170E9"/>
    <w:rsid w:val="000172FF"/>
    <w:rsid w:val="00023805"/>
    <w:rsid w:val="00025D14"/>
    <w:rsid w:val="000263AE"/>
    <w:rsid w:val="00030206"/>
    <w:rsid w:val="00033273"/>
    <w:rsid w:val="00033FEB"/>
    <w:rsid w:val="0003418E"/>
    <w:rsid w:val="00034FF5"/>
    <w:rsid w:val="00037347"/>
    <w:rsid w:val="00037D9C"/>
    <w:rsid w:val="000400D2"/>
    <w:rsid w:val="00040C8B"/>
    <w:rsid w:val="00043134"/>
    <w:rsid w:val="000456C5"/>
    <w:rsid w:val="00050F96"/>
    <w:rsid w:val="000513F9"/>
    <w:rsid w:val="00051933"/>
    <w:rsid w:val="00051D7D"/>
    <w:rsid w:val="000524F2"/>
    <w:rsid w:val="00053723"/>
    <w:rsid w:val="00053F4E"/>
    <w:rsid w:val="0005705B"/>
    <w:rsid w:val="0005759B"/>
    <w:rsid w:val="00057DE6"/>
    <w:rsid w:val="00057F00"/>
    <w:rsid w:val="000631B3"/>
    <w:rsid w:val="0006382B"/>
    <w:rsid w:val="000648C5"/>
    <w:rsid w:val="00065413"/>
    <w:rsid w:val="0007148E"/>
    <w:rsid w:val="00071A69"/>
    <w:rsid w:val="00073E55"/>
    <w:rsid w:val="00073FC9"/>
    <w:rsid w:val="00076567"/>
    <w:rsid w:val="00076667"/>
    <w:rsid w:val="00080B98"/>
    <w:rsid w:val="0008261F"/>
    <w:rsid w:val="00083924"/>
    <w:rsid w:val="00084C3F"/>
    <w:rsid w:val="00085FF2"/>
    <w:rsid w:val="00086D01"/>
    <w:rsid w:val="00087BB9"/>
    <w:rsid w:val="00090C7F"/>
    <w:rsid w:val="00091239"/>
    <w:rsid w:val="00092877"/>
    <w:rsid w:val="00093DF7"/>
    <w:rsid w:val="0009415C"/>
    <w:rsid w:val="0009467E"/>
    <w:rsid w:val="00094BB7"/>
    <w:rsid w:val="00095D8D"/>
    <w:rsid w:val="0009605E"/>
    <w:rsid w:val="000963E4"/>
    <w:rsid w:val="000A0A6C"/>
    <w:rsid w:val="000A0EF2"/>
    <w:rsid w:val="000A1D1F"/>
    <w:rsid w:val="000A38B2"/>
    <w:rsid w:val="000A3B5F"/>
    <w:rsid w:val="000A3C50"/>
    <w:rsid w:val="000A5053"/>
    <w:rsid w:val="000A63AB"/>
    <w:rsid w:val="000B21A1"/>
    <w:rsid w:val="000B58CE"/>
    <w:rsid w:val="000B6397"/>
    <w:rsid w:val="000B659C"/>
    <w:rsid w:val="000B78E2"/>
    <w:rsid w:val="000C167F"/>
    <w:rsid w:val="000C3363"/>
    <w:rsid w:val="000C4B5E"/>
    <w:rsid w:val="000C51E2"/>
    <w:rsid w:val="000C56E7"/>
    <w:rsid w:val="000C7993"/>
    <w:rsid w:val="000D114D"/>
    <w:rsid w:val="000D505A"/>
    <w:rsid w:val="000D62B2"/>
    <w:rsid w:val="000E3447"/>
    <w:rsid w:val="000E45C4"/>
    <w:rsid w:val="000E542D"/>
    <w:rsid w:val="000F4D37"/>
    <w:rsid w:val="000F5845"/>
    <w:rsid w:val="000F58BE"/>
    <w:rsid w:val="000F6D31"/>
    <w:rsid w:val="001023B5"/>
    <w:rsid w:val="0010254F"/>
    <w:rsid w:val="0010314B"/>
    <w:rsid w:val="00103366"/>
    <w:rsid w:val="00103B2E"/>
    <w:rsid w:val="00104B44"/>
    <w:rsid w:val="00105BAB"/>
    <w:rsid w:val="00106BCA"/>
    <w:rsid w:val="00110103"/>
    <w:rsid w:val="00112EE8"/>
    <w:rsid w:val="00114D4D"/>
    <w:rsid w:val="00122BF6"/>
    <w:rsid w:val="00124111"/>
    <w:rsid w:val="001269E2"/>
    <w:rsid w:val="0013087F"/>
    <w:rsid w:val="001312C2"/>
    <w:rsid w:val="00131724"/>
    <w:rsid w:val="00131EB2"/>
    <w:rsid w:val="001342A4"/>
    <w:rsid w:val="00134C85"/>
    <w:rsid w:val="001432D6"/>
    <w:rsid w:val="00144288"/>
    <w:rsid w:val="00144F83"/>
    <w:rsid w:val="00145FBF"/>
    <w:rsid w:val="001511B2"/>
    <w:rsid w:val="00152BEA"/>
    <w:rsid w:val="001531A3"/>
    <w:rsid w:val="00153EF5"/>
    <w:rsid w:val="001543F5"/>
    <w:rsid w:val="00154C6C"/>
    <w:rsid w:val="00154F0D"/>
    <w:rsid w:val="0015572D"/>
    <w:rsid w:val="001604E8"/>
    <w:rsid w:val="00161D66"/>
    <w:rsid w:val="0016259E"/>
    <w:rsid w:val="00166605"/>
    <w:rsid w:val="00166FF8"/>
    <w:rsid w:val="001706F4"/>
    <w:rsid w:val="00171441"/>
    <w:rsid w:val="0017305A"/>
    <w:rsid w:val="00173FB2"/>
    <w:rsid w:val="00177253"/>
    <w:rsid w:val="0017764F"/>
    <w:rsid w:val="001776D3"/>
    <w:rsid w:val="00180B38"/>
    <w:rsid w:val="00181291"/>
    <w:rsid w:val="00181B75"/>
    <w:rsid w:val="00184E57"/>
    <w:rsid w:val="00185D88"/>
    <w:rsid w:val="001903AC"/>
    <w:rsid w:val="00190BDA"/>
    <w:rsid w:val="001918A6"/>
    <w:rsid w:val="00191F11"/>
    <w:rsid w:val="001931EB"/>
    <w:rsid w:val="00193C33"/>
    <w:rsid w:val="0019485C"/>
    <w:rsid w:val="00194AE6"/>
    <w:rsid w:val="00195041"/>
    <w:rsid w:val="00195AB9"/>
    <w:rsid w:val="00196408"/>
    <w:rsid w:val="00197025"/>
    <w:rsid w:val="00197FEE"/>
    <w:rsid w:val="001A025F"/>
    <w:rsid w:val="001A0721"/>
    <w:rsid w:val="001A0D2F"/>
    <w:rsid w:val="001A1CC9"/>
    <w:rsid w:val="001A26A7"/>
    <w:rsid w:val="001A26FE"/>
    <w:rsid w:val="001A2804"/>
    <w:rsid w:val="001A412D"/>
    <w:rsid w:val="001A4155"/>
    <w:rsid w:val="001A52CE"/>
    <w:rsid w:val="001A6BBA"/>
    <w:rsid w:val="001B08B7"/>
    <w:rsid w:val="001B4D9D"/>
    <w:rsid w:val="001B67E9"/>
    <w:rsid w:val="001B7123"/>
    <w:rsid w:val="001B7AFA"/>
    <w:rsid w:val="001C24E2"/>
    <w:rsid w:val="001C2745"/>
    <w:rsid w:val="001C3FD3"/>
    <w:rsid w:val="001C4CFF"/>
    <w:rsid w:val="001D00E3"/>
    <w:rsid w:val="001D1A7C"/>
    <w:rsid w:val="001D20B3"/>
    <w:rsid w:val="001D388F"/>
    <w:rsid w:val="001D70BD"/>
    <w:rsid w:val="001D732E"/>
    <w:rsid w:val="001D7D9B"/>
    <w:rsid w:val="001D7E30"/>
    <w:rsid w:val="001E1826"/>
    <w:rsid w:val="001E433E"/>
    <w:rsid w:val="001E7508"/>
    <w:rsid w:val="001E7958"/>
    <w:rsid w:val="001F014C"/>
    <w:rsid w:val="001F1002"/>
    <w:rsid w:val="001F5FE6"/>
    <w:rsid w:val="001F6565"/>
    <w:rsid w:val="001F698C"/>
    <w:rsid w:val="001F7A20"/>
    <w:rsid w:val="0020191B"/>
    <w:rsid w:val="00202025"/>
    <w:rsid w:val="0020240C"/>
    <w:rsid w:val="002030A3"/>
    <w:rsid w:val="00204BF9"/>
    <w:rsid w:val="00205565"/>
    <w:rsid w:val="00206036"/>
    <w:rsid w:val="00206379"/>
    <w:rsid w:val="00206E67"/>
    <w:rsid w:val="00210B54"/>
    <w:rsid w:val="0021107F"/>
    <w:rsid w:val="00211570"/>
    <w:rsid w:val="00211AAD"/>
    <w:rsid w:val="00214B5E"/>
    <w:rsid w:val="002157CA"/>
    <w:rsid w:val="00217CB3"/>
    <w:rsid w:val="002201F9"/>
    <w:rsid w:val="00221611"/>
    <w:rsid w:val="00221A57"/>
    <w:rsid w:val="0022225F"/>
    <w:rsid w:val="002223C4"/>
    <w:rsid w:val="00223E05"/>
    <w:rsid w:val="00225750"/>
    <w:rsid w:val="00230AF2"/>
    <w:rsid w:val="002327FF"/>
    <w:rsid w:val="00232EFD"/>
    <w:rsid w:val="00234D4A"/>
    <w:rsid w:val="0023575D"/>
    <w:rsid w:val="00236EA6"/>
    <w:rsid w:val="0023718D"/>
    <w:rsid w:val="002378B7"/>
    <w:rsid w:val="002414BD"/>
    <w:rsid w:val="00242809"/>
    <w:rsid w:val="00243123"/>
    <w:rsid w:val="00243C3B"/>
    <w:rsid w:val="00244663"/>
    <w:rsid w:val="00245D39"/>
    <w:rsid w:val="00247AAD"/>
    <w:rsid w:val="00247B33"/>
    <w:rsid w:val="00250483"/>
    <w:rsid w:val="00251959"/>
    <w:rsid w:val="00251E9B"/>
    <w:rsid w:val="002520B4"/>
    <w:rsid w:val="00252809"/>
    <w:rsid w:val="0025453B"/>
    <w:rsid w:val="002547F1"/>
    <w:rsid w:val="00254DB7"/>
    <w:rsid w:val="002554AD"/>
    <w:rsid w:val="00255926"/>
    <w:rsid w:val="002564C8"/>
    <w:rsid w:val="002572A1"/>
    <w:rsid w:val="00262101"/>
    <w:rsid w:val="00262A4A"/>
    <w:rsid w:val="00263DE7"/>
    <w:rsid w:val="002670D5"/>
    <w:rsid w:val="0027076B"/>
    <w:rsid w:val="00272599"/>
    <w:rsid w:val="00273329"/>
    <w:rsid w:val="00276C3A"/>
    <w:rsid w:val="00277DD0"/>
    <w:rsid w:val="002816AF"/>
    <w:rsid w:val="002818B2"/>
    <w:rsid w:val="00281AA5"/>
    <w:rsid w:val="00282929"/>
    <w:rsid w:val="00283B4E"/>
    <w:rsid w:val="00283CD5"/>
    <w:rsid w:val="002841CA"/>
    <w:rsid w:val="00285343"/>
    <w:rsid w:val="00287E29"/>
    <w:rsid w:val="00291743"/>
    <w:rsid w:val="002920E7"/>
    <w:rsid w:val="00294339"/>
    <w:rsid w:val="00294A52"/>
    <w:rsid w:val="00294B4D"/>
    <w:rsid w:val="00295D2A"/>
    <w:rsid w:val="002963E1"/>
    <w:rsid w:val="002969F7"/>
    <w:rsid w:val="002971D7"/>
    <w:rsid w:val="0029782A"/>
    <w:rsid w:val="002A0ECE"/>
    <w:rsid w:val="002A20E2"/>
    <w:rsid w:val="002A3E18"/>
    <w:rsid w:val="002A6923"/>
    <w:rsid w:val="002A782F"/>
    <w:rsid w:val="002B027E"/>
    <w:rsid w:val="002B152B"/>
    <w:rsid w:val="002B2A11"/>
    <w:rsid w:val="002B5CC8"/>
    <w:rsid w:val="002B6CC5"/>
    <w:rsid w:val="002C04CF"/>
    <w:rsid w:val="002C10DE"/>
    <w:rsid w:val="002C11C0"/>
    <w:rsid w:val="002C11D3"/>
    <w:rsid w:val="002C1CF5"/>
    <w:rsid w:val="002C28B9"/>
    <w:rsid w:val="002C3896"/>
    <w:rsid w:val="002C4F64"/>
    <w:rsid w:val="002C63C1"/>
    <w:rsid w:val="002D2148"/>
    <w:rsid w:val="002D231A"/>
    <w:rsid w:val="002D2375"/>
    <w:rsid w:val="002D3696"/>
    <w:rsid w:val="002D458C"/>
    <w:rsid w:val="002E0566"/>
    <w:rsid w:val="002E0F47"/>
    <w:rsid w:val="002E14B9"/>
    <w:rsid w:val="002E1C9D"/>
    <w:rsid w:val="002E20B2"/>
    <w:rsid w:val="002E26B9"/>
    <w:rsid w:val="002E2ABA"/>
    <w:rsid w:val="002E5FE2"/>
    <w:rsid w:val="002F00A2"/>
    <w:rsid w:val="002F0E26"/>
    <w:rsid w:val="002F5C41"/>
    <w:rsid w:val="002F629B"/>
    <w:rsid w:val="002F7A29"/>
    <w:rsid w:val="002F7D6E"/>
    <w:rsid w:val="003001BE"/>
    <w:rsid w:val="003012EE"/>
    <w:rsid w:val="00302C8F"/>
    <w:rsid w:val="00303378"/>
    <w:rsid w:val="00305051"/>
    <w:rsid w:val="00305712"/>
    <w:rsid w:val="00305E7F"/>
    <w:rsid w:val="00305FB3"/>
    <w:rsid w:val="00310CAD"/>
    <w:rsid w:val="0031129E"/>
    <w:rsid w:val="003133D0"/>
    <w:rsid w:val="00313E13"/>
    <w:rsid w:val="0031496E"/>
    <w:rsid w:val="00314E7A"/>
    <w:rsid w:val="00315685"/>
    <w:rsid w:val="00315963"/>
    <w:rsid w:val="00317944"/>
    <w:rsid w:val="00323E9B"/>
    <w:rsid w:val="0032448A"/>
    <w:rsid w:val="00324A07"/>
    <w:rsid w:val="00324AC1"/>
    <w:rsid w:val="003268F5"/>
    <w:rsid w:val="0033240B"/>
    <w:rsid w:val="0033491E"/>
    <w:rsid w:val="00341CA4"/>
    <w:rsid w:val="00343061"/>
    <w:rsid w:val="0034430D"/>
    <w:rsid w:val="00344D72"/>
    <w:rsid w:val="00344F56"/>
    <w:rsid w:val="00345487"/>
    <w:rsid w:val="00346273"/>
    <w:rsid w:val="00351459"/>
    <w:rsid w:val="003532A6"/>
    <w:rsid w:val="00355C24"/>
    <w:rsid w:val="00356D70"/>
    <w:rsid w:val="00357103"/>
    <w:rsid w:val="003576A1"/>
    <w:rsid w:val="00360AC8"/>
    <w:rsid w:val="00360D6B"/>
    <w:rsid w:val="00361EA2"/>
    <w:rsid w:val="00361F98"/>
    <w:rsid w:val="00363EEF"/>
    <w:rsid w:val="00364623"/>
    <w:rsid w:val="0036536C"/>
    <w:rsid w:val="003659C4"/>
    <w:rsid w:val="003673D0"/>
    <w:rsid w:val="00370ACB"/>
    <w:rsid w:val="00371BBF"/>
    <w:rsid w:val="003732A8"/>
    <w:rsid w:val="00373E4A"/>
    <w:rsid w:val="00374993"/>
    <w:rsid w:val="00381175"/>
    <w:rsid w:val="00381644"/>
    <w:rsid w:val="00383259"/>
    <w:rsid w:val="003852E9"/>
    <w:rsid w:val="00385CC2"/>
    <w:rsid w:val="003900DA"/>
    <w:rsid w:val="00391BEC"/>
    <w:rsid w:val="00391F57"/>
    <w:rsid w:val="00394F7F"/>
    <w:rsid w:val="00396407"/>
    <w:rsid w:val="003A17C0"/>
    <w:rsid w:val="003A3572"/>
    <w:rsid w:val="003A6D19"/>
    <w:rsid w:val="003B111F"/>
    <w:rsid w:val="003B17ED"/>
    <w:rsid w:val="003B2116"/>
    <w:rsid w:val="003B27B0"/>
    <w:rsid w:val="003B3B07"/>
    <w:rsid w:val="003B3BB3"/>
    <w:rsid w:val="003B3CA7"/>
    <w:rsid w:val="003B3CEF"/>
    <w:rsid w:val="003B5785"/>
    <w:rsid w:val="003B678E"/>
    <w:rsid w:val="003B7425"/>
    <w:rsid w:val="003B790C"/>
    <w:rsid w:val="003C0EE0"/>
    <w:rsid w:val="003C15FA"/>
    <w:rsid w:val="003C2098"/>
    <w:rsid w:val="003C4B3D"/>
    <w:rsid w:val="003C6383"/>
    <w:rsid w:val="003C74B5"/>
    <w:rsid w:val="003C7513"/>
    <w:rsid w:val="003D1AA0"/>
    <w:rsid w:val="003D289F"/>
    <w:rsid w:val="003D2EB0"/>
    <w:rsid w:val="003D30B5"/>
    <w:rsid w:val="003D330C"/>
    <w:rsid w:val="003D3761"/>
    <w:rsid w:val="003D4697"/>
    <w:rsid w:val="003D48BF"/>
    <w:rsid w:val="003D5175"/>
    <w:rsid w:val="003D51DD"/>
    <w:rsid w:val="003D610F"/>
    <w:rsid w:val="003D73A2"/>
    <w:rsid w:val="003E04CE"/>
    <w:rsid w:val="003E29F7"/>
    <w:rsid w:val="003E409A"/>
    <w:rsid w:val="003E603B"/>
    <w:rsid w:val="003E6A92"/>
    <w:rsid w:val="003F2F79"/>
    <w:rsid w:val="003F4D17"/>
    <w:rsid w:val="003F5D05"/>
    <w:rsid w:val="003F6C4B"/>
    <w:rsid w:val="003F75D3"/>
    <w:rsid w:val="003F788F"/>
    <w:rsid w:val="00400D9A"/>
    <w:rsid w:val="00401EB2"/>
    <w:rsid w:val="00401FE0"/>
    <w:rsid w:val="0040337F"/>
    <w:rsid w:val="00404E98"/>
    <w:rsid w:val="00404EC8"/>
    <w:rsid w:val="00406E0A"/>
    <w:rsid w:val="004074FF"/>
    <w:rsid w:val="004125CE"/>
    <w:rsid w:val="004133F4"/>
    <w:rsid w:val="00415109"/>
    <w:rsid w:val="00415AEA"/>
    <w:rsid w:val="004160CE"/>
    <w:rsid w:val="004170C9"/>
    <w:rsid w:val="00420AC0"/>
    <w:rsid w:val="00421C9C"/>
    <w:rsid w:val="004223E9"/>
    <w:rsid w:val="004235D4"/>
    <w:rsid w:val="004242DC"/>
    <w:rsid w:val="00425F63"/>
    <w:rsid w:val="00426E74"/>
    <w:rsid w:val="004323E5"/>
    <w:rsid w:val="004332C7"/>
    <w:rsid w:val="00433C61"/>
    <w:rsid w:val="004359C5"/>
    <w:rsid w:val="00435B42"/>
    <w:rsid w:val="004360E9"/>
    <w:rsid w:val="00437480"/>
    <w:rsid w:val="004406D0"/>
    <w:rsid w:val="0044200C"/>
    <w:rsid w:val="00444502"/>
    <w:rsid w:val="00446626"/>
    <w:rsid w:val="00450D88"/>
    <w:rsid w:val="00452467"/>
    <w:rsid w:val="00454A58"/>
    <w:rsid w:val="0045653E"/>
    <w:rsid w:val="004570FF"/>
    <w:rsid w:val="00457FCD"/>
    <w:rsid w:val="0046425C"/>
    <w:rsid w:val="00464734"/>
    <w:rsid w:val="004674BB"/>
    <w:rsid w:val="00470BEE"/>
    <w:rsid w:val="00470C88"/>
    <w:rsid w:val="00471AF2"/>
    <w:rsid w:val="004721F1"/>
    <w:rsid w:val="004739B1"/>
    <w:rsid w:val="00473DB2"/>
    <w:rsid w:val="00475553"/>
    <w:rsid w:val="00475DFA"/>
    <w:rsid w:val="0047605D"/>
    <w:rsid w:val="0047637C"/>
    <w:rsid w:val="0047657A"/>
    <w:rsid w:val="004765D6"/>
    <w:rsid w:val="0047788E"/>
    <w:rsid w:val="00477C8A"/>
    <w:rsid w:val="004804F2"/>
    <w:rsid w:val="00481DB3"/>
    <w:rsid w:val="004820AE"/>
    <w:rsid w:val="004820CB"/>
    <w:rsid w:val="0048450D"/>
    <w:rsid w:val="00486000"/>
    <w:rsid w:val="00486606"/>
    <w:rsid w:val="00491925"/>
    <w:rsid w:val="004927BB"/>
    <w:rsid w:val="004930B2"/>
    <w:rsid w:val="00493CAC"/>
    <w:rsid w:val="00493F93"/>
    <w:rsid w:val="004949C4"/>
    <w:rsid w:val="00495DFE"/>
    <w:rsid w:val="004A243A"/>
    <w:rsid w:val="004A297D"/>
    <w:rsid w:val="004A2D99"/>
    <w:rsid w:val="004A45C3"/>
    <w:rsid w:val="004A6317"/>
    <w:rsid w:val="004B0A92"/>
    <w:rsid w:val="004B1A56"/>
    <w:rsid w:val="004B3857"/>
    <w:rsid w:val="004B42B9"/>
    <w:rsid w:val="004B6C52"/>
    <w:rsid w:val="004C2387"/>
    <w:rsid w:val="004C2979"/>
    <w:rsid w:val="004C3726"/>
    <w:rsid w:val="004C528C"/>
    <w:rsid w:val="004C710A"/>
    <w:rsid w:val="004D0895"/>
    <w:rsid w:val="004D0B9E"/>
    <w:rsid w:val="004D24A8"/>
    <w:rsid w:val="004D4BF8"/>
    <w:rsid w:val="004D54F3"/>
    <w:rsid w:val="004D6485"/>
    <w:rsid w:val="004D71F2"/>
    <w:rsid w:val="004E0374"/>
    <w:rsid w:val="004E0D98"/>
    <w:rsid w:val="004E1C07"/>
    <w:rsid w:val="004E2239"/>
    <w:rsid w:val="004E5888"/>
    <w:rsid w:val="004E75F4"/>
    <w:rsid w:val="004F1BF7"/>
    <w:rsid w:val="004F2ECB"/>
    <w:rsid w:val="004F7FEB"/>
    <w:rsid w:val="00500DD6"/>
    <w:rsid w:val="005041CD"/>
    <w:rsid w:val="00504572"/>
    <w:rsid w:val="00507CE6"/>
    <w:rsid w:val="00507FBD"/>
    <w:rsid w:val="0051292F"/>
    <w:rsid w:val="00514B35"/>
    <w:rsid w:val="00514F49"/>
    <w:rsid w:val="0051532C"/>
    <w:rsid w:val="0051643F"/>
    <w:rsid w:val="0051681E"/>
    <w:rsid w:val="00517777"/>
    <w:rsid w:val="005223ED"/>
    <w:rsid w:val="00523049"/>
    <w:rsid w:val="005260F2"/>
    <w:rsid w:val="005269B2"/>
    <w:rsid w:val="00527019"/>
    <w:rsid w:val="005272B8"/>
    <w:rsid w:val="0052769C"/>
    <w:rsid w:val="00530E51"/>
    <w:rsid w:val="005332A8"/>
    <w:rsid w:val="00533734"/>
    <w:rsid w:val="005343D4"/>
    <w:rsid w:val="005407E7"/>
    <w:rsid w:val="0054098B"/>
    <w:rsid w:val="005441AE"/>
    <w:rsid w:val="005448AD"/>
    <w:rsid w:val="0054506E"/>
    <w:rsid w:val="005459DD"/>
    <w:rsid w:val="0054700A"/>
    <w:rsid w:val="00547196"/>
    <w:rsid w:val="005504EA"/>
    <w:rsid w:val="00551EC1"/>
    <w:rsid w:val="00552873"/>
    <w:rsid w:val="00552BC1"/>
    <w:rsid w:val="00552F1B"/>
    <w:rsid w:val="005545EE"/>
    <w:rsid w:val="00556347"/>
    <w:rsid w:val="005563F1"/>
    <w:rsid w:val="0055732C"/>
    <w:rsid w:val="00560498"/>
    <w:rsid w:val="00560B82"/>
    <w:rsid w:val="00563276"/>
    <w:rsid w:val="005634B3"/>
    <w:rsid w:val="00565508"/>
    <w:rsid w:val="00565DDD"/>
    <w:rsid w:val="0056609A"/>
    <w:rsid w:val="00567DA2"/>
    <w:rsid w:val="00567ED1"/>
    <w:rsid w:val="00572BB6"/>
    <w:rsid w:val="00576A13"/>
    <w:rsid w:val="00583B5B"/>
    <w:rsid w:val="005857AB"/>
    <w:rsid w:val="005871A0"/>
    <w:rsid w:val="00590F4D"/>
    <w:rsid w:val="0059140A"/>
    <w:rsid w:val="005929AB"/>
    <w:rsid w:val="005A298B"/>
    <w:rsid w:val="005A3087"/>
    <w:rsid w:val="005A35A6"/>
    <w:rsid w:val="005A6215"/>
    <w:rsid w:val="005A6BD5"/>
    <w:rsid w:val="005A6BE1"/>
    <w:rsid w:val="005B01FC"/>
    <w:rsid w:val="005B12DF"/>
    <w:rsid w:val="005B30FA"/>
    <w:rsid w:val="005B6C22"/>
    <w:rsid w:val="005B6F86"/>
    <w:rsid w:val="005B7AEE"/>
    <w:rsid w:val="005C1955"/>
    <w:rsid w:val="005C57FA"/>
    <w:rsid w:val="005C6EDD"/>
    <w:rsid w:val="005D0D96"/>
    <w:rsid w:val="005D1146"/>
    <w:rsid w:val="005D20EF"/>
    <w:rsid w:val="005D42E6"/>
    <w:rsid w:val="005D565C"/>
    <w:rsid w:val="005D5C0A"/>
    <w:rsid w:val="005D6487"/>
    <w:rsid w:val="005D7117"/>
    <w:rsid w:val="005D76C7"/>
    <w:rsid w:val="005E025D"/>
    <w:rsid w:val="005E0428"/>
    <w:rsid w:val="005E1192"/>
    <w:rsid w:val="005E2001"/>
    <w:rsid w:val="005E23E8"/>
    <w:rsid w:val="005E2CC3"/>
    <w:rsid w:val="005E2F81"/>
    <w:rsid w:val="005E40F0"/>
    <w:rsid w:val="005E6BD6"/>
    <w:rsid w:val="005E6C23"/>
    <w:rsid w:val="005E73B5"/>
    <w:rsid w:val="005F2572"/>
    <w:rsid w:val="005F5482"/>
    <w:rsid w:val="005F61E4"/>
    <w:rsid w:val="005F78EF"/>
    <w:rsid w:val="00601542"/>
    <w:rsid w:val="00601941"/>
    <w:rsid w:val="00602148"/>
    <w:rsid w:val="00610680"/>
    <w:rsid w:val="0061399C"/>
    <w:rsid w:val="00613AE5"/>
    <w:rsid w:val="00620684"/>
    <w:rsid w:val="0062276E"/>
    <w:rsid w:val="006242B8"/>
    <w:rsid w:val="0062586D"/>
    <w:rsid w:val="00634538"/>
    <w:rsid w:val="00634651"/>
    <w:rsid w:val="00635D46"/>
    <w:rsid w:val="0063782A"/>
    <w:rsid w:val="00640682"/>
    <w:rsid w:val="00642D75"/>
    <w:rsid w:val="00642D7E"/>
    <w:rsid w:val="00644A6C"/>
    <w:rsid w:val="006451AC"/>
    <w:rsid w:val="006479EE"/>
    <w:rsid w:val="00650BB8"/>
    <w:rsid w:val="00651355"/>
    <w:rsid w:val="00653FFB"/>
    <w:rsid w:val="0065445E"/>
    <w:rsid w:val="00654B5B"/>
    <w:rsid w:val="00654DAA"/>
    <w:rsid w:val="006575F1"/>
    <w:rsid w:val="006619CA"/>
    <w:rsid w:val="00663374"/>
    <w:rsid w:val="006651CF"/>
    <w:rsid w:val="0066541E"/>
    <w:rsid w:val="00671BE8"/>
    <w:rsid w:val="00672532"/>
    <w:rsid w:val="00672A2A"/>
    <w:rsid w:val="0067387C"/>
    <w:rsid w:val="0067567E"/>
    <w:rsid w:val="00677429"/>
    <w:rsid w:val="006818C1"/>
    <w:rsid w:val="00687582"/>
    <w:rsid w:val="00690DCD"/>
    <w:rsid w:val="00693788"/>
    <w:rsid w:val="00694705"/>
    <w:rsid w:val="006951F8"/>
    <w:rsid w:val="00696728"/>
    <w:rsid w:val="0069798C"/>
    <w:rsid w:val="006A0AEC"/>
    <w:rsid w:val="006A2D34"/>
    <w:rsid w:val="006A329E"/>
    <w:rsid w:val="006A44AC"/>
    <w:rsid w:val="006A4515"/>
    <w:rsid w:val="006A4A99"/>
    <w:rsid w:val="006A51A7"/>
    <w:rsid w:val="006B3BDB"/>
    <w:rsid w:val="006B5FDE"/>
    <w:rsid w:val="006B717B"/>
    <w:rsid w:val="006B7575"/>
    <w:rsid w:val="006C203E"/>
    <w:rsid w:val="006C75FC"/>
    <w:rsid w:val="006D00A5"/>
    <w:rsid w:val="006D111C"/>
    <w:rsid w:val="006D1DC7"/>
    <w:rsid w:val="006D23CB"/>
    <w:rsid w:val="006D2C25"/>
    <w:rsid w:val="006D3FBD"/>
    <w:rsid w:val="006D44BF"/>
    <w:rsid w:val="006D4CC6"/>
    <w:rsid w:val="006D4E1D"/>
    <w:rsid w:val="006D55C9"/>
    <w:rsid w:val="006D5F1B"/>
    <w:rsid w:val="006D6F8D"/>
    <w:rsid w:val="006D70B7"/>
    <w:rsid w:val="006D784C"/>
    <w:rsid w:val="006D7D89"/>
    <w:rsid w:val="006E056D"/>
    <w:rsid w:val="006E0D5A"/>
    <w:rsid w:val="006E117C"/>
    <w:rsid w:val="006E1466"/>
    <w:rsid w:val="006E2614"/>
    <w:rsid w:val="006E3187"/>
    <w:rsid w:val="006E38F3"/>
    <w:rsid w:val="006E58D6"/>
    <w:rsid w:val="006E5974"/>
    <w:rsid w:val="006E7D5C"/>
    <w:rsid w:val="006F3FC8"/>
    <w:rsid w:val="006F6858"/>
    <w:rsid w:val="007008F8"/>
    <w:rsid w:val="00700E31"/>
    <w:rsid w:val="00701044"/>
    <w:rsid w:val="00701709"/>
    <w:rsid w:val="0070183F"/>
    <w:rsid w:val="007033F4"/>
    <w:rsid w:val="00703DE0"/>
    <w:rsid w:val="00711C7C"/>
    <w:rsid w:val="00713362"/>
    <w:rsid w:val="007135DA"/>
    <w:rsid w:val="00716C6E"/>
    <w:rsid w:val="007203C0"/>
    <w:rsid w:val="00723A01"/>
    <w:rsid w:val="007243D5"/>
    <w:rsid w:val="00724D3C"/>
    <w:rsid w:val="0072658B"/>
    <w:rsid w:val="00730ED4"/>
    <w:rsid w:val="00731E95"/>
    <w:rsid w:val="00735D9D"/>
    <w:rsid w:val="00741DB2"/>
    <w:rsid w:val="0074268A"/>
    <w:rsid w:val="0074547E"/>
    <w:rsid w:val="007456DA"/>
    <w:rsid w:val="00746412"/>
    <w:rsid w:val="00746696"/>
    <w:rsid w:val="0074718E"/>
    <w:rsid w:val="00752337"/>
    <w:rsid w:val="007524DA"/>
    <w:rsid w:val="00753A9F"/>
    <w:rsid w:val="00755E97"/>
    <w:rsid w:val="00756E60"/>
    <w:rsid w:val="0076043D"/>
    <w:rsid w:val="0076055D"/>
    <w:rsid w:val="00761425"/>
    <w:rsid w:val="007628C9"/>
    <w:rsid w:val="00764617"/>
    <w:rsid w:val="007675FE"/>
    <w:rsid w:val="007702EA"/>
    <w:rsid w:val="007719B1"/>
    <w:rsid w:val="007728A3"/>
    <w:rsid w:val="007729D9"/>
    <w:rsid w:val="007740AA"/>
    <w:rsid w:val="00777A7B"/>
    <w:rsid w:val="007805DC"/>
    <w:rsid w:val="00781163"/>
    <w:rsid w:val="00783AFB"/>
    <w:rsid w:val="00784605"/>
    <w:rsid w:val="007906A4"/>
    <w:rsid w:val="0079355F"/>
    <w:rsid w:val="0079497E"/>
    <w:rsid w:val="00795489"/>
    <w:rsid w:val="00795611"/>
    <w:rsid w:val="007A0FCD"/>
    <w:rsid w:val="007A1D88"/>
    <w:rsid w:val="007A1E65"/>
    <w:rsid w:val="007A2175"/>
    <w:rsid w:val="007A2B3E"/>
    <w:rsid w:val="007A698C"/>
    <w:rsid w:val="007B011C"/>
    <w:rsid w:val="007B079F"/>
    <w:rsid w:val="007B1941"/>
    <w:rsid w:val="007B1C9B"/>
    <w:rsid w:val="007B1CBB"/>
    <w:rsid w:val="007B2994"/>
    <w:rsid w:val="007B32D1"/>
    <w:rsid w:val="007B44EE"/>
    <w:rsid w:val="007B482D"/>
    <w:rsid w:val="007B4E6E"/>
    <w:rsid w:val="007B5968"/>
    <w:rsid w:val="007B6D80"/>
    <w:rsid w:val="007B6ECE"/>
    <w:rsid w:val="007B7020"/>
    <w:rsid w:val="007C0488"/>
    <w:rsid w:val="007C1B48"/>
    <w:rsid w:val="007C2FC0"/>
    <w:rsid w:val="007C4E01"/>
    <w:rsid w:val="007C5929"/>
    <w:rsid w:val="007D0417"/>
    <w:rsid w:val="007D0EE5"/>
    <w:rsid w:val="007D3899"/>
    <w:rsid w:val="007D3933"/>
    <w:rsid w:val="007D5686"/>
    <w:rsid w:val="007D59B0"/>
    <w:rsid w:val="007D761D"/>
    <w:rsid w:val="007E4AF3"/>
    <w:rsid w:val="007E5C43"/>
    <w:rsid w:val="007E73E8"/>
    <w:rsid w:val="007E782D"/>
    <w:rsid w:val="007F2433"/>
    <w:rsid w:val="007F32F2"/>
    <w:rsid w:val="007F5770"/>
    <w:rsid w:val="007F6DE6"/>
    <w:rsid w:val="00800486"/>
    <w:rsid w:val="00801058"/>
    <w:rsid w:val="0080175B"/>
    <w:rsid w:val="00802A36"/>
    <w:rsid w:val="0080435B"/>
    <w:rsid w:val="00804394"/>
    <w:rsid w:val="00804630"/>
    <w:rsid w:val="00810902"/>
    <w:rsid w:val="00811AF4"/>
    <w:rsid w:val="008121DE"/>
    <w:rsid w:val="0081295E"/>
    <w:rsid w:val="00813CAC"/>
    <w:rsid w:val="00814A7F"/>
    <w:rsid w:val="00814B41"/>
    <w:rsid w:val="00817740"/>
    <w:rsid w:val="00820513"/>
    <w:rsid w:val="0082051C"/>
    <w:rsid w:val="00821841"/>
    <w:rsid w:val="0082243E"/>
    <w:rsid w:val="00822AC6"/>
    <w:rsid w:val="008230F8"/>
    <w:rsid w:val="008232B0"/>
    <w:rsid w:val="008315DB"/>
    <w:rsid w:val="008319B6"/>
    <w:rsid w:val="0083320F"/>
    <w:rsid w:val="008348D6"/>
    <w:rsid w:val="00836FD1"/>
    <w:rsid w:val="00837471"/>
    <w:rsid w:val="00837D5A"/>
    <w:rsid w:val="00837F67"/>
    <w:rsid w:val="0084031E"/>
    <w:rsid w:val="00842667"/>
    <w:rsid w:val="008434A9"/>
    <w:rsid w:val="0084453E"/>
    <w:rsid w:val="008507F4"/>
    <w:rsid w:val="00850A44"/>
    <w:rsid w:val="00851E95"/>
    <w:rsid w:val="008546CD"/>
    <w:rsid w:val="00856393"/>
    <w:rsid w:val="008607CD"/>
    <w:rsid w:val="00860C6C"/>
    <w:rsid w:val="00861E87"/>
    <w:rsid w:val="008637EC"/>
    <w:rsid w:val="00866D62"/>
    <w:rsid w:val="00867466"/>
    <w:rsid w:val="0087033B"/>
    <w:rsid w:val="00873C8C"/>
    <w:rsid w:val="00874DD0"/>
    <w:rsid w:val="008751A7"/>
    <w:rsid w:val="008760B8"/>
    <w:rsid w:val="00876ADD"/>
    <w:rsid w:val="008777E0"/>
    <w:rsid w:val="00880E84"/>
    <w:rsid w:val="0088124A"/>
    <w:rsid w:val="008818B9"/>
    <w:rsid w:val="00883584"/>
    <w:rsid w:val="0088358B"/>
    <w:rsid w:val="00884398"/>
    <w:rsid w:val="008847D1"/>
    <w:rsid w:val="008861AD"/>
    <w:rsid w:val="00886600"/>
    <w:rsid w:val="00891160"/>
    <w:rsid w:val="00895032"/>
    <w:rsid w:val="008966FF"/>
    <w:rsid w:val="008A0219"/>
    <w:rsid w:val="008A0270"/>
    <w:rsid w:val="008A0C07"/>
    <w:rsid w:val="008A1417"/>
    <w:rsid w:val="008A2562"/>
    <w:rsid w:val="008A2D85"/>
    <w:rsid w:val="008A369A"/>
    <w:rsid w:val="008A3DBE"/>
    <w:rsid w:val="008A3E39"/>
    <w:rsid w:val="008A4903"/>
    <w:rsid w:val="008A5156"/>
    <w:rsid w:val="008A5E1C"/>
    <w:rsid w:val="008B2ABD"/>
    <w:rsid w:val="008B33F8"/>
    <w:rsid w:val="008B4956"/>
    <w:rsid w:val="008C0654"/>
    <w:rsid w:val="008C2F54"/>
    <w:rsid w:val="008C3630"/>
    <w:rsid w:val="008C7917"/>
    <w:rsid w:val="008C7F26"/>
    <w:rsid w:val="008D0DAA"/>
    <w:rsid w:val="008D1BA9"/>
    <w:rsid w:val="008D27DC"/>
    <w:rsid w:val="008D3BC9"/>
    <w:rsid w:val="008D60D9"/>
    <w:rsid w:val="008D79B0"/>
    <w:rsid w:val="008E0662"/>
    <w:rsid w:val="008E0749"/>
    <w:rsid w:val="008E1690"/>
    <w:rsid w:val="008E33F7"/>
    <w:rsid w:val="008E38F3"/>
    <w:rsid w:val="008E3AC6"/>
    <w:rsid w:val="008E526F"/>
    <w:rsid w:val="008E634C"/>
    <w:rsid w:val="008F1AAF"/>
    <w:rsid w:val="008F3347"/>
    <w:rsid w:val="008F36D3"/>
    <w:rsid w:val="008F39A5"/>
    <w:rsid w:val="008F3F83"/>
    <w:rsid w:val="008F7575"/>
    <w:rsid w:val="00900161"/>
    <w:rsid w:val="009006FF"/>
    <w:rsid w:val="00902DE6"/>
    <w:rsid w:val="00903CAF"/>
    <w:rsid w:val="00905AE0"/>
    <w:rsid w:val="00907C22"/>
    <w:rsid w:val="0091119A"/>
    <w:rsid w:val="009118A5"/>
    <w:rsid w:val="00911C78"/>
    <w:rsid w:val="00911CBA"/>
    <w:rsid w:val="009121AB"/>
    <w:rsid w:val="00914712"/>
    <w:rsid w:val="009161E0"/>
    <w:rsid w:val="0091787F"/>
    <w:rsid w:val="009209E1"/>
    <w:rsid w:val="00920D3E"/>
    <w:rsid w:val="00921567"/>
    <w:rsid w:val="00922208"/>
    <w:rsid w:val="0092334A"/>
    <w:rsid w:val="00927777"/>
    <w:rsid w:val="0093232A"/>
    <w:rsid w:val="009324E7"/>
    <w:rsid w:val="0093278B"/>
    <w:rsid w:val="0093521C"/>
    <w:rsid w:val="00942A7A"/>
    <w:rsid w:val="00942F90"/>
    <w:rsid w:val="009437DF"/>
    <w:rsid w:val="0094434A"/>
    <w:rsid w:val="00944811"/>
    <w:rsid w:val="0094511D"/>
    <w:rsid w:val="00947223"/>
    <w:rsid w:val="00947C77"/>
    <w:rsid w:val="00950B52"/>
    <w:rsid w:val="00950FD6"/>
    <w:rsid w:val="00951A95"/>
    <w:rsid w:val="0095223D"/>
    <w:rsid w:val="009537FD"/>
    <w:rsid w:val="00954389"/>
    <w:rsid w:val="0095628A"/>
    <w:rsid w:val="009562CC"/>
    <w:rsid w:val="00956836"/>
    <w:rsid w:val="009570A8"/>
    <w:rsid w:val="009611DA"/>
    <w:rsid w:val="009620AF"/>
    <w:rsid w:val="009625B0"/>
    <w:rsid w:val="00963AE0"/>
    <w:rsid w:val="0096544E"/>
    <w:rsid w:val="00965779"/>
    <w:rsid w:val="00966EB5"/>
    <w:rsid w:val="00967C90"/>
    <w:rsid w:val="00973EE6"/>
    <w:rsid w:val="009740DC"/>
    <w:rsid w:val="009746E8"/>
    <w:rsid w:val="00976452"/>
    <w:rsid w:val="00980710"/>
    <w:rsid w:val="00980D87"/>
    <w:rsid w:val="0098455C"/>
    <w:rsid w:val="00986BE0"/>
    <w:rsid w:val="00986FE3"/>
    <w:rsid w:val="009875EF"/>
    <w:rsid w:val="009901CD"/>
    <w:rsid w:val="00990635"/>
    <w:rsid w:val="009932AD"/>
    <w:rsid w:val="009942B5"/>
    <w:rsid w:val="00995156"/>
    <w:rsid w:val="0099671E"/>
    <w:rsid w:val="00996CDD"/>
    <w:rsid w:val="00997720"/>
    <w:rsid w:val="009A0415"/>
    <w:rsid w:val="009A060B"/>
    <w:rsid w:val="009A187F"/>
    <w:rsid w:val="009A1FF4"/>
    <w:rsid w:val="009A31FE"/>
    <w:rsid w:val="009A68EE"/>
    <w:rsid w:val="009A7C75"/>
    <w:rsid w:val="009B0505"/>
    <w:rsid w:val="009B1058"/>
    <w:rsid w:val="009B10DE"/>
    <w:rsid w:val="009B4076"/>
    <w:rsid w:val="009B5A0C"/>
    <w:rsid w:val="009B76E1"/>
    <w:rsid w:val="009C0AFF"/>
    <w:rsid w:val="009C3A2F"/>
    <w:rsid w:val="009C7284"/>
    <w:rsid w:val="009C7E5D"/>
    <w:rsid w:val="009D3265"/>
    <w:rsid w:val="009D61CD"/>
    <w:rsid w:val="009D6244"/>
    <w:rsid w:val="009D65CF"/>
    <w:rsid w:val="009D7417"/>
    <w:rsid w:val="009D7595"/>
    <w:rsid w:val="009E0172"/>
    <w:rsid w:val="009E1C59"/>
    <w:rsid w:val="009E1D0C"/>
    <w:rsid w:val="009E2858"/>
    <w:rsid w:val="009E3222"/>
    <w:rsid w:val="009E4ACD"/>
    <w:rsid w:val="009E677E"/>
    <w:rsid w:val="009E6ECE"/>
    <w:rsid w:val="009E75D0"/>
    <w:rsid w:val="009E7CE3"/>
    <w:rsid w:val="009F0D95"/>
    <w:rsid w:val="009F181E"/>
    <w:rsid w:val="009F2564"/>
    <w:rsid w:val="009F41F1"/>
    <w:rsid w:val="009F426D"/>
    <w:rsid w:val="009F58C9"/>
    <w:rsid w:val="009F5AA9"/>
    <w:rsid w:val="009F6F98"/>
    <w:rsid w:val="00A01785"/>
    <w:rsid w:val="00A0185D"/>
    <w:rsid w:val="00A0199B"/>
    <w:rsid w:val="00A02049"/>
    <w:rsid w:val="00A022CF"/>
    <w:rsid w:val="00A02CCD"/>
    <w:rsid w:val="00A06151"/>
    <w:rsid w:val="00A061DB"/>
    <w:rsid w:val="00A0679A"/>
    <w:rsid w:val="00A069CE"/>
    <w:rsid w:val="00A10CDD"/>
    <w:rsid w:val="00A121D8"/>
    <w:rsid w:val="00A1310E"/>
    <w:rsid w:val="00A13A47"/>
    <w:rsid w:val="00A14F6F"/>
    <w:rsid w:val="00A1523B"/>
    <w:rsid w:val="00A176A1"/>
    <w:rsid w:val="00A21A5D"/>
    <w:rsid w:val="00A22567"/>
    <w:rsid w:val="00A2443D"/>
    <w:rsid w:val="00A24F29"/>
    <w:rsid w:val="00A25655"/>
    <w:rsid w:val="00A25983"/>
    <w:rsid w:val="00A25EE7"/>
    <w:rsid w:val="00A27EE4"/>
    <w:rsid w:val="00A31AAD"/>
    <w:rsid w:val="00A32745"/>
    <w:rsid w:val="00A32791"/>
    <w:rsid w:val="00A33850"/>
    <w:rsid w:val="00A33F21"/>
    <w:rsid w:val="00A34B9A"/>
    <w:rsid w:val="00A35B01"/>
    <w:rsid w:val="00A376B7"/>
    <w:rsid w:val="00A37771"/>
    <w:rsid w:val="00A37A26"/>
    <w:rsid w:val="00A40496"/>
    <w:rsid w:val="00A40C85"/>
    <w:rsid w:val="00A40F69"/>
    <w:rsid w:val="00A41104"/>
    <w:rsid w:val="00A42A94"/>
    <w:rsid w:val="00A43949"/>
    <w:rsid w:val="00A44407"/>
    <w:rsid w:val="00A447FF"/>
    <w:rsid w:val="00A449DE"/>
    <w:rsid w:val="00A44AD7"/>
    <w:rsid w:val="00A4537B"/>
    <w:rsid w:val="00A46630"/>
    <w:rsid w:val="00A5364F"/>
    <w:rsid w:val="00A53A15"/>
    <w:rsid w:val="00A554AC"/>
    <w:rsid w:val="00A55B28"/>
    <w:rsid w:val="00A56979"/>
    <w:rsid w:val="00A56C54"/>
    <w:rsid w:val="00A60FB9"/>
    <w:rsid w:val="00A62C57"/>
    <w:rsid w:val="00A641C3"/>
    <w:rsid w:val="00A6603D"/>
    <w:rsid w:val="00A670B1"/>
    <w:rsid w:val="00A73082"/>
    <w:rsid w:val="00A74260"/>
    <w:rsid w:val="00A74CFE"/>
    <w:rsid w:val="00A74E9E"/>
    <w:rsid w:val="00A8077A"/>
    <w:rsid w:val="00A82DB2"/>
    <w:rsid w:val="00A8332D"/>
    <w:rsid w:val="00A838DE"/>
    <w:rsid w:val="00A84F44"/>
    <w:rsid w:val="00A851C5"/>
    <w:rsid w:val="00A85B7C"/>
    <w:rsid w:val="00A90B3B"/>
    <w:rsid w:val="00A914DD"/>
    <w:rsid w:val="00A927B7"/>
    <w:rsid w:val="00A93891"/>
    <w:rsid w:val="00A97DB6"/>
    <w:rsid w:val="00AA258C"/>
    <w:rsid w:val="00AA3A91"/>
    <w:rsid w:val="00AA6C35"/>
    <w:rsid w:val="00AA776F"/>
    <w:rsid w:val="00AA778E"/>
    <w:rsid w:val="00AB0E08"/>
    <w:rsid w:val="00AB1943"/>
    <w:rsid w:val="00AB2280"/>
    <w:rsid w:val="00AB2946"/>
    <w:rsid w:val="00AB46F4"/>
    <w:rsid w:val="00AB69DF"/>
    <w:rsid w:val="00AC04D9"/>
    <w:rsid w:val="00AC1EB0"/>
    <w:rsid w:val="00AC4CAE"/>
    <w:rsid w:val="00AC52BA"/>
    <w:rsid w:val="00AC6A2A"/>
    <w:rsid w:val="00AC7301"/>
    <w:rsid w:val="00AC79D8"/>
    <w:rsid w:val="00AD13B1"/>
    <w:rsid w:val="00AD5A3B"/>
    <w:rsid w:val="00AD7865"/>
    <w:rsid w:val="00AD7E63"/>
    <w:rsid w:val="00AE334D"/>
    <w:rsid w:val="00AF4E76"/>
    <w:rsid w:val="00AF596A"/>
    <w:rsid w:val="00AF5EC5"/>
    <w:rsid w:val="00AF637C"/>
    <w:rsid w:val="00AF7F10"/>
    <w:rsid w:val="00B005C0"/>
    <w:rsid w:val="00B02249"/>
    <w:rsid w:val="00B04A71"/>
    <w:rsid w:val="00B05D1F"/>
    <w:rsid w:val="00B06BB4"/>
    <w:rsid w:val="00B06D46"/>
    <w:rsid w:val="00B073D7"/>
    <w:rsid w:val="00B07866"/>
    <w:rsid w:val="00B102B3"/>
    <w:rsid w:val="00B11D4D"/>
    <w:rsid w:val="00B11E13"/>
    <w:rsid w:val="00B1585D"/>
    <w:rsid w:val="00B1610D"/>
    <w:rsid w:val="00B1625D"/>
    <w:rsid w:val="00B17E48"/>
    <w:rsid w:val="00B21D81"/>
    <w:rsid w:val="00B22A9E"/>
    <w:rsid w:val="00B24B17"/>
    <w:rsid w:val="00B24FE9"/>
    <w:rsid w:val="00B2590D"/>
    <w:rsid w:val="00B31A0E"/>
    <w:rsid w:val="00B31E9F"/>
    <w:rsid w:val="00B33072"/>
    <w:rsid w:val="00B33191"/>
    <w:rsid w:val="00B3360D"/>
    <w:rsid w:val="00B34F3D"/>
    <w:rsid w:val="00B357F6"/>
    <w:rsid w:val="00B363C2"/>
    <w:rsid w:val="00B376EB"/>
    <w:rsid w:val="00B37864"/>
    <w:rsid w:val="00B37F24"/>
    <w:rsid w:val="00B40828"/>
    <w:rsid w:val="00B40A35"/>
    <w:rsid w:val="00B42CDA"/>
    <w:rsid w:val="00B46280"/>
    <w:rsid w:val="00B46CB2"/>
    <w:rsid w:val="00B51F10"/>
    <w:rsid w:val="00B5291E"/>
    <w:rsid w:val="00B539DD"/>
    <w:rsid w:val="00B55D36"/>
    <w:rsid w:val="00B56E3C"/>
    <w:rsid w:val="00B61F15"/>
    <w:rsid w:val="00B673AA"/>
    <w:rsid w:val="00B6782B"/>
    <w:rsid w:val="00B71F81"/>
    <w:rsid w:val="00B72236"/>
    <w:rsid w:val="00B74D74"/>
    <w:rsid w:val="00B755CB"/>
    <w:rsid w:val="00B824C7"/>
    <w:rsid w:val="00B83939"/>
    <w:rsid w:val="00B841E8"/>
    <w:rsid w:val="00B868D3"/>
    <w:rsid w:val="00B90FD2"/>
    <w:rsid w:val="00B9258F"/>
    <w:rsid w:val="00B927EC"/>
    <w:rsid w:val="00B9529C"/>
    <w:rsid w:val="00B96668"/>
    <w:rsid w:val="00B96E99"/>
    <w:rsid w:val="00B97CB2"/>
    <w:rsid w:val="00BA2C47"/>
    <w:rsid w:val="00BA3B62"/>
    <w:rsid w:val="00BA46A6"/>
    <w:rsid w:val="00BA6EE4"/>
    <w:rsid w:val="00BB1375"/>
    <w:rsid w:val="00BB27D1"/>
    <w:rsid w:val="00BB6406"/>
    <w:rsid w:val="00BB68E4"/>
    <w:rsid w:val="00BB6FE0"/>
    <w:rsid w:val="00BB773B"/>
    <w:rsid w:val="00BC0758"/>
    <w:rsid w:val="00BC6022"/>
    <w:rsid w:val="00BC605D"/>
    <w:rsid w:val="00BC60C8"/>
    <w:rsid w:val="00BC626F"/>
    <w:rsid w:val="00BC6EAE"/>
    <w:rsid w:val="00BC727C"/>
    <w:rsid w:val="00BC7818"/>
    <w:rsid w:val="00BD3878"/>
    <w:rsid w:val="00BD5AED"/>
    <w:rsid w:val="00BD680F"/>
    <w:rsid w:val="00BD730F"/>
    <w:rsid w:val="00BD7C8D"/>
    <w:rsid w:val="00BD7F0C"/>
    <w:rsid w:val="00BE0336"/>
    <w:rsid w:val="00BE12FA"/>
    <w:rsid w:val="00BE3F38"/>
    <w:rsid w:val="00BE6DBF"/>
    <w:rsid w:val="00BE7A33"/>
    <w:rsid w:val="00BE7DD1"/>
    <w:rsid w:val="00BF0ABA"/>
    <w:rsid w:val="00BF376F"/>
    <w:rsid w:val="00BF627D"/>
    <w:rsid w:val="00BF673B"/>
    <w:rsid w:val="00C0109B"/>
    <w:rsid w:val="00C0266D"/>
    <w:rsid w:val="00C0271B"/>
    <w:rsid w:val="00C05B3E"/>
    <w:rsid w:val="00C10DD8"/>
    <w:rsid w:val="00C115DE"/>
    <w:rsid w:val="00C11B05"/>
    <w:rsid w:val="00C137F1"/>
    <w:rsid w:val="00C161D1"/>
    <w:rsid w:val="00C17045"/>
    <w:rsid w:val="00C203D5"/>
    <w:rsid w:val="00C2042F"/>
    <w:rsid w:val="00C20E0F"/>
    <w:rsid w:val="00C2203A"/>
    <w:rsid w:val="00C25311"/>
    <w:rsid w:val="00C25A29"/>
    <w:rsid w:val="00C267C6"/>
    <w:rsid w:val="00C30E52"/>
    <w:rsid w:val="00C32197"/>
    <w:rsid w:val="00C35668"/>
    <w:rsid w:val="00C3593A"/>
    <w:rsid w:val="00C37A6C"/>
    <w:rsid w:val="00C40C4F"/>
    <w:rsid w:val="00C41AE9"/>
    <w:rsid w:val="00C42F18"/>
    <w:rsid w:val="00C42FD0"/>
    <w:rsid w:val="00C44773"/>
    <w:rsid w:val="00C45F6F"/>
    <w:rsid w:val="00C5129D"/>
    <w:rsid w:val="00C5152B"/>
    <w:rsid w:val="00C51B09"/>
    <w:rsid w:val="00C53A2B"/>
    <w:rsid w:val="00C543B0"/>
    <w:rsid w:val="00C55FAD"/>
    <w:rsid w:val="00C560AE"/>
    <w:rsid w:val="00C614A1"/>
    <w:rsid w:val="00C67DE9"/>
    <w:rsid w:val="00C71E78"/>
    <w:rsid w:val="00C74072"/>
    <w:rsid w:val="00C74591"/>
    <w:rsid w:val="00C747DC"/>
    <w:rsid w:val="00C75FB0"/>
    <w:rsid w:val="00C761C2"/>
    <w:rsid w:val="00C76284"/>
    <w:rsid w:val="00C76555"/>
    <w:rsid w:val="00C7785F"/>
    <w:rsid w:val="00C77C09"/>
    <w:rsid w:val="00C80098"/>
    <w:rsid w:val="00C81358"/>
    <w:rsid w:val="00C83312"/>
    <w:rsid w:val="00C83DE5"/>
    <w:rsid w:val="00C8412D"/>
    <w:rsid w:val="00C861C4"/>
    <w:rsid w:val="00C86221"/>
    <w:rsid w:val="00C86652"/>
    <w:rsid w:val="00C87769"/>
    <w:rsid w:val="00C90B58"/>
    <w:rsid w:val="00C918D1"/>
    <w:rsid w:val="00C91E26"/>
    <w:rsid w:val="00C92E67"/>
    <w:rsid w:val="00C937F3"/>
    <w:rsid w:val="00C9462D"/>
    <w:rsid w:val="00C94D6E"/>
    <w:rsid w:val="00C96315"/>
    <w:rsid w:val="00C97019"/>
    <w:rsid w:val="00C97F3C"/>
    <w:rsid w:val="00CA0A11"/>
    <w:rsid w:val="00CA2040"/>
    <w:rsid w:val="00CA3D17"/>
    <w:rsid w:val="00CA5126"/>
    <w:rsid w:val="00CA5AAD"/>
    <w:rsid w:val="00CA5B3C"/>
    <w:rsid w:val="00CA6121"/>
    <w:rsid w:val="00CA7191"/>
    <w:rsid w:val="00CB33A6"/>
    <w:rsid w:val="00CB3F06"/>
    <w:rsid w:val="00CB4277"/>
    <w:rsid w:val="00CB67FD"/>
    <w:rsid w:val="00CB6A18"/>
    <w:rsid w:val="00CB6A7C"/>
    <w:rsid w:val="00CC1B9D"/>
    <w:rsid w:val="00CC1C99"/>
    <w:rsid w:val="00CC33E6"/>
    <w:rsid w:val="00CC7BB3"/>
    <w:rsid w:val="00CC7C5E"/>
    <w:rsid w:val="00CD02C1"/>
    <w:rsid w:val="00CD0B38"/>
    <w:rsid w:val="00CD34C3"/>
    <w:rsid w:val="00CD57B8"/>
    <w:rsid w:val="00CD73BD"/>
    <w:rsid w:val="00CD77A1"/>
    <w:rsid w:val="00CE434C"/>
    <w:rsid w:val="00CE52A5"/>
    <w:rsid w:val="00CE5851"/>
    <w:rsid w:val="00CE7674"/>
    <w:rsid w:val="00CE7775"/>
    <w:rsid w:val="00CF0364"/>
    <w:rsid w:val="00CF15C0"/>
    <w:rsid w:val="00CF4893"/>
    <w:rsid w:val="00CF4A23"/>
    <w:rsid w:val="00CF7224"/>
    <w:rsid w:val="00D008AF"/>
    <w:rsid w:val="00D01194"/>
    <w:rsid w:val="00D01A5E"/>
    <w:rsid w:val="00D01D08"/>
    <w:rsid w:val="00D0202D"/>
    <w:rsid w:val="00D02C3E"/>
    <w:rsid w:val="00D04D5E"/>
    <w:rsid w:val="00D10DBA"/>
    <w:rsid w:val="00D135C7"/>
    <w:rsid w:val="00D13B7F"/>
    <w:rsid w:val="00D14F23"/>
    <w:rsid w:val="00D163E8"/>
    <w:rsid w:val="00D171B6"/>
    <w:rsid w:val="00D17713"/>
    <w:rsid w:val="00D17FCF"/>
    <w:rsid w:val="00D203DD"/>
    <w:rsid w:val="00D2104C"/>
    <w:rsid w:val="00D21DB2"/>
    <w:rsid w:val="00D2274F"/>
    <w:rsid w:val="00D2367F"/>
    <w:rsid w:val="00D271AD"/>
    <w:rsid w:val="00D27330"/>
    <w:rsid w:val="00D30127"/>
    <w:rsid w:val="00D31093"/>
    <w:rsid w:val="00D31AF1"/>
    <w:rsid w:val="00D32722"/>
    <w:rsid w:val="00D332FE"/>
    <w:rsid w:val="00D346BB"/>
    <w:rsid w:val="00D346DD"/>
    <w:rsid w:val="00D355C7"/>
    <w:rsid w:val="00D36D67"/>
    <w:rsid w:val="00D40FE1"/>
    <w:rsid w:val="00D41EBB"/>
    <w:rsid w:val="00D42BC1"/>
    <w:rsid w:val="00D455C9"/>
    <w:rsid w:val="00D46EFA"/>
    <w:rsid w:val="00D477DD"/>
    <w:rsid w:val="00D522B7"/>
    <w:rsid w:val="00D536A2"/>
    <w:rsid w:val="00D5757E"/>
    <w:rsid w:val="00D60345"/>
    <w:rsid w:val="00D6257A"/>
    <w:rsid w:val="00D6454F"/>
    <w:rsid w:val="00D64568"/>
    <w:rsid w:val="00D6777A"/>
    <w:rsid w:val="00D724A4"/>
    <w:rsid w:val="00D73B45"/>
    <w:rsid w:val="00D74FB6"/>
    <w:rsid w:val="00D7782C"/>
    <w:rsid w:val="00D80724"/>
    <w:rsid w:val="00D80D81"/>
    <w:rsid w:val="00D830EA"/>
    <w:rsid w:val="00D842C4"/>
    <w:rsid w:val="00D851A2"/>
    <w:rsid w:val="00D85E6A"/>
    <w:rsid w:val="00D9029F"/>
    <w:rsid w:val="00D90DD8"/>
    <w:rsid w:val="00D917BF"/>
    <w:rsid w:val="00D9191E"/>
    <w:rsid w:val="00D92767"/>
    <w:rsid w:val="00D935E5"/>
    <w:rsid w:val="00D94900"/>
    <w:rsid w:val="00D94EAE"/>
    <w:rsid w:val="00D95238"/>
    <w:rsid w:val="00D9603B"/>
    <w:rsid w:val="00D97D5E"/>
    <w:rsid w:val="00DA09C2"/>
    <w:rsid w:val="00DA0A85"/>
    <w:rsid w:val="00DA1883"/>
    <w:rsid w:val="00DA1BE9"/>
    <w:rsid w:val="00DA3739"/>
    <w:rsid w:val="00DA3A8F"/>
    <w:rsid w:val="00DA3C64"/>
    <w:rsid w:val="00DA41E4"/>
    <w:rsid w:val="00DA4823"/>
    <w:rsid w:val="00DA5537"/>
    <w:rsid w:val="00DB0709"/>
    <w:rsid w:val="00DB1883"/>
    <w:rsid w:val="00DB48F9"/>
    <w:rsid w:val="00DB4F21"/>
    <w:rsid w:val="00DB4FB7"/>
    <w:rsid w:val="00DC439F"/>
    <w:rsid w:val="00DC4D99"/>
    <w:rsid w:val="00DC6B04"/>
    <w:rsid w:val="00DC6B9D"/>
    <w:rsid w:val="00DD0AC3"/>
    <w:rsid w:val="00DD0CCE"/>
    <w:rsid w:val="00DD119A"/>
    <w:rsid w:val="00DD13DA"/>
    <w:rsid w:val="00DD16CF"/>
    <w:rsid w:val="00DD26C7"/>
    <w:rsid w:val="00DD2E2C"/>
    <w:rsid w:val="00DD36FC"/>
    <w:rsid w:val="00DD412D"/>
    <w:rsid w:val="00DD7498"/>
    <w:rsid w:val="00DE3FCC"/>
    <w:rsid w:val="00DE7F0D"/>
    <w:rsid w:val="00DF07BF"/>
    <w:rsid w:val="00DF19E0"/>
    <w:rsid w:val="00DF19FD"/>
    <w:rsid w:val="00DF1A72"/>
    <w:rsid w:val="00DF3602"/>
    <w:rsid w:val="00DF4400"/>
    <w:rsid w:val="00DF63EE"/>
    <w:rsid w:val="00E02438"/>
    <w:rsid w:val="00E0743A"/>
    <w:rsid w:val="00E126F3"/>
    <w:rsid w:val="00E13226"/>
    <w:rsid w:val="00E13878"/>
    <w:rsid w:val="00E14C0D"/>
    <w:rsid w:val="00E17098"/>
    <w:rsid w:val="00E2039C"/>
    <w:rsid w:val="00E21463"/>
    <w:rsid w:val="00E22297"/>
    <w:rsid w:val="00E2271C"/>
    <w:rsid w:val="00E22CAE"/>
    <w:rsid w:val="00E239E8"/>
    <w:rsid w:val="00E24C62"/>
    <w:rsid w:val="00E25A86"/>
    <w:rsid w:val="00E26F52"/>
    <w:rsid w:val="00E40687"/>
    <w:rsid w:val="00E415D2"/>
    <w:rsid w:val="00E418C1"/>
    <w:rsid w:val="00E42538"/>
    <w:rsid w:val="00E43AAD"/>
    <w:rsid w:val="00E450D6"/>
    <w:rsid w:val="00E4671F"/>
    <w:rsid w:val="00E469BD"/>
    <w:rsid w:val="00E50C54"/>
    <w:rsid w:val="00E51AF5"/>
    <w:rsid w:val="00E5589B"/>
    <w:rsid w:val="00E55A07"/>
    <w:rsid w:val="00E56AC3"/>
    <w:rsid w:val="00E604ED"/>
    <w:rsid w:val="00E60535"/>
    <w:rsid w:val="00E60B98"/>
    <w:rsid w:val="00E62131"/>
    <w:rsid w:val="00E6246C"/>
    <w:rsid w:val="00E645E8"/>
    <w:rsid w:val="00E64DDA"/>
    <w:rsid w:val="00E653E6"/>
    <w:rsid w:val="00E659A3"/>
    <w:rsid w:val="00E66B8A"/>
    <w:rsid w:val="00E67773"/>
    <w:rsid w:val="00E67D64"/>
    <w:rsid w:val="00E70337"/>
    <w:rsid w:val="00E7048F"/>
    <w:rsid w:val="00E72B5F"/>
    <w:rsid w:val="00E73D81"/>
    <w:rsid w:val="00E7401F"/>
    <w:rsid w:val="00E76036"/>
    <w:rsid w:val="00E76759"/>
    <w:rsid w:val="00E80896"/>
    <w:rsid w:val="00E84C89"/>
    <w:rsid w:val="00E85085"/>
    <w:rsid w:val="00E854BD"/>
    <w:rsid w:val="00E858CC"/>
    <w:rsid w:val="00E90452"/>
    <w:rsid w:val="00E90AF6"/>
    <w:rsid w:val="00E919FD"/>
    <w:rsid w:val="00E922DA"/>
    <w:rsid w:val="00E9305B"/>
    <w:rsid w:val="00E9376D"/>
    <w:rsid w:val="00E966E5"/>
    <w:rsid w:val="00EA3FD8"/>
    <w:rsid w:val="00EA6180"/>
    <w:rsid w:val="00EA7210"/>
    <w:rsid w:val="00EA7857"/>
    <w:rsid w:val="00EB093B"/>
    <w:rsid w:val="00EB228C"/>
    <w:rsid w:val="00EB74C7"/>
    <w:rsid w:val="00EC045D"/>
    <w:rsid w:val="00EC2AB7"/>
    <w:rsid w:val="00EC301F"/>
    <w:rsid w:val="00EC4E9C"/>
    <w:rsid w:val="00ED1681"/>
    <w:rsid w:val="00ED2CA1"/>
    <w:rsid w:val="00ED33AD"/>
    <w:rsid w:val="00ED4DDD"/>
    <w:rsid w:val="00ED5F3C"/>
    <w:rsid w:val="00ED7266"/>
    <w:rsid w:val="00EE05F9"/>
    <w:rsid w:val="00EE19D6"/>
    <w:rsid w:val="00EE31E7"/>
    <w:rsid w:val="00EF3CE4"/>
    <w:rsid w:val="00EF3F34"/>
    <w:rsid w:val="00EF4616"/>
    <w:rsid w:val="00EF502A"/>
    <w:rsid w:val="00EF5564"/>
    <w:rsid w:val="00EF6670"/>
    <w:rsid w:val="00EF6E84"/>
    <w:rsid w:val="00F01157"/>
    <w:rsid w:val="00F016A2"/>
    <w:rsid w:val="00F040C3"/>
    <w:rsid w:val="00F079F5"/>
    <w:rsid w:val="00F128A9"/>
    <w:rsid w:val="00F15D19"/>
    <w:rsid w:val="00F20856"/>
    <w:rsid w:val="00F20D5F"/>
    <w:rsid w:val="00F21C7E"/>
    <w:rsid w:val="00F21FD0"/>
    <w:rsid w:val="00F221C7"/>
    <w:rsid w:val="00F224E3"/>
    <w:rsid w:val="00F22A5B"/>
    <w:rsid w:val="00F24544"/>
    <w:rsid w:val="00F2576E"/>
    <w:rsid w:val="00F26555"/>
    <w:rsid w:val="00F26DB5"/>
    <w:rsid w:val="00F27EE7"/>
    <w:rsid w:val="00F32034"/>
    <w:rsid w:val="00F32E1A"/>
    <w:rsid w:val="00F3309A"/>
    <w:rsid w:val="00F3403B"/>
    <w:rsid w:val="00F343E7"/>
    <w:rsid w:val="00F37B39"/>
    <w:rsid w:val="00F37BFA"/>
    <w:rsid w:val="00F4124E"/>
    <w:rsid w:val="00F43BBB"/>
    <w:rsid w:val="00F443C6"/>
    <w:rsid w:val="00F4588C"/>
    <w:rsid w:val="00F45CAB"/>
    <w:rsid w:val="00F45FD8"/>
    <w:rsid w:val="00F50FF9"/>
    <w:rsid w:val="00F52A02"/>
    <w:rsid w:val="00F5360A"/>
    <w:rsid w:val="00F55820"/>
    <w:rsid w:val="00F56170"/>
    <w:rsid w:val="00F57338"/>
    <w:rsid w:val="00F57ACE"/>
    <w:rsid w:val="00F60A4D"/>
    <w:rsid w:val="00F60EE7"/>
    <w:rsid w:val="00F61AE3"/>
    <w:rsid w:val="00F6292A"/>
    <w:rsid w:val="00F64C6E"/>
    <w:rsid w:val="00F64ED5"/>
    <w:rsid w:val="00F704B9"/>
    <w:rsid w:val="00F7082E"/>
    <w:rsid w:val="00F70CED"/>
    <w:rsid w:val="00F737F0"/>
    <w:rsid w:val="00F73C85"/>
    <w:rsid w:val="00F73F93"/>
    <w:rsid w:val="00F745D7"/>
    <w:rsid w:val="00F74986"/>
    <w:rsid w:val="00F75068"/>
    <w:rsid w:val="00F80404"/>
    <w:rsid w:val="00F808A6"/>
    <w:rsid w:val="00F81F6B"/>
    <w:rsid w:val="00F829D1"/>
    <w:rsid w:val="00F83BA3"/>
    <w:rsid w:val="00F874E2"/>
    <w:rsid w:val="00F907BA"/>
    <w:rsid w:val="00F91793"/>
    <w:rsid w:val="00F92854"/>
    <w:rsid w:val="00F92CE9"/>
    <w:rsid w:val="00F94E08"/>
    <w:rsid w:val="00F9777C"/>
    <w:rsid w:val="00FA056C"/>
    <w:rsid w:val="00FA411E"/>
    <w:rsid w:val="00FA43A9"/>
    <w:rsid w:val="00FA67B0"/>
    <w:rsid w:val="00FA71B5"/>
    <w:rsid w:val="00FA7467"/>
    <w:rsid w:val="00FA7962"/>
    <w:rsid w:val="00FB1430"/>
    <w:rsid w:val="00FB2E0F"/>
    <w:rsid w:val="00FB2EA0"/>
    <w:rsid w:val="00FB3143"/>
    <w:rsid w:val="00FB74E7"/>
    <w:rsid w:val="00FC3F5C"/>
    <w:rsid w:val="00FC4E1A"/>
    <w:rsid w:val="00FD0BB4"/>
    <w:rsid w:val="00FD123E"/>
    <w:rsid w:val="00FD22F9"/>
    <w:rsid w:val="00FD26F9"/>
    <w:rsid w:val="00FD295C"/>
    <w:rsid w:val="00FD534F"/>
    <w:rsid w:val="00FD5BA1"/>
    <w:rsid w:val="00FD5CA4"/>
    <w:rsid w:val="00FD60B1"/>
    <w:rsid w:val="00FE0EEE"/>
    <w:rsid w:val="00FE1E21"/>
    <w:rsid w:val="00FE22DE"/>
    <w:rsid w:val="00FE37E7"/>
    <w:rsid w:val="00FE5116"/>
    <w:rsid w:val="00FE668D"/>
    <w:rsid w:val="00FE6AD0"/>
    <w:rsid w:val="00FE7ED4"/>
    <w:rsid w:val="00FF0A27"/>
    <w:rsid w:val="00FF335E"/>
    <w:rsid w:val="00FF5425"/>
    <w:rsid w:val="00FF5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basedOn w:val="DefaultParagraphFont"/>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basedOn w:val="DefaultParagraphFont"/>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basedOn w:val="DefaultParagraphFont"/>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basedOn w:val="DefaultParagraphFont"/>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basedOn w:val="DefaultParagraphFont"/>
    <w:link w:val="NormalParagraph"/>
    <w:rsid w:val="00716C6E"/>
    <w:rPr>
      <w:sz w:val="24"/>
      <w:lang w:val="en-US" w:eastAsia="en-US" w:bidi="ar-SA"/>
    </w:rPr>
  </w:style>
  <w:style w:type="character" w:customStyle="1" w:styleId="FooterChar">
    <w:name w:val="Footer Char"/>
    <w:basedOn w:val="DefaultParagraphFont"/>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basedOn w:val="DefaultParagraphFont"/>
    <w:link w:val="BodyTextIndent"/>
    <w:uiPriority w:val="99"/>
    <w:semiHidden/>
    <w:rsid w:val="00A73082"/>
    <w:rPr>
      <w:sz w:val="24"/>
      <w:szCs w:val="24"/>
    </w:rPr>
  </w:style>
  <w:style w:type="character" w:customStyle="1" w:styleId="Heading2Char">
    <w:name w:val="Heading 2 Char"/>
    <w:basedOn w:val="DefaultParagraphFont"/>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basedOn w:val="DefaultParagraphFont"/>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DC6B04"/>
    <w:pPr>
      <w:widowControl w:val="0"/>
    </w:pPr>
    <w:rPr>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basedOn w:val="DefaultParagraphFont"/>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basedOn w:val="DefaultParagraphFont"/>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basedOn w:val="DefaultParagraphFont"/>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basedOn w:val="DefaultParagraphFont"/>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basedOn w:val="DefaultParagraphFont"/>
    <w:link w:val="NormalParagraph"/>
    <w:rsid w:val="00716C6E"/>
    <w:rPr>
      <w:sz w:val="24"/>
      <w:lang w:val="en-US" w:eastAsia="en-US" w:bidi="ar-SA"/>
    </w:rPr>
  </w:style>
  <w:style w:type="character" w:customStyle="1" w:styleId="FooterChar">
    <w:name w:val="Footer Char"/>
    <w:basedOn w:val="DefaultParagraphFont"/>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12"/>
      </w:numPr>
      <w:contextualSpacing/>
    </w:pPr>
  </w:style>
  <w:style w:type="paragraph" w:styleId="ListBullet2">
    <w:name w:val="List Bullet 2"/>
    <w:basedOn w:val="NormalParagraph"/>
    <w:autoRedefine/>
    <w:rsid w:val="00C8412D"/>
    <w:pPr>
      <w:numPr>
        <w:numId w:val="15"/>
      </w:numPr>
    </w:pPr>
  </w:style>
  <w:style w:type="paragraph" w:styleId="ListNumber">
    <w:name w:val="List Number"/>
    <w:basedOn w:val="NormalParagraph"/>
    <w:rsid w:val="00C8412D"/>
    <w:pPr>
      <w:numPr>
        <w:numId w:val="14"/>
      </w:numPr>
    </w:pPr>
  </w:style>
  <w:style w:type="paragraph" w:styleId="ListBullet3">
    <w:name w:val="List Bullet 3"/>
    <w:basedOn w:val="Normal"/>
    <w:uiPriority w:val="99"/>
    <w:semiHidden/>
    <w:unhideWhenUsed/>
    <w:rsid w:val="00D94900"/>
    <w:pPr>
      <w:numPr>
        <w:numId w:val="17"/>
      </w:numPr>
      <w:contextualSpacing/>
    </w:pPr>
  </w:style>
  <w:style w:type="paragraph" w:customStyle="1" w:styleId="AResumeBullet">
    <w:name w:val="A Resume Bullet"/>
    <w:basedOn w:val="Normal"/>
    <w:rsid w:val="00D94900"/>
    <w:pPr>
      <w:numPr>
        <w:numId w:val="19"/>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basedOn w:val="DefaultParagraphFont"/>
    <w:link w:val="BodyTextIndent"/>
    <w:uiPriority w:val="99"/>
    <w:semiHidden/>
    <w:rsid w:val="00A73082"/>
    <w:rPr>
      <w:sz w:val="24"/>
      <w:szCs w:val="24"/>
    </w:rPr>
  </w:style>
  <w:style w:type="character" w:customStyle="1" w:styleId="Heading2Char">
    <w:name w:val="Heading 2 Char"/>
    <w:basedOn w:val="DefaultParagraphFont"/>
    <w:link w:val="Heading2"/>
    <w:locked/>
    <w:rsid w:val="00A73082"/>
    <w:rPr>
      <w:rFonts w:ascii="Arial" w:hAnsi="Arial"/>
      <w:b/>
      <w:kern w:val="28"/>
      <w:sz w:val="28"/>
    </w:rPr>
  </w:style>
  <w:style w:type="paragraph" w:customStyle="1" w:styleId="Style1">
    <w:name w:val="Style1"/>
    <w:basedOn w:val="Normal"/>
    <w:uiPriority w:val="99"/>
    <w:rsid w:val="00A73082"/>
    <w:pPr>
      <w:numPr>
        <w:numId w:val="22"/>
      </w:numPr>
    </w:pPr>
  </w:style>
  <w:style w:type="character" w:customStyle="1" w:styleId="FootnoteTextChar">
    <w:name w:val="Footnote Text Char"/>
    <w:basedOn w:val="DefaultParagraphFont"/>
    <w:link w:val="FootnoteText"/>
    <w:semiHidden/>
    <w:rsid w:val="004360E9"/>
    <w:rPr>
      <w:rFonts w:ascii="Arial" w:hAnsi="Arial"/>
      <w:snapToGrid w:val="0"/>
      <w:sz w:val="18"/>
    </w:rPr>
  </w:style>
  <w:style w:type="table" w:styleId="LightList">
    <w:name w:val="Light List"/>
    <w:basedOn w:val="TableNormal"/>
    <w:uiPriority w:val="61"/>
    <w:rsid w:val="004360E9"/>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23675718">
      <w:bodyDiv w:val="1"/>
      <w:marLeft w:val="0"/>
      <w:marRight w:val="0"/>
      <w:marTop w:val="0"/>
      <w:marBottom w:val="0"/>
      <w:divBdr>
        <w:top w:val="none" w:sz="0" w:space="0" w:color="auto"/>
        <w:left w:val="none" w:sz="0" w:space="0" w:color="auto"/>
        <w:bottom w:val="none" w:sz="0" w:space="0" w:color="auto"/>
        <w:right w:val="none" w:sz="0" w:space="0" w:color="auto"/>
      </w:divBdr>
      <w:divsChild>
        <w:div w:id="87917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1865">
      <w:bodyDiv w:val="1"/>
      <w:marLeft w:val="0"/>
      <w:marRight w:val="0"/>
      <w:marTop w:val="0"/>
      <w:marBottom w:val="0"/>
      <w:divBdr>
        <w:top w:val="none" w:sz="0" w:space="0" w:color="auto"/>
        <w:left w:val="none" w:sz="0" w:space="0" w:color="auto"/>
        <w:bottom w:val="none" w:sz="0" w:space="0" w:color="auto"/>
        <w:right w:val="none" w:sz="0" w:space="0" w:color="auto"/>
      </w:divBdr>
    </w:div>
    <w:div w:id="78797934">
      <w:bodyDiv w:val="1"/>
      <w:marLeft w:val="0"/>
      <w:marRight w:val="0"/>
      <w:marTop w:val="0"/>
      <w:marBottom w:val="0"/>
      <w:divBdr>
        <w:top w:val="none" w:sz="0" w:space="0" w:color="auto"/>
        <w:left w:val="none" w:sz="0" w:space="0" w:color="auto"/>
        <w:bottom w:val="none" w:sz="0" w:space="0" w:color="auto"/>
        <w:right w:val="none" w:sz="0" w:space="0" w:color="auto"/>
      </w:divBdr>
    </w:div>
    <w:div w:id="104620666">
      <w:bodyDiv w:val="1"/>
      <w:marLeft w:val="0"/>
      <w:marRight w:val="0"/>
      <w:marTop w:val="0"/>
      <w:marBottom w:val="0"/>
      <w:divBdr>
        <w:top w:val="none" w:sz="0" w:space="0" w:color="auto"/>
        <w:left w:val="none" w:sz="0" w:space="0" w:color="auto"/>
        <w:bottom w:val="none" w:sz="0" w:space="0" w:color="auto"/>
        <w:right w:val="none" w:sz="0" w:space="0" w:color="auto"/>
      </w:divBdr>
    </w:div>
    <w:div w:id="105151970">
      <w:bodyDiv w:val="1"/>
      <w:marLeft w:val="0"/>
      <w:marRight w:val="0"/>
      <w:marTop w:val="0"/>
      <w:marBottom w:val="0"/>
      <w:divBdr>
        <w:top w:val="none" w:sz="0" w:space="0" w:color="auto"/>
        <w:left w:val="none" w:sz="0" w:space="0" w:color="auto"/>
        <w:bottom w:val="none" w:sz="0" w:space="0" w:color="auto"/>
        <w:right w:val="none" w:sz="0" w:space="0" w:color="auto"/>
      </w:divBdr>
    </w:div>
    <w:div w:id="268661373">
      <w:bodyDiv w:val="1"/>
      <w:marLeft w:val="0"/>
      <w:marRight w:val="0"/>
      <w:marTop w:val="0"/>
      <w:marBottom w:val="0"/>
      <w:divBdr>
        <w:top w:val="none" w:sz="0" w:space="0" w:color="auto"/>
        <w:left w:val="none" w:sz="0" w:space="0" w:color="auto"/>
        <w:bottom w:val="none" w:sz="0" w:space="0" w:color="auto"/>
        <w:right w:val="none" w:sz="0" w:space="0" w:color="auto"/>
      </w:divBdr>
    </w:div>
    <w:div w:id="424107878">
      <w:bodyDiv w:val="1"/>
      <w:marLeft w:val="0"/>
      <w:marRight w:val="0"/>
      <w:marTop w:val="0"/>
      <w:marBottom w:val="0"/>
      <w:divBdr>
        <w:top w:val="none" w:sz="0" w:space="0" w:color="auto"/>
        <w:left w:val="none" w:sz="0" w:space="0" w:color="auto"/>
        <w:bottom w:val="none" w:sz="0" w:space="0" w:color="auto"/>
        <w:right w:val="none" w:sz="0" w:space="0" w:color="auto"/>
      </w:divBdr>
    </w:div>
    <w:div w:id="593898574">
      <w:bodyDiv w:val="1"/>
      <w:marLeft w:val="0"/>
      <w:marRight w:val="0"/>
      <w:marTop w:val="0"/>
      <w:marBottom w:val="0"/>
      <w:divBdr>
        <w:top w:val="none" w:sz="0" w:space="0" w:color="auto"/>
        <w:left w:val="none" w:sz="0" w:space="0" w:color="auto"/>
        <w:bottom w:val="none" w:sz="0" w:space="0" w:color="auto"/>
        <w:right w:val="none" w:sz="0" w:space="0" w:color="auto"/>
      </w:divBdr>
    </w:div>
    <w:div w:id="745498865">
      <w:bodyDiv w:val="1"/>
      <w:marLeft w:val="0"/>
      <w:marRight w:val="0"/>
      <w:marTop w:val="0"/>
      <w:marBottom w:val="0"/>
      <w:divBdr>
        <w:top w:val="none" w:sz="0" w:space="0" w:color="auto"/>
        <w:left w:val="none" w:sz="0" w:space="0" w:color="auto"/>
        <w:bottom w:val="none" w:sz="0" w:space="0" w:color="auto"/>
        <w:right w:val="none" w:sz="0" w:space="0" w:color="auto"/>
      </w:divBdr>
    </w:div>
    <w:div w:id="936208847">
      <w:bodyDiv w:val="1"/>
      <w:marLeft w:val="0"/>
      <w:marRight w:val="0"/>
      <w:marTop w:val="0"/>
      <w:marBottom w:val="0"/>
      <w:divBdr>
        <w:top w:val="none" w:sz="0" w:space="0" w:color="auto"/>
        <w:left w:val="none" w:sz="0" w:space="0" w:color="auto"/>
        <w:bottom w:val="none" w:sz="0" w:space="0" w:color="auto"/>
        <w:right w:val="none" w:sz="0" w:space="0" w:color="auto"/>
      </w:divBdr>
      <w:divsChild>
        <w:div w:id="101921510">
          <w:marLeft w:val="0"/>
          <w:marRight w:val="0"/>
          <w:marTop w:val="0"/>
          <w:marBottom w:val="0"/>
          <w:divBdr>
            <w:top w:val="none" w:sz="0" w:space="0" w:color="auto"/>
            <w:left w:val="none" w:sz="0" w:space="0" w:color="auto"/>
            <w:bottom w:val="none" w:sz="0" w:space="0" w:color="auto"/>
            <w:right w:val="none" w:sz="0" w:space="0" w:color="auto"/>
          </w:divBdr>
        </w:div>
      </w:divsChild>
    </w:div>
    <w:div w:id="1009259129">
      <w:bodyDiv w:val="1"/>
      <w:marLeft w:val="0"/>
      <w:marRight w:val="0"/>
      <w:marTop w:val="0"/>
      <w:marBottom w:val="0"/>
      <w:divBdr>
        <w:top w:val="none" w:sz="0" w:space="0" w:color="auto"/>
        <w:left w:val="none" w:sz="0" w:space="0" w:color="auto"/>
        <w:bottom w:val="none" w:sz="0" w:space="0" w:color="auto"/>
        <w:right w:val="none" w:sz="0" w:space="0" w:color="auto"/>
      </w:divBdr>
    </w:div>
    <w:div w:id="1049111205">
      <w:bodyDiv w:val="1"/>
      <w:marLeft w:val="0"/>
      <w:marRight w:val="0"/>
      <w:marTop w:val="0"/>
      <w:marBottom w:val="0"/>
      <w:divBdr>
        <w:top w:val="none" w:sz="0" w:space="0" w:color="auto"/>
        <w:left w:val="none" w:sz="0" w:space="0" w:color="auto"/>
        <w:bottom w:val="none" w:sz="0" w:space="0" w:color="auto"/>
        <w:right w:val="none" w:sz="0" w:space="0" w:color="auto"/>
      </w:divBdr>
    </w:div>
    <w:div w:id="1116680381">
      <w:bodyDiv w:val="1"/>
      <w:marLeft w:val="0"/>
      <w:marRight w:val="0"/>
      <w:marTop w:val="0"/>
      <w:marBottom w:val="0"/>
      <w:divBdr>
        <w:top w:val="none" w:sz="0" w:space="0" w:color="auto"/>
        <w:left w:val="none" w:sz="0" w:space="0" w:color="auto"/>
        <w:bottom w:val="none" w:sz="0" w:space="0" w:color="auto"/>
        <w:right w:val="none" w:sz="0" w:space="0" w:color="auto"/>
      </w:divBdr>
    </w:div>
    <w:div w:id="1246037994">
      <w:bodyDiv w:val="1"/>
      <w:marLeft w:val="0"/>
      <w:marRight w:val="0"/>
      <w:marTop w:val="0"/>
      <w:marBottom w:val="0"/>
      <w:divBdr>
        <w:top w:val="none" w:sz="0" w:space="0" w:color="auto"/>
        <w:left w:val="none" w:sz="0" w:space="0" w:color="auto"/>
        <w:bottom w:val="none" w:sz="0" w:space="0" w:color="auto"/>
        <w:right w:val="none" w:sz="0" w:space="0" w:color="auto"/>
      </w:divBdr>
    </w:div>
    <w:div w:id="1258177086">
      <w:bodyDiv w:val="1"/>
      <w:marLeft w:val="0"/>
      <w:marRight w:val="0"/>
      <w:marTop w:val="0"/>
      <w:marBottom w:val="0"/>
      <w:divBdr>
        <w:top w:val="none" w:sz="0" w:space="0" w:color="auto"/>
        <w:left w:val="none" w:sz="0" w:space="0" w:color="auto"/>
        <w:bottom w:val="none" w:sz="0" w:space="0" w:color="auto"/>
        <w:right w:val="none" w:sz="0" w:space="0" w:color="auto"/>
      </w:divBdr>
    </w:div>
    <w:div w:id="1384450249">
      <w:bodyDiv w:val="1"/>
      <w:marLeft w:val="0"/>
      <w:marRight w:val="0"/>
      <w:marTop w:val="0"/>
      <w:marBottom w:val="0"/>
      <w:divBdr>
        <w:top w:val="none" w:sz="0" w:space="0" w:color="auto"/>
        <w:left w:val="none" w:sz="0" w:space="0" w:color="auto"/>
        <w:bottom w:val="none" w:sz="0" w:space="0" w:color="auto"/>
        <w:right w:val="none" w:sz="0" w:space="0" w:color="auto"/>
      </w:divBdr>
    </w:div>
    <w:div w:id="1424884960">
      <w:bodyDiv w:val="1"/>
      <w:marLeft w:val="0"/>
      <w:marRight w:val="0"/>
      <w:marTop w:val="0"/>
      <w:marBottom w:val="0"/>
      <w:divBdr>
        <w:top w:val="none" w:sz="0" w:space="0" w:color="auto"/>
        <w:left w:val="none" w:sz="0" w:space="0" w:color="auto"/>
        <w:bottom w:val="none" w:sz="0" w:space="0" w:color="auto"/>
        <w:right w:val="none" w:sz="0" w:space="0" w:color="auto"/>
      </w:divBdr>
    </w:div>
    <w:div w:id="1665740540">
      <w:bodyDiv w:val="1"/>
      <w:marLeft w:val="0"/>
      <w:marRight w:val="0"/>
      <w:marTop w:val="0"/>
      <w:marBottom w:val="0"/>
      <w:divBdr>
        <w:top w:val="none" w:sz="0" w:space="0" w:color="auto"/>
        <w:left w:val="none" w:sz="0" w:space="0" w:color="auto"/>
        <w:bottom w:val="none" w:sz="0" w:space="0" w:color="auto"/>
        <w:right w:val="none" w:sz="0" w:space="0" w:color="auto"/>
      </w:divBdr>
    </w:div>
    <w:div w:id="1701280536">
      <w:bodyDiv w:val="1"/>
      <w:marLeft w:val="0"/>
      <w:marRight w:val="0"/>
      <w:marTop w:val="0"/>
      <w:marBottom w:val="0"/>
      <w:divBdr>
        <w:top w:val="none" w:sz="0" w:space="0" w:color="auto"/>
        <w:left w:val="none" w:sz="0" w:space="0" w:color="auto"/>
        <w:bottom w:val="none" w:sz="0" w:space="0" w:color="auto"/>
        <w:right w:val="none" w:sz="0" w:space="0" w:color="auto"/>
      </w:divBdr>
    </w:div>
    <w:div w:id="1772894468">
      <w:bodyDiv w:val="1"/>
      <w:marLeft w:val="0"/>
      <w:marRight w:val="0"/>
      <w:marTop w:val="0"/>
      <w:marBottom w:val="0"/>
      <w:divBdr>
        <w:top w:val="none" w:sz="0" w:space="0" w:color="auto"/>
        <w:left w:val="none" w:sz="0" w:space="0" w:color="auto"/>
        <w:bottom w:val="none" w:sz="0" w:space="0" w:color="auto"/>
        <w:right w:val="none" w:sz="0" w:space="0" w:color="auto"/>
      </w:divBdr>
    </w:div>
    <w:div w:id="1885829080">
      <w:bodyDiv w:val="1"/>
      <w:marLeft w:val="0"/>
      <w:marRight w:val="0"/>
      <w:marTop w:val="0"/>
      <w:marBottom w:val="0"/>
      <w:divBdr>
        <w:top w:val="none" w:sz="0" w:space="0" w:color="auto"/>
        <w:left w:val="none" w:sz="0" w:space="0" w:color="auto"/>
        <w:bottom w:val="none" w:sz="0" w:space="0" w:color="auto"/>
        <w:right w:val="none" w:sz="0" w:space="0" w:color="auto"/>
      </w:divBdr>
    </w:div>
    <w:div w:id="1967462502">
      <w:bodyDiv w:val="1"/>
      <w:marLeft w:val="0"/>
      <w:marRight w:val="0"/>
      <w:marTop w:val="0"/>
      <w:marBottom w:val="0"/>
      <w:divBdr>
        <w:top w:val="none" w:sz="0" w:space="0" w:color="auto"/>
        <w:left w:val="none" w:sz="0" w:space="0" w:color="auto"/>
        <w:bottom w:val="none" w:sz="0" w:space="0" w:color="auto"/>
        <w:right w:val="none" w:sz="0" w:space="0" w:color="auto"/>
      </w:divBdr>
    </w:div>
    <w:div w:id="1982616270">
      <w:bodyDiv w:val="1"/>
      <w:marLeft w:val="0"/>
      <w:marRight w:val="0"/>
      <w:marTop w:val="0"/>
      <w:marBottom w:val="0"/>
      <w:divBdr>
        <w:top w:val="none" w:sz="0" w:space="0" w:color="auto"/>
        <w:left w:val="none" w:sz="0" w:space="0" w:color="auto"/>
        <w:bottom w:val="none" w:sz="0" w:space="0" w:color="auto"/>
        <w:right w:val="none" w:sz="0" w:space="0" w:color="auto"/>
      </w:divBdr>
    </w:div>
    <w:div w:id="2091655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dcenter.samhsa.gov/documents/AuthorizingLegisl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rwebgate.access.gpo.gov/cgi-bin/getdoc.cgi?dbname=106_cong_public_laws&amp;docid=f:publ310.1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11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6673-B9B3-4CCF-AAF6-1ED6EA9B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1429</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10034</CharactersWithSpaces>
  <SharedDoc>false</SharedDoc>
  <HLinks>
    <vt:vector size="12" baseType="variant">
      <vt:variant>
        <vt:i4>1048620</vt:i4>
      </vt:variant>
      <vt:variant>
        <vt:i4>3</vt:i4>
      </vt:variant>
      <vt:variant>
        <vt:i4>0</vt:i4>
      </vt:variant>
      <vt:variant>
        <vt:i4>5</vt:i4>
      </vt:variant>
      <vt:variant>
        <vt:lpwstr>http://www.bls.gov/oes/current/naics4_999100.htm</vt:lpwstr>
      </vt:variant>
      <vt:variant>
        <vt:lpwstr>31-0000</vt:lpwstr>
      </vt:variant>
      <vt:variant>
        <vt:i4>1507408</vt:i4>
      </vt:variant>
      <vt:variant>
        <vt:i4>0</vt:i4>
      </vt:variant>
      <vt:variant>
        <vt:i4>0</vt:i4>
      </vt:variant>
      <vt:variant>
        <vt:i4>5</vt:i4>
      </vt:variant>
      <vt:variant>
        <vt:lpwstr>http://www.bls.gov/oes/current/oes119199.htm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RMC Research Corporation</dc:creator>
  <cp:keywords>report, proposal</cp:keywords>
  <cp:lastModifiedBy>DHHS</cp:lastModifiedBy>
  <cp:revision>7</cp:revision>
  <cp:lastPrinted>2012-07-11T13:48:00Z</cp:lastPrinted>
  <dcterms:created xsi:type="dcterms:W3CDTF">2012-07-11T13:30:00Z</dcterms:created>
  <dcterms:modified xsi:type="dcterms:W3CDTF">2012-07-11T13:55:00Z</dcterms:modified>
  <cp:category>RMC template</cp:category>
</cp:coreProperties>
</file>