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F3" w:rsidRDefault="00F85DF3" w:rsidP="00C03ED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Justification for Non-Subst</w:t>
      </w:r>
      <w:r w:rsidR="00B6794B">
        <w:rPr>
          <w:rFonts w:ascii="Times New Roman" w:hAnsi="Times New Roman" w:cs="Times New Roman"/>
          <w:b/>
          <w:bCs/>
        </w:rPr>
        <w:t>antive Changes for SSA-4641-U2</w:t>
      </w:r>
    </w:p>
    <w:p w:rsidR="00F85DF3" w:rsidRPr="00B200C6" w:rsidRDefault="00F85DF3" w:rsidP="00B200C6">
      <w:pPr>
        <w:jc w:val="center"/>
        <w:rPr>
          <w:rFonts w:ascii="Times New Roman" w:hAnsi="Times New Roman" w:cs="Times New Roman"/>
          <w:b/>
          <w:bCs/>
        </w:rPr>
      </w:pPr>
      <w:r w:rsidRPr="00B200C6">
        <w:rPr>
          <w:rFonts w:ascii="Times New Roman" w:hAnsi="Times New Roman" w:cs="Times New Roman"/>
          <w:b/>
          <w:bCs/>
        </w:rPr>
        <w:t>Authorization for the Social Security Administration to Obtain Account Records from a Financial Institution and Request for Records</w:t>
      </w:r>
    </w:p>
    <w:p w:rsidR="00F85DF3" w:rsidRPr="00B200C6" w:rsidRDefault="00F85DF3" w:rsidP="00B200C6">
      <w:pPr>
        <w:jc w:val="center"/>
        <w:rPr>
          <w:rFonts w:ascii="Times New Roman" w:hAnsi="Times New Roman" w:cs="Times New Roman"/>
        </w:rPr>
      </w:pPr>
      <w:r w:rsidRPr="00B200C6">
        <w:rPr>
          <w:rFonts w:ascii="Times New Roman" w:hAnsi="Times New Roman" w:cs="Times New Roman"/>
          <w:b/>
          <w:bCs/>
        </w:rPr>
        <w:t>20 CFR 416.200, 20 CFR 416.203</w:t>
      </w:r>
    </w:p>
    <w:p w:rsidR="00F85DF3" w:rsidRPr="00B200C6" w:rsidRDefault="00F85DF3" w:rsidP="00B200C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B200C6">
        <w:rPr>
          <w:rFonts w:ascii="Times New Roman" w:hAnsi="Times New Roman" w:cs="Times New Roman"/>
          <w:b/>
          <w:bCs/>
        </w:rPr>
        <w:t>OMB No. 0960-0293</w:t>
      </w:r>
    </w:p>
    <w:p w:rsidR="00F85DF3" w:rsidRDefault="00F85DF3" w:rsidP="00C03EDF">
      <w:pPr>
        <w:rPr>
          <w:rFonts w:ascii="Times New Roman" w:hAnsi="Times New Roman" w:cs="Times New Roman"/>
        </w:rPr>
      </w:pPr>
    </w:p>
    <w:p w:rsidR="00F85DF3" w:rsidRDefault="00F85DF3" w:rsidP="00C03EDF">
      <w:pPr>
        <w:rPr>
          <w:rFonts w:ascii="Times New Roman" w:hAnsi="Times New Roman" w:cs="Times New Roman"/>
          <w:b/>
          <w:bCs/>
          <w:snapToGrid w:val="0"/>
          <w:u w:val="single"/>
        </w:rPr>
      </w:pPr>
      <w:r>
        <w:rPr>
          <w:rFonts w:ascii="Times New Roman" w:hAnsi="Times New Roman" w:cs="Times New Roman"/>
          <w:b/>
          <w:bCs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 w:cs="Times New Roman"/>
          <w:b/>
          <w:bCs/>
          <w:snapToGrid w:val="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u w:val="single"/>
        </w:rPr>
        <w:t xml:space="preserve">or </w:t>
      </w:r>
      <w:r w:rsidRPr="00855A2B">
        <w:rPr>
          <w:rFonts w:ascii="Times New Roman" w:hAnsi="Times New Roman" w:cs="Times New Roman"/>
          <w:b/>
          <w:bCs/>
          <w:snapToGrid w:val="0"/>
          <w:u w:val="single"/>
        </w:rPr>
        <w:t>Resubmission of the Collection within One Year of OMB Approval</w:t>
      </w:r>
    </w:p>
    <w:p w:rsidR="00F85DF3" w:rsidRDefault="00F85DF3" w:rsidP="00C03EDF">
      <w:pPr>
        <w:rPr>
          <w:rFonts w:ascii="Times New Roman" w:hAnsi="Times New Roman" w:cs="Times New Roman"/>
          <w:snapToGrid w:val="0"/>
        </w:rPr>
      </w:pPr>
    </w:p>
    <w:p w:rsidR="00F85DF3" w:rsidRPr="00C3360D" w:rsidRDefault="00F85DF3" w:rsidP="00C03EDF">
      <w:pPr>
        <w:rPr>
          <w:rFonts w:ascii="Times New Roman" w:hAnsi="Times New Roman" w:cs="Times New Roman"/>
          <w:b/>
          <w:bCs/>
          <w:snapToGrid w:val="0"/>
        </w:rPr>
      </w:pPr>
      <w:r w:rsidRPr="00C3360D">
        <w:rPr>
          <w:rFonts w:ascii="Times New Roman" w:hAnsi="Times New Roman" w:cs="Times New Roman"/>
          <w:b/>
          <w:bCs/>
          <w:snapToGrid w:val="0"/>
        </w:rPr>
        <w:t>Non-substantive change:</w:t>
      </w:r>
    </w:p>
    <w:p w:rsidR="00F85DF3" w:rsidRDefault="00C81B5A" w:rsidP="00C03EDF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Due to t</w:t>
      </w:r>
      <w:r w:rsidR="00F85DF3">
        <w:rPr>
          <w:rFonts w:ascii="Times New Roman" w:hAnsi="Times New Roman" w:cs="Times New Roman"/>
        </w:rPr>
        <w:t xml:space="preserve">he aggressive rollout plan of the Access to Financial Institutions (AFI) initiative and </w:t>
      </w:r>
      <w:r>
        <w:rPr>
          <w:rFonts w:ascii="Times New Roman" w:hAnsi="Times New Roman" w:cs="Times New Roman"/>
        </w:rPr>
        <w:t xml:space="preserve">SSA’s mandate </w:t>
      </w:r>
      <w:r w:rsidR="00F85DF3">
        <w:rPr>
          <w:rFonts w:ascii="Times New Roman" w:hAnsi="Times New Roman" w:cs="Times New Roman"/>
        </w:rPr>
        <w:t>to reduce issuance of improper payments,</w:t>
      </w:r>
      <w:r>
        <w:rPr>
          <w:rFonts w:ascii="Times New Roman" w:hAnsi="Times New Roman" w:cs="Times New Roman"/>
        </w:rPr>
        <w:t xml:space="preserve"> we </w:t>
      </w:r>
      <w:r w:rsidR="00E91A30">
        <w:rPr>
          <w:rFonts w:ascii="Times New Roman" w:hAnsi="Times New Roman" w:cs="Times New Roman"/>
        </w:rPr>
        <w:t>are requesting</w:t>
      </w:r>
      <w:r>
        <w:rPr>
          <w:rFonts w:ascii="Times New Roman" w:hAnsi="Times New Roman" w:cs="Times New Roman"/>
        </w:rPr>
        <w:t xml:space="preserve"> an increase to</w:t>
      </w:r>
      <w:r w:rsidR="00F85DF3">
        <w:rPr>
          <w:rFonts w:ascii="Times New Roman" w:hAnsi="Times New Roman" w:cs="Times New Roman"/>
        </w:rPr>
        <w:t xml:space="preserve"> </w:t>
      </w:r>
      <w:r w:rsidR="00F85DF3">
        <w:rPr>
          <w:rFonts w:ascii="Times New Roman" w:hAnsi="Times New Roman" w:cs="Times New Roman"/>
          <w:snapToGrid w:val="0"/>
        </w:rPr>
        <w:t>the public reporting burden for the “Authorization for the Social Security Administration to Obtain Account Records from a Financial Instit</w:t>
      </w:r>
      <w:r w:rsidR="0052679C">
        <w:rPr>
          <w:rFonts w:ascii="Times New Roman" w:hAnsi="Times New Roman" w:cs="Times New Roman"/>
          <w:snapToGrid w:val="0"/>
        </w:rPr>
        <w:t>ution and Request for Records” F</w:t>
      </w:r>
      <w:r w:rsidR="00F85DF3">
        <w:rPr>
          <w:rFonts w:ascii="Times New Roman" w:hAnsi="Times New Roman" w:cs="Times New Roman"/>
          <w:snapToGrid w:val="0"/>
        </w:rPr>
        <w:t>orm SSA-4641-F4</w:t>
      </w:r>
      <w:r>
        <w:rPr>
          <w:rFonts w:ascii="Times New Roman" w:hAnsi="Times New Roman" w:cs="Times New Roman"/>
          <w:snapToGrid w:val="0"/>
        </w:rPr>
        <w:t>.  We are requesting to increase the public</w:t>
      </w:r>
      <w:r w:rsidR="00F7784B">
        <w:rPr>
          <w:rFonts w:ascii="Times New Roman" w:hAnsi="Times New Roman" w:cs="Times New Roman"/>
          <w:snapToGrid w:val="0"/>
        </w:rPr>
        <w:t xml:space="preserve"> burden from 500,000 responses</w:t>
      </w:r>
      <w:r w:rsidR="00F85DF3">
        <w:rPr>
          <w:rFonts w:ascii="Times New Roman" w:hAnsi="Times New Roman" w:cs="Times New Roman"/>
          <w:snapToGrid w:val="0"/>
        </w:rPr>
        <w:t xml:space="preserve"> </w:t>
      </w:r>
      <w:r w:rsidR="00F85DF3" w:rsidRPr="00EA36EE">
        <w:rPr>
          <w:rFonts w:ascii="Times New Roman" w:hAnsi="Times New Roman" w:cs="Times New Roman"/>
          <w:snapToGrid w:val="0"/>
        </w:rPr>
        <w:t xml:space="preserve">to </w:t>
      </w:r>
      <w:r w:rsidR="006B0797">
        <w:rPr>
          <w:rFonts w:ascii="Times New Roman" w:hAnsi="Times New Roman" w:cs="Times New Roman"/>
        </w:rPr>
        <w:t>3,000,000</w:t>
      </w:r>
      <w:r w:rsidR="00F7784B">
        <w:rPr>
          <w:rFonts w:ascii="Times New Roman" w:hAnsi="Times New Roman" w:cs="Times New Roman"/>
        </w:rPr>
        <w:t xml:space="preserve"> response</w:t>
      </w:r>
      <w:r w:rsidR="00F85DF3">
        <w:rPr>
          <w:rFonts w:ascii="Times New Roman" w:hAnsi="Times New Roman" w:cs="Times New Roman"/>
        </w:rPr>
        <w:t>s</w:t>
      </w:r>
      <w:r w:rsidR="00F85DF3">
        <w:rPr>
          <w:rFonts w:ascii="Times New Roman" w:hAnsi="Times New Roman" w:cs="Times New Roman"/>
          <w:snapToGrid w:val="0"/>
        </w:rPr>
        <w:t xml:space="preserve"> </w:t>
      </w:r>
      <w:r w:rsidR="0052679C">
        <w:rPr>
          <w:rFonts w:ascii="Times New Roman" w:hAnsi="Times New Roman" w:cs="Times New Roman"/>
          <w:snapToGrid w:val="0"/>
        </w:rPr>
        <w:t xml:space="preserve">and total annual burden hours from 50,000 to </w:t>
      </w:r>
      <w:r w:rsidR="006B0797">
        <w:rPr>
          <w:rFonts w:ascii="Times New Roman" w:hAnsi="Times New Roman" w:cs="Times New Roman"/>
          <w:snapToGrid w:val="0"/>
        </w:rPr>
        <w:t>1</w:t>
      </w:r>
      <w:r w:rsidR="00273EF0">
        <w:rPr>
          <w:rFonts w:ascii="Times New Roman" w:hAnsi="Times New Roman" w:cs="Times New Roman"/>
          <w:snapToGrid w:val="0"/>
        </w:rPr>
        <w:t>19,757</w:t>
      </w:r>
      <w:r w:rsidR="0052679C">
        <w:rPr>
          <w:rFonts w:ascii="Times New Roman" w:hAnsi="Times New Roman" w:cs="Times New Roman"/>
          <w:snapToGrid w:val="0"/>
        </w:rPr>
        <w:t xml:space="preserve"> </w:t>
      </w:r>
      <w:r w:rsidR="00E425BF">
        <w:rPr>
          <w:rFonts w:ascii="Times New Roman" w:hAnsi="Times New Roman" w:cs="Times New Roman"/>
          <w:snapToGrid w:val="0"/>
        </w:rPr>
        <w:t>for FY</w:t>
      </w:r>
      <w:r>
        <w:rPr>
          <w:rFonts w:ascii="Times New Roman" w:hAnsi="Times New Roman" w:cs="Times New Roman"/>
          <w:snapToGrid w:val="0"/>
        </w:rPr>
        <w:t xml:space="preserve">’s </w:t>
      </w:r>
      <w:r w:rsidR="00F85DF3">
        <w:rPr>
          <w:rFonts w:ascii="Times New Roman" w:hAnsi="Times New Roman" w:cs="Times New Roman"/>
          <w:snapToGrid w:val="0"/>
        </w:rPr>
        <w:t>11</w:t>
      </w:r>
      <w:r>
        <w:rPr>
          <w:rFonts w:ascii="Times New Roman" w:hAnsi="Times New Roman" w:cs="Times New Roman"/>
          <w:snapToGrid w:val="0"/>
        </w:rPr>
        <w:t xml:space="preserve"> and 12</w:t>
      </w:r>
      <w:r w:rsidR="00F85DF3">
        <w:rPr>
          <w:rFonts w:ascii="Times New Roman" w:hAnsi="Times New Roman" w:cs="Times New Roman"/>
          <w:snapToGrid w:val="0"/>
        </w:rPr>
        <w:t>.</w:t>
      </w:r>
    </w:p>
    <w:p w:rsidR="00F85DF3" w:rsidRDefault="00F85DF3" w:rsidP="00C3360D">
      <w:pPr>
        <w:rPr>
          <w:rFonts w:ascii="Times New Roman" w:hAnsi="Times New Roman" w:cs="Times New Roman"/>
          <w:b/>
          <w:bCs/>
          <w:snapToGrid w:val="0"/>
        </w:rPr>
      </w:pPr>
    </w:p>
    <w:p w:rsidR="00F85DF3" w:rsidRPr="00C3360D" w:rsidRDefault="00F85DF3" w:rsidP="00C3360D">
      <w:pPr>
        <w:rPr>
          <w:rFonts w:ascii="Times New Roman" w:hAnsi="Times New Roman" w:cs="Times New Roman"/>
          <w:b/>
          <w:bCs/>
          <w:snapToGrid w:val="0"/>
        </w:rPr>
      </w:pPr>
      <w:r w:rsidRPr="00C3360D">
        <w:rPr>
          <w:rFonts w:ascii="Times New Roman" w:hAnsi="Times New Roman" w:cs="Times New Roman"/>
          <w:b/>
          <w:bCs/>
          <w:snapToGrid w:val="0"/>
        </w:rPr>
        <w:t xml:space="preserve">Justification: </w:t>
      </w:r>
    </w:p>
    <w:p w:rsidR="00F7784B" w:rsidRDefault="00F7784B" w:rsidP="00C03EDF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In the approved Addendum</w:t>
      </w:r>
      <w:r w:rsidR="00F85DF3">
        <w:rPr>
          <w:rFonts w:ascii="Times New Roman" w:hAnsi="Times New Roman" w:cs="Times New Roman"/>
          <w:snapToGrid w:val="0"/>
        </w:rPr>
        <w:t xml:space="preserve"> submitted as part of the </w:t>
      </w:r>
      <w:r>
        <w:rPr>
          <w:rFonts w:ascii="Times New Roman" w:hAnsi="Times New Roman" w:cs="Times New Roman"/>
          <w:snapToGrid w:val="0"/>
        </w:rPr>
        <w:t xml:space="preserve">SSA-4641 </w:t>
      </w:r>
      <w:r w:rsidR="00F85DF3">
        <w:rPr>
          <w:rFonts w:ascii="Times New Roman" w:hAnsi="Times New Roman" w:cs="Times New Roman"/>
          <w:snapToGrid w:val="0"/>
        </w:rPr>
        <w:t>clearance package in April 2010,</w:t>
      </w:r>
      <w:r>
        <w:rPr>
          <w:rFonts w:ascii="Times New Roman" w:hAnsi="Times New Roman" w:cs="Times New Roman"/>
          <w:snapToGrid w:val="0"/>
        </w:rPr>
        <w:t xml:space="preserve"> we mentioned</w:t>
      </w:r>
      <w:r w:rsidR="00F85DF3">
        <w:rPr>
          <w:rFonts w:ascii="Times New Roman" w:hAnsi="Times New Roman" w:cs="Times New Roman"/>
          <w:snapToGrid w:val="0"/>
        </w:rPr>
        <w:t xml:space="preserve"> that we would need to amend the public burden of the SSA-4641 once we finalized the AFI implementation </w:t>
      </w:r>
      <w:r w:rsidR="001858D9">
        <w:rPr>
          <w:rFonts w:ascii="Times New Roman" w:hAnsi="Times New Roman" w:cs="Times New Roman"/>
          <w:snapToGrid w:val="0"/>
        </w:rPr>
        <w:t>strategy.  Currently,</w:t>
      </w:r>
      <w:r w:rsidR="00F85DF3">
        <w:rPr>
          <w:rFonts w:ascii="Times New Roman" w:hAnsi="Times New Roman" w:cs="Times New Roman"/>
          <w:snapToGrid w:val="0"/>
        </w:rPr>
        <w:t xml:space="preserve"> the number of </w:t>
      </w:r>
      <w:r w:rsidR="001858D9">
        <w:rPr>
          <w:rFonts w:ascii="Times New Roman" w:hAnsi="Times New Roman" w:cs="Times New Roman"/>
          <w:snapToGrid w:val="0"/>
        </w:rPr>
        <w:t xml:space="preserve">e4641 </w:t>
      </w:r>
      <w:r w:rsidR="00F85DF3">
        <w:rPr>
          <w:rFonts w:ascii="Times New Roman" w:hAnsi="Times New Roman" w:cs="Times New Roman"/>
          <w:snapToGrid w:val="0"/>
        </w:rPr>
        <w:t>transactions is rapidly reaching the current OMB approved public reporting burden of 500,000 re</w:t>
      </w:r>
      <w:r w:rsidR="00E425BF">
        <w:rPr>
          <w:rFonts w:ascii="Times New Roman" w:hAnsi="Times New Roman" w:cs="Times New Roman"/>
          <w:snapToGrid w:val="0"/>
        </w:rPr>
        <w:t>sponses</w:t>
      </w:r>
      <w:r w:rsidR="00F85DF3">
        <w:rPr>
          <w:rFonts w:ascii="Times New Roman" w:hAnsi="Times New Roman" w:cs="Times New Roman"/>
          <w:snapToGrid w:val="0"/>
        </w:rPr>
        <w:t xml:space="preserve"> per year.  </w:t>
      </w:r>
      <w:r w:rsidR="00635F5C">
        <w:rPr>
          <w:rFonts w:ascii="Times New Roman" w:hAnsi="Times New Roman" w:cs="Times New Roman"/>
          <w:snapToGrid w:val="0"/>
        </w:rPr>
        <w:t xml:space="preserve">By the end of FY11, we will implement e4641 nationwide, and we expect its transactions to surpass the 500,000 mark before that time.  </w:t>
      </w:r>
    </w:p>
    <w:p w:rsidR="00F7784B" w:rsidRDefault="00F7784B" w:rsidP="00C03EDF">
      <w:pPr>
        <w:rPr>
          <w:rFonts w:ascii="Times New Roman" w:hAnsi="Times New Roman" w:cs="Times New Roman"/>
          <w:snapToGrid w:val="0"/>
        </w:rPr>
      </w:pPr>
    </w:p>
    <w:p w:rsidR="00F85DF3" w:rsidRDefault="005C0324" w:rsidP="00C03EDF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By FY12, we estimate the number of e4641 transactions to draw near 3 million per year.  </w:t>
      </w:r>
      <w:r w:rsidR="00F85DF3">
        <w:rPr>
          <w:rFonts w:ascii="Times New Roman" w:hAnsi="Times New Roman" w:cs="Times New Roman"/>
          <w:snapToGrid w:val="0"/>
        </w:rPr>
        <w:t xml:space="preserve">Therefore, </w:t>
      </w:r>
      <w:r w:rsidR="00E425BF">
        <w:rPr>
          <w:rFonts w:ascii="Times New Roman" w:hAnsi="Times New Roman" w:cs="Times New Roman"/>
          <w:snapToGrid w:val="0"/>
        </w:rPr>
        <w:t xml:space="preserve">we are requesting </w:t>
      </w:r>
      <w:r w:rsidR="00773C3B">
        <w:rPr>
          <w:rFonts w:ascii="Times New Roman" w:hAnsi="Times New Roman" w:cs="Times New Roman"/>
          <w:snapToGrid w:val="0"/>
        </w:rPr>
        <w:t>to</w:t>
      </w:r>
      <w:r w:rsidR="00E425BF">
        <w:rPr>
          <w:rFonts w:ascii="Times New Roman" w:hAnsi="Times New Roman" w:cs="Times New Roman"/>
          <w:snapToGrid w:val="0"/>
        </w:rPr>
        <w:t xml:space="preserve"> increase </w:t>
      </w:r>
      <w:r w:rsidR="00F85DF3">
        <w:rPr>
          <w:rFonts w:ascii="Times New Roman" w:hAnsi="Times New Roman" w:cs="Times New Roman"/>
          <w:snapToGrid w:val="0"/>
        </w:rPr>
        <w:t xml:space="preserve">the public </w:t>
      </w:r>
      <w:r w:rsidR="00E425BF">
        <w:rPr>
          <w:rFonts w:ascii="Times New Roman" w:hAnsi="Times New Roman" w:cs="Times New Roman"/>
          <w:snapToGrid w:val="0"/>
        </w:rPr>
        <w:t xml:space="preserve">reporting </w:t>
      </w:r>
      <w:r w:rsidR="00F85DF3">
        <w:rPr>
          <w:rFonts w:ascii="Times New Roman" w:hAnsi="Times New Roman" w:cs="Times New Roman"/>
          <w:snapToGrid w:val="0"/>
        </w:rPr>
        <w:t>burden</w:t>
      </w:r>
      <w:r w:rsidR="00F16169">
        <w:rPr>
          <w:rFonts w:ascii="Times New Roman" w:hAnsi="Times New Roman" w:cs="Times New Roman"/>
          <w:snapToGrid w:val="0"/>
        </w:rPr>
        <w:t xml:space="preserve"> starting this fiscal year</w:t>
      </w:r>
      <w:r w:rsidR="00773C3B">
        <w:rPr>
          <w:rFonts w:ascii="Times New Roman" w:hAnsi="Times New Roman" w:cs="Times New Roman"/>
          <w:snapToGrid w:val="0"/>
        </w:rPr>
        <w:t>.</w:t>
      </w:r>
      <w:r w:rsidR="00E425BF">
        <w:rPr>
          <w:rFonts w:ascii="Times New Roman" w:hAnsi="Times New Roman" w:cs="Times New Roman"/>
          <w:snapToGrid w:val="0"/>
        </w:rPr>
        <w:t xml:space="preserve">  Meanwhile</w:t>
      </w:r>
      <w:r>
        <w:rPr>
          <w:rFonts w:ascii="Times New Roman" w:hAnsi="Times New Roman" w:cs="Times New Roman"/>
          <w:snapToGrid w:val="0"/>
        </w:rPr>
        <w:t>,</w:t>
      </w:r>
      <w:r w:rsidR="00E425BF">
        <w:rPr>
          <w:rFonts w:ascii="Times New Roman" w:hAnsi="Times New Roman" w:cs="Times New Roman"/>
          <w:snapToGrid w:val="0"/>
        </w:rPr>
        <w:t xml:space="preserve"> we will closely monitor the number of responses</w:t>
      </w:r>
      <w:r>
        <w:rPr>
          <w:rFonts w:ascii="Times New Roman" w:hAnsi="Times New Roman" w:cs="Times New Roman"/>
          <w:snapToGrid w:val="0"/>
        </w:rPr>
        <w:t>,</w:t>
      </w:r>
      <w:r w:rsidR="00E425BF">
        <w:rPr>
          <w:rFonts w:ascii="Times New Roman" w:hAnsi="Times New Roman" w:cs="Times New Roman"/>
          <w:snapToGrid w:val="0"/>
        </w:rPr>
        <w:t xml:space="preserve"> </w:t>
      </w:r>
      <w:r>
        <w:rPr>
          <w:rFonts w:ascii="Times New Roman" w:hAnsi="Times New Roman" w:cs="Times New Roman"/>
          <w:snapToGrid w:val="0"/>
        </w:rPr>
        <w:t xml:space="preserve">and if we </w:t>
      </w:r>
      <w:r w:rsidR="00F7784B">
        <w:rPr>
          <w:rFonts w:ascii="Times New Roman" w:hAnsi="Times New Roman" w:cs="Times New Roman"/>
          <w:snapToGrid w:val="0"/>
        </w:rPr>
        <w:t xml:space="preserve">determine that the number of responses will exceed our current authority, </w:t>
      </w:r>
      <w:r w:rsidR="00F85DF3">
        <w:rPr>
          <w:rFonts w:ascii="Times New Roman" w:hAnsi="Times New Roman" w:cs="Times New Roman"/>
          <w:snapToGrid w:val="0"/>
        </w:rPr>
        <w:t xml:space="preserve">we will </w:t>
      </w:r>
      <w:r w:rsidR="00F16169">
        <w:rPr>
          <w:rFonts w:ascii="Times New Roman" w:hAnsi="Times New Roman" w:cs="Times New Roman"/>
          <w:snapToGrid w:val="0"/>
        </w:rPr>
        <w:t>ask for another</w:t>
      </w:r>
      <w:r w:rsidR="00527FB2">
        <w:rPr>
          <w:rFonts w:ascii="Times New Roman" w:hAnsi="Times New Roman" w:cs="Times New Roman"/>
          <w:snapToGrid w:val="0"/>
        </w:rPr>
        <w:t xml:space="preserve"> </w:t>
      </w:r>
      <w:r w:rsidR="00F85DF3">
        <w:rPr>
          <w:rFonts w:ascii="Times New Roman" w:hAnsi="Times New Roman" w:cs="Times New Roman"/>
          <w:snapToGrid w:val="0"/>
        </w:rPr>
        <w:t>update to the burden information.</w:t>
      </w:r>
    </w:p>
    <w:p w:rsidR="00F85DF3" w:rsidRDefault="00F85DF3" w:rsidP="004847F3">
      <w:pPr>
        <w:tabs>
          <w:tab w:val="left" w:pos="1440"/>
        </w:tabs>
        <w:suppressAutoHyphens/>
        <w:snapToGrid/>
        <w:rPr>
          <w:rFonts w:ascii="Times New Roman" w:hAnsi="Times New Roman" w:cs="Times New Roman"/>
          <w:b/>
          <w:bCs/>
        </w:rPr>
      </w:pPr>
    </w:p>
    <w:sectPr w:rsidR="00F85DF3" w:rsidSect="00B61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17328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3EC6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4476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1B7A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678D3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58D9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C5567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3EF0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2043"/>
    <w:rsid w:val="002E2AF5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034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4F5E"/>
    <w:rsid w:val="003C5E4B"/>
    <w:rsid w:val="003C6050"/>
    <w:rsid w:val="003D6EF1"/>
    <w:rsid w:val="003D72B1"/>
    <w:rsid w:val="003E0BD3"/>
    <w:rsid w:val="003E2ABF"/>
    <w:rsid w:val="003E466D"/>
    <w:rsid w:val="003E553B"/>
    <w:rsid w:val="003E7036"/>
    <w:rsid w:val="003F0208"/>
    <w:rsid w:val="003F04CD"/>
    <w:rsid w:val="003F1CB9"/>
    <w:rsid w:val="003F4380"/>
    <w:rsid w:val="003F5082"/>
    <w:rsid w:val="003F5EC0"/>
    <w:rsid w:val="003F6DE1"/>
    <w:rsid w:val="003F79F3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7F3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A7D7C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9C"/>
    <w:rsid w:val="005267D9"/>
    <w:rsid w:val="00527FB2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0324"/>
    <w:rsid w:val="005C19C1"/>
    <w:rsid w:val="005C22A3"/>
    <w:rsid w:val="005C22B3"/>
    <w:rsid w:val="005C4299"/>
    <w:rsid w:val="005C4386"/>
    <w:rsid w:val="005C4BF8"/>
    <w:rsid w:val="005C5ED5"/>
    <w:rsid w:val="005C7E9F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5F5C"/>
    <w:rsid w:val="006378E8"/>
    <w:rsid w:val="006405D2"/>
    <w:rsid w:val="006407FF"/>
    <w:rsid w:val="00641BB8"/>
    <w:rsid w:val="00641E92"/>
    <w:rsid w:val="006422C5"/>
    <w:rsid w:val="0064262E"/>
    <w:rsid w:val="00644A2A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05CC"/>
    <w:rsid w:val="00683AE0"/>
    <w:rsid w:val="006865DF"/>
    <w:rsid w:val="00686A71"/>
    <w:rsid w:val="00686AC5"/>
    <w:rsid w:val="00690691"/>
    <w:rsid w:val="0069099B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0797"/>
    <w:rsid w:val="006B18F7"/>
    <w:rsid w:val="006B34BF"/>
    <w:rsid w:val="006B5244"/>
    <w:rsid w:val="006B5613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14A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4A3A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3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29A"/>
    <w:rsid w:val="00817762"/>
    <w:rsid w:val="00817DD5"/>
    <w:rsid w:val="0082121A"/>
    <w:rsid w:val="008234FC"/>
    <w:rsid w:val="00824A29"/>
    <w:rsid w:val="008273A1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5062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159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2973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8F7E52"/>
    <w:rsid w:val="009004A8"/>
    <w:rsid w:val="0090086F"/>
    <w:rsid w:val="00900CA8"/>
    <w:rsid w:val="00900EFA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63CA2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9F7F54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3C2A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7FA2"/>
    <w:rsid w:val="00A7206B"/>
    <w:rsid w:val="00A72AEF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4D33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17EA8"/>
    <w:rsid w:val="00B200C6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1A87"/>
    <w:rsid w:val="00B6383B"/>
    <w:rsid w:val="00B67763"/>
    <w:rsid w:val="00B6794B"/>
    <w:rsid w:val="00B76768"/>
    <w:rsid w:val="00B77AA8"/>
    <w:rsid w:val="00B836E0"/>
    <w:rsid w:val="00B83A4E"/>
    <w:rsid w:val="00B846D2"/>
    <w:rsid w:val="00B877E3"/>
    <w:rsid w:val="00B91B55"/>
    <w:rsid w:val="00B91FB7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2BB4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25E5"/>
    <w:rsid w:val="00C231B1"/>
    <w:rsid w:val="00C27AFE"/>
    <w:rsid w:val="00C3006C"/>
    <w:rsid w:val="00C30296"/>
    <w:rsid w:val="00C3360D"/>
    <w:rsid w:val="00C35526"/>
    <w:rsid w:val="00C36531"/>
    <w:rsid w:val="00C402E0"/>
    <w:rsid w:val="00C441C0"/>
    <w:rsid w:val="00C44E2F"/>
    <w:rsid w:val="00C45DA8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1B5A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07FB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0F3C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6BD1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25BF"/>
    <w:rsid w:val="00E476E7"/>
    <w:rsid w:val="00E478D5"/>
    <w:rsid w:val="00E531D5"/>
    <w:rsid w:val="00E538CC"/>
    <w:rsid w:val="00E574E7"/>
    <w:rsid w:val="00E60ACC"/>
    <w:rsid w:val="00E72262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1A30"/>
    <w:rsid w:val="00EA13AE"/>
    <w:rsid w:val="00EA259F"/>
    <w:rsid w:val="00EA36EE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D5D9F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169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241"/>
    <w:rsid w:val="00F53427"/>
    <w:rsid w:val="00F53444"/>
    <w:rsid w:val="00F5391F"/>
    <w:rsid w:val="00F53DD1"/>
    <w:rsid w:val="00F5489E"/>
    <w:rsid w:val="00F548F1"/>
    <w:rsid w:val="00F562B4"/>
    <w:rsid w:val="00F566FF"/>
    <w:rsid w:val="00F56FEE"/>
    <w:rsid w:val="00F60BA4"/>
    <w:rsid w:val="00F63477"/>
    <w:rsid w:val="00F64CBA"/>
    <w:rsid w:val="00F67606"/>
    <w:rsid w:val="00F72452"/>
    <w:rsid w:val="00F7548E"/>
    <w:rsid w:val="00F7784B"/>
    <w:rsid w:val="00F82CC0"/>
    <w:rsid w:val="00F84745"/>
    <w:rsid w:val="00F85933"/>
    <w:rsid w:val="00F85DF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2B02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A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36E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3EDF"/>
    <w:pPr>
      <w:keepNext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0A5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36EE"/>
    <w:rPr>
      <w:rFonts w:ascii="Calibri" w:hAnsi="Calibri" w:cs="Calibri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72262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rsid w:val="00EA36EE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A36EE"/>
    <w:pPr>
      <w:widowControl/>
      <w:snapToGrid/>
      <w:spacing w:before="48" w:after="48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20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2852">
              <w:marLeft w:val="129"/>
              <w:marRight w:val="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20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889123</cp:lastModifiedBy>
  <cp:revision>2</cp:revision>
  <cp:lastPrinted>2011-02-15T21:13:00Z</cp:lastPrinted>
  <dcterms:created xsi:type="dcterms:W3CDTF">2011-03-18T15:20:00Z</dcterms:created>
  <dcterms:modified xsi:type="dcterms:W3CDTF">2011-03-18T15:20:00Z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-1001151690</vt:i4>
  </property>
  <property fmtid="{D5CDD505-2E9C-101B-9397-08002B2CF9AE}" pid="3" name="_NewReviewCycle">
    <vt:lpwstr/>
  </property>
  <property fmtid="{D5CDD505-2E9C-101B-9397-08002B2CF9AE}" pid="4" name="_EmailSubject">
    <vt:lpwstr>Change request for the SSA-4641 (AFI)</vt:lpwstr>
  </property>
  <property fmtid="{D5CDD505-2E9C-101B-9397-08002B2CF9AE}" pid="5" name="_AuthorEmail">
    <vt:lpwstr>Eric.Skidmore@ssa.gov</vt:lpwstr>
  </property>
  <property fmtid="{D5CDD505-2E9C-101B-9397-08002B2CF9AE}" pid="6" name="_AuthorEmailDisplayName">
    <vt:lpwstr>Skidmore, Eric</vt:lpwstr>
  </property>
  <property fmtid="{D5CDD505-2E9C-101B-9397-08002B2CF9AE}" pid="7" name="_ReviewingToolsShownOnce">
    <vt:lpwstr/>
  </property>
</Properties>
</file>