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52" w:rsidRPr="00063114" w:rsidRDefault="00BF0052" w:rsidP="00A8414A">
      <w:pPr>
        <w:jc w:val="center"/>
      </w:pPr>
      <w:r w:rsidRPr="00063114">
        <w:t>Compiled Comments for the ACF-118 (State Plan)</w:t>
      </w:r>
    </w:p>
    <w:p w:rsidR="00BF0052" w:rsidRDefault="00BF0052" w:rsidP="00C73231">
      <w:pPr>
        <w:spacing w:after="0" w:line="240" w:lineRule="auto"/>
      </w:pPr>
      <w:r>
        <w:t>Rosa Williams</w:t>
      </w:r>
    </w:p>
    <w:p w:rsidR="00BF0052" w:rsidRDefault="00BF0052" w:rsidP="00C73231">
      <w:pPr>
        <w:spacing w:after="0" w:line="240" w:lineRule="auto"/>
      </w:pPr>
      <w:r>
        <w:t>Training and Technical Assistance Manager</w:t>
      </w:r>
    </w:p>
    <w:p w:rsidR="00BF0052" w:rsidRDefault="00BF0052" w:rsidP="00C73231">
      <w:pPr>
        <w:spacing w:after="0" w:line="240" w:lineRule="auto"/>
      </w:pPr>
      <w:smartTag w:uri="urn:schemas-microsoft-com:office:smarttags" w:element="PlaceName">
        <w:smartTag w:uri="urn:schemas-microsoft-com:office:smarttags" w:element="place">
          <w:r>
            <w:t>Child</w:t>
          </w:r>
        </w:smartTag>
        <w:r>
          <w:t xml:space="preserve"> </w:t>
        </w:r>
        <w:smartTag w:uri="urn:schemas-microsoft-com:office:smarttags" w:element="PlaceName">
          <w:r>
            <w:t>Care</w:t>
          </w:r>
        </w:smartTag>
        <w:r>
          <w:t xml:space="preserve"> </w:t>
        </w:r>
        <w:smartTag w:uri="urn:schemas-microsoft-com:office:smarttags" w:element="PlaceName">
          <w:r>
            <w:t>Automation</w:t>
          </w:r>
        </w:smartTag>
        <w:r>
          <w:t xml:space="preserve"> </w:t>
        </w:r>
        <w:smartTag w:uri="urn:schemas-microsoft-com:office:smarttags" w:element="PlaceName">
          <w:r>
            <w:t>Resource</w:t>
          </w:r>
        </w:smartTag>
        <w:r>
          <w:t xml:space="preserve"> </w:t>
        </w:r>
        <w:smartTag w:uri="urn:schemas-microsoft-com:office:smarttags" w:element="PlaceType">
          <w:r>
            <w:t>Center</w:t>
          </w:r>
        </w:smartTag>
      </w:smartTag>
      <w:r>
        <w:t xml:space="preserve"> (CCARC)</w:t>
      </w:r>
    </w:p>
    <w:p w:rsidR="00BF0052" w:rsidRDefault="00BF0052" w:rsidP="00C73231">
      <w:pPr>
        <w:spacing w:after="0" w:line="240" w:lineRule="auto"/>
      </w:pPr>
      <w:r>
        <w:t xml:space="preserve">2600 Tower </w:t>
      </w:r>
      <w:smartTag w:uri="urn:schemas-microsoft-com:office:smarttags" w:element="address">
        <w:smartTag w:uri="urn:schemas-microsoft-com:office:smarttags" w:element="Street">
          <w:r>
            <w:t>Oaks Blvd</w:t>
          </w:r>
        </w:smartTag>
      </w:smartTag>
      <w:r>
        <w:t xml:space="preserve">, </w:t>
      </w:r>
      <w:smartTag w:uri="urn:schemas-microsoft-com:office:smarttags" w:element="Street">
        <w:smartTag w:uri="urn:schemas-microsoft-com:office:smarttags" w:element="address">
          <w:r>
            <w:t>Suite</w:t>
          </w:r>
        </w:smartTag>
        <w:r>
          <w:t xml:space="preserve"> 600</w:t>
        </w:r>
      </w:smartTag>
    </w:p>
    <w:p w:rsidR="00BF0052" w:rsidRDefault="00BF0052" w:rsidP="00C73231">
      <w:pPr>
        <w:spacing w:after="0" w:line="240" w:lineRule="auto"/>
      </w:pPr>
      <w:smartTag w:uri="urn:schemas-microsoft-com:office:smarttags" w:element="City">
        <w:smartTag w:uri="urn:schemas-microsoft-com:office:smarttags" w:element="place">
          <w:r>
            <w:t>Rockville</w:t>
          </w:r>
        </w:smartTag>
        <w:r>
          <w:t xml:space="preserve">, </w:t>
        </w:r>
        <w:smartTag w:uri="urn:schemas-microsoft-com:office:smarttags" w:element="PostalCode">
          <w:r>
            <w:t>MD</w:t>
          </w:r>
        </w:smartTag>
        <w:r>
          <w:t xml:space="preserve"> </w:t>
        </w:r>
        <w:smartTag w:uri="urn:schemas-microsoft-com:office:smarttags" w:element="PostalCode">
          <w:r>
            <w:t>20852</w:t>
          </w:r>
        </w:smartTag>
      </w:smartTag>
    </w:p>
    <w:p w:rsidR="00BF0052" w:rsidRDefault="00BF0052" w:rsidP="00C73231">
      <w:pPr>
        <w:spacing w:after="0" w:line="240" w:lineRule="auto"/>
      </w:pPr>
      <w:r>
        <w:t>1-877-249-9117 (toll-free)</w:t>
      </w:r>
    </w:p>
    <w:p w:rsidR="00BF0052" w:rsidRDefault="00BF0052" w:rsidP="00C73231">
      <w:pPr>
        <w:spacing w:after="0" w:line="240" w:lineRule="auto"/>
      </w:pPr>
      <w:r>
        <w:t>301-692-0700  (fax)</w:t>
      </w:r>
    </w:p>
    <w:p w:rsidR="00BF0052" w:rsidRDefault="00BF0052" w:rsidP="00C73231">
      <w:pPr>
        <w:spacing w:after="0" w:line="240" w:lineRule="auto"/>
      </w:pPr>
      <w:r>
        <w:t>rosa.williams@gdit.com (e-mail)</w:t>
      </w:r>
    </w:p>
    <w:p w:rsidR="00BF0052" w:rsidRDefault="00BF0052" w:rsidP="00C73231">
      <w:pPr>
        <w:spacing w:after="0" w:line="240" w:lineRule="auto"/>
      </w:pPr>
    </w:p>
    <w:p w:rsidR="00BF0052" w:rsidRPr="00063114" w:rsidRDefault="00BF0052" w:rsidP="00A8414A">
      <w:pPr>
        <w:rPr>
          <w:b/>
        </w:rPr>
      </w:pPr>
    </w:p>
    <w:p w:rsidR="00BF0052" w:rsidRPr="00063114" w:rsidRDefault="00BF0052" w:rsidP="00D87D46">
      <w:r w:rsidRPr="00063114">
        <w:rPr>
          <w:u w:val="single"/>
        </w:rPr>
        <w:t>General comment</w:t>
      </w:r>
      <w:r w:rsidRPr="00063114">
        <w:t xml:space="preserve">: All ‘Check All That Apply’ questions should allow for “Yes” and “No” responses for each response. Otherwise, it will be difficult to determine which were ‘no’ responses versus one inadvertently left unanswered. </w:t>
      </w:r>
    </w:p>
    <w:p w:rsidR="00BF0052" w:rsidRPr="00063114" w:rsidRDefault="00BF0052" w:rsidP="00D87D46">
      <w:pPr>
        <w:rPr>
          <w:color w:val="FF0000"/>
        </w:rPr>
      </w:pPr>
      <w:r w:rsidRPr="00063114">
        <w:t>p.4 (1.2.1) The list of funds does not appear to be complete. Add the following: Title XX (Social Services Block Grant, SSBG), State-only child care funds (in excess of State funds used to meet CCDF Match and MOE requirements), Title IV-B or Title IV-E funds, SNAP funds (formerly Food Stamps), and Other: Describe.</w:t>
      </w:r>
    </w:p>
    <w:p w:rsidR="00BF0052" w:rsidRPr="00063114" w:rsidRDefault="00BF0052" w:rsidP="00AE5A73">
      <w:pPr>
        <w:pStyle w:val="CommentText"/>
        <w:rPr>
          <w:rFonts w:ascii="Calibri" w:hAnsi="Calibri"/>
          <w:sz w:val="22"/>
          <w:szCs w:val="22"/>
        </w:rPr>
      </w:pPr>
      <w:r w:rsidRPr="00063114">
        <w:rPr>
          <w:rFonts w:ascii="Calibri" w:hAnsi="Calibri"/>
          <w:sz w:val="22"/>
          <w:szCs w:val="22"/>
        </w:rPr>
        <w:t xml:space="preserve">p.6 (1.3.2). </w:t>
      </w:r>
      <w:r w:rsidRPr="00063114">
        <w:rPr>
          <w:rStyle w:val="CommentReference"/>
          <w:rFonts w:ascii="Calibri" w:hAnsi="Calibri"/>
          <w:sz w:val="22"/>
          <w:szCs w:val="22"/>
        </w:rPr>
        <w:t> The list of agencies may not be mutually exclusive. Believe that CCR&amp;R’s could be for-profit private vendors or community-based organizations. If so, there may be confusion regarding which category(ies) to check.</w:t>
      </w:r>
    </w:p>
    <w:p w:rsidR="00BF0052" w:rsidRPr="00063114" w:rsidRDefault="00BF0052" w:rsidP="00AE5A73">
      <w:pPr>
        <w:pStyle w:val="CommentText"/>
        <w:rPr>
          <w:rFonts w:ascii="Calibri" w:hAnsi="Calibri"/>
          <w:sz w:val="22"/>
          <w:szCs w:val="22"/>
        </w:rPr>
      </w:pPr>
    </w:p>
    <w:p w:rsidR="00BF0052" w:rsidRPr="00063114" w:rsidRDefault="00BF0052" w:rsidP="00106430">
      <w:r w:rsidRPr="00063114">
        <w:t xml:space="preserve">p. 7 (1.4.3).  The activities do not appear to be mutually exclusive. Definitions may help to distinguish how ‘quality control reviews’ are different from ‘review of attendance or billing records’ and ‘audit provider records’. </w:t>
      </w:r>
    </w:p>
    <w:p w:rsidR="00BF0052" w:rsidRPr="00063114" w:rsidRDefault="00BF0052" w:rsidP="00AE5A73">
      <w:r w:rsidRPr="00063114">
        <w:t xml:space="preserve">p. 7 (1.4.3).  What does “conducts supervisory staff conduct reviews” mean?  </w:t>
      </w:r>
    </w:p>
    <w:p w:rsidR="00BF0052" w:rsidRPr="00063114" w:rsidRDefault="00BF0052" w:rsidP="000E79D2">
      <w:pPr>
        <w:pStyle w:val="CommentText"/>
        <w:rPr>
          <w:rFonts w:ascii="Calibri" w:hAnsi="Calibri"/>
          <w:sz w:val="22"/>
          <w:szCs w:val="22"/>
        </w:rPr>
      </w:pPr>
      <w:r w:rsidRPr="00063114">
        <w:rPr>
          <w:rFonts w:ascii="Calibri" w:hAnsi="Calibri"/>
          <w:sz w:val="22"/>
          <w:szCs w:val="22"/>
        </w:rPr>
        <w:t xml:space="preserve">p. 9 ( 1.5.1). Indian Tribes/Tribal Organizations: If this item is not checked, OCC will not be able to distinguish between </w:t>
      </w:r>
      <w:r>
        <w:rPr>
          <w:rFonts w:ascii="Calibri" w:hAnsi="Calibri"/>
          <w:sz w:val="22"/>
          <w:szCs w:val="22"/>
        </w:rPr>
        <w:t xml:space="preserve"> a Lead Agency that did not consult with Tribes and a Lead Agency for whom there are no Tribes within the State boundaries. </w:t>
      </w:r>
      <w:r w:rsidRPr="00063114">
        <w:rPr>
          <w:rFonts w:ascii="Calibri" w:hAnsi="Calibri"/>
          <w:sz w:val="22"/>
          <w:szCs w:val="22"/>
        </w:rPr>
        <w:t>Suggestion: Change entire table to ‘Yes’ and ‘No’ options and for this response, add ‘Not Applicable’.</w:t>
      </w:r>
    </w:p>
    <w:p w:rsidR="00BF0052" w:rsidRPr="00063114" w:rsidRDefault="00BF0052" w:rsidP="000E79D2">
      <w:pPr>
        <w:pStyle w:val="CommentText"/>
        <w:rPr>
          <w:rFonts w:ascii="Calibri" w:hAnsi="Calibri"/>
          <w:sz w:val="22"/>
          <w:szCs w:val="22"/>
        </w:rPr>
      </w:pPr>
    </w:p>
    <w:p w:rsidR="00BF0052" w:rsidRPr="004D7972" w:rsidRDefault="00BF0052" w:rsidP="000E79D2">
      <w:pPr>
        <w:pStyle w:val="CommentText"/>
        <w:rPr>
          <w:rFonts w:ascii="Calibri" w:hAnsi="Calibri"/>
          <w:sz w:val="22"/>
          <w:szCs w:val="22"/>
        </w:rPr>
      </w:pPr>
      <w:r w:rsidRPr="00063114">
        <w:rPr>
          <w:rFonts w:ascii="Calibri" w:hAnsi="Calibri"/>
          <w:sz w:val="22"/>
          <w:szCs w:val="22"/>
        </w:rPr>
        <w:t>p. 10 (1.6). In order to avoid using the defined word in its own definition, we propose the following</w:t>
      </w:r>
      <w:r>
        <w:rPr>
          <w:rFonts w:ascii="Calibri" w:hAnsi="Calibri"/>
          <w:sz w:val="22"/>
          <w:szCs w:val="22"/>
        </w:rPr>
        <w:t xml:space="preserve"> alternative language</w:t>
      </w:r>
      <w:r w:rsidRPr="00063114">
        <w:rPr>
          <w:rFonts w:ascii="Calibri" w:hAnsi="Calibri"/>
          <w:sz w:val="22"/>
          <w:szCs w:val="22"/>
        </w:rPr>
        <w:t xml:space="preserve">: </w:t>
      </w:r>
      <w:r w:rsidRPr="00CA7071">
        <w:rPr>
          <w:rFonts w:ascii="Calibri" w:hAnsi="Calibri"/>
          <w:sz w:val="22"/>
          <w:szCs w:val="22"/>
          <w:u w:val="single"/>
        </w:rPr>
        <w:t>Coordination requires that child care and early childhood development programs work together to increase access, streamline parental requirements, and enhance on</w:t>
      </w:r>
      <w:r>
        <w:rPr>
          <w:rFonts w:ascii="Calibri" w:hAnsi="Calibri"/>
          <w:sz w:val="22"/>
          <w:szCs w:val="22"/>
          <w:u w:val="single"/>
        </w:rPr>
        <w:t>e</w:t>
      </w:r>
      <w:r w:rsidRPr="00CA7071">
        <w:rPr>
          <w:rFonts w:ascii="Calibri" w:hAnsi="Calibri"/>
          <w:sz w:val="22"/>
          <w:szCs w:val="22"/>
          <w:u w:val="single"/>
        </w:rPr>
        <w:t xml:space="preserve"> another’s services.</w:t>
      </w:r>
      <w:r w:rsidRPr="00063114">
        <w:rPr>
          <w:rFonts w:ascii="Calibri" w:hAnsi="Calibri"/>
          <w:sz w:val="22"/>
          <w:szCs w:val="22"/>
        </w:rPr>
        <w:t xml:space="preserve"> Coordination includes efforts to work across multiple entities, both public and private (such as in connection with a State Early Childhood Comprehensive System (SECCS) grant or the State Advisory Council funded under </w:t>
      </w:r>
      <w:r w:rsidRPr="004D7972">
        <w:rPr>
          <w:rFonts w:ascii="Calibri" w:hAnsi="Calibri"/>
          <w:sz w:val="22"/>
          <w:szCs w:val="22"/>
        </w:rPr>
        <w:t xml:space="preserve">the Head Start Act of 2007) (658D(b)(1)(D), §§98.12(a), 98.14(a)(1)). </w:t>
      </w:r>
    </w:p>
    <w:p w:rsidR="00BF0052" w:rsidRPr="004D7972" w:rsidRDefault="00BF0052" w:rsidP="000E79D2">
      <w:pPr>
        <w:pStyle w:val="CommentText"/>
        <w:rPr>
          <w:rFonts w:ascii="Calibri" w:hAnsi="Calibri"/>
          <w:sz w:val="22"/>
          <w:szCs w:val="22"/>
        </w:rPr>
      </w:pPr>
    </w:p>
    <w:p w:rsidR="00BF0052" w:rsidRPr="004D7972" w:rsidRDefault="00BF0052" w:rsidP="00D67C87">
      <w:pPr>
        <w:pStyle w:val="CommentText"/>
        <w:rPr>
          <w:rFonts w:ascii="Calibri" w:hAnsi="Calibri"/>
          <w:sz w:val="22"/>
          <w:szCs w:val="22"/>
        </w:rPr>
      </w:pPr>
      <w:r w:rsidRPr="004D7972">
        <w:rPr>
          <w:rFonts w:ascii="Calibri" w:hAnsi="Calibri"/>
          <w:sz w:val="22"/>
          <w:szCs w:val="22"/>
        </w:rPr>
        <w:t>p. 13 –(1.7.1)   Recommend using different terms for the response categories: Planning, Developing, Developed, Other.</w:t>
      </w:r>
    </w:p>
    <w:p w:rsidR="00BF0052" w:rsidRPr="004D7972" w:rsidRDefault="00BF0052" w:rsidP="00D67C87">
      <w:pPr>
        <w:pStyle w:val="CommentText"/>
        <w:rPr>
          <w:rFonts w:ascii="Calibri" w:hAnsi="Calibri"/>
          <w:sz w:val="22"/>
          <w:szCs w:val="22"/>
        </w:rPr>
      </w:pPr>
    </w:p>
    <w:p w:rsidR="00BF0052" w:rsidRPr="004D7972" w:rsidRDefault="00BF0052" w:rsidP="00D67C87">
      <w:pPr>
        <w:pStyle w:val="CommentText"/>
        <w:rPr>
          <w:rFonts w:ascii="Calibri" w:hAnsi="Calibri"/>
          <w:sz w:val="22"/>
          <w:szCs w:val="22"/>
        </w:rPr>
      </w:pPr>
      <w:r w:rsidRPr="004D7972">
        <w:rPr>
          <w:rFonts w:ascii="Calibri" w:hAnsi="Calibri"/>
          <w:sz w:val="22"/>
          <w:szCs w:val="22"/>
        </w:rPr>
        <w:t>p.14 (2.1.1).  This is a mixed list of WHO and HOW.  Consider re-wording the question to read: “By whom, and how are parents informed…”.</w:t>
      </w:r>
    </w:p>
    <w:p w:rsidR="00BF0052" w:rsidRPr="004D7972" w:rsidRDefault="00BF0052" w:rsidP="00AE5A73">
      <w:pPr>
        <w:pStyle w:val="CommentText"/>
        <w:rPr>
          <w:rFonts w:ascii="Calibri" w:hAnsi="Calibri"/>
          <w:sz w:val="22"/>
          <w:szCs w:val="22"/>
        </w:rPr>
      </w:pPr>
    </w:p>
    <w:p w:rsidR="00BF0052" w:rsidRDefault="00BF0052" w:rsidP="00D87D46">
      <w:r w:rsidRPr="004D7972">
        <w:t xml:space="preserve">p. 15 (2.1.5).  The listed options mix items that may be ‘barriers to access’ </w:t>
      </w:r>
      <w:r>
        <w:t>vs.</w:t>
      </w:r>
      <w:r w:rsidRPr="004D7972">
        <w:t xml:space="preserve"> ‘barriers to eligibility’. It is</w:t>
      </w:r>
      <w:r>
        <w:t xml:space="preserve"> not clear what OCC is seeking here, and there may be a need for two separate questions. </w:t>
      </w:r>
    </w:p>
    <w:p w:rsidR="00BF0052" w:rsidRDefault="00BF0052" w:rsidP="00D87D46"/>
    <w:p w:rsidR="00BF0052" w:rsidRDefault="00BF0052" w:rsidP="00D87D46">
      <w:r w:rsidRPr="00063114">
        <w:t xml:space="preserve">p. 15 (2.1.5).  </w:t>
      </w:r>
      <w:r>
        <w:t xml:space="preserve">If OCC is looking for ways grantees reduce barriers to access, consider using the following alternative options: </w:t>
      </w:r>
      <w:r w:rsidRPr="008F1C7F">
        <w:rPr>
          <w:u w:val="single"/>
        </w:rPr>
        <w:t>Consider revising list according to the following</w:t>
      </w:r>
      <w:r>
        <w:t xml:space="preserve">: </w:t>
      </w:r>
    </w:p>
    <w:p w:rsidR="00BF0052" w:rsidRDefault="00BF0052" w:rsidP="00825096">
      <w:pPr>
        <w:pStyle w:val="ListParagraph"/>
        <w:numPr>
          <w:ilvl w:val="0"/>
          <w:numId w:val="1"/>
        </w:numPr>
        <w:spacing w:after="0" w:line="240" w:lineRule="auto"/>
      </w:pPr>
      <w:r>
        <w:t>Extend office hours, accept applications at  multiple office locations,  provide a toll-free number for clients</w:t>
      </w:r>
    </w:p>
    <w:p w:rsidR="00BF0052" w:rsidRDefault="00BF0052" w:rsidP="00825096">
      <w:pPr>
        <w:pStyle w:val="ListParagraph"/>
        <w:numPr>
          <w:ilvl w:val="0"/>
          <w:numId w:val="1"/>
        </w:numPr>
        <w:spacing w:after="0" w:line="240" w:lineRule="auto"/>
      </w:pPr>
      <w:r>
        <w:t>Simplify application and/or re-determination process:</w:t>
      </w:r>
    </w:p>
    <w:p w:rsidR="00BF0052" w:rsidRDefault="00BF0052" w:rsidP="00825096">
      <w:pPr>
        <w:pStyle w:val="ListParagraph"/>
        <w:numPr>
          <w:ilvl w:val="1"/>
          <w:numId w:val="1"/>
        </w:numPr>
        <w:spacing w:after="0" w:line="240" w:lineRule="auto"/>
      </w:pPr>
      <w:r>
        <w:t xml:space="preserve"> Simplify the application form or utilize a single application for multiple programs</w:t>
      </w:r>
    </w:p>
    <w:p w:rsidR="00BF0052" w:rsidRDefault="00BF0052" w:rsidP="00825096">
      <w:pPr>
        <w:pStyle w:val="ListParagraph"/>
        <w:numPr>
          <w:ilvl w:val="1"/>
          <w:numId w:val="1"/>
        </w:numPr>
        <w:spacing w:after="0" w:line="240" w:lineRule="auto"/>
      </w:pPr>
      <w:r>
        <w:t>Coordinate eligibility policies across programs</w:t>
      </w:r>
    </w:p>
    <w:p w:rsidR="00BF0052" w:rsidRDefault="00BF0052" w:rsidP="00825096">
      <w:pPr>
        <w:pStyle w:val="ListParagraph"/>
        <w:numPr>
          <w:ilvl w:val="1"/>
          <w:numId w:val="1"/>
        </w:numPr>
        <w:spacing w:after="0" w:line="240" w:lineRule="auto"/>
      </w:pPr>
      <w:r>
        <w:t>Streamline verification procedures,  by linking to other program data systems</w:t>
      </w:r>
    </w:p>
    <w:p w:rsidR="00BF0052" w:rsidRDefault="00BF0052" w:rsidP="00DB4096">
      <w:pPr>
        <w:pStyle w:val="ListParagraph"/>
        <w:numPr>
          <w:ilvl w:val="0"/>
          <w:numId w:val="1"/>
        </w:numPr>
        <w:spacing w:after="0" w:line="240" w:lineRule="auto"/>
      </w:pPr>
      <w:r>
        <w:t>Include temporary periods of unemployment in eligibility criteria (job search, seasonal unemployment)</w:t>
      </w:r>
    </w:p>
    <w:p w:rsidR="00BF0052" w:rsidRDefault="00BF0052" w:rsidP="00DB4096">
      <w:pPr>
        <w:pStyle w:val="ListParagraph"/>
        <w:numPr>
          <w:ilvl w:val="0"/>
          <w:numId w:val="1"/>
        </w:numPr>
        <w:spacing w:after="0" w:line="240" w:lineRule="auto"/>
      </w:pPr>
      <w:r>
        <w:t>Other. Describe ________________</w:t>
      </w:r>
    </w:p>
    <w:p w:rsidR="00BF0052" w:rsidRPr="00063114" w:rsidRDefault="00BF0052" w:rsidP="00DB4096">
      <w:pPr>
        <w:spacing w:after="0" w:line="240" w:lineRule="auto"/>
        <w:ind w:left="1440"/>
        <w:rPr>
          <w:color w:val="FF0000"/>
        </w:rPr>
      </w:pPr>
    </w:p>
    <w:p w:rsidR="00BF0052" w:rsidRDefault="00BF0052" w:rsidP="00DB4096">
      <w:r w:rsidRPr="00063114">
        <w:t xml:space="preserve">p.16 (2.1.7). </w:t>
      </w:r>
      <w:r>
        <w:t xml:space="preserve">Consider shortening run-on sentence to read: “How does the Lead Agency reach out and provide services to eligible families with limited English proficiency? “ </w:t>
      </w:r>
      <w:r w:rsidRPr="00063114">
        <w:t xml:space="preserve"> </w:t>
      </w:r>
      <w:r>
        <w:t>Also all response options, with the exception of one, indicate activities the Lead agency may conduct. Consider changing “Family can apply at local community-based locations” to “Lead Agency accepts applications at local community-based locations.”</w:t>
      </w:r>
    </w:p>
    <w:p w:rsidR="00BF0052" w:rsidRPr="00B61657" w:rsidRDefault="00BF0052" w:rsidP="00D87D46">
      <w:r w:rsidRPr="00B61657">
        <w:t>p. 16-(2.1.8). Clearly define/describe what you are looking for. Unsure if you are asking the Lead Agency to describe the documents that are required for each and then how the documents are  verified as legitimate or are you seeking some other information. Perhaps an example would help.</w:t>
      </w:r>
    </w:p>
    <w:p w:rsidR="00BF0052" w:rsidRPr="00063114" w:rsidRDefault="00BF0052" w:rsidP="00317AE7">
      <w:r w:rsidRPr="00063114">
        <w:t xml:space="preserve">p. 16 (2.1.8).  Under </w:t>
      </w:r>
      <w:r>
        <w:t>“</w:t>
      </w:r>
      <w:r w:rsidRPr="00063114">
        <w:t>Work, Job Training or Educational Program</w:t>
      </w:r>
      <w:r>
        <w:t>”</w:t>
      </w:r>
      <w:r w:rsidRPr="00063114">
        <w:t>, add</w:t>
      </w:r>
      <w:r>
        <w:t xml:space="preserve"> an additional category, </w:t>
      </w:r>
      <w:r w:rsidRPr="00063114">
        <w:t xml:space="preserve">“school hours”. </w:t>
      </w:r>
    </w:p>
    <w:p w:rsidR="00BF0052" w:rsidRPr="00063114" w:rsidRDefault="00BF0052" w:rsidP="00317AE7">
      <w:r w:rsidRPr="00063114">
        <w:t xml:space="preserve">p. 18/19 (2.2.1 /2.2.3). Both </w:t>
      </w:r>
      <w:r>
        <w:t xml:space="preserve"> items ask for the definition of</w:t>
      </w:r>
      <w:r w:rsidRPr="00063114">
        <w:t xml:space="preserve"> “residing with”.  </w:t>
      </w:r>
      <w:r>
        <w:t xml:space="preserve">I believe the language inadvertently was left in 2.2.3 (a) description: a) How does the Lead Agency define “working” and </w:t>
      </w:r>
      <w:r w:rsidRPr="007F7AE0">
        <w:rPr>
          <w:strike/>
        </w:rPr>
        <w:t>“residing with”</w:t>
      </w:r>
      <w:r>
        <w:t xml:space="preserve"> for the purposes of eligibility?</w:t>
      </w:r>
    </w:p>
    <w:p w:rsidR="00BF0052" w:rsidRDefault="00BF0052" w:rsidP="000352FC">
      <w:r w:rsidRPr="00063114">
        <w:t xml:space="preserve">p. 19 - 20 (2.2.5 a &amp; b).  </w:t>
      </w:r>
      <w:r>
        <w:t xml:space="preserve">Consider the possibility of </w:t>
      </w:r>
      <w:r w:rsidRPr="00063114">
        <w:t>using the same list twice and ask</w:t>
      </w:r>
      <w:r>
        <w:t>ing</w:t>
      </w:r>
      <w:r w:rsidRPr="00063114">
        <w:t xml:space="preserve"> </w:t>
      </w:r>
      <w:r>
        <w:t>two separate questions. What income is counted when determining eligibility?  What income is deducted when determining eligibility? Also, “Child Support Received” is in the list for (b) twice. Perhaps one should be “Child Support Paid”.</w:t>
      </w:r>
      <w:r w:rsidRPr="00063114">
        <w:t xml:space="preserve"> </w:t>
      </w:r>
    </w:p>
    <w:p w:rsidR="00BF0052" w:rsidRDefault="00BF0052" w:rsidP="00D00CB1">
      <w:r w:rsidRPr="00063114">
        <w:t xml:space="preserve">p. 19 - 20 (2.2.5 </w:t>
      </w:r>
      <w:r>
        <w:t>d, column d</w:t>
      </w:r>
      <w:r w:rsidRPr="00063114">
        <w:t xml:space="preserve">).  </w:t>
      </w:r>
      <w:r>
        <w:t xml:space="preserve">Instruction is incorrect. It should be “% of SMI [Divide </w:t>
      </w:r>
      <w:r w:rsidRPr="00D00CB1">
        <w:rPr>
          <w:u w:val="single"/>
        </w:rPr>
        <w:t>(c)</w:t>
      </w:r>
      <w:r>
        <w:t xml:space="preserve"> by (a), multiply by 100]”. Also, re-work table ‘d’ to include ‘e’ as a part of the table. </w:t>
      </w:r>
    </w:p>
    <w:p w:rsidR="00BF0052" w:rsidRDefault="00BF0052" w:rsidP="002B1091">
      <w:pPr>
        <w:pStyle w:val="CommentText"/>
        <w:rPr>
          <w:rFonts w:ascii="Calibri" w:hAnsi="Calibri"/>
          <w:sz w:val="22"/>
          <w:szCs w:val="22"/>
        </w:rPr>
      </w:pPr>
      <w:r w:rsidRPr="0006149B">
        <w:rPr>
          <w:rFonts w:ascii="Calibri" w:hAnsi="Calibri"/>
          <w:sz w:val="22"/>
          <w:szCs w:val="22"/>
        </w:rPr>
        <w:t>p. 22- (2.3.</w:t>
      </w:r>
      <w:r>
        <w:rPr>
          <w:rFonts w:ascii="Calibri" w:hAnsi="Calibri"/>
          <w:sz w:val="22"/>
          <w:szCs w:val="22"/>
        </w:rPr>
        <w:t>1/</w:t>
      </w:r>
      <w:r w:rsidRPr="0006149B">
        <w:rPr>
          <w:rFonts w:ascii="Calibri" w:hAnsi="Calibri"/>
          <w:sz w:val="22"/>
          <w:szCs w:val="22"/>
        </w:rPr>
        <w:t xml:space="preserve">2.3.4).  </w:t>
      </w:r>
      <w:r>
        <w:rPr>
          <w:rFonts w:ascii="Calibri" w:hAnsi="Calibri"/>
          <w:sz w:val="22"/>
          <w:szCs w:val="22"/>
        </w:rPr>
        <w:t xml:space="preserve">Both sections ask whether sliding fee/family fee varies by geographic region. </w:t>
      </w:r>
    </w:p>
    <w:p w:rsidR="00BF0052" w:rsidRDefault="00BF0052" w:rsidP="00D322B1">
      <w:pPr>
        <w:pStyle w:val="CommentText"/>
        <w:rPr>
          <w:rFonts w:ascii="Calibri" w:hAnsi="Calibri"/>
          <w:sz w:val="22"/>
          <w:szCs w:val="22"/>
        </w:rPr>
      </w:pPr>
    </w:p>
    <w:p w:rsidR="00BF0052" w:rsidRPr="0006149B" w:rsidRDefault="00BF0052" w:rsidP="00D322B1">
      <w:pPr>
        <w:pStyle w:val="CommentText"/>
        <w:rPr>
          <w:rFonts w:ascii="Calibri" w:hAnsi="Calibri"/>
          <w:sz w:val="22"/>
          <w:szCs w:val="22"/>
        </w:rPr>
      </w:pPr>
      <w:r w:rsidRPr="0006149B">
        <w:rPr>
          <w:rFonts w:ascii="Calibri" w:hAnsi="Calibri"/>
          <w:sz w:val="22"/>
          <w:szCs w:val="22"/>
        </w:rPr>
        <w:t>p. 22- (2.3.4).  These choices are not mutually exclusive (i.e. the “fee as dollar amount” could be a ‘fee per family”).  Suggest they be broken out into how the fee itself is calculated, and then to whom it is applied (i.e. which children in which order).</w:t>
      </w:r>
      <w:r>
        <w:rPr>
          <w:rFonts w:ascii="Calibri" w:hAnsi="Calibri"/>
          <w:sz w:val="22"/>
          <w:szCs w:val="22"/>
        </w:rPr>
        <w:t xml:space="preserve"> </w:t>
      </w:r>
      <w:r w:rsidRPr="0006149B">
        <w:rPr>
          <w:rFonts w:ascii="Calibri" w:hAnsi="Calibri"/>
          <w:sz w:val="22"/>
          <w:szCs w:val="22"/>
        </w:rPr>
        <w:t xml:space="preserve">Also, should this </w:t>
      </w:r>
      <w:r>
        <w:rPr>
          <w:rFonts w:ascii="Calibri" w:hAnsi="Calibri"/>
          <w:sz w:val="22"/>
          <w:szCs w:val="22"/>
        </w:rPr>
        <w:t>allow for</w:t>
      </w:r>
      <w:r w:rsidRPr="0006149B">
        <w:rPr>
          <w:rFonts w:ascii="Calibri" w:hAnsi="Calibri"/>
          <w:sz w:val="22"/>
          <w:szCs w:val="22"/>
        </w:rPr>
        <w:t xml:space="preserve"> the option to ‘check all that apply’? </w:t>
      </w:r>
    </w:p>
    <w:p w:rsidR="00BF0052" w:rsidRPr="00063114" w:rsidRDefault="00BF0052" w:rsidP="00D322B1">
      <w:pPr>
        <w:pStyle w:val="CommentText"/>
        <w:rPr>
          <w:rFonts w:ascii="Calibri" w:hAnsi="Calibri"/>
          <w:sz w:val="22"/>
          <w:szCs w:val="22"/>
        </w:rPr>
      </w:pPr>
    </w:p>
    <w:p w:rsidR="00BF0052" w:rsidRPr="0006149B" w:rsidRDefault="00BF0052" w:rsidP="0006149B">
      <w:pPr>
        <w:pStyle w:val="CommentText"/>
        <w:rPr>
          <w:rFonts w:ascii="Calibri" w:hAnsi="Calibri"/>
          <w:sz w:val="22"/>
          <w:szCs w:val="22"/>
        </w:rPr>
      </w:pPr>
    </w:p>
    <w:p w:rsidR="00BF0052" w:rsidRPr="00063114" w:rsidRDefault="00BF0052" w:rsidP="00A8414A">
      <w:pPr>
        <w:rPr>
          <w:color w:val="000000"/>
        </w:rPr>
      </w:pPr>
      <w:r w:rsidRPr="00063114">
        <w:rPr>
          <w:color w:val="000000"/>
        </w:rPr>
        <w:t xml:space="preserve">p.26 (2.5.2 c) – </w:t>
      </w:r>
      <w:r>
        <w:rPr>
          <w:color w:val="000000"/>
        </w:rPr>
        <w:t>Add</w:t>
      </w:r>
      <w:r w:rsidRPr="00063114">
        <w:rPr>
          <w:color w:val="000000"/>
        </w:rPr>
        <w:t xml:space="preserve"> “authorized </w:t>
      </w:r>
      <w:r w:rsidRPr="00063114">
        <w:rPr>
          <w:color w:val="000000"/>
          <w:u w:val="single"/>
        </w:rPr>
        <w:t>hours</w:t>
      </w:r>
      <w:r w:rsidRPr="00063114">
        <w:rPr>
          <w:color w:val="000000"/>
        </w:rPr>
        <w:t>”</w:t>
      </w:r>
      <w:r>
        <w:rPr>
          <w:color w:val="000000"/>
        </w:rPr>
        <w:t xml:space="preserve"> as a response category</w:t>
      </w:r>
      <w:r w:rsidRPr="00063114">
        <w:rPr>
          <w:color w:val="000000"/>
        </w:rPr>
        <w:t>.</w:t>
      </w:r>
    </w:p>
    <w:p w:rsidR="00BF0052" w:rsidRPr="00063114" w:rsidRDefault="00BF0052" w:rsidP="002B1091">
      <w:pPr>
        <w:rPr>
          <w:color w:val="000000"/>
        </w:rPr>
      </w:pPr>
      <w:r w:rsidRPr="00063114">
        <w:rPr>
          <w:color w:val="000000"/>
        </w:rPr>
        <w:t>p.2</w:t>
      </w:r>
      <w:r>
        <w:rPr>
          <w:color w:val="000000"/>
        </w:rPr>
        <w:t>9</w:t>
      </w:r>
      <w:r w:rsidRPr="00063114">
        <w:rPr>
          <w:color w:val="000000"/>
        </w:rPr>
        <w:t>(2.</w:t>
      </w:r>
      <w:r>
        <w:rPr>
          <w:color w:val="000000"/>
        </w:rPr>
        <w:t>6.8</w:t>
      </w:r>
      <w:r w:rsidRPr="00063114">
        <w:rPr>
          <w:color w:val="000000"/>
        </w:rPr>
        <w:t xml:space="preserve">) – </w:t>
      </w:r>
      <w:r>
        <w:rPr>
          <w:color w:val="000000"/>
        </w:rPr>
        <w:t>Question is missing.</w:t>
      </w:r>
    </w:p>
    <w:p w:rsidR="00BF0052" w:rsidRPr="00C95F62" w:rsidRDefault="00BF0052" w:rsidP="00D87D46">
      <w:pPr>
        <w:autoSpaceDE w:val="0"/>
        <w:autoSpaceDN w:val="0"/>
      </w:pPr>
      <w:r w:rsidRPr="00C95F62">
        <w:t xml:space="preserve">p. 31 (3.1.1) –The definition provided might be confusing. The first part of the definition </w:t>
      </w:r>
      <w:r>
        <w:t xml:space="preserve">says to </w:t>
      </w:r>
      <w:r w:rsidRPr="00C95F62">
        <w:t xml:space="preserve">include </w:t>
      </w:r>
      <w:r>
        <w:t>‘</w:t>
      </w:r>
      <w:r w:rsidRPr="00C95F62">
        <w:t>registration requirements established under State, local or tribal law</w:t>
      </w:r>
      <w:r>
        <w:t>’</w:t>
      </w:r>
      <w:r w:rsidRPr="00C95F62">
        <w:t xml:space="preserve"> and the next sentence says to exclude registration requirements. </w:t>
      </w:r>
    </w:p>
    <w:p w:rsidR="00BF0052" w:rsidRDefault="00BF0052" w:rsidP="00AD2B47">
      <w:pPr>
        <w:pStyle w:val="CommentText"/>
        <w:rPr>
          <w:rFonts w:ascii="Calibri" w:hAnsi="Calibri"/>
          <w:sz w:val="22"/>
          <w:szCs w:val="22"/>
        </w:rPr>
      </w:pPr>
      <w:r w:rsidRPr="00063114">
        <w:rPr>
          <w:rFonts w:ascii="Calibri" w:hAnsi="Calibri"/>
          <w:color w:val="000000"/>
          <w:sz w:val="22"/>
          <w:szCs w:val="22"/>
        </w:rPr>
        <w:t>p.</w:t>
      </w:r>
      <w:r>
        <w:rPr>
          <w:rFonts w:ascii="Calibri" w:hAnsi="Calibri"/>
          <w:color w:val="000000"/>
          <w:sz w:val="22"/>
          <w:szCs w:val="22"/>
        </w:rPr>
        <w:t>49</w:t>
      </w:r>
      <w:r w:rsidRPr="00063114">
        <w:rPr>
          <w:rFonts w:ascii="Calibri" w:hAnsi="Calibri"/>
          <w:color w:val="000000"/>
          <w:sz w:val="22"/>
          <w:szCs w:val="22"/>
        </w:rPr>
        <w:t xml:space="preserve"> (3.</w:t>
      </w:r>
      <w:r>
        <w:rPr>
          <w:rFonts w:ascii="Calibri" w:hAnsi="Calibri"/>
          <w:color w:val="000000"/>
          <w:sz w:val="22"/>
          <w:szCs w:val="22"/>
        </w:rPr>
        <w:t>3.6b</w:t>
      </w:r>
      <w:r w:rsidRPr="00063114">
        <w:rPr>
          <w:rFonts w:ascii="Calibri" w:hAnsi="Calibri"/>
          <w:color w:val="000000"/>
          <w:sz w:val="22"/>
          <w:szCs w:val="22"/>
        </w:rPr>
        <w:t xml:space="preserve">) – </w:t>
      </w:r>
      <w:r>
        <w:rPr>
          <w:rFonts w:ascii="Calibri" w:hAnsi="Calibri"/>
          <w:color w:val="000000"/>
          <w:sz w:val="22"/>
          <w:szCs w:val="22"/>
        </w:rPr>
        <w:t>There is a typo in the question: “</w:t>
      </w:r>
      <w:r>
        <w:rPr>
          <w:rFonts w:ascii="Calibri" w:hAnsi="Calibri"/>
          <w:sz w:val="22"/>
          <w:szCs w:val="22"/>
        </w:rPr>
        <w:t>3.3.1a” should be “3.3.6a”.</w:t>
      </w:r>
    </w:p>
    <w:p w:rsidR="00BF0052" w:rsidRDefault="00BF0052" w:rsidP="00FE7A91">
      <w:pPr>
        <w:pStyle w:val="CommentText"/>
        <w:rPr>
          <w:rFonts w:ascii="Calibri" w:hAnsi="Calibri"/>
          <w:color w:val="000000"/>
          <w:sz w:val="22"/>
          <w:szCs w:val="22"/>
        </w:rPr>
      </w:pPr>
    </w:p>
    <w:p w:rsidR="00BF0052" w:rsidRDefault="00BF0052" w:rsidP="00FE7A91">
      <w:pPr>
        <w:pStyle w:val="CommentText"/>
        <w:rPr>
          <w:rFonts w:ascii="Calibri" w:hAnsi="Calibri"/>
          <w:sz w:val="22"/>
          <w:szCs w:val="22"/>
        </w:rPr>
      </w:pPr>
      <w:r w:rsidRPr="00063114">
        <w:rPr>
          <w:rFonts w:ascii="Calibri" w:hAnsi="Calibri"/>
          <w:color w:val="000000"/>
          <w:sz w:val="22"/>
          <w:szCs w:val="22"/>
        </w:rPr>
        <w:t xml:space="preserve">p.54 (3.4.3c) – </w:t>
      </w:r>
      <w:r w:rsidRPr="00063114">
        <w:rPr>
          <w:rFonts w:ascii="Calibri" w:hAnsi="Calibri"/>
          <w:sz w:val="22"/>
          <w:szCs w:val="22"/>
        </w:rPr>
        <w:t xml:space="preserve">Typo – Does the State/Territory have articulation agreements </w:t>
      </w:r>
      <w:r w:rsidRPr="00063114">
        <w:rPr>
          <w:rFonts w:ascii="Calibri" w:hAnsi="Calibri"/>
          <w:strike/>
          <w:color w:val="FF0000"/>
          <w:sz w:val="22"/>
          <w:szCs w:val="22"/>
        </w:rPr>
        <w:t>are</w:t>
      </w:r>
      <w:r w:rsidRPr="00063114">
        <w:rPr>
          <w:rFonts w:ascii="Calibri" w:hAnsi="Calibri"/>
          <w:sz w:val="22"/>
          <w:szCs w:val="22"/>
        </w:rPr>
        <w:t xml:space="preserve"> in place across…</w:t>
      </w:r>
    </w:p>
    <w:p w:rsidR="00BF0052" w:rsidRPr="00E4730B" w:rsidRDefault="00BF0052" w:rsidP="00FE7A91">
      <w:pPr>
        <w:pStyle w:val="CommentText"/>
        <w:rPr>
          <w:rFonts w:ascii="Calibri" w:hAnsi="Calibri"/>
          <w:sz w:val="22"/>
          <w:szCs w:val="22"/>
        </w:rPr>
      </w:pPr>
    </w:p>
    <w:p w:rsidR="00BF0052" w:rsidRDefault="00BF0052" w:rsidP="00FE7A91">
      <w:pPr>
        <w:pStyle w:val="CommentText"/>
        <w:rPr>
          <w:rFonts w:ascii="Calibri" w:hAnsi="Calibri"/>
          <w:color w:val="000000"/>
          <w:sz w:val="22"/>
          <w:szCs w:val="22"/>
        </w:rPr>
      </w:pPr>
      <w:r w:rsidRPr="00E4730B">
        <w:rPr>
          <w:rFonts w:ascii="Calibri" w:hAnsi="Calibri"/>
          <w:color w:val="000000"/>
          <w:sz w:val="22"/>
          <w:szCs w:val="22"/>
        </w:rPr>
        <w:t>p. 51 (3.4.1.b and following references) –</w:t>
      </w:r>
      <w:r>
        <w:rPr>
          <w:rFonts w:ascii="Calibri" w:hAnsi="Calibri"/>
          <w:color w:val="000000"/>
          <w:sz w:val="22"/>
          <w:szCs w:val="22"/>
        </w:rPr>
        <w:t xml:space="preserve">Is it appropriate to include other non-professional categories such as cook, van driver in the “support staff” description. </w:t>
      </w:r>
      <w:r w:rsidRPr="00E4730B">
        <w:rPr>
          <w:rFonts w:ascii="Calibri" w:hAnsi="Calibri"/>
          <w:color w:val="000000"/>
          <w:sz w:val="22"/>
          <w:szCs w:val="22"/>
        </w:rPr>
        <w:t xml:space="preserve"> </w:t>
      </w:r>
    </w:p>
    <w:p w:rsidR="00BF0052" w:rsidRDefault="00BF0052" w:rsidP="00FE7A91">
      <w:pPr>
        <w:pStyle w:val="CommentText"/>
        <w:rPr>
          <w:rFonts w:ascii="Calibri" w:hAnsi="Calibri"/>
          <w:color w:val="000000"/>
          <w:sz w:val="22"/>
          <w:szCs w:val="22"/>
        </w:rPr>
      </w:pPr>
    </w:p>
    <w:p w:rsidR="00BF0052" w:rsidRDefault="00BF0052" w:rsidP="00A9684D">
      <w:pPr>
        <w:pStyle w:val="CommentText"/>
        <w:rPr>
          <w:rFonts w:ascii="Calibri" w:hAnsi="Calibri"/>
          <w:color w:val="000000"/>
          <w:sz w:val="22"/>
          <w:szCs w:val="22"/>
        </w:rPr>
      </w:pPr>
      <w:r w:rsidRPr="00E4730B">
        <w:rPr>
          <w:rFonts w:ascii="Calibri" w:hAnsi="Calibri"/>
          <w:color w:val="000000"/>
          <w:sz w:val="22"/>
          <w:szCs w:val="22"/>
        </w:rPr>
        <w:t xml:space="preserve">p. 67 (4.2) – </w:t>
      </w:r>
      <w:r>
        <w:rPr>
          <w:rFonts w:ascii="Calibri" w:hAnsi="Calibri"/>
          <w:color w:val="000000"/>
          <w:sz w:val="22"/>
          <w:szCs w:val="22"/>
        </w:rPr>
        <w:t>So far in this section, OCC addresses</w:t>
      </w:r>
      <w:r w:rsidRPr="00E4730B">
        <w:rPr>
          <w:rFonts w:ascii="Calibri" w:hAnsi="Calibri"/>
          <w:color w:val="000000"/>
          <w:sz w:val="22"/>
          <w:szCs w:val="22"/>
        </w:rPr>
        <w:t xml:space="preserve"> only teachers/professional staff, but earlier </w:t>
      </w:r>
      <w:r>
        <w:rPr>
          <w:rFonts w:ascii="Calibri" w:hAnsi="Calibri"/>
          <w:color w:val="000000"/>
          <w:sz w:val="22"/>
          <w:szCs w:val="22"/>
        </w:rPr>
        <w:t>support staff also were included. If this element is intended to address more than teaching/professional staff, a selection choice for “support staff” also may be appropriate here.</w:t>
      </w:r>
    </w:p>
    <w:p w:rsidR="00BF0052" w:rsidRPr="00E4730B" w:rsidRDefault="00BF0052" w:rsidP="00A9684D">
      <w:pPr>
        <w:pStyle w:val="CommentText"/>
        <w:rPr>
          <w:rFonts w:ascii="Calibri" w:hAnsi="Calibri"/>
          <w:color w:val="000000"/>
          <w:sz w:val="22"/>
          <w:szCs w:val="22"/>
        </w:rPr>
      </w:pPr>
    </w:p>
    <w:p w:rsidR="00BF0052" w:rsidRDefault="00BF0052" w:rsidP="0019198F">
      <w:pPr>
        <w:autoSpaceDE w:val="0"/>
        <w:autoSpaceDN w:val="0"/>
        <w:rPr>
          <w:color w:val="000000"/>
        </w:rPr>
      </w:pPr>
      <w:r w:rsidRPr="00063114">
        <w:rPr>
          <w:color w:val="000000"/>
        </w:rPr>
        <w:t xml:space="preserve">p. 69 (5.1.) “How were CCDF Quality Funds Spent?”  -- </w:t>
      </w:r>
      <w:r>
        <w:rPr>
          <w:color w:val="000000"/>
        </w:rPr>
        <w:t>OCC</w:t>
      </w:r>
      <w:r w:rsidRPr="00063114">
        <w:rPr>
          <w:color w:val="000000"/>
        </w:rPr>
        <w:t xml:space="preserve"> needs to be prepared to give clear guidance if they want this table to be consistently reported and useful for </w:t>
      </w:r>
      <w:r>
        <w:rPr>
          <w:color w:val="000000"/>
        </w:rPr>
        <w:t>analysis</w:t>
      </w:r>
      <w:r w:rsidRPr="00063114">
        <w:rPr>
          <w:color w:val="000000"/>
        </w:rPr>
        <w:t xml:space="preserve">.  </w:t>
      </w:r>
      <w:r>
        <w:rPr>
          <w:color w:val="000000"/>
        </w:rPr>
        <w:t xml:space="preserve">Suggest you ask the total dollar amount of quality dollars on which the percentages are based. </w:t>
      </w:r>
      <w:r w:rsidRPr="00063114">
        <w:rPr>
          <w:color w:val="000000"/>
        </w:rPr>
        <w:t xml:space="preserve"> </w:t>
      </w:r>
    </w:p>
    <w:p w:rsidR="00BF0052" w:rsidRPr="00CA7071" w:rsidRDefault="00BF0052" w:rsidP="00CA7071">
      <w:pPr>
        <w:pStyle w:val="ListParagraph"/>
        <w:ind w:left="360"/>
        <w:jc w:val="center"/>
      </w:pPr>
      <w:r>
        <w:rPr>
          <w:b/>
          <w:u w:val="single"/>
        </w:rPr>
        <w:br w:type="page"/>
      </w:r>
      <w:r w:rsidRPr="00CA7071">
        <w:rPr>
          <w:b/>
          <w:u w:val="single"/>
        </w:rPr>
        <w:t>“Check Only One” / “Check All That Apply” Questions</w:t>
      </w:r>
    </w:p>
    <w:p w:rsidR="00BF0052" w:rsidRDefault="00BF0052" w:rsidP="008F30BB">
      <w:pPr>
        <w:pStyle w:val="ListParagraph"/>
        <w:ind w:left="0"/>
      </w:pPr>
    </w:p>
    <w:p w:rsidR="00BF0052" w:rsidRDefault="00BF0052" w:rsidP="008F30BB">
      <w:pPr>
        <w:pStyle w:val="ListParagraph"/>
        <w:ind w:left="0"/>
      </w:pPr>
      <w:r>
        <w:t>The following are questions that we believe should be marked as “Check All that Apply”, but were not defined as such in the draft Plan Pre-Print.</w:t>
      </w:r>
    </w:p>
    <w:p w:rsidR="00BF0052" w:rsidRPr="00CA7071" w:rsidRDefault="00BF0052" w:rsidP="008F30BB">
      <w:pPr>
        <w:pStyle w:val="ListParagraph"/>
        <w:ind w:left="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1.2.2 (p. 4) – Is this a “Check All that Apply”? </w:t>
      </w:r>
    </w:p>
    <w:p w:rsidR="00BF0052" w:rsidRPr="00CA7071" w:rsidRDefault="00BF0052" w:rsidP="00CA7071">
      <w:pPr>
        <w:pStyle w:val="ListParagraph"/>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1.5.1 (p. 9) – Is this a “Check All that Apply”? </w:t>
      </w:r>
    </w:p>
    <w:p w:rsidR="00BF0052" w:rsidRPr="00CA7071" w:rsidRDefault="00BF0052" w:rsidP="00CA7071">
      <w:pPr>
        <w:pStyle w:val="ListParagraph"/>
        <w:tabs>
          <w:tab w:val="num" w:pos="360"/>
        </w:tabs>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2.1.11c (p. 17) – Is this a “Check All That Apply”? </w:t>
      </w:r>
    </w:p>
    <w:p w:rsidR="00BF0052" w:rsidRPr="00CA7071" w:rsidRDefault="00BF0052" w:rsidP="00CA7071">
      <w:pPr>
        <w:pStyle w:val="ListParagraph"/>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2.2.6b (p. 22) – Are the NO options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2.3.3 (p. 22) – Is this a “Check Only One”?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2.3.4 (p. 22)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2.4.1 (p. 23) – Are these check box groupings “Check Only One”?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2.5.2b (p. 25)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2.5.2c (p. 26)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2.5.3a (p. 26)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2.5.4 (p. 27)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Question 2.5.5 (p. 27) – Is the first two check boxes Check One while the 2</w:t>
      </w:r>
      <w:r w:rsidRPr="00CA7071">
        <w:rPr>
          <w:vertAlign w:val="superscript"/>
        </w:rPr>
        <w:t>nd</w:t>
      </w:r>
      <w:r w:rsidRPr="00CA7071">
        <w:t xml:space="preserve"> set of check boxes “Check All”?</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2.6.5 (p. 28) – Is the middle column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2.6.6 (p. 29)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2.6.7 (p. 29)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3.1.1b (p. 33) – Are the check box grouping under the “Some in-home child care providers …” check box of the “In-Home provider” check box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3.1.3d (p. 41) – Is this a “Check Only One”?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Question 3.1.3d (p. 41) – Are the check box grouping under the 3</w:t>
      </w:r>
      <w:r w:rsidRPr="00CA7071">
        <w:rPr>
          <w:vertAlign w:val="superscript"/>
        </w:rPr>
        <w:t>rd</w:t>
      </w:r>
      <w:r w:rsidRPr="00CA7071">
        <w:t xml:space="preserve"> check box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3.1.4a (p. 41)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3.2.1 (p. 42)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3.2.3 (p. 42)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3.2.4 (p. 43)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3.2.5 (p. 43)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3.2.6 (p. 43)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3.2.7a (p. 43)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3.3.1b (p. 44)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3.3.1c (p. 45) – Is this a “Check Only One”?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3.3.4b (p. 47)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Question 3.3.4c (p. 47) – Is this a “Check All that Apply”?</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3.3.5a (p. 48) – Is Yes question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3.3.5b (p. 48) – Is this a “Check All that Apply”? </w:t>
      </w:r>
    </w:p>
    <w:p w:rsidR="00BF0052" w:rsidRPr="00CA7071" w:rsidRDefault="00BF0052" w:rsidP="00CA7071">
      <w:pPr>
        <w:pStyle w:val="ListParagraph"/>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3.3.6a (p. 49) – Is this a “Check Only One”? </w:t>
      </w:r>
    </w:p>
    <w:p w:rsidR="00BF0052" w:rsidRPr="00CA7071" w:rsidRDefault="00BF0052" w:rsidP="00CA7071">
      <w:pPr>
        <w:pStyle w:val="ListParagraph"/>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3.3.6b (p. 49) – Is this a “Check All that Apply”? </w:t>
      </w:r>
    </w:p>
    <w:p w:rsidR="00BF0052" w:rsidRPr="00CA7071" w:rsidRDefault="00BF0052" w:rsidP="00CA7071">
      <w:pPr>
        <w:pStyle w:val="ListParagraph"/>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3.3.7a (p. 49) – Is this a “Check All that Apply”? </w:t>
      </w:r>
    </w:p>
    <w:p w:rsidR="00BF0052" w:rsidRPr="00CA7071" w:rsidRDefault="00BF0052" w:rsidP="00CA7071">
      <w:pPr>
        <w:pStyle w:val="ListParagraph"/>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3.4.1e (p. 51)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3.4.2d (p. 53)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3.4.2e (p. 53)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3.4.3b (p. 53) – Is this a “Check All that Apply”? </w:t>
      </w:r>
    </w:p>
    <w:p w:rsidR="00BF0052" w:rsidRPr="00CA7071" w:rsidRDefault="00BF0052" w:rsidP="00CA7071">
      <w:pPr>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3.4.4c (p. 54) – Is this a “Check All that Apply”? </w:t>
      </w:r>
    </w:p>
    <w:p w:rsidR="00BF0052" w:rsidRPr="00CA7071" w:rsidRDefault="00BF0052" w:rsidP="00CA7071">
      <w:pPr>
        <w:pStyle w:val="ListParagraph"/>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3.4.7a (p. 56) – Is this a “Check All that Apply”? </w:t>
      </w:r>
    </w:p>
    <w:p w:rsidR="00BF0052" w:rsidRPr="00CA7071" w:rsidRDefault="00BF0052" w:rsidP="00CA7071">
      <w:pPr>
        <w:pStyle w:val="ListParagraph"/>
        <w:tabs>
          <w:tab w:val="num" w:pos="360"/>
        </w:tabs>
        <w:spacing w:after="0"/>
        <w:ind w:left="360" w:hanging="360"/>
      </w:pPr>
    </w:p>
    <w:p w:rsidR="00BF0052" w:rsidRPr="00CA7071" w:rsidRDefault="00BF0052" w:rsidP="00CA7071">
      <w:pPr>
        <w:pStyle w:val="ListParagraph"/>
        <w:numPr>
          <w:ilvl w:val="0"/>
          <w:numId w:val="4"/>
        </w:numPr>
        <w:tabs>
          <w:tab w:val="clear" w:pos="720"/>
          <w:tab w:val="num" w:pos="360"/>
        </w:tabs>
        <w:spacing w:after="0"/>
        <w:ind w:left="360"/>
      </w:pPr>
      <w:r w:rsidRPr="00CA7071">
        <w:t xml:space="preserve">Question 3.4.7b2 (p. 56) – Is this a “Check All that Apply”? </w:t>
      </w:r>
    </w:p>
    <w:sectPr w:rsidR="00BF0052" w:rsidRPr="00CA7071" w:rsidSect="007146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052" w:rsidRDefault="00BF0052" w:rsidP="00846424">
      <w:pPr>
        <w:spacing w:after="0" w:line="240" w:lineRule="auto"/>
      </w:pPr>
      <w:r>
        <w:separator/>
      </w:r>
    </w:p>
  </w:endnote>
  <w:endnote w:type="continuationSeparator" w:id="0">
    <w:p w:rsidR="00BF0052" w:rsidRDefault="00BF0052" w:rsidP="00846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Bookman Old Style"/>
    <w:panose1 w:val="02070309020205020404"/>
    <w:charset w:val="00"/>
    <w:family w:val="modern"/>
    <w:pitch w:val="fixed"/>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Times New Roman"/>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052" w:rsidRDefault="00BF00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052" w:rsidRDefault="00BF0052">
    <w:pPr>
      <w:pStyle w:val="Footer"/>
      <w:jc w:val="center"/>
    </w:pPr>
    <w:fldSimple w:instr=" PAGE   \* MERGEFORMAT ">
      <w:r>
        <w:rPr>
          <w:noProof/>
        </w:rPr>
        <w:t>1</w:t>
      </w:r>
    </w:fldSimple>
  </w:p>
  <w:p w:rsidR="00BF0052" w:rsidRDefault="00BF00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052" w:rsidRDefault="00BF00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052" w:rsidRDefault="00BF0052" w:rsidP="00846424">
      <w:pPr>
        <w:spacing w:after="0" w:line="240" w:lineRule="auto"/>
      </w:pPr>
      <w:r>
        <w:separator/>
      </w:r>
    </w:p>
  </w:footnote>
  <w:footnote w:type="continuationSeparator" w:id="0">
    <w:p w:rsidR="00BF0052" w:rsidRDefault="00BF0052" w:rsidP="008464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052" w:rsidRDefault="00BF00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052" w:rsidRDefault="00BF00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052" w:rsidRDefault="00BF00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300C7"/>
    <w:multiLevelType w:val="multilevel"/>
    <w:tmpl w:val="15FA86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6F991203"/>
    <w:multiLevelType w:val="hybridMultilevel"/>
    <w:tmpl w:val="55703418"/>
    <w:lvl w:ilvl="0" w:tplc="0409000F">
      <w:start w:val="1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0B47168"/>
    <w:multiLevelType w:val="hybridMultilevel"/>
    <w:tmpl w:val="36C0F058"/>
    <w:lvl w:ilvl="0" w:tplc="D570C53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D60206A"/>
    <w:multiLevelType w:val="hybridMultilevel"/>
    <w:tmpl w:val="1CAEB8E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414A"/>
    <w:rsid w:val="0003063B"/>
    <w:rsid w:val="000352FC"/>
    <w:rsid w:val="0005163A"/>
    <w:rsid w:val="0006149B"/>
    <w:rsid w:val="00063114"/>
    <w:rsid w:val="000E79D2"/>
    <w:rsid w:val="00106430"/>
    <w:rsid w:val="00110920"/>
    <w:rsid w:val="001511FD"/>
    <w:rsid w:val="0019198F"/>
    <w:rsid w:val="001A48FE"/>
    <w:rsid w:val="001C2180"/>
    <w:rsid w:val="002546AA"/>
    <w:rsid w:val="002738E3"/>
    <w:rsid w:val="00283586"/>
    <w:rsid w:val="002B1091"/>
    <w:rsid w:val="002B6D97"/>
    <w:rsid w:val="002B7948"/>
    <w:rsid w:val="002C279E"/>
    <w:rsid w:val="002F0D09"/>
    <w:rsid w:val="00317AE7"/>
    <w:rsid w:val="003304CB"/>
    <w:rsid w:val="00331771"/>
    <w:rsid w:val="00343AE1"/>
    <w:rsid w:val="003475DD"/>
    <w:rsid w:val="00366977"/>
    <w:rsid w:val="00372727"/>
    <w:rsid w:val="003740F9"/>
    <w:rsid w:val="003E1139"/>
    <w:rsid w:val="00406A15"/>
    <w:rsid w:val="004329E6"/>
    <w:rsid w:val="004373EB"/>
    <w:rsid w:val="00492235"/>
    <w:rsid w:val="004D7972"/>
    <w:rsid w:val="004D7F1F"/>
    <w:rsid w:val="00536BAC"/>
    <w:rsid w:val="005549D4"/>
    <w:rsid w:val="00567AAA"/>
    <w:rsid w:val="005C6748"/>
    <w:rsid w:val="005D5191"/>
    <w:rsid w:val="00614C9A"/>
    <w:rsid w:val="0061641B"/>
    <w:rsid w:val="00680FE3"/>
    <w:rsid w:val="006D48A1"/>
    <w:rsid w:val="0070051A"/>
    <w:rsid w:val="00714620"/>
    <w:rsid w:val="00717B38"/>
    <w:rsid w:val="00724821"/>
    <w:rsid w:val="007F7AE0"/>
    <w:rsid w:val="00807275"/>
    <w:rsid w:val="00825096"/>
    <w:rsid w:val="00846424"/>
    <w:rsid w:val="00876284"/>
    <w:rsid w:val="00897F6C"/>
    <w:rsid w:val="008B520B"/>
    <w:rsid w:val="008C5D4B"/>
    <w:rsid w:val="008D06FA"/>
    <w:rsid w:val="008F1C7F"/>
    <w:rsid w:val="008F30BB"/>
    <w:rsid w:val="00916360"/>
    <w:rsid w:val="0093542F"/>
    <w:rsid w:val="009404F0"/>
    <w:rsid w:val="0097719F"/>
    <w:rsid w:val="00987A30"/>
    <w:rsid w:val="009965AA"/>
    <w:rsid w:val="009E1666"/>
    <w:rsid w:val="00A129AF"/>
    <w:rsid w:val="00A51DB9"/>
    <w:rsid w:val="00A8414A"/>
    <w:rsid w:val="00A927D2"/>
    <w:rsid w:val="00A9684D"/>
    <w:rsid w:val="00AD2B47"/>
    <w:rsid w:val="00AE4331"/>
    <w:rsid w:val="00AE5A73"/>
    <w:rsid w:val="00B30E7A"/>
    <w:rsid w:val="00B42EBC"/>
    <w:rsid w:val="00B47CC9"/>
    <w:rsid w:val="00B61657"/>
    <w:rsid w:val="00B63688"/>
    <w:rsid w:val="00B75CF1"/>
    <w:rsid w:val="00B94BC1"/>
    <w:rsid w:val="00BA4617"/>
    <w:rsid w:val="00BD1BD5"/>
    <w:rsid w:val="00BE6CAC"/>
    <w:rsid w:val="00BF0052"/>
    <w:rsid w:val="00C13514"/>
    <w:rsid w:val="00C2162D"/>
    <w:rsid w:val="00C472A5"/>
    <w:rsid w:val="00C73231"/>
    <w:rsid w:val="00C777E9"/>
    <w:rsid w:val="00C86663"/>
    <w:rsid w:val="00C95F62"/>
    <w:rsid w:val="00CA7071"/>
    <w:rsid w:val="00D00CB1"/>
    <w:rsid w:val="00D11D20"/>
    <w:rsid w:val="00D31C56"/>
    <w:rsid w:val="00D322B1"/>
    <w:rsid w:val="00D35A3D"/>
    <w:rsid w:val="00D46206"/>
    <w:rsid w:val="00D47D2A"/>
    <w:rsid w:val="00D67C87"/>
    <w:rsid w:val="00D84A46"/>
    <w:rsid w:val="00D87D46"/>
    <w:rsid w:val="00D9234B"/>
    <w:rsid w:val="00DB4096"/>
    <w:rsid w:val="00DB5247"/>
    <w:rsid w:val="00DC24A8"/>
    <w:rsid w:val="00E4730B"/>
    <w:rsid w:val="00E70465"/>
    <w:rsid w:val="00E9744B"/>
    <w:rsid w:val="00F31FA1"/>
    <w:rsid w:val="00F42BB5"/>
    <w:rsid w:val="00F46273"/>
    <w:rsid w:val="00F55D98"/>
    <w:rsid w:val="00F56AC8"/>
    <w:rsid w:val="00F745B7"/>
    <w:rsid w:val="00F82722"/>
    <w:rsid w:val="00FA23FE"/>
    <w:rsid w:val="00FB5CC2"/>
    <w:rsid w:val="00FE7A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62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A8414A"/>
    <w:rPr>
      <w:rFonts w:cs="Times New Roman"/>
      <w:color w:val="0000FF"/>
      <w:u w:val="single"/>
    </w:rPr>
  </w:style>
  <w:style w:type="paragraph" w:styleId="Header">
    <w:name w:val="header"/>
    <w:basedOn w:val="Normal"/>
    <w:link w:val="HeaderChar"/>
    <w:uiPriority w:val="99"/>
    <w:semiHidden/>
    <w:rsid w:val="008464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46424"/>
    <w:rPr>
      <w:rFonts w:cs="Times New Roman"/>
    </w:rPr>
  </w:style>
  <w:style w:type="paragraph" w:styleId="Footer">
    <w:name w:val="footer"/>
    <w:basedOn w:val="Normal"/>
    <w:link w:val="FooterChar"/>
    <w:uiPriority w:val="99"/>
    <w:rsid w:val="0084642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6424"/>
    <w:rPr>
      <w:rFonts w:cs="Times New Roman"/>
    </w:rPr>
  </w:style>
  <w:style w:type="paragraph" w:styleId="CommentText">
    <w:name w:val="annotation text"/>
    <w:basedOn w:val="Normal"/>
    <w:link w:val="CommentTextChar"/>
    <w:uiPriority w:val="99"/>
    <w:rsid w:val="009E1666"/>
    <w:pPr>
      <w:spacing w:after="0" w:line="240" w:lineRule="auto"/>
    </w:pPr>
    <w:rPr>
      <w:rFonts w:ascii="Times New Roman" w:hAnsi="Times New Roman"/>
      <w:sz w:val="24"/>
      <w:szCs w:val="24"/>
    </w:rPr>
  </w:style>
  <w:style w:type="character" w:customStyle="1" w:styleId="CommentTextChar">
    <w:name w:val="Comment Text Char"/>
    <w:basedOn w:val="DefaultParagraphFont"/>
    <w:link w:val="CommentText"/>
    <w:uiPriority w:val="99"/>
    <w:locked/>
    <w:rsid w:val="009E1666"/>
    <w:rPr>
      <w:rFonts w:ascii="Times New Roman" w:hAnsi="Times New Roman" w:cs="Times New Roman"/>
      <w:sz w:val="24"/>
      <w:szCs w:val="24"/>
    </w:rPr>
  </w:style>
  <w:style w:type="character" w:styleId="CommentReference">
    <w:name w:val="annotation reference"/>
    <w:basedOn w:val="DefaultParagraphFont"/>
    <w:uiPriority w:val="99"/>
    <w:semiHidden/>
    <w:rsid w:val="009E1666"/>
    <w:rPr>
      <w:rFonts w:cs="Times New Roman"/>
    </w:rPr>
  </w:style>
  <w:style w:type="character" w:styleId="Strong">
    <w:name w:val="Strong"/>
    <w:basedOn w:val="DefaultParagraphFont"/>
    <w:uiPriority w:val="99"/>
    <w:qFormat/>
    <w:rsid w:val="00B94BC1"/>
    <w:rPr>
      <w:rFonts w:cs="Times New Roman"/>
      <w:b/>
      <w:bCs/>
    </w:rPr>
  </w:style>
  <w:style w:type="paragraph" w:styleId="BalloonText">
    <w:name w:val="Balloon Text"/>
    <w:basedOn w:val="Normal"/>
    <w:link w:val="BalloonTextChar"/>
    <w:uiPriority w:val="99"/>
    <w:semiHidden/>
    <w:rsid w:val="00B94B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BC1"/>
    <w:rPr>
      <w:rFonts w:ascii="Tahoma" w:hAnsi="Tahoma" w:cs="Tahoma"/>
      <w:sz w:val="16"/>
      <w:szCs w:val="16"/>
    </w:rPr>
  </w:style>
  <w:style w:type="paragraph" w:styleId="ListParagraph">
    <w:name w:val="List Paragraph"/>
    <w:basedOn w:val="Normal"/>
    <w:uiPriority w:val="99"/>
    <w:qFormat/>
    <w:rsid w:val="00825096"/>
    <w:pPr>
      <w:ind w:left="720"/>
      <w:contextualSpacing/>
    </w:pPr>
  </w:style>
  <w:style w:type="paragraph" w:styleId="CommentSubject">
    <w:name w:val="annotation subject"/>
    <w:basedOn w:val="CommentText"/>
    <w:next w:val="CommentText"/>
    <w:link w:val="CommentSubjectChar"/>
    <w:uiPriority w:val="99"/>
    <w:semiHidden/>
    <w:rsid w:val="008F1C7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8F1C7F"/>
    <w:rPr>
      <w:b/>
      <w:bCs/>
      <w:sz w:val="20"/>
      <w:szCs w:val="20"/>
    </w:rPr>
  </w:style>
</w:styles>
</file>

<file path=word/webSettings.xml><?xml version="1.0" encoding="utf-8"?>
<w:webSettings xmlns:r="http://schemas.openxmlformats.org/officeDocument/2006/relationships" xmlns:w="http://schemas.openxmlformats.org/wordprocessingml/2006/main">
  <w:divs>
    <w:div w:id="1037119389">
      <w:marLeft w:val="0"/>
      <w:marRight w:val="0"/>
      <w:marTop w:val="0"/>
      <w:marBottom w:val="0"/>
      <w:divBdr>
        <w:top w:val="none" w:sz="0" w:space="0" w:color="auto"/>
        <w:left w:val="none" w:sz="0" w:space="0" w:color="auto"/>
        <w:bottom w:val="none" w:sz="0" w:space="0" w:color="auto"/>
        <w:right w:val="none" w:sz="0" w:space="0" w:color="auto"/>
      </w:divBdr>
    </w:div>
    <w:div w:id="1037119390">
      <w:marLeft w:val="0"/>
      <w:marRight w:val="0"/>
      <w:marTop w:val="0"/>
      <w:marBottom w:val="0"/>
      <w:divBdr>
        <w:top w:val="none" w:sz="0" w:space="0" w:color="auto"/>
        <w:left w:val="none" w:sz="0" w:space="0" w:color="auto"/>
        <w:bottom w:val="none" w:sz="0" w:space="0" w:color="auto"/>
        <w:right w:val="none" w:sz="0" w:space="0" w:color="auto"/>
      </w:divBdr>
    </w:div>
    <w:div w:id="1037119392">
      <w:marLeft w:val="0"/>
      <w:marRight w:val="0"/>
      <w:marTop w:val="0"/>
      <w:marBottom w:val="0"/>
      <w:divBdr>
        <w:top w:val="none" w:sz="0" w:space="0" w:color="auto"/>
        <w:left w:val="none" w:sz="0" w:space="0" w:color="auto"/>
        <w:bottom w:val="none" w:sz="0" w:space="0" w:color="auto"/>
        <w:right w:val="none" w:sz="0" w:space="0" w:color="auto"/>
      </w:divBdr>
    </w:div>
    <w:div w:id="1037119393">
      <w:marLeft w:val="0"/>
      <w:marRight w:val="0"/>
      <w:marTop w:val="0"/>
      <w:marBottom w:val="0"/>
      <w:divBdr>
        <w:top w:val="none" w:sz="0" w:space="0" w:color="auto"/>
        <w:left w:val="none" w:sz="0" w:space="0" w:color="auto"/>
        <w:bottom w:val="none" w:sz="0" w:space="0" w:color="auto"/>
        <w:right w:val="none" w:sz="0" w:space="0" w:color="auto"/>
      </w:divBdr>
    </w:div>
    <w:div w:id="1037119394">
      <w:marLeft w:val="0"/>
      <w:marRight w:val="0"/>
      <w:marTop w:val="0"/>
      <w:marBottom w:val="0"/>
      <w:divBdr>
        <w:top w:val="none" w:sz="0" w:space="0" w:color="auto"/>
        <w:left w:val="none" w:sz="0" w:space="0" w:color="auto"/>
        <w:bottom w:val="none" w:sz="0" w:space="0" w:color="auto"/>
        <w:right w:val="none" w:sz="0" w:space="0" w:color="auto"/>
      </w:divBdr>
    </w:div>
    <w:div w:id="1037119395">
      <w:marLeft w:val="0"/>
      <w:marRight w:val="0"/>
      <w:marTop w:val="0"/>
      <w:marBottom w:val="0"/>
      <w:divBdr>
        <w:top w:val="none" w:sz="0" w:space="0" w:color="auto"/>
        <w:left w:val="none" w:sz="0" w:space="0" w:color="auto"/>
        <w:bottom w:val="none" w:sz="0" w:space="0" w:color="auto"/>
        <w:right w:val="none" w:sz="0" w:space="0" w:color="auto"/>
      </w:divBdr>
      <w:divsChild>
        <w:div w:id="1037119391">
          <w:marLeft w:val="232"/>
          <w:marRight w:val="232"/>
          <w:marTop w:val="0"/>
          <w:marBottom w:val="0"/>
          <w:divBdr>
            <w:top w:val="none" w:sz="0" w:space="0" w:color="auto"/>
            <w:left w:val="none" w:sz="0" w:space="0" w:color="auto"/>
            <w:bottom w:val="none" w:sz="0" w:space="0" w:color="auto"/>
            <w:right w:val="none" w:sz="0" w:space="0" w:color="auto"/>
          </w:divBdr>
          <w:divsChild>
            <w:div w:id="1037119400">
              <w:marLeft w:val="0"/>
              <w:marRight w:val="0"/>
              <w:marTop w:val="0"/>
              <w:marBottom w:val="0"/>
              <w:divBdr>
                <w:top w:val="none" w:sz="0" w:space="0" w:color="auto"/>
                <w:left w:val="none" w:sz="0" w:space="0" w:color="auto"/>
                <w:bottom w:val="none" w:sz="0" w:space="0" w:color="auto"/>
                <w:right w:val="none" w:sz="0" w:space="0" w:color="auto"/>
              </w:divBdr>
              <w:divsChild>
                <w:div w:id="1037119397">
                  <w:marLeft w:val="0"/>
                  <w:marRight w:val="0"/>
                  <w:marTop w:val="312"/>
                  <w:marBottom w:val="0"/>
                  <w:divBdr>
                    <w:top w:val="none" w:sz="0" w:space="0" w:color="auto"/>
                    <w:left w:val="none" w:sz="0" w:space="0" w:color="auto"/>
                    <w:bottom w:val="none" w:sz="0" w:space="0" w:color="auto"/>
                    <w:right w:val="none" w:sz="0" w:space="0" w:color="auto"/>
                  </w:divBdr>
                </w:div>
              </w:divsChild>
            </w:div>
          </w:divsChild>
        </w:div>
      </w:divsChild>
    </w:div>
    <w:div w:id="1037119396">
      <w:marLeft w:val="0"/>
      <w:marRight w:val="0"/>
      <w:marTop w:val="0"/>
      <w:marBottom w:val="0"/>
      <w:divBdr>
        <w:top w:val="none" w:sz="0" w:space="0" w:color="auto"/>
        <w:left w:val="none" w:sz="0" w:space="0" w:color="auto"/>
        <w:bottom w:val="none" w:sz="0" w:space="0" w:color="auto"/>
        <w:right w:val="none" w:sz="0" w:space="0" w:color="auto"/>
      </w:divBdr>
    </w:div>
    <w:div w:id="1037119398">
      <w:marLeft w:val="0"/>
      <w:marRight w:val="0"/>
      <w:marTop w:val="0"/>
      <w:marBottom w:val="0"/>
      <w:divBdr>
        <w:top w:val="none" w:sz="0" w:space="0" w:color="auto"/>
        <w:left w:val="none" w:sz="0" w:space="0" w:color="auto"/>
        <w:bottom w:val="none" w:sz="0" w:space="0" w:color="auto"/>
        <w:right w:val="none" w:sz="0" w:space="0" w:color="auto"/>
      </w:divBdr>
    </w:div>
    <w:div w:id="1037119399">
      <w:marLeft w:val="0"/>
      <w:marRight w:val="0"/>
      <w:marTop w:val="0"/>
      <w:marBottom w:val="0"/>
      <w:divBdr>
        <w:top w:val="none" w:sz="0" w:space="0" w:color="auto"/>
        <w:left w:val="none" w:sz="0" w:space="0" w:color="auto"/>
        <w:bottom w:val="none" w:sz="0" w:space="0" w:color="auto"/>
        <w:right w:val="none" w:sz="0" w:space="0" w:color="auto"/>
      </w:divBdr>
    </w:div>
    <w:div w:id="1037119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6</Pages>
  <Words>1445</Words>
  <Characters>8241</Characters>
  <Application>Microsoft Office Outlook</Application>
  <DocSecurity>0</DocSecurity>
  <Lines>0</Lines>
  <Paragraphs>0</Paragraphs>
  <ScaleCrop>false</ScaleCrop>
  <Company>General Dynamics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Dynamics</dc:creator>
  <cp:keywords/>
  <dc:description/>
  <cp:lastModifiedBy>DHHS</cp:lastModifiedBy>
  <cp:revision>4</cp:revision>
  <cp:lastPrinted>2010-10-05T14:55:00Z</cp:lastPrinted>
  <dcterms:created xsi:type="dcterms:W3CDTF">2010-11-22T17:18:00Z</dcterms:created>
  <dcterms:modified xsi:type="dcterms:W3CDTF">2010-12-06T19:14:00Z</dcterms:modified>
</cp:coreProperties>
</file>