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D1" w:rsidRPr="00136741" w:rsidRDefault="00D830D1" w:rsidP="00A00C72">
      <w:pPr>
        <w:pStyle w:val="Title"/>
        <w:rPr>
          <w:szCs w:val="24"/>
        </w:rPr>
      </w:pPr>
      <w:r w:rsidRPr="00136741">
        <w:rPr>
          <w:szCs w:val="24"/>
        </w:rPr>
        <w:t>Supporting Statement for Request for OMB Approval</w:t>
      </w:r>
    </w:p>
    <w:p w:rsidR="00D830D1" w:rsidRDefault="00D830D1" w:rsidP="00A00C72">
      <w:pPr>
        <w:jc w:val="center"/>
        <w:rPr>
          <w:b/>
          <w:sz w:val="24"/>
          <w:szCs w:val="24"/>
        </w:rPr>
      </w:pPr>
      <w:r>
        <w:rPr>
          <w:b/>
          <w:sz w:val="24"/>
          <w:szCs w:val="24"/>
        </w:rPr>
        <w:t>Occupational</w:t>
      </w:r>
      <w:r w:rsidRPr="00136741">
        <w:rPr>
          <w:b/>
          <w:sz w:val="24"/>
          <w:szCs w:val="24"/>
        </w:rPr>
        <w:t xml:space="preserve"> Employment </w:t>
      </w:r>
      <w:r>
        <w:rPr>
          <w:b/>
          <w:sz w:val="24"/>
          <w:szCs w:val="24"/>
        </w:rPr>
        <w:t xml:space="preserve">Statistics </w:t>
      </w:r>
      <w:r w:rsidRPr="00136741">
        <w:rPr>
          <w:b/>
          <w:sz w:val="24"/>
          <w:szCs w:val="24"/>
        </w:rPr>
        <w:t xml:space="preserve">Green </w:t>
      </w:r>
      <w:r>
        <w:rPr>
          <w:b/>
          <w:sz w:val="24"/>
          <w:szCs w:val="24"/>
        </w:rPr>
        <w:t>Technologies and Practices</w:t>
      </w:r>
      <w:r w:rsidRPr="00136741">
        <w:rPr>
          <w:b/>
          <w:sz w:val="24"/>
          <w:szCs w:val="24"/>
        </w:rPr>
        <w:t xml:space="preserve"> </w:t>
      </w:r>
    </w:p>
    <w:p w:rsidR="00D830D1" w:rsidRDefault="00D830D1" w:rsidP="00A00C72">
      <w:pPr>
        <w:jc w:val="center"/>
        <w:rPr>
          <w:b/>
          <w:sz w:val="24"/>
          <w:szCs w:val="24"/>
        </w:rPr>
      </w:pPr>
      <w:r>
        <w:rPr>
          <w:b/>
          <w:sz w:val="24"/>
          <w:szCs w:val="24"/>
        </w:rPr>
        <w:t xml:space="preserve">Data Collection </w:t>
      </w:r>
      <w:r w:rsidRPr="00136741">
        <w:rPr>
          <w:b/>
          <w:sz w:val="24"/>
          <w:szCs w:val="24"/>
        </w:rPr>
        <w:t>Clearance</w:t>
      </w:r>
      <w:r>
        <w:rPr>
          <w:b/>
          <w:sz w:val="24"/>
          <w:szCs w:val="24"/>
        </w:rPr>
        <w:t xml:space="preserve"> </w:t>
      </w:r>
    </w:p>
    <w:p w:rsidR="00D830D1" w:rsidRDefault="00D830D1" w:rsidP="00A55E56">
      <w:pPr>
        <w:jc w:val="both"/>
        <w:rPr>
          <w:sz w:val="24"/>
          <w:szCs w:val="24"/>
        </w:rPr>
      </w:pPr>
    </w:p>
    <w:p w:rsidR="0040730A" w:rsidRDefault="0040730A" w:rsidP="0040730A">
      <w:pPr>
        <w:pStyle w:val="Heading1"/>
        <w:rPr>
          <w:b/>
        </w:rPr>
      </w:pPr>
      <w:r w:rsidRPr="0007494F">
        <w:rPr>
          <w:b/>
        </w:rPr>
        <w:t>B.</w:t>
      </w:r>
      <w:r>
        <w:rPr>
          <w:b/>
        </w:rPr>
        <w:t xml:space="preserve">  </w:t>
      </w:r>
      <w:r w:rsidRPr="00F73969">
        <w:rPr>
          <w:b/>
          <w:caps/>
        </w:rPr>
        <w:t>Collection of Information Employing Statistical Methods</w:t>
      </w:r>
    </w:p>
    <w:p w:rsidR="0040730A" w:rsidRPr="00F73969" w:rsidRDefault="0040730A" w:rsidP="0040730A"/>
    <w:p w:rsidR="0040730A" w:rsidRDefault="0040730A" w:rsidP="0040730A">
      <w:pPr>
        <w:jc w:val="both"/>
        <w:rPr>
          <w:sz w:val="24"/>
        </w:rPr>
      </w:pPr>
      <w:r>
        <w:rPr>
          <w:sz w:val="24"/>
        </w:rPr>
        <w:t>The collection of data on Green Technologies and Practices (GTP) is new to BLS.  No survey-specific historical information is available on variances, response rates, etc.</w:t>
      </w:r>
    </w:p>
    <w:p w:rsidR="0040730A" w:rsidRPr="0007494F" w:rsidRDefault="0040730A" w:rsidP="0040730A">
      <w:pPr>
        <w:rPr>
          <w:sz w:val="24"/>
        </w:rPr>
      </w:pPr>
    </w:p>
    <w:p w:rsidR="0040730A" w:rsidRDefault="0040730A" w:rsidP="0040730A">
      <w:pPr>
        <w:rPr>
          <w:b/>
          <w:sz w:val="24"/>
        </w:rPr>
      </w:pPr>
      <w:r w:rsidRPr="005B69F2">
        <w:rPr>
          <w:b/>
          <w:sz w:val="24"/>
        </w:rPr>
        <w:t>1</w:t>
      </w:r>
      <w:r>
        <w:rPr>
          <w:b/>
          <w:sz w:val="24"/>
        </w:rPr>
        <w:t>(</w:t>
      </w:r>
      <w:r w:rsidRPr="005B69F2">
        <w:rPr>
          <w:b/>
          <w:sz w:val="24"/>
        </w:rPr>
        <w:t>a</w:t>
      </w:r>
      <w:proofErr w:type="gramStart"/>
      <w:r>
        <w:rPr>
          <w:b/>
          <w:sz w:val="24"/>
        </w:rPr>
        <w:t>)</w:t>
      </w:r>
      <w:r w:rsidRPr="00740ECE">
        <w:rPr>
          <w:b/>
          <w:sz w:val="24"/>
        </w:rPr>
        <w:t xml:space="preserve">  Respondent</w:t>
      </w:r>
      <w:proofErr w:type="gramEnd"/>
      <w:r>
        <w:rPr>
          <w:b/>
          <w:sz w:val="24"/>
        </w:rPr>
        <w:t xml:space="preserve"> </w:t>
      </w:r>
      <w:r w:rsidRPr="005B69F2">
        <w:rPr>
          <w:b/>
          <w:sz w:val="24"/>
        </w:rPr>
        <w:t>Universe</w:t>
      </w:r>
    </w:p>
    <w:p w:rsidR="0040730A" w:rsidRPr="005B69F2" w:rsidRDefault="0040730A" w:rsidP="0040730A">
      <w:pPr>
        <w:rPr>
          <w:b/>
          <w:sz w:val="24"/>
          <w:u w:val="single"/>
        </w:rPr>
      </w:pPr>
    </w:p>
    <w:p w:rsidR="0040730A" w:rsidRDefault="0040730A" w:rsidP="0040730A">
      <w:pPr>
        <w:jc w:val="both"/>
        <w:rPr>
          <w:sz w:val="24"/>
          <w:szCs w:val="24"/>
        </w:rPr>
      </w:pPr>
      <w:r w:rsidRPr="008A44EB">
        <w:rPr>
          <w:sz w:val="24"/>
          <w:szCs w:val="24"/>
        </w:rPr>
        <w:t>The universe for this survey includes private and government establishments in the 50 States and the District of Columbia.  The sampling frame is the Quarterly Census of Employment and Wages (QCEW) Longitudinal Database (LDB) maintained by the Bureau of Labor Statistics.  The QCEW program produces a comprehensive tabulation of employment and wage information for workers covered by State unemployment insurance (UI) laws and Federal workers covered by the Unemployment Compensation for Federal Employees (UCFE) program.</w:t>
      </w:r>
      <w:r>
        <w:rPr>
          <w:sz w:val="24"/>
          <w:szCs w:val="24"/>
        </w:rPr>
        <w:t xml:space="preserve"> </w:t>
      </w:r>
      <w:r w:rsidRPr="008A44EB">
        <w:rPr>
          <w:sz w:val="24"/>
          <w:szCs w:val="24"/>
        </w:rPr>
        <w:t xml:space="preserve"> </w:t>
      </w:r>
      <w:r>
        <w:rPr>
          <w:sz w:val="24"/>
          <w:szCs w:val="24"/>
        </w:rPr>
        <w:t>I</w:t>
      </w:r>
      <w:r w:rsidRPr="008A44EB">
        <w:rPr>
          <w:sz w:val="24"/>
          <w:szCs w:val="24"/>
        </w:rPr>
        <w:t>nclude</w:t>
      </w:r>
      <w:r>
        <w:rPr>
          <w:sz w:val="24"/>
          <w:szCs w:val="24"/>
        </w:rPr>
        <w:t>d are</w:t>
      </w:r>
      <w:r w:rsidRPr="008A44EB">
        <w:rPr>
          <w:sz w:val="24"/>
          <w:szCs w:val="24"/>
        </w:rPr>
        <w:t xml:space="preserve"> data on the number of establishments, monthly employment, and quarterly wages, by industry</w:t>
      </w:r>
      <w:r>
        <w:rPr>
          <w:sz w:val="24"/>
          <w:szCs w:val="24"/>
        </w:rPr>
        <w:t xml:space="preserve"> based on the North American Industrial Classification System (NAICS)</w:t>
      </w:r>
      <w:r w:rsidRPr="008A44EB">
        <w:rPr>
          <w:sz w:val="24"/>
          <w:szCs w:val="24"/>
        </w:rPr>
        <w:t xml:space="preserve">, by county, </w:t>
      </w:r>
      <w:r>
        <w:rPr>
          <w:sz w:val="24"/>
          <w:szCs w:val="24"/>
        </w:rPr>
        <w:t xml:space="preserve">and </w:t>
      </w:r>
      <w:r w:rsidRPr="008A44EB">
        <w:rPr>
          <w:sz w:val="24"/>
          <w:szCs w:val="24"/>
        </w:rPr>
        <w:t xml:space="preserve">by ownership sector, for the entire United States. </w:t>
      </w:r>
      <w:r>
        <w:rPr>
          <w:sz w:val="24"/>
          <w:szCs w:val="24"/>
        </w:rPr>
        <w:t xml:space="preserve"> </w:t>
      </w:r>
      <w:r w:rsidRPr="008A44EB">
        <w:rPr>
          <w:sz w:val="24"/>
          <w:szCs w:val="24"/>
        </w:rPr>
        <w:t>This information is provided for over 9 million business establishments of which about 6.9 million are in the scope of this survey</w:t>
      </w:r>
      <w:r>
        <w:rPr>
          <w:sz w:val="24"/>
          <w:szCs w:val="24"/>
        </w:rPr>
        <w:t>.  (Out of scope establishments include private households, establishments with zero employment, and establishments in outlying areas.)</w:t>
      </w:r>
      <w:r w:rsidRPr="008A44EB">
        <w:rPr>
          <w:sz w:val="24"/>
          <w:szCs w:val="24"/>
        </w:rPr>
        <w:t xml:space="preserve">   </w:t>
      </w:r>
    </w:p>
    <w:p w:rsidR="0040730A" w:rsidRPr="0007494F" w:rsidRDefault="0040730A" w:rsidP="0040730A">
      <w:pPr>
        <w:rPr>
          <w:sz w:val="24"/>
        </w:rPr>
      </w:pPr>
    </w:p>
    <w:p w:rsidR="0040730A" w:rsidRDefault="0040730A" w:rsidP="0040730A">
      <w:pPr>
        <w:rPr>
          <w:b/>
          <w:sz w:val="24"/>
          <w:u w:val="single"/>
        </w:rPr>
      </w:pPr>
      <w:r w:rsidRPr="00740ECE">
        <w:rPr>
          <w:b/>
          <w:sz w:val="24"/>
        </w:rPr>
        <w:t>1(b</w:t>
      </w:r>
      <w:proofErr w:type="gramStart"/>
      <w:r w:rsidRPr="00740ECE">
        <w:rPr>
          <w:b/>
          <w:sz w:val="24"/>
        </w:rPr>
        <w:t>)</w:t>
      </w:r>
      <w:r w:rsidRPr="0007494F">
        <w:rPr>
          <w:sz w:val="24"/>
        </w:rPr>
        <w:t xml:space="preserve">  </w:t>
      </w:r>
      <w:r w:rsidRPr="00740ECE">
        <w:rPr>
          <w:b/>
          <w:sz w:val="24"/>
        </w:rPr>
        <w:t>Sample</w:t>
      </w:r>
      <w:proofErr w:type="gramEnd"/>
    </w:p>
    <w:p w:rsidR="0040730A" w:rsidRDefault="0040730A" w:rsidP="0040730A">
      <w:pPr>
        <w:rPr>
          <w:b/>
          <w:sz w:val="24"/>
          <w:u w:val="single"/>
        </w:rPr>
      </w:pPr>
    </w:p>
    <w:p w:rsidR="0040730A" w:rsidRDefault="0040730A" w:rsidP="0040730A">
      <w:pPr>
        <w:jc w:val="both"/>
        <w:rPr>
          <w:sz w:val="24"/>
        </w:rPr>
      </w:pPr>
      <w:r w:rsidRPr="005B69F2">
        <w:rPr>
          <w:i/>
          <w:sz w:val="24"/>
        </w:rPr>
        <w:t>Scope</w:t>
      </w:r>
      <w:r w:rsidRPr="00836E34">
        <w:rPr>
          <w:szCs w:val="24"/>
        </w:rPr>
        <w:t>–</w:t>
      </w:r>
      <w:r>
        <w:rPr>
          <w:sz w:val="24"/>
        </w:rPr>
        <w:t>The GTP will measure</w:t>
      </w:r>
      <w:r w:rsidRPr="005B69F2">
        <w:rPr>
          <w:sz w:val="24"/>
        </w:rPr>
        <w:t xml:space="preserve"> occupational employment and wage</w:t>
      </w:r>
      <w:r>
        <w:rPr>
          <w:sz w:val="24"/>
        </w:rPr>
        <w:t>s</w:t>
      </w:r>
      <w:r w:rsidRPr="005B69F2">
        <w:rPr>
          <w:sz w:val="24"/>
        </w:rPr>
        <w:t xml:space="preserve"> </w:t>
      </w:r>
      <w:r>
        <w:rPr>
          <w:sz w:val="24"/>
        </w:rPr>
        <w:t xml:space="preserve">of </w:t>
      </w:r>
      <w:r w:rsidRPr="005B69F2">
        <w:rPr>
          <w:sz w:val="24"/>
        </w:rPr>
        <w:t xml:space="preserve">workers </w:t>
      </w:r>
      <w:r>
        <w:rPr>
          <w:sz w:val="24"/>
        </w:rPr>
        <w:t xml:space="preserve">engaged in green </w:t>
      </w:r>
      <w:r w:rsidR="00061FE1">
        <w:rPr>
          <w:sz w:val="24"/>
        </w:rPr>
        <w:t>practices</w:t>
      </w:r>
      <w:r>
        <w:rPr>
          <w:sz w:val="24"/>
        </w:rPr>
        <w:t xml:space="preserve"> </w:t>
      </w:r>
      <w:r w:rsidRPr="005B69F2">
        <w:rPr>
          <w:sz w:val="24"/>
        </w:rPr>
        <w:t xml:space="preserve">in establishments in the 50 </w:t>
      </w:r>
      <w:r w:rsidRPr="000E376A">
        <w:rPr>
          <w:sz w:val="24"/>
          <w:szCs w:val="24"/>
        </w:rPr>
        <w:t>States</w:t>
      </w:r>
      <w:r w:rsidRPr="005B69F2">
        <w:rPr>
          <w:sz w:val="24"/>
        </w:rPr>
        <w:t xml:space="preserve"> and the District of Columbia.</w:t>
      </w:r>
      <w:r>
        <w:rPr>
          <w:sz w:val="24"/>
        </w:rPr>
        <w:t xml:space="preserve"> </w:t>
      </w:r>
      <w:r w:rsidRPr="005B69F2">
        <w:rPr>
          <w:sz w:val="24"/>
        </w:rPr>
        <w:t xml:space="preserve">The survey covers </w:t>
      </w:r>
      <w:r>
        <w:rPr>
          <w:sz w:val="24"/>
        </w:rPr>
        <w:t xml:space="preserve">all </w:t>
      </w:r>
      <w:r w:rsidRPr="005B69F2">
        <w:rPr>
          <w:sz w:val="24"/>
        </w:rPr>
        <w:t>NAICS industr</w:t>
      </w:r>
      <w:r>
        <w:rPr>
          <w:sz w:val="24"/>
        </w:rPr>
        <w:t xml:space="preserve">ies except NAICS 814, private households. </w:t>
      </w:r>
    </w:p>
    <w:p w:rsidR="0040730A" w:rsidRPr="005B69F2" w:rsidRDefault="0040730A" w:rsidP="0040730A">
      <w:pPr>
        <w:rPr>
          <w:sz w:val="24"/>
        </w:rPr>
      </w:pPr>
    </w:p>
    <w:p w:rsidR="0040730A" w:rsidRDefault="0040730A" w:rsidP="0040730A">
      <w:pPr>
        <w:jc w:val="both"/>
        <w:rPr>
          <w:sz w:val="24"/>
        </w:rPr>
      </w:pPr>
      <w:r w:rsidRPr="00AD7086">
        <w:rPr>
          <w:i/>
          <w:sz w:val="24"/>
        </w:rPr>
        <w:t>Sample Size</w:t>
      </w:r>
      <w:r w:rsidRPr="00836E34">
        <w:rPr>
          <w:szCs w:val="24"/>
        </w:rPr>
        <w:t>–</w:t>
      </w:r>
      <w:r>
        <w:rPr>
          <w:sz w:val="24"/>
        </w:rPr>
        <w:t xml:space="preserve">The sample size is approximately 35,000 establishments.  </w:t>
      </w:r>
      <w:r w:rsidRPr="0007494F">
        <w:rPr>
          <w:sz w:val="24"/>
        </w:rPr>
        <w:t xml:space="preserve">The following table shows the estimated number of </w:t>
      </w:r>
      <w:r w:rsidRPr="00CC0E0D">
        <w:rPr>
          <w:sz w:val="24"/>
        </w:rPr>
        <w:t>universe</w:t>
      </w:r>
      <w:r w:rsidRPr="0007494F">
        <w:rPr>
          <w:sz w:val="24"/>
        </w:rPr>
        <w:t xml:space="preserve"> units, sampled units, and responding units </w:t>
      </w:r>
      <w:r>
        <w:rPr>
          <w:sz w:val="24"/>
        </w:rPr>
        <w:t xml:space="preserve">(assuming a 75 percent response rate, see 3(a)) </w:t>
      </w:r>
      <w:r w:rsidRPr="0007494F">
        <w:rPr>
          <w:sz w:val="24"/>
        </w:rPr>
        <w:t xml:space="preserve">for all in-scope NAICS </w:t>
      </w:r>
      <w:r>
        <w:rPr>
          <w:sz w:val="24"/>
        </w:rPr>
        <w:t>for the GTP survey:</w:t>
      </w:r>
    </w:p>
    <w:p w:rsidR="0040730A" w:rsidRDefault="0040730A" w:rsidP="0040730A">
      <w:pPr>
        <w:rPr>
          <w:sz w:val="24"/>
        </w:rPr>
      </w:pPr>
    </w:p>
    <w:p w:rsidR="0040730A" w:rsidRPr="00E27A09" w:rsidRDefault="0040730A" w:rsidP="0040730A">
      <w:pPr>
        <w:rPr>
          <w:b/>
          <w:sz w:val="24"/>
        </w:rPr>
      </w:pPr>
      <w:r w:rsidRPr="00E27A09">
        <w:rPr>
          <w:b/>
          <w:sz w:val="24"/>
        </w:rPr>
        <w:t>Table 1: Universe and Sample Size Summary</w:t>
      </w:r>
    </w:p>
    <w:tbl>
      <w:tblPr>
        <w:tblW w:w="9825" w:type="dxa"/>
        <w:tblInd w:w="93" w:type="dxa"/>
        <w:tblLook w:val="00A0"/>
      </w:tblPr>
      <w:tblGrid>
        <w:gridCol w:w="2715"/>
        <w:gridCol w:w="1440"/>
        <w:gridCol w:w="1980"/>
        <w:gridCol w:w="1800"/>
        <w:gridCol w:w="1890"/>
      </w:tblGrid>
      <w:tr w:rsidR="0040730A" w:rsidRPr="00434048" w:rsidTr="00340EDD">
        <w:trPr>
          <w:trHeight w:val="600"/>
        </w:trPr>
        <w:tc>
          <w:tcPr>
            <w:tcW w:w="2715" w:type="dxa"/>
            <w:tcBorders>
              <w:top w:val="single" w:sz="8" w:space="0" w:color="auto"/>
              <w:left w:val="single" w:sz="8" w:space="0" w:color="auto"/>
              <w:bottom w:val="single" w:sz="8" w:space="0" w:color="auto"/>
              <w:right w:val="single" w:sz="4" w:space="0" w:color="auto"/>
            </w:tcBorders>
            <w:noWrap/>
            <w:vAlign w:val="bottom"/>
          </w:tcPr>
          <w:p w:rsidR="0040730A" w:rsidRPr="00434048" w:rsidRDefault="0040730A" w:rsidP="00340EDD">
            <w:pPr>
              <w:rPr>
                <w:b/>
                <w:bCs/>
                <w:sz w:val="24"/>
              </w:rPr>
            </w:pPr>
            <w:r w:rsidRPr="00434048">
              <w:rPr>
                <w:b/>
                <w:bCs/>
                <w:sz w:val="24"/>
              </w:rPr>
              <w:t>Survey</w:t>
            </w:r>
          </w:p>
        </w:tc>
        <w:tc>
          <w:tcPr>
            <w:tcW w:w="1440" w:type="dxa"/>
            <w:tcBorders>
              <w:top w:val="single" w:sz="8" w:space="0" w:color="auto"/>
              <w:left w:val="nil"/>
              <w:bottom w:val="single" w:sz="8" w:space="0" w:color="auto"/>
              <w:right w:val="single" w:sz="4" w:space="0" w:color="auto"/>
            </w:tcBorders>
            <w:noWrap/>
            <w:vAlign w:val="bottom"/>
          </w:tcPr>
          <w:p w:rsidR="0040730A" w:rsidRPr="00434048" w:rsidRDefault="0040730A" w:rsidP="00340EDD">
            <w:pPr>
              <w:rPr>
                <w:b/>
                <w:bCs/>
                <w:sz w:val="24"/>
              </w:rPr>
            </w:pPr>
            <w:r w:rsidRPr="00434048">
              <w:rPr>
                <w:b/>
                <w:bCs/>
                <w:sz w:val="24"/>
              </w:rPr>
              <w:t>NAICS Coverage</w:t>
            </w:r>
          </w:p>
        </w:tc>
        <w:tc>
          <w:tcPr>
            <w:tcW w:w="1980" w:type="dxa"/>
            <w:tcBorders>
              <w:top w:val="single" w:sz="8" w:space="0" w:color="auto"/>
              <w:left w:val="nil"/>
              <w:bottom w:val="single" w:sz="8" w:space="0" w:color="auto"/>
              <w:right w:val="single" w:sz="4" w:space="0" w:color="auto"/>
            </w:tcBorders>
            <w:noWrap/>
            <w:vAlign w:val="bottom"/>
          </w:tcPr>
          <w:p w:rsidR="0040730A" w:rsidRPr="00434048" w:rsidRDefault="0040730A" w:rsidP="00340EDD">
            <w:pPr>
              <w:rPr>
                <w:b/>
                <w:bCs/>
                <w:sz w:val="24"/>
              </w:rPr>
            </w:pPr>
            <w:r w:rsidRPr="00434048">
              <w:rPr>
                <w:b/>
                <w:bCs/>
                <w:sz w:val="24"/>
              </w:rPr>
              <w:t>Responding Units</w:t>
            </w:r>
          </w:p>
        </w:tc>
        <w:tc>
          <w:tcPr>
            <w:tcW w:w="1800" w:type="dxa"/>
            <w:tcBorders>
              <w:top w:val="single" w:sz="8" w:space="0" w:color="auto"/>
              <w:left w:val="nil"/>
              <w:bottom w:val="single" w:sz="8" w:space="0" w:color="auto"/>
              <w:right w:val="single" w:sz="4" w:space="0" w:color="auto"/>
            </w:tcBorders>
            <w:noWrap/>
            <w:vAlign w:val="bottom"/>
          </w:tcPr>
          <w:p w:rsidR="0040730A" w:rsidRPr="00434048" w:rsidRDefault="0040730A" w:rsidP="00340EDD">
            <w:pPr>
              <w:rPr>
                <w:b/>
                <w:bCs/>
                <w:sz w:val="24"/>
              </w:rPr>
            </w:pPr>
            <w:r w:rsidRPr="00434048">
              <w:rPr>
                <w:b/>
                <w:bCs/>
                <w:sz w:val="24"/>
              </w:rPr>
              <w:t>Sample Units</w:t>
            </w:r>
          </w:p>
        </w:tc>
        <w:tc>
          <w:tcPr>
            <w:tcW w:w="1890" w:type="dxa"/>
            <w:tcBorders>
              <w:top w:val="single" w:sz="8" w:space="0" w:color="auto"/>
              <w:left w:val="nil"/>
              <w:bottom w:val="single" w:sz="8" w:space="0" w:color="auto"/>
              <w:right w:val="single" w:sz="8" w:space="0" w:color="auto"/>
            </w:tcBorders>
            <w:noWrap/>
            <w:vAlign w:val="bottom"/>
          </w:tcPr>
          <w:p w:rsidR="0040730A" w:rsidRPr="00434048" w:rsidRDefault="0040730A" w:rsidP="00340EDD">
            <w:pPr>
              <w:rPr>
                <w:b/>
                <w:bCs/>
                <w:sz w:val="24"/>
              </w:rPr>
            </w:pPr>
            <w:r>
              <w:rPr>
                <w:b/>
                <w:bCs/>
                <w:sz w:val="24"/>
              </w:rPr>
              <w:t>Universe Units</w:t>
            </w:r>
          </w:p>
        </w:tc>
      </w:tr>
      <w:tr w:rsidR="0040730A" w:rsidRPr="00434048" w:rsidTr="00340EDD">
        <w:trPr>
          <w:trHeight w:val="1125"/>
        </w:trPr>
        <w:tc>
          <w:tcPr>
            <w:tcW w:w="2715" w:type="dxa"/>
            <w:tcBorders>
              <w:top w:val="single" w:sz="8" w:space="0" w:color="auto"/>
              <w:left w:val="single" w:sz="4" w:space="0" w:color="auto"/>
              <w:bottom w:val="single" w:sz="4" w:space="0" w:color="auto"/>
              <w:right w:val="single" w:sz="4" w:space="0" w:color="auto"/>
            </w:tcBorders>
            <w:vAlign w:val="center"/>
          </w:tcPr>
          <w:p w:rsidR="0040730A" w:rsidRPr="00434048" w:rsidRDefault="0040730A" w:rsidP="00340EDD">
            <w:pPr>
              <w:rPr>
                <w:sz w:val="24"/>
              </w:rPr>
            </w:pPr>
            <w:r w:rsidRPr="00434048">
              <w:rPr>
                <w:sz w:val="24"/>
              </w:rPr>
              <w:t>FY 20</w:t>
            </w:r>
            <w:r>
              <w:rPr>
                <w:sz w:val="24"/>
              </w:rPr>
              <w:t>11</w:t>
            </w:r>
            <w:r w:rsidRPr="00434048">
              <w:rPr>
                <w:sz w:val="24"/>
              </w:rPr>
              <w:t xml:space="preserve"> </w:t>
            </w:r>
          </w:p>
        </w:tc>
        <w:tc>
          <w:tcPr>
            <w:tcW w:w="1440" w:type="dxa"/>
            <w:tcBorders>
              <w:top w:val="single" w:sz="8" w:space="0" w:color="auto"/>
              <w:left w:val="single" w:sz="4" w:space="0" w:color="auto"/>
              <w:bottom w:val="single" w:sz="4" w:space="0" w:color="auto"/>
              <w:right w:val="single" w:sz="4" w:space="0" w:color="auto"/>
            </w:tcBorders>
            <w:vAlign w:val="center"/>
          </w:tcPr>
          <w:p w:rsidR="0040730A" w:rsidRPr="00434048" w:rsidRDefault="0040730A" w:rsidP="00340EDD">
            <w:pPr>
              <w:rPr>
                <w:sz w:val="24"/>
              </w:rPr>
            </w:pPr>
            <w:r>
              <w:rPr>
                <w:sz w:val="24"/>
              </w:rPr>
              <w:t>All</w:t>
            </w:r>
            <w:r w:rsidRPr="00434048">
              <w:rPr>
                <w:sz w:val="24"/>
              </w:rPr>
              <w:t xml:space="preserve"> NAICS</w:t>
            </w:r>
            <w:r>
              <w:rPr>
                <w:sz w:val="24"/>
              </w:rPr>
              <w:t xml:space="preserve"> Except 814</w:t>
            </w:r>
          </w:p>
        </w:tc>
        <w:tc>
          <w:tcPr>
            <w:tcW w:w="1980" w:type="dxa"/>
            <w:tcBorders>
              <w:top w:val="single" w:sz="8" w:space="0" w:color="auto"/>
              <w:left w:val="nil"/>
              <w:bottom w:val="single" w:sz="4" w:space="0" w:color="auto"/>
              <w:right w:val="single" w:sz="4" w:space="0" w:color="auto"/>
            </w:tcBorders>
            <w:noWrap/>
            <w:vAlign w:val="center"/>
          </w:tcPr>
          <w:p w:rsidR="0040730A" w:rsidRPr="00434048" w:rsidRDefault="0040730A" w:rsidP="00A11912">
            <w:pPr>
              <w:jc w:val="right"/>
              <w:rPr>
                <w:sz w:val="24"/>
              </w:rPr>
            </w:pPr>
            <w:r>
              <w:rPr>
                <w:sz w:val="24"/>
              </w:rPr>
              <w:t>26,25</w:t>
            </w:r>
            <w:r w:rsidR="00A11912">
              <w:rPr>
                <w:sz w:val="24"/>
              </w:rPr>
              <w:t>1</w:t>
            </w:r>
          </w:p>
        </w:tc>
        <w:tc>
          <w:tcPr>
            <w:tcW w:w="1800" w:type="dxa"/>
            <w:tcBorders>
              <w:top w:val="single" w:sz="8" w:space="0" w:color="auto"/>
              <w:left w:val="nil"/>
              <w:bottom w:val="single" w:sz="4" w:space="0" w:color="auto"/>
              <w:right w:val="single" w:sz="4" w:space="0" w:color="auto"/>
            </w:tcBorders>
            <w:noWrap/>
            <w:vAlign w:val="center"/>
          </w:tcPr>
          <w:p w:rsidR="0040730A" w:rsidRPr="00434048" w:rsidRDefault="0040730A" w:rsidP="00340EDD">
            <w:pPr>
              <w:jc w:val="right"/>
              <w:rPr>
                <w:sz w:val="24"/>
              </w:rPr>
            </w:pPr>
            <w:r>
              <w:rPr>
                <w:sz w:val="24"/>
              </w:rPr>
              <w:t>35,000</w:t>
            </w:r>
          </w:p>
        </w:tc>
        <w:tc>
          <w:tcPr>
            <w:tcW w:w="1890" w:type="dxa"/>
            <w:tcBorders>
              <w:top w:val="single" w:sz="8" w:space="0" w:color="auto"/>
              <w:left w:val="nil"/>
              <w:bottom w:val="single" w:sz="4" w:space="0" w:color="auto"/>
              <w:right w:val="single" w:sz="4" w:space="0" w:color="auto"/>
            </w:tcBorders>
            <w:noWrap/>
            <w:vAlign w:val="center"/>
          </w:tcPr>
          <w:p w:rsidR="0040730A" w:rsidRPr="00726CA9" w:rsidRDefault="0040730A" w:rsidP="00340EDD">
            <w:pPr>
              <w:jc w:val="right"/>
              <w:rPr>
                <w:color w:val="000000"/>
                <w:sz w:val="24"/>
              </w:rPr>
            </w:pPr>
            <w:r>
              <w:rPr>
                <w:color w:val="000000"/>
                <w:sz w:val="24"/>
              </w:rPr>
              <w:t>6,900,000</w:t>
            </w:r>
          </w:p>
        </w:tc>
      </w:tr>
    </w:tbl>
    <w:p w:rsidR="0040730A" w:rsidRDefault="0040730A" w:rsidP="0040730A">
      <w:pPr>
        <w:rPr>
          <w:sz w:val="24"/>
        </w:rPr>
      </w:pPr>
    </w:p>
    <w:p w:rsidR="0040730A" w:rsidRDefault="0040730A" w:rsidP="0040730A">
      <w:pPr>
        <w:jc w:val="both"/>
        <w:rPr>
          <w:sz w:val="24"/>
        </w:rPr>
      </w:pPr>
      <w:r w:rsidRPr="00AD7086">
        <w:rPr>
          <w:i/>
          <w:sz w:val="24"/>
        </w:rPr>
        <w:t>Stratification</w:t>
      </w:r>
      <w:r w:rsidRPr="00836E34">
        <w:rPr>
          <w:szCs w:val="24"/>
        </w:rPr>
        <w:t>–</w:t>
      </w:r>
      <w:r w:rsidRPr="0007494F">
        <w:rPr>
          <w:sz w:val="24"/>
        </w:rPr>
        <w:t xml:space="preserve">Units on the </w:t>
      </w:r>
      <w:r w:rsidRPr="00CC0E0D">
        <w:rPr>
          <w:sz w:val="24"/>
        </w:rPr>
        <w:t>sampling</w:t>
      </w:r>
      <w:r w:rsidRPr="0007494F">
        <w:rPr>
          <w:sz w:val="24"/>
        </w:rPr>
        <w:t xml:space="preserve"> frame </w:t>
      </w:r>
      <w:r>
        <w:rPr>
          <w:sz w:val="24"/>
        </w:rPr>
        <w:t>will be</w:t>
      </w:r>
      <w:r w:rsidRPr="0007494F">
        <w:rPr>
          <w:sz w:val="24"/>
        </w:rPr>
        <w:t xml:space="preserve"> stratified by </w:t>
      </w:r>
      <w:r>
        <w:rPr>
          <w:sz w:val="24"/>
        </w:rPr>
        <w:t xml:space="preserve">Census Region and </w:t>
      </w:r>
      <w:r w:rsidRPr="0007494F">
        <w:rPr>
          <w:sz w:val="24"/>
        </w:rPr>
        <w:t xml:space="preserve">by </w:t>
      </w:r>
      <w:r>
        <w:rPr>
          <w:sz w:val="24"/>
        </w:rPr>
        <w:t>two</w:t>
      </w:r>
      <w:r w:rsidRPr="0007494F">
        <w:rPr>
          <w:sz w:val="24"/>
        </w:rPr>
        <w:t>-digit</w:t>
      </w:r>
      <w:r>
        <w:rPr>
          <w:sz w:val="24"/>
        </w:rPr>
        <w:t xml:space="preserve"> NAICS</w:t>
      </w:r>
      <w:r w:rsidRPr="0007494F">
        <w:rPr>
          <w:sz w:val="24"/>
        </w:rPr>
        <w:t xml:space="preserve"> industry </w:t>
      </w:r>
      <w:r>
        <w:rPr>
          <w:sz w:val="24"/>
        </w:rPr>
        <w:t>sector.</w:t>
      </w:r>
    </w:p>
    <w:p w:rsidR="0040730A" w:rsidRDefault="0040730A" w:rsidP="0040730A">
      <w:pPr>
        <w:rPr>
          <w:sz w:val="24"/>
        </w:rPr>
      </w:pPr>
    </w:p>
    <w:p w:rsidR="00E01036" w:rsidRPr="0007494F" w:rsidRDefault="00E01036" w:rsidP="0040730A">
      <w:pPr>
        <w:rPr>
          <w:sz w:val="24"/>
        </w:rPr>
      </w:pPr>
    </w:p>
    <w:p w:rsidR="0040730A" w:rsidRDefault="0040730A" w:rsidP="0040730A">
      <w:pPr>
        <w:rPr>
          <w:b/>
          <w:sz w:val="24"/>
        </w:rPr>
      </w:pPr>
      <w:r w:rsidRPr="00711B8A">
        <w:rPr>
          <w:b/>
          <w:sz w:val="24"/>
        </w:rPr>
        <w:lastRenderedPageBreak/>
        <w:t>2</w:t>
      </w:r>
      <w:r>
        <w:rPr>
          <w:b/>
          <w:sz w:val="24"/>
        </w:rPr>
        <w:t>(</w:t>
      </w:r>
      <w:r w:rsidRPr="00711B8A">
        <w:rPr>
          <w:b/>
          <w:sz w:val="24"/>
        </w:rPr>
        <w:t>a</w:t>
      </w:r>
      <w:proofErr w:type="gramStart"/>
      <w:r>
        <w:rPr>
          <w:b/>
          <w:sz w:val="24"/>
        </w:rPr>
        <w:t>)</w:t>
      </w:r>
      <w:r w:rsidRPr="00711B8A">
        <w:rPr>
          <w:b/>
          <w:sz w:val="24"/>
        </w:rPr>
        <w:t xml:space="preserve">  Sample</w:t>
      </w:r>
      <w:proofErr w:type="gramEnd"/>
      <w:r w:rsidRPr="00711B8A">
        <w:rPr>
          <w:b/>
          <w:sz w:val="24"/>
        </w:rPr>
        <w:t xml:space="preserve"> Design</w:t>
      </w:r>
    </w:p>
    <w:p w:rsidR="0040730A" w:rsidRDefault="0040730A" w:rsidP="0040730A">
      <w:pPr>
        <w:rPr>
          <w:b/>
          <w:sz w:val="24"/>
        </w:rPr>
      </w:pPr>
    </w:p>
    <w:p w:rsidR="0040730A" w:rsidRDefault="0040730A" w:rsidP="0040730A">
      <w:pPr>
        <w:jc w:val="both"/>
        <w:rPr>
          <w:sz w:val="24"/>
        </w:rPr>
      </w:pPr>
      <w:r w:rsidRPr="0076411C">
        <w:rPr>
          <w:sz w:val="24"/>
        </w:rPr>
        <w:t xml:space="preserve">The </w:t>
      </w:r>
      <w:r>
        <w:rPr>
          <w:sz w:val="24"/>
        </w:rPr>
        <w:t xml:space="preserve">GTP will have a probability-based sample aimed at satisfying data needs at both the </w:t>
      </w:r>
      <w:r w:rsidR="00262FBE">
        <w:rPr>
          <w:sz w:val="24"/>
        </w:rPr>
        <w:t xml:space="preserve">national and </w:t>
      </w:r>
      <w:r>
        <w:rPr>
          <w:sz w:val="24"/>
        </w:rPr>
        <w:t xml:space="preserve">Census Region/2-digit industry level.  The basic sampling unit is an establishment.  The most recent data from our pilot testing shows that 62.7 percent of responding establishments from the QCEW frame reported green technologies or practices at their business.  Thirty two point five percent of establishments reported employees meeting our green definition.  BLS </w:t>
      </w:r>
      <w:r w:rsidR="002E539F">
        <w:rPr>
          <w:sz w:val="24"/>
        </w:rPr>
        <w:t>will</w:t>
      </w:r>
      <w:r>
        <w:rPr>
          <w:sz w:val="24"/>
        </w:rPr>
        <w:t xml:space="preserve"> use a rare-subpopulation sampling method to include a larger number of green establishments.  </w:t>
      </w:r>
      <w:r w:rsidR="002E539F">
        <w:rPr>
          <w:sz w:val="24"/>
        </w:rPr>
        <w:t xml:space="preserve">To accomplish this, BLS has conducted research on establishments known to be green and has </w:t>
      </w:r>
      <w:r w:rsidR="00166060">
        <w:rPr>
          <w:sz w:val="24"/>
        </w:rPr>
        <w:t>compiled its own green list through web research and the use of other known green b</w:t>
      </w:r>
      <w:r w:rsidR="0023573B">
        <w:rPr>
          <w:sz w:val="24"/>
        </w:rPr>
        <w:t xml:space="preserve">usiness organization lists.  This list contains about </w:t>
      </w:r>
      <w:r w:rsidR="00291CE5">
        <w:rPr>
          <w:sz w:val="24"/>
        </w:rPr>
        <w:t>32</w:t>
      </w:r>
      <w:r w:rsidR="0023573B">
        <w:rPr>
          <w:sz w:val="24"/>
        </w:rPr>
        <w:t xml:space="preserve">,000 establishments and </w:t>
      </w:r>
      <w:r w:rsidR="00166060">
        <w:rPr>
          <w:sz w:val="24"/>
        </w:rPr>
        <w:t>will be in</w:t>
      </w:r>
      <w:r w:rsidR="0030207E">
        <w:rPr>
          <w:sz w:val="24"/>
        </w:rPr>
        <w:t>corporated into the sample in separate strata</w:t>
      </w:r>
      <w:r w:rsidR="00166060">
        <w:rPr>
          <w:sz w:val="24"/>
        </w:rPr>
        <w:t xml:space="preserve"> and sampled with a higher probability than other establishments.</w:t>
      </w:r>
    </w:p>
    <w:p w:rsidR="0040730A" w:rsidRPr="00711B8A" w:rsidRDefault="0040730A" w:rsidP="0040730A">
      <w:pPr>
        <w:rPr>
          <w:b/>
          <w:sz w:val="24"/>
        </w:rPr>
      </w:pPr>
    </w:p>
    <w:p w:rsidR="0040730A" w:rsidRDefault="0040730A" w:rsidP="0040730A">
      <w:pPr>
        <w:jc w:val="both"/>
        <w:rPr>
          <w:sz w:val="24"/>
        </w:rPr>
      </w:pPr>
      <w:r w:rsidRPr="00CC0E0D">
        <w:rPr>
          <w:i/>
          <w:sz w:val="24"/>
        </w:rPr>
        <w:t>Allocation method</w:t>
      </w:r>
      <w:r w:rsidRPr="00836E34">
        <w:rPr>
          <w:szCs w:val="24"/>
        </w:rPr>
        <w:t>–</w:t>
      </w:r>
      <w:r>
        <w:rPr>
          <w:sz w:val="24"/>
        </w:rPr>
        <w:t xml:space="preserve">A power allocation based on the square root of stratum size, defined by frame employment within each stratum will be used to allocate the sample to each Census Region/2-digit NAICS stratum.  This is a compromise between 1) allocating an equal sample size to each stratum which is optimum where estimates for individual strata are of prime importance and 2) a straight proportional allocation based on stratum size which would be optimal for estimation of high-level data.  </w:t>
      </w:r>
    </w:p>
    <w:p w:rsidR="0040730A" w:rsidRDefault="0040730A" w:rsidP="0040730A">
      <w:pPr>
        <w:jc w:val="both"/>
        <w:rPr>
          <w:sz w:val="24"/>
        </w:rPr>
      </w:pPr>
    </w:p>
    <w:p w:rsidR="0040730A" w:rsidRDefault="0040730A" w:rsidP="0040730A">
      <w:pPr>
        <w:jc w:val="both"/>
        <w:rPr>
          <w:sz w:val="24"/>
        </w:rPr>
      </w:pPr>
      <w:r w:rsidRPr="00CC0E0D">
        <w:rPr>
          <w:i/>
          <w:sz w:val="24"/>
        </w:rPr>
        <w:t>Sample Selection</w:t>
      </w:r>
      <w:r w:rsidRPr="00836E34">
        <w:rPr>
          <w:szCs w:val="24"/>
        </w:rPr>
        <w:t>–</w:t>
      </w:r>
      <w:r>
        <w:rPr>
          <w:sz w:val="24"/>
        </w:rPr>
        <w:t xml:space="preserve">Within each stratum, the sample is selected using </w:t>
      </w:r>
      <w:r w:rsidR="00D27D0D">
        <w:rPr>
          <w:sz w:val="24"/>
        </w:rPr>
        <w:t xml:space="preserve">modified </w:t>
      </w:r>
      <w:r>
        <w:rPr>
          <w:sz w:val="24"/>
        </w:rPr>
        <w:t>probability proportional to estimated employment size (PPES).  The sample is designed to represent the frame.  The estimated employment size for an establishment will be the maximum employment over the last 12 months of data available from the LDB.  Units with average employment of zero over the last 12 months are excluded.  Each sampled establishment is assigned a sampling weight equal to the reciprocal of its probability of selection in the sample.</w:t>
      </w:r>
    </w:p>
    <w:p w:rsidR="0040730A" w:rsidRPr="0007494F" w:rsidRDefault="0040730A" w:rsidP="0040730A">
      <w:pPr>
        <w:tabs>
          <w:tab w:val="left" w:pos="0"/>
        </w:tabs>
        <w:rPr>
          <w:sz w:val="24"/>
        </w:rPr>
      </w:pPr>
    </w:p>
    <w:p w:rsidR="0040730A" w:rsidRPr="00A54C81" w:rsidRDefault="0040730A" w:rsidP="0040730A">
      <w:pPr>
        <w:rPr>
          <w:b/>
          <w:sz w:val="24"/>
        </w:rPr>
      </w:pPr>
      <w:r w:rsidRPr="00A54C81">
        <w:rPr>
          <w:b/>
          <w:sz w:val="24"/>
        </w:rPr>
        <w:t>2(b) Estimation Procedures</w:t>
      </w:r>
    </w:p>
    <w:p w:rsidR="0040730A" w:rsidRPr="0007494F" w:rsidRDefault="0040730A" w:rsidP="0040730A">
      <w:pPr>
        <w:rPr>
          <w:sz w:val="24"/>
        </w:rPr>
      </w:pPr>
    </w:p>
    <w:p w:rsidR="0040730A" w:rsidRDefault="0040730A" w:rsidP="0040730A">
      <w:pPr>
        <w:pStyle w:val="BodyText"/>
        <w:spacing w:line="240" w:lineRule="auto"/>
        <w:jc w:val="both"/>
        <w:rPr>
          <w:szCs w:val="24"/>
        </w:rPr>
      </w:pPr>
      <w:r>
        <w:rPr>
          <w:szCs w:val="24"/>
        </w:rPr>
        <w:t>GTP</w:t>
      </w:r>
      <w:r w:rsidRPr="00953CFC">
        <w:rPr>
          <w:szCs w:val="24"/>
        </w:rPr>
        <w:t xml:space="preserve"> estimators of total employment will take the form of a Horvitz-Thompson estimator.  Let a cell have c sample units.  Each establishment has a weight </w:t>
      </w:r>
      <w:proofErr w:type="gramStart"/>
      <w:r w:rsidRPr="00953CFC">
        <w:rPr>
          <w:i/>
          <w:szCs w:val="24"/>
        </w:rPr>
        <w:t>w</w:t>
      </w:r>
      <w:r w:rsidRPr="00953CFC">
        <w:rPr>
          <w:i/>
          <w:szCs w:val="24"/>
          <w:vertAlign w:val="subscript"/>
        </w:rPr>
        <w:t>i</w:t>
      </w:r>
      <w:proofErr w:type="gramEnd"/>
      <w:r w:rsidRPr="00953CFC">
        <w:rPr>
          <w:szCs w:val="24"/>
        </w:rPr>
        <w:t xml:space="preserve"> that is the inverse of its probability of selection.  Each establishment has a data value </w:t>
      </w:r>
      <w:r w:rsidRPr="00953CFC">
        <w:rPr>
          <w:i/>
          <w:szCs w:val="24"/>
        </w:rPr>
        <w:t>y</w:t>
      </w:r>
      <w:r w:rsidRPr="00953CFC">
        <w:rPr>
          <w:i/>
          <w:szCs w:val="24"/>
          <w:vertAlign w:val="subscript"/>
        </w:rPr>
        <w:t>i</w:t>
      </w:r>
      <w:r w:rsidRPr="00953CFC">
        <w:rPr>
          <w:szCs w:val="24"/>
        </w:rPr>
        <w:t>.  For example, the data value could be the total number of employees who spend more than 50% of their time engaged in green practices.</w:t>
      </w:r>
    </w:p>
    <w:p w:rsidR="0040730A" w:rsidRPr="00836E34" w:rsidRDefault="0040730A" w:rsidP="0040730A">
      <w:pPr>
        <w:pStyle w:val="BodyText"/>
        <w:spacing w:line="240" w:lineRule="auto"/>
        <w:jc w:val="both"/>
        <w:rPr>
          <w:szCs w:val="24"/>
        </w:rPr>
      </w:pPr>
      <w:r>
        <w:rPr>
          <w:szCs w:val="24"/>
        </w:rPr>
        <w:t xml:space="preserve">  </w:t>
      </w:r>
    </w:p>
    <w:p w:rsidR="0040730A" w:rsidRPr="00836E34" w:rsidRDefault="008D3EA7" w:rsidP="0040730A">
      <w:pPr>
        <w:pStyle w:val="BodyText"/>
        <w:spacing w:line="240" w:lineRule="auto"/>
        <w:ind w:left="360"/>
        <w:jc w:val="both"/>
        <w:rPr>
          <w:szCs w:val="24"/>
        </w:rPr>
      </w:pPr>
      <m:oMathPara>
        <m:oMathParaPr>
          <m:jc m:val="left"/>
        </m:oMathParaP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cell</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c</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e>
          </m:nary>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oMath>
      </m:oMathPara>
      <w:r w:rsidR="0040730A">
        <w:rPr>
          <w:szCs w:val="24"/>
        </w:rPr>
        <w:br/>
      </w:r>
      <w:r w:rsidR="0040730A" w:rsidRPr="00836E34">
        <w:rPr>
          <w:szCs w:val="24"/>
        </w:rPr>
        <w:t xml:space="preserve">         </w:t>
      </w:r>
      <w:r w:rsidRPr="00944718">
        <w:rPr>
          <w:szCs w:val="24"/>
        </w:rPr>
        <w:fldChar w:fldCharType="begin"/>
      </w:r>
      <w:r w:rsidR="0040730A" w:rsidRPr="00944718">
        <w:rPr>
          <w:szCs w:val="24"/>
        </w:rPr>
        <w:instrText xml:space="preserve"> QUOTE </w:instrTex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cell</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c</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e>
        </m:nary>
        <m:r>
          <w:rPr>
            <w:rFonts w:ascii="Cambria Math" w:hAnsi="Cambria Math"/>
            <w:szCs w:val="24"/>
          </w:rPr>
          <m:t xml:space="preserve"> </m:t>
        </m:r>
      </m:oMath>
      <w:r w:rsidR="0040730A" w:rsidRPr="00944718">
        <w:rPr>
          <w:szCs w:val="24"/>
        </w:rPr>
        <w:instrText xml:space="preserve"> </w:instrText>
      </w:r>
      <w:r w:rsidRPr="00944718">
        <w:rPr>
          <w:szCs w:val="24"/>
        </w:rPr>
        <w:fldChar w:fldCharType="end"/>
      </w:r>
    </w:p>
    <w:p w:rsidR="0040730A" w:rsidRDefault="0040730A" w:rsidP="0040730A">
      <w:pPr>
        <w:pStyle w:val="BodyText"/>
        <w:spacing w:line="240" w:lineRule="auto"/>
        <w:jc w:val="both"/>
        <w:rPr>
          <w:szCs w:val="24"/>
        </w:rPr>
      </w:pPr>
      <w:r w:rsidRPr="00836E34">
        <w:rPr>
          <w:szCs w:val="24"/>
        </w:rPr>
        <w:t xml:space="preserve">Weighting Class Adjustment for Nonresponse–To mitigate possible bias arising from nonresponse, weighting class adjustments to the weights will be made.  Initial plans are to define </w:t>
      </w:r>
      <w:r>
        <w:rPr>
          <w:szCs w:val="24"/>
        </w:rPr>
        <w:t>Census Region</w:t>
      </w:r>
      <w:r w:rsidRPr="00836E34">
        <w:rPr>
          <w:szCs w:val="24"/>
        </w:rPr>
        <w:t xml:space="preserve"> x industry sector cells as the weighting classes.  With PPES sampling, an adjustment based on employment will be used.  Let </w:t>
      </w:r>
      <w:r w:rsidRPr="00836E34">
        <w:rPr>
          <w:i/>
          <w:szCs w:val="24"/>
        </w:rPr>
        <w:t>e</w:t>
      </w:r>
      <w:r w:rsidRPr="00836E34">
        <w:rPr>
          <w:i/>
          <w:szCs w:val="24"/>
          <w:vertAlign w:val="subscript"/>
        </w:rPr>
        <w:t>i</w:t>
      </w:r>
      <w:r w:rsidRPr="00836E34">
        <w:rPr>
          <w:szCs w:val="24"/>
        </w:rPr>
        <w:t xml:space="preserve"> be an establishment’s employment size used for allocation and sample selection (not the current size).  Of c sample units in a weighting class, suppose that r respond.  Weights of respondents are increased to “cover” the missing data of nonrespondents.  Additionally, modifications are made to account for establishments that are out-of-scope (n</w:t>
      </w:r>
      <w:r w:rsidRPr="00836E34">
        <w:rPr>
          <w:szCs w:val="24"/>
          <w:vertAlign w:val="subscript"/>
        </w:rPr>
        <w:t>oos</w:t>
      </w:r>
      <w:r w:rsidRPr="00836E34">
        <w:rPr>
          <w:szCs w:val="24"/>
        </w:rPr>
        <w:t>) or out-of-business (n</w:t>
      </w:r>
      <w:r w:rsidRPr="00836E34">
        <w:rPr>
          <w:szCs w:val="24"/>
          <w:vertAlign w:val="subscript"/>
        </w:rPr>
        <w:t>oob</w:t>
      </w:r>
      <w:r w:rsidRPr="00836E34">
        <w:rPr>
          <w:szCs w:val="24"/>
        </w:rPr>
        <w:t xml:space="preserve">). </w:t>
      </w:r>
    </w:p>
    <w:p w:rsidR="0040730A" w:rsidRDefault="0040730A" w:rsidP="0040730A">
      <w:pPr>
        <w:pStyle w:val="BodyText"/>
        <w:spacing w:line="240" w:lineRule="auto"/>
        <w:jc w:val="both"/>
        <w:rPr>
          <w:szCs w:val="24"/>
        </w:rPr>
      </w:pPr>
    </w:p>
    <w:p w:rsidR="0040730A" w:rsidRDefault="008D3EA7" w:rsidP="0040730A">
      <w:pPr>
        <w:pStyle w:val="BodyText"/>
        <w:spacing w:line="240" w:lineRule="auto"/>
        <w:ind w:left="360"/>
        <w:jc w:val="both"/>
        <w:rPr>
          <w:szCs w:val="24"/>
        </w:rPr>
      </w:pPr>
      <m:oMathPara>
        <m:oMathParaPr>
          <m:jc m:val="lef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c-noos-noob</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oMath>
      </m:oMathPara>
    </w:p>
    <w:p w:rsidR="0040730A" w:rsidRPr="00836E34" w:rsidRDefault="008D3EA7" w:rsidP="0040730A">
      <w:pPr>
        <w:pStyle w:val="BodyText"/>
        <w:spacing w:line="240" w:lineRule="auto"/>
        <w:ind w:left="360"/>
        <w:jc w:val="both"/>
        <w:rPr>
          <w:szCs w:val="24"/>
        </w:rPr>
      </w:pPr>
      <m:oMathPara>
        <m:oMathParaPr>
          <m:jc m:val="left"/>
        </m:oMathParaPr>
        <m:oMath>
          <m:sSubSup>
            <m:sSubSupPr>
              <m:ctrlPr>
                <w:rPr>
                  <w:rFonts w:ascii="Cambria Math" w:hAnsi="Cambria Math"/>
                  <w:i/>
                  <w:szCs w:val="24"/>
                </w:rPr>
              </m:ctrlPr>
            </m:sSubSupPr>
            <m:e>
              <m:r>
                <w:rPr>
                  <w:rFonts w:ascii="Cambria Math" w:hAnsi="Cambria Math"/>
                  <w:szCs w:val="24"/>
                </w:rPr>
                <m:t>E</m:t>
              </m:r>
            </m:e>
            <m:sub>
              <m:r>
                <w:rPr>
                  <w:rFonts w:ascii="Cambria Math" w:hAnsi="Cambria Math"/>
                  <w:szCs w:val="24"/>
                </w:rPr>
                <m:t>class</m:t>
              </m:r>
            </m:sub>
            <m:sup>
              <m:r>
                <w:rPr>
                  <w:rFonts w:ascii="Cambria Math" w:hAnsi="Cambria Math"/>
                  <w:szCs w:val="24"/>
                </w:rPr>
                <m:t>'</m:t>
              </m:r>
            </m:sup>
          </m:sSubSup>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e>
          </m:nary>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oMath>
      </m:oMathPara>
    </w:p>
    <w:p w:rsidR="0040730A" w:rsidRPr="00836E34" w:rsidRDefault="0040730A" w:rsidP="0040730A">
      <w:pPr>
        <w:pStyle w:val="BodyText"/>
        <w:spacing w:line="240" w:lineRule="auto"/>
        <w:jc w:val="both"/>
        <w:rPr>
          <w:szCs w:val="24"/>
        </w:rPr>
      </w:pPr>
      <w:r w:rsidRPr="00836E34">
        <w:rPr>
          <w:szCs w:val="24"/>
        </w:rPr>
        <w:t xml:space="preserve">         </w:t>
      </w:r>
      <w:r w:rsidR="008D3EA7" w:rsidRPr="00944718">
        <w:rPr>
          <w:szCs w:val="24"/>
        </w:rPr>
        <w:fldChar w:fldCharType="begin"/>
      </w:r>
      <w:r w:rsidRPr="00944718">
        <w:rPr>
          <w:szCs w:val="24"/>
        </w:rPr>
        <w:instrText xml:space="preserve"> QUOTE </w:instrTex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c-noos-noob</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r>
          <w:rPr>
            <w:rFonts w:ascii="Cambria Math" w:hAnsi="Cambria Math"/>
            <w:szCs w:val="24"/>
          </w:rPr>
          <m:t xml:space="preserve"> </m:t>
        </m:r>
      </m:oMath>
      <w:r w:rsidRPr="00944718">
        <w:rPr>
          <w:szCs w:val="24"/>
        </w:rPr>
        <w:instrText xml:space="preserve"> </w:instrText>
      </w:r>
      <w:r w:rsidR="008D3EA7" w:rsidRPr="00944718">
        <w:rPr>
          <w:szCs w:val="24"/>
        </w:rPr>
        <w:fldChar w:fldCharType="end"/>
      </w:r>
      <w:r w:rsidRPr="00836E34">
        <w:rPr>
          <w:szCs w:val="24"/>
        </w:rPr>
        <w:t xml:space="preserve">        </w:t>
      </w:r>
    </w:p>
    <w:p w:rsidR="0040730A" w:rsidRPr="00836E34" w:rsidRDefault="008D3EA7" w:rsidP="0040730A">
      <w:pPr>
        <w:pStyle w:val="BodyText"/>
        <w:spacing w:line="240" w:lineRule="auto"/>
        <w:ind w:left="360"/>
        <w:jc w:val="both"/>
        <w:rPr>
          <w:szCs w:val="24"/>
        </w:rPr>
      </w:pPr>
      <m:oMathPara>
        <m:oMathParaPr>
          <m:jc m:val="left"/>
        </m:oMathParaPr>
        <m:oMath>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d>
            <m:dPr>
              <m:ctrlPr>
                <w:rPr>
                  <w:rFonts w:ascii="Cambria Math" w:hAnsi="Cambria Math"/>
                  <w:i/>
                  <w:szCs w:val="24"/>
                </w:rPr>
              </m:ctrlPr>
            </m:dPr>
            <m:e>
              <m:f>
                <m:fPr>
                  <m:type m:val="skw"/>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num>
                <m:den>
                  <m:sSubSup>
                    <m:sSubSupPr>
                      <m:ctrlPr>
                        <w:rPr>
                          <w:rFonts w:ascii="Cambria Math" w:hAnsi="Cambria Math"/>
                          <w:i/>
                          <w:szCs w:val="24"/>
                        </w:rPr>
                      </m:ctrlPr>
                    </m:sSubSupPr>
                    <m:e>
                      <m:r>
                        <w:rPr>
                          <w:rFonts w:ascii="Cambria Math" w:hAnsi="Cambria Math"/>
                          <w:szCs w:val="24"/>
                        </w:rPr>
                        <m:t>E</m:t>
                      </m:r>
                    </m:e>
                    <m:sub>
                      <m:r>
                        <w:rPr>
                          <w:rFonts w:ascii="Cambria Math" w:hAnsi="Cambria Math"/>
                          <w:szCs w:val="24"/>
                        </w:rPr>
                        <m:t>class</m:t>
                      </m:r>
                    </m:sub>
                    <m:sup>
                      <m:r>
                        <w:rPr>
                          <w:rFonts w:ascii="Cambria Math" w:hAnsi="Cambria Math"/>
                          <w:szCs w:val="24"/>
                        </w:rPr>
                        <m:t>'</m:t>
                      </m:r>
                    </m:sup>
                  </m:sSubSup>
                </m:den>
              </m:f>
            </m:e>
          </m:d>
        </m:oMath>
      </m:oMathPara>
    </w:p>
    <w:p w:rsidR="0040730A" w:rsidRDefault="008D3EA7" w:rsidP="0040730A">
      <w:pPr>
        <w:pStyle w:val="BodyText"/>
        <w:jc w:val="both"/>
        <w:rPr>
          <w:szCs w:val="24"/>
        </w:rPr>
      </w:pPr>
      <w:r w:rsidRPr="00944718">
        <w:rPr>
          <w:szCs w:val="24"/>
        </w:rPr>
        <w:fldChar w:fldCharType="begin"/>
      </w:r>
      <w:r w:rsidR="0040730A" w:rsidRPr="00944718">
        <w:rPr>
          <w:szCs w:val="24"/>
        </w:rPr>
        <w:instrText xml:space="preserve"> QUOTE </w:instrText>
      </w:r>
      <m:oMath>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w</m:t>
                </m:r>
              </m:e>
              <m:sup>
                <m:r>
                  <w:rPr>
                    <w:rFonts w:ascii="Cambria Math" w:hAnsi="Cambria Math"/>
                    <w:szCs w:val="24"/>
                  </w:rPr>
                  <m:t>'</m:t>
                </m:r>
              </m:sup>
            </m:sSup>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i</m:t>
            </m:r>
          </m:sub>
        </m:sSub>
        <m:r>
          <w:rPr>
            <w:rFonts w:ascii="Cambria Math" w:hAnsi="Cambria Math"/>
            <w:szCs w:val="24"/>
          </w:rPr>
          <m:t>*(</m:t>
        </m:r>
        <m:f>
          <m:fPr>
            <m:type m:val="lin"/>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num>
          <m:den>
            <m:sSub>
              <m:sSubPr>
                <m:ctrlPr>
                  <w:rPr>
                    <w:rFonts w:ascii="Cambria Math" w:hAnsi="Cambria Math"/>
                    <w:i/>
                    <w:szCs w:val="24"/>
                  </w:rPr>
                </m:ctrlPr>
              </m:sSubPr>
              <m:e>
                <m:r>
                  <w:rPr>
                    <w:rFonts w:ascii="Cambria Math" w:hAnsi="Cambria Math"/>
                    <w:szCs w:val="24"/>
                  </w:rPr>
                  <m:t>E'</m:t>
                </m:r>
              </m:e>
              <m:sub>
                <m:r>
                  <w:rPr>
                    <w:rFonts w:ascii="Cambria Math" w:hAnsi="Cambria Math"/>
                    <w:szCs w:val="24"/>
                  </w:rPr>
                  <m:t>class</m:t>
                </m:r>
              </m:sub>
            </m:sSub>
          </m:den>
        </m:f>
        <m:r>
          <w:rPr>
            <w:rFonts w:ascii="Cambria Math" w:hAnsi="Cambria Math"/>
            <w:szCs w:val="24"/>
          </w:rPr>
          <m:t>)</m:t>
        </m:r>
      </m:oMath>
      <w:r w:rsidR="0040730A" w:rsidRPr="00944718">
        <w:rPr>
          <w:szCs w:val="24"/>
        </w:rPr>
        <w:instrText xml:space="preserve"> </w:instrText>
      </w:r>
      <w:r w:rsidRPr="00944718">
        <w:rPr>
          <w:szCs w:val="24"/>
        </w:rPr>
        <w:fldChar w:fldCharType="end"/>
      </w:r>
    </w:p>
    <w:p w:rsidR="0040730A" w:rsidRDefault="0040730A" w:rsidP="0040730A">
      <w:pPr>
        <w:pStyle w:val="BodyText"/>
        <w:spacing w:line="240" w:lineRule="auto"/>
        <w:jc w:val="both"/>
        <w:rPr>
          <w:szCs w:val="24"/>
        </w:rPr>
      </w:pPr>
      <w:r w:rsidRPr="00CC0E0D">
        <w:rPr>
          <w:i/>
          <w:szCs w:val="24"/>
        </w:rPr>
        <w:t>Benchmarking</w:t>
      </w:r>
      <w:r w:rsidRPr="00836E34">
        <w:rPr>
          <w:szCs w:val="24"/>
        </w:rPr>
        <w:t>–B</w:t>
      </w:r>
      <w:r>
        <w:rPr>
          <w:szCs w:val="24"/>
        </w:rPr>
        <w:t>enchmarking to in-scope employment for national and Census Region</w:t>
      </w:r>
      <w:r w:rsidRPr="00836E34">
        <w:rPr>
          <w:szCs w:val="24"/>
        </w:rPr>
        <w:t xml:space="preserve"> x industry sector is planned.  Some protection would be provided against coverage shortcomings.  Since “green” economic activity is anticipated to be a small part of most industries, little variance-reduction benefit would be expected from benchmarking.  The classes may be structured differently, but a weight adjustment similar to weighting class adjustment for nonresponse can be computed.  Instead of employment </w:t>
      </w:r>
      <w:r w:rsidRPr="00836E34">
        <w:rPr>
          <w:i/>
          <w:szCs w:val="24"/>
        </w:rPr>
        <w:t>e</w:t>
      </w:r>
      <w:r w:rsidRPr="00836E34">
        <w:rPr>
          <w:i/>
          <w:szCs w:val="24"/>
          <w:vertAlign w:val="subscript"/>
        </w:rPr>
        <w:t>i</w:t>
      </w:r>
      <w:r w:rsidRPr="00836E34">
        <w:rPr>
          <w:szCs w:val="24"/>
        </w:rPr>
        <w:t xml:space="preserve"> at the time of sampling, use the latest employment </w:t>
      </w:r>
      <w:r w:rsidRPr="00836E34">
        <w:rPr>
          <w:i/>
          <w:szCs w:val="24"/>
        </w:rPr>
        <w:t>E</w:t>
      </w:r>
      <w:r w:rsidRPr="00836E34">
        <w:rPr>
          <w:i/>
          <w:szCs w:val="24"/>
          <w:vertAlign w:val="subscript"/>
        </w:rPr>
        <w:t>i</w:t>
      </w:r>
      <w:r w:rsidRPr="00836E34">
        <w:rPr>
          <w:i/>
          <w:szCs w:val="24"/>
        </w:rPr>
        <w:t xml:space="preserve">; </w:t>
      </w:r>
      <w:r w:rsidRPr="00836E34">
        <w:rPr>
          <w:szCs w:val="24"/>
        </w:rPr>
        <w:t>that is</w:t>
      </w:r>
      <w:r>
        <w:rPr>
          <w:szCs w:val="24"/>
        </w:rPr>
        <w:t>,</w:t>
      </w:r>
      <w:r w:rsidRPr="00836E34">
        <w:rPr>
          <w:szCs w:val="24"/>
        </w:rPr>
        <w:t xml:space="preserve"> control the sample weighted estimates to known population values obtained from an updated QCEW.  A ratio adjustment is computed from the unweighted “known” employment total for the class (the sum of </w:t>
      </w:r>
      <w:r w:rsidRPr="00836E34">
        <w:rPr>
          <w:i/>
          <w:szCs w:val="24"/>
        </w:rPr>
        <w:t>E</w:t>
      </w:r>
      <w:r w:rsidRPr="00836E34">
        <w:rPr>
          <w:i/>
          <w:szCs w:val="24"/>
          <w:vertAlign w:val="subscript"/>
        </w:rPr>
        <w:t>i</w:t>
      </w:r>
      <w:r w:rsidRPr="00836E34">
        <w:rPr>
          <w:szCs w:val="24"/>
        </w:rPr>
        <w:t xml:space="preserve"> over the population N) and the sample estimate that can be made from the respondents weighted </w:t>
      </w:r>
      <w:proofErr w:type="gramStart"/>
      <w:r w:rsidRPr="00836E34">
        <w:rPr>
          <w:szCs w:val="24"/>
        </w:rPr>
        <w:t xml:space="preserve">by </w:t>
      </w:r>
      <m:oMath>
        <w:proofErr w:type="gramEnd"/>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oMath>
      <w:r w:rsidRPr="00836E34">
        <w:rPr>
          <w:szCs w:val="24"/>
        </w:rPr>
        <w:t xml:space="preserve">.           </w:t>
      </w:r>
    </w:p>
    <w:p w:rsidR="0040730A" w:rsidRPr="00836E34" w:rsidRDefault="0040730A" w:rsidP="0040730A">
      <w:pPr>
        <w:pStyle w:val="BodyText"/>
        <w:jc w:val="both"/>
        <w:rPr>
          <w:szCs w:val="24"/>
        </w:rPr>
      </w:pPr>
      <w:r w:rsidRPr="00836E34">
        <w:rPr>
          <w:szCs w:val="24"/>
        </w:rPr>
        <w:t xml:space="preserve">        </w:t>
      </w:r>
      <w:r w:rsidR="008D3EA7" w:rsidRPr="00944718">
        <w:rPr>
          <w:szCs w:val="24"/>
        </w:rPr>
        <w:fldChar w:fldCharType="begin"/>
      </w:r>
      <w:r w:rsidRPr="00944718">
        <w:rPr>
          <w:szCs w:val="24"/>
        </w:rPr>
        <w:instrText xml:space="preserve"> QUOTE </w:instrText>
      </w:r>
      <m:oMath>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w</m:t>
                </m:r>
              </m:e>
              <m:sup>
                <m:r>
                  <w:rPr>
                    <w:rFonts w:ascii="Cambria Math" w:hAnsi="Cambria Math"/>
                    <w:szCs w:val="24"/>
                  </w:rPr>
                  <m:t>''</m:t>
                </m:r>
              </m:sup>
            </m:sSup>
          </m:e>
          <m:sub>
            <m:r>
              <w:rPr>
                <w:rFonts w:ascii="Cambria Math" w:hAnsi="Cambria Math"/>
                <w:szCs w:val="24"/>
              </w:rPr>
              <m:t>i</m:t>
            </m:r>
          </m:sub>
        </m:sSub>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r>
          <w:rPr>
            <w:rFonts w:ascii="Cambria Math" w:hAnsi="Cambria Math"/>
            <w:szCs w:val="24"/>
          </w:rPr>
          <m:t>*(</m:t>
        </m:r>
        <m:f>
          <m:fPr>
            <m:type m:val="lin"/>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num>
          <m:den>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den>
        </m:f>
        <m:r>
          <w:rPr>
            <w:rFonts w:ascii="Cambria Math" w:hAnsi="Cambria Math"/>
            <w:szCs w:val="24"/>
          </w:rPr>
          <m:t>)</m:t>
        </m:r>
      </m:oMath>
      <w:r w:rsidRPr="00944718">
        <w:rPr>
          <w:szCs w:val="24"/>
        </w:rPr>
        <w:instrText xml:space="preserve"> </w:instrText>
      </w:r>
      <w:r w:rsidR="008D3EA7" w:rsidRPr="00944718">
        <w:rPr>
          <w:szCs w:val="24"/>
        </w:rPr>
        <w:fldChar w:fldCharType="end"/>
      </w:r>
      <w:r w:rsidRPr="00836E34">
        <w:rPr>
          <w:szCs w:val="24"/>
        </w:rPr>
        <w:t xml:space="preserve"> </w:t>
      </w:r>
      <w:r>
        <w:rPr>
          <w:szCs w:val="24"/>
        </w:rPr>
        <w:t xml:space="preserve">         </w:t>
      </w:r>
      <w:r w:rsidRPr="00836E34">
        <w:rPr>
          <w:szCs w:val="24"/>
        </w:rPr>
        <w:t xml:space="preserve"> </w:t>
      </w:r>
    </w:p>
    <w:p w:rsidR="0040730A" w:rsidRPr="00E261C9" w:rsidRDefault="008D3EA7" w:rsidP="0040730A">
      <w:pPr>
        <w:pStyle w:val="BodyText"/>
        <w:spacing w:line="360" w:lineRule="auto"/>
        <w:ind w:left="576"/>
        <w:jc w:val="both"/>
        <w:rPr>
          <w:szCs w:val="24"/>
        </w:rPr>
      </w:pPr>
      <m:oMath>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r>
          <w:rPr>
            <w:rFonts w:ascii="Cambria Math" w:hAnsi="Cambria Math"/>
            <w:szCs w:val="24"/>
          </w:rPr>
          <m:t xml:space="preserve"> </m:t>
        </m:r>
      </m:oMath>
      <w:r w:rsidR="0040730A" w:rsidRPr="00836E34">
        <w:rPr>
          <w:szCs w:val="24"/>
        </w:rPr>
        <w:t xml:space="preserve">        </w:t>
      </w:r>
      <w:r w:rsidRPr="00944718">
        <w:rPr>
          <w:szCs w:val="24"/>
        </w:rPr>
        <w:fldChar w:fldCharType="begin"/>
      </w:r>
      <w:r w:rsidR="0040730A" w:rsidRPr="00944718">
        <w:rPr>
          <w:szCs w:val="24"/>
        </w:rPr>
        <w:instrText xml:space="preserve"> QUOTE </w:instrText>
      </w:r>
      <m:oMath>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w</m:t>
                </m:r>
              </m:e>
              <m:sup>
                <m:r>
                  <w:rPr>
                    <w:rFonts w:ascii="Cambria Math" w:hAnsi="Cambria Math"/>
                    <w:szCs w:val="24"/>
                  </w:rPr>
                  <m:t>''</m:t>
                </m:r>
              </m:sup>
            </m:sSup>
          </m:e>
          <m:sub>
            <m:r>
              <w:rPr>
                <w:rFonts w:ascii="Cambria Math" w:hAnsi="Cambria Math"/>
                <w:szCs w:val="24"/>
              </w:rPr>
              <m:t>i</m:t>
            </m:r>
          </m:sub>
        </m:sSub>
        <m:r>
          <w:rPr>
            <w:rFonts w:ascii="Cambria Math" w:hAnsi="Cambria Math"/>
            <w:szCs w:val="24"/>
          </w:rPr>
          <m:t xml:space="preserve">= </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r>
          <w:rPr>
            <w:rFonts w:ascii="Cambria Math" w:hAnsi="Cambria Math"/>
            <w:szCs w:val="24"/>
          </w:rPr>
          <m:t>*(</m:t>
        </m:r>
        <m:f>
          <m:fPr>
            <m:type m:val="lin"/>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num>
          <m:den>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den>
        </m:f>
        <m:r>
          <w:rPr>
            <w:rFonts w:ascii="Cambria Math" w:hAnsi="Cambria Math"/>
            <w:szCs w:val="24"/>
          </w:rPr>
          <m:t>)</m:t>
        </m:r>
      </m:oMath>
      <w:r w:rsidR="0040730A" w:rsidRPr="00944718">
        <w:rPr>
          <w:szCs w:val="24"/>
        </w:rPr>
        <w:instrText xml:space="preserve"> </w:instrText>
      </w:r>
      <w:r w:rsidRPr="00944718">
        <w:rPr>
          <w:szCs w:val="24"/>
        </w:rPr>
        <w:fldChar w:fldCharType="end"/>
      </w:r>
      <w:r w:rsidR="0040730A" w:rsidRPr="00836E34">
        <w:rPr>
          <w:szCs w:val="24"/>
        </w:rPr>
        <w:t xml:space="preserve"> </w:t>
      </w:r>
      <w:r w:rsidR="0040730A">
        <w:rPr>
          <w:szCs w:val="24"/>
        </w:rPr>
        <w:t xml:space="preserve">      </w:t>
      </w:r>
      <m:oMath>
        <m:sSub>
          <m:sSubPr>
            <m:ctrlPr>
              <w:rPr>
                <w:rFonts w:ascii="Cambria Math" w:hAnsi="Cambria Math"/>
                <w:i/>
                <w:szCs w:val="24"/>
              </w:rPr>
            </m:ctrlPr>
          </m:sSubPr>
          <m:e>
            <m:r>
              <w:rPr>
                <w:rFonts w:ascii="Cambria Math" w:hAnsi="Cambria Math"/>
                <w:szCs w:val="24"/>
              </w:rPr>
              <m:t>BME'</m:t>
            </m:r>
          </m:e>
          <m:sub>
            <m:r>
              <w:rPr>
                <w:rFonts w:ascii="Cambria Math" w:hAnsi="Cambria Math"/>
                <w:szCs w:val="24"/>
              </w:rPr>
              <m:t>class</m:t>
            </m:r>
          </m:sub>
        </m:sSub>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e>
        </m:nary>
      </m:oMath>
      <w:r w:rsidR="0040730A">
        <w:rPr>
          <w:szCs w:val="24"/>
        </w:rPr>
        <w:t xml:space="preserve">   </w:t>
      </w:r>
      <w:r w:rsidR="0040730A" w:rsidRPr="00836E34">
        <w:rPr>
          <w:szCs w:val="24"/>
        </w:rPr>
        <w:t xml:space="preserve"> </w:t>
      </w:r>
      <w:r w:rsidR="0040730A" w:rsidRPr="00E261C9">
        <w:rPr>
          <w:szCs w:val="24"/>
        </w:rPr>
        <w:t xml:space="preserve">          </w:t>
      </w:r>
    </w:p>
    <w:p w:rsidR="0040730A" w:rsidRPr="00836E34" w:rsidRDefault="0040730A" w:rsidP="0040730A">
      <w:pPr>
        <w:pStyle w:val="BodyText"/>
        <w:jc w:val="both"/>
        <w:rPr>
          <w:szCs w:val="24"/>
        </w:rPr>
      </w:pPr>
    </w:p>
    <w:p w:rsidR="0040730A" w:rsidRPr="00E261C9" w:rsidRDefault="008D3EA7" w:rsidP="0040730A">
      <w:pPr>
        <w:pStyle w:val="BodyText"/>
        <w:spacing w:line="360" w:lineRule="auto"/>
        <w:ind w:left="576"/>
        <w:jc w:val="both"/>
        <w:rPr>
          <w:szCs w:val="24"/>
        </w:rPr>
      </w:pPr>
      <m:oMathPara>
        <m:oMathParaPr>
          <m:jc m:val="left"/>
        </m:oMathParaPr>
        <m:oMath>
          <m:sSub>
            <m:sSubPr>
              <m:ctrlPr>
                <w:rPr>
                  <w:rFonts w:ascii="Cambria Math" w:hAnsi="Cambria Math"/>
                  <w:i/>
                  <w:szCs w:val="24"/>
                </w:rPr>
              </m:ctrlPr>
            </m:sSubPr>
            <m:e>
              <m:r>
                <m:rPr>
                  <m:nor/>
                </m:rPr>
                <w:rPr>
                  <w:rFonts w:ascii="Cambria Math" w:hAnsi="Cambria Math"/>
                  <w:i/>
                  <w:szCs w:val="24"/>
                </w:rPr>
                <m:t xml:space="preserve">w'' </m:t>
              </m:r>
            </m:e>
            <m:sub>
              <m:r>
                <m:rPr>
                  <m:nor/>
                </m:rPr>
                <w:rPr>
                  <w:rFonts w:ascii="Cambria Math" w:hAnsi="Cambria Math"/>
                  <w:i/>
                  <w:szCs w:val="24"/>
                </w:rPr>
                <m:t>i</m:t>
              </m:r>
            </m:sub>
          </m:sSub>
          <m:r>
            <m:rPr>
              <m:nor/>
            </m:rPr>
            <w:rPr>
              <w:rFonts w:ascii="Cambria Math" w:hAnsi="Cambria Math"/>
              <w:i/>
              <w:szCs w:val="24"/>
            </w:rPr>
            <m:t>=</m:t>
          </m:r>
          <m:sSub>
            <m:sSubPr>
              <m:ctrlPr>
                <w:rPr>
                  <w:rFonts w:ascii="Cambria Math" w:hAnsi="Cambria Math"/>
                  <w:i/>
                  <w:szCs w:val="24"/>
                </w:rPr>
              </m:ctrlPr>
            </m:sSubPr>
            <m:e>
              <m:r>
                <m:rPr>
                  <m:nor/>
                </m:rPr>
                <w:rPr>
                  <w:rFonts w:ascii="Cambria Math" w:hAnsi="Cambria Math"/>
                  <w:i/>
                  <w:szCs w:val="24"/>
                </w:rPr>
                <m:t>w'</m:t>
              </m:r>
            </m:e>
            <m:sub>
              <m:r>
                <m:rPr>
                  <m:nor/>
                </m:rPr>
                <w:rPr>
                  <w:rFonts w:ascii="Cambria Math" w:hAnsi="Cambria Math"/>
                  <w:i/>
                  <w:szCs w:val="24"/>
                </w:rPr>
                <m:t>i</m:t>
              </m:r>
            </m:sub>
          </m:sSub>
          <m:r>
            <m:rPr>
              <m:nor/>
            </m:rPr>
            <w:rPr>
              <w:rFonts w:ascii="Cambria Math" w:hAnsi="Cambria Math"/>
              <w:i/>
              <w:szCs w:val="24"/>
            </w:rPr>
            <m:t xml:space="preserve"> (</m:t>
          </m:r>
          <m:sSub>
            <m:sSubPr>
              <m:ctrlPr>
                <w:rPr>
                  <w:rFonts w:ascii="Cambria Math" w:hAnsi="Cambria Math"/>
                  <w:i/>
                  <w:szCs w:val="24"/>
                </w:rPr>
              </m:ctrlPr>
            </m:sSubPr>
            <m:e>
              <m:r>
                <m:rPr>
                  <m:nor/>
                </m:rPr>
                <w:rPr>
                  <w:rFonts w:ascii="Cambria Math" w:hAnsi="Cambria Math"/>
                  <w:i/>
                  <w:szCs w:val="24"/>
                </w:rPr>
                <m:t>BME</m:t>
              </m:r>
            </m:e>
            <m:sub>
              <m:r>
                <m:rPr>
                  <m:nor/>
                </m:rPr>
                <w:rPr>
                  <w:rFonts w:ascii="Cambria Math" w:hAnsi="Cambria Math"/>
                  <w:i/>
                  <w:szCs w:val="24"/>
                </w:rPr>
                <m:t>class</m:t>
              </m:r>
            </m:sub>
          </m:sSub>
          <m:r>
            <m:rPr>
              <m:nor/>
            </m:rPr>
            <w:rPr>
              <w:rFonts w:ascii="Cambria Math" w:hAnsi="Cambria Math"/>
              <w:i/>
              <w:szCs w:val="24"/>
            </w:rPr>
            <m:t>/</m:t>
          </m:r>
          <m:sSub>
            <m:sSubPr>
              <m:ctrlPr>
                <w:rPr>
                  <w:rFonts w:ascii="Cambria Math" w:hAnsi="Cambria Math"/>
                  <w:i/>
                  <w:szCs w:val="24"/>
                </w:rPr>
              </m:ctrlPr>
            </m:sSubPr>
            <m:e>
              <m:r>
                <m:rPr>
                  <m:nor/>
                </m:rPr>
                <w:rPr>
                  <w:rFonts w:ascii="Cambria Math" w:hAnsi="Cambria Math"/>
                  <w:i/>
                  <w:szCs w:val="24"/>
                </w:rPr>
                <m:t>BME'</m:t>
              </m:r>
            </m:e>
            <m:sub>
              <m:r>
                <m:rPr>
                  <m:nor/>
                </m:rPr>
                <w:rPr>
                  <w:rFonts w:ascii="Cambria Math" w:hAnsi="Cambria Math"/>
                  <w:i/>
                  <w:szCs w:val="24"/>
                </w:rPr>
                <m:t>class</m:t>
              </m:r>
            </m:sub>
          </m:sSub>
          <m:r>
            <m:rPr>
              <m:nor/>
            </m:rPr>
            <w:rPr>
              <w:rFonts w:ascii="Cambria Math" w:hAnsi="Cambria Math"/>
              <w:szCs w:val="24"/>
            </w:rPr>
            <m:t xml:space="preserve"> )</m:t>
          </m:r>
        </m:oMath>
      </m:oMathPara>
    </w:p>
    <w:p w:rsidR="0040730A" w:rsidRDefault="0040730A" w:rsidP="0040730A">
      <w:pPr>
        <w:pStyle w:val="BodyText"/>
        <w:spacing w:line="240" w:lineRule="auto"/>
        <w:jc w:val="both"/>
      </w:pPr>
    </w:p>
    <w:p w:rsidR="0040730A" w:rsidRPr="00836E34" w:rsidRDefault="0040730A" w:rsidP="0040730A">
      <w:pPr>
        <w:pStyle w:val="BodyText"/>
        <w:spacing w:line="240" w:lineRule="auto"/>
        <w:jc w:val="both"/>
      </w:pPr>
      <w:r w:rsidRPr="00836E34">
        <w:t xml:space="preserve">For totals, simple weighted estimates can be made using the weights </w:t>
      </w: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oMath>
      <w:r w:rsidRPr="00836E34">
        <w:t xml:space="preserve"> and the responding establishment values </w:t>
      </w:r>
      <w:r w:rsidRPr="00836E34">
        <w:rPr>
          <w:i/>
        </w:rPr>
        <w:t>y</w:t>
      </w:r>
      <w:r w:rsidRPr="00836E34">
        <w:rPr>
          <w:i/>
          <w:vertAlign w:val="subscript"/>
        </w:rPr>
        <w:t>i</w:t>
      </w:r>
      <w:r w:rsidRPr="00836E34">
        <w:t xml:space="preserve"> for a characteristic.  </w:t>
      </w:r>
    </w:p>
    <w:p w:rsidR="0040730A" w:rsidRDefault="0040730A" w:rsidP="0040730A">
      <w:pPr>
        <w:pStyle w:val="BodyText"/>
        <w:spacing w:line="240" w:lineRule="auto"/>
        <w:jc w:val="both"/>
      </w:pPr>
      <w:r w:rsidRPr="00836E34">
        <w:t xml:space="preserve">The sum in the formula is restricted to the r respondents that contribute to an estimate y of an unknown population characteristic Y. </w:t>
      </w:r>
    </w:p>
    <w:p w:rsidR="0040730A" w:rsidRDefault="0040730A" w:rsidP="0040730A">
      <w:pPr>
        <w:pStyle w:val="BodyText"/>
        <w:spacing w:line="240" w:lineRule="auto"/>
        <w:jc w:val="both"/>
        <w:rPr>
          <w:szCs w:val="24"/>
        </w:rPr>
      </w:pPr>
    </w:p>
    <w:p w:rsidR="0040730A" w:rsidRDefault="0040730A" w:rsidP="0040730A">
      <w:pPr>
        <w:pStyle w:val="BodyText"/>
        <w:spacing w:line="240" w:lineRule="auto"/>
        <w:ind w:left="360"/>
        <w:jc w:val="both"/>
        <w:rPr>
          <w:szCs w:val="24"/>
        </w:rPr>
      </w:pPr>
      <m:oMath>
        <m:r>
          <w:rPr>
            <w:rFonts w:ascii="Cambria Math" w:hAnsi="Cambria Math"/>
            <w:szCs w:val="24"/>
          </w:rPr>
          <m:t>y=</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e>
        </m:nary>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oMath>
      <w:r w:rsidRPr="00836E34">
        <w:rPr>
          <w:szCs w:val="24"/>
        </w:rPr>
        <w:t xml:space="preserve">          </w:t>
      </w:r>
      <w:r w:rsidR="008D3EA7" w:rsidRPr="00944718">
        <w:rPr>
          <w:szCs w:val="24"/>
        </w:rPr>
        <w:fldChar w:fldCharType="begin"/>
      </w:r>
      <w:r w:rsidRPr="00944718">
        <w:rPr>
          <w:szCs w:val="24"/>
        </w:rPr>
        <w:instrText xml:space="preserve"> QUOTE </w:instrText>
      </w:r>
      <m:oMath>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1</m:t>
            </m:r>
          </m:sub>
          <m:sup>
            <m:r>
              <w:rPr>
                <w:rFonts w:ascii="Cambria Math" w:hAnsi="Cambria Math"/>
                <w:szCs w:val="24"/>
              </w:rPr>
              <m:t>r</m:t>
            </m:r>
          </m:sup>
          <m:e>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i</m:t>
                </m:r>
              </m:sub>
              <m:sup>
                <m:r>
                  <w:rPr>
                    <w:rFonts w:ascii="Cambria Math" w:hAnsi="Cambria Math"/>
                    <w:szCs w:val="24"/>
                  </w:rPr>
                  <m:t>''</m:t>
                </m:r>
              </m:sup>
            </m:sSubSup>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e>
        </m:nary>
        <m:r>
          <w:rPr>
            <w:rFonts w:ascii="Cambria Math" w:hAnsi="Cambria Math"/>
            <w:szCs w:val="24"/>
          </w:rPr>
          <m:t xml:space="preserve"> </m:t>
        </m:r>
      </m:oMath>
      <w:r w:rsidRPr="00944718">
        <w:rPr>
          <w:szCs w:val="24"/>
        </w:rPr>
        <w:instrText xml:space="preserve"> </w:instrText>
      </w:r>
      <w:r w:rsidR="008D3EA7" w:rsidRPr="00944718">
        <w:rPr>
          <w:szCs w:val="24"/>
        </w:rPr>
        <w:fldChar w:fldCharType="end"/>
      </w:r>
      <w:r w:rsidRPr="00836E34">
        <w:rPr>
          <w:szCs w:val="24"/>
        </w:rPr>
        <w:t xml:space="preserve">      </w:t>
      </w:r>
    </w:p>
    <w:p w:rsidR="0040730A" w:rsidRPr="00836E34" w:rsidRDefault="0040730A" w:rsidP="0040730A">
      <w:pPr>
        <w:pStyle w:val="BodyText"/>
        <w:spacing w:line="240" w:lineRule="auto"/>
        <w:jc w:val="both"/>
      </w:pPr>
    </w:p>
    <w:p w:rsidR="0040730A" w:rsidRPr="00836E34" w:rsidRDefault="0040730A" w:rsidP="0040730A">
      <w:pPr>
        <w:rPr>
          <w:sz w:val="24"/>
        </w:rPr>
      </w:pPr>
    </w:p>
    <w:p w:rsidR="0040730A" w:rsidRDefault="0040730A" w:rsidP="0040730A">
      <w:pPr>
        <w:pStyle w:val="BodyText"/>
        <w:spacing w:line="240" w:lineRule="auto"/>
        <w:jc w:val="both"/>
        <w:rPr>
          <w:szCs w:val="24"/>
        </w:rPr>
      </w:pPr>
      <w:r w:rsidRPr="00C1739F">
        <w:rPr>
          <w:i/>
          <w:szCs w:val="24"/>
        </w:rPr>
        <w:t>Wage Estimation</w:t>
      </w:r>
      <w:r w:rsidRPr="00836E34">
        <w:rPr>
          <w:szCs w:val="24"/>
        </w:rPr>
        <w:t>–</w:t>
      </w:r>
      <w:r w:rsidRPr="003559EB">
        <w:rPr>
          <w:szCs w:val="24"/>
        </w:rPr>
        <w:t xml:space="preserve">Mean wage and median wage estimates </w:t>
      </w:r>
      <w:r>
        <w:rPr>
          <w:szCs w:val="24"/>
        </w:rPr>
        <w:t>will be</w:t>
      </w:r>
      <w:r w:rsidRPr="003559EB">
        <w:rPr>
          <w:szCs w:val="24"/>
        </w:rPr>
        <w:t xml:space="preserve"> calculated for occupation</w:t>
      </w:r>
      <w:r>
        <w:rPr>
          <w:szCs w:val="24"/>
        </w:rPr>
        <w:t>s</w:t>
      </w:r>
      <w:r w:rsidRPr="003559EB">
        <w:rPr>
          <w:szCs w:val="24"/>
        </w:rPr>
        <w:t xml:space="preserve"> within </w:t>
      </w:r>
      <w:r>
        <w:rPr>
          <w:szCs w:val="24"/>
        </w:rPr>
        <w:t>Census Region</w:t>
      </w:r>
      <w:r w:rsidRPr="003559EB">
        <w:rPr>
          <w:szCs w:val="24"/>
        </w:rPr>
        <w:t>/</w:t>
      </w:r>
      <w:r>
        <w:rPr>
          <w:szCs w:val="24"/>
        </w:rPr>
        <w:t>two</w:t>
      </w:r>
      <w:r w:rsidRPr="003559EB">
        <w:rPr>
          <w:szCs w:val="24"/>
        </w:rPr>
        <w:t>-digit industry cell</w:t>
      </w:r>
      <w:r>
        <w:rPr>
          <w:szCs w:val="24"/>
        </w:rPr>
        <w:t>s</w:t>
      </w:r>
      <w:r w:rsidRPr="003559EB">
        <w:rPr>
          <w:szCs w:val="24"/>
        </w:rPr>
        <w:t xml:space="preserve">.  </w:t>
      </w:r>
      <w:r>
        <w:rPr>
          <w:szCs w:val="24"/>
        </w:rPr>
        <w:t>W</w:t>
      </w:r>
      <w:r w:rsidRPr="003559EB">
        <w:rPr>
          <w:szCs w:val="24"/>
        </w:rPr>
        <w:t xml:space="preserve">age rate data </w:t>
      </w:r>
      <w:r>
        <w:rPr>
          <w:szCs w:val="24"/>
        </w:rPr>
        <w:t>will be</w:t>
      </w:r>
      <w:r w:rsidRPr="003559EB">
        <w:rPr>
          <w:szCs w:val="24"/>
        </w:rPr>
        <w:t xml:space="preserve"> collected in broad wage bands instead of exact data points</w:t>
      </w:r>
      <w:r>
        <w:rPr>
          <w:szCs w:val="24"/>
        </w:rPr>
        <w:t xml:space="preserve">.  </w:t>
      </w:r>
      <w:r w:rsidRPr="003559EB">
        <w:rPr>
          <w:szCs w:val="24"/>
        </w:rPr>
        <w:t xml:space="preserve">To approximate median wage rates, </w:t>
      </w:r>
      <w:r>
        <w:rPr>
          <w:szCs w:val="24"/>
        </w:rPr>
        <w:t xml:space="preserve">a uniform distribution within wage intervals is assumed and a </w:t>
      </w:r>
      <w:r w:rsidRPr="003559EB">
        <w:rPr>
          <w:szCs w:val="24"/>
        </w:rPr>
        <w:t xml:space="preserve">simple </w:t>
      </w:r>
      <w:r>
        <w:rPr>
          <w:szCs w:val="24"/>
        </w:rPr>
        <w:t>l</w:t>
      </w:r>
      <w:r w:rsidRPr="003559EB">
        <w:rPr>
          <w:szCs w:val="24"/>
        </w:rPr>
        <w:t>inear interpolation b</w:t>
      </w:r>
      <w:r>
        <w:rPr>
          <w:szCs w:val="24"/>
        </w:rPr>
        <w:t xml:space="preserve">etween the endpoints of the </w:t>
      </w:r>
      <w:r w:rsidRPr="003559EB">
        <w:rPr>
          <w:szCs w:val="24"/>
        </w:rPr>
        <w:t>wage intervals</w:t>
      </w:r>
      <w:r>
        <w:rPr>
          <w:szCs w:val="24"/>
        </w:rPr>
        <w:t xml:space="preserve"> is used.</w:t>
      </w:r>
    </w:p>
    <w:p w:rsidR="0040730A" w:rsidRDefault="0040730A" w:rsidP="0040730A">
      <w:pPr>
        <w:autoSpaceDE w:val="0"/>
        <w:autoSpaceDN w:val="0"/>
        <w:adjustRightInd w:val="0"/>
        <w:rPr>
          <w:sz w:val="24"/>
          <w:szCs w:val="24"/>
        </w:rPr>
      </w:pPr>
    </w:p>
    <w:p w:rsidR="0040730A" w:rsidRDefault="0040730A" w:rsidP="0040730A">
      <w:pPr>
        <w:autoSpaceDE w:val="0"/>
        <w:autoSpaceDN w:val="0"/>
        <w:adjustRightInd w:val="0"/>
        <w:jc w:val="both"/>
        <w:rPr>
          <w:sz w:val="24"/>
          <w:szCs w:val="24"/>
        </w:rPr>
      </w:pPr>
      <w:r>
        <w:rPr>
          <w:sz w:val="24"/>
          <w:szCs w:val="24"/>
        </w:rPr>
        <w:t>Because wage rate data are</w:t>
      </w:r>
      <w:r w:rsidRPr="003559EB">
        <w:rPr>
          <w:sz w:val="24"/>
          <w:szCs w:val="24"/>
        </w:rPr>
        <w:t xml:space="preserve"> collected in broad wage bands instead of exact data points, the standard error for each mean wage rate estimate is calculated using a components model.  This model accounts for the variability of both the observed and unobserved components of wage rate data.  A traditional ratio variance estimator </w:t>
      </w:r>
      <w:r>
        <w:rPr>
          <w:sz w:val="24"/>
          <w:szCs w:val="24"/>
        </w:rPr>
        <w:t>will be</w:t>
      </w:r>
      <w:r w:rsidRPr="003559EB">
        <w:rPr>
          <w:sz w:val="24"/>
          <w:szCs w:val="24"/>
        </w:rPr>
        <w:t xml:space="preserve"> used to account for the variability observed in the collected</w:t>
      </w:r>
      <w:r>
        <w:rPr>
          <w:sz w:val="24"/>
          <w:szCs w:val="24"/>
        </w:rPr>
        <w:t xml:space="preserve"> GTP</w:t>
      </w:r>
      <w:r w:rsidRPr="003559EB">
        <w:rPr>
          <w:sz w:val="24"/>
          <w:szCs w:val="24"/>
        </w:rPr>
        <w:t xml:space="preserve"> wage data.  </w:t>
      </w:r>
    </w:p>
    <w:p w:rsidR="0040730A" w:rsidRPr="0007494F" w:rsidRDefault="0040730A" w:rsidP="0040730A">
      <w:pPr>
        <w:rPr>
          <w:sz w:val="24"/>
        </w:rPr>
      </w:pPr>
    </w:p>
    <w:p w:rsidR="0040730A" w:rsidRPr="00C1739F" w:rsidRDefault="0040730A" w:rsidP="0040730A">
      <w:pPr>
        <w:rPr>
          <w:b/>
          <w:sz w:val="24"/>
        </w:rPr>
      </w:pPr>
      <w:r w:rsidRPr="00C1739F">
        <w:rPr>
          <w:b/>
          <w:sz w:val="24"/>
        </w:rPr>
        <w:t>2(c</w:t>
      </w:r>
      <w:proofErr w:type="gramStart"/>
      <w:r w:rsidRPr="00C1739F">
        <w:rPr>
          <w:b/>
          <w:sz w:val="24"/>
        </w:rPr>
        <w:t>)  Reliability</w:t>
      </w:r>
      <w:proofErr w:type="gramEnd"/>
    </w:p>
    <w:p w:rsidR="0040730A" w:rsidRPr="00953CFC" w:rsidRDefault="0040730A" w:rsidP="0040730A">
      <w:pPr>
        <w:rPr>
          <w:sz w:val="24"/>
          <w:szCs w:val="24"/>
          <w:u w:val="single"/>
        </w:rPr>
      </w:pPr>
    </w:p>
    <w:p w:rsidR="0040730A" w:rsidRDefault="0040730A" w:rsidP="0040730A">
      <w:pPr>
        <w:pStyle w:val="BodyText"/>
        <w:spacing w:line="240" w:lineRule="auto"/>
        <w:jc w:val="both"/>
        <w:rPr>
          <w:szCs w:val="24"/>
        </w:rPr>
      </w:pPr>
      <w:r w:rsidRPr="00953CFC">
        <w:rPr>
          <w:szCs w:val="24"/>
        </w:rPr>
        <w:t>The estimation of sample variances will use a replication methodology similar to that used by Current Employment Statistics (CES) and the Job Openings and Labor Turnover Survey (JOLTS).  Balanced Half Sampling (BHS) uses half samples of the original sample and calculates estimates using those half samples.  Balanced Repeated Replication (BRR) modifies the technique by using the entire sample for making replicate estimates but by perturbing the weights of half samples in a systematic fashion using a Hadamard matrix.  The sample variance is calculated by measuring the variability of the estimates made from these replicates.  (For a detailed mathematical presentation of this method as applied to estimates from the Current Employment Statistics Survey, see Handbook of Methods, BLS Chapter 2, pages 8-9, Bureau of Labor Statis</w:t>
      </w:r>
      <w:r>
        <w:rPr>
          <w:szCs w:val="24"/>
        </w:rPr>
        <w:t>tics, 200</w:t>
      </w:r>
      <w:r w:rsidRPr="00953CFC">
        <w:rPr>
          <w:szCs w:val="24"/>
        </w:rPr>
        <w:t xml:space="preserve"> or </w:t>
      </w:r>
      <w:hyperlink r:id="rId8" w:history="1">
        <w:r w:rsidRPr="00953CFC">
          <w:rPr>
            <w:rStyle w:val="Hyperlink"/>
            <w:szCs w:val="24"/>
          </w:rPr>
          <w:t>http://www.bls.gov/opub/hom/homch2_i.htm</w:t>
        </w:r>
      </w:hyperlink>
      <w:r w:rsidRPr="00953CFC">
        <w:rPr>
          <w:szCs w:val="24"/>
        </w:rPr>
        <w:t>.)  A method with a different H</w:t>
      </w:r>
      <w:r>
        <w:rPr>
          <w:szCs w:val="24"/>
        </w:rPr>
        <w:t>adamard matrix is planned for GTP</w:t>
      </w:r>
      <w:r w:rsidRPr="00953CFC">
        <w:rPr>
          <w:szCs w:val="24"/>
        </w:rPr>
        <w:t>.</w:t>
      </w:r>
    </w:p>
    <w:p w:rsidR="0040730A" w:rsidRDefault="0040730A" w:rsidP="0040730A">
      <w:pPr>
        <w:pStyle w:val="BodyText"/>
        <w:jc w:val="both"/>
        <w:rPr>
          <w:szCs w:val="24"/>
        </w:rPr>
      </w:pPr>
    </w:p>
    <w:p w:rsidR="0040730A" w:rsidRDefault="0040730A" w:rsidP="0040730A">
      <w:pPr>
        <w:pStyle w:val="BodyText"/>
        <w:spacing w:line="240" w:lineRule="auto"/>
        <w:jc w:val="both"/>
        <w:rPr>
          <w:szCs w:val="24"/>
        </w:rPr>
      </w:pPr>
      <w:r w:rsidRPr="00953CFC">
        <w:rPr>
          <w:szCs w:val="24"/>
        </w:rPr>
        <w:t>The standard weight perturbation uses a factor of ½ to either increase or decrease the weight for an establishment when making an estimate for the α</w:t>
      </w:r>
      <w:r w:rsidRPr="00953CFC">
        <w:rPr>
          <w:szCs w:val="24"/>
          <w:vertAlign w:val="superscript"/>
        </w:rPr>
        <w:t>th</w:t>
      </w:r>
      <w:r w:rsidRPr="00953CFC">
        <w:rPr>
          <w:szCs w:val="24"/>
        </w:rPr>
        <w:t xml:space="preserve"> replicate.</w:t>
      </w:r>
    </w:p>
    <w:p w:rsidR="0040730A" w:rsidRDefault="0040730A" w:rsidP="0040730A">
      <w:pPr>
        <w:pStyle w:val="BodyText"/>
        <w:spacing w:line="240" w:lineRule="auto"/>
        <w:jc w:val="both"/>
        <w:rPr>
          <w:szCs w:val="24"/>
        </w:rPr>
      </w:pPr>
    </w:p>
    <w:p w:rsidR="0040730A" w:rsidRPr="00953CFC" w:rsidRDefault="0040730A" w:rsidP="0040730A">
      <w:pPr>
        <w:jc w:val="both"/>
        <w:rPr>
          <w:sz w:val="24"/>
          <w:szCs w:val="24"/>
        </w:rPr>
      </w:pPr>
      <w:r w:rsidRPr="00953CFC">
        <w:rPr>
          <w:position w:val="-126"/>
          <w:sz w:val="24"/>
          <w:szCs w:val="24"/>
        </w:rPr>
        <w:object w:dxaOrig="6740" w:dyaOrig="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35pt" o:ole="">
            <v:imagedata r:id="rId9" o:title=""/>
          </v:shape>
          <o:OLEObject Type="Embed" ProgID="Equation.DSMT4" ShapeID="_x0000_i1025" DrawAspect="Content" ObjectID="_1370423506" r:id="rId10"/>
        </w:object>
      </w:r>
    </w:p>
    <w:p w:rsidR="0040730A" w:rsidRDefault="0040730A" w:rsidP="0040730A">
      <w:pPr>
        <w:jc w:val="both"/>
        <w:rPr>
          <w:sz w:val="24"/>
          <w:szCs w:val="24"/>
        </w:rPr>
      </w:pPr>
    </w:p>
    <w:p w:rsidR="0040730A" w:rsidRPr="00953CFC" w:rsidRDefault="0040730A" w:rsidP="0040730A">
      <w:pPr>
        <w:jc w:val="both"/>
        <w:rPr>
          <w:sz w:val="24"/>
          <w:szCs w:val="24"/>
        </w:rPr>
      </w:pPr>
      <w:r w:rsidRPr="00953CFC">
        <w:rPr>
          <w:sz w:val="24"/>
          <w:szCs w:val="24"/>
        </w:rPr>
        <w:t xml:space="preserve">For each replicate α, an estimate </w:t>
      </w:r>
      <m:oMath>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m:t>
                </m:r>
              </m:sup>
            </m:sSup>
          </m:e>
          <m:sup>
            <m:r>
              <w:rPr>
                <w:rFonts w:ascii="Cambria Math" w:hAnsi="Cambria Math"/>
                <w:sz w:val="24"/>
                <w:szCs w:val="24"/>
              </w:rPr>
              <m:t>(∝)</m:t>
            </m:r>
          </m:sup>
        </m:sSup>
      </m:oMath>
      <w:r>
        <w:rPr>
          <w:sz w:val="24"/>
          <w:szCs w:val="24"/>
        </w:rPr>
        <w:t xml:space="preserve"> </w:t>
      </w:r>
      <w:r w:rsidRPr="00953CFC">
        <w:rPr>
          <w:sz w:val="24"/>
          <w:szCs w:val="24"/>
        </w:rPr>
        <w:t xml:space="preserve">can be made, for example of a total </w:t>
      </w:r>
      <w:r w:rsidRPr="004963AD">
        <w:rPr>
          <w:sz w:val="24"/>
          <w:szCs w:val="24"/>
        </w:rPr>
        <w:t>Y</w:t>
      </w:r>
      <w:r w:rsidRPr="00953CFC">
        <w:rPr>
          <w:sz w:val="24"/>
          <w:szCs w:val="24"/>
        </w:rPr>
        <w:t xml:space="preserve">.  If there are </w:t>
      </w:r>
      <w:proofErr w:type="gramStart"/>
      <w:r w:rsidRPr="00953CFC">
        <w:rPr>
          <w:sz w:val="24"/>
          <w:szCs w:val="24"/>
        </w:rPr>
        <w:t>A</w:t>
      </w:r>
      <w:proofErr w:type="gramEnd"/>
      <w:r w:rsidRPr="00953CFC">
        <w:rPr>
          <w:sz w:val="24"/>
          <w:szCs w:val="24"/>
        </w:rPr>
        <w:t xml:space="preserve"> replicates, each replicate can be compared to an estimate </w:t>
      </w:r>
      <m:oMath>
        <m:r>
          <w:rPr>
            <w:rFonts w:ascii="Cambria Math" w:hAnsi="Cambria Math"/>
            <w:sz w:val="24"/>
            <w:szCs w:val="24"/>
          </w:rPr>
          <m:t>Y'</m:t>
        </m:r>
      </m:oMath>
      <w:r w:rsidRPr="00953CFC">
        <w:rPr>
          <w:sz w:val="24"/>
          <w:szCs w:val="24"/>
        </w:rPr>
        <w:t xml:space="preserve"> made from the entire sample (using original weights) and the following formula used to calculate an estimated variance.      </w:t>
      </w:r>
    </w:p>
    <w:p w:rsidR="0040730A" w:rsidRPr="00953CFC" w:rsidRDefault="0040730A" w:rsidP="0040730A">
      <w:pPr>
        <w:jc w:val="both"/>
        <w:rPr>
          <w:sz w:val="24"/>
          <w:szCs w:val="24"/>
        </w:rPr>
      </w:pPr>
    </w:p>
    <w:p w:rsidR="0040730A" w:rsidRDefault="0040730A" w:rsidP="0040730A">
      <w:pPr>
        <w:jc w:val="both"/>
        <w:rPr>
          <w:sz w:val="24"/>
          <w:szCs w:val="24"/>
        </w:rPr>
      </w:pPr>
      <w:r w:rsidRPr="00953CFC">
        <w:rPr>
          <w:sz w:val="24"/>
          <w:szCs w:val="24"/>
        </w:rPr>
        <w:t xml:space="preserve">        </w:t>
      </w:r>
      <m:oMath>
        <m:sSub>
          <m:sSubPr>
            <m:ctrlPr>
              <w:rPr>
                <w:rFonts w:ascii="Cambria Math" w:hAnsi="Cambria Math"/>
                <w:i/>
                <w:sz w:val="24"/>
                <w:szCs w:val="24"/>
              </w:rPr>
            </m:ctrlPr>
          </m:sSubPr>
          <m:e>
            <m:r>
              <w:rPr>
                <w:rFonts w:ascii="Cambria Math" w:hAnsi="Cambria Math"/>
                <w:sz w:val="24"/>
                <w:szCs w:val="24"/>
              </w:rPr>
              <m:t>var</m:t>
            </m:r>
          </m:e>
          <m:sub>
            <m:r>
              <w:rPr>
                <w:rFonts w:ascii="Cambria Math" w:hAnsi="Cambria Math"/>
                <w:sz w:val="24"/>
                <w:szCs w:val="24"/>
              </w:rPr>
              <m:t>BRR</m:t>
            </m:r>
          </m:sub>
        </m:sSub>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γ</m:t>
                </m:r>
              </m:e>
              <m:sup>
                <m:r>
                  <w:rPr>
                    <w:rFonts w:ascii="Cambria Math" w:hAnsi="Cambria Math"/>
                    <w:sz w:val="24"/>
                    <w:szCs w:val="24"/>
                  </w:rPr>
                  <m:t>2</m:t>
                </m:r>
              </m:sup>
            </m:sSup>
          </m:den>
        </m:f>
        <m:nary>
          <m:naryPr>
            <m:chr m:val="∑"/>
            <m:limLoc m:val="undOv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A</m:t>
            </m:r>
          </m:sup>
          <m:e>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m:t>
                            </m:r>
                          </m:sup>
                        </m:sSup>
                      </m:e>
                      <m:sup>
                        <m:r>
                          <w:rPr>
                            <w:rFonts w:ascii="Cambria Math" w:hAnsi="Cambria Math"/>
                            <w:sz w:val="24"/>
                            <w:szCs w:val="24"/>
                          </w:rPr>
                          <m:t>(∝)</m:t>
                        </m:r>
                      </m:sup>
                    </m:sSup>
                    <m:r>
                      <w:rPr>
                        <w:rFonts w:ascii="Cambria Math" w:hAnsi="Cambria Math"/>
                        <w:sz w:val="24"/>
                        <w:szCs w:val="24"/>
                      </w:rPr>
                      <m:t>- Y'</m:t>
                    </m:r>
                  </m:e>
                </m:d>
              </m:e>
              <m:sup>
                <m:r>
                  <w:rPr>
                    <w:rFonts w:ascii="Cambria Math" w:hAnsi="Cambria Math"/>
                    <w:sz w:val="24"/>
                    <w:szCs w:val="24"/>
                  </w:rPr>
                  <m:t>2</m:t>
                </m:r>
              </m:sup>
            </m:sSup>
          </m:e>
        </m:nary>
      </m:oMath>
    </w:p>
    <w:p w:rsidR="0040730A" w:rsidRDefault="0040730A" w:rsidP="0040730A">
      <w:pPr>
        <w:jc w:val="both"/>
        <w:rPr>
          <w:sz w:val="24"/>
          <w:szCs w:val="24"/>
        </w:rPr>
      </w:pPr>
    </w:p>
    <w:p w:rsidR="0040730A" w:rsidRDefault="0040730A" w:rsidP="0040730A">
      <w:pPr>
        <w:jc w:val="both"/>
        <w:rPr>
          <w:sz w:val="24"/>
          <w:szCs w:val="24"/>
        </w:rPr>
      </w:pPr>
      <w:r w:rsidRPr="00953CFC">
        <w:rPr>
          <w:sz w:val="24"/>
          <w:szCs w:val="24"/>
        </w:rPr>
        <w:t xml:space="preserve">As mentioned </w:t>
      </w:r>
      <w:r>
        <w:rPr>
          <w:sz w:val="24"/>
          <w:szCs w:val="24"/>
        </w:rPr>
        <w:t xml:space="preserve">in the </w:t>
      </w:r>
      <w:r w:rsidRPr="00953CFC">
        <w:rPr>
          <w:sz w:val="24"/>
          <w:szCs w:val="24"/>
        </w:rPr>
        <w:t xml:space="preserve">beginning of Part B, this is a new survey for BLS, thus at present </w:t>
      </w:r>
      <w:r>
        <w:rPr>
          <w:sz w:val="24"/>
          <w:szCs w:val="24"/>
        </w:rPr>
        <w:t xml:space="preserve">only crude </w:t>
      </w:r>
      <w:r w:rsidRPr="00953CFC">
        <w:rPr>
          <w:sz w:val="24"/>
          <w:szCs w:val="24"/>
        </w:rPr>
        <w:t xml:space="preserve">estimates of standard errors </w:t>
      </w:r>
      <w:r>
        <w:rPr>
          <w:sz w:val="24"/>
          <w:szCs w:val="24"/>
        </w:rPr>
        <w:t xml:space="preserve">based on results from pilot tests </w:t>
      </w:r>
      <w:r w:rsidRPr="00953CFC">
        <w:rPr>
          <w:sz w:val="24"/>
          <w:szCs w:val="24"/>
        </w:rPr>
        <w:t xml:space="preserve">are available. </w:t>
      </w:r>
      <w:r>
        <w:rPr>
          <w:sz w:val="24"/>
          <w:szCs w:val="24"/>
        </w:rPr>
        <w:t xml:space="preserve"> </w:t>
      </w:r>
      <w:r w:rsidRPr="00A5388F">
        <w:rPr>
          <w:sz w:val="24"/>
          <w:szCs w:val="24"/>
        </w:rPr>
        <w:t xml:space="preserve"> </w:t>
      </w:r>
      <w:r>
        <w:rPr>
          <w:sz w:val="24"/>
          <w:szCs w:val="24"/>
        </w:rPr>
        <w:t>GTP sample allocation and selection based on the properties discussed above were simulated to estimate approximate cell sample sizes.  Rough design effects were calculated from historical QCEW data.  The resultant sample sizes by 2-digit NAICS, and estimated National and Regional CVs by 2-digit NAICS are provided below.</w:t>
      </w:r>
    </w:p>
    <w:p w:rsidR="0040730A" w:rsidRDefault="0040730A" w:rsidP="0040730A">
      <w:pPr>
        <w:jc w:val="both"/>
        <w:rPr>
          <w:sz w:val="24"/>
          <w:szCs w:val="24"/>
        </w:rPr>
      </w:pPr>
    </w:p>
    <w:p w:rsidR="00E01036" w:rsidRDefault="00E01036" w:rsidP="0040730A">
      <w:pPr>
        <w:jc w:val="both"/>
        <w:rPr>
          <w:sz w:val="24"/>
          <w:szCs w:val="24"/>
        </w:rPr>
      </w:pPr>
    </w:p>
    <w:p w:rsidR="00E01036" w:rsidRDefault="00E01036" w:rsidP="0040730A">
      <w:pPr>
        <w:jc w:val="both"/>
        <w:rPr>
          <w:sz w:val="24"/>
          <w:szCs w:val="24"/>
        </w:rPr>
      </w:pPr>
    </w:p>
    <w:p w:rsidR="00E01036" w:rsidRDefault="00E01036" w:rsidP="0040730A">
      <w:pPr>
        <w:jc w:val="both"/>
        <w:rPr>
          <w:sz w:val="24"/>
          <w:szCs w:val="24"/>
        </w:rPr>
      </w:pPr>
    </w:p>
    <w:p w:rsidR="00E01036" w:rsidRDefault="00E01036" w:rsidP="0040730A">
      <w:pPr>
        <w:jc w:val="both"/>
        <w:rPr>
          <w:sz w:val="24"/>
          <w:szCs w:val="24"/>
        </w:rPr>
      </w:pPr>
    </w:p>
    <w:tbl>
      <w:tblPr>
        <w:tblW w:w="9378" w:type="dxa"/>
        <w:tblInd w:w="93" w:type="dxa"/>
        <w:tblLook w:val="04A0"/>
      </w:tblPr>
      <w:tblGrid>
        <w:gridCol w:w="777"/>
        <w:gridCol w:w="3271"/>
        <w:gridCol w:w="1190"/>
        <w:gridCol w:w="900"/>
        <w:gridCol w:w="1040"/>
        <w:gridCol w:w="920"/>
        <w:gridCol w:w="640"/>
        <w:gridCol w:w="640"/>
      </w:tblGrid>
      <w:tr w:rsidR="0040730A" w:rsidRPr="006C3677" w:rsidTr="00345F82">
        <w:trPr>
          <w:trHeight w:val="315"/>
        </w:trPr>
        <w:tc>
          <w:tcPr>
            <w:tcW w:w="523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0730A" w:rsidRPr="006C3677" w:rsidRDefault="0040730A" w:rsidP="00340EDD">
            <w:pPr>
              <w:jc w:val="center"/>
              <w:rPr>
                <w:color w:val="000000"/>
                <w:sz w:val="16"/>
                <w:szCs w:val="16"/>
              </w:rPr>
            </w:pPr>
            <w:r w:rsidRPr="006C3677">
              <w:rPr>
                <w:color w:val="000000"/>
                <w:sz w:val="16"/>
                <w:szCs w:val="16"/>
              </w:rPr>
              <w:lastRenderedPageBreak/>
              <w:t>Industry</w:t>
            </w:r>
          </w:p>
        </w:tc>
        <w:tc>
          <w:tcPr>
            <w:tcW w:w="414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0730A" w:rsidRPr="006C3677" w:rsidRDefault="0040730A" w:rsidP="00340EDD">
            <w:pPr>
              <w:jc w:val="center"/>
              <w:rPr>
                <w:color w:val="000000"/>
                <w:sz w:val="16"/>
                <w:szCs w:val="16"/>
              </w:rPr>
            </w:pPr>
            <w:r w:rsidRPr="006C3677">
              <w:rPr>
                <w:color w:val="000000"/>
                <w:sz w:val="16"/>
                <w:szCs w:val="16"/>
              </w:rPr>
              <w:t>Estimated CV on Green Employment</w:t>
            </w:r>
          </w:p>
        </w:tc>
      </w:tr>
      <w:tr w:rsidR="0040730A" w:rsidRPr="006C3677" w:rsidTr="00345F82">
        <w:trPr>
          <w:trHeight w:val="945"/>
        </w:trPr>
        <w:tc>
          <w:tcPr>
            <w:tcW w:w="777" w:type="dxa"/>
            <w:tcBorders>
              <w:top w:val="nil"/>
              <w:left w:val="single" w:sz="8" w:space="0" w:color="auto"/>
              <w:bottom w:val="single" w:sz="8" w:space="0" w:color="auto"/>
              <w:right w:val="single" w:sz="8" w:space="0" w:color="auto"/>
            </w:tcBorders>
            <w:shd w:val="clear" w:color="auto" w:fill="auto"/>
            <w:noWrap/>
            <w:vAlign w:val="center"/>
            <w:hideMark/>
          </w:tcPr>
          <w:p w:rsidR="0040730A" w:rsidRPr="006C3677" w:rsidRDefault="0040730A" w:rsidP="00340EDD">
            <w:pPr>
              <w:jc w:val="center"/>
              <w:rPr>
                <w:color w:val="000000"/>
                <w:sz w:val="16"/>
                <w:szCs w:val="16"/>
              </w:rPr>
            </w:pPr>
            <w:r w:rsidRPr="006C3677">
              <w:rPr>
                <w:color w:val="000000"/>
                <w:sz w:val="16"/>
                <w:szCs w:val="16"/>
              </w:rPr>
              <w:t>NAICS2</w:t>
            </w:r>
          </w:p>
        </w:tc>
        <w:tc>
          <w:tcPr>
            <w:tcW w:w="3271" w:type="dxa"/>
            <w:tcBorders>
              <w:top w:val="nil"/>
              <w:left w:val="nil"/>
              <w:bottom w:val="single" w:sz="8" w:space="0" w:color="auto"/>
              <w:right w:val="single" w:sz="8" w:space="0" w:color="auto"/>
            </w:tcBorders>
            <w:shd w:val="clear" w:color="auto" w:fill="auto"/>
            <w:noWrap/>
            <w:vAlign w:val="center"/>
            <w:hideMark/>
          </w:tcPr>
          <w:p w:rsidR="0040730A" w:rsidRPr="006C3677" w:rsidRDefault="0040730A" w:rsidP="00340EDD">
            <w:pPr>
              <w:jc w:val="center"/>
              <w:rPr>
                <w:sz w:val="16"/>
                <w:szCs w:val="16"/>
              </w:rPr>
            </w:pPr>
            <w:r w:rsidRPr="006C3677">
              <w:rPr>
                <w:sz w:val="16"/>
                <w:szCs w:val="16"/>
              </w:rPr>
              <w:t>Sector Name</w:t>
            </w:r>
          </w:p>
        </w:tc>
        <w:tc>
          <w:tcPr>
            <w:tcW w:w="1190" w:type="dxa"/>
            <w:tcBorders>
              <w:top w:val="nil"/>
              <w:left w:val="nil"/>
              <w:bottom w:val="single" w:sz="8" w:space="0" w:color="auto"/>
              <w:right w:val="single" w:sz="8" w:space="0" w:color="auto"/>
            </w:tcBorders>
            <w:shd w:val="clear" w:color="auto" w:fill="auto"/>
            <w:vAlign w:val="center"/>
            <w:hideMark/>
          </w:tcPr>
          <w:p w:rsidR="0040730A" w:rsidRPr="006C3677" w:rsidRDefault="0040730A" w:rsidP="00340EDD">
            <w:pPr>
              <w:jc w:val="center"/>
              <w:rPr>
                <w:color w:val="000000"/>
                <w:sz w:val="16"/>
                <w:szCs w:val="16"/>
              </w:rPr>
            </w:pPr>
            <w:r w:rsidRPr="006C3677">
              <w:rPr>
                <w:color w:val="000000"/>
                <w:sz w:val="16"/>
                <w:szCs w:val="16"/>
              </w:rPr>
              <w:t>Estimated National Sample Size</w:t>
            </w:r>
          </w:p>
        </w:tc>
        <w:tc>
          <w:tcPr>
            <w:tcW w:w="900" w:type="dxa"/>
            <w:tcBorders>
              <w:top w:val="nil"/>
              <w:left w:val="nil"/>
              <w:bottom w:val="single" w:sz="8" w:space="0" w:color="auto"/>
              <w:right w:val="single" w:sz="8" w:space="0" w:color="auto"/>
            </w:tcBorders>
            <w:shd w:val="clear" w:color="auto" w:fill="auto"/>
            <w:vAlign w:val="center"/>
            <w:hideMark/>
          </w:tcPr>
          <w:p w:rsidR="0040730A" w:rsidRPr="006C3677" w:rsidRDefault="0040730A" w:rsidP="00340EDD">
            <w:pPr>
              <w:jc w:val="center"/>
              <w:rPr>
                <w:color w:val="000000"/>
                <w:sz w:val="16"/>
                <w:szCs w:val="16"/>
              </w:rPr>
            </w:pPr>
            <w:r w:rsidRPr="006C3677">
              <w:rPr>
                <w:color w:val="000000"/>
                <w:sz w:val="16"/>
                <w:szCs w:val="16"/>
              </w:rPr>
              <w:t>National</w:t>
            </w:r>
          </w:p>
        </w:tc>
        <w:tc>
          <w:tcPr>
            <w:tcW w:w="1040" w:type="dxa"/>
            <w:tcBorders>
              <w:top w:val="nil"/>
              <w:left w:val="nil"/>
              <w:bottom w:val="single" w:sz="8" w:space="0" w:color="auto"/>
              <w:right w:val="single" w:sz="8" w:space="0" w:color="auto"/>
            </w:tcBorders>
            <w:shd w:val="clear" w:color="auto" w:fill="auto"/>
            <w:vAlign w:val="center"/>
            <w:hideMark/>
          </w:tcPr>
          <w:p w:rsidR="0040730A" w:rsidRPr="006C3677" w:rsidRDefault="0040730A" w:rsidP="00340EDD">
            <w:pPr>
              <w:jc w:val="center"/>
              <w:rPr>
                <w:color w:val="000000"/>
                <w:sz w:val="16"/>
                <w:szCs w:val="16"/>
              </w:rPr>
            </w:pPr>
            <w:r w:rsidRPr="006C3677">
              <w:rPr>
                <w:color w:val="000000"/>
                <w:sz w:val="16"/>
                <w:szCs w:val="16"/>
              </w:rPr>
              <w:t>Northeast</w:t>
            </w:r>
          </w:p>
        </w:tc>
        <w:tc>
          <w:tcPr>
            <w:tcW w:w="920" w:type="dxa"/>
            <w:tcBorders>
              <w:top w:val="nil"/>
              <w:left w:val="nil"/>
              <w:bottom w:val="single" w:sz="8" w:space="0" w:color="auto"/>
              <w:right w:val="single" w:sz="8" w:space="0" w:color="auto"/>
            </w:tcBorders>
            <w:shd w:val="clear" w:color="auto" w:fill="auto"/>
            <w:vAlign w:val="center"/>
            <w:hideMark/>
          </w:tcPr>
          <w:p w:rsidR="0040730A" w:rsidRPr="006C3677" w:rsidRDefault="0040730A" w:rsidP="00340EDD">
            <w:pPr>
              <w:jc w:val="center"/>
              <w:rPr>
                <w:color w:val="000000"/>
                <w:sz w:val="16"/>
                <w:szCs w:val="16"/>
              </w:rPr>
            </w:pPr>
            <w:r w:rsidRPr="006C3677">
              <w:rPr>
                <w:color w:val="000000"/>
                <w:sz w:val="16"/>
                <w:szCs w:val="16"/>
              </w:rPr>
              <w:t>Midwest</w:t>
            </w:r>
          </w:p>
        </w:tc>
        <w:tc>
          <w:tcPr>
            <w:tcW w:w="640" w:type="dxa"/>
            <w:tcBorders>
              <w:top w:val="nil"/>
              <w:left w:val="nil"/>
              <w:bottom w:val="single" w:sz="8" w:space="0" w:color="auto"/>
              <w:right w:val="single" w:sz="8" w:space="0" w:color="auto"/>
            </w:tcBorders>
            <w:shd w:val="clear" w:color="auto" w:fill="auto"/>
            <w:vAlign w:val="center"/>
            <w:hideMark/>
          </w:tcPr>
          <w:p w:rsidR="0040730A" w:rsidRPr="006C3677" w:rsidRDefault="0040730A" w:rsidP="00340EDD">
            <w:pPr>
              <w:jc w:val="center"/>
              <w:rPr>
                <w:color w:val="000000"/>
                <w:sz w:val="16"/>
                <w:szCs w:val="16"/>
              </w:rPr>
            </w:pPr>
            <w:r w:rsidRPr="006C3677">
              <w:rPr>
                <w:color w:val="000000"/>
                <w:sz w:val="16"/>
                <w:szCs w:val="16"/>
              </w:rPr>
              <w:t>South</w:t>
            </w:r>
          </w:p>
        </w:tc>
        <w:tc>
          <w:tcPr>
            <w:tcW w:w="640" w:type="dxa"/>
            <w:tcBorders>
              <w:top w:val="nil"/>
              <w:left w:val="nil"/>
              <w:bottom w:val="single" w:sz="8" w:space="0" w:color="auto"/>
              <w:right w:val="single" w:sz="8" w:space="0" w:color="auto"/>
            </w:tcBorders>
            <w:shd w:val="clear" w:color="auto" w:fill="auto"/>
            <w:vAlign w:val="center"/>
            <w:hideMark/>
          </w:tcPr>
          <w:p w:rsidR="0040730A" w:rsidRPr="006C3677" w:rsidRDefault="0040730A" w:rsidP="00340EDD">
            <w:pPr>
              <w:jc w:val="center"/>
              <w:rPr>
                <w:color w:val="000000"/>
                <w:sz w:val="16"/>
                <w:szCs w:val="16"/>
              </w:rPr>
            </w:pPr>
            <w:r w:rsidRPr="006C3677">
              <w:rPr>
                <w:color w:val="000000"/>
                <w:sz w:val="16"/>
                <w:szCs w:val="16"/>
              </w:rPr>
              <w:t>West</w:t>
            </w:r>
          </w:p>
        </w:tc>
      </w:tr>
      <w:tr w:rsidR="0040730A" w:rsidRPr="006C3677" w:rsidTr="000369CE">
        <w:trPr>
          <w:trHeight w:val="300"/>
        </w:trPr>
        <w:tc>
          <w:tcPr>
            <w:tcW w:w="777" w:type="dxa"/>
            <w:tcBorders>
              <w:top w:val="nil"/>
              <w:left w:val="single" w:sz="8" w:space="0" w:color="auto"/>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11</w:t>
            </w:r>
          </w:p>
        </w:tc>
        <w:tc>
          <w:tcPr>
            <w:tcW w:w="3271" w:type="dxa"/>
            <w:tcBorders>
              <w:top w:val="nil"/>
              <w:left w:val="nil"/>
              <w:right w:val="single" w:sz="8" w:space="0" w:color="auto"/>
            </w:tcBorders>
            <w:shd w:val="clear" w:color="auto" w:fill="auto"/>
            <w:noWrap/>
            <w:vAlign w:val="bottom"/>
            <w:hideMark/>
          </w:tcPr>
          <w:p w:rsidR="0040730A" w:rsidRPr="006C3677" w:rsidRDefault="0040730A" w:rsidP="000F1060">
            <w:pPr>
              <w:rPr>
                <w:color w:val="000000"/>
                <w:sz w:val="16"/>
                <w:szCs w:val="16"/>
              </w:rPr>
            </w:pPr>
            <w:r w:rsidRPr="006C3677">
              <w:rPr>
                <w:color w:val="000000"/>
                <w:sz w:val="16"/>
                <w:szCs w:val="16"/>
              </w:rPr>
              <w:t>Ag</w:t>
            </w:r>
            <w:r w:rsidR="000F1060">
              <w:rPr>
                <w:color w:val="000000"/>
                <w:sz w:val="16"/>
                <w:szCs w:val="16"/>
              </w:rPr>
              <w:t>ric</w:t>
            </w:r>
            <w:r w:rsidRPr="006C3677">
              <w:rPr>
                <w:color w:val="000000"/>
                <w:sz w:val="16"/>
                <w:szCs w:val="16"/>
              </w:rPr>
              <w:t>ult</w:t>
            </w:r>
            <w:r w:rsidR="000F1060">
              <w:rPr>
                <w:color w:val="000000"/>
                <w:sz w:val="16"/>
                <w:szCs w:val="16"/>
              </w:rPr>
              <w:t>ure</w:t>
            </w:r>
            <w:r w:rsidRPr="006C3677">
              <w:rPr>
                <w:color w:val="000000"/>
                <w:sz w:val="16"/>
                <w:szCs w:val="16"/>
              </w:rPr>
              <w:t>/Forestry/Fishing/Hunting</w:t>
            </w:r>
          </w:p>
        </w:tc>
        <w:tc>
          <w:tcPr>
            <w:tcW w:w="1190" w:type="dxa"/>
            <w:tcBorders>
              <w:top w:val="nil"/>
              <w:left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776</w:t>
            </w:r>
          </w:p>
        </w:tc>
        <w:tc>
          <w:tcPr>
            <w:tcW w:w="900" w:type="dxa"/>
            <w:tcBorders>
              <w:top w:val="nil"/>
              <w:left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7.6%</w:t>
            </w:r>
          </w:p>
        </w:tc>
        <w:tc>
          <w:tcPr>
            <w:tcW w:w="1040" w:type="dxa"/>
            <w:tcBorders>
              <w:top w:val="nil"/>
              <w:left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16.2%</w:t>
            </w:r>
          </w:p>
        </w:tc>
        <w:tc>
          <w:tcPr>
            <w:tcW w:w="920" w:type="dxa"/>
            <w:tcBorders>
              <w:top w:val="nil"/>
              <w:left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15.4%</w:t>
            </w:r>
          </w:p>
        </w:tc>
        <w:tc>
          <w:tcPr>
            <w:tcW w:w="640" w:type="dxa"/>
            <w:tcBorders>
              <w:top w:val="nil"/>
              <w:left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13.8%</w:t>
            </w:r>
          </w:p>
        </w:tc>
        <w:tc>
          <w:tcPr>
            <w:tcW w:w="640" w:type="dxa"/>
            <w:tcBorders>
              <w:top w:val="nil"/>
              <w:left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16.6%</w:t>
            </w:r>
          </w:p>
        </w:tc>
      </w:tr>
      <w:tr w:rsidR="0040730A" w:rsidRPr="006C3677" w:rsidTr="000369CE">
        <w:trPr>
          <w:trHeight w:val="300"/>
        </w:trPr>
        <w:tc>
          <w:tcPr>
            <w:tcW w:w="777" w:type="dxa"/>
            <w:tcBorders>
              <w:top w:val="nil"/>
              <w:left w:val="single" w:sz="8" w:space="0" w:color="auto"/>
              <w:bottom w:val="single" w:sz="4" w:space="0" w:color="auto"/>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21</w:t>
            </w:r>
          </w:p>
        </w:tc>
        <w:tc>
          <w:tcPr>
            <w:tcW w:w="3271" w:type="dxa"/>
            <w:tcBorders>
              <w:top w:val="nil"/>
              <w:left w:val="nil"/>
              <w:bottom w:val="single" w:sz="4" w:space="0" w:color="auto"/>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Mining</w:t>
            </w:r>
          </w:p>
        </w:tc>
        <w:tc>
          <w:tcPr>
            <w:tcW w:w="1190" w:type="dxa"/>
            <w:tcBorders>
              <w:top w:val="nil"/>
              <w:left w:val="nil"/>
              <w:bottom w:val="sing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504</w:t>
            </w:r>
          </w:p>
        </w:tc>
        <w:tc>
          <w:tcPr>
            <w:tcW w:w="900" w:type="dxa"/>
            <w:tcBorders>
              <w:top w:val="nil"/>
              <w:left w:val="nil"/>
              <w:bottom w:val="sing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6.4%</w:t>
            </w:r>
          </w:p>
        </w:tc>
        <w:tc>
          <w:tcPr>
            <w:tcW w:w="1040" w:type="dxa"/>
            <w:tcBorders>
              <w:top w:val="nil"/>
              <w:left w:val="nil"/>
              <w:bottom w:val="sing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13.7%</w:t>
            </w:r>
          </w:p>
        </w:tc>
        <w:tc>
          <w:tcPr>
            <w:tcW w:w="920" w:type="dxa"/>
            <w:tcBorders>
              <w:top w:val="nil"/>
              <w:left w:val="nil"/>
              <w:bottom w:val="sing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13.0%</w:t>
            </w:r>
          </w:p>
        </w:tc>
        <w:tc>
          <w:tcPr>
            <w:tcW w:w="640" w:type="dxa"/>
            <w:tcBorders>
              <w:top w:val="nil"/>
              <w:left w:val="nil"/>
              <w:bottom w:val="sing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11.7%</w:t>
            </w:r>
          </w:p>
        </w:tc>
        <w:tc>
          <w:tcPr>
            <w:tcW w:w="640" w:type="dxa"/>
            <w:tcBorders>
              <w:top w:val="nil"/>
              <w:left w:val="nil"/>
              <w:bottom w:val="sing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14.0%</w:t>
            </w:r>
          </w:p>
        </w:tc>
      </w:tr>
      <w:tr w:rsidR="00345F82" w:rsidRPr="006C3677" w:rsidTr="000369CE">
        <w:trPr>
          <w:trHeight w:val="315"/>
        </w:trPr>
        <w:tc>
          <w:tcPr>
            <w:tcW w:w="5238"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45F82" w:rsidRPr="006C3677" w:rsidRDefault="00345F82" w:rsidP="00621A77">
            <w:pPr>
              <w:jc w:val="center"/>
              <w:rPr>
                <w:color w:val="000000"/>
                <w:sz w:val="16"/>
                <w:szCs w:val="16"/>
              </w:rPr>
            </w:pPr>
            <w:r w:rsidRPr="006C3677">
              <w:rPr>
                <w:color w:val="000000"/>
                <w:sz w:val="16"/>
                <w:szCs w:val="16"/>
              </w:rPr>
              <w:t>Industry</w:t>
            </w:r>
          </w:p>
        </w:tc>
        <w:tc>
          <w:tcPr>
            <w:tcW w:w="4140" w:type="dxa"/>
            <w:gridSpan w:val="5"/>
            <w:tcBorders>
              <w:top w:val="single" w:sz="4" w:space="0" w:color="auto"/>
              <w:left w:val="nil"/>
              <w:bottom w:val="single" w:sz="8" w:space="0" w:color="auto"/>
              <w:right w:val="single" w:sz="8" w:space="0" w:color="000000"/>
            </w:tcBorders>
            <w:shd w:val="clear" w:color="auto" w:fill="auto"/>
            <w:noWrap/>
            <w:vAlign w:val="center"/>
            <w:hideMark/>
          </w:tcPr>
          <w:p w:rsidR="00345F82" w:rsidRPr="006C3677" w:rsidRDefault="00345F82" w:rsidP="00621A77">
            <w:pPr>
              <w:jc w:val="center"/>
              <w:rPr>
                <w:color w:val="000000"/>
                <w:sz w:val="16"/>
                <w:szCs w:val="16"/>
              </w:rPr>
            </w:pPr>
            <w:r w:rsidRPr="006C3677">
              <w:rPr>
                <w:color w:val="000000"/>
                <w:sz w:val="16"/>
                <w:szCs w:val="16"/>
              </w:rPr>
              <w:t>Estimated CV on Green Employment</w:t>
            </w:r>
          </w:p>
        </w:tc>
      </w:tr>
      <w:tr w:rsidR="00345F82" w:rsidRPr="006C3677" w:rsidTr="00345F82">
        <w:trPr>
          <w:trHeight w:val="945"/>
        </w:trPr>
        <w:tc>
          <w:tcPr>
            <w:tcW w:w="777" w:type="dxa"/>
            <w:tcBorders>
              <w:top w:val="nil"/>
              <w:left w:val="single" w:sz="8" w:space="0" w:color="auto"/>
              <w:bottom w:val="single" w:sz="8" w:space="0" w:color="auto"/>
              <w:right w:val="single" w:sz="8" w:space="0" w:color="auto"/>
            </w:tcBorders>
            <w:shd w:val="clear" w:color="auto" w:fill="auto"/>
            <w:noWrap/>
            <w:vAlign w:val="center"/>
            <w:hideMark/>
          </w:tcPr>
          <w:p w:rsidR="00345F82" w:rsidRPr="006C3677" w:rsidRDefault="00345F82" w:rsidP="00621A77">
            <w:pPr>
              <w:jc w:val="center"/>
              <w:rPr>
                <w:color w:val="000000"/>
                <w:sz w:val="16"/>
                <w:szCs w:val="16"/>
              </w:rPr>
            </w:pPr>
            <w:r w:rsidRPr="006C3677">
              <w:rPr>
                <w:color w:val="000000"/>
                <w:sz w:val="16"/>
                <w:szCs w:val="16"/>
              </w:rPr>
              <w:t>NAICS2</w:t>
            </w:r>
          </w:p>
        </w:tc>
        <w:tc>
          <w:tcPr>
            <w:tcW w:w="3271" w:type="dxa"/>
            <w:tcBorders>
              <w:top w:val="nil"/>
              <w:left w:val="nil"/>
              <w:bottom w:val="single" w:sz="8" w:space="0" w:color="auto"/>
              <w:right w:val="single" w:sz="8" w:space="0" w:color="auto"/>
            </w:tcBorders>
            <w:shd w:val="clear" w:color="auto" w:fill="auto"/>
            <w:noWrap/>
            <w:vAlign w:val="center"/>
            <w:hideMark/>
          </w:tcPr>
          <w:p w:rsidR="00345F82" w:rsidRPr="006C3677" w:rsidRDefault="00345F82" w:rsidP="00621A77">
            <w:pPr>
              <w:jc w:val="center"/>
              <w:rPr>
                <w:sz w:val="16"/>
                <w:szCs w:val="16"/>
              </w:rPr>
            </w:pPr>
            <w:r w:rsidRPr="006C3677">
              <w:rPr>
                <w:sz w:val="16"/>
                <w:szCs w:val="16"/>
              </w:rPr>
              <w:t>Sector Name</w:t>
            </w:r>
          </w:p>
        </w:tc>
        <w:tc>
          <w:tcPr>
            <w:tcW w:w="1190" w:type="dxa"/>
            <w:tcBorders>
              <w:top w:val="nil"/>
              <w:left w:val="nil"/>
              <w:bottom w:val="single" w:sz="8" w:space="0" w:color="auto"/>
              <w:right w:val="single" w:sz="8" w:space="0" w:color="auto"/>
            </w:tcBorders>
            <w:shd w:val="clear" w:color="auto" w:fill="auto"/>
            <w:vAlign w:val="center"/>
            <w:hideMark/>
          </w:tcPr>
          <w:p w:rsidR="00345F82" w:rsidRPr="006C3677" w:rsidRDefault="00345F82" w:rsidP="00621A77">
            <w:pPr>
              <w:jc w:val="center"/>
              <w:rPr>
                <w:color w:val="000000"/>
                <w:sz w:val="16"/>
                <w:szCs w:val="16"/>
              </w:rPr>
            </w:pPr>
            <w:r w:rsidRPr="006C3677">
              <w:rPr>
                <w:color w:val="000000"/>
                <w:sz w:val="16"/>
                <w:szCs w:val="16"/>
              </w:rPr>
              <w:t>Estimated National Sample Size</w:t>
            </w:r>
          </w:p>
        </w:tc>
        <w:tc>
          <w:tcPr>
            <w:tcW w:w="900" w:type="dxa"/>
            <w:tcBorders>
              <w:top w:val="nil"/>
              <w:left w:val="nil"/>
              <w:bottom w:val="single" w:sz="8" w:space="0" w:color="auto"/>
              <w:right w:val="single" w:sz="8" w:space="0" w:color="auto"/>
            </w:tcBorders>
            <w:shd w:val="clear" w:color="auto" w:fill="auto"/>
            <w:vAlign w:val="center"/>
            <w:hideMark/>
          </w:tcPr>
          <w:p w:rsidR="00345F82" w:rsidRPr="006C3677" w:rsidRDefault="00345F82" w:rsidP="00621A77">
            <w:pPr>
              <w:jc w:val="center"/>
              <w:rPr>
                <w:color w:val="000000"/>
                <w:sz w:val="16"/>
                <w:szCs w:val="16"/>
              </w:rPr>
            </w:pPr>
            <w:r w:rsidRPr="006C3677">
              <w:rPr>
                <w:color w:val="000000"/>
                <w:sz w:val="16"/>
                <w:szCs w:val="16"/>
              </w:rPr>
              <w:t>National</w:t>
            </w:r>
          </w:p>
        </w:tc>
        <w:tc>
          <w:tcPr>
            <w:tcW w:w="1040" w:type="dxa"/>
            <w:tcBorders>
              <w:top w:val="nil"/>
              <w:left w:val="nil"/>
              <w:bottom w:val="single" w:sz="8" w:space="0" w:color="auto"/>
              <w:right w:val="single" w:sz="8" w:space="0" w:color="auto"/>
            </w:tcBorders>
            <w:shd w:val="clear" w:color="auto" w:fill="auto"/>
            <w:vAlign w:val="center"/>
            <w:hideMark/>
          </w:tcPr>
          <w:p w:rsidR="00345F82" w:rsidRPr="006C3677" w:rsidRDefault="00345F82" w:rsidP="00621A77">
            <w:pPr>
              <w:jc w:val="center"/>
              <w:rPr>
                <w:color w:val="000000"/>
                <w:sz w:val="16"/>
                <w:szCs w:val="16"/>
              </w:rPr>
            </w:pPr>
            <w:r w:rsidRPr="006C3677">
              <w:rPr>
                <w:color w:val="000000"/>
                <w:sz w:val="16"/>
                <w:szCs w:val="16"/>
              </w:rPr>
              <w:t>Northeast</w:t>
            </w:r>
          </w:p>
        </w:tc>
        <w:tc>
          <w:tcPr>
            <w:tcW w:w="920" w:type="dxa"/>
            <w:tcBorders>
              <w:top w:val="nil"/>
              <w:left w:val="nil"/>
              <w:bottom w:val="single" w:sz="8" w:space="0" w:color="auto"/>
              <w:right w:val="single" w:sz="8" w:space="0" w:color="auto"/>
            </w:tcBorders>
            <w:shd w:val="clear" w:color="auto" w:fill="auto"/>
            <w:vAlign w:val="center"/>
            <w:hideMark/>
          </w:tcPr>
          <w:p w:rsidR="00345F82" w:rsidRPr="006C3677" w:rsidRDefault="00345F82" w:rsidP="00621A77">
            <w:pPr>
              <w:jc w:val="center"/>
              <w:rPr>
                <w:color w:val="000000"/>
                <w:sz w:val="16"/>
                <w:szCs w:val="16"/>
              </w:rPr>
            </w:pPr>
            <w:r w:rsidRPr="006C3677">
              <w:rPr>
                <w:color w:val="000000"/>
                <w:sz w:val="16"/>
                <w:szCs w:val="16"/>
              </w:rPr>
              <w:t>Midwest</w:t>
            </w:r>
          </w:p>
        </w:tc>
        <w:tc>
          <w:tcPr>
            <w:tcW w:w="640" w:type="dxa"/>
            <w:tcBorders>
              <w:top w:val="nil"/>
              <w:left w:val="nil"/>
              <w:bottom w:val="single" w:sz="8" w:space="0" w:color="auto"/>
              <w:right w:val="single" w:sz="8" w:space="0" w:color="auto"/>
            </w:tcBorders>
            <w:shd w:val="clear" w:color="auto" w:fill="auto"/>
            <w:vAlign w:val="center"/>
            <w:hideMark/>
          </w:tcPr>
          <w:p w:rsidR="00345F82" w:rsidRPr="006C3677" w:rsidRDefault="00345F82" w:rsidP="00621A77">
            <w:pPr>
              <w:jc w:val="center"/>
              <w:rPr>
                <w:color w:val="000000"/>
                <w:sz w:val="16"/>
                <w:szCs w:val="16"/>
              </w:rPr>
            </w:pPr>
            <w:r w:rsidRPr="006C3677">
              <w:rPr>
                <w:color w:val="000000"/>
                <w:sz w:val="16"/>
                <w:szCs w:val="16"/>
              </w:rPr>
              <w:t>South</w:t>
            </w:r>
          </w:p>
        </w:tc>
        <w:tc>
          <w:tcPr>
            <w:tcW w:w="640" w:type="dxa"/>
            <w:tcBorders>
              <w:top w:val="nil"/>
              <w:left w:val="nil"/>
              <w:bottom w:val="single" w:sz="8" w:space="0" w:color="auto"/>
              <w:right w:val="single" w:sz="8" w:space="0" w:color="auto"/>
            </w:tcBorders>
            <w:shd w:val="clear" w:color="auto" w:fill="auto"/>
            <w:vAlign w:val="center"/>
            <w:hideMark/>
          </w:tcPr>
          <w:p w:rsidR="00345F82" w:rsidRPr="006C3677" w:rsidRDefault="00345F82" w:rsidP="00621A77">
            <w:pPr>
              <w:jc w:val="center"/>
              <w:rPr>
                <w:color w:val="000000"/>
                <w:sz w:val="16"/>
                <w:szCs w:val="16"/>
              </w:rPr>
            </w:pPr>
            <w:r w:rsidRPr="006C3677">
              <w:rPr>
                <w:color w:val="000000"/>
                <w:sz w:val="16"/>
                <w:szCs w:val="16"/>
              </w:rPr>
              <w:t>West</w:t>
            </w:r>
          </w:p>
        </w:tc>
      </w:tr>
      <w:tr w:rsidR="000369CE" w:rsidRPr="006C3677" w:rsidTr="000E7F0E">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0369CE" w:rsidRPr="006C3677" w:rsidRDefault="000369CE" w:rsidP="000E7F0E">
            <w:pPr>
              <w:rPr>
                <w:color w:val="000000"/>
                <w:sz w:val="16"/>
                <w:szCs w:val="16"/>
              </w:rPr>
            </w:pPr>
            <w:r w:rsidRPr="006C3677">
              <w:rPr>
                <w:color w:val="000000"/>
                <w:sz w:val="16"/>
                <w:szCs w:val="16"/>
              </w:rPr>
              <w:t>22</w:t>
            </w:r>
          </w:p>
        </w:tc>
        <w:tc>
          <w:tcPr>
            <w:tcW w:w="3271" w:type="dxa"/>
            <w:tcBorders>
              <w:top w:val="nil"/>
              <w:left w:val="nil"/>
              <w:bottom w:val="nil"/>
              <w:right w:val="single" w:sz="8" w:space="0" w:color="auto"/>
            </w:tcBorders>
            <w:shd w:val="clear" w:color="auto" w:fill="auto"/>
            <w:noWrap/>
            <w:vAlign w:val="bottom"/>
            <w:hideMark/>
          </w:tcPr>
          <w:p w:rsidR="000369CE" w:rsidRPr="006C3677" w:rsidRDefault="000369CE" w:rsidP="000E7F0E">
            <w:pPr>
              <w:rPr>
                <w:color w:val="000000"/>
                <w:sz w:val="16"/>
                <w:szCs w:val="16"/>
              </w:rPr>
            </w:pPr>
            <w:r w:rsidRPr="006C3677">
              <w:rPr>
                <w:color w:val="000000"/>
                <w:sz w:val="16"/>
                <w:szCs w:val="16"/>
              </w:rPr>
              <w:t>Utilities</w:t>
            </w:r>
          </w:p>
        </w:tc>
        <w:tc>
          <w:tcPr>
            <w:tcW w:w="1190" w:type="dxa"/>
            <w:tcBorders>
              <w:top w:val="nil"/>
              <w:left w:val="nil"/>
              <w:bottom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593</w:t>
            </w:r>
          </w:p>
        </w:tc>
        <w:tc>
          <w:tcPr>
            <w:tcW w:w="900" w:type="dxa"/>
            <w:tcBorders>
              <w:top w:val="nil"/>
              <w:left w:val="nil"/>
              <w:bottom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5.6%</w:t>
            </w:r>
          </w:p>
        </w:tc>
        <w:tc>
          <w:tcPr>
            <w:tcW w:w="1040" w:type="dxa"/>
            <w:tcBorders>
              <w:top w:val="nil"/>
              <w:left w:val="nil"/>
              <w:bottom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12.0%</w:t>
            </w:r>
          </w:p>
        </w:tc>
        <w:tc>
          <w:tcPr>
            <w:tcW w:w="920" w:type="dxa"/>
            <w:tcBorders>
              <w:top w:val="nil"/>
              <w:left w:val="nil"/>
              <w:bottom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11.4%</w:t>
            </w:r>
          </w:p>
        </w:tc>
        <w:tc>
          <w:tcPr>
            <w:tcW w:w="640" w:type="dxa"/>
            <w:tcBorders>
              <w:top w:val="nil"/>
              <w:left w:val="nil"/>
              <w:bottom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10.2%</w:t>
            </w:r>
          </w:p>
        </w:tc>
        <w:tc>
          <w:tcPr>
            <w:tcW w:w="640" w:type="dxa"/>
            <w:tcBorders>
              <w:top w:val="nil"/>
              <w:left w:val="nil"/>
              <w:bottom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12.3%</w:t>
            </w:r>
          </w:p>
        </w:tc>
      </w:tr>
      <w:tr w:rsidR="000369CE" w:rsidRPr="006C3677" w:rsidTr="000369CE">
        <w:trPr>
          <w:trHeight w:val="300"/>
        </w:trPr>
        <w:tc>
          <w:tcPr>
            <w:tcW w:w="777" w:type="dxa"/>
            <w:tcBorders>
              <w:top w:val="nil"/>
              <w:left w:val="single" w:sz="8" w:space="0" w:color="auto"/>
              <w:right w:val="single" w:sz="8" w:space="0" w:color="auto"/>
            </w:tcBorders>
            <w:shd w:val="clear" w:color="auto" w:fill="auto"/>
            <w:noWrap/>
            <w:vAlign w:val="bottom"/>
            <w:hideMark/>
          </w:tcPr>
          <w:p w:rsidR="000369CE" w:rsidRPr="006C3677" w:rsidRDefault="000369CE" w:rsidP="000E7F0E">
            <w:pPr>
              <w:rPr>
                <w:color w:val="000000"/>
                <w:sz w:val="16"/>
                <w:szCs w:val="16"/>
              </w:rPr>
            </w:pPr>
            <w:r w:rsidRPr="006C3677">
              <w:rPr>
                <w:color w:val="000000"/>
                <w:sz w:val="16"/>
                <w:szCs w:val="16"/>
              </w:rPr>
              <w:t>23</w:t>
            </w:r>
          </w:p>
        </w:tc>
        <w:tc>
          <w:tcPr>
            <w:tcW w:w="3271" w:type="dxa"/>
            <w:tcBorders>
              <w:top w:val="nil"/>
              <w:left w:val="nil"/>
              <w:right w:val="single" w:sz="8" w:space="0" w:color="auto"/>
            </w:tcBorders>
            <w:shd w:val="clear" w:color="auto" w:fill="auto"/>
            <w:noWrap/>
            <w:vAlign w:val="bottom"/>
            <w:hideMark/>
          </w:tcPr>
          <w:p w:rsidR="000369CE" w:rsidRPr="006C3677" w:rsidRDefault="000369CE" w:rsidP="000E7F0E">
            <w:pPr>
              <w:rPr>
                <w:color w:val="000000"/>
                <w:sz w:val="16"/>
                <w:szCs w:val="16"/>
              </w:rPr>
            </w:pPr>
            <w:r w:rsidRPr="006C3677">
              <w:rPr>
                <w:color w:val="000000"/>
                <w:sz w:val="16"/>
                <w:szCs w:val="16"/>
              </w:rPr>
              <w:t>Construction</w:t>
            </w:r>
          </w:p>
        </w:tc>
        <w:tc>
          <w:tcPr>
            <w:tcW w:w="119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1,912</w:t>
            </w:r>
          </w:p>
        </w:tc>
        <w:tc>
          <w:tcPr>
            <w:tcW w:w="90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9.8%</w:t>
            </w:r>
          </w:p>
        </w:tc>
        <w:tc>
          <w:tcPr>
            <w:tcW w:w="104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21.0%</w:t>
            </w:r>
          </w:p>
        </w:tc>
        <w:tc>
          <w:tcPr>
            <w:tcW w:w="92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20.0%</w:t>
            </w:r>
          </w:p>
        </w:tc>
        <w:tc>
          <w:tcPr>
            <w:tcW w:w="64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17.9%</w:t>
            </w:r>
          </w:p>
        </w:tc>
        <w:tc>
          <w:tcPr>
            <w:tcW w:w="64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21.5%</w:t>
            </w:r>
          </w:p>
        </w:tc>
      </w:tr>
      <w:tr w:rsidR="000369CE" w:rsidRPr="006C3677" w:rsidTr="000369CE">
        <w:trPr>
          <w:trHeight w:val="300"/>
        </w:trPr>
        <w:tc>
          <w:tcPr>
            <w:tcW w:w="777" w:type="dxa"/>
            <w:tcBorders>
              <w:top w:val="nil"/>
              <w:left w:val="single" w:sz="8" w:space="0" w:color="auto"/>
              <w:right w:val="single" w:sz="8" w:space="0" w:color="auto"/>
            </w:tcBorders>
            <w:shd w:val="clear" w:color="auto" w:fill="auto"/>
            <w:noWrap/>
            <w:vAlign w:val="bottom"/>
            <w:hideMark/>
          </w:tcPr>
          <w:p w:rsidR="000369CE" w:rsidRPr="006C3677" w:rsidRDefault="000369CE" w:rsidP="000E7F0E">
            <w:pPr>
              <w:rPr>
                <w:color w:val="000000"/>
                <w:sz w:val="16"/>
                <w:szCs w:val="16"/>
              </w:rPr>
            </w:pPr>
            <w:r w:rsidRPr="006C3677">
              <w:rPr>
                <w:color w:val="000000"/>
                <w:sz w:val="16"/>
                <w:szCs w:val="16"/>
              </w:rPr>
              <w:t>31</w:t>
            </w:r>
          </w:p>
        </w:tc>
        <w:tc>
          <w:tcPr>
            <w:tcW w:w="3271" w:type="dxa"/>
            <w:tcBorders>
              <w:top w:val="nil"/>
              <w:left w:val="nil"/>
              <w:right w:val="single" w:sz="8" w:space="0" w:color="auto"/>
            </w:tcBorders>
            <w:shd w:val="clear" w:color="auto" w:fill="auto"/>
            <w:noWrap/>
            <w:vAlign w:val="bottom"/>
            <w:hideMark/>
          </w:tcPr>
          <w:p w:rsidR="000369CE" w:rsidRPr="006C3677" w:rsidRDefault="000369CE" w:rsidP="000E7F0E">
            <w:pPr>
              <w:rPr>
                <w:color w:val="000000"/>
                <w:sz w:val="16"/>
                <w:szCs w:val="16"/>
              </w:rPr>
            </w:pPr>
            <w:r w:rsidRPr="006C3677">
              <w:rPr>
                <w:color w:val="000000"/>
                <w:sz w:val="16"/>
                <w:szCs w:val="16"/>
              </w:rPr>
              <w:t>Manufacturing,</w:t>
            </w:r>
            <w:r>
              <w:rPr>
                <w:color w:val="000000"/>
                <w:sz w:val="16"/>
                <w:szCs w:val="16"/>
              </w:rPr>
              <w:t xml:space="preserve"> </w:t>
            </w:r>
            <w:r w:rsidRPr="006C3677">
              <w:rPr>
                <w:color w:val="000000"/>
                <w:sz w:val="16"/>
                <w:szCs w:val="16"/>
              </w:rPr>
              <w:t>Non</w:t>
            </w:r>
            <w:r>
              <w:rPr>
                <w:color w:val="000000"/>
                <w:sz w:val="16"/>
                <w:szCs w:val="16"/>
              </w:rPr>
              <w:t xml:space="preserve"> </w:t>
            </w:r>
            <w:r w:rsidRPr="006C3677">
              <w:rPr>
                <w:color w:val="000000"/>
                <w:sz w:val="16"/>
                <w:szCs w:val="16"/>
              </w:rPr>
              <w:t>Durable</w:t>
            </w:r>
          </w:p>
        </w:tc>
        <w:tc>
          <w:tcPr>
            <w:tcW w:w="119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931</w:t>
            </w:r>
          </w:p>
        </w:tc>
        <w:tc>
          <w:tcPr>
            <w:tcW w:w="90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5.4%</w:t>
            </w:r>
          </w:p>
        </w:tc>
        <w:tc>
          <w:tcPr>
            <w:tcW w:w="104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11.6%</w:t>
            </w:r>
          </w:p>
        </w:tc>
        <w:tc>
          <w:tcPr>
            <w:tcW w:w="92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11.0%</w:t>
            </w:r>
          </w:p>
        </w:tc>
        <w:tc>
          <w:tcPr>
            <w:tcW w:w="64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9.8%</w:t>
            </w:r>
          </w:p>
        </w:tc>
        <w:tc>
          <w:tcPr>
            <w:tcW w:w="640" w:type="dxa"/>
            <w:tcBorders>
              <w:top w:val="nil"/>
              <w:left w:val="nil"/>
              <w:right w:val="single" w:sz="8" w:space="0" w:color="auto"/>
            </w:tcBorders>
            <w:shd w:val="clear" w:color="auto" w:fill="auto"/>
            <w:noWrap/>
            <w:vAlign w:val="bottom"/>
            <w:hideMark/>
          </w:tcPr>
          <w:p w:rsidR="000369CE" w:rsidRPr="006C3677" w:rsidRDefault="000369CE" w:rsidP="000E7F0E">
            <w:pPr>
              <w:jc w:val="right"/>
              <w:rPr>
                <w:color w:val="000000"/>
                <w:sz w:val="16"/>
                <w:szCs w:val="16"/>
              </w:rPr>
            </w:pPr>
            <w:r w:rsidRPr="006C3677">
              <w:rPr>
                <w:color w:val="000000"/>
                <w:sz w:val="16"/>
                <w:szCs w:val="16"/>
              </w:rPr>
              <w:t>11.8%</w:t>
            </w:r>
          </w:p>
        </w:tc>
      </w:tr>
      <w:tr w:rsidR="0040730A" w:rsidRPr="006C3677" w:rsidTr="000369CE">
        <w:trPr>
          <w:trHeight w:val="300"/>
        </w:trPr>
        <w:tc>
          <w:tcPr>
            <w:tcW w:w="777" w:type="dxa"/>
            <w:tcBorders>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32</w:t>
            </w:r>
          </w:p>
        </w:tc>
        <w:tc>
          <w:tcPr>
            <w:tcW w:w="3271" w:type="dxa"/>
            <w:tcBorders>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Manufacturing,</w:t>
            </w:r>
            <w:r w:rsidR="00061FE1">
              <w:rPr>
                <w:color w:val="000000"/>
                <w:sz w:val="16"/>
                <w:szCs w:val="16"/>
              </w:rPr>
              <w:t xml:space="preserve"> </w:t>
            </w:r>
            <w:r w:rsidRPr="006C3677">
              <w:rPr>
                <w:color w:val="000000"/>
                <w:sz w:val="16"/>
                <w:szCs w:val="16"/>
              </w:rPr>
              <w:t>Non</w:t>
            </w:r>
            <w:r w:rsidR="000F1060">
              <w:rPr>
                <w:color w:val="000000"/>
                <w:sz w:val="16"/>
                <w:szCs w:val="16"/>
              </w:rPr>
              <w:t xml:space="preserve"> </w:t>
            </w:r>
            <w:r w:rsidRPr="006C3677">
              <w:rPr>
                <w:color w:val="000000"/>
                <w:sz w:val="16"/>
                <w:szCs w:val="16"/>
              </w:rPr>
              <w:t>Durable</w:t>
            </w:r>
          </w:p>
        </w:tc>
        <w:tc>
          <w:tcPr>
            <w:tcW w:w="1190" w:type="dxa"/>
            <w:tcBorders>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1,104</w:t>
            </w:r>
          </w:p>
        </w:tc>
        <w:tc>
          <w:tcPr>
            <w:tcW w:w="900" w:type="dxa"/>
            <w:tcBorders>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5.3%</w:t>
            </w:r>
          </w:p>
        </w:tc>
        <w:tc>
          <w:tcPr>
            <w:tcW w:w="1040" w:type="dxa"/>
            <w:tcBorders>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11.3%</w:t>
            </w:r>
          </w:p>
        </w:tc>
        <w:tc>
          <w:tcPr>
            <w:tcW w:w="920" w:type="dxa"/>
            <w:tcBorders>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10.8%</w:t>
            </w:r>
          </w:p>
        </w:tc>
        <w:tc>
          <w:tcPr>
            <w:tcW w:w="640" w:type="dxa"/>
            <w:tcBorders>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9.6%</w:t>
            </w:r>
          </w:p>
        </w:tc>
        <w:tc>
          <w:tcPr>
            <w:tcW w:w="640" w:type="dxa"/>
            <w:tcBorders>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11.6%</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33</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Manufacturing,</w:t>
            </w:r>
            <w:r w:rsidR="00061FE1">
              <w:rPr>
                <w:color w:val="000000"/>
                <w:sz w:val="16"/>
                <w:szCs w:val="16"/>
              </w:rPr>
              <w:t xml:space="preserve"> </w:t>
            </w:r>
            <w:r w:rsidRPr="006C3677">
              <w:rPr>
                <w:color w:val="000000"/>
                <w:sz w:val="16"/>
                <w:szCs w:val="16"/>
              </w:rPr>
              <w:t>Durable</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1,693</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3.8%</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8.2%</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7.8%</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7.0%</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8.4%</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42</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WholesaleTrade</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1,605</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6.7%</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14.4%</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13.7%</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12.3%</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14.7%</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44</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Retail</w:t>
            </w:r>
            <w:r w:rsidR="00061FE1">
              <w:rPr>
                <w:color w:val="000000"/>
                <w:sz w:val="16"/>
                <w:szCs w:val="16"/>
              </w:rPr>
              <w:t xml:space="preserve"> </w:t>
            </w:r>
            <w:r w:rsidRPr="006C3677">
              <w:rPr>
                <w:color w:val="000000"/>
                <w:sz w:val="16"/>
                <w:szCs w:val="16"/>
              </w:rPr>
              <w:t>Trade</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2,192</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3.4%</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7.2%</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6.9%</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6.1%</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7.4%</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45</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Retail</w:t>
            </w:r>
            <w:r w:rsidR="00061FE1">
              <w:rPr>
                <w:color w:val="000000"/>
                <w:sz w:val="16"/>
                <w:szCs w:val="16"/>
              </w:rPr>
              <w:t xml:space="preserve"> </w:t>
            </w:r>
            <w:r w:rsidRPr="006C3677">
              <w:rPr>
                <w:color w:val="000000"/>
                <w:sz w:val="16"/>
                <w:szCs w:val="16"/>
              </w:rPr>
              <w:t>Trade</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1,509</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4.0%</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8.7%</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8.2%</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7.4%</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8.8%</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48</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Transportation</w:t>
            </w:r>
            <w:r w:rsidR="00061FE1">
              <w:rPr>
                <w:color w:val="000000"/>
                <w:sz w:val="16"/>
                <w:szCs w:val="16"/>
              </w:rPr>
              <w:t xml:space="preserve"> </w:t>
            </w:r>
            <w:r w:rsidRPr="006C3677">
              <w:rPr>
                <w:color w:val="000000"/>
                <w:sz w:val="16"/>
                <w:szCs w:val="16"/>
              </w:rPr>
              <w:t>&amp;</w:t>
            </w:r>
            <w:r w:rsidR="00061FE1">
              <w:rPr>
                <w:color w:val="000000"/>
                <w:sz w:val="16"/>
                <w:szCs w:val="16"/>
              </w:rPr>
              <w:t xml:space="preserve"> </w:t>
            </w:r>
            <w:r w:rsidR="000F1060">
              <w:rPr>
                <w:color w:val="000000"/>
                <w:sz w:val="16"/>
                <w:szCs w:val="16"/>
              </w:rPr>
              <w:t>Warehous</w:t>
            </w:r>
            <w:r w:rsidRPr="006C3677">
              <w:rPr>
                <w:color w:val="000000"/>
                <w:sz w:val="16"/>
                <w:szCs w:val="16"/>
              </w:rPr>
              <w:t>ing</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1,168</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5.6%</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12.1%</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11.5%</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10.3%</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12.3%</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49</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Transportation</w:t>
            </w:r>
            <w:r w:rsidR="00061FE1">
              <w:rPr>
                <w:color w:val="000000"/>
                <w:sz w:val="16"/>
                <w:szCs w:val="16"/>
              </w:rPr>
              <w:t xml:space="preserve"> </w:t>
            </w:r>
            <w:r w:rsidRPr="006C3677">
              <w:rPr>
                <w:color w:val="000000"/>
                <w:sz w:val="16"/>
                <w:szCs w:val="16"/>
              </w:rPr>
              <w:t>&amp;</w:t>
            </w:r>
            <w:r w:rsidR="00061FE1">
              <w:rPr>
                <w:color w:val="000000"/>
                <w:sz w:val="16"/>
                <w:szCs w:val="16"/>
              </w:rPr>
              <w:t xml:space="preserve"> </w:t>
            </w:r>
            <w:r w:rsidR="000F1060">
              <w:rPr>
                <w:color w:val="000000"/>
                <w:sz w:val="16"/>
                <w:szCs w:val="16"/>
              </w:rPr>
              <w:t>Warehous</w:t>
            </w:r>
            <w:r w:rsidRPr="006C3677">
              <w:rPr>
                <w:color w:val="000000"/>
                <w:sz w:val="16"/>
                <w:szCs w:val="16"/>
              </w:rPr>
              <w:t>ing</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898</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4.4%</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9.4%</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8.9%</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8.0%</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9.6%</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51</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Information</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1,092</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5.0%</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10.7%</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10.1%</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9.1%</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10.9%</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52</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Finance</w:t>
            </w:r>
            <w:r w:rsidR="00061FE1">
              <w:rPr>
                <w:color w:val="000000"/>
                <w:sz w:val="16"/>
                <w:szCs w:val="16"/>
              </w:rPr>
              <w:t xml:space="preserve"> </w:t>
            </w:r>
            <w:r w:rsidRPr="006C3677">
              <w:rPr>
                <w:color w:val="000000"/>
                <w:sz w:val="16"/>
                <w:szCs w:val="16"/>
              </w:rPr>
              <w:t>&amp;</w:t>
            </w:r>
            <w:r w:rsidR="00061FE1">
              <w:rPr>
                <w:color w:val="000000"/>
                <w:sz w:val="16"/>
                <w:szCs w:val="16"/>
              </w:rPr>
              <w:t xml:space="preserve"> </w:t>
            </w:r>
            <w:r w:rsidRPr="006C3677">
              <w:rPr>
                <w:color w:val="000000"/>
                <w:sz w:val="16"/>
                <w:szCs w:val="16"/>
              </w:rPr>
              <w:t>Insurance</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1,686</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3.3%</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7.1%</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6.8%</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6.1%</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7.3%</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53</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Real</w:t>
            </w:r>
            <w:r w:rsidR="000F1060">
              <w:rPr>
                <w:color w:val="000000"/>
                <w:sz w:val="16"/>
                <w:szCs w:val="16"/>
              </w:rPr>
              <w:t xml:space="preserve"> </w:t>
            </w:r>
            <w:r w:rsidRPr="006C3677">
              <w:rPr>
                <w:color w:val="000000"/>
                <w:sz w:val="16"/>
                <w:szCs w:val="16"/>
              </w:rPr>
              <w:t>Estate</w:t>
            </w:r>
            <w:r w:rsidR="00061FE1">
              <w:rPr>
                <w:color w:val="000000"/>
                <w:sz w:val="16"/>
                <w:szCs w:val="16"/>
              </w:rPr>
              <w:t xml:space="preserve"> </w:t>
            </w:r>
            <w:r w:rsidRPr="006C3677">
              <w:rPr>
                <w:color w:val="000000"/>
                <w:sz w:val="16"/>
                <w:szCs w:val="16"/>
              </w:rPr>
              <w:t>&amp;</w:t>
            </w:r>
            <w:r w:rsidR="00061FE1">
              <w:rPr>
                <w:color w:val="000000"/>
                <w:sz w:val="16"/>
                <w:szCs w:val="16"/>
              </w:rPr>
              <w:t xml:space="preserve"> </w:t>
            </w:r>
            <w:r w:rsidRPr="006C3677">
              <w:rPr>
                <w:color w:val="000000"/>
                <w:sz w:val="16"/>
                <w:szCs w:val="16"/>
              </w:rPr>
              <w:t>Rental/Leasing</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1,127</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4.7%</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10.1%</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9.6%</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8.5%</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10.3%</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54</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Prof/Scientific/Tech</w:t>
            </w:r>
            <w:r w:rsidR="00061FE1">
              <w:rPr>
                <w:color w:val="000000"/>
                <w:sz w:val="16"/>
                <w:szCs w:val="16"/>
              </w:rPr>
              <w:t xml:space="preserve">. </w:t>
            </w:r>
            <w:r w:rsidRPr="006C3677">
              <w:rPr>
                <w:color w:val="000000"/>
                <w:sz w:val="16"/>
                <w:szCs w:val="16"/>
              </w:rPr>
              <w:t>Services</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2,133</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3.2%</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6.9%</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6.5%</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5.8%</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7.0%</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55</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Management</w:t>
            </w:r>
            <w:r w:rsidR="00061FE1">
              <w:rPr>
                <w:color w:val="000000"/>
                <w:sz w:val="16"/>
                <w:szCs w:val="16"/>
              </w:rPr>
              <w:t xml:space="preserve"> </w:t>
            </w:r>
            <w:r w:rsidRPr="006C3677">
              <w:rPr>
                <w:color w:val="000000"/>
                <w:sz w:val="16"/>
                <w:szCs w:val="16"/>
              </w:rPr>
              <w:t>of</w:t>
            </w:r>
            <w:r w:rsidR="00061FE1">
              <w:rPr>
                <w:color w:val="000000"/>
                <w:sz w:val="16"/>
                <w:szCs w:val="16"/>
              </w:rPr>
              <w:t xml:space="preserve"> </w:t>
            </w:r>
            <w:r w:rsidRPr="006C3677">
              <w:rPr>
                <w:color w:val="000000"/>
                <w:sz w:val="16"/>
                <w:szCs w:val="16"/>
              </w:rPr>
              <w:t>Co</w:t>
            </w:r>
            <w:r w:rsidR="00061FE1">
              <w:rPr>
                <w:color w:val="000000"/>
                <w:sz w:val="16"/>
                <w:szCs w:val="16"/>
              </w:rPr>
              <w:t xml:space="preserve"> </w:t>
            </w:r>
            <w:r w:rsidRPr="006C3677">
              <w:rPr>
                <w:color w:val="000000"/>
                <w:sz w:val="16"/>
                <w:szCs w:val="16"/>
              </w:rPr>
              <w:t>&amp;</w:t>
            </w:r>
            <w:r w:rsidR="00061FE1">
              <w:rPr>
                <w:color w:val="000000"/>
                <w:sz w:val="16"/>
                <w:szCs w:val="16"/>
              </w:rPr>
              <w:t xml:space="preserve"> </w:t>
            </w:r>
            <w:r w:rsidRPr="006C3677">
              <w:rPr>
                <w:color w:val="000000"/>
                <w:sz w:val="16"/>
                <w:szCs w:val="16"/>
              </w:rPr>
              <w:t>Enterprises</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836</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7.0%</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15.0%</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14.2%</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12.7%</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15.3%</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56</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0F1060">
            <w:pPr>
              <w:rPr>
                <w:color w:val="000000"/>
                <w:sz w:val="16"/>
                <w:szCs w:val="16"/>
              </w:rPr>
            </w:pPr>
            <w:r w:rsidRPr="006C3677">
              <w:rPr>
                <w:color w:val="000000"/>
                <w:sz w:val="16"/>
                <w:szCs w:val="16"/>
              </w:rPr>
              <w:t>Admin/Waste/Remediation</w:t>
            </w:r>
            <w:r w:rsidR="00061FE1">
              <w:rPr>
                <w:color w:val="000000"/>
                <w:sz w:val="16"/>
                <w:szCs w:val="16"/>
              </w:rPr>
              <w:t xml:space="preserve"> </w:t>
            </w:r>
            <w:r w:rsidRPr="006C3677">
              <w:rPr>
                <w:color w:val="000000"/>
                <w:sz w:val="16"/>
                <w:szCs w:val="16"/>
              </w:rPr>
              <w:t>S</w:t>
            </w:r>
            <w:r w:rsidR="000F1060">
              <w:rPr>
                <w:color w:val="000000"/>
                <w:sz w:val="16"/>
                <w:szCs w:val="16"/>
              </w:rPr>
              <w:t>ervices</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1,894</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5.9%</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12.6%</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12.0%</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10.7%</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12.9%</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61</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Education</w:t>
            </w:r>
            <w:r w:rsidR="00061FE1">
              <w:rPr>
                <w:color w:val="000000"/>
                <w:sz w:val="16"/>
                <w:szCs w:val="16"/>
              </w:rPr>
              <w:t xml:space="preserve"> </w:t>
            </w:r>
            <w:r w:rsidRPr="006C3677">
              <w:rPr>
                <w:color w:val="000000"/>
                <w:sz w:val="16"/>
                <w:szCs w:val="16"/>
              </w:rPr>
              <w:t>Services</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2,186</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4.3%</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9.2%</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8.7%</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7.8%</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9.4%</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62</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Health</w:t>
            </w:r>
            <w:r w:rsidR="00061FE1">
              <w:rPr>
                <w:color w:val="000000"/>
                <w:sz w:val="16"/>
                <w:szCs w:val="16"/>
              </w:rPr>
              <w:t xml:space="preserve"> </w:t>
            </w:r>
            <w:r w:rsidRPr="006C3677">
              <w:rPr>
                <w:color w:val="000000"/>
                <w:sz w:val="16"/>
                <w:szCs w:val="16"/>
              </w:rPr>
              <w:t>Care/</w:t>
            </w:r>
            <w:r w:rsidR="00061FE1" w:rsidRPr="006C3677">
              <w:rPr>
                <w:color w:val="000000"/>
                <w:sz w:val="16"/>
                <w:szCs w:val="16"/>
              </w:rPr>
              <w:t>Social</w:t>
            </w:r>
            <w:r w:rsidR="00061FE1">
              <w:rPr>
                <w:color w:val="000000"/>
                <w:sz w:val="16"/>
                <w:szCs w:val="16"/>
              </w:rPr>
              <w:t xml:space="preserve"> </w:t>
            </w:r>
            <w:r w:rsidR="00061FE1" w:rsidRPr="006C3677">
              <w:rPr>
                <w:color w:val="000000"/>
                <w:sz w:val="16"/>
                <w:szCs w:val="16"/>
              </w:rPr>
              <w:t>Assistance</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2,739</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2.9%</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6.2%</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5.8%</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5.2%</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6.3%</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71</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Arts/</w:t>
            </w:r>
            <w:r w:rsidR="00061FE1" w:rsidRPr="006C3677">
              <w:rPr>
                <w:color w:val="000000"/>
                <w:sz w:val="16"/>
                <w:szCs w:val="16"/>
              </w:rPr>
              <w:t>Entertainment</w:t>
            </w:r>
            <w:r w:rsidRPr="006C3677">
              <w:rPr>
                <w:color w:val="000000"/>
                <w:sz w:val="16"/>
                <w:szCs w:val="16"/>
              </w:rPr>
              <w:t>/Recreation</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1,100</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4.2%</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9.1%</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8.6%</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7.7%</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9.3%</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72</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061FE1" w:rsidP="00340EDD">
            <w:pPr>
              <w:rPr>
                <w:color w:val="000000"/>
                <w:sz w:val="16"/>
                <w:szCs w:val="16"/>
              </w:rPr>
            </w:pPr>
            <w:r w:rsidRPr="006C3677">
              <w:rPr>
                <w:color w:val="000000"/>
                <w:sz w:val="16"/>
                <w:szCs w:val="16"/>
              </w:rPr>
              <w:t>Accommodation</w:t>
            </w:r>
            <w:r w:rsidR="0040730A" w:rsidRPr="006C3677">
              <w:rPr>
                <w:color w:val="000000"/>
                <w:sz w:val="16"/>
                <w:szCs w:val="16"/>
              </w:rPr>
              <w:t>/</w:t>
            </w:r>
            <w:r w:rsidRPr="006C3677">
              <w:rPr>
                <w:color w:val="000000"/>
                <w:sz w:val="16"/>
                <w:szCs w:val="16"/>
              </w:rPr>
              <w:t>Food</w:t>
            </w:r>
            <w:r>
              <w:rPr>
                <w:color w:val="000000"/>
                <w:sz w:val="16"/>
                <w:szCs w:val="16"/>
              </w:rPr>
              <w:t xml:space="preserve"> </w:t>
            </w:r>
            <w:r w:rsidRPr="006C3677">
              <w:rPr>
                <w:color w:val="000000"/>
                <w:sz w:val="16"/>
                <w:szCs w:val="16"/>
              </w:rPr>
              <w:t>Services</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2,192</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4.0%</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8.6%</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8.2%</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7.3%</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8.8%</w:t>
            </w:r>
          </w:p>
        </w:tc>
      </w:tr>
      <w:tr w:rsidR="0040730A" w:rsidRPr="006C3677" w:rsidTr="00345F82">
        <w:trPr>
          <w:trHeight w:val="300"/>
        </w:trPr>
        <w:tc>
          <w:tcPr>
            <w:tcW w:w="777" w:type="dxa"/>
            <w:tcBorders>
              <w:top w:val="nil"/>
              <w:left w:val="single" w:sz="8" w:space="0" w:color="auto"/>
              <w:bottom w:val="nil"/>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81</w:t>
            </w:r>
          </w:p>
        </w:tc>
        <w:tc>
          <w:tcPr>
            <w:tcW w:w="3271" w:type="dxa"/>
            <w:tcBorders>
              <w:top w:val="nil"/>
              <w:left w:val="nil"/>
              <w:bottom w:val="nil"/>
              <w:right w:val="single" w:sz="8" w:space="0" w:color="auto"/>
            </w:tcBorders>
            <w:shd w:val="clear" w:color="auto" w:fill="auto"/>
            <w:noWrap/>
            <w:vAlign w:val="bottom"/>
            <w:hideMark/>
          </w:tcPr>
          <w:p w:rsidR="0040730A" w:rsidRPr="006C3677" w:rsidRDefault="00061FE1" w:rsidP="00340EDD">
            <w:pPr>
              <w:rPr>
                <w:color w:val="000000"/>
                <w:sz w:val="16"/>
                <w:szCs w:val="16"/>
              </w:rPr>
            </w:pPr>
            <w:r w:rsidRPr="006C3677">
              <w:rPr>
                <w:color w:val="000000"/>
                <w:sz w:val="16"/>
                <w:szCs w:val="16"/>
              </w:rPr>
              <w:t>Other Services</w:t>
            </w:r>
          </w:p>
        </w:tc>
        <w:tc>
          <w:tcPr>
            <w:tcW w:w="119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1,538</w:t>
            </w:r>
          </w:p>
        </w:tc>
        <w:tc>
          <w:tcPr>
            <w:tcW w:w="90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4.0%</w:t>
            </w:r>
          </w:p>
        </w:tc>
        <w:tc>
          <w:tcPr>
            <w:tcW w:w="10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8.6%</w:t>
            </w:r>
          </w:p>
        </w:tc>
        <w:tc>
          <w:tcPr>
            <w:tcW w:w="92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8.2%</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7.3%</w:t>
            </w:r>
          </w:p>
        </w:tc>
        <w:tc>
          <w:tcPr>
            <w:tcW w:w="640" w:type="dxa"/>
            <w:tcBorders>
              <w:top w:val="nil"/>
              <w:left w:val="nil"/>
              <w:bottom w:val="nil"/>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8.8%</w:t>
            </w:r>
          </w:p>
        </w:tc>
      </w:tr>
      <w:tr w:rsidR="0040730A" w:rsidRPr="006C3677" w:rsidTr="00BD54E9">
        <w:trPr>
          <w:trHeight w:val="315"/>
        </w:trPr>
        <w:tc>
          <w:tcPr>
            <w:tcW w:w="777" w:type="dxa"/>
            <w:tcBorders>
              <w:top w:val="nil"/>
              <w:left w:val="single" w:sz="8" w:space="0" w:color="auto"/>
              <w:bottom w:val="double" w:sz="4" w:space="0" w:color="auto"/>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92</w:t>
            </w:r>
          </w:p>
        </w:tc>
        <w:tc>
          <w:tcPr>
            <w:tcW w:w="3271" w:type="dxa"/>
            <w:tcBorders>
              <w:top w:val="nil"/>
              <w:left w:val="nil"/>
              <w:bottom w:val="double" w:sz="4" w:space="0" w:color="auto"/>
              <w:right w:val="single" w:sz="8" w:space="0" w:color="auto"/>
            </w:tcBorders>
            <w:shd w:val="clear" w:color="auto" w:fill="auto"/>
            <w:noWrap/>
            <w:vAlign w:val="bottom"/>
            <w:hideMark/>
          </w:tcPr>
          <w:p w:rsidR="0040730A" w:rsidRPr="006C3677" w:rsidRDefault="0040730A" w:rsidP="00340EDD">
            <w:pPr>
              <w:rPr>
                <w:color w:val="000000"/>
                <w:sz w:val="16"/>
                <w:szCs w:val="16"/>
              </w:rPr>
            </w:pPr>
            <w:r w:rsidRPr="006C3677">
              <w:rPr>
                <w:color w:val="000000"/>
                <w:sz w:val="16"/>
                <w:szCs w:val="16"/>
              </w:rPr>
              <w:t>Public Administration</w:t>
            </w:r>
          </w:p>
        </w:tc>
        <w:tc>
          <w:tcPr>
            <w:tcW w:w="1190" w:type="dxa"/>
            <w:tcBorders>
              <w:top w:val="nil"/>
              <w:left w:val="nil"/>
              <w:bottom w:val="doub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1,632</w:t>
            </w:r>
          </w:p>
        </w:tc>
        <w:tc>
          <w:tcPr>
            <w:tcW w:w="900" w:type="dxa"/>
            <w:tcBorders>
              <w:top w:val="nil"/>
              <w:left w:val="nil"/>
              <w:bottom w:val="doub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5.5%</w:t>
            </w:r>
          </w:p>
        </w:tc>
        <w:tc>
          <w:tcPr>
            <w:tcW w:w="1040" w:type="dxa"/>
            <w:tcBorders>
              <w:top w:val="nil"/>
              <w:left w:val="nil"/>
              <w:bottom w:val="doub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11.9%</w:t>
            </w:r>
          </w:p>
        </w:tc>
        <w:tc>
          <w:tcPr>
            <w:tcW w:w="920" w:type="dxa"/>
            <w:tcBorders>
              <w:top w:val="nil"/>
              <w:left w:val="nil"/>
              <w:bottom w:val="doub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11.3%</w:t>
            </w:r>
          </w:p>
        </w:tc>
        <w:tc>
          <w:tcPr>
            <w:tcW w:w="640" w:type="dxa"/>
            <w:tcBorders>
              <w:top w:val="nil"/>
              <w:left w:val="nil"/>
              <w:bottom w:val="doub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10.1%</w:t>
            </w:r>
          </w:p>
        </w:tc>
        <w:tc>
          <w:tcPr>
            <w:tcW w:w="640" w:type="dxa"/>
            <w:tcBorders>
              <w:top w:val="nil"/>
              <w:left w:val="nil"/>
              <w:bottom w:val="double" w:sz="4" w:space="0" w:color="auto"/>
              <w:right w:val="single" w:sz="8" w:space="0" w:color="auto"/>
            </w:tcBorders>
            <w:shd w:val="clear" w:color="auto" w:fill="auto"/>
            <w:noWrap/>
            <w:vAlign w:val="bottom"/>
            <w:hideMark/>
          </w:tcPr>
          <w:p w:rsidR="0040730A" w:rsidRPr="006C3677" w:rsidRDefault="0040730A" w:rsidP="00340EDD">
            <w:pPr>
              <w:jc w:val="right"/>
              <w:rPr>
                <w:color w:val="000000"/>
                <w:sz w:val="16"/>
                <w:szCs w:val="16"/>
              </w:rPr>
            </w:pPr>
            <w:r w:rsidRPr="006C3677">
              <w:rPr>
                <w:color w:val="000000"/>
                <w:sz w:val="16"/>
                <w:szCs w:val="16"/>
              </w:rPr>
              <w:t>12.2%</w:t>
            </w:r>
          </w:p>
        </w:tc>
      </w:tr>
      <w:tr w:rsidR="00BD54E9" w:rsidRPr="006C3677" w:rsidTr="00BD54E9">
        <w:trPr>
          <w:trHeight w:val="315"/>
        </w:trPr>
        <w:tc>
          <w:tcPr>
            <w:tcW w:w="777" w:type="dxa"/>
            <w:tcBorders>
              <w:top w:val="double" w:sz="4" w:space="0" w:color="auto"/>
              <w:left w:val="single" w:sz="8" w:space="0" w:color="auto"/>
              <w:bottom w:val="single" w:sz="8" w:space="0" w:color="auto"/>
              <w:right w:val="single" w:sz="8" w:space="0" w:color="auto"/>
            </w:tcBorders>
            <w:shd w:val="clear" w:color="auto" w:fill="auto"/>
            <w:noWrap/>
            <w:vAlign w:val="bottom"/>
            <w:hideMark/>
          </w:tcPr>
          <w:p w:rsidR="00BD54E9" w:rsidRPr="006C3677" w:rsidRDefault="00BD54E9" w:rsidP="00C87271">
            <w:pPr>
              <w:rPr>
                <w:color w:val="000000"/>
                <w:sz w:val="16"/>
                <w:szCs w:val="16"/>
              </w:rPr>
            </w:pPr>
            <w:r>
              <w:rPr>
                <w:color w:val="000000"/>
                <w:sz w:val="16"/>
                <w:szCs w:val="16"/>
              </w:rPr>
              <w:t>All</w:t>
            </w:r>
          </w:p>
        </w:tc>
        <w:tc>
          <w:tcPr>
            <w:tcW w:w="3271" w:type="dxa"/>
            <w:tcBorders>
              <w:top w:val="double" w:sz="4" w:space="0" w:color="auto"/>
              <w:left w:val="nil"/>
              <w:bottom w:val="single" w:sz="8" w:space="0" w:color="auto"/>
              <w:right w:val="single" w:sz="8" w:space="0" w:color="auto"/>
            </w:tcBorders>
            <w:shd w:val="clear" w:color="auto" w:fill="auto"/>
            <w:noWrap/>
            <w:vAlign w:val="bottom"/>
            <w:hideMark/>
          </w:tcPr>
          <w:p w:rsidR="00BD54E9" w:rsidRPr="006C3677" w:rsidRDefault="00BD54E9" w:rsidP="00C87271">
            <w:pPr>
              <w:rPr>
                <w:color w:val="000000"/>
                <w:sz w:val="16"/>
                <w:szCs w:val="16"/>
              </w:rPr>
            </w:pPr>
            <w:r>
              <w:rPr>
                <w:color w:val="000000"/>
                <w:sz w:val="16"/>
                <w:szCs w:val="16"/>
              </w:rPr>
              <w:t>Across All Industries</w:t>
            </w:r>
          </w:p>
        </w:tc>
        <w:tc>
          <w:tcPr>
            <w:tcW w:w="1190" w:type="dxa"/>
            <w:tcBorders>
              <w:top w:val="double" w:sz="4" w:space="0" w:color="auto"/>
              <w:left w:val="nil"/>
              <w:bottom w:val="single" w:sz="8" w:space="0" w:color="auto"/>
              <w:right w:val="single" w:sz="8" w:space="0" w:color="auto"/>
            </w:tcBorders>
            <w:shd w:val="clear" w:color="auto" w:fill="auto"/>
            <w:noWrap/>
            <w:vAlign w:val="bottom"/>
            <w:hideMark/>
          </w:tcPr>
          <w:p w:rsidR="00BD54E9" w:rsidRPr="006C3677" w:rsidRDefault="00BD54E9" w:rsidP="00C87271">
            <w:pPr>
              <w:jc w:val="right"/>
              <w:rPr>
                <w:color w:val="000000"/>
                <w:sz w:val="16"/>
                <w:szCs w:val="16"/>
              </w:rPr>
            </w:pPr>
            <w:r>
              <w:rPr>
                <w:color w:val="000000"/>
                <w:sz w:val="16"/>
                <w:szCs w:val="16"/>
              </w:rPr>
              <w:t>35,040</w:t>
            </w:r>
          </w:p>
        </w:tc>
        <w:tc>
          <w:tcPr>
            <w:tcW w:w="900" w:type="dxa"/>
            <w:tcBorders>
              <w:top w:val="double" w:sz="4" w:space="0" w:color="auto"/>
              <w:left w:val="nil"/>
              <w:bottom w:val="single" w:sz="8" w:space="0" w:color="auto"/>
              <w:right w:val="single" w:sz="8" w:space="0" w:color="auto"/>
            </w:tcBorders>
            <w:shd w:val="clear" w:color="auto" w:fill="auto"/>
            <w:noWrap/>
            <w:vAlign w:val="bottom"/>
            <w:hideMark/>
          </w:tcPr>
          <w:p w:rsidR="00BD54E9" w:rsidRPr="006C3677" w:rsidRDefault="00BD54E9" w:rsidP="00C87271">
            <w:pPr>
              <w:jc w:val="right"/>
              <w:rPr>
                <w:color w:val="000000"/>
                <w:sz w:val="16"/>
                <w:szCs w:val="16"/>
              </w:rPr>
            </w:pPr>
            <w:r>
              <w:rPr>
                <w:color w:val="000000"/>
                <w:sz w:val="16"/>
                <w:szCs w:val="16"/>
              </w:rPr>
              <w:t>1.1%</w:t>
            </w:r>
          </w:p>
        </w:tc>
        <w:tc>
          <w:tcPr>
            <w:tcW w:w="1040" w:type="dxa"/>
            <w:tcBorders>
              <w:top w:val="double" w:sz="4" w:space="0" w:color="auto"/>
              <w:left w:val="nil"/>
              <w:bottom w:val="single" w:sz="8" w:space="0" w:color="auto"/>
              <w:right w:val="single" w:sz="8" w:space="0" w:color="auto"/>
            </w:tcBorders>
            <w:shd w:val="clear" w:color="auto" w:fill="auto"/>
            <w:noWrap/>
            <w:vAlign w:val="bottom"/>
            <w:hideMark/>
          </w:tcPr>
          <w:p w:rsidR="00BD54E9" w:rsidRPr="006C3677" w:rsidRDefault="00BD54E9" w:rsidP="00C87271">
            <w:pPr>
              <w:jc w:val="right"/>
              <w:rPr>
                <w:color w:val="000000"/>
                <w:sz w:val="16"/>
                <w:szCs w:val="16"/>
              </w:rPr>
            </w:pPr>
            <w:r>
              <w:rPr>
                <w:color w:val="000000"/>
                <w:sz w:val="16"/>
                <w:szCs w:val="16"/>
              </w:rPr>
              <w:t>2.5%</w:t>
            </w:r>
          </w:p>
        </w:tc>
        <w:tc>
          <w:tcPr>
            <w:tcW w:w="920" w:type="dxa"/>
            <w:tcBorders>
              <w:top w:val="double" w:sz="4" w:space="0" w:color="auto"/>
              <w:left w:val="nil"/>
              <w:bottom w:val="single" w:sz="8" w:space="0" w:color="auto"/>
              <w:right w:val="single" w:sz="8" w:space="0" w:color="auto"/>
            </w:tcBorders>
            <w:shd w:val="clear" w:color="auto" w:fill="auto"/>
            <w:noWrap/>
            <w:vAlign w:val="bottom"/>
            <w:hideMark/>
          </w:tcPr>
          <w:p w:rsidR="00BD54E9" w:rsidRPr="006C3677" w:rsidRDefault="00BD54E9" w:rsidP="00C87271">
            <w:pPr>
              <w:jc w:val="right"/>
              <w:rPr>
                <w:color w:val="000000"/>
                <w:sz w:val="16"/>
                <w:szCs w:val="16"/>
              </w:rPr>
            </w:pPr>
            <w:r>
              <w:rPr>
                <w:color w:val="000000"/>
                <w:sz w:val="16"/>
                <w:szCs w:val="16"/>
              </w:rPr>
              <w:t>2.3%</w:t>
            </w:r>
          </w:p>
        </w:tc>
        <w:tc>
          <w:tcPr>
            <w:tcW w:w="640" w:type="dxa"/>
            <w:tcBorders>
              <w:top w:val="double" w:sz="4" w:space="0" w:color="auto"/>
              <w:left w:val="nil"/>
              <w:bottom w:val="single" w:sz="8" w:space="0" w:color="auto"/>
              <w:right w:val="single" w:sz="8" w:space="0" w:color="auto"/>
            </w:tcBorders>
            <w:shd w:val="clear" w:color="auto" w:fill="auto"/>
            <w:noWrap/>
            <w:vAlign w:val="bottom"/>
            <w:hideMark/>
          </w:tcPr>
          <w:p w:rsidR="00BD54E9" w:rsidRPr="006C3677" w:rsidRDefault="00BD54E9" w:rsidP="00C87271">
            <w:pPr>
              <w:jc w:val="right"/>
              <w:rPr>
                <w:color w:val="000000"/>
                <w:sz w:val="16"/>
                <w:szCs w:val="16"/>
              </w:rPr>
            </w:pPr>
            <w:r>
              <w:rPr>
                <w:color w:val="000000"/>
                <w:sz w:val="16"/>
                <w:szCs w:val="16"/>
              </w:rPr>
              <w:t>2.1%</w:t>
            </w:r>
          </w:p>
        </w:tc>
        <w:tc>
          <w:tcPr>
            <w:tcW w:w="640" w:type="dxa"/>
            <w:tcBorders>
              <w:top w:val="double" w:sz="4" w:space="0" w:color="auto"/>
              <w:left w:val="nil"/>
              <w:bottom w:val="single" w:sz="8" w:space="0" w:color="auto"/>
              <w:right w:val="single" w:sz="8" w:space="0" w:color="auto"/>
            </w:tcBorders>
            <w:shd w:val="clear" w:color="auto" w:fill="auto"/>
            <w:noWrap/>
            <w:vAlign w:val="bottom"/>
            <w:hideMark/>
          </w:tcPr>
          <w:p w:rsidR="00BD54E9" w:rsidRPr="006C3677" w:rsidRDefault="00BD54E9" w:rsidP="00C87271">
            <w:pPr>
              <w:jc w:val="right"/>
              <w:rPr>
                <w:color w:val="000000"/>
                <w:sz w:val="16"/>
                <w:szCs w:val="16"/>
              </w:rPr>
            </w:pPr>
            <w:r>
              <w:rPr>
                <w:color w:val="000000"/>
                <w:sz w:val="16"/>
                <w:szCs w:val="16"/>
              </w:rPr>
              <w:t>2.5%</w:t>
            </w:r>
          </w:p>
        </w:tc>
      </w:tr>
    </w:tbl>
    <w:p w:rsidR="00BD54E9" w:rsidRDefault="00BD54E9" w:rsidP="0040730A">
      <w:pPr>
        <w:rPr>
          <w:b/>
          <w:sz w:val="24"/>
        </w:rPr>
      </w:pPr>
    </w:p>
    <w:p w:rsidR="0040730A" w:rsidRPr="00C1739F" w:rsidRDefault="0040730A" w:rsidP="0040730A">
      <w:pPr>
        <w:rPr>
          <w:b/>
          <w:sz w:val="24"/>
        </w:rPr>
      </w:pPr>
      <w:r w:rsidRPr="00C1739F">
        <w:rPr>
          <w:b/>
          <w:sz w:val="24"/>
        </w:rPr>
        <w:t>2(</w:t>
      </w:r>
      <w:r>
        <w:rPr>
          <w:b/>
          <w:sz w:val="24"/>
        </w:rPr>
        <w:t>d</w:t>
      </w:r>
      <w:proofErr w:type="gramStart"/>
      <w:r w:rsidRPr="00C1739F">
        <w:rPr>
          <w:b/>
          <w:sz w:val="24"/>
        </w:rPr>
        <w:t>)  Data</w:t>
      </w:r>
      <w:proofErr w:type="gramEnd"/>
      <w:r w:rsidRPr="00C1739F">
        <w:rPr>
          <w:b/>
          <w:sz w:val="24"/>
        </w:rPr>
        <w:t xml:space="preserve"> Collection Cycle</w:t>
      </w:r>
    </w:p>
    <w:p w:rsidR="0040730A" w:rsidRDefault="0040730A" w:rsidP="0040730A">
      <w:pPr>
        <w:rPr>
          <w:sz w:val="24"/>
        </w:rPr>
      </w:pPr>
    </w:p>
    <w:p w:rsidR="0040730A" w:rsidRDefault="0040730A" w:rsidP="0040730A">
      <w:pPr>
        <w:jc w:val="both"/>
        <w:rPr>
          <w:sz w:val="24"/>
        </w:rPr>
      </w:pPr>
      <w:r>
        <w:rPr>
          <w:sz w:val="24"/>
        </w:rPr>
        <w:t xml:space="preserve">The Green Technologies and Practices Survey </w:t>
      </w:r>
      <w:proofErr w:type="gramStart"/>
      <w:r>
        <w:rPr>
          <w:sz w:val="24"/>
        </w:rPr>
        <w:t>is</w:t>
      </w:r>
      <w:proofErr w:type="gramEnd"/>
      <w:r>
        <w:rPr>
          <w:sz w:val="24"/>
        </w:rPr>
        <w:t xml:space="preserve"> expected to be a one-time data collection effort.  </w:t>
      </w:r>
    </w:p>
    <w:p w:rsidR="0040730A" w:rsidRDefault="0040730A" w:rsidP="0040730A">
      <w:pPr>
        <w:rPr>
          <w:sz w:val="24"/>
        </w:rPr>
      </w:pPr>
    </w:p>
    <w:p w:rsidR="0040730A" w:rsidRPr="00C1739F" w:rsidRDefault="0040730A" w:rsidP="0040730A">
      <w:pPr>
        <w:rPr>
          <w:b/>
          <w:sz w:val="24"/>
        </w:rPr>
      </w:pPr>
      <w:r w:rsidRPr="00C1739F">
        <w:rPr>
          <w:b/>
          <w:sz w:val="24"/>
        </w:rPr>
        <w:t>3(a</w:t>
      </w:r>
      <w:proofErr w:type="gramStart"/>
      <w:r w:rsidRPr="00C1739F">
        <w:rPr>
          <w:b/>
          <w:sz w:val="24"/>
        </w:rPr>
        <w:t>)  Maximizing</w:t>
      </w:r>
      <w:proofErr w:type="gramEnd"/>
      <w:r w:rsidRPr="00C1739F">
        <w:rPr>
          <w:b/>
          <w:sz w:val="24"/>
        </w:rPr>
        <w:t xml:space="preserve"> Response</w:t>
      </w:r>
    </w:p>
    <w:p w:rsidR="0040730A" w:rsidRPr="00C1739F" w:rsidRDefault="0040730A" w:rsidP="0040730A">
      <w:pPr>
        <w:rPr>
          <w:b/>
          <w:sz w:val="24"/>
        </w:rPr>
      </w:pPr>
    </w:p>
    <w:p w:rsidR="0040730A" w:rsidRDefault="0040730A" w:rsidP="0040730A">
      <w:pPr>
        <w:jc w:val="both"/>
        <w:rPr>
          <w:sz w:val="24"/>
        </w:rPr>
      </w:pPr>
      <w:r>
        <w:rPr>
          <w:sz w:val="24"/>
        </w:rPr>
        <w:t>A</w:t>
      </w:r>
      <w:r w:rsidRPr="0007494F">
        <w:rPr>
          <w:sz w:val="24"/>
        </w:rPr>
        <w:t xml:space="preserve"> goal of the </w:t>
      </w:r>
      <w:r>
        <w:rPr>
          <w:sz w:val="24"/>
        </w:rPr>
        <w:t>GTP</w:t>
      </w:r>
      <w:r w:rsidRPr="0007494F">
        <w:rPr>
          <w:sz w:val="24"/>
        </w:rPr>
        <w:t xml:space="preserve"> survey is </w:t>
      </w:r>
      <w:r>
        <w:rPr>
          <w:sz w:val="24"/>
        </w:rPr>
        <w:t>to</w:t>
      </w:r>
      <w:r w:rsidRPr="0007494F">
        <w:rPr>
          <w:sz w:val="24"/>
        </w:rPr>
        <w:t xml:space="preserve"> achieve a </w:t>
      </w:r>
      <w:r>
        <w:rPr>
          <w:sz w:val="24"/>
        </w:rPr>
        <w:t>75</w:t>
      </w:r>
      <w:r w:rsidRPr="0007494F">
        <w:rPr>
          <w:sz w:val="24"/>
        </w:rPr>
        <w:t xml:space="preserve"> percent response rate.  </w:t>
      </w:r>
      <w:r>
        <w:rPr>
          <w:sz w:val="24"/>
        </w:rPr>
        <w:t xml:space="preserve">To date, BLS has completed </w:t>
      </w:r>
      <w:r w:rsidR="00C87271">
        <w:rPr>
          <w:sz w:val="24"/>
        </w:rPr>
        <w:t>three of five test panels to refine the paper survey</w:t>
      </w:r>
      <w:r>
        <w:rPr>
          <w:sz w:val="24"/>
        </w:rPr>
        <w:t xml:space="preserve"> form.  The overall response rate on the first </w:t>
      </w:r>
      <w:r>
        <w:rPr>
          <w:sz w:val="24"/>
        </w:rPr>
        <w:lastRenderedPageBreak/>
        <w:t>test panel was about 38 percent while the response rate</w:t>
      </w:r>
      <w:r w:rsidR="00C87271">
        <w:rPr>
          <w:sz w:val="24"/>
        </w:rPr>
        <w:t>s</w:t>
      </w:r>
      <w:r>
        <w:rPr>
          <w:sz w:val="24"/>
        </w:rPr>
        <w:t xml:space="preserve"> on the second </w:t>
      </w:r>
      <w:r w:rsidR="00C87271">
        <w:rPr>
          <w:sz w:val="24"/>
        </w:rPr>
        <w:t xml:space="preserve">and third </w:t>
      </w:r>
      <w:r>
        <w:rPr>
          <w:sz w:val="24"/>
        </w:rPr>
        <w:t>panel</w:t>
      </w:r>
      <w:r w:rsidR="00C87271">
        <w:rPr>
          <w:sz w:val="24"/>
        </w:rPr>
        <w:t>s</w:t>
      </w:r>
      <w:r>
        <w:rPr>
          <w:sz w:val="24"/>
        </w:rPr>
        <w:t xml:space="preserve"> improved to</w:t>
      </w:r>
      <w:r w:rsidR="00C87271">
        <w:rPr>
          <w:sz w:val="24"/>
        </w:rPr>
        <w:t xml:space="preserve"> about </w:t>
      </w:r>
      <w:r>
        <w:rPr>
          <w:sz w:val="24"/>
        </w:rPr>
        <w:t>50 percent.  These test panels were in the field for a re</w:t>
      </w:r>
      <w:r w:rsidR="00C87271">
        <w:rPr>
          <w:sz w:val="24"/>
        </w:rPr>
        <w:t>latively short period of time (</w:t>
      </w:r>
      <w:r>
        <w:rPr>
          <w:sz w:val="24"/>
        </w:rPr>
        <w:t>6 weeks)</w:t>
      </w:r>
      <w:r w:rsidR="00C87271">
        <w:rPr>
          <w:sz w:val="24"/>
        </w:rPr>
        <w:t xml:space="preserve"> and were conducted exclusively using the mail survey form, and in </w:t>
      </w:r>
      <w:r w:rsidR="006131AA">
        <w:rPr>
          <w:sz w:val="24"/>
        </w:rPr>
        <w:t>the third</w:t>
      </w:r>
      <w:r w:rsidR="00C87271">
        <w:rPr>
          <w:sz w:val="24"/>
        </w:rPr>
        <w:t xml:space="preserve"> panel, a faxable survey form</w:t>
      </w:r>
      <w:r>
        <w:rPr>
          <w:sz w:val="24"/>
        </w:rPr>
        <w:t>.  Improvements</w:t>
      </w:r>
      <w:r w:rsidR="00C87271">
        <w:rPr>
          <w:sz w:val="24"/>
        </w:rPr>
        <w:t xml:space="preserve"> to the survey form and cover letter </w:t>
      </w:r>
      <w:r>
        <w:rPr>
          <w:sz w:val="24"/>
        </w:rPr>
        <w:t>have been made as a result of information learned from the test</w:t>
      </w:r>
      <w:r w:rsidR="00C87271">
        <w:rPr>
          <w:sz w:val="24"/>
        </w:rPr>
        <w:t xml:space="preserve"> panels</w:t>
      </w:r>
      <w:r>
        <w:rPr>
          <w:sz w:val="24"/>
        </w:rPr>
        <w:t>.  The 2009 Green Jobs Survey conducted by the State of Washington utilizing mail collection obtained a response rate of 70 perc</w:t>
      </w:r>
      <w:r w:rsidR="00C87271">
        <w:rPr>
          <w:sz w:val="24"/>
        </w:rPr>
        <w:t xml:space="preserve">ent.  By utilizing </w:t>
      </w:r>
      <w:r>
        <w:rPr>
          <w:sz w:val="24"/>
        </w:rPr>
        <w:t xml:space="preserve">web-based collection </w:t>
      </w:r>
      <w:r w:rsidR="00C87271">
        <w:rPr>
          <w:sz w:val="24"/>
        </w:rPr>
        <w:t>(currently being tested),</w:t>
      </w:r>
      <w:r>
        <w:rPr>
          <w:sz w:val="24"/>
        </w:rPr>
        <w:t xml:space="preserve"> email </w:t>
      </w:r>
      <w:r w:rsidR="00C87271">
        <w:rPr>
          <w:sz w:val="24"/>
        </w:rPr>
        <w:t xml:space="preserve">collection, mail, fax, and telephone collection BLS hopes to achieve a higher response rate of 75 percent.  </w:t>
      </w:r>
    </w:p>
    <w:p w:rsidR="0040730A" w:rsidRDefault="0040730A" w:rsidP="0040730A">
      <w:pPr>
        <w:rPr>
          <w:sz w:val="24"/>
        </w:rPr>
      </w:pPr>
      <w:r>
        <w:rPr>
          <w:sz w:val="24"/>
        </w:rPr>
        <w:t xml:space="preserve"> </w:t>
      </w:r>
    </w:p>
    <w:p w:rsidR="00C87271" w:rsidRDefault="00C87271" w:rsidP="0040730A">
      <w:pPr>
        <w:rPr>
          <w:sz w:val="24"/>
        </w:rPr>
      </w:pPr>
      <w:r>
        <w:rPr>
          <w:sz w:val="24"/>
        </w:rPr>
        <w:t xml:space="preserve">The survey protocol includes the initial mailing </w:t>
      </w:r>
      <w:r w:rsidR="006131AA">
        <w:rPr>
          <w:sz w:val="24"/>
        </w:rPr>
        <w:t xml:space="preserve">in August 2011, </w:t>
      </w:r>
      <w:r>
        <w:rPr>
          <w:sz w:val="24"/>
        </w:rPr>
        <w:t>of the survey form</w:t>
      </w:r>
      <w:r w:rsidR="009E2F26">
        <w:rPr>
          <w:sz w:val="24"/>
        </w:rPr>
        <w:t xml:space="preserve">, return envelope, cover letter, </w:t>
      </w:r>
      <w:r>
        <w:rPr>
          <w:sz w:val="24"/>
        </w:rPr>
        <w:t>and web reporting instructions.  A non-response prompt</w:t>
      </w:r>
      <w:r w:rsidR="006131AA">
        <w:rPr>
          <w:sz w:val="24"/>
        </w:rPr>
        <w:t xml:space="preserve"> </w:t>
      </w:r>
      <w:r>
        <w:rPr>
          <w:sz w:val="24"/>
        </w:rPr>
        <w:t xml:space="preserve">postcard will be mailed to respondents within three weeks of the initial mailing.  </w:t>
      </w:r>
      <w:r w:rsidR="006131AA">
        <w:rPr>
          <w:sz w:val="24"/>
        </w:rPr>
        <w:t>Approximately three weeks f</w:t>
      </w:r>
      <w:r>
        <w:rPr>
          <w:sz w:val="24"/>
        </w:rPr>
        <w:t>ollowing the p</w:t>
      </w:r>
      <w:r w:rsidR="006131AA">
        <w:rPr>
          <w:sz w:val="24"/>
        </w:rPr>
        <w:t xml:space="preserve">ostcard mailing </w:t>
      </w:r>
      <w:r w:rsidR="009E2F26">
        <w:rPr>
          <w:sz w:val="24"/>
        </w:rPr>
        <w:t xml:space="preserve">a third survey mailing including the survey form, return envelope, and web reporting instructions will </w:t>
      </w:r>
      <w:r w:rsidR="00EF7158">
        <w:rPr>
          <w:sz w:val="24"/>
        </w:rPr>
        <w:t>be sent.  Te</w:t>
      </w:r>
      <w:r w:rsidR="009E2F26">
        <w:rPr>
          <w:sz w:val="24"/>
        </w:rPr>
        <w:t xml:space="preserve">lephone </w:t>
      </w:r>
      <w:r w:rsidR="00EF7158">
        <w:rPr>
          <w:sz w:val="24"/>
        </w:rPr>
        <w:t xml:space="preserve">data collection for </w:t>
      </w:r>
      <w:r w:rsidR="00607866">
        <w:rPr>
          <w:sz w:val="24"/>
        </w:rPr>
        <w:t xml:space="preserve">all </w:t>
      </w:r>
      <w:r w:rsidR="00EF7158">
        <w:rPr>
          <w:sz w:val="24"/>
        </w:rPr>
        <w:t xml:space="preserve">non-respondents will begin </w:t>
      </w:r>
      <w:r w:rsidR="006131AA">
        <w:rPr>
          <w:sz w:val="24"/>
        </w:rPr>
        <w:t xml:space="preserve">approximately </w:t>
      </w:r>
      <w:r w:rsidR="00EF7158">
        <w:rPr>
          <w:sz w:val="24"/>
        </w:rPr>
        <w:t>two weeks following the third and final mail</w:t>
      </w:r>
      <w:r w:rsidR="006131AA">
        <w:rPr>
          <w:sz w:val="24"/>
        </w:rPr>
        <w:t xml:space="preserve"> </w:t>
      </w:r>
      <w:r w:rsidR="00EF7158">
        <w:rPr>
          <w:sz w:val="24"/>
        </w:rPr>
        <w:t>out</w:t>
      </w:r>
      <w:r w:rsidR="006131AA">
        <w:rPr>
          <w:sz w:val="24"/>
        </w:rPr>
        <w:t xml:space="preserve"> and continue until January 2012.</w:t>
      </w:r>
    </w:p>
    <w:p w:rsidR="009E2F26" w:rsidRDefault="009E2F26" w:rsidP="0040730A">
      <w:pPr>
        <w:rPr>
          <w:sz w:val="24"/>
        </w:rPr>
      </w:pPr>
    </w:p>
    <w:p w:rsidR="0040730A" w:rsidRDefault="0040730A" w:rsidP="0040730A">
      <w:pPr>
        <w:jc w:val="both"/>
        <w:rPr>
          <w:sz w:val="24"/>
        </w:rPr>
      </w:pPr>
      <w:r w:rsidRPr="0007494F">
        <w:rPr>
          <w:sz w:val="24"/>
        </w:rPr>
        <w:t xml:space="preserve">The </w:t>
      </w:r>
      <w:r>
        <w:rPr>
          <w:sz w:val="24"/>
        </w:rPr>
        <w:t>GTP</w:t>
      </w:r>
      <w:r w:rsidRPr="0007494F">
        <w:rPr>
          <w:sz w:val="24"/>
        </w:rPr>
        <w:t xml:space="preserve"> is a voluntary survey with </w:t>
      </w:r>
      <w:r>
        <w:rPr>
          <w:sz w:val="24"/>
        </w:rPr>
        <w:t>no historical response rate information</w:t>
      </w:r>
      <w:r w:rsidRPr="0007494F">
        <w:rPr>
          <w:sz w:val="24"/>
        </w:rPr>
        <w:t xml:space="preserve">.  Every effort </w:t>
      </w:r>
      <w:r>
        <w:rPr>
          <w:sz w:val="24"/>
        </w:rPr>
        <w:t>will be</w:t>
      </w:r>
      <w:r w:rsidRPr="0007494F">
        <w:rPr>
          <w:sz w:val="24"/>
        </w:rPr>
        <w:t xml:space="preserve"> made to maximize response rates to achieve the </w:t>
      </w:r>
      <w:r>
        <w:rPr>
          <w:sz w:val="24"/>
        </w:rPr>
        <w:t>75</w:t>
      </w:r>
      <w:r w:rsidRPr="0007494F">
        <w:rPr>
          <w:sz w:val="24"/>
        </w:rPr>
        <w:t>-percent goal by:</w:t>
      </w:r>
    </w:p>
    <w:p w:rsidR="0040730A" w:rsidRPr="0007494F" w:rsidRDefault="0040730A" w:rsidP="0040730A">
      <w:pPr>
        <w:rPr>
          <w:sz w:val="24"/>
        </w:rPr>
      </w:pPr>
    </w:p>
    <w:p w:rsidR="0040730A" w:rsidRDefault="0040730A" w:rsidP="0040730A">
      <w:pPr>
        <w:numPr>
          <w:ilvl w:val="0"/>
          <w:numId w:val="19"/>
        </w:numPr>
        <w:jc w:val="both"/>
        <w:rPr>
          <w:sz w:val="24"/>
        </w:rPr>
      </w:pPr>
      <w:r>
        <w:rPr>
          <w:sz w:val="24"/>
        </w:rPr>
        <w:t>Primarily reporting via a web-based instrument.  Research determined that web-based reporting is important to the success of this survey due to the subject matter.</w:t>
      </w:r>
    </w:p>
    <w:p w:rsidR="0040730A" w:rsidRDefault="0040730A" w:rsidP="0040730A">
      <w:pPr>
        <w:numPr>
          <w:ilvl w:val="0"/>
          <w:numId w:val="19"/>
        </w:numPr>
        <w:jc w:val="both"/>
        <w:rPr>
          <w:sz w:val="24"/>
        </w:rPr>
      </w:pPr>
      <w:r>
        <w:rPr>
          <w:sz w:val="24"/>
        </w:rPr>
        <w:t>Researching and obtaining e-mail addresses and contact names for sampled units where possible.</w:t>
      </w:r>
      <w:r w:rsidR="00E648F1">
        <w:rPr>
          <w:sz w:val="24"/>
        </w:rPr>
        <w:t xml:space="preserve">  When contact names are not available</w:t>
      </w:r>
      <w:r w:rsidR="00614DD5">
        <w:rPr>
          <w:sz w:val="24"/>
        </w:rPr>
        <w:t>,</w:t>
      </w:r>
      <w:r w:rsidR="00E648F1">
        <w:rPr>
          <w:sz w:val="24"/>
        </w:rPr>
        <w:t xml:space="preserve"> our research suggests the following guidelines be used in addressing the forms: “Proprietor/Owner” for firms with 10 or fewer employees; “General Manager” for larger firms with less than 100 employees and; “Human Resources Manager” for firms with more than 100 employees.</w:t>
      </w:r>
    </w:p>
    <w:p w:rsidR="0040730A" w:rsidRDefault="0040730A" w:rsidP="0040730A">
      <w:pPr>
        <w:numPr>
          <w:ilvl w:val="0"/>
          <w:numId w:val="19"/>
        </w:numPr>
        <w:jc w:val="both"/>
        <w:rPr>
          <w:sz w:val="24"/>
        </w:rPr>
      </w:pPr>
      <w:r>
        <w:rPr>
          <w:sz w:val="24"/>
        </w:rPr>
        <w:t>Conducting extensive address refinement to ensure that the survey solicitation package reaches the correct establishment in a timely manner.</w:t>
      </w:r>
    </w:p>
    <w:p w:rsidR="0040730A" w:rsidRDefault="0040730A" w:rsidP="0040730A">
      <w:pPr>
        <w:numPr>
          <w:ilvl w:val="0"/>
          <w:numId w:val="19"/>
        </w:numPr>
        <w:jc w:val="both"/>
        <w:rPr>
          <w:sz w:val="24"/>
        </w:rPr>
      </w:pPr>
      <w:r w:rsidRPr="0007494F">
        <w:rPr>
          <w:sz w:val="24"/>
        </w:rPr>
        <w:t>Providing each sampled unit with a cover letter explaining the importance of the survey and the need for voluntary cooperation</w:t>
      </w:r>
      <w:r>
        <w:rPr>
          <w:sz w:val="24"/>
        </w:rPr>
        <w:t>.</w:t>
      </w:r>
    </w:p>
    <w:p w:rsidR="0040730A" w:rsidRDefault="0040730A" w:rsidP="0040730A">
      <w:pPr>
        <w:numPr>
          <w:ilvl w:val="0"/>
          <w:numId w:val="19"/>
        </w:numPr>
        <w:jc w:val="both"/>
        <w:rPr>
          <w:sz w:val="24"/>
        </w:rPr>
      </w:pPr>
      <w:r w:rsidRPr="0007494F">
        <w:rPr>
          <w:sz w:val="24"/>
        </w:rPr>
        <w:t xml:space="preserve">Giving each </w:t>
      </w:r>
      <w:r>
        <w:rPr>
          <w:sz w:val="24"/>
        </w:rPr>
        <w:t xml:space="preserve">private sector </w:t>
      </w:r>
      <w:r w:rsidRPr="0007494F">
        <w:rPr>
          <w:sz w:val="24"/>
        </w:rPr>
        <w:t>sample unit the Bureau’s pledge of confidentiality</w:t>
      </w:r>
      <w:r>
        <w:rPr>
          <w:sz w:val="24"/>
        </w:rPr>
        <w:t>.</w:t>
      </w:r>
    </w:p>
    <w:p w:rsidR="0040730A" w:rsidRDefault="0040730A" w:rsidP="0040730A">
      <w:pPr>
        <w:numPr>
          <w:ilvl w:val="0"/>
          <w:numId w:val="19"/>
        </w:numPr>
        <w:jc w:val="both"/>
        <w:rPr>
          <w:sz w:val="24"/>
        </w:rPr>
      </w:pPr>
      <w:r w:rsidRPr="0007494F">
        <w:rPr>
          <w:sz w:val="24"/>
        </w:rPr>
        <w:t xml:space="preserve">Sending each nonresponding unit </w:t>
      </w:r>
      <w:r>
        <w:rPr>
          <w:sz w:val="24"/>
        </w:rPr>
        <w:t xml:space="preserve">two </w:t>
      </w:r>
      <w:r w:rsidR="001866C7">
        <w:rPr>
          <w:sz w:val="24"/>
        </w:rPr>
        <w:t>a</w:t>
      </w:r>
      <w:r w:rsidRPr="0007494F">
        <w:rPr>
          <w:sz w:val="24"/>
        </w:rPr>
        <w:t>dditional mailin</w:t>
      </w:r>
      <w:r w:rsidR="00614DD5">
        <w:rPr>
          <w:sz w:val="24"/>
        </w:rPr>
        <w:t xml:space="preserve">gs after the initial mail-out (and </w:t>
      </w:r>
      <w:r>
        <w:rPr>
          <w:sz w:val="24"/>
        </w:rPr>
        <w:t>c</w:t>
      </w:r>
      <w:r w:rsidR="00614DD5">
        <w:rPr>
          <w:sz w:val="24"/>
        </w:rPr>
        <w:t>ontacting</w:t>
      </w:r>
      <w:r w:rsidRPr="00563A7F">
        <w:rPr>
          <w:sz w:val="24"/>
        </w:rPr>
        <w:t xml:space="preserve"> nonresponding units by telephone</w:t>
      </w:r>
      <w:r>
        <w:rPr>
          <w:sz w:val="24"/>
        </w:rPr>
        <w:t>).</w:t>
      </w:r>
    </w:p>
    <w:p w:rsidR="0040730A" w:rsidRDefault="0040730A" w:rsidP="0040730A">
      <w:pPr>
        <w:numPr>
          <w:ilvl w:val="0"/>
          <w:numId w:val="19"/>
        </w:numPr>
        <w:jc w:val="both"/>
        <w:rPr>
          <w:sz w:val="24"/>
        </w:rPr>
      </w:pPr>
      <w:r w:rsidRPr="0007494F">
        <w:rPr>
          <w:sz w:val="24"/>
        </w:rPr>
        <w:t>Using status reports and control files to identify cells with low response rates</w:t>
      </w:r>
      <w:r w:rsidR="00614DD5">
        <w:rPr>
          <w:sz w:val="24"/>
        </w:rPr>
        <w:t xml:space="preserve"> and targeting nonresponse follow-up activities and telephone data collection for key respondents in these cells</w:t>
      </w:r>
    </w:p>
    <w:p w:rsidR="0040730A" w:rsidRDefault="0040730A" w:rsidP="0040730A">
      <w:pPr>
        <w:numPr>
          <w:ilvl w:val="0"/>
          <w:numId w:val="19"/>
        </w:numPr>
        <w:jc w:val="both"/>
        <w:rPr>
          <w:sz w:val="24"/>
        </w:rPr>
      </w:pPr>
      <w:r w:rsidRPr="0007494F">
        <w:rPr>
          <w:sz w:val="24"/>
        </w:rPr>
        <w:t>Stressing to respondents that assistance is available to help them complete the survey form.</w:t>
      </w:r>
    </w:p>
    <w:p w:rsidR="00D210CC" w:rsidRDefault="0040730A" w:rsidP="00D210CC">
      <w:pPr>
        <w:numPr>
          <w:ilvl w:val="0"/>
          <w:numId w:val="19"/>
        </w:numPr>
        <w:jc w:val="both"/>
        <w:rPr>
          <w:sz w:val="24"/>
        </w:rPr>
      </w:pPr>
      <w:r>
        <w:rPr>
          <w:sz w:val="24"/>
        </w:rPr>
        <w:t>Using a respondent web page that provides detailed information about responding to the GTP survey, including contact information for those needing assistance and a link to on-line data reporting.</w:t>
      </w:r>
    </w:p>
    <w:p w:rsidR="0040730A" w:rsidRDefault="0040730A" w:rsidP="0040730A">
      <w:pPr>
        <w:numPr>
          <w:ilvl w:val="0"/>
          <w:numId w:val="19"/>
        </w:numPr>
        <w:jc w:val="both"/>
        <w:rPr>
          <w:sz w:val="24"/>
        </w:rPr>
      </w:pPr>
      <w:r w:rsidRPr="00F222F7">
        <w:rPr>
          <w:sz w:val="24"/>
        </w:rPr>
        <w:t xml:space="preserve">Increasing the use of electronic and telephone collection in order to allow the respondent to provide information in a way that is most convenient to them. </w:t>
      </w:r>
    </w:p>
    <w:p w:rsidR="0040730A" w:rsidRDefault="0040730A" w:rsidP="0040730A">
      <w:pPr>
        <w:rPr>
          <w:b/>
          <w:sz w:val="24"/>
        </w:rPr>
      </w:pPr>
    </w:p>
    <w:p w:rsidR="00E01036" w:rsidRDefault="00E01036" w:rsidP="0040730A">
      <w:pPr>
        <w:rPr>
          <w:b/>
          <w:sz w:val="24"/>
        </w:rPr>
      </w:pPr>
    </w:p>
    <w:p w:rsidR="0040730A" w:rsidRPr="00C1739F" w:rsidRDefault="0040730A" w:rsidP="0040730A">
      <w:pPr>
        <w:rPr>
          <w:b/>
          <w:sz w:val="24"/>
        </w:rPr>
      </w:pPr>
      <w:r w:rsidRPr="00C1739F">
        <w:rPr>
          <w:b/>
          <w:sz w:val="24"/>
        </w:rPr>
        <w:lastRenderedPageBreak/>
        <w:t>3(b</w:t>
      </w:r>
      <w:proofErr w:type="gramStart"/>
      <w:r w:rsidRPr="00C1739F">
        <w:rPr>
          <w:b/>
          <w:sz w:val="24"/>
        </w:rPr>
        <w:t>)  Nonresponse</w:t>
      </w:r>
      <w:proofErr w:type="gramEnd"/>
      <w:r w:rsidRPr="00C1739F">
        <w:rPr>
          <w:b/>
          <w:sz w:val="24"/>
        </w:rPr>
        <w:t xml:space="preserve"> Adjustment</w:t>
      </w:r>
    </w:p>
    <w:p w:rsidR="0040730A" w:rsidRPr="0007494F" w:rsidRDefault="0040730A" w:rsidP="0040730A">
      <w:pPr>
        <w:rPr>
          <w:sz w:val="24"/>
        </w:rPr>
      </w:pPr>
    </w:p>
    <w:p w:rsidR="00621A77" w:rsidRDefault="0040730A" w:rsidP="0040730A">
      <w:pPr>
        <w:jc w:val="both"/>
        <w:rPr>
          <w:sz w:val="24"/>
          <w:szCs w:val="24"/>
        </w:rPr>
      </w:pPr>
      <w:r>
        <w:rPr>
          <w:sz w:val="24"/>
          <w:szCs w:val="24"/>
        </w:rPr>
        <w:t>Prior to calculating estimates, preliminary editing procedures will flag questionable data.  The extent and nature of item non-response is not known.  It is likely that responses that are incomplete after follow-up contact will either be made unusable (treated like unit non-response) or imputed</w:t>
      </w:r>
      <w:r w:rsidR="00D27D0D">
        <w:rPr>
          <w:sz w:val="24"/>
          <w:szCs w:val="24"/>
        </w:rPr>
        <w:t>.</w:t>
      </w:r>
    </w:p>
    <w:p w:rsidR="00053BD9" w:rsidRDefault="00053BD9" w:rsidP="0040730A">
      <w:pPr>
        <w:jc w:val="both"/>
        <w:rPr>
          <w:sz w:val="24"/>
          <w:szCs w:val="24"/>
        </w:rPr>
      </w:pPr>
    </w:p>
    <w:p w:rsidR="0040730A" w:rsidRDefault="0040730A" w:rsidP="0040730A">
      <w:pPr>
        <w:jc w:val="both"/>
        <w:rPr>
          <w:sz w:val="24"/>
          <w:szCs w:val="24"/>
        </w:rPr>
      </w:pPr>
      <w:r>
        <w:rPr>
          <w:sz w:val="24"/>
          <w:szCs w:val="24"/>
        </w:rPr>
        <w:t xml:space="preserve">Weighting class adjustments to sampling weights </w:t>
      </w:r>
      <w:proofErr w:type="gramStart"/>
      <w:r w:rsidRPr="00D8471D">
        <w:rPr>
          <w:i/>
          <w:szCs w:val="24"/>
        </w:rPr>
        <w:t>w</w:t>
      </w:r>
      <w:r w:rsidRPr="00D8471D">
        <w:rPr>
          <w:i/>
          <w:szCs w:val="24"/>
          <w:vertAlign w:val="subscript"/>
        </w:rPr>
        <w:t>i</w:t>
      </w:r>
      <w:proofErr w:type="gramEnd"/>
      <w:r>
        <w:rPr>
          <w:sz w:val="24"/>
          <w:szCs w:val="24"/>
        </w:rPr>
        <w:t xml:space="preserve"> will be made to partially compensate for the bias that arises if non-response is ignored (see Estimation Procedure section).  In the simplest form, the entire sample is divided into weighting classes based on strata or a simple subdivision of the population.  The default for GTP will be weighting classes defined by Census Region x industry sector, and analysis of responses will determine if more complexity is needed.    </w:t>
      </w:r>
    </w:p>
    <w:p w:rsidR="0040730A" w:rsidRDefault="0040730A" w:rsidP="0040730A">
      <w:pPr>
        <w:rPr>
          <w:sz w:val="24"/>
        </w:rPr>
      </w:pPr>
    </w:p>
    <w:p w:rsidR="0040730A" w:rsidRPr="00BC39BD" w:rsidRDefault="0040730A" w:rsidP="0040730A">
      <w:pPr>
        <w:jc w:val="both"/>
        <w:rPr>
          <w:sz w:val="24"/>
          <w:szCs w:val="24"/>
        </w:rPr>
      </w:pPr>
      <w:r w:rsidRPr="00BC39BD">
        <w:rPr>
          <w:sz w:val="24"/>
          <w:szCs w:val="24"/>
        </w:rPr>
        <w:t>Given a hypothesized response rate (7</w:t>
      </w:r>
      <w:r w:rsidR="00A42761">
        <w:rPr>
          <w:sz w:val="24"/>
          <w:szCs w:val="24"/>
        </w:rPr>
        <w:t>5</w:t>
      </w:r>
      <w:r w:rsidRPr="00BC39BD">
        <w:rPr>
          <w:sz w:val="24"/>
          <w:szCs w:val="24"/>
        </w:rPr>
        <w:t xml:space="preserve">%) that is less than optimal (80 – 100%), nonresponse bias in key estimates </w:t>
      </w:r>
      <w:r>
        <w:rPr>
          <w:sz w:val="24"/>
          <w:szCs w:val="24"/>
        </w:rPr>
        <w:t>may</w:t>
      </w:r>
      <w:r w:rsidRPr="00BC39BD">
        <w:rPr>
          <w:sz w:val="24"/>
          <w:szCs w:val="24"/>
        </w:rPr>
        <w:t xml:space="preserve"> be assessed through multivariate models that incorporate data from, primarily, two sources.  The first source of data is the sample frame data.  The sampling frame for the GTP survey, the LDB, contains establishment size and industry information, as well as age of the sampled establishment.  The second source, sometimes referred to as “paradata,” describes important aspects of the administration of the survey.  These data include variables that </w:t>
      </w:r>
      <w:r>
        <w:rPr>
          <w:sz w:val="24"/>
          <w:szCs w:val="24"/>
        </w:rPr>
        <w:t xml:space="preserve">may </w:t>
      </w:r>
      <w:r w:rsidRPr="00BC39BD">
        <w:rPr>
          <w:sz w:val="24"/>
          <w:szCs w:val="24"/>
        </w:rPr>
        <w:t>describe</w:t>
      </w:r>
      <w:r>
        <w:rPr>
          <w:sz w:val="24"/>
          <w:szCs w:val="24"/>
        </w:rPr>
        <w:t xml:space="preserve"> some of the following</w:t>
      </w:r>
      <w:r w:rsidRPr="00BC39BD">
        <w:rPr>
          <w:sz w:val="24"/>
          <w:szCs w:val="24"/>
        </w:rPr>
        <w:t>:  the number and type of contact attempts and interview forms or reminders mailed to each establishment, the time in the field, the job title of the respondent within the sampled establishment, the number of different persons in the establishment that have been contacted, whether the form was sent to a central office, any expressions by the contacts within the establishment indicating unwillingness or refusal to complete the survey, and any interviewer comments recorded for the record.  Nonresponse propensity using data from the</w:t>
      </w:r>
      <w:r>
        <w:rPr>
          <w:sz w:val="24"/>
          <w:szCs w:val="24"/>
        </w:rPr>
        <w:t xml:space="preserve">se two sources will be assessed, possibly through </w:t>
      </w:r>
      <w:r w:rsidRPr="00BC39BD">
        <w:rPr>
          <w:sz w:val="24"/>
          <w:szCs w:val="24"/>
        </w:rPr>
        <w:t>multivariate logistic regression models</w:t>
      </w:r>
      <w:r>
        <w:rPr>
          <w:sz w:val="24"/>
          <w:szCs w:val="24"/>
        </w:rPr>
        <w:t>,</w:t>
      </w:r>
      <w:r w:rsidRPr="00BC39BD">
        <w:rPr>
          <w:sz w:val="24"/>
          <w:szCs w:val="24"/>
        </w:rPr>
        <w:t xml:space="preserve"> within each mode of survey administration (telephone, internet, and mail) and across the modes of survey administration.  The propensity to respond will then be examined in terms of it</w:t>
      </w:r>
      <w:r>
        <w:rPr>
          <w:sz w:val="24"/>
          <w:szCs w:val="24"/>
        </w:rPr>
        <w:t>s</w:t>
      </w:r>
      <w:r w:rsidRPr="00BC39BD">
        <w:rPr>
          <w:sz w:val="24"/>
          <w:szCs w:val="24"/>
        </w:rPr>
        <w:t xml:space="preserve"> contribution to bias on key survey variables, such as the number and type of green activities and the number and type of green jobs.</w:t>
      </w:r>
    </w:p>
    <w:p w:rsidR="0040730A" w:rsidRDefault="0040730A" w:rsidP="0040730A">
      <w:pPr>
        <w:ind w:left="72"/>
        <w:rPr>
          <w:sz w:val="24"/>
        </w:rPr>
      </w:pPr>
    </w:p>
    <w:p w:rsidR="007F2153" w:rsidRDefault="007F2153" w:rsidP="007F2153">
      <w:pPr>
        <w:jc w:val="both"/>
        <w:rPr>
          <w:sz w:val="24"/>
          <w:szCs w:val="24"/>
        </w:rPr>
      </w:pPr>
      <w:r>
        <w:rPr>
          <w:sz w:val="24"/>
          <w:szCs w:val="24"/>
        </w:rPr>
        <w:t>BLS will conduct a Response Analysis Survey (RAS) on up to 1</w:t>
      </w:r>
      <w:r w:rsidR="003E2BE3">
        <w:rPr>
          <w:sz w:val="24"/>
          <w:szCs w:val="24"/>
        </w:rPr>
        <w:t>,</w:t>
      </w:r>
      <w:r>
        <w:rPr>
          <w:sz w:val="24"/>
          <w:szCs w:val="24"/>
        </w:rPr>
        <w:t xml:space="preserve">000 GTP respondents and non-respondents to ensure accurate data collection and to assess non-response bias.  The RAS will begin immediately following the general data collection for the GTP survey.  BLS will examine general data quality issues in the RAS. To the extent possible, the analysis will of the RAS will inform the aforementioned nonresponse models.  </w:t>
      </w:r>
      <w:r w:rsidR="00D27D0D">
        <w:rPr>
          <w:sz w:val="24"/>
          <w:szCs w:val="24"/>
        </w:rPr>
        <w:t>The questions will be submitted as a non-substantive change closer to the start of the RAS.</w:t>
      </w:r>
    </w:p>
    <w:p w:rsidR="0040730A" w:rsidRPr="0007494F" w:rsidRDefault="0040730A" w:rsidP="0040730A">
      <w:pPr>
        <w:rPr>
          <w:sz w:val="24"/>
        </w:rPr>
      </w:pPr>
    </w:p>
    <w:p w:rsidR="0040730A" w:rsidRPr="001F19A5" w:rsidRDefault="0040730A" w:rsidP="0040730A">
      <w:pPr>
        <w:rPr>
          <w:b/>
          <w:sz w:val="24"/>
        </w:rPr>
      </w:pPr>
      <w:r w:rsidRPr="00E067C7">
        <w:rPr>
          <w:b/>
          <w:sz w:val="24"/>
        </w:rPr>
        <w:t>3(</w:t>
      </w:r>
      <w:r>
        <w:rPr>
          <w:b/>
          <w:sz w:val="24"/>
        </w:rPr>
        <w:t>c</w:t>
      </w:r>
      <w:r w:rsidRPr="00E067C7">
        <w:rPr>
          <w:b/>
          <w:sz w:val="24"/>
        </w:rPr>
        <w:t>) Confidentiality</w:t>
      </w:r>
    </w:p>
    <w:p w:rsidR="0040730A" w:rsidRPr="0007494F" w:rsidRDefault="0040730A" w:rsidP="0040730A">
      <w:pPr>
        <w:rPr>
          <w:sz w:val="24"/>
        </w:rPr>
      </w:pPr>
    </w:p>
    <w:p w:rsidR="0040730A" w:rsidRDefault="0040730A" w:rsidP="0040730A">
      <w:pPr>
        <w:pStyle w:val="BodyText3"/>
        <w:spacing w:after="0"/>
        <w:jc w:val="both"/>
        <w:rPr>
          <w:sz w:val="24"/>
          <w:szCs w:val="24"/>
        </w:rPr>
      </w:pPr>
      <w:r w:rsidRPr="0019104F">
        <w:rPr>
          <w:sz w:val="24"/>
          <w:szCs w:val="24"/>
        </w:rPr>
        <w:t>Before estimates are released to the public, they must first be screened to ensure that they do not violate the Bureau of Labor Statistics’ (BLS) confidentiality pledge.  A promise is made by the Bureau to each private sector sample unit that the BLS will not release its employment data to the public in a manner that would allow others to identify the unit.  If a green estimate fails confidentiality screening, the estimate is suppressed.</w:t>
      </w:r>
    </w:p>
    <w:p w:rsidR="0040730A" w:rsidRDefault="0040730A" w:rsidP="0040730A">
      <w:pPr>
        <w:rPr>
          <w:sz w:val="24"/>
          <w:szCs w:val="24"/>
        </w:rPr>
      </w:pPr>
    </w:p>
    <w:p w:rsidR="00E01036" w:rsidRPr="0019104F" w:rsidRDefault="00E01036" w:rsidP="0040730A">
      <w:pPr>
        <w:rPr>
          <w:sz w:val="24"/>
          <w:szCs w:val="24"/>
        </w:rPr>
      </w:pPr>
    </w:p>
    <w:p w:rsidR="0040730A" w:rsidRPr="00E067C7" w:rsidRDefault="0040730A" w:rsidP="0040730A">
      <w:pPr>
        <w:rPr>
          <w:b/>
          <w:sz w:val="24"/>
        </w:rPr>
      </w:pPr>
      <w:r w:rsidRPr="00E067C7">
        <w:rPr>
          <w:b/>
          <w:sz w:val="24"/>
        </w:rPr>
        <w:t>4.</w:t>
      </w:r>
      <w:r>
        <w:rPr>
          <w:b/>
          <w:sz w:val="24"/>
        </w:rPr>
        <w:t xml:space="preserve">  </w:t>
      </w:r>
      <w:r w:rsidRPr="00E067C7">
        <w:rPr>
          <w:b/>
          <w:sz w:val="24"/>
        </w:rPr>
        <w:t>Developmental Tests</w:t>
      </w:r>
    </w:p>
    <w:p w:rsidR="0040730A" w:rsidRPr="0007494F" w:rsidRDefault="0040730A" w:rsidP="0040730A">
      <w:pPr>
        <w:rPr>
          <w:sz w:val="24"/>
          <w:u w:val="single"/>
        </w:rPr>
      </w:pPr>
    </w:p>
    <w:p w:rsidR="0040730A" w:rsidRDefault="0040730A" w:rsidP="0040730A">
      <w:pPr>
        <w:jc w:val="both"/>
        <w:rPr>
          <w:sz w:val="24"/>
        </w:rPr>
      </w:pPr>
      <w:r>
        <w:rPr>
          <w:sz w:val="24"/>
        </w:rPr>
        <w:t xml:space="preserve">A series of five field tests </w:t>
      </w:r>
      <w:r w:rsidR="002D0A9B">
        <w:rPr>
          <w:sz w:val="24"/>
        </w:rPr>
        <w:t xml:space="preserve">is </w:t>
      </w:r>
      <w:r w:rsidR="00E425BF">
        <w:rPr>
          <w:sz w:val="24"/>
        </w:rPr>
        <w:t>being</w:t>
      </w:r>
      <w:r>
        <w:rPr>
          <w:sz w:val="24"/>
        </w:rPr>
        <w:t xml:space="preserve"> conducted to develop data collection methodology.  The first was a basic examination of data collection issues conducted under OMB Clearance 1220-0141 and completed in October 2010.  </w:t>
      </w:r>
      <w:r w:rsidRPr="002468BA">
        <w:rPr>
          <w:sz w:val="24"/>
        </w:rPr>
        <w:t>Beginning in Janua</w:t>
      </w:r>
      <w:r>
        <w:rPr>
          <w:sz w:val="24"/>
        </w:rPr>
        <w:t>r</w:t>
      </w:r>
      <w:r w:rsidRPr="002468BA">
        <w:rPr>
          <w:sz w:val="24"/>
        </w:rPr>
        <w:t>y 2011</w:t>
      </w:r>
      <w:r>
        <w:rPr>
          <w:b/>
          <w:sz w:val="24"/>
        </w:rPr>
        <w:t xml:space="preserve">, </w:t>
      </w:r>
      <w:r>
        <w:rPr>
          <w:sz w:val="24"/>
        </w:rPr>
        <w:t xml:space="preserve">the second and third tests </w:t>
      </w:r>
      <w:r w:rsidR="00E01036">
        <w:rPr>
          <w:sz w:val="24"/>
        </w:rPr>
        <w:t xml:space="preserve">were </w:t>
      </w:r>
      <w:r>
        <w:rPr>
          <w:sz w:val="24"/>
        </w:rPr>
        <w:t xml:space="preserve">used to modify and fine tune the survey questions, the fourth </w:t>
      </w:r>
      <w:r w:rsidR="00E01036">
        <w:rPr>
          <w:sz w:val="24"/>
        </w:rPr>
        <w:t xml:space="preserve">was </w:t>
      </w:r>
      <w:r>
        <w:rPr>
          <w:sz w:val="24"/>
        </w:rPr>
        <w:t xml:space="preserve">used to finalize the survey form, and the fifth will be a test of the web collection instrument.  </w:t>
      </w:r>
      <w:r w:rsidRPr="0007494F">
        <w:rPr>
          <w:sz w:val="24"/>
        </w:rPr>
        <w:t>These efforts include</w:t>
      </w:r>
      <w:r>
        <w:rPr>
          <w:sz w:val="24"/>
        </w:rPr>
        <w:t xml:space="preserve"> </w:t>
      </w:r>
      <w:r w:rsidRPr="0007494F">
        <w:rPr>
          <w:sz w:val="24"/>
        </w:rPr>
        <w:t xml:space="preserve">periodic evaluations of the effectiveness of the materials mailed to each sampled unit.  </w:t>
      </w:r>
      <w:r>
        <w:rPr>
          <w:sz w:val="24"/>
        </w:rPr>
        <w:t xml:space="preserve">The second through fifth tests are covered under OMB Clearance 1220-0182.  </w:t>
      </w:r>
    </w:p>
    <w:p w:rsidR="0040730A" w:rsidRPr="0056578A" w:rsidRDefault="0040730A" w:rsidP="0040730A">
      <w:pPr>
        <w:rPr>
          <w:sz w:val="24"/>
          <w:szCs w:val="24"/>
        </w:rPr>
      </w:pPr>
    </w:p>
    <w:p w:rsidR="0040730A" w:rsidRPr="00E067C7" w:rsidRDefault="0040730A" w:rsidP="0040730A">
      <w:pPr>
        <w:rPr>
          <w:b/>
          <w:sz w:val="24"/>
        </w:rPr>
      </w:pPr>
      <w:r w:rsidRPr="00E067C7">
        <w:rPr>
          <w:b/>
          <w:sz w:val="24"/>
        </w:rPr>
        <w:t>5.</w:t>
      </w:r>
      <w:r>
        <w:rPr>
          <w:b/>
          <w:sz w:val="24"/>
        </w:rPr>
        <w:t xml:space="preserve">  </w:t>
      </w:r>
      <w:r w:rsidRPr="00E067C7">
        <w:rPr>
          <w:b/>
          <w:sz w:val="24"/>
        </w:rPr>
        <w:t>Statistical and Analytical Responsibility</w:t>
      </w:r>
    </w:p>
    <w:p w:rsidR="0040730A" w:rsidRPr="00E067C7" w:rsidRDefault="0040730A" w:rsidP="0040730A">
      <w:pPr>
        <w:rPr>
          <w:b/>
          <w:sz w:val="24"/>
        </w:rPr>
      </w:pPr>
    </w:p>
    <w:p w:rsidR="0040730A" w:rsidRDefault="0040730A" w:rsidP="0040730A">
      <w:pPr>
        <w:jc w:val="both"/>
        <w:rPr>
          <w:sz w:val="24"/>
        </w:rPr>
      </w:pPr>
      <w:r w:rsidRPr="00436562">
        <w:rPr>
          <w:sz w:val="24"/>
        </w:rPr>
        <w:t xml:space="preserve">Ms. Shail Butani, Chief, Statistical Methods Division of the Office of Employment and Unemployment Statistics, </w:t>
      </w:r>
      <w:r w:rsidR="006E2F53">
        <w:rPr>
          <w:sz w:val="24"/>
        </w:rPr>
        <w:t xml:space="preserve">and Mr. George Stamas, Chief, Division of Occupational Employment Statistics, Office of Employment and Unemployment Statistics are </w:t>
      </w:r>
      <w:r w:rsidRPr="00436562">
        <w:rPr>
          <w:sz w:val="24"/>
        </w:rPr>
        <w:t xml:space="preserve">responsible for the statistical </w:t>
      </w:r>
      <w:r w:rsidR="006E2F53">
        <w:rPr>
          <w:sz w:val="24"/>
        </w:rPr>
        <w:t xml:space="preserve">and analytical </w:t>
      </w:r>
      <w:r w:rsidRPr="00436562">
        <w:rPr>
          <w:sz w:val="24"/>
        </w:rPr>
        <w:t xml:space="preserve">aspects of the </w:t>
      </w:r>
      <w:r>
        <w:rPr>
          <w:sz w:val="24"/>
        </w:rPr>
        <w:t>GTP</w:t>
      </w:r>
      <w:r w:rsidRPr="00436562">
        <w:rPr>
          <w:sz w:val="24"/>
        </w:rPr>
        <w:t xml:space="preserve"> program</w:t>
      </w:r>
      <w:r w:rsidR="006E2F53">
        <w:rPr>
          <w:sz w:val="24"/>
        </w:rPr>
        <w:t xml:space="preserve"> respectively</w:t>
      </w:r>
      <w:r w:rsidRPr="00436562">
        <w:rPr>
          <w:sz w:val="24"/>
        </w:rPr>
        <w:t xml:space="preserve">.  Ms. Butani can </w:t>
      </w:r>
      <w:r>
        <w:rPr>
          <w:sz w:val="24"/>
        </w:rPr>
        <w:t xml:space="preserve">be reached on 202-691-6347.  </w:t>
      </w:r>
      <w:r w:rsidR="006E2F53">
        <w:rPr>
          <w:sz w:val="24"/>
        </w:rPr>
        <w:t xml:space="preserve">Mr. Stamas can be reached on 202- 691-6350.  </w:t>
      </w:r>
      <w:r>
        <w:rPr>
          <w:sz w:val="24"/>
        </w:rPr>
        <w:t xml:space="preserve">Additionally, </w:t>
      </w:r>
      <w:r w:rsidRPr="00436562">
        <w:rPr>
          <w:sz w:val="24"/>
        </w:rPr>
        <w:t xml:space="preserve">BLS seeks consultation with other outside experts on an as needed basis.  </w:t>
      </w:r>
    </w:p>
    <w:p w:rsidR="0040730A" w:rsidRDefault="0040730A" w:rsidP="0040730A">
      <w:pPr>
        <w:rPr>
          <w:sz w:val="24"/>
        </w:rPr>
      </w:pPr>
    </w:p>
    <w:p w:rsidR="0040730A" w:rsidRPr="00A50B71" w:rsidRDefault="0040730A" w:rsidP="0040730A">
      <w:pPr>
        <w:pStyle w:val="Index1"/>
      </w:pPr>
      <w:r>
        <w:t xml:space="preserve">6.  </w:t>
      </w:r>
      <w:r w:rsidRPr="00A50B71">
        <w:t>References</w:t>
      </w:r>
    </w:p>
    <w:p w:rsidR="0040730A" w:rsidRDefault="0040730A" w:rsidP="0040730A">
      <w:pPr>
        <w:rPr>
          <w:sz w:val="24"/>
        </w:rPr>
      </w:pPr>
    </w:p>
    <w:p w:rsidR="0040730A" w:rsidRPr="002827D8" w:rsidRDefault="0040730A" w:rsidP="0040730A">
      <w:pPr>
        <w:ind w:left="360" w:hanging="360"/>
        <w:jc w:val="both"/>
        <w:rPr>
          <w:sz w:val="24"/>
          <w:szCs w:val="24"/>
        </w:rPr>
      </w:pPr>
      <w:proofErr w:type="gramStart"/>
      <w:r w:rsidRPr="002827D8">
        <w:rPr>
          <w:sz w:val="24"/>
          <w:szCs w:val="24"/>
        </w:rPr>
        <w:t>Bankier, Michael D. (1988).</w:t>
      </w:r>
      <w:proofErr w:type="gramEnd"/>
      <w:r w:rsidRPr="002827D8">
        <w:rPr>
          <w:sz w:val="24"/>
          <w:szCs w:val="24"/>
        </w:rPr>
        <w:t xml:space="preserve"> Power Allocations: Determining Sample Sizes for Subnational Areas. </w:t>
      </w:r>
      <w:r w:rsidRPr="002827D8">
        <w:rPr>
          <w:i/>
          <w:sz w:val="24"/>
          <w:szCs w:val="24"/>
        </w:rPr>
        <w:t>American Statistician</w:t>
      </w:r>
      <w:r w:rsidRPr="002827D8">
        <w:rPr>
          <w:sz w:val="24"/>
          <w:szCs w:val="24"/>
        </w:rPr>
        <w:t>, Vol. 42, pp. 174-177.</w:t>
      </w:r>
      <w:r w:rsidRPr="002827D8">
        <w:rPr>
          <w:i/>
          <w:sz w:val="24"/>
          <w:szCs w:val="24"/>
        </w:rPr>
        <w:t xml:space="preserve"> </w:t>
      </w:r>
    </w:p>
    <w:p w:rsidR="0040730A" w:rsidRPr="002827D8" w:rsidRDefault="0040730A" w:rsidP="0040730A">
      <w:pPr>
        <w:rPr>
          <w:sz w:val="24"/>
          <w:szCs w:val="24"/>
        </w:rPr>
      </w:pPr>
    </w:p>
    <w:p w:rsidR="0040730A" w:rsidRDefault="0040730A" w:rsidP="0040730A">
      <w:pPr>
        <w:ind w:left="360" w:hanging="360"/>
        <w:jc w:val="both"/>
        <w:rPr>
          <w:sz w:val="24"/>
          <w:szCs w:val="24"/>
        </w:rPr>
      </w:pPr>
      <w:r w:rsidRPr="002827D8">
        <w:rPr>
          <w:sz w:val="24"/>
          <w:szCs w:val="24"/>
        </w:rPr>
        <w:t>Bureau of Labor Statistics’ Handbook of Methods, Chapter 3, Bureau of Labor Statistics, 200</w:t>
      </w:r>
      <w:r>
        <w:rPr>
          <w:sz w:val="24"/>
          <w:szCs w:val="24"/>
        </w:rPr>
        <w:t>8</w:t>
      </w:r>
      <w:r w:rsidRPr="002827D8">
        <w:rPr>
          <w:sz w:val="24"/>
          <w:szCs w:val="24"/>
        </w:rPr>
        <w:t xml:space="preserve"> </w:t>
      </w:r>
      <w:r>
        <w:rPr>
          <w:sz w:val="24"/>
          <w:szCs w:val="24"/>
        </w:rPr>
        <w:t>(</w:t>
      </w:r>
      <w:hyperlink r:id="rId11" w:history="1">
        <w:r w:rsidRPr="00C46F28">
          <w:rPr>
            <w:rStyle w:val="Hyperlink"/>
            <w:sz w:val="24"/>
            <w:szCs w:val="24"/>
          </w:rPr>
          <w:t>http://www.bls.gov/opub/hom/homch3_a.htm</w:t>
        </w:r>
      </w:hyperlink>
      <w:r>
        <w:rPr>
          <w:sz w:val="24"/>
          <w:szCs w:val="24"/>
        </w:rPr>
        <w:t>)</w:t>
      </w:r>
    </w:p>
    <w:p w:rsidR="0040730A" w:rsidRPr="002827D8" w:rsidRDefault="0040730A" w:rsidP="0040730A">
      <w:pPr>
        <w:ind w:left="360" w:hanging="360"/>
        <w:jc w:val="both"/>
        <w:rPr>
          <w:sz w:val="24"/>
          <w:szCs w:val="24"/>
        </w:rPr>
      </w:pPr>
    </w:p>
    <w:p w:rsidR="0040730A" w:rsidRDefault="0040730A" w:rsidP="0040730A">
      <w:pPr>
        <w:pStyle w:val="BodyText"/>
        <w:ind w:left="360" w:hanging="360"/>
        <w:jc w:val="both"/>
        <w:rPr>
          <w:szCs w:val="24"/>
        </w:rPr>
      </w:pPr>
      <w:r w:rsidRPr="009F4ADF">
        <w:t xml:space="preserve">Bureau of Labor Statistics’ </w:t>
      </w:r>
      <w:r w:rsidRPr="00953CFC">
        <w:rPr>
          <w:szCs w:val="24"/>
        </w:rPr>
        <w:t>Handbook of Methods, Chapter 2, pages 8-9, Bureau of Labor Statis</w:t>
      </w:r>
      <w:r>
        <w:rPr>
          <w:szCs w:val="24"/>
        </w:rPr>
        <w:t>tics, 2004</w:t>
      </w:r>
      <w:r w:rsidRPr="00953CFC">
        <w:rPr>
          <w:szCs w:val="24"/>
        </w:rPr>
        <w:t xml:space="preserve"> </w:t>
      </w:r>
      <w:r>
        <w:rPr>
          <w:szCs w:val="24"/>
        </w:rPr>
        <w:t>(</w:t>
      </w:r>
      <w:r w:rsidRPr="00953CFC">
        <w:rPr>
          <w:szCs w:val="24"/>
        </w:rPr>
        <w:t xml:space="preserve"> </w:t>
      </w:r>
      <w:hyperlink r:id="rId12" w:history="1">
        <w:r w:rsidRPr="00953CFC">
          <w:rPr>
            <w:rStyle w:val="Hyperlink"/>
            <w:szCs w:val="24"/>
          </w:rPr>
          <w:t>http://www.bls.gov/opub/hom/homch2_i.htm</w:t>
        </w:r>
      </w:hyperlink>
      <w:r w:rsidRPr="00953CFC">
        <w:rPr>
          <w:szCs w:val="24"/>
        </w:rPr>
        <w:t xml:space="preserve">.)  </w:t>
      </w:r>
    </w:p>
    <w:p w:rsidR="0040730A" w:rsidRDefault="0040730A" w:rsidP="0040730A">
      <w:pPr>
        <w:pStyle w:val="BodyText"/>
        <w:ind w:left="360" w:hanging="360"/>
        <w:jc w:val="both"/>
        <w:rPr>
          <w:szCs w:val="24"/>
        </w:rPr>
      </w:pPr>
    </w:p>
    <w:p w:rsidR="0040730A" w:rsidRDefault="0040730A" w:rsidP="0040730A">
      <w:pPr>
        <w:pStyle w:val="BodyText"/>
        <w:ind w:left="360" w:hanging="360"/>
        <w:jc w:val="both"/>
        <w:rPr>
          <w:szCs w:val="24"/>
        </w:rPr>
      </w:pPr>
      <w:r>
        <w:t xml:space="preserve">Kalton, Graham and Anderson, Dallas W. (1986). </w:t>
      </w:r>
      <w:proofErr w:type="gramStart"/>
      <w:r>
        <w:t>Sampling Rare Populations.</w:t>
      </w:r>
      <w:proofErr w:type="gramEnd"/>
      <w:r>
        <w:t xml:space="preserve"> </w:t>
      </w:r>
      <w:proofErr w:type="gramStart"/>
      <w:r>
        <w:rPr>
          <w:i/>
          <w:iCs/>
        </w:rPr>
        <w:t>Journal of the Royal Statistical Society, A</w:t>
      </w:r>
      <w:r>
        <w:t>.</w:t>
      </w:r>
      <w:proofErr w:type="gramEnd"/>
      <w:r>
        <w:t>  149:69-82.</w:t>
      </w:r>
    </w:p>
    <w:p w:rsidR="0040730A" w:rsidRDefault="0040730A" w:rsidP="0040730A">
      <w:pPr>
        <w:pStyle w:val="BodyText"/>
        <w:ind w:left="360" w:hanging="360"/>
        <w:jc w:val="both"/>
        <w:rPr>
          <w:szCs w:val="24"/>
        </w:rPr>
      </w:pPr>
    </w:p>
    <w:p w:rsidR="0040730A" w:rsidRDefault="0040730A" w:rsidP="0040730A">
      <w:pPr>
        <w:ind w:left="360" w:hanging="360"/>
        <w:jc w:val="both"/>
        <w:rPr>
          <w:sz w:val="24"/>
          <w:szCs w:val="24"/>
        </w:rPr>
      </w:pPr>
      <w:proofErr w:type="gramStart"/>
      <w:r w:rsidRPr="002827D8">
        <w:rPr>
          <w:sz w:val="24"/>
          <w:szCs w:val="24"/>
        </w:rPr>
        <w:t>Lawley, Ernest, Stetser, Marie, and Valaitis, Eduardas.</w:t>
      </w:r>
      <w:proofErr w:type="gramEnd"/>
      <w:r w:rsidRPr="002827D8">
        <w:rPr>
          <w:sz w:val="24"/>
          <w:szCs w:val="24"/>
        </w:rPr>
        <w:t xml:space="preserve"> </w:t>
      </w:r>
      <w:proofErr w:type="gramStart"/>
      <w:r w:rsidRPr="002827D8">
        <w:rPr>
          <w:sz w:val="24"/>
          <w:szCs w:val="24"/>
        </w:rPr>
        <w:t xml:space="preserve">(2007) </w:t>
      </w:r>
      <w:r w:rsidRPr="002827D8">
        <w:rPr>
          <w:i/>
          <w:sz w:val="24"/>
          <w:szCs w:val="24"/>
        </w:rPr>
        <w:t>Alternative Allocation Designs for a Highly Stratified Establishment Survey</w:t>
      </w:r>
      <w:r w:rsidRPr="002827D8">
        <w:rPr>
          <w:sz w:val="24"/>
          <w:szCs w:val="24"/>
        </w:rPr>
        <w:t>.</w:t>
      </w:r>
      <w:proofErr w:type="gramEnd"/>
      <w:r w:rsidRPr="002827D8">
        <w:rPr>
          <w:sz w:val="24"/>
          <w:szCs w:val="24"/>
        </w:rPr>
        <w:t xml:space="preserve"> </w:t>
      </w:r>
      <w:proofErr w:type="gramStart"/>
      <w:r w:rsidRPr="002827D8">
        <w:rPr>
          <w:sz w:val="24"/>
          <w:szCs w:val="24"/>
        </w:rPr>
        <w:t>2007 Joint Statistical Meetings.</w:t>
      </w:r>
      <w:proofErr w:type="gramEnd"/>
    </w:p>
    <w:p w:rsidR="0040730A" w:rsidRPr="00EE321B" w:rsidRDefault="0040730A" w:rsidP="0040730A">
      <w:pPr>
        <w:ind w:left="360" w:hanging="360"/>
        <w:jc w:val="both"/>
        <w:rPr>
          <w:sz w:val="24"/>
          <w:szCs w:val="24"/>
        </w:rPr>
      </w:pPr>
    </w:p>
    <w:p w:rsidR="0040730A" w:rsidRPr="00EE321B" w:rsidRDefault="0040730A" w:rsidP="0040730A">
      <w:pPr>
        <w:ind w:left="360" w:hanging="360"/>
        <w:jc w:val="both"/>
        <w:rPr>
          <w:sz w:val="24"/>
          <w:szCs w:val="24"/>
        </w:rPr>
      </w:pPr>
      <w:proofErr w:type="gramStart"/>
      <w:r>
        <w:rPr>
          <w:sz w:val="24"/>
          <w:szCs w:val="24"/>
        </w:rPr>
        <w:t xml:space="preserve">Lohr, </w:t>
      </w:r>
      <w:r w:rsidRPr="00BD0AA1">
        <w:rPr>
          <w:sz w:val="24"/>
          <w:szCs w:val="24"/>
        </w:rPr>
        <w:t xml:space="preserve">Sharon L. and </w:t>
      </w:r>
      <w:r>
        <w:rPr>
          <w:sz w:val="24"/>
          <w:szCs w:val="24"/>
        </w:rPr>
        <w:t xml:space="preserve">Rao, </w:t>
      </w:r>
      <w:r w:rsidRPr="00BD0AA1">
        <w:rPr>
          <w:sz w:val="24"/>
          <w:szCs w:val="24"/>
        </w:rPr>
        <w:t>J. N. K.</w:t>
      </w:r>
      <w:r>
        <w:rPr>
          <w:sz w:val="24"/>
          <w:szCs w:val="24"/>
        </w:rPr>
        <w:t xml:space="preserve"> </w:t>
      </w:r>
      <w:r w:rsidRPr="00BD0AA1">
        <w:rPr>
          <w:sz w:val="24"/>
          <w:szCs w:val="24"/>
        </w:rPr>
        <w:t xml:space="preserve">(2006), Estimation in Multiple-Frame Surveys, </w:t>
      </w:r>
      <w:r w:rsidRPr="00BD0AA1">
        <w:rPr>
          <w:i/>
          <w:iCs/>
          <w:sz w:val="24"/>
          <w:szCs w:val="24"/>
        </w:rPr>
        <w:t>Journal of the American Statistical Association</w:t>
      </w:r>
      <w:r w:rsidRPr="00BD0AA1">
        <w:rPr>
          <w:sz w:val="24"/>
          <w:szCs w:val="24"/>
        </w:rPr>
        <w:t>.</w:t>
      </w:r>
      <w:proofErr w:type="gramEnd"/>
      <w:r w:rsidRPr="00BD0AA1">
        <w:rPr>
          <w:sz w:val="24"/>
          <w:szCs w:val="24"/>
        </w:rPr>
        <w:t xml:space="preserve"> 475:1019-1030.</w:t>
      </w:r>
    </w:p>
    <w:p w:rsidR="0040730A" w:rsidRPr="00EE321B" w:rsidRDefault="0040730A" w:rsidP="0040730A">
      <w:pPr>
        <w:rPr>
          <w:sz w:val="24"/>
          <w:szCs w:val="24"/>
        </w:rPr>
      </w:pPr>
    </w:p>
    <w:p w:rsidR="0040730A" w:rsidRPr="002827D8" w:rsidRDefault="0040730A" w:rsidP="0040730A">
      <w:pPr>
        <w:rPr>
          <w:sz w:val="24"/>
          <w:szCs w:val="24"/>
        </w:rPr>
      </w:pPr>
      <w:r>
        <w:rPr>
          <w:sz w:val="24"/>
          <w:szCs w:val="24"/>
        </w:rPr>
        <w:t>OES State Operations Manual, Bureau</w:t>
      </w:r>
      <w:r w:rsidRPr="002827D8">
        <w:rPr>
          <w:sz w:val="24"/>
          <w:szCs w:val="24"/>
        </w:rPr>
        <w:t xml:space="preserve"> of Labor Statistics, Internal Document, 2008.  </w:t>
      </w:r>
    </w:p>
    <w:p w:rsidR="0040730A" w:rsidRPr="002827D8" w:rsidRDefault="0040730A" w:rsidP="0040730A">
      <w:pPr>
        <w:rPr>
          <w:sz w:val="24"/>
          <w:szCs w:val="24"/>
        </w:rPr>
      </w:pPr>
    </w:p>
    <w:p w:rsidR="0040730A" w:rsidRPr="002827D8" w:rsidRDefault="0040730A" w:rsidP="0040730A">
      <w:pPr>
        <w:ind w:left="360" w:hanging="360"/>
        <w:jc w:val="both"/>
        <w:rPr>
          <w:sz w:val="24"/>
          <w:szCs w:val="24"/>
        </w:rPr>
      </w:pPr>
      <w:proofErr w:type="gramStart"/>
      <w:r w:rsidRPr="002827D8">
        <w:rPr>
          <w:sz w:val="24"/>
          <w:szCs w:val="24"/>
        </w:rPr>
        <w:t>Piccone, David and Stetser, Marie.</w:t>
      </w:r>
      <w:proofErr w:type="gramEnd"/>
      <w:r w:rsidRPr="002827D8">
        <w:rPr>
          <w:sz w:val="24"/>
          <w:szCs w:val="24"/>
        </w:rPr>
        <w:t xml:space="preserve"> </w:t>
      </w:r>
      <w:proofErr w:type="gramStart"/>
      <w:r w:rsidRPr="002827D8">
        <w:rPr>
          <w:sz w:val="24"/>
          <w:szCs w:val="24"/>
        </w:rPr>
        <w:t xml:space="preserve">(2009) </w:t>
      </w:r>
      <w:r w:rsidRPr="002827D8">
        <w:rPr>
          <w:i/>
          <w:sz w:val="24"/>
          <w:szCs w:val="24"/>
        </w:rPr>
        <w:t xml:space="preserve">National Sample Reallocation for the Occupational Employment Statistics Survey, </w:t>
      </w:r>
      <w:r w:rsidRPr="002827D8">
        <w:rPr>
          <w:sz w:val="24"/>
          <w:szCs w:val="24"/>
        </w:rPr>
        <w:t>2009 Joint Statistical Meetings.</w:t>
      </w:r>
      <w:proofErr w:type="gramEnd"/>
    </w:p>
    <w:p w:rsidR="0040730A" w:rsidRPr="002827D8" w:rsidRDefault="0040730A" w:rsidP="0040730A">
      <w:pPr>
        <w:rPr>
          <w:sz w:val="24"/>
          <w:szCs w:val="24"/>
        </w:rPr>
      </w:pPr>
    </w:p>
    <w:p w:rsidR="0040730A" w:rsidRPr="006339AA" w:rsidRDefault="0040730A" w:rsidP="006830DA">
      <w:pPr>
        <w:ind w:left="360" w:hanging="360"/>
        <w:jc w:val="both"/>
      </w:pPr>
      <w:r w:rsidRPr="002827D8">
        <w:rPr>
          <w:sz w:val="24"/>
          <w:szCs w:val="24"/>
        </w:rPr>
        <w:t>Technical Notes for May 200</w:t>
      </w:r>
      <w:r>
        <w:rPr>
          <w:sz w:val="24"/>
          <w:szCs w:val="24"/>
        </w:rPr>
        <w:t>9</w:t>
      </w:r>
      <w:r w:rsidRPr="002827D8">
        <w:rPr>
          <w:sz w:val="24"/>
          <w:szCs w:val="24"/>
        </w:rPr>
        <w:t xml:space="preserve"> OES Estimates, Bureau of Labor Statistics, 20</w:t>
      </w:r>
      <w:r>
        <w:rPr>
          <w:sz w:val="24"/>
          <w:szCs w:val="24"/>
        </w:rPr>
        <w:t>10</w:t>
      </w:r>
      <w:r w:rsidRPr="002827D8">
        <w:rPr>
          <w:sz w:val="24"/>
          <w:szCs w:val="24"/>
        </w:rPr>
        <w:t xml:space="preserve"> (</w:t>
      </w:r>
      <w:hyperlink r:id="rId13" w:history="1">
        <w:r w:rsidRPr="002C1C58">
          <w:rPr>
            <w:rStyle w:val="Hyperlink"/>
            <w:sz w:val="24"/>
            <w:szCs w:val="24"/>
          </w:rPr>
          <w:t>http://www.bls.gov/oes/current/oes_tec.htm</w:t>
        </w:r>
      </w:hyperlink>
      <w:r w:rsidRPr="002827D8">
        <w:rPr>
          <w:sz w:val="24"/>
          <w:szCs w:val="24"/>
        </w:rPr>
        <w:t>).</w:t>
      </w:r>
    </w:p>
    <w:p w:rsidR="00D830D1" w:rsidRPr="006339AA" w:rsidRDefault="00D830D1" w:rsidP="00FD2F14">
      <w:pPr>
        <w:jc w:val="both"/>
      </w:pPr>
    </w:p>
    <w:sectPr w:rsidR="00D830D1" w:rsidRPr="006339AA" w:rsidSect="00784357">
      <w:headerReference w:type="default" r:id="rId14"/>
      <w:footerReference w:type="default" r:id="rId15"/>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9F" w:rsidRDefault="002E539F">
      <w:r>
        <w:separator/>
      </w:r>
    </w:p>
  </w:endnote>
  <w:endnote w:type="continuationSeparator" w:id="0">
    <w:p w:rsidR="002E539F" w:rsidRDefault="002E5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9F" w:rsidRDefault="002E539F" w:rsidP="00784357">
    <w:pPr>
      <w:pStyle w:val="Footer"/>
      <w:tabs>
        <w:tab w:val="right" w:pos="9360"/>
      </w:tabs>
    </w:pPr>
    <w:r>
      <w:tab/>
    </w:r>
    <w:r>
      <w:tab/>
    </w:r>
    <w:r>
      <w:tab/>
    </w:r>
    <w:fldSimple w:instr=" PAGE   \* MERGEFORMAT ">
      <w:r w:rsidR="006830DA">
        <w:rPr>
          <w:noProof/>
        </w:rPr>
        <w:t>8</w:t>
      </w:r>
    </w:fldSimple>
  </w:p>
  <w:p w:rsidR="002E539F" w:rsidRDefault="002E5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9F" w:rsidRDefault="002E539F">
      <w:r>
        <w:separator/>
      </w:r>
    </w:p>
  </w:footnote>
  <w:footnote w:type="continuationSeparator" w:id="0">
    <w:p w:rsidR="002E539F" w:rsidRDefault="002E5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9F" w:rsidRDefault="002E539F">
    <w:pPr>
      <w:pStyle w:val="Header"/>
    </w:pPr>
    <w:r>
      <w:t>6/24/11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9F64FB4"/>
    <w:multiLevelType w:val="hybridMultilevel"/>
    <w:tmpl w:val="BBA89694"/>
    <w:lvl w:ilvl="0" w:tplc="9D5C3E7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D3700B"/>
    <w:multiLevelType w:val="hybridMultilevel"/>
    <w:tmpl w:val="2280EC7A"/>
    <w:lvl w:ilvl="0" w:tplc="07EC639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B284C"/>
    <w:multiLevelType w:val="hybridMultilevel"/>
    <w:tmpl w:val="89888DE8"/>
    <w:lvl w:ilvl="0" w:tplc="566CD14A">
      <w:start w:val="1"/>
      <w:numFmt w:val="decimal"/>
      <w:lvlText w:val="%1."/>
      <w:lvlJc w:val="left"/>
      <w:pPr>
        <w:ind w:left="720" w:hanging="360"/>
      </w:pPr>
      <w:rPr>
        <w:rFonts w:cs="Times New Roman"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C5012F"/>
    <w:multiLevelType w:val="hybridMultilevel"/>
    <w:tmpl w:val="8D4E8E02"/>
    <w:lvl w:ilvl="0" w:tplc="59DCAFF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623C7C"/>
    <w:multiLevelType w:val="hybridMultilevel"/>
    <w:tmpl w:val="39BE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96395"/>
    <w:multiLevelType w:val="hybridMultilevel"/>
    <w:tmpl w:val="02E2EBCA"/>
    <w:lvl w:ilvl="0" w:tplc="A67EC69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A7034B6"/>
    <w:multiLevelType w:val="hybridMultilevel"/>
    <w:tmpl w:val="A3E064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1D3AA8"/>
    <w:multiLevelType w:val="hybridMultilevel"/>
    <w:tmpl w:val="89888DE8"/>
    <w:lvl w:ilvl="0" w:tplc="566CD14A">
      <w:start w:val="1"/>
      <w:numFmt w:val="decimal"/>
      <w:lvlText w:val="%1."/>
      <w:lvlJc w:val="left"/>
      <w:pPr>
        <w:ind w:left="720" w:hanging="360"/>
      </w:pPr>
      <w:rPr>
        <w:rFonts w:cs="Times New Roman"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4070E4D"/>
    <w:multiLevelType w:val="hybridMultilevel"/>
    <w:tmpl w:val="C65067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07A2D35"/>
    <w:multiLevelType w:val="singleLevel"/>
    <w:tmpl w:val="255EFBA6"/>
    <w:lvl w:ilvl="0">
      <w:start w:val="1"/>
      <w:numFmt w:val="lowerLetter"/>
      <w:lvlText w:val="%1. "/>
      <w:lvlJc w:val="left"/>
      <w:pPr>
        <w:tabs>
          <w:tab w:val="num" w:pos="0"/>
        </w:tabs>
        <w:ind w:left="1080" w:hanging="360"/>
      </w:pPr>
      <w:rPr>
        <w:rFonts w:ascii="Times New Roman" w:hAnsi="Times New Roman" w:cs="Times New Roman" w:hint="default"/>
        <w:b w:val="0"/>
        <w:i w:val="0"/>
        <w:sz w:val="24"/>
        <w:u w:val="none"/>
      </w:rPr>
    </w:lvl>
  </w:abstractNum>
  <w:abstractNum w:abstractNumId="11">
    <w:nsid w:val="5823766C"/>
    <w:multiLevelType w:val="hybridMultilevel"/>
    <w:tmpl w:val="EF08924A"/>
    <w:lvl w:ilvl="0" w:tplc="4B3CAA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295706"/>
    <w:multiLevelType w:val="hybridMultilevel"/>
    <w:tmpl w:val="462E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B5388"/>
    <w:multiLevelType w:val="hybridMultilevel"/>
    <w:tmpl w:val="1F80B1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A011149"/>
    <w:multiLevelType w:val="hybridMultilevel"/>
    <w:tmpl w:val="EDA677D2"/>
    <w:lvl w:ilvl="0" w:tplc="87D203B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F11585C"/>
    <w:multiLevelType w:val="hybridMultilevel"/>
    <w:tmpl w:val="CA40A1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7BE4296"/>
    <w:multiLevelType w:val="hybridMultilevel"/>
    <w:tmpl w:val="3574FB8A"/>
    <w:lvl w:ilvl="0" w:tplc="9DEE4CC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9A7819"/>
    <w:multiLevelType w:val="hybridMultilevel"/>
    <w:tmpl w:val="BC7A2C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nsid w:val="78620E75"/>
    <w:multiLevelType w:val="hybridMultilevel"/>
    <w:tmpl w:val="ABB4B5E6"/>
    <w:lvl w:ilvl="0" w:tplc="AB067B4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8"/>
  </w:num>
  <w:num w:numId="3">
    <w:abstractNumId w:val="14"/>
  </w:num>
  <w:num w:numId="4">
    <w:abstractNumId w:val="4"/>
  </w:num>
  <w:num w:numId="5">
    <w:abstractNumId w:val="6"/>
  </w:num>
  <w:num w:numId="6">
    <w:abstractNumId w:val="7"/>
  </w:num>
  <w:num w:numId="7">
    <w:abstractNumId w:val="15"/>
  </w:num>
  <w:num w:numId="8">
    <w:abstractNumId w:val="2"/>
  </w:num>
  <w:num w:numId="9">
    <w:abstractNumId w:val="9"/>
  </w:num>
  <w:num w:numId="10">
    <w:abstractNumId w:val="13"/>
  </w:num>
  <w:num w:numId="11">
    <w:abstractNumId w:val="1"/>
  </w:num>
  <w:num w:numId="12">
    <w:abstractNumId w:val="11"/>
  </w:num>
  <w:num w:numId="13">
    <w:abstractNumId w:val="16"/>
  </w:num>
  <w:num w:numId="14">
    <w:abstractNumId w:val="8"/>
  </w:num>
  <w:num w:numId="15">
    <w:abstractNumId w:val="17"/>
  </w:num>
  <w:num w:numId="16">
    <w:abstractNumId w:val="5"/>
  </w:num>
  <w:num w:numId="17">
    <w:abstractNumId w:val="12"/>
  </w:num>
  <w:num w:numId="18">
    <w:abstractNumId w:val="3"/>
  </w:num>
  <w:num w:numId="19">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00E5D"/>
    <w:rsid w:val="000012BF"/>
    <w:rsid w:val="00014CE3"/>
    <w:rsid w:val="000276AC"/>
    <w:rsid w:val="00035491"/>
    <w:rsid w:val="000369CE"/>
    <w:rsid w:val="000468CC"/>
    <w:rsid w:val="0004736A"/>
    <w:rsid w:val="00053BD9"/>
    <w:rsid w:val="0005433F"/>
    <w:rsid w:val="00055D85"/>
    <w:rsid w:val="00061FE1"/>
    <w:rsid w:val="00065129"/>
    <w:rsid w:val="00073E14"/>
    <w:rsid w:val="0007494F"/>
    <w:rsid w:val="00075664"/>
    <w:rsid w:val="00076768"/>
    <w:rsid w:val="0008425A"/>
    <w:rsid w:val="00084DB8"/>
    <w:rsid w:val="0009024D"/>
    <w:rsid w:val="00096374"/>
    <w:rsid w:val="000A1C8B"/>
    <w:rsid w:val="000A7453"/>
    <w:rsid w:val="000A77D5"/>
    <w:rsid w:val="000B5054"/>
    <w:rsid w:val="000C0A5B"/>
    <w:rsid w:val="000C4077"/>
    <w:rsid w:val="000C5DBF"/>
    <w:rsid w:val="000D1623"/>
    <w:rsid w:val="000E2558"/>
    <w:rsid w:val="000E376A"/>
    <w:rsid w:val="000F1060"/>
    <w:rsid w:val="000F6535"/>
    <w:rsid w:val="001006E7"/>
    <w:rsid w:val="00102B49"/>
    <w:rsid w:val="0010504B"/>
    <w:rsid w:val="00111B19"/>
    <w:rsid w:val="00114CFC"/>
    <w:rsid w:val="00116F56"/>
    <w:rsid w:val="0012294A"/>
    <w:rsid w:val="00123E81"/>
    <w:rsid w:val="001250E9"/>
    <w:rsid w:val="00127584"/>
    <w:rsid w:val="0013518F"/>
    <w:rsid w:val="00136741"/>
    <w:rsid w:val="0014459A"/>
    <w:rsid w:val="001453C4"/>
    <w:rsid w:val="00154996"/>
    <w:rsid w:val="001658BB"/>
    <w:rsid w:val="00166060"/>
    <w:rsid w:val="0016631A"/>
    <w:rsid w:val="0017444D"/>
    <w:rsid w:val="001747C8"/>
    <w:rsid w:val="001756AD"/>
    <w:rsid w:val="001817BD"/>
    <w:rsid w:val="0018301D"/>
    <w:rsid w:val="00185F3F"/>
    <w:rsid w:val="0018654D"/>
    <w:rsid w:val="001866C7"/>
    <w:rsid w:val="001875C4"/>
    <w:rsid w:val="0019104F"/>
    <w:rsid w:val="00193680"/>
    <w:rsid w:val="001A3AA3"/>
    <w:rsid w:val="001B162F"/>
    <w:rsid w:val="001B6046"/>
    <w:rsid w:val="001C4E7E"/>
    <w:rsid w:val="001D11F7"/>
    <w:rsid w:val="001D4FC4"/>
    <w:rsid w:val="001D5F76"/>
    <w:rsid w:val="001E42AB"/>
    <w:rsid w:val="001E45C5"/>
    <w:rsid w:val="001F19A5"/>
    <w:rsid w:val="001F47ED"/>
    <w:rsid w:val="001F724E"/>
    <w:rsid w:val="00200455"/>
    <w:rsid w:val="00200A67"/>
    <w:rsid w:val="00202F00"/>
    <w:rsid w:val="00204062"/>
    <w:rsid w:val="002045F7"/>
    <w:rsid w:val="00214740"/>
    <w:rsid w:val="00215104"/>
    <w:rsid w:val="002157A9"/>
    <w:rsid w:val="00225802"/>
    <w:rsid w:val="00225FC5"/>
    <w:rsid w:val="00226FA2"/>
    <w:rsid w:val="00227753"/>
    <w:rsid w:val="00230BF6"/>
    <w:rsid w:val="00232484"/>
    <w:rsid w:val="0023463D"/>
    <w:rsid w:val="0023573B"/>
    <w:rsid w:val="00244900"/>
    <w:rsid w:val="002468BA"/>
    <w:rsid w:val="0025216F"/>
    <w:rsid w:val="0025397F"/>
    <w:rsid w:val="00256CC7"/>
    <w:rsid w:val="00262227"/>
    <w:rsid w:val="00262FBE"/>
    <w:rsid w:val="002635C5"/>
    <w:rsid w:val="00264088"/>
    <w:rsid w:val="0026518D"/>
    <w:rsid w:val="0026756D"/>
    <w:rsid w:val="00272567"/>
    <w:rsid w:val="0027548B"/>
    <w:rsid w:val="0027780E"/>
    <w:rsid w:val="002827D8"/>
    <w:rsid w:val="00282C5F"/>
    <w:rsid w:val="00285A8E"/>
    <w:rsid w:val="00291566"/>
    <w:rsid w:val="00291CE5"/>
    <w:rsid w:val="00292F8A"/>
    <w:rsid w:val="002B27E0"/>
    <w:rsid w:val="002B4517"/>
    <w:rsid w:val="002B457F"/>
    <w:rsid w:val="002B6224"/>
    <w:rsid w:val="002C0F4D"/>
    <w:rsid w:val="002C34F2"/>
    <w:rsid w:val="002C383D"/>
    <w:rsid w:val="002C3CEF"/>
    <w:rsid w:val="002C4166"/>
    <w:rsid w:val="002D0A9B"/>
    <w:rsid w:val="002D2419"/>
    <w:rsid w:val="002D5F3B"/>
    <w:rsid w:val="002E539F"/>
    <w:rsid w:val="002E7401"/>
    <w:rsid w:val="002F3D4D"/>
    <w:rsid w:val="002F51F5"/>
    <w:rsid w:val="002F731C"/>
    <w:rsid w:val="0030207E"/>
    <w:rsid w:val="00306F7A"/>
    <w:rsid w:val="003112EA"/>
    <w:rsid w:val="003133FB"/>
    <w:rsid w:val="00313A8D"/>
    <w:rsid w:val="003161A2"/>
    <w:rsid w:val="00320EC5"/>
    <w:rsid w:val="0032118B"/>
    <w:rsid w:val="0032586B"/>
    <w:rsid w:val="00325BAD"/>
    <w:rsid w:val="0032654E"/>
    <w:rsid w:val="0033166D"/>
    <w:rsid w:val="003334F0"/>
    <w:rsid w:val="00337E2B"/>
    <w:rsid w:val="00340EDD"/>
    <w:rsid w:val="00343325"/>
    <w:rsid w:val="00345F82"/>
    <w:rsid w:val="0035585C"/>
    <w:rsid w:val="003559EB"/>
    <w:rsid w:val="00355AC8"/>
    <w:rsid w:val="00364438"/>
    <w:rsid w:val="00377625"/>
    <w:rsid w:val="00377785"/>
    <w:rsid w:val="0038071A"/>
    <w:rsid w:val="003914B5"/>
    <w:rsid w:val="003946D2"/>
    <w:rsid w:val="00396666"/>
    <w:rsid w:val="00396B96"/>
    <w:rsid w:val="003973CE"/>
    <w:rsid w:val="003A2680"/>
    <w:rsid w:val="003A3AF3"/>
    <w:rsid w:val="003A55B6"/>
    <w:rsid w:val="003A7469"/>
    <w:rsid w:val="003B467A"/>
    <w:rsid w:val="003B6851"/>
    <w:rsid w:val="003B6E03"/>
    <w:rsid w:val="003C55A1"/>
    <w:rsid w:val="003C66E0"/>
    <w:rsid w:val="003C7677"/>
    <w:rsid w:val="003C7965"/>
    <w:rsid w:val="003D055F"/>
    <w:rsid w:val="003D0F25"/>
    <w:rsid w:val="003D3E4D"/>
    <w:rsid w:val="003D749F"/>
    <w:rsid w:val="003E2BE3"/>
    <w:rsid w:val="003E48BB"/>
    <w:rsid w:val="003E7B75"/>
    <w:rsid w:val="003F26D4"/>
    <w:rsid w:val="003F3586"/>
    <w:rsid w:val="00400FD2"/>
    <w:rsid w:val="004043B6"/>
    <w:rsid w:val="0040730A"/>
    <w:rsid w:val="004139C7"/>
    <w:rsid w:val="0042460E"/>
    <w:rsid w:val="00434048"/>
    <w:rsid w:val="00434231"/>
    <w:rsid w:val="00434AAC"/>
    <w:rsid w:val="00436555"/>
    <w:rsid w:val="00436562"/>
    <w:rsid w:val="00436A04"/>
    <w:rsid w:val="004472BE"/>
    <w:rsid w:val="004477CF"/>
    <w:rsid w:val="00450D88"/>
    <w:rsid w:val="004566BE"/>
    <w:rsid w:val="00457CF8"/>
    <w:rsid w:val="00470458"/>
    <w:rsid w:val="004756CF"/>
    <w:rsid w:val="004866A2"/>
    <w:rsid w:val="004951DD"/>
    <w:rsid w:val="00495F81"/>
    <w:rsid w:val="004A0671"/>
    <w:rsid w:val="004A12A4"/>
    <w:rsid w:val="004A2165"/>
    <w:rsid w:val="004A2F16"/>
    <w:rsid w:val="004A3D51"/>
    <w:rsid w:val="004A3DCA"/>
    <w:rsid w:val="004B6304"/>
    <w:rsid w:val="004B731F"/>
    <w:rsid w:val="004C39B3"/>
    <w:rsid w:val="004C402B"/>
    <w:rsid w:val="004C67A2"/>
    <w:rsid w:val="004D6FE6"/>
    <w:rsid w:val="004E07FF"/>
    <w:rsid w:val="004E3A89"/>
    <w:rsid w:val="004E62A3"/>
    <w:rsid w:val="004E6949"/>
    <w:rsid w:val="004F1A87"/>
    <w:rsid w:val="004F5CC9"/>
    <w:rsid w:val="004F68F7"/>
    <w:rsid w:val="004F6A5A"/>
    <w:rsid w:val="00507398"/>
    <w:rsid w:val="00513305"/>
    <w:rsid w:val="005146EB"/>
    <w:rsid w:val="00515E1B"/>
    <w:rsid w:val="00516488"/>
    <w:rsid w:val="0052195D"/>
    <w:rsid w:val="00525CDC"/>
    <w:rsid w:val="00530E88"/>
    <w:rsid w:val="00534E1D"/>
    <w:rsid w:val="005355E4"/>
    <w:rsid w:val="005374F9"/>
    <w:rsid w:val="00541A28"/>
    <w:rsid w:val="0055234E"/>
    <w:rsid w:val="00554254"/>
    <w:rsid w:val="00563A7F"/>
    <w:rsid w:val="00564133"/>
    <w:rsid w:val="0056578A"/>
    <w:rsid w:val="00572CFC"/>
    <w:rsid w:val="005734DE"/>
    <w:rsid w:val="005820B6"/>
    <w:rsid w:val="0058695A"/>
    <w:rsid w:val="005914BA"/>
    <w:rsid w:val="00593D98"/>
    <w:rsid w:val="005944A0"/>
    <w:rsid w:val="00597BBD"/>
    <w:rsid w:val="005A6A24"/>
    <w:rsid w:val="005B22B7"/>
    <w:rsid w:val="005B2506"/>
    <w:rsid w:val="005B69F2"/>
    <w:rsid w:val="005B6DA9"/>
    <w:rsid w:val="005D0525"/>
    <w:rsid w:val="005D1036"/>
    <w:rsid w:val="005D16B2"/>
    <w:rsid w:val="005D24FB"/>
    <w:rsid w:val="005D349E"/>
    <w:rsid w:val="005D50B8"/>
    <w:rsid w:val="005E0782"/>
    <w:rsid w:val="005E10D6"/>
    <w:rsid w:val="005E4507"/>
    <w:rsid w:val="005E7BBD"/>
    <w:rsid w:val="006009BC"/>
    <w:rsid w:val="00603376"/>
    <w:rsid w:val="00605AB2"/>
    <w:rsid w:val="0060628D"/>
    <w:rsid w:val="00607866"/>
    <w:rsid w:val="00610DD5"/>
    <w:rsid w:val="006131AA"/>
    <w:rsid w:val="00614DD5"/>
    <w:rsid w:val="006155DB"/>
    <w:rsid w:val="00621A77"/>
    <w:rsid w:val="00622FDB"/>
    <w:rsid w:val="0062519D"/>
    <w:rsid w:val="00626970"/>
    <w:rsid w:val="00631407"/>
    <w:rsid w:val="006339AA"/>
    <w:rsid w:val="0063667B"/>
    <w:rsid w:val="0065274C"/>
    <w:rsid w:val="0065793E"/>
    <w:rsid w:val="006671B7"/>
    <w:rsid w:val="00667521"/>
    <w:rsid w:val="0067670B"/>
    <w:rsid w:val="00677B91"/>
    <w:rsid w:val="00680417"/>
    <w:rsid w:val="006830DA"/>
    <w:rsid w:val="00684955"/>
    <w:rsid w:val="00684D3D"/>
    <w:rsid w:val="006905F6"/>
    <w:rsid w:val="00691CD9"/>
    <w:rsid w:val="0069223E"/>
    <w:rsid w:val="006A2A8E"/>
    <w:rsid w:val="006B39EC"/>
    <w:rsid w:val="006B4226"/>
    <w:rsid w:val="006B57F1"/>
    <w:rsid w:val="006B7D45"/>
    <w:rsid w:val="006C4B84"/>
    <w:rsid w:val="006C79B4"/>
    <w:rsid w:val="006D015B"/>
    <w:rsid w:val="006E2C67"/>
    <w:rsid w:val="006E2C90"/>
    <w:rsid w:val="006E2F53"/>
    <w:rsid w:val="006E4665"/>
    <w:rsid w:val="00702DF6"/>
    <w:rsid w:val="007069B3"/>
    <w:rsid w:val="00711B8A"/>
    <w:rsid w:val="00713EB8"/>
    <w:rsid w:val="00714E19"/>
    <w:rsid w:val="00716EA4"/>
    <w:rsid w:val="00722210"/>
    <w:rsid w:val="00726CA9"/>
    <w:rsid w:val="00727E63"/>
    <w:rsid w:val="007336DC"/>
    <w:rsid w:val="0073712B"/>
    <w:rsid w:val="00737EB6"/>
    <w:rsid w:val="00740ECE"/>
    <w:rsid w:val="007420EB"/>
    <w:rsid w:val="00743158"/>
    <w:rsid w:val="007577E6"/>
    <w:rsid w:val="0076411C"/>
    <w:rsid w:val="00766E15"/>
    <w:rsid w:val="007730F4"/>
    <w:rsid w:val="007747A4"/>
    <w:rsid w:val="00776F73"/>
    <w:rsid w:val="00777BC9"/>
    <w:rsid w:val="007828FC"/>
    <w:rsid w:val="00783287"/>
    <w:rsid w:val="00784357"/>
    <w:rsid w:val="00790813"/>
    <w:rsid w:val="007930B8"/>
    <w:rsid w:val="007971DD"/>
    <w:rsid w:val="00797C08"/>
    <w:rsid w:val="007A290E"/>
    <w:rsid w:val="007A6317"/>
    <w:rsid w:val="007B5DCD"/>
    <w:rsid w:val="007B7C32"/>
    <w:rsid w:val="007C0A2C"/>
    <w:rsid w:val="007C65A1"/>
    <w:rsid w:val="007D2691"/>
    <w:rsid w:val="007D39D7"/>
    <w:rsid w:val="007D6B25"/>
    <w:rsid w:val="007D774A"/>
    <w:rsid w:val="007D7FCA"/>
    <w:rsid w:val="007E2016"/>
    <w:rsid w:val="007E3105"/>
    <w:rsid w:val="007E56FF"/>
    <w:rsid w:val="007E6E36"/>
    <w:rsid w:val="007F1367"/>
    <w:rsid w:val="007F2153"/>
    <w:rsid w:val="008000E0"/>
    <w:rsid w:val="00800A05"/>
    <w:rsid w:val="008042EC"/>
    <w:rsid w:val="0080458F"/>
    <w:rsid w:val="008111D7"/>
    <w:rsid w:val="00817D45"/>
    <w:rsid w:val="00820D41"/>
    <w:rsid w:val="008218B7"/>
    <w:rsid w:val="008219A8"/>
    <w:rsid w:val="0082511E"/>
    <w:rsid w:val="00836E34"/>
    <w:rsid w:val="00845617"/>
    <w:rsid w:val="008459D7"/>
    <w:rsid w:val="0085035D"/>
    <w:rsid w:val="0085398C"/>
    <w:rsid w:val="00857E74"/>
    <w:rsid w:val="00861241"/>
    <w:rsid w:val="00861A96"/>
    <w:rsid w:val="008624EF"/>
    <w:rsid w:val="00862942"/>
    <w:rsid w:val="00866035"/>
    <w:rsid w:val="00871E05"/>
    <w:rsid w:val="008725DE"/>
    <w:rsid w:val="00883E3D"/>
    <w:rsid w:val="00883F81"/>
    <w:rsid w:val="008A1F2F"/>
    <w:rsid w:val="008A32D8"/>
    <w:rsid w:val="008A44EB"/>
    <w:rsid w:val="008A7A46"/>
    <w:rsid w:val="008C19F6"/>
    <w:rsid w:val="008C317C"/>
    <w:rsid w:val="008C3191"/>
    <w:rsid w:val="008C4FFA"/>
    <w:rsid w:val="008C6B9F"/>
    <w:rsid w:val="008D160E"/>
    <w:rsid w:val="008D3EA7"/>
    <w:rsid w:val="008D4919"/>
    <w:rsid w:val="008E16E1"/>
    <w:rsid w:val="008E62BD"/>
    <w:rsid w:val="008F2B91"/>
    <w:rsid w:val="00900E5D"/>
    <w:rsid w:val="009177AE"/>
    <w:rsid w:val="00921869"/>
    <w:rsid w:val="0092234D"/>
    <w:rsid w:val="00925035"/>
    <w:rsid w:val="00931639"/>
    <w:rsid w:val="00931B69"/>
    <w:rsid w:val="0093555A"/>
    <w:rsid w:val="009359C2"/>
    <w:rsid w:val="00937390"/>
    <w:rsid w:val="0094011E"/>
    <w:rsid w:val="00940F15"/>
    <w:rsid w:val="00943E09"/>
    <w:rsid w:val="009441DA"/>
    <w:rsid w:val="00944718"/>
    <w:rsid w:val="00953233"/>
    <w:rsid w:val="00953CFC"/>
    <w:rsid w:val="00954492"/>
    <w:rsid w:val="00961841"/>
    <w:rsid w:val="009626C2"/>
    <w:rsid w:val="00964979"/>
    <w:rsid w:val="00966567"/>
    <w:rsid w:val="009765FF"/>
    <w:rsid w:val="0097700D"/>
    <w:rsid w:val="009775E5"/>
    <w:rsid w:val="00981458"/>
    <w:rsid w:val="0098294B"/>
    <w:rsid w:val="00993B4F"/>
    <w:rsid w:val="00996FCD"/>
    <w:rsid w:val="009A4773"/>
    <w:rsid w:val="009B3B28"/>
    <w:rsid w:val="009C3475"/>
    <w:rsid w:val="009D0CFC"/>
    <w:rsid w:val="009D23B4"/>
    <w:rsid w:val="009D4D62"/>
    <w:rsid w:val="009D5FF2"/>
    <w:rsid w:val="009D7C79"/>
    <w:rsid w:val="009E2F26"/>
    <w:rsid w:val="009E437A"/>
    <w:rsid w:val="009F4ADF"/>
    <w:rsid w:val="009F5BA7"/>
    <w:rsid w:val="00A00C72"/>
    <w:rsid w:val="00A01722"/>
    <w:rsid w:val="00A11912"/>
    <w:rsid w:val="00A204C3"/>
    <w:rsid w:val="00A21363"/>
    <w:rsid w:val="00A27B52"/>
    <w:rsid w:val="00A33A17"/>
    <w:rsid w:val="00A34787"/>
    <w:rsid w:val="00A358D3"/>
    <w:rsid w:val="00A42761"/>
    <w:rsid w:val="00A43257"/>
    <w:rsid w:val="00A45721"/>
    <w:rsid w:val="00A461DF"/>
    <w:rsid w:val="00A50B71"/>
    <w:rsid w:val="00A536CA"/>
    <w:rsid w:val="00A54C81"/>
    <w:rsid w:val="00A55E56"/>
    <w:rsid w:val="00A575C0"/>
    <w:rsid w:val="00A66196"/>
    <w:rsid w:val="00A6792C"/>
    <w:rsid w:val="00A712EC"/>
    <w:rsid w:val="00A74F2D"/>
    <w:rsid w:val="00A956B3"/>
    <w:rsid w:val="00AA133C"/>
    <w:rsid w:val="00AA2E4A"/>
    <w:rsid w:val="00AA4021"/>
    <w:rsid w:val="00AA4AFE"/>
    <w:rsid w:val="00AA6D77"/>
    <w:rsid w:val="00AB6A3A"/>
    <w:rsid w:val="00AC1E9C"/>
    <w:rsid w:val="00AC27EB"/>
    <w:rsid w:val="00AC4DD9"/>
    <w:rsid w:val="00AD1EEF"/>
    <w:rsid w:val="00AD2056"/>
    <w:rsid w:val="00AD2A9C"/>
    <w:rsid w:val="00AD6C07"/>
    <w:rsid w:val="00AD7086"/>
    <w:rsid w:val="00AE115F"/>
    <w:rsid w:val="00AE3BB1"/>
    <w:rsid w:val="00AE6AAE"/>
    <w:rsid w:val="00AE7AC2"/>
    <w:rsid w:val="00AF4104"/>
    <w:rsid w:val="00AF532C"/>
    <w:rsid w:val="00AF684D"/>
    <w:rsid w:val="00B048F0"/>
    <w:rsid w:val="00B2237F"/>
    <w:rsid w:val="00B41237"/>
    <w:rsid w:val="00B43000"/>
    <w:rsid w:val="00B46444"/>
    <w:rsid w:val="00B50899"/>
    <w:rsid w:val="00B514B0"/>
    <w:rsid w:val="00B51675"/>
    <w:rsid w:val="00B53F67"/>
    <w:rsid w:val="00B5507B"/>
    <w:rsid w:val="00B5715A"/>
    <w:rsid w:val="00B57FBA"/>
    <w:rsid w:val="00B61084"/>
    <w:rsid w:val="00B646C7"/>
    <w:rsid w:val="00B66CCC"/>
    <w:rsid w:val="00B72AEE"/>
    <w:rsid w:val="00B76D1C"/>
    <w:rsid w:val="00B82F77"/>
    <w:rsid w:val="00B853A6"/>
    <w:rsid w:val="00B85FA7"/>
    <w:rsid w:val="00B9003D"/>
    <w:rsid w:val="00B90571"/>
    <w:rsid w:val="00B91CC7"/>
    <w:rsid w:val="00B92F3F"/>
    <w:rsid w:val="00B92F54"/>
    <w:rsid w:val="00BC2C0C"/>
    <w:rsid w:val="00BC7ACE"/>
    <w:rsid w:val="00BD22B7"/>
    <w:rsid w:val="00BD27F0"/>
    <w:rsid w:val="00BD38E9"/>
    <w:rsid w:val="00BD54E9"/>
    <w:rsid w:val="00BE5416"/>
    <w:rsid w:val="00BE63E4"/>
    <w:rsid w:val="00BE7B50"/>
    <w:rsid w:val="00BF193B"/>
    <w:rsid w:val="00BF2C55"/>
    <w:rsid w:val="00BF3856"/>
    <w:rsid w:val="00BF526B"/>
    <w:rsid w:val="00C00C1E"/>
    <w:rsid w:val="00C0449B"/>
    <w:rsid w:val="00C06A45"/>
    <w:rsid w:val="00C07203"/>
    <w:rsid w:val="00C1098C"/>
    <w:rsid w:val="00C1739F"/>
    <w:rsid w:val="00C17882"/>
    <w:rsid w:val="00C2267D"/>
    <w:rsid w:val="00C235CA"/>
    <w:rsid w:val="00C242F6"/>
    <w:rsid w:val="00C27CF8"/>
    <w:rsid w:val="00C343BA"/>
    <w:rsid w:val="00C357AD"/>
    <w:rsid w:val="00C40600"/>
    <w:rsid w:val="00C40645"/>
    <w:rsid w:val="00C4226C"/>
    <w:rsid w:val="00C51530"/>
    <w:rsid w:val="00C524B8"/>
    <w:rsid w:val="00C548F6"/>
    <w:rsid w:val="00C57328"/>
    <w:rsid w:val="00C6460C"/>
    <w:rsid w:val="00C652C2"/>
    <w:rsid w:val="00C65499"/>
    <w:rsid w:val="00C72CD4"/>
    <w:rsid w:val="00C73D25"/>
    <w:rsid w:val="00C778E8"/>
    <w:rsid w:val="00C82530"/>
    <w:rsid w:val="00C87271"/>
    <w:rsid w:val="00C91904"/>
    <w:rsid w:val="00C971F9"/>
    <w:rsid w:val="00CA1721"/>
    <w:rsid w:val="00CB1020"/>
    <w:rsid w:val="00CB24E1"/>
    <w:rsid w:val="00CC0E0D"/>
    <w:rsid w:val="00CC1C35"/>
    <w:rsid w:val="00CC42C7"/>
    <w:rsid w:val="00CD1856"/>
    <w:rsid w:val="00CD3482"/>
    <w:rsid w:val="00CE51CA"/>
    <w:rsid w:val="00CE6882"/>
    <w:rsid w:val="00CF0411"/>
    <w:rsid w:val="00CF6875"/>
    <w:rsid w:val="00D019D1"/>
    <w:rsid w:val="00D01E27"/>
    <w:rsid w:val="00D03F71"/>
    <w:rsid w:val="00D05D60"/>
    <w:rsid w:val="00D07CF2"/>
    <w:rsid w:val="00D1096E"/>
    <w:rsid w:val="00D20CCB"/>
    <w:rsid w:val="00D210CC"/>
    <w:rsid w:val="00D24AA6"/>
    <w:rsid w:val="00D27107"/>
    <w:rsid w:val="00D27D0D"/>
    <w:rsid w:val="00D3102B"/>
    <w:rsid w:val="00D3464A"/>
    <w:rsid w:val="00D34DD1"/>
    <w:rsid w:val="00D36B1B"/>
    <w:rsid w:val="00D37F57"/>
    <w:rsid w:val="00D40427"/>
    <w:rsid w:val="00D46356"/>
    <w:rsid w:val="00D67221"/>
    <w:rsid w:val="00D75265"/>
    <w:rsid w:val="00D759B5"/>
    <w:rsid w:val="00D8073C"/>
    <w:rsid w:val="00D8118B"/>
    <w:rsid w:val="00D830D1"/>
    <w:rsid w:val="00D8471D"/>
    <w:rsid w:val="00D85F4B"/>
    <w:rsid w:val="00D96F08"/>
    <w:rsid w:val="00D97925"/>
    <w:rsid w:val="00DA0009"/>
    <w:rsid w:val="00DA171B"/>
    <w:rsid w:val="00DA2486"/>
    <w:rsid w:val="00DA4C95"/>
    <w:rsid w:val="00DB03A4"/>
    <w:rsid w:val="00DB5A13"/>
    <w:rsid w:val="00DB7A05"/>
    <w:rsid w:val="00DC2D71"/>
    <w:rsid w:val="00DC6D94"/>
    <w:rsid w:val="00DC7E67"/>
    <w:rsid w:val="00DD2169"/>
    <w:rsid w:val="00DD3B4B"/>
    <w:rsid w:val="00DE44AA"/>
    <w:rsid w:val="00DF2ED5"/>
    <w:rsid w:val="00DF473C"/>
    <w:rsid w:val="00DF49AB"/>
    <w:rsid w:val="00E01036"/>
    <w:rsid w:val="00E059F9"/>
    <w:rsid w:val="00E067C7"/>
    <w:rsid w:val="00E1063D"/>
    <w:rsid w:val="00E12D8B"/>
    <w:rsid w:val="00E15C1A"/>
    <w:rsid w:val="00E17240"/>
    <w:rsid w:val="00E24C34"/>
    <w:rsid w:val="00E25273"/>
    <w:rsid w:val="00E27A09"/>
    <w:rsid w:val="00E31876"/>
    <w:rsid w:val="00E32342"/>
    <w:rsid w:val="00E357BB"/>
    <w:rsid w:val="00E36AD5"/>
    <w:rsid w:val="00E425BF"/>
    <w:rsid w:val="00E44694"/>
    <w:rsid w:val="00E45D71"/>
    <w:rsid w:val="00E467DC"/>
    <w:rsid w:val="00E479AC"/>
    <w:rsid w:val="00E510D8"/>
    <w:rsid w:val="00E51674"/>
    <w:rsid w:val="00E54BED"/>
    <w:rsid w:val="00E54E6A"/>
    <w:rsid w:val="00E55388"/>
    <w:rsid w:val="00E648F1"/>
    <w:rsid w:val="00E66266"/>
    <w:rsid w:val="00E739E6"/>
    <w:rsid w:val="00E746C2"/>
    <w:rsid w:val="00E750A7"/>
    <w:rsid w:val="00E821E7"/>
    <w:rsid w:val="00E84116"/>
    <w:rsid w:val="00E84DC7"/>
    <w:rsid w:val="00E876D6"/>
    <w:rsid w:val="00E87AC3"/>
    <w:rsid w:val="00EA0289"/>
    <w:rsid w:val="00EA2B49"/>
    <w:rsid w:val="00EB1F03"/>
    <w:rsid w:val="00EB2BA0"/>
    <w:rsid w:val="00EB2F7D"/>
    <w:rsid w:val="00EB387B"/>
    <w:rsid w:val="00EC066D"/>
    <w:rsid w:val="00EC72DE"/>
    <w:rsid w:val="00EC79B7"/>
    <w:rsid w:val="00ED4923"/>
    <w:rsid w:val="00EE01BC"/>
    <w:rsid w:val="00EE12D9"/>
    <w:rsid w:val="00EF028A"/>
    <w:rsid w:val="00EF1004"/>
    <w:rsid w:val="00EF1A17"/>
    <w:rsid w:val="00EF4F6C"/>
    <w:rsid w:val="00EF7158"/>
    <w:rsid w:val="00F018F3"/>
    <w:rsid w:val="00F024E5"/>
    <w:rsid w:val="00F07C51"/>
    <w:rsid w:val="00F07FD9"/>
    <w:rsid w:val="00F1104D"/>
    <w:rsid w:val="00F13CFA"/>
    <w:rsid w:val="00F222F7"/>
    <w:rsid w:val="00F23EAF"/>
    <w:rsid w:val="00F3082F"/>
    <w:rsid w:val="00F33429"/>
    <w:rsid w:val="00F41E14"/>
    <w:rsid w:val="00F44139"/>
    <w:rsid w:val="00F536E4"/>
    <w:rsid w:val="00F60275"/>
    <w:rsid w:val="00F6482E"/>
    <w:rsid w:val="00F65D08"/>
    <w:rsid w:val="00F72A3E"/>
    <w:rsid w:val="00F73969"/>
    <w:rsid w:val="00F75419"/>
    <w:rsid w:val="00F804D1"/>
    <w:rsid w:val="00F8162F"/>
    <w:rsid w:val="00F817DC"/>
    <w:rsid w:val="00F8637E"/>
    <w:rsid w:val="00F92ADC"/>
    <w:rsid w:val="00F96556"/>
    <w:rsid w:val="00FA770D"/>
    <w:rsid w:val="00FB1E52"/>
    <w:rsid w:val="00FC6B8F"/>
    <w:rsid w:val="00FC75F1"/>
    <w:rsid w:val="00FD01D0"/>
    <w:rsid w:val="00FD2F14"/>
    <w:rsid w:val="00FD53DB"/>
    <w:rsid w:val="00FD7EF4"/>
    <w:rsid w:val="00FE0B85"/>
    <w:rsid w:val="00FE25BC"/>
    <w:rsid w:val="00FE3EEB"/>
    <w:rsid w:val="00FE6AD8"/>
    <w:rsid w:val="00FF05B4"/>
    <w:rsid w:val="00FF7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5D"/>
    <w:rPr>
      <w:rFonts w:ascii="Times New Roman" w:eastAsia="Times New Roman" w:hAnsi="Times New Roman"/>
      <w:sz w:val="20"/>
      <w:szCs w:val="20"/>
    </w:rPr>
  </w:style>
  <w:style w:type="paragraph" w:styleId="Heading1">
    <w:name w:val="heading 1"/>
    <w:basedOn w:val="Normal"/>
    <w:next w:val="Normal"/>
    <w:link w:val="Heading1Char"/>
    <w:uiPriority w:val="99"/>
    <w:qFormat/>
    <w:rsid w:val="00900E5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E5D"/>
    <w:rPr>
      <w:rFonts w:ascii="Times New Roman" w:hAnsi="Times New Roman" w:cs="Times New Roman"/>
      <w:sz w:val="20"/>
      <w:szCs w:val="20"/>
    </w:rPr>
  </w:style>
  <w:style w:type="paragraph" w:styleId="Title">
    <w:name w:val="Title"/>
    <w:basedOn w:val="Normal"/>
    <w:link w:val="TitleChar"/>
    <w:uiPriority w:val="99"/>
    <w:qFormat/>
    <w:rsid w:val="00900E5D"/>
    <w:pPr>
      <w:jc w:val="center"/>
    </w:pPr>
    <w:rPr>
      <w:b/>
      <w:sz w:val="24"/>
    </w:rPr>
  </w:style>
  <w:style w:type="character" w:customStyle="1" w:styleId="TitleChar">
    <w:name w:val="Title Char"/>
    <w:basedOn w:val="DefaultParagraphFont"/>
    <w:link w:val="Title"/>
    <w:uiPriority w:val="99"/>
    <w:locked/>
    <w:rsid w:val="00900E5D"/>
    <w:rPr>
      <w:rFonts w:ascii="Times New Roman" w:hAnsi="Times New Roman" w:cs="Times New Roman"/>
      <w:b/>
      <w:sz w:val="20"/>
      <w:szCs w:val="20"/>
    </w:rPr>
  </w:style>
  <w:style w:type="paragraph" w:styleId="Footer">
    <w:name w:val="footer"/>
    <w:basedOn w:val="Normal"/>
    <w:link w:val="FooterChar"/>
    <w:uiPriority w:val="99"/>
    <w:rsid w:val="00900E5D"/>
    <w:pPr>
      <w:tabs>
        <w:tab w:val="center" w:pos="4320"/>
        <w:tab w:val="right" w:pos="8640"/>
      </w:tabs>
    </w:pPr>
  </w:style>
  <w:style w:type="character" w:customStyle="1" w:styleId="FooterChar">
    <w:name w:val="Footer Char"/>
    <w:basedOn w:val="DefaultParagraphFont"/>
    <w:link w:val="Footer"/>
    <w:uiPriority w:val="99"/>
    <w:locked/>
    <w:rsid w:val="00900E5D"/>
    <w:rPr>
      <w:rFonts w:ascii="Times New Roman" w:hAnsi="Times New Roman" w:cs="Times New Roman"/>
      <w:sz w:val="20"/>
      <w:szCs w:val="20"/>
    </w:rPr>
  </w:style>
  <w:style w:type="character" w:styleId="PageNumber">
    <w:name w:val="page number"/>
    <w:basedOn w:val="DefaultParagraphFont"/>
    <w:uiPriority w:val="99"/>
    <w:rsid w:val="00900E5D"/>
    <w:rPr>
      <w:rFonts w:cs="Times New Roman"/>
    </w:rPr>
  </w:style>
  <w:style w:type="paragraph" w:styleId="Index1">
    <w:name w:val="index 1"/>
    <w:basedOn w:val="Normal"/>
    <w:next w:val="Normal"/>
    <w:autoRedefine/>
    <w:uiPriority w:val="99"/>
    <w:rsid w:val="00900E5D"/>
    <w:pPr>
      <w:spacing w:line="240" w:lineRule="exact"/>
    </w:pPr>
    <w:rPr>
      <w:b/>
      <w:sz w:val="24"/>
    </w:rPr>
  </w:style>
  <w:style w:type="paragraph" w:styleId="Header">
    <w:name w:val="header"/>
    <w:basedOn w:val="Normal"/>
    <w:link w:val="HeaderChar"/>
    <w:uiPriority w:val="99"/>
    <w:rsid w:val="00900E5D"/>
    <w:pPr>
      <w:tabs>
        <w:tab w:val="center" w:pos="4320"/>
        <w:tab w:val="right" w:pos="8640"/>
      </w:tabs>
    </w:pPr>
    <w:rPr>
      <w:rFonts w:ascii="Courier" w:hAnsi="Courier"/>
      <w:sz w:val="24"/>
    </w:rPr>
  </w:style>
  <w:style w:type="character" w:customStyle="1" w:styleId="HeaderChar">
    <w:name w:val="Header Char"/>
    <w:basedOn w:val="DefaultParagraphFont"/>
    <w:link w:val="Header"/>
    <w:uiPriority w:val="99"/>
    <w:locked/>
    <w:rsid w:val="00900E5D"/>
    <w:rPr>
      <w:rFonts w:ascii="Courier" w:hAnsi="Courier" w:cs="Times New Roman"/>
      <w:sz w:val="20"/>
      <w:szCs w:val="20"/>
    </w:rPr>
  </w:style>
  <w:style w:type="paragraph" w:styleId="BodyText">
    <w:name w:val="Body Text"/>
    <w:basedOn w:val="Normal"/>
    <w:link w:val="BodyTextChar"/>
    <w:uiPriority w:val="99"/>
    <w:rsid w:val="00900E5D"/>
    <w:pPr>
      <w:spacing w:line="240" w:lineRule="exact"/>
    </w:pPr>
    <w:rPr>
      <w:sz w:val="24"/>
    </w:rPr>
  </w:style>
  <w:style w:type="character" w:customStyle="1" w:styleId="BodyTextChar">
    <w:name w:val="Body Text Char"/>
    <w:basedOn w:val="DefaultParagraphFont"/>
    <w:link w:val="BodyText"/>
    <w:uiPriority w:val="99"/>
    <w:locked/>
    <w:rsid w:val="00900E5D"/>
    <w:rPr>
      <w:rFonts w:ascii="Times New Roman" w:hAnsi="Times New Roman" w:cs="Times New Roman"/>
      <w:sz w:val="20"/>
      <w:szCs w:val="20"/>
    </w:rPr>
  </w:style>
  <w:style w:type="paragraph" w:styleId="BalloonText">
    <w:name w:val="Balloon Text"/>
    <w:basedOn w:val="Normal"/>
    <w:link w:val="BalloonTextChar"/>
    <w:uiPriority w:val="99"/>
    <w:semiHidden/>
    <w:rsid w:val="006251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24D"/>
    <w:rPr>
      <w:rFonts w:ascii="Times New Roman" w:hAnsi="Times New Roman" w:cs="Times New Roman"/>
      <w:sz w:val="2"/>
    </w:rPr>
  </w:style>
  <w:style w:type="character" w:styleId="CommentReference">
    <w:name w:val="annotation reference"/>
    <w:basedOn w:val="DefaultParagraphFont"/>
    <w:uiPriority w:val="99"/>
    <w:semiHidden/>
    <w:rsid w:val="0062519D"/>
    <w:rPr>
      <w:rFonts w:cs="Times New Roman"/>
      <w:sz w:val="16"/>
      <w:szCs w:val="16"/>
    </w:rPr>
  </w:style>
  <w:style w:type="paragraph" w:styleId="CommentText">
    <w:name w:val="annotation text"/>
    <w:basedOn w:val="Normal"/>
    <w:link w:val="CommentTextChar"/>
    <w:uiPriority w:val="99"/>
    <w:semiHidden/>
    <w:rsid w:val="0062519D"/>
  </w:style>
  <w:style w:type="character" w:customStyle="1" w:styleId="CommentTextChar">
    <w:name w:val="Comment Text Char"/>
    <w:basedOn w:val="DefaultParagraphFont"/>
    <w:link w:val="CommentText"/>
    <w:uiPriority w:val="99"/>
    <w:semiHidden/>
    <w:locked/>
    <w:rsid w:val="00B5715A"/>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62519D"/>
    <w:rPr>
      <w:b/>
      <w:bCs/>
    </w:rPr>
  </w:style>
  <w:style w:type="character" w:customStyle="1" w:styleId="CommentSubjectChar">
    <w:name w:val="Comment Subject Char"/>
    <w:basedOn w:val="CommentTextChar"/>
    <w:link w:val="CommentSubject"/>
    <w:uiPriority w:val="99"/>
    <w:semiHidden/>
    <w:locked/>
    <w:rsid w:val="0009024D"/>
    <w:rPr>
      <w:b/>
      <w:bCs/>
      <w:sz w:val="20"/>
      <w:szCs w:val="20"/>
    </w:rPr>
  </w:style>
  <w:style w:type="paragraph" w:styleId="ListParagraph">
    <w:name w:val="List Paragraph"/>
    <w:basedOn w:val="Normal"/>
    <w:uiPriority w:val="99"/>
    <w:qFormat/>
    <w:rsid w:val="00B41237"/>
    <w:pPr>
      <w:ind w:left="720"/>
    </w:pPr>
  </w:style>
  <w:style w:type="paragraph" w:styleId="FootnoteText">
    <w:name w:val="footnote text"/>
    <w:basedOn w:val="Normal"/>
    <w:link w:val="FootnoteTextChar"/>
    <w:uiPriority w:val="99"/>
    <w:semiHidden/>
    <w:rsid w:val="00C524B8"/>
  </w:style>
  <w:style w:type="character" w:customStyle="1" w:styleId="FootnoteTextChar">
    <w:name w:val="Footnote Text Char"/>
    <w:basedOn w:val="DefaultParagraphFont"/>
    <w:link w:val="FootnoteText"/>
    <w:uiPriority w:val="99"/>
    <w:semiHidden/>
    <w:locked/>
    <w:rsid w:val="00C524B8"/>
    <w:rPr>
      <w:rFonts w:ascii="Times New Roman" w:hAnsi="Times New Roman" w:cs="Times New Roman"/>
    </w:rPr>
  </w:style>
  <w:style w:type="character" w:styleId="FootnoteReference">
    <w:name w:val="footnote reference"/>
    <w:basedOn w:val="DefaultParagraphFont"/>
    <w:uiPriority w:val="99"/>
    <w:semiHidden/>
    <w:rsid w:val="00C524B8"/>
    <w:rPr>
      <w:rFonts w:cs="Times New Roman"/>
      <w:vertAlign w:val="superscript"/>
    </w:rPr>
  </w:style>
  <w:style w:type="character" w:styleId="Hyperlink">
    <w:name w:val="Hyperlink"/>
    <w:basedOn w:val="DefaultParagraphFont"/>
    <w:uiPriority w:val="99"/>
    <w:rsid w:val="00C524B8"/>
    <w:rPr>
      <w:rFonts w:cs="Times New Roman"/>
      <w:color w:val="0000FF"/>
      <w:u w:val="single"/>
    </w:rPr>
  </w:style>
  <w:style w:type="paragraph" w:styleId="Revision">
    <w:name w:val="Revision"/>
    <w:hidden/>
    <w:uiPriority w:val="99"/>
    <w:semiHidden/>
    <w:rsid w:val="00E51674"/>
    <w:rPr>
      <w:rFonts w:ascii="Times New Roman" w:eastAsia="Times New Roman" w:hAnsi="Times New Roman"/>
      <w:sz w:val="20"/>
      <w:szCs w:val="20"/>
    </w:rPr>
  </w:style>
  <w:style w:type="paragraph" w:styleId="BodyText3">
    <w:name w:val="Body Text 3"/>
    <w:basedOn w:val="Normal"/>
    <w:link w:val="BodyText3Char"/>
    <w:uiPriority w:val="99"/>
    <w:semiHidden/>
    <w:rsid w:val="00A66196"/>
    <w:pPr>
      <w:spacing w:after="120"/>
    </w:pPr>
    <w:rPr>
      <w:sz w:val="16"/>
      <w:szCs w:val="16"/>
    </w:rPr>
  </w:style>
  <w:style w:type="character" w:customStyle="1" w:styleId="BodyText3Char">
    <w:name w:val="Body Text 3 Char"/>
    <w:basedOn w:val="DefaultParagraphFont"/>
    <w:link w:val="BodyText3"/>
    <w:uiPriority w:val="99"/>
    <w:semiHidden/>
    <w:locked/>
    <w:rsid w:val="00A66196"/>
    <w:rPr>
      <w:rFonts w:ascii="Times New Roman" w:hAnsi="Times New Roman" w:cs="Times New Roman"/>
      <w:sz w:val="16"/>
      <w:szCs w:val="16"/>
    </w:rPr>
  </w:style>
  <w:style w:type="character" w:styleId="FollowedHyperlink">
    <w:name w:val="FollowedHyperlink"/>
    <w:basedOn w:val="DefaultParagraphFont"/>
    <w:uiPriority w:val="99"/>
    <w:semiHidden/>
    <w:unhideWhenUsed/>
    <w:rsid w:val="00DF47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571191">
      <w:bodyDiv w:val="1"/>
      <w:marLeft w:val="0"/>
      <w:marRight w:val="0"/>
      <w:marTop w:val="0"/>
      <w:marBottom w:val="0"/>
      <w:divBdr>
        <w:top w:val="none" w:sz="0" w:space="0" w:color="auto"/>
        <w:left w:val="none" w:sz="0" w:space="0" w:color="auto"/>
        <w:bottom w:val="none" w:sz="0" w:space="0" w:color="auto"/>
        <w:right w:val="none" w:sz="0" w:space="0" w:color="auto"/>
      </w:divBdr>
    </w:div>
    <w:div w:id="539171750">
      <w:marLeft w:val="0"/>
      <w:marRight w:val="0"/>
      <w:marTop w:val="0"/>
      <w:marBottom w:val="0"/>
      <w:divBdr>
        <w:top w:val="none" w:sz="0" w:space="0" w:color="auto"/>
        <w:left w:val="none" w:sz="0" w:space="0" w:color="auto"/>
        <w:bottom w:val="none" w:sz="0" w:space="0" w:color="auto"/>
        <w:right w:val="none" w:sz="0" w:space="0" w:color="auto"/>
      </w:divBdr>
    </w:div>
    <w:div w:id="539171751">
      <w:marLeft w:val="0"/>
      <w:marRight w:val="0"/>
      <w:marTop w:val="0"/>
      <w:marBottom w:val="0"/>
      <w:divBdr>
        <w:top w:val="none" w:sz="0" w:space="0" w:color="auto"/>
        <w:left w:val="none" w:sz="0" w:space="0" w:color="auto"/>
        <w:bottom w:val="none" w:sz="0" w:space="0" w:color="auto"/>
        <w:right w:val="none" w:sz="0" w:space="0" w:color="auto"/>
      </w:divBdr>
    </w:div>
    <w:div w:id="539171752">
      <w:marLeft w:val="0"/>
      <w:marRight w:val="0"/>
      <w:marTop w:val="0"/>
      <w:marBottom w:val="0"/>
      <w:divBdr>
        <w:top w:val="none" w:sz="0" w:space="0" w:color="auto"/>
        <w:left w:val="none" w:sz="0" w:space="0" w:color="auto"/>
        <w:bottom w:val="none" w:sz="0" w:space="0" w:color="auto"/>
        <w:right w:val="none" w:sz="0" w:space="0" w:color="auto"/>
      </w:divBdr>
    </w:div>
    <w:div w:id="9806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pub/hom/homch2_i.htm" TargetMode="External"/><Relationship Id="rId13" Type="http://schemas.openxmlformats.org/officeDocument/2006/relationships/hyperlink" Target="http://www.bls.gov/oes/current/oes_te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pub/hom/homch2_i.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pub/hom/homch3_a.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D6F0-F614-4683-BC17-C84C4328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3079</Words>
  <Characters>18398</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Supporting Statement for Request for OMB Approval</vt:lpstr>
    </vt:vector>
  </TitlesOfParts>
  <Company>Bureau of Labor Statistics</Company>
  <LinksUpToDate>false</LinksUpToDate>
  <CharactersWithSpaces>21435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OMB Approval</dc:title>
  <dc:subject/>
  <dc:creator>fairman_k</dc:creator>
  <cp:keywords/>
  <dc:description/>
  <cp:lastModifiedBy>rowan_c</cp:lastModifiedBy>
  <cp:revision>14</cp:revision>
  <cp:lastPrinted>2011-04-19T13:18:00Z</cp:lastPrinted>
  <dcterms:created xsi:type="dcterms:W3CDTF">2011-06-23T16:05:00Z</dcterms:created>
  <dcterms:modified xsi:type="dcterms:W3CDTF">2011-06-24T16:25:00Z</dcterms:modified>
</cp:coreProperties>
</file>