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D1" w:rsidRPr="00136741" w:rsidRDefault="00D830D1" w:rsidP="00A00C72">
      <w:pPr>
        <w:pStyle w:val="Title"/>
        <w:rPr>
          <w:szCs w:val="24"/>
        </w:rPr>
      </w:pPr>
      <w:r w:rsidRPr="00136741">
        <w:rPr>
          <w:szCs w:val="24"/>
        </w:rPr>
        <w:t>Supporting Statement for Request for OMB Approval</w:t>
      </w:r>
    </w:p>
    <w:p w:rsidR="00D830D1" w:rsidRDefault="00D830D1" w:rsidP="00A00C72">
      <w:pPr>
        <w:jc w:val="center"/>
        <w:rPr>
          <w:b/>
          <w:sz w:val="24"/>
          <w:szCs w:val="24"/>
        </w:rPr>
      </w:pPr>
      <w:r>
        <w:rPr>
          <w:b/>
          <w:sz w:val="24"/>
          <w:szCs w:val="24"/>
        </w:rPr>
        <w:t>Occupational</w:t>
      </w:r>
      <w:r w:rsidRPr="00136741">
        <w:rPr>
          <w:b/>
          <w:sz w:val="24"/>
          <w:szCs w:val="24"/>
        </w:rPr>
        <w:t xml:space="preserve"> Employment </w:t>
      </w:r>
      <w:r>
        <w:rPr>
          <w:b/>
          <w:sz w:val="24"/>
          <w:szCs w:val="24"/>
        </w:rPr>
        <w:t xml:space="preserve">Statistics </w:t>
      </w:r>
      <w:r w:rsidRPr="00136741">
        <w:rPr>
          <w:b/>
          <w:sz w:val="24"/>
          <w:szCs w:val="24"/>
        </w:rPr>
        <w:t xml:space="preserve">Green </w:t>
      </w:r>
      <w:r>
        <w:rPr>
          <w:b/>
          <w:sz w:val="24"/>
          <w:szCs w:val="24"/>
        </w:rPr>
        <w:t>Technologies and Practices</w:t>
      </w:r>
      <w:r w:rsidRPr="00136741">
        <w:rPr>
          <w:b/>
          <w:sz w:val="24"/>
          <w:szCs w:val="24"/>
        </w:rPr>
        <w:t xml:space="preserve"> </w:t>
      </w:r>
    </w:p>
    <w:p w:rsidR="00D830D1" w:rsidRDefault="00D830D1" w:rsidP="00A00C72">
      <w:pPr>
        <w:jc w:val="center"/>
        <w:rPr>
          <w:b/>
          <w:sz w:val="24"/>
          <w:szCs w:val="24"/>
        </w:rPr>
      </w:pPr>
      <w:r>
        <w:rPr>
          <w:b/>
          <w:sz w:val="24"/>
          <w:szCs w:val="24"/>
        </w:rPr>
        <w:t xml:space="preserve">Data Collection </w:t>
      </w:r>
      <w:r w:rsidRPr="00136741">
        <w:rPr>
          <w:b/>
          <w:sz w:val="24"/>
          <w:szCs w:val="24"/>
        </w:rPr>
        <w:t>Clearance</w:t>
      </w:r>
      <w:r>
        <w:rPr>
          <w:b/>
          <w:sz w:val="24"/>
          <w:szCs w:val="24"/>
        </w:rPr>
        <w:t xml:space="preserve"> </w:t>
      </w:r>
    </w:p>
    <w:p w:rsidR="00D830D1" w:rsidRDefault="00D830D1" w:rsidP="00A55E56">
      <w:pPr>
        <w:jc w:val="both"/>
        <w:rPr>
          <w:sz w:val="24"/>
          <w:szCs w:val="24"/>
        </w:rPr>
      </w:pPr>
    </w:p>
    <w:p w:rsidR="00D830D1" w:rsidRPr="00136741" w:rsidRDefault="00D830D1" w:rsidP="00A55E56">
      <w:pPr>
        <w:pStyle w:val="Heading1"/>
        <w:jc w:val="both"/>
        <w:rPr>
          <w:b/>
          <w:szCs w:val="24"/>
        </w:rPr>
      </w:pPr>
      <w:r w:rsidRPr="00136741">
        <w:rPr>
          <w:b/>
          <w:szCs w:val="24"/>
        </w:rPr>
        <w:t>A. JUSTIFICATION</w:t>
      </w:r>
    </w:p>
    <w:p w:rsidR="00D830D1" w:rsidRPr="0013674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1. Necessity of Collection</w:t>
      </w:r>
    </w:p>
    <w:p w:rsidR="00D830D1" w:rsidRDefault="00D830D1" w:rsidP="00A55E56">
      <w:pPr>
        <w:jc w:val="both"/>
        <w:rPr>
          <w:sz w:val="24"/>
          <w:szCs w:val="24"/>
        </w:rPr>
      </w:pPr>
      <w:r w:rsidRPr="00136741">
        <w:rPr>
          <w:sz w:val="24"/>
          <w:szCs w:val="24"/>
        </w:rPr>
        <w:t xml:space="preserve">The Bureau of Labor Statistics (BLS) </w:t>
      </w:r>
      <w:r>
        <w:rPr>
          <w:sz w:val="24"/>
          <w:szCs w:val="24"/>
        </w:rPr>
        <w:t xml:space="preserve">is seeking clearance for the collection of data on occupational employment and wages related to green technologies and practices used by </w:t>
      </w:r>
      <w:smartTag w:uri="urn:schemas-microsoft-com:office:smarttags" w:element="place">
        <w:smartTag w:uri="urn:schemas-microsoft-com:office:smarttags" w:element="country-region">
          <w:r>
            <w:rPr>
              <w:sz w:val="24"/>
              <w:szCs w:val="24"/>
            </w:rPr>
            <w:t>U.S.</w:t>
          </w:r>
        </w:smartTag>
      </w:smartTag>
      <w:r>
        <w:rPr>
          <w:sz w:val="24"/>
          <w:szCs w:val="24"/>
        </w:rPr>
        <w:t xml:space="preserve"> businesses.  The new </w:t>
      </w:r>
      <w:r w:rsidRPr="00136741">
        <w:rPr>
          <w:sz w:val="24"/>
          <w:szCs w:val="24"/>
        </w:rPr>
        <w:t xml:space="preserve">Green </w:t>
      </w:r>
      <w:r>
        <w:rPr>
          <w:sz w:val="24"/>
          <w:szCs w:val="24"/>
        </w:rPr>
        <w:t>Technologies and Practices</w:t>
      </w:r>
      <w:r w:rsidRPr="00136741">
        <w:rPr>
          <w:sz w:val="24"/>
          <w:szCs w:val="24"/>
        </w:rPr>
        <w:t xml:space="preserve"> (G</w:t>
      </w:r>
      <w:r>
        <w:rPr>
          <w:sz w:val="24"/>
          <w:szCs w:val="24"/>
        </w:rPr>
        <w:t>TP</w:t>
      </w:r>
      <w:r w:rsidRPr="00136741">
        <w:rPr>
          <w:sz w:val="24"/>
          <w:szCs w:val="24"/>
        </w:rPr>
        <w:t xml:space="preserve">) </w:t>
      </w:r>
      <w:r>
        <w:rPr>
          <w:sz w:val="24"/>
          <w:szCs w:val="24"/>
        </w:rPr>
        <w:t xml:space="preserve">survey will </w:t>
      </w:r>
      <w:r w:rsidRPr="00136741">
        <w:rPr>
          <w:sz w:val="24"/>
          <w:szCs w:val="24"/>
        </w:rPr>
        <w:t>collect data on</w:t>
      </w:r>
      <w:r>
        <w:rPr>
          <w:sz w:val="24"/>
          <w:szCs w:val="24"/>
        </w:rPr>
        <w:t xml:space="preserve"> the use of green technologies and </w:t>
      </w:r>
      <w:r w:rsidR="00513305">
        <w:rPr>
          <w:sz w:val="24"/>
          <w:szCs w:val="24"/>
        </w:rPr>
        <w:t>practices</w:t>
      </w:r>
      <w:r>
        <w:rPr>
          <w:sz w:val="24"/>
          <w:szCs w:val="24"/>
        </w:rPr>
        <w:t xml:space="preserve"> at establishments, and occupational </w:t>
      </w:r>
      <w:r w:rsidRPr="00136741">
        <w:rPr>
          <w:sz w:val="24"/>
          <w:szCs w:val="24"/>
        </w:rPr>
        <w:t>employment</w:t>
      </w:r>
      <w:r>
        <w:rPr>
          <w:sz w:val="24"/>
          <w:szCs w:val="24"/>
        </w:rPr>
        <w:t xml:space="preserve"> and wages for employees who spend more than 50 percent of their time engaged in green practices. </w:t>
      </w:r>
    </w:p>
    <w:p w:rsidR="00D830D1" w:rsidRDefault="00D830D1" w:rsidP="00A55E56">
      <w:pPr>
        <w:jc w:val="both"/>
        <w:rPr>
          <w:sz w:val="24"/>
          <w:szCs w:val="24"/>
        </w:rPr>
      </w:pPr>
    </w:p>
    <w:p w:rsidR="00D830D1" w:rsidRDefault="00D830D1" w:rsidP="00A55E56">
      <w:pPr>
        <w:jc w:val="both"/>
        <w:rPr>
          <w:sz w:val="24"/>
          <w:szCs w:val="24"/>
        </w:rPr>
      </w:pPr>
      <w:r w:rsidRPr="00136741">
        <w:rPr>
          <w:sz w:val="24"/>
          <w:szCs w:val="24"/>
        </w:rPr>
        <w:t xml:space="preserve">As the chief source of government data on employment, BLS </w:t>
      </w:r>
      <w:r>
        <w:rPr>
          <w:sz w:val="24"/>
          <w:szCs w:val="24"/>
        </w:rPr>
        <w:t>will produce</w:t>
      </w:r>
      <w:r w:rsidRPr="00136741">
        <w:rPr>
          <w:sz w:val="24"/>
          <w:szCs w:val="24"/>
        </w:rPr>
        <w:t xml:space="preserve"> data on </w:t>
      </w:r>
      <w:r>
        <w:rPr>
          <w:sz w:val="24"/>
          <w:szCs w:val="24"/>
        </w:rPr>
        <w:t xml:space="preserve">employment related to </w:t>
      </w:r>
      <w:r w:rsidRPr="00136741">
        <w:rPr>
          <w:sz w:val="24"/>
          <w:szCs w:val="24"/>
        </w:rPr>
        <w:t xml:space="preserve">green </w:t>
      </w:r>
      <w:r>
        <w:rPr>
          <w:sz w:val="24"/>
          <w:szCs w:val="24"/>
        </w:rPr>
        <w:t>technologies and practices at establishments as tasked by the</w:t>
      </w:r>
      <w:r w:rsidRPr="00136741">
        <w:rPr>
          <w:sz w:val="24"/>
          <w:szCs w:val="24"/>
        </w:rPr>
        <w:t xml:space="preserve"> 2010 Congressional Appropriation. </w:t>
      </w:r>
      <w:r w:rsidR="00035491">
        <w:rPr>
          <w:sz w:val="24"/>
          <w:szCs w:val="24"/>
        </w:rPr>
        <w:t xml:space="preserve"> </w:t>
      </w:r>
      <w:r w:rsidRPr="00136741">
        <w:rPr>
          <w:sz w:val="24"/>
          <w:szCs w:val="24"/>
        </w:rPr>
        <w:t xml:space="preserve">This </w:t>
      </w:r>
      <w:r>
        <w:rPr>
          <w:sz w:val="24"/>
          <w:szCs w:val="24"/>
        </w:rPr>
        <w:t xml:space="preserve">new survey will be conducted as a special topic survey to assess the practicality and usability of this type of data collection.  </w:t>
      </w:r>
    </w:p>
    <w:p w:rsidR="00D830D1" w:rsidRPr="00136741" w:rsidRDefault="00D830D1" w:rsidP="00A55E56">
      <w:pPr>
        <w:jc w:val="both"/>
        <w:rPr>
          <w:sz w:val="24"/>
          <w:szCs w:val="24"/>
        </w:rPr>
      </w:pPr>
    </w:p>
    <w:p w:rsidR="00D830D1" w:rsidRDefault="00D830D1" w:rsidP="00A55E56">
      <w:pPr>
        <w:jc w:val="both"/>
        <w:rPr>
          <w:sz w:val="24"/>
          <w:szCs w:val="24"/>
        </w:rPr>
      </w:pPr>
      <w:r>
        <w:rPr>
          <w:sz w:val="24"/>
          <w:szCs w:val="24"/>
        </w:rPr>
        <w:t>From t</w:t>
      </w:r>
      <w:r w:rsidRPr="00136741">
        <w:rPr>
          <w:sz w:val="24"/>
          <w:szCs w:val="24"/>
        </w:rPr>
        <w:t>he G</w:t>
      </w:r>
      <w:r>
        <w:rPr>
          <w:sz w:val="24"/>
          <w:szCs w:val="24"/>
        </w:rPr>
        <w:t>TP</w:t>
      </w:r>
      <w:r w:rsidRPr="00136741">
        <w:rPr>
          <w:sz w:val="24"/>
          <w:szCs w:val="24"/>
        </w:rPr>
        <w:t xml:space="preserve"> </w:t>
      </w:r>
      <w:r>
        <w:rPr>
          <w:sz w:val="24"/>
          <w:szCs w:val="24"/>
        </w:rPr>
        <w:t xml:space="preserve">survey, BLS </w:t>
      </w:r>
      <w:r w:rsidRPr="00136741">
        <w:rPr>
          <w:sz w:val="24"/>
          <w:szCs w:val="24"/>
        </w:rPr>
        <w:t xml:space="preserve">intends to publish </w:t>
      </w:r>
      <w:r>
        <w:rPr>
          <w:sz w:val="24"/>
          <w:szCs w:val="24"/>
        </w:rPr>
        <w:t>occupational</w:t>
      </w:r>
      <w:r w:rsidRPr="00136741">
        <w:rPr>
          <w:sz w:val="24"/>
          <w:szCs w:val="24"/>
        </w:rPr>
        <w:t xml:space="preserve"> employment</w:t>
      </w:r>
      <w:r>
        <w:rPr>
          <w:sz w:val="24"/>
          <w:szCs w:val="24"/>
        </w:rPr>
        <w:t xml:space="preserve"> and wages</w:t>
      </w:r>
      <w:r w:rsidRPr="00136741">
        <w:rPr>
          <w:sz w:val="24"/>
          <w:szCs w:val="24"/>
        </w:rPr>
        <w:t xml:space="preserve"> associated </w:t>
      </w:r>
      <w:proofErr w:type="gramStart"/>
      <w:r w:rsidRPr="00136741">
        <w:rPr>
          <w:sz w:val="24"/>
          <w:szCs w:val="24"/>
        </w:rPr>
        <w:t>with</w:t>
      </w:r>
      <w:proofErr w:type="gramEnd"/>
      <w:r w:rsidRPr="00136741">
        <w:rPr>
          <w:sz w:val="24"/>
          <w:szCs w:val="24"/>
        </w:rPr>
        <w:t xml:space="preserve"> the </w:t>
      </w:r>
      <w:r>
        <w:rPr>
          <w:sz w:val="24"/>
          <w:szCs w:val="24"/>
        </w:rPr>
        <w:t xml:space="preserve">use of green technologies and practices </w:t>
      </w:r>
      <w:r w:rsidRPr="00136741">
        <w:rPr>
          <w:sz w:val="24"/>
          <w:szCs w:val="24"/>
        </w:rPr>
        <w:t xml:space="preserve">at </w:t>
      </w:r>
      <w:smartTag w:uri="urn:schemas-microsoft-com:office:smarttags" w:element="place">
        <w:smartTag w:uri="urn:schemas-microsoft-com:office:smarttags" w:element="country-region">
          <w:r w:rsidRPr="00136741">
            <w:rPr>
              <w:sz w:val="24"/>
              <w:szCs w:val="24"/>
            </w:rPr>
            <w:t>U.S.</w:t>
          </w:r>
        </w:smartTag>
      </w:smartTag>
      <w:r w:rsidRPr="00136741">
        <w:rPr>
          <w:sz w:val="24"/>
          <w:szCs w:val="24"/>
        </w:rPr>
        <w:t xml:space="preserve"> business establishments to meet the requirement outlined in the 2010 Congressional Appropriation. </w:t>
      </w:r>
      <w:r>
        <w:rPr>
          <w:sz w:val="24"/>
          <w:szCs w:val="24"/>
        </w:rPr>
        <w:t xml:space="preserve"> BLS plans to publish occupational data by industry sector for the </w:t>
      </w:r>
      <w:smartTag w:uri="urn:schemas-microsoft-com:office:smarttags" w:element="country-region">
        <w:smartTag w:uri="urn:schemas-microsoft-com:office:smarttags" w:element="place">
          <w:r>
            <w:rPr>
              <w:sz w:val="24"/>
              <w:szCs w:val="24"/>
            </w:rPr>
            <w:t>U.S.</w:t>
          </w:r>
        </w:smartTag>
      </w:smartTag>
      <w:r>
        <w:rPr>
          <w:sz w:val="24"/>
          <w:szCs w:val="24"/>
        </w:rPr>
        <w:t xml:space="preserve"> and geographic data at the Census region level.</w:t>
      </w:r>
    </w:p>
    <w:p w:rsidR="00D830D1" w:rsidRDefault="00D830D1" w:rsidP="00A55E56">
      <w:pPr>
        <w:jc w:val="both"/>
        <w:rPr>
          <w:sz w:val="24"/>
          <w:szCs w:val="24"/>
        </w:rPr>
      </w:pPr>
    </w:p>
    <w:p w:rsidR="00D830D1" w:rsidRPr="00136741" w:rsidRDefault="00D830D1" w:rsidP="00A55E56">
      <w:pPr>
        <w:jc w:val="both"/>
        <w:rPr>
          <w:sz w:val="24"/>
          <w:szCs w:val="24"/>
        </w:rPr>
      </w:pPr>
      <w:r w:rsidRPr="00136741">
        <w:rPr>
          <w:sz w:val="24"/>
          <w:szCs w:val="24"/>
        </w:rPr>
        <w:t xml:space="preserve">This </w:t>
      </w:r>
      <w:r>
        <w:rPr>
          <w:sz w:val="24"/>
          <w:szCs w:val="24"/>
        </w:rPr>
        <w:t xml:space="preserve">survey </w:t>
      </w:r>
      <w:r w:rsidRPr="00136741">
        <w:rPr>
          <w:sz w:val="24"/>
          <w:szCs w:val="24"/>
        </w:rPr>
        <w:t>will use the business register</w:t>
      </w:r>
      <w:r>
        <w:rPr>
          <w:sz w:val="24"/>
          <w:szCs w:val="24"/>
        </w:rPr>
        <w:t>, Quarterly Census of Employment and Wages</w:t>
      </w:r>
      <w:r w:rsidRPr="00136741">
        <w:rPr>
          <w:sz w:val="24"/>
          <w:szCs w:val="24"/>
        </w:rPr>
        <w:t xml:space="preserve"> </w:t>
      </w:r>
      <w:r>
        <w:rPr>
          <w:sz w:val="24"/>
          <w:szCs w:val="24"/>
        </w:rPr>
        <w:t>(QCEW)</w:t>
      </w:r>
      <w:r w:rsidR="00035491">
        <w:rPr>
          <w:sz w:val="24"/>
          <w:szCs w:val="24"/>
        </w:rPr>
        <w:t>,</w:t>
      </w:r>
      <w:r>
        <w:rPr>
          <w:sz w:val="24"/>
          <w:szCs w:val="24"/>
        </w:rPr>
        <w:t xml:space="preserve"> </w:t>
      </w:r>
      <w:r w:rsidRPr="00136741">
        <w:rPr>
          <w:sz w:val="24"/>
          <w:szCs w:val="24"/>
        </w:rPr>
        <w:t>maintained by BLS as its sampling frame. The register contains employment information on establishments in the U.S. subject to unemployment insurance taxes.</w:t>
      </w:r>
      <w:r w:rsidR="00035491">
        <w:rPr>
          <w:sz w:val="24"/>
          <w:szCs w:val="24"/>
        </w:rPr>
        <w:t xml:space="preserve"> </w:t>
      </w:r>
      <w:r w:rsidRPr="00136741">
        <w:rPr>
          <w:sz w:val="24"/>
          <w:szCs w:val="24"/>
        </w:rPr>
        <w:t xml:space="preserve"> This register covers 98 percent of </w:t>
      </w:r>
      <w:smartTag w:uri="urn:schemas-microsoft-com:office:smarttags" w:element="country-region">
        <w:smartTag w:uri="urn:schemas-microsoft-com:office:smarttags" w:element="place">
          <w:r w:rsidRPr="00136741">
            <w:rPr>
              <w:sz w:val="24"/>
              <w:szCs w:val="24"/>
            </w:rPr>
            <w:t>U.S.</w:t>
          </w:r>
        </w:smartTag>
      </w:smartTag>
      <w:r w:rsidRPr="00136741">
        <w:rPr>
          <w:sz w:val="24"/>
          <w:szCs w:val="24"/>
        </w:rPr>
        <w:t xml:space="preserve"> jobs, available at the county, Metropolitan Statistical Area (MSA), State, and national levels by industry. </w:t>
      </w:r>
    </w:p>
    <w:p w:rsidR="00D830D1" w:rsidRPr="00136741" w:rsidRDefault="00D830D1" w:rsidP="00A55E56">
      <w:pPr>
        <w:jc w:val="both"/>
        <w:rPr>
          <w:sz w:val="24"/>
          <w:szCs w:val="24"/>
        </w:rPr>
      </w:pPr>
    </w:p>
    <w:p w:rsidR="00D830D1" w:rsidRDefault="00D830D1" w:rsidP="00A55E56">
      <w:pPr>
        <w:jc w:val="both"/>
        <w:rPr>
          <w:sz w:val="24"/>
          <w:szCs w:val="24"/>
        </w:rPr>
      </w:pPr>
      <w:r w:rsidRPr="00136741">
        <w:rPr>
          <w:sz w:val="24"/>
          <w:szCs w:val="24"/>
        </w:rPr>
        <w:t xml:space="preserve">BLS </w:t>
      </w:r>
      <w:r w:rsidR="00035491">
        <w:rPr>
          <w:sz w:val="24"/>
          <w:szCs w:val="24"/>
        </w:rPr>
        <w:t xml:space="preserve">currently is </w:t>
      </w:r>
      <w:r w:rsidRPr="00136741">
        <w:rPr>
          <w:sz w:val="24"/>
          <w:szCs w:val="24"/>
        </w:rPr>
        <w:t>undert</w:t>
      </w:r>
      <w:r w:rsidR="00035491">
        <w:rPr>
          <w:sz w:val="24"/>
          <w:szCs w:val="24"/>
        </w:rPr>
        <w:t>aking</w:t>
      </w:r>
      <w:r w:rsidRPr="00136741">
        <w:rPr>
          <w:sz w:val="24"/>
          <w:szCs w:val="24"/>
        </w:rPr>
        <w:t xml:space="preserve"> extensive research to develop data collection </w:t>
      </w:r>
      <w:r>
        <w:rPr>
          <w:sz w:val="24"/>
          <w:szCs w:val="24"/>
        </w:rPr>
        <w:t xml:space="preserve">forms and methodology, </w:t>
      </w:r>
      <w:r w:rsidRPr="00136741">
        <w:rPr>
          <w:sz w:val="24"/>
          <w:szCs w:val="24"/>
        </w:rPr>
        <w:t xml:space="preserve">and to understand the collection environment related to green </w:t>
      </w:r>
      <w:r>
        <w:rPr>
          <w:sz w:val="24"/>
          <w:szCs w:val="24"/>
        </w:rPr>
        <w:t xml:space="preserve">technologies and </w:t>
      </w:r>
      <w:r w:rsidR="00513305">
        <w:rPr>
          <w:sz w:val="24"/>
          <w:szCs w:val="24"/>
        </w:rPr>
        <w:t>practices</w:t>
      </w:r>
      <w:r w:rsidRPr="00136741">
        <w:rPr>
          <w:sz w:val="24"/>
          <w:szCs w:val="24"/>
        </w:rPr>
        <w:t>.</w:t>
      </w:r>
      <w:r w:rsidR="00035491">
        <w:rPr>
          <w:sz w:val="24"/>
          <w:szCs w:val="24"/>
        </w:rPr>
        <w:t xml:space="preserve"> </w:t>
      </w:r>
      <w:r w:rsidRPr="00136741">
        <w:rPr>
          <w:sz w:val="24"/>
          <w:szCs w:val="24"/>
        </w:rPr>
        <w:t xml:space="preserve"> This research was outlined in a prior Federal Register </w:t>
      </w:r>
      <w:r w:rsidRPr="00AF684D">
        <w:rPr>
          <w:sz w:val="24"/>
          <w:szCs w:val="24"/>
        </w:rPr>
        <w:t xml:space="preserve">Notice </w:t>
      </w:r>
      <w:r w:rsidR="00035491">
        <w:rPr>
          <w:sz w:val="24"/>
          <w:szCs w:val="24"/>
        </w:rPr>
        <w:t xml:space="preserve">published on June 30, 2010 </w:t>
      </w:r>
      <w:r w:rsidRPr="00AF684D">
        <w:rPr>
          <w:sz w:val="24"/>
          <w:szCs w:val="24"/>
        </w:rPr>
        <w:t>(75 FR 37839).</w:t>
      </w:r>
      <w:r w:rsidR="00035491">
        <w:rPr>
          <w:sz w:val="24"/>
          <w:szCs w:val="24"/>
        </w:rPr>
        <w:t xml:space="preserve"> </w:t>
      </w:r>
      <w:r w:rsidRPr="00136741">
        <w:rPr>
          <w:sz w:val="24"/>
          <w:szCs w:val="24"/>
        </w:rPr>
        <w:t xml:space="preserve"> The </w:t>
      </w:r>
      <w:r w:rsidR="006B57F1">
        <w:rPr>
          <w:sz w:val="24"/>
          <w:szCs w:val="24"/>
        </w:rPr>
        <w:t xml:space="preserve">forms design </w:t>
      </w:r>
      <w:r w:rsidRPr="00136741">
        <w:rPr>
          <w:sz w:val="24"/>
          <w:szCs w:val="24"/>
        </w:rPr>
        <w:t xml:space="preserve">research </w:t>
      </w:r>
      <w:r w:rsidR="006B57F1">
        <w:rPr>
          <w:sz w:val="24"/>
          <w:szCs w:val="24"/>
        </w:rPr>
        <w:t>has been</w:t>
      </w:r>
      <w:r>
        <w:rPr>
          <w:sz w:val="24"/>
          <w:szCs w:val="24"/>
        </w:rPr>
        <w:t xml:space="preserve"> </w:t>
      </w:r>
      <w:r w:rsidRPr="00136741">
        <w:rPr>
          <w:sz w:val="24"/>
          <w:szCs w:val="24"/>
        </w:rPr>
        <w:t xml:space="preserve">completed </w:t>
      </w:r>
      <w:r w:rsidR="006B57F1">
        <w:rPr>
          <w:sz w:val="24"/>
          <w:szCs w:val="24"/>
        </w:rPr>
        <w:t xml:space="preserve">and the </w:t>
      </w:r>
      <w:r w:rsidRPr="00136741">
        <w:rPr>
          <w:sz w:val="24"/>
          <w:szCs w:val="24"/>
        </w:rPr>
        <w:t xml:space="preserve">forms put forth for clearance in this package </w:t>
      </w:r>
      <w:r w:rsidR="006B57F1">
        <w:rPr>
          <w:sz w:val="24"/>
          <w:szCs w:val="24"/>
        </w:rPr>
        <w:t>were</w:t>
      </w:r>
      <w:r>
        <w:rPr>
          <w:sz w:val="24"/>
          <w:szCs w:val="24"/>
        </w:rPr>
        <w:t xml:space="preserve"> </w:t>
      </w:r>
      <w:r w:rsidRPr="00136741">
        <w:rPr>
          <w:sz w:val="24"/>
          <w:szCs w:val="24"/>
        </w:rPr>
        <w:t xml:space="preserve">field-tested and incorporate the research and lessons learned from </w:t>
      </w:r>
      <w:r w:rsidR="006B57F1">
        <w:rPr>
          <w:sz w:val="24"/>
          <w:szCs w:val="24"/>
        </w:rPr>
        <w:t xml:space="preserve">the </w:t>
      </w:r>
      <w:r w:rsidRPr="00136741">
        <w:rPr>
          <w:sz w:val="24"/>
          <w:szCs w:val="24"/>
        </w:rPr>
        <w:t>field testing</w:t>
      </w:r>
      <w:r w:rsidR="006C79B4">
        <w:rPr>
          <w:sz w:val="24"/>
          <w:szCs w:val="24"/>
        </w:rPr>
        <w:t>.</w:t>
      </w:r>
    </w:p>
    <w:p w:rsidR="006C79B4" w:rsidRPr="00136741" w:rsidRDefault="006C79B4" w:rsidP="00A55E56">
      <w:pPr>
        <w:jc w:val="both"/>
        <w:rPr>
          <w:sz w:val="24"/>
          <w:szCs w:val="24"/>
        </w:rPr>
      </w:pPr>
    </w:p>
    <w:p w:rsidR="00D830D1" w:rsidRPr="00136741" w:rsidRDefault="00D830D1" w:rsidP="00A55E56">
      <w:pPr>
        <w:jc w:val="both"/>
        <w:rPr>
          <w:sz w:val="24"/>
          <w:szCs w:val="24"/>
        </w:rPr>
      </w:pPr>
      <w:r w:rsidRPr="00136741">
        <w:rPr>
          <w:sz w:val="24"/>
          <w:szCs w:val="24"/>
        </w:rPr>
        <w:t xml:space="preserve">In a separate Federal Register Notice </w:t>
      </w:r>
      <w:r w:rsidR="00035491">
        <w:rPr>
          <w:sz w:val="24"/>
          <w:szCs w:val="24"/>
        </w:rPr>
        <w:t xml:space="preserve">published on September 21, 2010 </w:t>
      </w:r>
      <w:r w:rsidRPr="00136741">
        <w:rPr>
          <w:sz w:val="24"/>
          <w:szCs w:val="24"/>
        </w:rPr>
        <w:t>(</w:t>
      </w:r>
      <w:r>
        <w:rPr>
          <w:sz w:val="24"/>
          <w:szCs w:val="24"/>
        </w:rPr>
        <w:t xml:space="preserve">75 </w:t>
      </w:r>
      <w:r w:rsidRPr="00136741">
        <w:rPr>
          <w:sz w:val="24"/>
          <w:szCs w:val="24"/>
        </w:rPr>
        <w:t xml:space="preserve">FR </w:t>
      </w:r>
      <w:r>
        <w:rPr>
          <w:sz w:val="24"/>
          <w:szCs w:val="24"/>
        </w:rPr>
        <w:t>57506</w:t>
      </w:r>
      <w:r w:rsidRPr="00136741">
        <w:rPr>
          <w:sz w:val="24"/>
          <w:szCs w:val="24"/>
        </w:rPr>
        <w:t xml:space="preserve">), BLS outlined its </w:t>
      </w:r>
      <w:r>
        <w:rPr>
          <w:sz w:val="24"/>
          <w:szCs w:val="24"/>
        </w:rPr>
        <w:t>final</w:t>
      </w:r>
      <w:r w:rsidRPr="00136741">
        <w:rPr>
          <w:sz w:val="24"/>
          <w:szCs w:val="24"/>
        </w:rPr>
        <w:t xml:space="preserve"> definition of green </w:t>
      </w:r>
      <w:r>
        <w:rPr>
          <w:sz w:val="24"/>
          <w:szCs w:val="24"/>
        </w:rPr>
        <w:t>jobs</w:t>
      </w:r>
      <w:r w:rsidRPr="00136741">
        <w:rPr>
          <w:sz w:val="24"/>
          <w:szCs w:val="24"/>
        </w:rPr>
        <w:t xml:space="preserve">. This definition is available at </w:t>
      </w:r>
      <w:hyperlink r:id="rId8" w:history="1">
        <w:r w:rsidRPr="00136741">
          <w:rPr>
            <w:rStyle w:val="Hyperlink"/>
            <w:sz w:val="24"/>
            <w:szCs w:val="24"/>
          </w:rPr>
          <w:t>www.bls.gov/green</w:t>
        </w:r>
      </w:hyperlink>
      <w:r w:rsidRPr="00136741">
        <w:rPr>
          <w:sz w:val="24"/>
          <w:szCs w:val="24"/>
        </w:rPr>
        <w:t>.</w:t>
      </w:r>
    </w:p>
    <w:p w:rsidR="00D830D1" w:rsidRPr="0013674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2. Description of the Information Collected</w:t>
      </w:r>
    </w:p>
    <w:p w:rsidR="00D830D1" w:rsidRDefault="00D830D1" w:rsidP="00A55E56">
      <w:pPr>
        <w:jc w:val="both"/>
        <w:rPr>
          <w:sz w:val="24"/>
          <w:szCs w:val="24"/>
        </w:rPr>
      </w:pPr>
      <w:r w:rsidRPr="00136741">
        <w:rPr>
          <w:sz w:val="24"/>
          <w:szCs w:val="24"/>
        </w:rPr>
        <w:t xml:space="preserve">The </w:t>
      </w:r>
      <w:r>
        <w:rPr>
          <w:sz w:val="24"/>
          <w:szCs w:val="24"/>
        </w:rPr>
        <w:t xml:space="preserve">GTP survey </w:t>
      </w:r>
      <w:r w:rsidRPr="00136741">
        <w:rPr>
          <w:sz w:val="24"/>
          <w:szCs w:val="24"/>
        </w:rPr>
        <w:t xml:space="preserve">will collect information on an establishment’s </w:t>
      </w:r>
      <w:r>
        <w:rPr>
          <w:sz w:val="24"/>
          <w:szCs w:val="24"/>
        </w:rPr>
        <w:t>reference month</w:t>
      </w:r>
      <w:r w:rsidRPr="00136741">
        <w:rPr>
          <w:sz w:val="24"/>
          <w:szCs w:val="24"/>
        </w:rPr>
        <w:t xml:space="preserve"> employment, </w:t>
      </w:r>
      <w:r>
        <w:rPr>
          <w:sz w:val="24"/>
          <w:szCs w:val="24"/>
        </w:rPr>
        <w:t xml:space="preserve">use of green technologies and </w:t>
      </w:r>
      <w:r w:rsidR="00621A77">
        <w:rPr>
          <w:sz w:val="24"/>
          <w:szCs w:val="24"/>
        </w:rPr>
        <w:t>practices</w:t>
      </w:r>
      <w:r>
        <w:rPr>
          <w:sz w:val="24"/>
          <w:szCs w:val="24"/>
        </w:rPr>
        <w:t>, and occupation and wage information for employees who spend more than 50 percent of their time in activities</w:t>
      </w:r>
      <w:r w:rsidR="002D0A9B">
        <w:rPr>
          <w:sz w:val="24"/>
          <w:szCs w:val="24"/>
        </w:rPr>
        <w:t xml:space="preserve"> related to green technologies and practices</w:t>
      </w:r>
      <w:r w:rsidRPr="00136741">
        <w:rPr>
          <w:sz w:val="24"/>
          <w:szCs w:val="24"/>
        </w:rPr>
        <w:t>.</w:t>
      </w:r>
      <w:r w:rsidR="00035491">
        <w:rPr>
          <w:sz w:val="24"/>
          <w:szCs w:val="24"/>
        </w:rPr>
        <w:t xml:space="preserve"> </w:t>
      </w:r>
      <w:r>
        <w:rPr>
          <w:sz w:val="24"/>
          <w:szCs w:val="24"/>
        </w:rPr>
        <w:t xml:space="preserve"> </w:t>
      </w:r>
      <w:r w:rsidRPr="00136741">
        <w:rPr>
          <w:sz w:val="24"/>
          <w:szCs w:val="24"/>
        </w:rPr>
        <w:t xml:space="preserve">The </w:t>
      </w:r>
      <w:r w:rsidR="002B457F">
        <w:rPr>
          <w:sz w:val="24"/>
          <w:szCs w:val="24"/>
        </w:rPr>
        <w:t xml:space="preserve">reference </w:t>
      </w:r>
      <w:r w:rsidRPr="00136741">
        <w:rPr>
          <w:sz w:val="24"/>
          <w:szCs w:val="24"/>
        </w:rPr>
        <w:t xml:space="preserve">month employment figure will be compared to employment data BLS has on file as part of the QCEW in order to verify data </w:t>
      </w:r>
      <w:r>
        <w:rPr>
          <w:sz w:val="24"/>
          <w:szCs w:val="24"/>
        </w:rPr>
        <w:t xml:space="preserve">are </w:t>
      </w:r>
      <w:r w:rsidRPr="00136741">
        <w:rPr>
          <w:sz w:val="24"/>
          <w:szCs w:val="24"/>
        </w:rPr>
        <w:t>being collected for the correct establishment.</w:t>
      </w:r>
      <w:r>
        <w:rPr>
          <w:sz w:val="24"/>
          <w:szCs w:val="24"/>
        </w:rPr>
        <w:t xml:space="preserve"> </w:t>
      </w:r>
      <w:r w:rsidRPr="00136741">
        <w:rPr>
          <w:sz w:val="24"/>
          <w:szCs w:val="24"/>
        </w:rPr>
        <w:t xml:space="preserve"> </w:t>
      </w:r>
    </w:p>
    <w:p w:rsidR="00D830D1" w:rsidRDefault="00D830D1" w:rsidP="00A55E56">
      <w:pPr>
        <w:jc w:val="both"/>
        <w:rPr>
          <w:sz w:val="24"/>
          <w:szCs w:val="24"/>
        </w:rPr>
      </w:pPr>
    </w:p>
    <w:p w:rsidR="00F75419" w:rsidRDefault="00F75419" w:rsidP="00A55E56">
      <w:pPr>
        <w:jc w:val="both"/>
        <w:rPr>
          <w:sz w:val="24"/>
          <w:szCs w:val="24"/>
        </w:rPr>
      </w:pPr>
      <w:r>
        <w:rPr>
          <w:sz w:val="24"/>
          <w:szCs w:val="24"/>
        </w:rPr>
        <w:t>BLS will conduct a Response Analysis Survey (RAS) on up to 1</w:t>
      </w:r>
      <w:r w:rsidR="0032654E">
        <w:rPr>
          <w:sz w:val="24"/>
          <w:szCs w:val="24"/>
        </w:rPr>
        <w:t>,</w:t>
      </w:r>
      <w:r>
        <w:rPr>
          <w:sz w:val="24"/>
          <w:szCs w:val="24"/>
        </w:rPr>
        <w:t xml:space="preserve">000 GTP respondents and non-respondents to ensure accurate data collection and to assess non-response bias.  The RAS will begin immediately following the general data collection for the GTP survey.  BLS will examine general data quality issues in the RAS. </w:t>
      </w:r>
    </w:p>
    <w:p w:rsidR="003161A2" w:rsidRDefault="003161A2" w:rsidP="00A55E56">
      <w:pPr>
        <w:jc w:val="both"/>
        <w:rPr>
          <w:sz w:val="24"/>
          <w:szCs w:val="24"/>
        </w:rPr>
      </w:pPr>
    </w:p>
    <w:p w:rsidR="00D830D1" w:rsidRPr="00136741" w:rsidRDefault="00D830D1" w:rsidP="00A55E56">
      <w:pPr>
        <w:jc w:val="both"/>
        <w:rPr>
          <w:b/>
          <w:sz w:val="24"/>
          <w:szCs w:val="24"/>
        </w:rPr>
      </w:pPr>
      <w:r w:rsidRPr="00136741">
        <w:rPr>
          <w:b/>
          <w:sz w:val="24"/>
          <w:szCs w:val="24"/>
        </w:rPr>
        <w:t>3. Use of Technology to Reduce Burden</w:t>
      </w:r>
    </w:p>
    <w:p w:rsidR="00D830D1" w:rsidRPr="00136741" w:rsidRDefault="00D830D1" w:rsidP="00A55E56">
      <w:pPr>
        <w:jc w:val="both"/>
        <w:rPr>
          <w:sz w:val="24"/>
          <w:szCs w:val="24"/>
        </w:rPr>
      </w:pPr>
      <w:r w:rsidRPr="00136741">
        <w:rPr>
          <w:sz w:val="24"/>
          <w:szCs w:val="24"/>
        </w:rPr>
        <w:t>The data collection will use available technology to reduce burden on the respondents</w:t>
      </w:r>
      <w:r>
        <w:rPr>
          <w:sz w:val="24"/>
          <w:szCs w:val="24"/>
        </w:rPr>
        <w:t xml:space="preserve">.  GTP will be a mixed-mode survey.  Methods of data collection include a web-based collection instrument, mailed survey forms, </w:t>
      </w:r>
      <w:r w:rsidR="0032118B">
        <w:rPr>
          <w:sz w:val="24"/>
          <w:szCs w:val="24"/>
        </w:rPr>
        <w:t>f</w:t>
      </w:r>
      <w:r w:rsidR="00677B91">
        <w:rPr>
          <w:sz w:val="24"/>
          <w:szCs w:val="24"/>
        </w:rPr>
        <w:t xml:space="preserve">ax, </w:t>
      </w:r>
      <w:r>
        <w:rPr>
          <w:sz w:val="24"/>
          <w:szCs w:val="24"/>
        </w:rPr>
        <w:t>email, and telephone and mail follow-up</w:t>
      </w:r>
      <w:r w:rsidRPr="00136741">
        <w:rPr>
          <w:sz w:val="24"/>
          <w:szCs w:val="24"/>
        </w:rPr>
        <w:t xml:space="preserve">. This </w:t>
      </w:r>
      <w:r>
        <w:rPr>
          <w:sz w:val="24"/>
          <w:szCs w:val="24"/>
        </w:rPr>
        <w:t xml:space="preserve">special survey </w:t>
      </w:r>
      <w:r w:rsidRPr="00136741">
        <w:rPr>
          <w:sz w:val="24"/>
          <w:szCs w:val="24"/>
        </w:rPr>
        <w:t xml:space="preserve">will be </w:t>
      </w:r>
      <w:r>
        <w:rPr>
          <w:sz w:val="24"/>
          <w:szCs w:val="24"/>
        </w:rPr>
        <w:t>conducted in 2011</w:t>
      </w:r>
      <w:r w:rsidR="000C5DBF">
        <w:rPr>
          <w:sz w:val="24"/>
          <w:szCs w:val="24"/>
        </w:rPr>
        <w:t>,</w:t>
      </w:r>
      <w:r w:rsidR="006A2A8E">
        <w:rPr>
          <w:sz w:val="24"/>
          <w:szCs w:val="24"/>
        </w:rPr>
        <w:t xml:space="preserve"> and </w:t>
      </w:r>
      <w:r w:rsidR="00953233">
        <w:rPr>
          <w:sz w:val="24"/>
          <w:szCs w:val="24"/>
        </w:rPr>
        <w:t xml:space="preserve">completed in early </w:t>
      </w:r>
      <w:r w:rsidR="006A2A8E">
        <w:rPr>
          <w:sz w:val="24"/>
          <w:szCs w:val="24"/>
        </w:rPr>
        <w:t>2012</w:t>
      </w:r>
      <w:r>
        <w:rPr>
          <w:sz w:val="24"/>
          <w:szCs w:val="24"/>
        </w:rPr>
        <w:t>.</w:t>
      </w:r>
    </w:p>
    <w:p w:rsidR="00D830D1" w:rsidRPr="0013674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4. Identification of Duplication and Availability of Similar Information</w:t>
      </w:r>
    </w:p>
    <w:p w:rsidR="00D830D1" w:rsidRPr="00136741" w:rsidRDefault="00D830D1" w:rsidP="00A55E56">
      <w:pPr>
        <w:jc w:val="both"/>
        <w:rPr>
          <w:sz w:val="24"/>
          <w:szCs w:val="24"/>
        </w:rPr>
      </w:pPr>
      <w:r w:rsidRPr="00136741">
        <w:rPr>
          <w:sz w:val="24"/>
          <w:szCs w:val="24"/>
        </w:rPr>
        <w:t>Several individual States have conducted surveys on green employment in their State.</w:t>
      </w:r>
      <w:r w:rsidR="00035491">
        <w:rPr>
          <w:sz w:val="24"/>
          <w:szCs w:val="24"/>
        </w:rPr>
        <w:t xml:space="preserve"> </w:t>
      </w:r>
      <w:r w:rsidRPr="00136741">
        <w:rPr>
          <w:sz w:val="24"/>
          <w:szCs w:val="24"/>
        </w:rPr>
        <w:t xml:space="preserve"> However, these studies only covered the individual State and many were focused on occupational data collection</w:t>
      </w:r>
      <w:r>
        <w:rPr>
          <w:rStyle w:val="FootnoteReference"/>
          <w:sz w:val="24"/>
          <w:szCs w:val="24"/>
        </w:rPr>
        <w:footnoteReference w:id="1"/>
      </w:r>
      <w:r w:rsidRPr="00136741">
        <w:rPr>
          <w:sz w:val="24"/>
          <w:szCs w:val="24"/>
        </w:rPr>
        <w:t xml:space="preserve">. </w:t>
      </w:r>
      <w:r w:rsidR="00035491">
        <w:rPr>
          <w:sz w:val="24"/>
          <w:szCs w:val="24"/>
        </w:rPr>
        <w:t xml:space="preserve"> </w:t>
      </w:r>
      <w:r w:rsidRPr="00136741">
        <w:rPr>
          <w:sz w:val="24"/>
          <w:szCs w:val="24"/>
        </w:rPr>
        <w:t>In addition to these State studies, there are several academic and research organizations that have published data using existing data sources on the green economy in the U.S.</w:t>
      </w:r>
      <w:r>
        <w:rPr>
          <w:rStyle w:val="FootnoteReference"/>
          <w:sz w:val="24"/>
          <w:szCs w:val="24"/>
        </w:rPr>
        <w:footnoteReference w:id="2"/>
      </w:r>
      <w:r w:rsidRPr="00136741">
        <w:rPr>
          <w:sz w:val="24"/>
          <w:szCs w:val="24"/>
        </w:rPr>
        <w:t xml:space="preserve"> </w:t>
      </w:r>
      <w:r w:rsidR="00035491">
        <w:rPr>
          <w:sz w:val="24"/>
          <w:szCs w:val="24"/>
        </w:rPr>
        <w:t xml:space="preserve"> </w:t>
      </w:r>
      <w:r w:rsidRPr="00136741">
        <w:rPr>
          <w:sz w:val="24"/>
          <w:szCs w:val="24"/>
        </w:rPr>
        <w:t>Outside of the U.S., Statistics Canada has conducted surveys on the Canadian environmental sector</w:t>
      </w:r>
      <w:r w:rsidRPr="00136741">
        <w:rPr>
          <w:rStyle w:val="FootnoteReference"/>
          <w:sz w:val="24"/>
          <w:szCs w:val="24"/>
        </w:rPr>
        <w:footnoteReference w:id="3"/>
      </w:r>
      <w:r w:rsidRPr="00136741">
        <w:rPr>
          <w:sz w:val="24"/>
          <w:szCs w:val="24"/>
        </w:rPr>
        <w:t xml:space="preserve"> and Eurostat has offered detailed guidance to its member countries on measuring the environmental sector</w:t>
      </w:r>
      <w:r w:rsidRPr="00136741">
        <w:rPr>
          <w:rStyle w:val="FootnoteReference"/>
          <w:sz w:val="24"/>
          <w:szCs w:val="24"/>
        </w:rPr>
        <w:footnoteReference w:id="4"/>
      </w:r>
      <w:r w:rsidRPr="00136741">
        <w:rPr>
          <w:sz w:val="24"/>
          <w:szCs w:val="24"/>
        </w:rPr>
        <w:t xml:space="preserve">. </w:t>
      </w:r>
      <w:r w:rsidR="00035491">
        <w:rPr>
          <w:sz w:val="24"/>
          <w:szCs w:val="24"/>
        </w:rPr>
        <w:t xml:space="preserve"> </w:t>
      </w:r>
      <w:r w:rsidRPr="00136741">
        <w:rPr>
          <w:sz w:val="24"/>
          <w:szCs w:val="24"/>
        </w:rPr>
        <w:t xml:space="preserve">BLS has reviewed the existing research and studies conducted by the individual States, Statistics Canada, and Eurostat extensively and used the findings to enhance its collection. </w:t>
      </w:r>
      <w:r w:rsidR="00035491">
        <w:rPr>
          <w:sz w:val="24"/>
          <w:szCs w:val="24"/>
        </w:rPr>
        <w:t xml:space="preserve"> </w:t>
      </w:r>
      <w:r w:rsidRPr="00136741">
        <w:rPr>
          <w:sz w:val="24"/>
          <w:szCs w:val="24"/>
        </w:rPr>
        <w:t xml:space="preserve">However, there is no existing research or data that duplicate the data BLS intends to collect and publish. </w:t>
      </w:r>
    </w:p>
    <w:p w:rsidR="00D830D1" w:rsidRPr="0013674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5. Small Businesses</w:t>
      </w:r>
    </w:p>
    <w:p w:rsidR="00D830D1" w:rsidRPr="00136741" w:rsidRDefault="00D830D1" w:rsidP="00A55E56">
      <w:pPr>
        <w:jc w:val="both"/>
        <w:rPr>
          <w:sz w:val="24"/>
          <w:szCs w:val="24"/>
        </w:rPr>
      </w:pPr>
      <w:r w:rsidRPr="00136741">
        <w:rPr>
          <w:sz w:val="24"/>
          <w:szCs w:val="24"/>
        </w:rPr>
        <w:t xml:space="preserve">Small firms will be included in the data collection. </w:t>
      </w:r>
      <w:r>
        <w:rPr>
          <w:sz w:val="24"/>
          <w:szCs w:val="24"/>
        </w:rPr>
        <w:t xml:space="preserve"> </w:t>
      </w:r>
      <w:r w:rsidRPr="00136741">
        <w:rPr>
          <w:sz w:val="24"/>
          <w:szCs w:val="24"/>
        </w:rPr>
        <w:t xml:space="preserve">The information requested is readily available in both small and large firms, so the impact to small businesses will be similar to that of larger businesses. </w:t>
      </w:r>
      <w:r w:rsidR="00035491">
        <w:rPr>
          <w:sz w:val="24"/>
          <w:szCs w:val="24"/>
        </w:rPr>
        <w:t xml:space="preserve"> </w:t>
      </w:r>
      <w:r w:rsidRPr="00136741">
        <w:rPr>
          <w:sz w:val="24"/>
          <w:szCs w:val="24"/>
        </w:rPr>
        <w:t>Special attention will be paid to selecting reference periods for data elements that are easily underst</w:t>
      </w:r>
      <w:r w:rsidR="007B7C32">
        <w:rPr>
          <w:sz w:val="24"/>
          <w:szCs w:val="24"/>
        </w:rPr>
        <w:t xml:space="preserve">andable and identifiable to all </w:t>
      </w:r>
      <w:r w:rsidRPr="00136741">
        <w:rPr>
          <w:sz w:val="24"/>
          <w:szCs w:val="24"/>
        </w:rPr>
        <w:t>businesses.</w:t>
      </w:r>
    </w:p>
    <w:p w:rsidR="00D830D1" w:rsidRPr="0013674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6. Less Frequent Conduct of Study</w:t>
      </w:r>
    </w:p>
    <w:p w:rsidR="00D830D1" w:rsidRPr="00136741" w:rsidRDefault="00D830D1" w:rsidP="00A55E56">
      <w:pPr>
        <w:jc w:val="both"/>
        <w:rPr>
          <w:sz w:val="24"/>
          <w:szCs w:val="24"/>
        </w:rPr>
      </w:pPr>
      <w:r w:rsidRPr="00136741">
        <w:rPr>
          <w:sz w:val="24"/>
          <w:szCs w:val="24"/>
        </w:rPr>
        <w:t xml:space="preserve">This </w:t>
      </w:r>
      <w:r>
        <w:rPr>
          <w:sz w:val="24"/>
          <w:szCs w:val="24"/>
        </w:rPr>
        <w:t xml:space="preserve">special survey </w:t>
      </w:r>
      <w:r w:rsidRPr="00136741">
        <w:rPr>
          <w:sz w:val="24"/>
          <w:szCs w:val="24"/>
        </w:rPr>
        <w:t xml:space="preserve">will </w:t>
      </w:r>
      <w:r>
        <w:rPr>
          <w:sz w:val="24"/>
          <w:szCs w:val="24"/>
        </w:rPr>
        <w:t>be conducted in 2011</w:t>
      </w:r>
      <w:r w:rsidR="000A77D5">
        <w:rPr>
          <w:sz w:val="24"/>
          <w:szCs w:val="24"/>
        </w:rPr>
        <w:t xml:space="preserve"> and 2012</w:t>
      </w:r>
      <w:r>
        <w:rPr>
          <w:sz w:val="24"/>
          <w:szCs w:val="24"/>
        </w:rPr>
        <w:t xml:space="preserve">.  </w:t>
      </w:r>
      <w:r w:rsidRPr="00136741">
        <w:rPr>
          <w:sz w:val="24"/>
          <w:szCs w:val="24"/>
        </w:rPr>
        <w:t xml:space="preserve">BLS intends to </w:t>
      </w:r>
      <w:r>
        <w:rPr>
          <w:sz w:val="24"/>
          <w:szCs w:val="24"/>
        </w:rPr>
        <w:t xml:space="preserve">assess the practicality and usability of collecting occupational employment and wages related to green technologies and </w:t>
      </w:r>
      <w:r w:rsidR="00513305">
        <w:rPr>
          <w:sz w:val="24"/>
          <w:szCs w:val="24"/>
        </w:rPr>
        <w:t>practices</w:t>
      </w:r>
      <w:r w:rsidRPr="00136741">
        <w:rPr>
          <w:sz w:val="24"/>
          <w:szCs w:val="24"/>
        </w:rPr>
        <w:t xml:space="preserve">. </w:t>
      </w:r>
      <w:r w:rsidR="00035491">
        <w:rPr>
          <w:sz w:val="24"/>
          <w:szCs w:val="24"/>
        </w:rPr>
        <w:t xml:space="preserve"> </w:t>
      </w:r>
      <w:r>
        <w:rPr>
          <w:sz w:val="24"/>
          <w:szCs w:val="24"/>
        </w:rPr>
        <w:t xml:space="preserve">The employment related to green </w:t>
      </w:r>
      <w:r w:rsidR="00061FE1">
        <w:rPr>
          <w:sz w:val="24"/>
          <w:szCs w:val="24"/>
        </w:rPr>
        <w:t>practices</w:t>
      </w:r>
      <w:r>
        <w:rPr>
          <w:sz w:val="24"/>
          <w:szCs w:val="24"/>
        </w:rPr>
        <w:t xml:space="preserve"> in U.S. businesses is unknown at this time.</w:t>
      </w:r>
      <w:r w:rsidRPr="00136741">
        <w:rPr>
          <w:sz w:val="24"/>
          <w:szCs w:val="24"/>
        </w:rPr>
        <w:t xml:space="preserve"> </w:t>
      </w:r>
    </w:p>
    <w:p w:rsidR="00925035" w:rsidRPr="00136741" w:rsidRDefault="00925035" w:rsidP="00A55E56">
      <w:pPr>
        <w:jc w:val="both"/>
        <w:rPr>
          <w:sz w:val="24"/>
          <w:szCs w:val="24"/>
        </w:rPr>
      </w:pPr>
    </w:p>
    <w:p w:rsidR="00D830D1" w:rsidRPr="00136741" w:rsidRDefault="00D830D1" w:rsidP="00A55E56">
      <w:pPr>
        <w:jc w:val="both"/>
        <w:rPr>
          <w:b/>
          <w:sz w:val="24"/>
          <w:szCs w:val="24"/>
        </w:rPr>
      </w:pPr>
      <w:r w:rsidRPr="00136741">
        <w:rPr>
          <w:b/>
          <w:sz w:val="24"/>
          <w:szCs w:val="24"/>
        </w:rPr>
        <w:t>7. Special Circumstances</w:t>
      </w:r>
    </w:p>
    <w:p w:rsidR="00D830D1" w:rsidRPr="00136741" w:rsidRDefault="00D830D1" w:rsidP="00A55E56">
      <w:pPr>
        <w:jc w:val="both"/>
        <w:rPr>
          <w:sz w:val="24"/>
          <w:szCs w:val="24"/>
        </w:rPr>
      </w:pPr>
      <w:r w:rsidRPr="00136741">
        <w:rPr>
          <w:sz w:val="24"/>
          <w:szCs w:val="24"/>
        </w:rPr>
        <w:t xml:space="preserve">There are no special circumstances. </w:t>
      </w:r>
    </w:p>
    <w:p w:rsidR="00D830D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lastRenderedPageBreak/>
        <w:t>8. Consultation with Persons outside BLS</w:t>
      </w:r>
    </w:p>
    <w:p w:rsidR="00D830D1" w:rsidRDefault="00D830D1" w:rsidP="00B91CC7">
      <w:pPr>
        <w:jc w:val="both"/>
        <w:rPr>
          <w:sz w:val="24"/>
          <w:szCs w:val="24"/>
        </w:rPr>
      </w:pPr>
      <w:r>
        <w:rPr>
          <w:sz w:val="24"/>
          <w:szCs w:val="24"/>
        </w:rPr>
        <w:t>In response to the Federal Register Notice published on March 16, 2010</w:t>
      </w:r>
      <w:r w:rsidR="00035491">
        <w:rPr>
          <w:sz w:val="24"/>
          <w:szCs w:val="24"/>
        </w:rPr>
        <w:t xml:space="preserve"> (75 FR 12571)</w:t>
      </w:r>
      <w:r>
        <w:rPr>
          <w:sz w:val="24"/>
          <w:szCs w:val="24"/>
        </w:rPr>
        <w:t xml:space="preserve">, BLS received 16 comments concerning the collection of data on employment related to green processes. </w:t>
      </w:r>
      <w:r w:rsidR="00035491">
        <w:rPr>
          <w:sz w:val="24"/>
          <w:szCs w:val="24"/>
        </w:rPr>
        <w:t xml:space="preserve"> </w:t>
      </w:r>
      <w:r>
        <w:rPr>
          <w:sz w:val="24"/>
          <w:szCs w:val="24"/>
        </w:rPr>
        <w:t xml:space="preserve">Responses to these comments were included in the </w:t>
      </w:r>
      <w:r w:rsidRPr="00136741">
        <w:rPr>
          <w:sz w:val="24"/>
          <w:szCs w:val="24"/>
        </w:rPr>
        <w:t xml:space="preserve">Federal Register Notice </w:t>
      </w:r>
      <w:r w:rsidR="00035491">
        <w:rPr>
          <w:sz w:val="24"/>
          <w:szCs w:val="24"/>
        </w:rPr>
        <w:t xml:space="preserve">published on September 21, 2010 </w:t>
      </w:r>
      <w:r w:rsidRPr="00136741">
        <w:rPr>
          <w:sz w:val="24"/>
          <w:szCs w:val="24"/>
        </w:rPr>
        <w:t>(</w:t>
      </w:r>
      <w:r>
        <w:rPr>
          <w:sz w:val="24"/>
          <w:szCs w:val="24"/>
        </w:rPr>
        <w:t xml:space="preserve">75 </w:t>
      </w:r>
      <w:r w:rsidRPr="00136741">
        <w:rPr>
          <w:sz w:val="24"/>
          <w:szCs w:val="24"/>
        </w:rPr>
        <w:t xml:space="preserve">FR </w:t>
      </w:r>
      <w:r>
        <w:rPr>
          <w:sz w:val="24"/>
          <w:szCs w:val="24"/>
        </w:rPr>
        <w:t>57506</w:t>
      </w:r>
      <w:r w:rsidRPr="00136741">
        <w:rPr>
          <w:sz w:val="24"/>
          <w:szCs w:val="24"/>
        </w:rPr>
        <w:t>)</w:t>
      </w:r>
      <w:r>
        <w:rPr>
          <w:sz w:val="24"/>
          <w:szCs w:val="24"/>
        </w:rPr>
        <w:t xml:space="preserve"> which also </w:t>
      </w:r>
      <w:r w:rsidR="00035491">
        <w:rPr>
          <w:sz w:val="24"/>
          <w:szCs w:val="24"/>
        </w:rPr>
        <w:t xml:space="preserve">included </w:t>
      </w:r>
      <w:r>
        <w:rPr>
          <w:sz w:val="24"/>
          <w:szCs w:val="24"/>
        </w:rPr>
        <w:t xml:space="preserve">the final definition of green jobs. </w:t>
      </w:r>
    </w:p>
    <w:p w:rsidR="00D830D1" w:rsidRPr="00136741" w:rsidRDefault="00D830D1" w:rsidP="00B91CC7">
      <w:pPr>
        <w:jc w:val="both"/>
        <w:rPr>
          <w:sz w:val="24"/>
          <w:szCs w:val="24"/>
        </w:rPr>
      </w:pPr>
    </w:p>
    <w:p w:rsidR="00E750A7" w:rsidRDefault="00D830D1" w:rsidP="00E750A7">
      <w:pPr>
        <w:jc w:val="both"/>
        <w:rPr>
          <w:bCs/>
          <w:sz w:val="24"/>
          <w:szCs w:val="24"/>
        </w:rPr>
      </w:pPr>
      <w:r>
        <w:rPr>
          <w:sz w:val="24"/>
          <w:szCs w:val="24"/>
        </w:rPr>
        <w:t xml:space="preserve">In response to the Federal Register Notice published on </w:t>
      </w:r>
      <w:r w:rsidR="009D0CFC">
        <w:rPr>
          <w:sz w:val="24"/>
          <w:szCs w:val="24"/>
        </w:rPr>
        <w:t>February</w:t>
      </w:r>
      <w:r>
        <w:rPr>
          <w:sz w:val="24"/>
          <w:szCs w:val="24"/>
        </w:rPr>
        <w:t xml:space="preserve"> 3, 201</w:t>
      </w:r>
      <w:r w:rsidR="009D0CFC">
        <w:rPr>
          <w:sz w:val="24"/>
          <w:szCs w:val="24"/>
        </w:rPr>
        <w:t>1</w:t>
      </w:r>
      <w:r w:rsidR="00035491">
        <w:rPr>
          <w:sz w:val="24"/>
          <w:szCs w:val="24"/>
        </w:rPr>
        <w:t xml:space="preserve"> (</w:t>
      </w:r>
      <w:r w:rsidR="009D0CFC">
        <w:rPr>
          <w:sz w:val="24"/>
          <w:szCs w:val="24"/>
        </w:rPr>
        <w:t xml:space="preserve">76 </w:t>
      </w:r>
      <w:r w:rsidR="00035491">
        <w:rPr>
          <w:sz w:val="24"/>
          <w:szCs w:val="24"/>
        </w:rPr>
        <w:t xml:space="preserve">FR </w:t>
      </w:r>
      <w:r w:rsidR="009D0CFC">
        <w:rPr>
          <w:sz w:val="24"/>
          <w:szCs w:val="24"/>
        </w:rPr>
        <w:t>6161</w:t>
      </w:r>
      <w:r w:rsidR="00035491">
        <w:rPr>
          <w:sz w:val="24"/>
          <w:szCs w:val="24"/>
        </w:rPr>
        <w:t>)</w:t>
      </w:r>
      <w:r>
        <w:rPr>
          <w:sz w:val="24"/>
          <w:szCs w:val="24"/>
        </w:rPr>
        <w:t xml:space="preserve">, BLS received </w:t>
      </w:r>
      <w:r w:rsidR="00B53F67">
        <w:rPr>
          <w:sz w:val="24"/>
          <w:szCs w:val="24"/>
        </w:rPr>
        <w:t>two</w:t>
      </w:r>
      <w:r w:rsidR="009D0CFC">
        <w:rPr>
          <w:sz w:val="24"/>
          <w:szCs w:val="24"/>
        </w:rPr>
        <w:t xml:space="preserve"> </w:t>
      </w:r>
      <w:r>
        <w:rPr>
          <w:sz w:val="24"/>
          <w:szCs w:val="24"/>
        </w:rPr>
        <w:t xml:space="preserve">comments concerning the collection of data on employment related to green technologies and </w:t>
      </w:r>
      <w:r w:rsidR="009D0CFC">
        <w:rPr>
          <w:sz w:val="24"/>
          <w:szCs w:val="24"/>
        </w:rPr>
        <w:t>practices</w:t>
      </w:r>
      <w:r>
        <w:rPr>
          <w:sz w:val="24"/>
          <w:szCs w:val="24"/>
        </w:rPr>
        <w:t xml:space="preserve">. </w:t>
      </w:r>
      <w:r w:rsidR="00035491">
        <w:rPr>
          <w:sz w:val="24"/>
          <w:szCs w:val="24"/>
        </w:rPr>
        <w:t xml:space="preserve"> </w:t>
      </w:r>
      <w:r w:rsidR="00E739E6">
        <w:rPr>
          <w:bCs/>
          <w:sz w:val="24"/>
          <w:szCs w:val="24"/>
        </w:rPr>
        <w:t>One comment</w:t>
      </w:r>
      <w:r w:rsidR="00603376">
        <w:rPr>
          <w:bCs/>
          <w:sz w:val="24"/>
          <w:szCs w:val="24"/>
        </w:rPr>
        <w:t xml:space="preserve"> </w:t>
      </w:r>
      <w:r w:rsidR="00E739E6">
        <w:rPr>
          <w:bCs/>
          <w:sz w:val="24"/>
          <w:szCs w:val="24"/>
        </w:rPr>
        <w:t xml:space="preserve">suggested that more than one respondent may be necessary at an establishment to complete the full survey and that </w:t>
      </w:r>
      <w:r w:rsidR="00603376">
        <w:rPr>
          <w:bCs/>
          <w:sz w:val="24"/>
          <w:szCs w:val="24"/>
        </w:rPr>
        <w:t>BLS</w:t>
      </w:r>
      <w:r w:rsidR="00E739E6">
        <w:rPr>
          <w:bCs/>
          <w:sz w:val="24"/>
          <w:szCs w:val="24"/>
        </w:rPr>
        <w:t xml:space="preserve"> may have underestimated the amount of time necessary to complete the entire survey for both businesses and data collectors.  </w:t>
      </w:r>
      <w:r w:rsidR="00C65499">
        <w:rPr>
          <w:bCs/>
          <w:sz w:val="24"/>
          <w:szCs w:val="24"/>
        </w:rPr>
        <w:t xml:space="preserve">This comment also included the difficulty BLS might face collecting revenue data by activity which is not part of this survey.  </w:t>
      </w:r>
      <w:r w:rsidR="00E739E6">
        <w:rPr>
          <w:bCs/>
          <w:sz w:val="24"/>
          <w:szCs w:val="24"/>
        </w:rPr>
        <w:t xml:space="preserve">BLS research, conducted under OMB Clearance number 1220-0182, indicates that 20 minutes on average is an accurate estimate for the amount of time required to compile and report the information requested on the GTP survey form.  </w:t>
      </w:r>
      <w:r w:rsidR="00603376">
        <w:rPr>
          <w:bCs/>
          <w:sz w:val="24"/>
          <w:szCs w:val="24"/>
        </w:rPr>
        <w:t xml:space="preserve">One comment concluded that it might be difficult to </w:t>
      </w:r>
      <w:r w:rsidR="00E739E6">
        <w:rPr>
          <w:bCs/>
          <w:sz w:val="24"/>
          <w:szCs w:val="24"/>
        </w:rPr>
        <w:t>driv</w:t>
      </w:r>
      <w:r w:rsidR="00603376">
        <w:rPr>
          <w:bCs/>
          <w:sz w:val="24"/>
          <w:szCs w:val="24"/>
        </w:rPr>
        <w:t>e</w:t>
      </w:r>
      <w:r w:rsidR="00E739E6">
        <w:rPr>
          <w:bCs/>
          <w:sz w:val="24"/>
          <w:szCs w:val="24"/>
        </w:rPr>
        <w:t xml:space="preserve"> respondents to </w:t>
      </w:r>
      <w:r w:rsidR="00ED4923">
        <w:rPr>
          <w:bCs/>
          <w:sz w:val="24"/>
          <w:szCs w:val="24"/>
        </w:rPr>
        <w:t xml:space="preserve">a </w:t>
      </w:r>
      <w:r w:rsidR="00603376">
        <w:rPr>
          <w:bCs/>
          <w:sz w:val="24"/>
          <w:szCs w:val="24"/>
        </w:rPr>
        <w:t>web-based collection mechanism</w:t>
      </w:r>
      <w:r w:rsidR="00E739E6">
        <w:rPr>
          <w:bCs/>
          <w:sz w:val="24"/>
          <w:szCs w:val="24"/>
        </w:rPr>
        <w:t xml:space="preserve"> and that </w:t>
      </w:r>
      <w:r w:rsidR="00603376">
        <w:rPr>
          <w:bCs/>
          <w:sz w:val="24"/>
          <w:szCs w:val="24"/>
        </w:rPr>
        <w:t xml:space="preserve">in a prior survey of green jobs </w:t>
      </w:r>
      <w:r w:rsidR="00E739E6">
        <w:rPr>
          <w:bCs/>
          <w:sz w:val="24"/>
          <w:szCs w:val="24"/>
        </w:rPr>
        <w:t>“less than 10% of their survey responses were return by mail or entered on-line.”  BLS research conducted under OMB Clearanc</w:t>
      </w:r>
      <w:r w:rsidR="00603376">
        <w:rPr>
          <w:bCs/>
          <w:sz w:val="24"/>
          <w:szCs w:val="24"/>
        </w:rPr>
        <w:t xml:space="preserve">e number 1220-0182, has yielded an adjusted usable response rate of about 50% </w:t>
      </w:r>
      <w:r w:rsidR="00ED4923">
        <w:rPr>
          <w:bCs/>
          <w:sz w:val="24"/>
          <w:szCs w:val="24"/>
        </w:rPr>
        <w:t xml:space="preserve">collected by </w:t>
      </w:r>
      <w:r w:rsidR="00603376">
        <w:rPr>
          <w:bCs/>
          <w:sz w:val="24"/>
          <w:szCs w:val="24"/>
        </w:rPr>
        <w:t>mail.</w:t>
      </w:r>
      <w:r w:rsidR="00ED4923">
        <w:rPr>
          <w:bCs/>
          <w:sz w:val="24"/>
          <w:szCs w:val="24"/>
        </w:rPr>
        <w:t xml:space="preserve">  Further GTP research conducted under OMB Clearance number 1220-0182, scheduled to conclude in July 2011, will test the viability of a web-based collection instrument.  The GTP will be a mixed-mode survey employing, mail, fax, e-mail, web, and telephone collection.</w:t>
      </w:r>
    </w:p>
    <w:p w:rsidR="00D830D1" w:rsidRPr="00136741" w:rsidRDefault="00D830D1" w:rsidP="00A55E56">
      <w:pPr>
        <w:jc w:val="both"/>
        <w:rPr>
          <w:sz w:val="24"/>
          <w:szCs w:val="24"/>
        </w:rPr>
      </w:pPr>
    </w:p>
    <w:p w:rsidR="00D830D1" w:rsidRPr="00136741" w:rsidRDefault="00D830D1" w:rsidP="00A55E56">
      <w:pPr>
        <w:jc w:val="both"/>
        <w:rPr>
          <w:sz w:val="24"/>
          <w:szCs w:val="24"/>
        </w:rPr>
      </w:pPr>
      <w:r w:rsidRPr="00136741">
        <w:rPr>
          <w:sz w:val="24"/>
          <w:szCs w:val="24"/>
        </w:rPr>
        <w:t xml:space="preserve">BLS has met and/or spoken with numerous other Federal agencies, Statistics Canada, Eurostat, </w:t>
      </w:r>
      <w:r>
        <w:rPr>
          <w:sz w:val="24"/>
          <w:szCs w:val="24"/>
        </w:rPr>
        <w:t xml:space="preserve">State labor market information offices, </w:t>
      </w:r>
      <w:r w:rsidRPr="00136741">
        <w:rPr>
          <w:sz w:val="24"/>
          <w:szCs w:val="24"/>
        </w:rPr>
        <w:t xml:space="preserve">and industry groups to gather information about collection issues regarding environmental data and related products. </w:t>
      </w:r>
      <w:r w:rsidR="00035491">
        <w:rPr>
          <w:sz w:val="24"/>
          <w:szCs w:val="24"/>
        </w:rPr>
        <w:t xml:space="preserve"> </w:t>
      </w:r>
      <w:r w:rsidRPr="00136741">
        <w:rPr>
          <w:sz w:val="24"/>
          <w:szCs w:val="24"/>
        </w:rPr>
        <w:t>This information was used during the development and testing of th</w:t>
      </w:r>
      <w:r>
        <w:rPr>
          <w:sz w:val="24"/>
          <w:szCs w:val="24"/>
        </w:rPr>
        <w:t>e form</w:t>
      </w:r>
      <w:r w:rsidRPr="00136741">
        <w:rPr>
          <w:sz w:val="24"/>
          <w:szCs w:val="24"/>
        </w:rPr>
        <w:t>.</w:t>
      </w:r>
    </w:p>
    <w:p w:rsidR="00D830D1" w:rsidRPr="0013674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9. Gifts or Payments to Respondents</w:t>
      </w:r>
    </w:p>
    <w:p w:rsidR="00D830D1" w:rsidRPr="00136741" w:rsidRDefault="00D830D1" w:rsidP="00A55E56">
      <w:pPr>
        <w:jc w:val="both"/>
        <w:rPr>
          <w:sz w:val="24"/>
          <w:szCs w:val="24"/>
        </w:rPr>
      </w:pPr>
      <w:r w:rsidRPr="00136741">
        <w:rPr>
          <w:sz w:val="24"/>
          <w:szCs w:val="24"/>
        </w:rPr>
        <w:t>There will be no gifts or payments to respondents.</w:t>
      </w:r>
    </w:p>
    <w:p w:rsidR="00D830D1" w:rsidRPr="00136741" w:rsidRDefault="00D830D1" w:rsidP="00A55E56">
      <w:pPr>
        <w:jc w:val="both"/>
        <w:rPr>
          <w:b/>
          <w:sz w:val="24"/>
          <w:szCs w:val="24"/>
        </w:rPr>
      </w:pPr>
    </w:p>
    <w:p w:rsidR="00D830D1" w:rsidRPr="00136741" w:rsidRDefault="00D830D1" w:rsidP="00A55E56">
      <w:pPr>
        <w:jc w:val="both"/>
        <w:rPr>
          <w:b/>
          <w:sz w:val="24"/>
          <w:szCs w:val="24"/>
        </w:rPr>
      </w:pPr>
      <w:r w:rsidRPr="00136741">
        <w:rPr>
          <w:b/>
          <w:sz w:val="24"/>
          <w:szCs w:val="24"/>
        </w:rPr>
        <w:t>10. Confidential Responses</w:t>
      </w:r>
    </w:p>
    <w:p w:rsidR="00D830D1" w:rsidRPr="00136741" w:rsidRDefault="00D830D1" w:rsidP="00A55E56">
      <w:pPr>
        <w:jc w:val="both"/>
        <w:rPr>
          <w:color w:val="000000"/>
          <w:sz w:val="24"/>
          <w:szCs w:val="24"/>
        </w:rPr>
      </w:pPr>
      <w:r w:rsidRPr="00136741">
        <w:rPr>
          <w:sz w:val="24"/>
          <w:szCs w:val="24"/>
        </w:rPr>
        <w:t xml:space="preserve">The Confidential Information Protection and Statistical Efficiency Act of 2002 (CIPSEA) </w:t>
      </w:r>
      <w:r w:rsidRPr="00136741">
        <w:rPr>
          <w:color w:val="000000"/>
          <w:sz w:val="24"/>
          <w:szCs w:val="24"/>
        </w:rPr>
        <w:t>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D830D1" w:rsidRPr="00136741" w:rsidRDefault="00D830D1" w:rsidP="00A55E56">
      <w:pPr>
        <w:jc w:val="both"/>
        <w:rPr>
          <w:color w:val="000000"/>
          <w:sz w:val="24"/>
          <w:szCs w:val="24"/>
        </w:rPr>
      </w:pPr>
    </w:p>
    <w:p w:rsidR="00D830D1" w:rsidRPr="00136741" w:rsidRDefault="00D830D1" w:rsidP="00A55E56">
      <w:pPr>
        <w:jc w:val="both"/>
        <w:rPr>
          <w:sz w:val="24"/>
          <w:szCs w:val="24"/>
        </w:rPr>
      </w:pPr>
      <w:r w:rsidRPr="00136741">
        <w:rPr>
          <w:sz w:val="24"/>
          <w:szCs w:val="24"/>
        </w:rPr>
        <w:t>The Bureau of Labor Statistics Commissioner's Order 1-06 "Confidential Nature of BLS Statistical Data," explains the Bureau's policy on confidentiality:</w:t>
      </w:r>
      <w:r w:rsidR="00BD27F0">
        <w:rPr>
          <w:sz w:val="24"/>
          <w:szCs w:val="24"/>
        </w:rPr>
        <w:t xml:space="preserve">  “</w:t>
      </w:r>
      <w:r w:rsidRPr="00136741">
        <w:rPr>
          <w:sz w:val="24"/>
          <w:szCs w:val="24"/>
        </w:rPr>
        <w:t>In conformance with existing law and Departmental regulations, it is the policy of the BLS that</w:t>
      </w:r>
      <w:r w:rsidR="00BD27F0">
        <w:rPr>
          <w:sz w:val="24"/>
          <w:szCs w:val="24"/>
        </w:rPr>
        <w:t xml:space="preserve"> </w:t>
      </w:r>
      <w:r w:rsidRPr="00136741">
        <w:rPr>
          <w:sz w:val="24"/>
          <w:szCs w:val="24"/>
        </w:rPr>
        <w:t>Respondent identifiable information collected or maintained by, or under the auspices of, the BLS for exclusively statistical purposes and under pledge of confidentiality shall be treated in a manner that will ensure that the data will be used only for statistical purposes and will be accessible only to authorized persons.</w:t>
      </w:r>
      <w:r w:rsidR="00BD27F0">
        <w:rPr>
          <w:sz w:val="24"/>
          <w:szCs w:val="24"/>
        </w:rPr>
        <w:t>”</w:t>
      </w:r>
    </w:p>
    <w:p w:rsidR="00D830D1" w:rsidRPr="00136741" w:rsidRDefault="00D830D1" w:rsidP="00A55E56">
      <w:pPr>
        <w:jc w:val="both"/>
        <w:rPr>
          <w:sz w:val="24"/>
          <w:szCs w:val="24"/>
        </w:rPr>
      </w:pPr>
    </w:p>
    <w:p w:rsidR="00D830D1" w:rsidRPr="00136741" w:rsidRDefault="00D830D1" w:rsidP="00A55E56">
      <w:pPr>
        <w:jc w:val="both"/>
        <w:rPr>
          <w:sz w:val="24"/>
          <w:szCs w:val="24"/>
        </w:rPr>
      </w:pPr>
      <w:r w:rsidRPr="00136741">
        <w:rPr>
          <w:sz w:val="24"/>
          <w:szCs w:val="24"/>
        </w:rPr>
        <w:lastRenderedPageBreak/>
        <w:t>This policy remains in effect.</w:t>
      </w:r>
    </w:p>
    <w:p w:rsidR="00D830D1" w:rsidRPr="00136741" w:rsidRDefault="00D830D1" w:rsidP="00A55E56">
      <w:pPr>
        <w:jc w:val="both"/>
        <w:rPr>
          <w:sz w:val="24"/>
          <w:szCs w:val="24"/>
        </w:rPr>
      </w:pPr>
    </w:p>
    <w:p w:rsidR="00D830D1" w:rsidRPr="00136741" w:rsidRDefault="00D830D1" w:rsidP="00A55E56">
      <w:pPr>
        <w:keepNext/>
        <w:jc w:val="both"/>
        <w:rPr>
          <w:b/>
          <w:sz w:val="24"/>
          <w:szCs w:val="24"/>
        </w:rPr>
      </w:pPr>
      <w:r w:rsidRPr="00136741">
        <w:rPr>
          <w:b/>
          <w:sz w:val="24"/>
          <w:szCs w:val="24"/>
        </w:rPr>
        <w:t>11. Sensitive Questions</w:t>
      </w:r>
    </w:p>
    <w:p w:rsidR="00D830D1" w:rsidRPr="00136741" w:rsidRDefault="00D830D1" w:rsidP="00A55E56">
      <w:pPr>
        <w:jc w:val="both"/>
        <w:rPr>
          <w:sz w:val="24"/>
          <w:szCs w:val="24"/>
        </w:rPr>
      </w:pPr>
      <w:r w:rsidRPr="00136741">
        <w:rPr>
          <w:sz w:val="24"/>
          <w:szCs w:val="24"/>
        </w:rPr>
        <w:t>No sensitive questions will be asked.</w:t>
      </w:r>
    </w:p>
    <w:p w:rsidR="00D830D1" w:rsidRDefault="00D830D1" w:rsidP="00A55E56">
      <w:pPr>
        <w:jc w:val="both"/>
        <w:rPr>
          <w:sz w:val="24"/>
          <w:szCs w:val="24"/>
        </w:rPr>
      </w:pPr>
    </w:p>
    <w:p w:rsidR="00D830D1" w:rsidRPr="00136741" w:rsidRDefault="00D830D1" w:rsidP="00A55E56">
      <w:pPr>
        <w:keepNext/>
        <w:keepLines/>
        <w:jc w:val="both"/>
        <w:rPr>
          <w:b/>
          <w:sz w:val="24"/>
          <w:szCs w:val="24"/>
        </w:rPr>
      </w:pPr>
      <w:r w:rsidRPr="00136741">
        <w:rPr>
          <w:b/>
          <w:sz w:val="24"/>
          <w:szCs w:val="24"/>
        </w:rPr>
        <w:t>12. Burden of Collection</w:t>
      </w:r>
    </w:p>
    <w:p w:rsidR="00D830D1" w:rsidRPr="00136741" w:rsidRDefault="00D830D1" w:rsidP="00A55E56">
      <w:pPr>
        <w:jc w:val="both"/>
        <w:rPr>
          <w:sz w:val="24"/>
          <w:szCs w:val="24"/>
        </w:rPr>
      </w:pPr>
      <w:r w:rsidRPr="00136741">
        <w:rPr>
          <w:sz w:val="24"/>
          <w:szCs w:val="24"/>
        </w:rPr>
        <w:t xml:space="preserve">Explanation of how the total burden hours </w:t>
      </w:r>
      <w:r>
        <w:rPr>
          <w:sz w:val="24"/>
          <w:szCs w:val="24"/>
        </w:rPr>
        <w:t xml:space="preserve">for the GTP collection </w:t>
      </w:r>
      <w:r w:rsidRPr="00136741">
        <w:rPr>
          <w:sz w:val="24"/>
          <w:szCs w:val="24"/>
        </w:rPr>
        <w:t>were derived for fiscal year</w:t>
      </w:r>
      <w:r w:rsidR="00A712EC">
        <w:rPr>
          <w:sz w:val="24"/>
          <w:szCs w:val="24"/>
        </w:rPr>
        <w:t>s</w:t>
      </w:r>
      <w:r w:rsidRPr="00136741">
        <w:rPr>
          <w:sz w:val="24"/>
          <w:szCs w:val="24"/>
        </w:rPr>
        <w:t xml:space="preserve"> 201</w:t>
      </w:r>
      <w:r>
        <w:rPr>
          <w:sz w:val="24"/>
          <w:szCs w:val="24"/>
        </w:rPr>
        <w:t>1</w:t>
      </w:r>
      <w:r w:rsidR="00A712EC">
        <w:rPr>
          <w:sz w:val="24"/>
          <w:szCs w:val="24"/>
        </w:rPr>
        <w:t xml:space="preserve"> and 2012</w:t>
      </w:r>
      <w:r>
        <w:rPr>
          <w:sz w:val="24"/>
          <w:szCs w:val="24"/>
        </w:rPr>
        <w:t>.</w:t>
      </w:r>
    </w:p>
    <w:p w:rsidR="00D830D1" w:rsidRPr="00136741" w:rsidRDefault="00D830D1" w:rsidP="00A55E56">
      <w:pPr>
        <w:jc w:val="both"/>
      </w:pPr>
    </w:p>
    <w:p w:rsidR="00D830D1" w:rsidRDefault="00D830D1" w:rsidP="00A55E56">
      <w:pPr>
        <w:ind w:left="18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8"/>
        <w:gridCol w:w="1170"/>
        <w:gridCol w:w="1350"/>
        <w:gridCol w:w="1440"/>
        <w:gridCol w:w="2070"/>
      </w:tblGrid>
      <w:tr w:rsidR="00D830D1" w:rsidRPr="008D4919" w:rsidTr="009D4D62">
        <w:trPr>
          <w:trHeight w:val="315"/>
        </w:trPr>
        <w:tc>
          <w:tcPr>
            <w:tcW w:w="3798" w:type="dxa"/>
          </w:tcPr>
          <w:p w:rsidR="00D830D1" w:rsidRPr="00507398" w:rsidRDefault="00D830D1">
            <w:pPr>
              <w:jc w:val="both"/>
              <w:rPr>
                <w:color w:val="000000"/>
                <w:sz w:val="24"/>
                <w:szCs w:val="24"/>
              </w:rPr>
            </w:pPr>
            <w:r w:rsidRPr="00857E74">
              <w:rPr>
                <w:color w:val="000000"/>
                <w:sz w:val="24"/>
                <w:szCs w:val="24"/>
              </w:rPr>
              <w:t> </w:t>
            </w:r>
          </w:p>
        </w:tc>
        <w:tc>
          <w:tcPr>
            <w:tcW w:w="6030" w:type="dxa"/>
            <w:gridSpan w:val="4"/>
            <w:vAlign w:val="bottom"/>
          </w:tcPr>
          <w:p w:rsidR="00D830D1" w:rsidRPr="00507398" w:rsidRDefault="00D830D1" w:rsidP="00340EDD">
            <w:pPr>
              <w:jc w:val="center"/>
              <w:rPr>
                <w:color w:val="000000"/>
                <w:sz w:val="24"/>
                <w:szCs w:val="24"/>
              </w:rPr>
            </w:pPr>
            <w:r w:rsidRPr="0012294A">
              <w:rPr>
                <w:color w:val="000000"/>
                <w:sz w:val="24"/>
                <w:szCs w:val="24"/>
              </w:rPr>
              <w:t>G</w:t>
            </w:r>
            <w:r>
              <w:rPr>
                <w:color w:val="000000"/>
                <w:sz w:val="24"/>
                <w:szCs w:val="24"/>
              </w:rPr>
              <w:t>T</w:t>
            </w:r>
            <w:r w:rsidRPr="0012294A">
              <w:rPr>
                <w:color w:val="000000"/>
                <w:sz w:val="24"/>
                <w:szCs w:val="24"/>
              </w:rPr>
              <w:t xml:space="preserve">P: </w:t>
            </w:r>
            <w:r w:rsidR="008C6B9F">
              <w:rPr>
                <w:color w:val="000000"/>
                <w:sz w:val="24"/>
                <w:szCs w:val="24"/>
              </w:rPr>
              <w:t>FY</w:t>
            </w:r>
            <w:r w:rsidRPr="0012294A">
              <w:rPr>
                <w:color w:val="000000"/>
                <w:sz w:val="24"/>
                <w:szCs w:val="24"/>
              </w:rPr>
              <w:t>2011</w:t>
            </w:r>
            <w:r w:rsidR="00C0449B">
              <w:rPr>
                <w:color w:val="000000"/>
                <w:sz w:val="24"/>
                <w:szCs w:val="24"/>
              </w:rPr>
              <w:t xml:space="preserve"> </w:t>
            </w:r>
            <w:r w:rsidR="0085035D">
              <w:rPr>
                <w:sz w:val="24"/>
                <w:szCs w:val="24"/>
              </w:rPr>
              <w:t>–</w:t>
            </w:r>
            <w:r w:rsidR="00C0449B">
              <w:rPr>
                <w:color w:val="000000"/>
                <w:sz w:val="24"/>
                <w:szCs w:val="24"/>
              </w:rPr>
              <w:t xml:space="preserve"> </w:t>
            </w:r>
            <w:r w:rsidR="008C6B9F">
              <w:rPr>
                <w:color w:val="000000"/>
                <w:sz w:val="24"/>
                <w:szCs w:val="24"/>
              </w:rPr>
              <w:t>FY</w:t>
            </w:r>
            <w:r w:rsidR="00340EDD">
              <w:rPr>
                <w:color w:val="000000"/>
                <w:sz w:val="24"/>
                <w:szCs w:val="24"/>
              </w:rPr>
              <w:t>2012</w:t>
            </w:r>
          </w:p>
        </w:tc>
      </w:tr>
      <w:tr w:rsidR="00D830D1" w:rsidRPr="008D4919" w:rsidTr="009D4D62">
        <w:trPr>
          <w:trHeight w:val="780"/>
        </w:trPr>
        <w:tc>
          <w:tcPr>
            <w:tcW w:w="3798" w:type="dxa"/>
          </w:tcPr>
          <w:p w:rsidR="00D830D1" w:rsidRPr="00507398" w:rsidRDefault="00D830D1">
            <w:pPr>
              <w:tabs>
                <w:tab w:val="center" w:pos="4320"/>
                <w:tab w:val="right" w:pos="8640"/>
              </w:tabs>
              <w:jc w:val="both"/>
              <w:rPr>
                <w:color w:val="000000"/>
                <w:sz w:val="24"/>
                <w:szCs w:val="24"/>
              </w:rPr>
            </w:pPr>
            <w:r w:rsidRPr="00857E74">
              <w:rPr>
                <w:color w:val="000000"/>
                <w:sz w:val="24"/>
                <w:szCs w:val="24"/>
              </w:rPr>
              <w:t> </w:t>
            </w:r>
          </w:p>
        </w:tc>
        <w:tc>
          <w:tcPr>
            <w:tcW w:w="1170" w:type="dxa"/>
            <w:vAlign w:val="bottom"/>
          </w:tcPr>
          <w:p w:rsidR="00D830D1" w:rsidRPr="00507398" w:rsidRDefault="00D830D1" w:rsidP="009D4D62">
            <w:pPr>
              <w:tabs>
                <w:tab w:val="center" w:pos="4320"/>
                <w:tab w:val="right" w:pos="8640"/>
              </w:tabs>
              <w:jc w:val="center"/>
              <w:rPr>
                <w:color w:val="000000"/>
                <w:sz w:val="24"/>
                <w:szCs w:val="24"/>
              </w:rPr>
            </w:pPr>
            <w:r w:rsidRPr="0012294A">
              <w:rPr>
                <w:color w:val="000000"/>
                <w:sz w:val="24"/>
                <w:szCs w:val="24"/>
              </w:rPr>
              <w:t>Sample Units</w:t>
            </w:r>
          </w:p>
        </w:tc>
        <w:tc>
          <w:tcPr>
            <w:tcW w:w="1350" w:type="dxa"/>
            <w:vAlign w:val="bottom"/>
          </w:tcPr>
          <w:p w:rsidR="00D830D1" w:rsidRPr="00507398" w:rsidRDefault="00D830D1" w:rsidP="009D4D62">
            <w:pPr>
              <w:tabs>
                <w:tab w:val="center" w:pos="4320"/>
                <w:tab w:val="right" w:pos="8640"/>
              </w:tabs>
              <w:jc w:val="center"/>
              <w:rPr>
                <w:color w:val="000000"/>
                <w:sz w:val="24"/>
                <w:szCs w:val="24"/>
              </w:rPr>
            </w:pPr>
            <w:r w:rsidRPr="0012294A">
              <w:rPr>
                <w:color w:val="000000"/>
                <w:sz w:val="24"/>
                <w:szCs w:val="24"/>
              </w:rPr>
              <w:t>Responses</w:t>
            </w:r>
          </w:p>
        </w:tc>
        <w:tc>
          <w:tcPr>
            <w:tcW w:w="1440" w:type="dxa"/>
            <w:vAlign w:val="bottom"/>
          </w:tcPr>
          <w:p w:rsidR="00D830D1" w:rsidRPr="00507398" w:rsidRDefault="00D830D1" w:rsidP="009D4D62">
            <w:pPr>
              <w:tabs>
                <w:tab w:val="center" w:pos="4320"/>
                <w:tab w:val="right" w:pos="8640"/>
              </w:tabs>
              <w:jc w:val="center"/>
              <w:rPr>
                <w:color w:val="000000"/>
                <w:sz w:val="24"/>
                <w:szCs w:val="24"/>
              </w:rPr>
            </w:pPr>
            <w:r w:rsidRPr="0012294A">
              <w:rPr>
                <w:color w:val="000000"/>
                <w:sz w:val="24"/>
                <w:szCs w:val="24"/>
              </w:rPr>
              <w:t>Avg. Response Time</w:t>
            </w:r>
          </w:p>
        </w:tc>
        <w:tc>
          <w:tcPr>
            <w:tcW w:w="2070" w:type="dxa"/>
            <w:vAlign w:val="bottom"/>
          </w:tcPr>
          <w:p w:rsidR="00D830D1" w:rsidRPr="00507398" w:rsidRDefault="00D830D1" w:rsidP="009D4D62">
            <w:pPr>
              <w:tabs>
                <w:tab w:val="center" w:pos="4320"/>
                <w:tab w:val="right" w:pos="8640"/>
              </w:tabs>
              <w:jc w:val="center"/>
              <w:rPr>
                <w:color w:val="000000"/>
                <w:sz w:val="24"/>
                <w:szCs w:val="24"/>
              </w:rPr>
            </w:pPr>
            <w:r w:rsidRPr="0012294A">
              <w:rPr>
                <w:color w:val="000000"/>
                <w:sz w:val="24"/>
                <w:szCs w:val="24"/>
              </w:rPr>
              <w:t>Total Response Time</w:t>
            </w:r>
          </w:p>
        </w:tc>
      </w:tr>
      <w:tr w:rsidR="00D830D1" w:rsidRPr="008D4919" w:rsidTr="00BC2C0C">
        <w:trPr>
          <w:trHeight w:val="304"/>
        </w:trPr>
        <w:tc>
          <w:tcPr>
            <w:tcW w:w="3798" w:type="dxa"/>
          </w:tcPr>
          <w:p w:rsidR="00D830D1" w:rsidRDefault="00D830D1">
            <w:pPr>
              <w:rPr>
                <w:color w:val="000000"/>
                <w:sz w:val="24"/>
                <w:szCs w:val="24"/>
              </w:rPr>
            </w:pPr>
            <w:r w:rsidRPr="0012294A">
              <w:rPr>
                <w:color w:val="000000"/>
                <w:sz w:val="24"/>
                <w:szCs w:val="24"/>
              </w:rPr>
              <w:t>Private sector establishments</w:t>
            </w:r>
          </w:p>
        </w:tc>
        <w:tc>
          <w:tcPr>
            <w:tcW w:w="117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29,470</w:t>
            </w:r>
          </w:p>
        </w:tc>
        <w:tc>
          <w:tcPr>
            <w:tcW w:w="135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22,103</w:t>
            </w:r>
          </w:p>
        </w:tc>
        <w:tc>
          <w:tcPr>
            <w:tcW w:w="1440" w:type="dxa"/>
          </w:tcPr>
          <w:p w:rsidR="00D830D1" w:rsidRPr="00507398" w:rsidRDefault="0017444D" w:rsidP="009D4D62">
            <w:pPr>
              <w:tabs>
                <w:tab w:val="center" w:pos="4320"/>
                <w:tab w:val="right" w:pos="8640"/>
              </w:tabs>
              <w:jc w:val="right"/>
              <w:rPr>
                <w:color w:val="000000"/>
                <w:sz w:val="24"/>
                <w:szCs w:val="24"/>
              </w:rPr>
            </w:pPr>
            <w:r>
              <w:rPr>
                <w:color w:val="000000"/>
                <w:sz w:val="24"/>
                <w:szCs w:val="24"/>
              </w:rPr>
              <w:t>2</w:t>
            </w:r>
            <w:r w:rsidRPr="0012294A">
              <w:rPr>
                <w:color w:val="000000"/>
                <w:sz w:val="24"/>
                <w:szCs w:val="24"/>
              </w:rPr>
              <w:t xml:space="preserve">0 </w:t>
            </w:r>
            <w:r w:rsidR="00D830D1" w:rsidRPr="0012294A">
              <w:rPr>
                <w:color w:val="000000"/>
                <w:sz w:val="24"/>
                <w:szCs w:val="24"/>
              </w:rPr>
              <w:t>minutes</w:t>
            </w:r>
          </w:p>
        </w:tc>
        <w:tc>
          <w:tcPr>
            <w:tcW w:w="2070" w:type="dxa"/>
          </w:tcPr>
          <w:p w:rsidR="00D830D1" w:rsidRPr="00507398" w:rsidRDefault="0017444D" w:rsidP="009D4D62">
            <w:pPr>
              <w:tabs>
                <w:tab w:val="center" w:pos="4320"/>
                <w:tab w:val="right" w:pos="8640"/>
              </w:tabs>
              <w:jc w:val="right"/>
              <w:rPr>
                <w:color w:val="000000"/>
                <w:sz w:val="24"/>
                <w:szCs w:val="24"/>
              </w:rPr>
            </w:pPr>
            <w:r>
              <w:rPr>
                <w:color w:val="000000"/>
                <w:sz w:val="24"/>
                <w:szCs w:val="24"/>
              </w:rPr>
              <w:t>7,368</w:t>
            </w:r>
            <w:r w:rsidR="00D830D1" w:rsidRPr="0012294A">
              <w:rPr>
                <w:color w:val="000000"/>
                <w:sz w:val="24"/>
                <w:szCs w:val="24"/>
              </w:rPr>
              <w:t xml:space="preserve"> hours</w:t>
            </w:r>
          </w:p>
        </w:tc>
      </w:tr>
      <w:tr w:rsidR="00D830D1" w:rsidRPr="008D4919" w:rsidTr="00BC2C0C">
        <w:trPr>
          <w:trHeight w:val="315"/>
        </w:trPr>
        <w:tc>
          <w:tcPr>
            <w:tcW w:w="3798" w:type="dxa"/>
          </w:tcPr>
          <w:p w:rsidR="00D830D1" w:rsidRDefault="00D830D1">
            <w:pPr>
              <w:rPr>
                <w:color w:val="000000"/>
                <w:sz w:val="24"/>
                <w:szCs w:val="24"/>
              </w:rPr>
            </w:pPr>
            <w:r w:rsidRPr="0012294A">
              <w:rPr>
                <w:color w:val="000000"/>
                <w:sz w:val="24"/>
                <w:szCs w:val="24"/>
              </w:rPr>
              <w:t>Local government establishments</w:t>
            </w:r>
          </w:p>
        </w:tc>
        <w:tc>
          <w:tcPr>
            <w:tcW w:w="117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3,650</w:t>
            </w:r>
          </w:p>
        </w:tc>
        <w:tc>
          <w:tcPr>
            <w:tcW w:w="135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2,738</w:t>
            </w:r>
          </w:p>
        </w:tc>
        <w:tc>
          <w:tcPr>
            <w:tcW w:w="1440" w:type="dxa"/>
          </w:tcPr>
          <w:p w:rsidR="00D830D1" w:rsidRPr="00507398" w:rsidRDefault="0017444D" w:rsidP="009D4D62">
            <w:pPr>
              <w:tabs>
                <w:tab w:val="center" w:pos="4320"/>
                <w:tab w:val="right" w:pos="8640"/>
              </w:tabs>
              <w:jc w:val="right"/>
              <w:rPr>
                <w:color w:val="000000"/>
                <w:sz w:val="24"/>
                <w:szCs w:val="24"/>
              </w:rPr>
            </w:pPr>
            <w:r>
              <w:rPr>
                <w:color w:val="000000"/>
                <w:sz w:val="24"/>
                <w:szCs w:val="24"/>
              </w:rPr>
              <w:t>2</w:t>
            </w:r>
            <w:r w:rsidRPr="0012294A">
              <w:rPr>
                <w:color w:val="000000"/>
                <w:sz w:val="24"/>
                <w:szCs w:val="24"/>
              </w:rPr>
              <w:t xml:space="preserve">0 </w:t>
            </w:r>
            <w:r w:rsidR="00D830D1" w:rsidRPr="0012294A">
              <w:rPr>
                <w:color w:val="000000"/>
                <w:sz w:val="24"/>
                <w:szCs w:val="24"/>
              </w:rPr>
              <w:t>minutes</w:t>
            </w:r>
          </w:p>
        </w:tc>
        <w:tc>
          <w:tcPr>
            <w:tcW w:w="2070" w:type="dxa"/>
          </w:tcPr>
          <w:p w:rsidR="00D830D1" w:rsidRPr="00507398" w:rsidRDefault="0017444D" w:rsidP="009D4D62">
            <w:pPr>
              <w:tabs>
                <w:tab w:val="center" w:pos="4320"/>
                <w:tab w:val="right" w:pos="8640"/>
              </w:tabs>
              <w:jc w:val="right"/>
              <w:rPr>
                <w:color w:val="000000"/>
                <w:sz w:val="24"/>
                <w:szCs w:val="24"/>
              </w:rPr>
            </w:pPr>
            <w:r>
              <w:rPr>
                <w:color w:val="000000"/>
                <w:sz w:val="24"/>
                <w:szCs w:val="24"/>
              </w:rPr>
              <w:t>913</w:t>
            </w:r>
            <w:r w:rsidR="00D830D1">
              <w:rPr>
                <w:color w:val="000000"/>
                <w:sz w:val="24"/>
                <w:szCs w:val="24"/>
              </w:rPr>
              <w:t xml:space="preserve"> </w:t>
            </w:r>
            <w:r w:rsidR="00D830D1" w:rsidRPr="0012294A">
              <w:rPr>
                <w:color w:val="000000"/>
                <w:sz w:val="24"/>
                <w:szCs w:val="24"/>
              </w:rPr>
              <w:t>hours</w:t>
            </w:r>
          </w:p>
        </w:tc>
      </w:tr>
      <w:tr w:rsidR="00D830D1" w:rsidRPr="008D4919" w:rsidTr="00BC2C0C">
        <w:trPr>
          <w:trHeight w:val="315"/>
        </w:trPr>
        <w:tc>
          <w:tcPr>
            <w:tcW w:w="3798" w:type="dxa"/>
          </w:tcPr>
          <w:p w:rsidR="00D830D1" w:rsidRDefault="00D830D1">
            <w:pPr>
              <w:rPr>
                <w:color w:val="000000"/>
                <w:sz w:val="24"/>
                <w:szCs w:val="24"/>
              </w:rPr>
            </w:pPr>
            <w:r w:rsidRPr="0012294A">
              <w:rPr>
                <w:color w:val="000000"/>
                <w:sz w:val="24"/>
                <w:szCs w:val="24"/>
              </w:rPr>
              <w:t>State government establishments</w:t>
            </w:r>
          </w:p>
        </w:tc>
        <w:tc>
          <w:tcPr>
            <w:tcW w:w="117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1,160</w:t>
            </w:r>
          </w:p>
        </w:tc>
        <w:tc>
          <w:tcPr>
            <w:tcW w:w="135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870</w:t>
            </w:r>
          </w:p>
        </w:tc>
        <w:tc>
          <w:tcPr>
            <w:tcW w:w="1440" w:type="dxa"/>
          </w:tcPr>
          <w:p w:rsidR="00D830D1" w:rsidRPr="00507398" w:rsidRDefault="0017444D" w:rsidP="009D4D62">
            <w:pPr>
              <w:tabs>
                <w:tab w:val="center" w:pos="4320"/>
                <w:tab w:val="right" w:pos="8640"/>
              </w:tabs>
              <w:jc w:val="right"/>
              <w:rPr>
                <w:color w:val="000000"/>
                <w:sz w:val="24"/>
                <w:szCs w:val="24"/>
              </w:rPr>
            </w:pPr>
            <w:r>
              <w:rPr>
                <w:color w:val="000000"/>
                <w:sz w:val="24"/>
                <w:szCs w:val="24"/>
              </w:rPr>
              <w:t>2</w:t>
            </w:r>
            <w:r w:rsidRPr="0012294A">
              <w:rPr>
                <w:color w:val="000000"/>
                <w:sz w:val="24"/>
                <w:szCs w:val="24"/>
              </w:rPr>
              <w:t xml:space="preserve">0 </w:t>
            </w:r>
            <w:r w:rsidR="00D830D1" w:rsidRPr="0012294A">
              <w:rPr>
                <w:color w:val="000000"/>
                <w:sz w:val="24"/>
                <w:szCs w:val="24"/>
              </w:rPr>
              <w:t>minutes</w:t>
            </w:r>
          </w:p>
        </w:tc>
        <w:tc>
          <w:tcPr>
            <w:tcW w:w="2070" w:type="dxa"/>
          </w:tcPr>
          <w:p w:rsidR="00D830D1" w:rsidRPr="00507398" w:rsidRDefault="0017444D" w:rsidP="009D4D62">
            <w:pPr>
              <w:tabs>
                <w:tab w:val="center" w:pos="4320"/>
                <w:tab w:val="right" w:pos="8640"/>
              </w:tabs>
              <w:jc w:val="right"/>
              <w:rPr>
                <w:color w:val="000000"/>
                <w:sz w:val="24"/>
                <w:szCs w:val="24"/>
              </w:rPr>
            </w:pPr>
            <w:r>
              <w:rPr>
                <w:color w:val="000000"/>
                <w:sz w:val="24"/>
                <w:szCs w:val="24"/>
              </w:rPr>
              <w:t xml:space="preserve">290 </w:t>
            </w:r>
            <w:r w:rsidR="00D830D1" w:rsidRPr="0012294A">
              <w:rPr>
                <w:color w:val="000000"/>
                <w:sz w:val="24"/>
                <w:szCs w:val="24"/>
              </w:rPr>
              <w:t>hours</w:t>
            </w:r>
          </w:p>
        </w:tc>
      </w:tr>
      <w:tr w:rsidR="00D830D1" w:rsidRPr="008D4919" w:rsidTr="00BC2C0C">
        <w:trPr>
          <w:trHeight w:val="315"/>
        </w:trPr>
        <w:tc>
          <w:tcPr>
            <w:tcW w:w="3798" w:type="dxa"/>
          </w:tcPr>
          <w:p w:rsidR="00D830D1" w:rsidRDefault="00D830D1">
            <w:pPr>
              <w:rPr>
                <w:color w:val="000000"/>
                <w:sz w:val="24"/>
                <w:szCs w:val="24"/>
              </w:rPr>
            </w:pPr>
            <w:r w:rsidRPr="0012294A">
              <w:rPr>
                <w:color w:val="000000"/>
                <w:sz w:val="24"/>
                <w:szCs w:val="24"/>
              </w:rPr>
              <w:t>Federal government establishments</w:t>
            </w:r>
          </w:p>
        </w:tc>
        <w:tc>
          <w:tcPr>
            <w:tcW w:w="117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720</w:t>
            </w:r>
          </w:p>
        </w:tc>
        <w:tc>
          <w:tcPr>
            <w:tcW w:w="135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540</w:t>
            </w:r>
          </w:p>
        </w:tc>
        <w:tc>
          <w:tcPr>
            <w:tcW w:w="1440" w:type="dxa"/>
          </w:tcPr>
          <w:p w:rsidR="00D830D1" w:rsidRPr="00507398" w:rsidRDefault="0017444D" w:rsidP="009D4D62">
            <w:pPr>
              <w:tabs>
                <w:tab w:val="center" w:pos="4320"/>
                <w:tab w:val="right" w:pos="8640"/>
              </w:tabs>
              <w:jc w:val="right"/>
              <w:rPr>
                <w:color w:val="000000"/>
                <w:sz w:val="24"/>
                <w:szCs w:val="24"/>
              </w:rPr>
            </w:pPr>
            <w:r>
              <w:rPr>
                <w:color w:val="000000"/>
                <w:sz w:val="24"/>
                <w:szCs w:val="24"/>
              </w:rPr>
              <w:t>2</w:t>
            </w:r>
            <w:r w:rsidRPr="0012294A">
              <w:rPr>
                <w:color w:val="000000"/>
                <w:sz w:val="24"/>
                <w:szCs w:val="24"/>
              </w:rPr>
              <w:t xml:space="preserve">0 </w:t>
            </w:r>
            <w:r w:rsidR="00D830D1" w:rsidRPr="0012294A">
              <w:rPr>
                <w:color w:val="000000"/>
                <w:sz w:val="24"/>
                <w:szCs w:val="24"/>
              </w:rPr>
              <w:t>minutes</w:t>
            </w:r>
          </w:p>
        </w:tc>
        <w:tc>
          <w:tcPr>
            <w:tcW w:w="2070" w:type="dxa"/>
          </w:tcPr>
          <w:p w:rsidR="00D830D1" w:rsidRPr="00507398" w:rsidRDefault="0017444D" w:rsidP="009D4D62">
            <w:pPr>
              <w:tabs>
                <w:tab w:val="center" w:pos="4320"/>
                <w:tab w:val="right" w:pos="8640"/>
              </w:tabs>
              <w:jc w:val="right"/>
              <w:rPr>
                <w:color w:val="000000"/>
                <w:sz w:val="24"/>
                <w:szCs w:val="24"/>
              </w:rPr>
            </w:pPr>
            <w:r>
              <w:rPr>
                <w:color w:val="000000"/>
                <w:sz w:val="24"/>
                <w:szCs w:val="24"/>
              </w:rPr>
              <w:t xml:space="preserve">180 </w:t>
            </w:r>
            <w:r w:rsidR="00D830D1" w:rsidRPr="0012294A">
              <w:rPr>
                <w:color w:val="000000"/>
                <w:sz w:val="24"/>
                <w:szCs w:val="24"/>
              </w:rPr>
              <w:t>hours</w:t>
            </w:r>
          </w:p>
        </w:tc>
      </w:tr>
      <w:tr w:rsidR="00D830D1" w:rsidRPr="008D4919" w:rsidTr="00BC2C0C">
        <w:trPr>
          <w:trHeight w:val="315"/>
        </w:trPr>
        <w:tc>
          <w:tcPr>
            <w:tcW w:w="3798" w:type="dxa"/>
          </w:tcPr>
          <w:p w:rsidR="00D830D1" w:rsidRDefault="00D830D1">
            <w:pPr>
              <w:rPr>
                <w:color w:val="000000"/>
                <w:sz w:val="24"/>
                <w:szCs w:val="24"/>
              </w:rPr>
            </w:pPr>
            <w:r w:rsidRPr="0012294A">
              <w:rPr>
                <w:color w:val="000000"/>
                <w:sz w:val="24"/>
                <w:szCs w:val="24"/>
              </w:rPr>
              <w:t>Response Analysis Survey</w:t>
            </w:r>
          </w:p>
        </w:tc>
        <w:tc>
          <w:tcPr>
            <w:tcW w:w="1170" w:type="dxa"/>
          </w:tcPr>
          <w:p w:rsidR="00D830D1" w:rsidRPr="00507398" w:rsidRDefault="00D830D1" w:rsidP="009D4D62">
            <w:pPr>
              <w:tabs>
                <w:tab w:val="center" w:pos="4320"/>
                <w:tab w:val="right" w:pos="8640"/>
              </w:tabs>
              <w:jc w:val="right"/>
              <w:rPr>
                <w:color w:val="000000"/>
                <w:sz w:val="24"/>
                <w:szCs w:val="24"/>
              </w:rPr>
            </w:pPr>
            <w:r>
              <w:rPr>
                <w:color w:val="000000"/>
                <w:sz w:val="24"/>
                <w:szCs w:val="24"/>
              </w:rPr>
              <w:t>1,000</w:t>
            </w:r>
          </w:p>
        </w:tc>
        <w:tc>
          <w:tcPr>
            <w:tcW w:w="1350" w:type="dxa"/>
          </w:tcPr>
          <w:p w:rsidR="00D830D1" w:rsidRPr="00507398" w:rsidRDefault="00D830D1" w:rsidP="009D4D62">
            <w:pPr>
              <w:tabs>
                <w:tab w:val="center" w:pos="4320"/>
                <w:tab w:val="right" w:pos="8640"/>
              </w:tabs>
              <w:jc w:val="right"/>
              <w:rPr>
                <w:color w:val="000000"/>
                <w:sz w:val="24"/>
                <w:szCs w:val="24"/>
              </w:rPr>
            </w:pPr>
            <w:r>
              <w:rPr>
                <w:color w:val="000000"/>
                <w:sz w:val="24"/>
                <w:szCs w:val="24"/>
              </w:rPr>
              <w:t>750</w:t>
            </w:r>
          </w:p>
        </w:tc>
        <w:tc>
          <w:tcPr>
            <w:tcW w:w="144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20 minutes</w:t>
            </w:r>
          </w:p>
        </w:tc>
        <w:tc>
          <w:tcPr>
            <w:tcW w:w="2070" w:type="dxa"/>
          </w:tcPr>
          <w:p w:rsidR="00D830D1" w:rsidRDefault="00D830D1" w:rsidP="009D4D62">
            <w:pPr>
              <w:jc w:val="right"/>
              <w:rPr>
                <w:color w:val="000000"/>
                <w:sz w:val="24"/>
                <w:szCs w:val="24"/>
              </w:rPr>
            </w:pPr>
            <w:r w:rsidRPr="0012294A">
              <w:rPr>
                <w:color w:val="000000"/>
                <w:sz w:val="24"/>
                <w:szCs w:val="24"/>
              </w:rPr>
              <w:t>2</w:t>
            </w:r>
            <w:r>
              <w:rPr>
                <w:color w:val="000000"/>
                <w:sz w:val="24"/>
                <w:szCs w:val="24"/>
              </w:rPr>
              <w:t xml:space="preserve">50 </w:t>
            </w:r>
            <w:r w:rsidRPr="0012294A">
              <w:rPr>
                <w:color w:val="000000"/>
                <w:sz w:val="24"/>
                <w:szCs w:val="24"/>
              </w:rPr>
              <w:t>hours</w:t>
            </w:r>
          </w:p>
        </w:tc>
      </w:tr>
      <w:tr w:rsidR="00D830D1" w:rsidRPr="008D4919" w:rsidTr="00BC2C0C">
        <w:trPr>
          <w:trHeight w:val="525"/>
        </w:trPr>
        <w:tc>
          <w:tcPr>
            <w:tcW w:w="3798" w:type="dxa"/>
          </w:tcPr>
          <w:p w:rsidR="00D830D1" w:rsidRDefault="00D830D1">
            <w:pPr>
              <w:rPr>
                <w:color w:val="000000"/>
                <w:sz w:val="24"/>
                <w:szCs w:val="24"/>
              </w:rPr>
            </w:pPr>
            <w:r w:rsidRPr="0012294A">
              <w:rPr>
                <w:color w:val="000000"/>
                <w:sz w:val="24"/>
                <w:szCs w:val="24"/>
              </w:rPr>
              <w:t>Total</w:t>
            </w:r>
          </w:p>
        </w:tc>
        <w:tc>
          <w:tcPr>
            <w:tcW w:w="1170" w:type="dxa"/>
          </w:tcPr>
          <w:p w:rsidR="00D830D1" w:rsidRDefault="00D830D1" w:rsidP="009D4D62">
            <w:pPr>
              <w:jc w:val="right"/>
              <w:rPr>
                <w:color w:val="000000"/>
                <w:sz w:val="24"/>
                <w:szCs w:val="24"/>
              </w:rPr>
            </w:pPr>
            <w:r w:rsidRPr="0012294A">
              <w:rPr>
                <w:color w:val="000000"/>
                <w:sz w:val="24"/>
                <w:szCs w:val="24"/>
              </w:rPr>
              <w:t>3</w:t>
            </w:r>
            <w:r>
              <w:rPr>
                <w:color w:val="000000"/>
                <w:sz w:val="24"/>
                <w:szCs w:val="24"/>
              </w:rPr>
              <w:t>6</w:t>
            </w:r>
            <w:r w:rsidRPr="0012294A">
              <w:rPr>
                <w:color w:val="000000"/>
                <w:sz w:val="24"/>
                <w:szCs w:val="24"/>
              </w:rPr>
              <w:t>,</w:t>
            </w:r>
            <w:r>
              <w:rPr>
                <w:color w:val="000000"/>
                <w:sz w:val="24"/>
                <w:szCs w:val="24"/>
              </w:rPr>
              <w:t>0</w:t>
            </w:r>
            <w:r w:rsidRPr="0012294A">
              <w:rPr>
                <w:color w:val="000000"/>
                <w:sz w:val="24"/>
                <w:szCs w:val="24"/>
              </w:rPr>
              <w:t>00</w:t>
            </w:r>
          </w:p>
        </w:tc>
        <w:tc>
          <w:tcPr>
            <w:tcW w:w="1350" w:type="dxa"/>
          </w:tcPr>
          <w:p w:rsidR="00D830D1" w:rsidRDefault="00D830D1" w:rsidP="009D4D62">
            <w:pPr>
              <w:jc w:val="right"/>
              <w:rPr>
                <w:color w:val="000000"/>
                <w:sz w:val="24"/>
                <w:szCs w:val="24"/>
              </w:rPr>
            </w:pPr>
            <w:r w:rsidRPr="0012294A">
              <w:rPr>
                <w:color w:val="000000"/>
                <w:sz w:val="24"/>
                <w:szCs w:val="24"/>
              </w:rPr>
              <w:t>2</w:t>
            </w:r>
            <w:r>
              <w:rPr>
                <w:color w:val="000000"/>
                <w:sz w:val="24"/>
                <w:szCs w:val="24"/>
              </w:rPr>
              <w:t>7</w:t>
            </w:r>
            <w:r w:rsidRPr="0012294A">
              <w:rPr>
                <w:color w:val="000000"/>
                <w:sz w:val="24"/>
                <w:szCs w:val="24"/>
              </w:rPr>
              <w:t>,</w:t>
            </w:r>
            <w:r>
              <w:rPr>
                <w:color w:val="000000"/>
                <w:sz w:val="24"/>
                <w:szCs w:val="24"/>
              </w:rPr>
              <w:t>001</w:t>
            </w:r>
          </w:p>
        </w:tc>
        <w:tc>
          <w:tcPr>
            <w:tcW w:w="1440" w:type="dxa"/>
          </w:tcPr>
          <w:p w:rsidR="00D830D1" w:rsidRPr="00507398" w:rsidRDefault="00D830D1" w:rsidP="009D4D62">
            <w:pPr>
              <w:jc w:val="right"/>
              <w:rPr>
                <w:color w:val="000000"/>
                <w:sz w:val="24"/>
                <w:szCs w:val="24"/>
              </w:rPr>
            </w:pPr>
          </w:p>
        </w:tc>
        <w:tc>
          <w:tcPr>
            <w:tcW w:w="2070" w:type="dxa"/>
          </w:tcPr>
          <w:p w:rsidR="00D830D1" w:rsidRPr="003E48BB" w:rsidRDefault="0017444D" w:rsidP="009D4D62">
            <w:pPr>
              <w:jc w:val="right"/>
              <w:rPr>
                <w:color w:val="000000"/>
                <w:sz w:val="24"/>
                <w:szCs w:val="24"/>
              </w:rPr>
            </w:pPr>
            <w:r>
              <w:rPr>
                <w:color w:val="000000"/>
                <w:sz w:val="24"/>
                <w:szCs w:val="24"/>
              </w:rPr>
              <w:t>9,001</w:t>
            </w:r>
            <w:r w:rsidR="00D830D1">
              <w:rPr>
                <w:color w:val="000000"/>
                <w:sz w:val="24"/>
                <w:szCs w:val="24"/>
              </w:rPr>
              <w:t xml:space="preserve"> </w:t>
            </w:r>
            <w:r w:rsidR="00D830D1" w:rsidRPr="0012294A">
              <w:rPr>
                <w:color w:val="000000"/>
                <w:sz w:val="24"/>
                <w:szCs w:val="24"/>
              </w:rPr>
              <w:t>hours</w:t>
            </w:r>
          </w:p>
        </w:tc>
      </w:tr>
    </w:tbl>
    <w:p w:rsidR="00D830D1" w:rsidRPr="00961841" w:rsidRDefault="00D830D1" w:rsidP="00A55E56">
      <w:pPr>
        <w:ind w:left="180"/>
        <w:jc w:val="both"/>
      </w:pPr>
    </w:p>
    <w:p w:rsidR="00D830D1" w:rsidRPr="00937390" w:rsidRDefault="00D830D1" w:rsidP="00A55E56">
      <w:pPr>
        <w:jc w:val="both"/>
        <w:rPr>
          <w:sz w:val="24"/>
          <w:szCs w:val="24"/>
        </w:rPr>
      </w:pPr>
      <w:r w:rsidRPr="00937390">
        <w:rPr>
          <w:sz w:val="24"/>
          <w:szCs w:val="24"/>
        </w:rPr>
        <w:t>Esti</w:t>
      </w:r>
      <w:r w:rsidR="00C0449B">
        <w:rPr>
          <w:sz w:val="24"/>
          <w:szCs w:val="24"/>
        </w:rPr>
        <w:t>mated total Burden Hours for FY</w:t>
      </w:r>
      <w:r w:rsidRPr="00937390">
        <w:rPr>
          <w:sz w:val="24"/>
          <w:szCs w:val="24"/>
        </w:rPr>
        <w:t>2011</w:t>
      </w:r>
      <w:r w:rsidR="00C0449B">
        <w:rPr>
          <w:sz w:val="24"/>
          <w:szCs w:val="24"/>
        </w:rPr>
        <w:t xml:space="preserve"> – FY2012</w:t>
      </w:r>
      <w:r w:rsidRPr="00937390">
        <w:rPr>
          <w:sz w:val="24"/>
          <w:szCs w:val="24"/>
        </w:rPr>
        <w:t xml:space="preserve"> are </w:t>
      </w:r>
      <w:r w:rsidR="0017444D">
        <w:rPr>
          <w:sz w:val="24"/>
          <w:szCs w:val="24"/>
        </w:rPr>
        <w:t>9,001</w:t>
      </w:r>
      <w:r>
        <w:rPr>
          <w:sz w:val="24"/>
          <w:szCs w:val="24"/>
        </w:rPr>
        <w:t>.</w:t>
      </w:r>
    </w:p>
    <w:p w:rsidR="00D830D1" w:rsidRPr="00784357" w:rsidRDefault="00D830D1" w:rsidP="00A55E56">
      <w:pPr>
        <w:jc w:val="both"/>
        <w:rPr>
          <w:sz w:val="24"/>
          <w:szCs w:val="24"/>
        </w:rPr>
      </w:pPr>
      <w:r w:rsidRPr="00937390">
        <w:rPr>
          <w:sz w:val="24"/>
          <w:szCs w:val="24"/>
        </w:rPr>
        <w:t>The total estimated Burden Cost to the respondents for FY 2011</w:t>
      </w:r>
      <w:r w:rsidR="00C0449B">
        <w:rPr>
          <w:sz w:val="24"/>
          <w:szCs w:val="24"/>
        </w:rPr>
        <w:t xml:space="preserve"> – FY2012</w:t>
      </w:r>
      <w:r w:rsidRPr="00937390">
        <w:rPr>
          <w:sz w:val="24"/>
          <w:szCs w:val="24"/>
        </w:rPr>
        <w:t xml:space="preserve"> is </w:t>
      </w:r>
      <w:r w:rsidRPr="00343325">
        <w:rPr>
          <w:sz w:val="24"/>
          <w:szCs w:val="24"/>
        </w:rPr>
        <w:t>$</w:t>
      </w:r>
      <w:r w:rsidR="0017444D">
        <w:rPr>
          <w:sz w:val="24"/>
          <w:szCs w:val="24"/>
        </w:rPr>
        <w:t>400</w:t>
      </w:r>
      <w:r w:rsidR="00C357AD">
        <w:rPr>
          <w:sz w:val="24"/>
          <w:szCs w:val="24"/>
        </w:rPr>
        <w:t>,</w:t>
      </w:r>
      <w:r w:rsidR="0017444D">
        <w:rPr>
          <w:sz w:val="24"/>
          <w:szCs w:val="24"/>
        </w:rPr>
        <w:t>9</w:t>
      </w:r>
      <w:r w:rsidR="00B57FBA">
        <w:rPr>
          <w:sz w:val="24"/>
          <w:szCs w:val="24"/>
        </w:rPr>
        <w:t>6</w:t>
      </w:r>
      <w:r w:rsidR="0017444D">
        <w:rPr>
          <w:sz w:val="24"/>
          <w:szCs w:val="24"/>
        </w:rPr>
        <w:t>5</w:t>
      </w:r>
      <w:r>
        <w:rPr>
          <w:sz w:val="24"/>
          <w:szCs w:val="24"/>
        </w:rPr>
        <w:t>.</w:t>
      </w:r>
    </w:p>
    <w:p w:rsidR="00D830D1" w:rsidRPr="00784357" w:rsidRDefault="00D830D1" w:rsidP="00A55E56">
      <w:pPr>
        <w:jc w:val="both"/>
        <w:rPr>
          <w:sz w:val="24"/>
          <w:szCs w:val="24"/>
        </w:rPr>
      </w:pPr>
    </w:p>
    <w:p w:rsidR="00D830D1" w:rsidRDefault="00D830D1" w:rsidP="00A55E56">
      <w:pPr>
        <w:jc w:val="both"/>
        <w:rPr>
          <w:sz w:val="24"/>
          <w:szCs w:val="24"/>
        </w:rPr>
      </w:pPr>
      <w:r w:rsidRPr="00B5715A">
        <w:rPr>
          <w:sz w:val="24"/>
          <w:szCs w:val="24"/>
        </w:rPr>
        <w:t>G</w:t>
      </w:r>
      <w:r>
        <w:rPr>
          <w:sz w:val="24"/>
          <w:szCs w:val="24"/>
        </w:rPr>
        <w:t>TP</w:t>
      </w:r>
      <w:r w:rsidRPr="00B5715A">
        <w:rPr>
          <w:sz w:val="24"/>
          <w:szCs w:val="24"/>
        </w:rPr>
        <w:t xml:space="preserve"> burden cost was calculated by obtaining the median hourly wage rate for </w:t>
      </w:r>
      <w:r>
        <w:rPr>
          <w:sz w:val="24"/>
          <w:szCs w:val="24"/>
        </w:rPr>
        <w:t>General and Operations Managers</w:t>
      </w:r>
      <w:r w:rsidRPr="00B5715A">
        <w:rPr>
          <w:sz w:val="24"/>
          <w:szCs w:val="24"/>
        </w:rPr>
        <w:t xml:space="preserve">, as determined by Occupational Employment Statistics (OES) National Occupational Employment and Wage Estimates. The </w:t>
      </w:r>
      <w:r>
        <w:rPr>
          <w:sz w:val="24"/>
          <w:szCs w:val="24"/>
        </w:rPr>
        <w:t xml:space="preserve">median hourly </w:t>
      </w:r>
      <w:r w:rsidRPr="00B5715A">
        <w:rPr>
          <w:sz w:val="24"/>
          <w:szCs w:val="24"/>
        </w:rPr>
        <w:t>wage rate for 2009, the most current year available, was $</w:t>
      </w:r>
      <w:r>
        <w:rPr>
          <w:sz w:val="24"/>
          <w:szCs w:val="24"/>
        </w:rPr>
        <w:t>44.55</w:t>
      </w:r>
      <w:r w:rsidRPr="00B5715A">
        <w:rPr>
          <w:sz w:val="24"/>
          <w:szCs w:val="24"/>
        </w:rPr>
        <w:t xml:space="preserve">. The hourly rate was then multiplied by the </w:t>
      </w:r>
      <w:r>
        <w:rPr>
          <w:sz w:val="24"/>
          <w:szCs w:val="24"/>
        </w:rPr>
        <w:t xml:space="preserve">estimated </w:t>
      </w:r>
      <w:r w:rsidRPr="00B5715A">
        <w:rPr>
          <w:sz w:val="24"/>
          <w:szCs w:val="24"/>
        </w:rPr>
        <w:t xml:space="preserve">number of </w:t>
      </w:r>
      <w:r>
        <w:rPr>
          <w:sz w:val="24"/>
          <w:szCs w:val="24"/>
        </w:rPr>
        <w:t xml:space="preserve">responding units assuming a 75 percent response rate, and the number of </w:t>
      </w:r>
      <w:r w:rsidRPr="00B5715A">
        <w:rPr>
          <w:sz w:val="24"/>
          <w:szCs w:val="24"/>
        </w:rPr>
        <w:t>hours required for responding (burden hours) for the FY 2011</w:t>
      </w:r>
      <w:r w:rsidR="00C0449B">
        <w:rPr>
          <w:sz w:val="24"/>
          <w:szCs w:val="24"/>
        </w:rPr>
        <w:t xml:space="preserve"> – FY2012</w:t>
      </w:r>
      <w:r w:rsidRPr="00B5715A">
        <w:rPr>
          <w:sz w:val="24"/>
          <w:szCs w:val="24"/>
        </w:rPr>
        <w:t xml:space="preserve"> calculation</w:t>
      </w:r>
      <w:r>
        <w:rPr>
          <w:sz w:val="24"/>
          <w:szCs w:val="24"/>
        </w:rPr>
        <w:t xml:space="preserve">. </w:t>
      </w:r>
    </w:p>
    <w:p w:rsidR="00E54BED" w:rsidRDefault="00E54BED" w:rsidP="00A55E56">
      <w:pPr>
        <w:jc w:val="both"/>
        <w:rPr>
          <w:sz w:val="24"/>
          <w:szCs w:val="24"/>
        </w:rPr>
      </w:pPr>
    </w:p>
    <w:p w:rsidR="00D830D1" w:rsidRPr="009B3B28" w:rsidRDefault="00E54BED" w:rsidP="00A55E56">
      <w:pPr>
        <w:jc w:val="both"/>
        <w:rPr>
          <w:sz w:val="24"/>
          <w:szCs w:val="24"/>
        </w:rPr>
      </w:pPr>
      <w:r>
        <w:rPr>
          <w:sz w:val="24"/>
          <w:szCs w:val="24"/>
        </w:rPr>
        <w:t xml:space="preserve">GTP research conducted under OMB clearance number 1220-0182, measured the </w:t>
      </w:r>
      <w:r w:rsidR="009B3B28">
        <w:rPr>
          <w:sz w:val="24"/>
          <w:szCs w:val="24"/>
        </w:rPr>
        <w:t xml:space="preserve">average </w:t>
      </w:r>
      <w:r>
        <w:rPr>
          <w:sz w:val="24"/>
          <w:szCs w:val="24"/>
        </w:rPr>
        <w:t xml:space="preserve">respondent burden associated with </w:t>
      </w:r>
      <w:r w:rsidR="009B3B28">
        <w:rPr>
          <w:sz w:val="24"/>
          <w:szCs w:val="24"/>
        </w:rPr>
        <w:t xml:space="preserve">completing the GTP survey form at 17 minutes.  Smaller firms (with 10 or fewer employees) reported needing less time to complete the survey, on average 10.6 minutes, while larger firms (with 100 or more employees) reported more needing an average </w:t>
      </w:r>
      <w:r w:rsidR="00DB5A13">
        <w:rPr>
          <w:sz w:val="24"/>
          <w:szCs w:val="24"/>
        </w:rPr>
        <w:t xml:space="preserve">of </w:t>
      </w:r>
      <w:r w:rsidR="00E750A7" w:rsidRPr="00E750A7">
        <w:rPr>
          <w:sz w:val="24"/>
          <w:szCs w:val="24"/>
        </w:rPr>
        <w:t>21.8 minutes</w:t>
      </w:r>
      <w:r w:rsidR="009B3B28">
        <w:rPr>
          <w:sz w:val="24"/>
          <w:szCs w:val="24"/>
        </w:rPr>
        <w:t xml:space="preserve"> to complete the form.</w:t>
      </w:r>
    </w:p>
    <w:p w:rsidR="00E54BED" w:rsidRDefault="00E54BED" w:rsidP="00A55E56">
      <w:pPr>
        <w:jc w:val="both"/>
      </w:pPr>
    </w:p>
    <w:p w:rsidR="00D830D1" w:rsidRPr="00136741" w:rsidRDefault="00D830D1" w:rsidP="00A55E56">
      <w:pPr>
        <w:jc w:val="both"/>
        <w:rPr>
          <w:b/>
          <w:sz w:val="24"/>
          <w:szCs w:val="24"/>
        </w:rPr>
      </w:pPr>
      <w:r w:rsidRPr="00136741">
        <w:rPr>
          <w:b/>
          <w:sz w:val="24"/>
          <w:szCs w:val="24"/>
        </w:rPr>
        <w:t>13. Capital/Start-up costs</w:t>
      </w:r>
    </w:p>
    <w:p w:rsidR="00D830D1" w:rsidRPr="00136741" w:rsidRDefault="00D830D1" w:rsidP="00A55E56">
      <w:pPr>
        <w:jc w:val="both"/>
        <w:rPr>
          <w:sz w:val="24"/>
          <w:szCs w:val="24"/>
        </w:rPr>
      </w:pPr>
      <w:r w:rsidRPr="00136741">
        <w:rPr>
          <w:sz w:val="24"/>
          <w:szCs w:val="24"/>
        </w:rPr>
        <w:t>There are no capital/start-up costs.</w:t>
      </w:r>
    </w:p>
    <w:p w:rsidR="00D830D1" w:rsidRPr="00136741" w:rsidRDefault="00D830D1" w:rsidP="00A55E56">
      <w:pPr>
        <w:jc w:val="both"/>
        <w:rPr>
          <w:sz w:val="24"/>
          <w:szCs w:val="24"/>
        </w:rPr>
      </w:pPr>
    </w:p>
    <w:p w:rsidR="00D830D1" w:rsidRPr="00136741" w:rsidRDefault="00D830D1" w:rsidP="00A55E56">
      <w:pPr>
        <w:jc w:val="both"/>
        <w:rPr>
          <w:sz w:val="24"/>
          <w:szCs w:val="24"/>
        </w:rPr>
      </w:pPr>
      <w:r w:rsidRPr="00136741">
        <w:rPr>
          <w:sz w:val="24"/>
          <w:szCs w:val="24"/>
        </w:rPr>
        <w:t>There are no costs for operation and maintenance or the purchase of services</w:t>
      </w:r>
      <w:r w:rsidR="004D6FE6">
        <w:rPr>
          <w:sz w:val="24"/>
          <w:szCs w:val="24"/>
        </w:rPr>
        <w:t>, beyond those described under A.14</w:t>
      </w:r>
      <w:r w:rsidRPr="00136741">
        <w:rPr>
          <w:sz w:val="24"/>
          <w:szCs w:val="24"/>
        </w:rPr>
        <w:t>.</w:t>
      </w:r>
    </w:p>
    <w:p w:rsidR="00D830D1" w:rsidRDefault="00D830D1" w:rsidP="00A55E56">
      <w:pPr>
        <w:jc w:val="both"/>
        <w:rPr>
          <w:sz w:val="24"/>
          <w:szCs w:val="24"/>
        </w:rPr>
      </w:pPr>
    </w:p>
    <w:p w:rsidR="00921869" w:rsidRDefault="00921869" w:rsidP="00A55E56">
      <w:pPr>
        <w:jc w:val="both"/>
        <w:rPr>
          <w:sz w:val="24"/>
          <w:szCs w:val="24"/>
        </w:rPr>
      </w:pPr>
    </w:p>
    <w:p w:rsidR="00921869" w:rsidRPr="00136741" w:rsidRDefault="00921869" w:rsidP="00A55E56">
      <w:pPr>
        <w:jc w:val="both"/>
        <w:rPr>
          <w:sz w:val="24"/>
          <w:szCs w:val="24"/>
        </w:rPr>
      </w:pPr>
    </w:p>
    <w:p w:rsidR="00D830D1" w:rsidRPr="00136741" w:rsidRDefault="00D830D1" w:rsidP="00A55E56">
      <w:pPr>
        <w:jc w:val="both"/>
        <w:rPr>
          <w:b/>
          <w:sz w:val="24"/>
          <w:szCs w:val="24"/>
        </w:rPr>
      </w:pPr>
      <w:r w:rsidRPr="00136741">
        <w:rPr>
          <w:b/>
          <w:sz w:val="24"/>
          <w:szCs w:val="24"/>
        </w:rPr>
        <w:lastRenderedPageBreak/>
        <w:t>14. Cost to the Federal Government</w:t>
      </w:r>
    </w:p>
    <w:p w:rsidR="00D830D1" w:rsidRPr="00737EB6" w:rsidRDefault="00D830D1" w:rsidP="00A55E56">
      <w:pPr>
        <w:tabs>
          <w:tab w:val="left" w:pos="3240"/>
        </w:tabs>
        <w:jc w:val="both"/>
        <w:rPr>
          <w:sz w:val="24"/>
          <w:szCs w:val="24"/>
        </w:rPr>
      </w:pPr>
      <w:r w:rsidRPr="00737EB6">
        <w:rPr>
          <w:sz w:val="24"/>
          <w:szCs w:val="24"/>
        </w:rPr>
        <w:t xml:space="preserve">The allocated budget for this data collection effort for FY2011 is </w:t>
      </w:r>
      <w:r w:rsidRPr="0012294A">
        <w:rPr>
          <w:sz w:val="24"/>
          <w:szCs w:val="24"/>
        </w:rPr>
        <w:t>$2.</w:t>
      </w:r>
      <w:r w:rsidR="004D6FE6">
        <w:rPr>
          <w:sz w:val="24"/>
          <w:szCs w:val="24"/>
        </w:rPr>
        <w:t>4</w:t>
      </w:r>
      <w:r w:rsidR="004D6FE6" w:rsidRPr="0012294A">
        <w:rPr>
          <w:sz w:val="24"/>
          <w:szCs w:val="24"/>
        </w:rPr>
        <w:t xml:space="preserve"> </w:t>
      </w:r>
      <w:r w:rsidRPr="0012294A">
        <w:rPr>
          <w:sz w:val="24"/>
          <w:szCs w:val="24"/>
        </w:rPr>
        <w:t>million</w:t>
      </w:r>
      <w:r w:rsidRPr="00737EB6">
        <w:rPr>
          <w:sz w:val="24"/>
          <w:szCs w:val="24"/>
        </w:rPr>
        <w:t xml:space="preserve"> for the G</w:t>
      </w:r>
      <w:r>
        <w:rPr>
          <w:sz w:val="24"/>
          <w:szCs w:val="24"/>
        </w:rPr>
        <w:t>TP</w:t>
      </w:r>
      <w:r w:rsidRPr="00737EB6">
        <w:rPr>
          <w:sz w:val="24"/>
          <w:szCs w:val="24"/>
        </w:rPr>
        <w:t xml:space="preserve"> </w:t>
      </w:r>
      <w:r w:rsidR="003334F0">
        <w:rPr>
          <w:sz w:val="24"/>
          <w:szCs w:val="24"/>
        </w:rPr>
        <w:t>survey</w:t>
      </w:r>
      <w:r>
        <w:rPr>
          <w:sz w:val="24"/>
          <w:szCs w:val="24"/>
        </w:rPr>
        <w:t>.</w:t>
      </w:r>
      <w:r w:rsidR="00F536E4">
        <w:rPr>
          <w:sz w:val="24"/>
          <w:szCs w:val="24"/>
        </w:rPr>
        <w:t xml:space="preserve">  The budget for the GTP survey includes: web-based data collection development; </w:t>
      </w:r>
      <w:r w:rsidR="00E15C1A">
        <w:rPr>
          <w:sz w:val="24"/>
          <w:szCs w:val="24"/>
        </w:rPr>
        <w:t xml:space="preserve">computer </w:t>
      </w:r>
      <w:r w:rsidR="00F536E4">
        <w:rPr>
          <w:sz w:val="24"/>
          <w:szCs w:val="24"/>
        </w:rPr>
        <w:t xml:space="preserve">systems development; survey form printing and mailing; processing </w:t>
      </w:r>
      <w:r w:rsidR="004D6FE6">
        <w:rPr>
          <w:sz w:val="24"/>
          <w:szCs w:val="24"/>
        </w:rPr>
        <w:t xml:space="preserve">and coding </w:t>
      </w:r>
      <w:r w:rsidR="00F536E4">
        <w:rPr>
          <w:sz w:val="24"/>
          <w:szCs w:val="24"/>
        </w:rPr>
        <w:t>of collected information; non-response prompting; telephone data collection and edit reconciliation; data analysis; and publication of estimates.</w:t>
      </w:r>
    </w:p>
    <w:p w:rsidR="00D830D1" w:rsidRPr="00136741" w:rsidRDefault="00D830D1" w:rsidP="00A55E56">
      <w:pPr>
        <w:jc w:val="both"/>
        <w:rPr>
          <w:sz w:val="24"/>
          <w:szCs w:val="24"/>
        </w:rPr>
      </w:pPr>
    </w:p>
    <w:p w:rsidR="00D830D1" w:rsidRPr="00136741" w:rsidRDefault="00D830D1" w:rsidP="00A55E56">
      <w:pPr>
        <w:jc w:val="both"/>
        <w:rPr>
          <w:sz w:val="24"/>
          <w:szCs w:val="24"/>
        </w:rPr>
      </w:pPr>
      <w:r w:rsidRPr="00136741">
        <w:rPr>
          <w:b/>
          <w:sz w:val="24"/>
          <w:szCs w:val="24"/>
        </w:rPr>
        <w:t>15. Changes in Burden</w:t>
      </w:r>
    </w:p>
    <w:p w:rsidR="00D830D1" w:rsidRPr="00136741" w:rsidRDefault="00D830D1" w:rsidP="00A55E56">
      <w:pPr>
        <w:jc w:val="both"/>
        <w:rPr>
          <w:sz w:val="24"/>
          <w:szCs w:val="24"/>
        </w:rPr>
      </w:pPr>
      <w:r w:rsidRPr="00136741">
        <w:rPr>
          <w:sz w:val="24"/>
          <w:szCs w:val="24"/>
        </w:rPr>
        <w:t xml:space="preserve">This represents a new collection. </w:t>
      </w:r>
    </w:p>
    <w:p w:rsidR="00D830D1" w:rsidRPr="0013674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16. Publication Plans/Schedule</w:t>
      </w:r>
    </w:p>
    <w:p w:rsidR="002C0F4D" w:rsidRDefault="00D830D1" w:rsidP="00A55E56">
      <w:pPr>
        <w:jc w:val="both"/>
        <w:rPr>
          <w:sz w:val="24"/>
          <w:szCs w:val="24"/>
        </w:rPr>
      </w:pPr>
      <w:r w:rsidRPr="00136741">
        <w:rPr>
          <w:sz w:val="24"/>
          <w:szCs w:val="24"/>
        </w:rPr>
        <w:t xml:space="preserve">The estimates derived from the information collected will be released for publication in </w:t>
      </w:r>
      <w:proofErr w:type="gramStart"/>
      <w:r w:rsidR="00202F00">
        <w:rPr>
          <w:sz w:val="24"/>
          <w:szCs w:val="24"/>
        </w:rPr>
        <w:t>Summer</w:t>
      </w:r>
      <w:proofErr w:type="gramEnd"/>
      <w:r w:rsidR="00202F00">
        <w:rPr>
          <w:sz w:val="24"/>
          <w:szCs w:val="24"/>
        </w:rPr>
        <w:t xml:space="preserve"> </w:t>
      </w:r>
      <w:r w:rsidRPr="00136741">
        <w:rPr>
          <w:sz w:val="24"/>
          <w:szCs w:val="24"/>
        </w:rPr>
        <w:t>2012. The publication will provide an estimate of the</w:t>
      </w:r>
      <w:r>
        <w:rPr>
          <w:sz w:val="24"/>
          <w:szCs w:val="24"/>
        </w:rPr>
        <w:t xml:space="preserve"> number of establishments that use green technologies and practices and the occupational employment and wages of green jobs, as defined by BLS</w:t>
      </w:r>
      <w:r w:rsidRPr="00136741">
        <w:rPr>
          <w:sz w:val="24"/>
          <w:szCs w:val="24"/>
        </w:rPr>
        <w:t xml:space="preserve">. </w:t>
      </w:r>
      <w:r w:rsidR="001D4FC4">
        <w:rPr>
          <w:sz w:val="24"/>
          <w:szCs w:val="24"/>
        </w:rPr>
        <w:t xml:space="preserve"> These data will be made available to the public via the BLS public website.</w:t>
      </w:r>
      <w:r w:rsidR="00202F00">
        <w:rPr>
          <w:sz w:val="24"/>
          <w:szCs w:val="24"/>
        </w:rPr>
        <w:t xml:space="preserve">  </w:t>
      </w:r>
    </w:p>
    <w:p w:rsidR="002C0F4D" w:rsidRDefault="002C0F4D" w:rsidP="00A55E56">
      <w:pPr>
        <w:jc w:val="both"/>
        <w:rPr>
          <w:sz w:val="24"/>
          <w:szCs w:val="24"/>
        </w:rPr>
      </w:pPr>
    </w:p>
    <w:p w:rsidR="00D830D1" w:rsidRPr="00136741" w:rsidRDefault="00202F00" w:rsidP="00A55E56">
      <w:pPr>
        <w:jc w:val="both"/>
        <w:rPr>
          <w:sz w:val="24"/>
          <w:szCs w:val="24"/>
        </w:rPr>
      </w:pPr>
      <w:r>
        <w:rPr>
          <w:sz w:val="24"/>
          <w:szCs w:val="24"/>
        </w:rPr>
        <w:t xml:space="preserve">Data collection for the GTP Survey is scheduled to begin in August 2011, and conclude in January 2012.  Following </w:t>
      </w:r>
      <w:r w:rsidR="004043B6">
        <w:rPr>
          <w:sz w:val="24"/>
          <w:szCs w:val="24"/>
        </w:rPr>
        <w:t xml:space="preserve">the conclusion of </w:t>
      </w:r>
      <w:r>
        <w:rPr>
          <w:sz w:val="24"/>
          <w:szCs w:val="24"/>
        </w:rPr>
        <w:t>data collection</w:t>
      </w:r>
      <w:r w:rsidR="002C0F4D">
        <w:rPr>
          <w:sz w:val="24"/>
          <w:szCs w:val="24"/>
        </w:rPr>
        <w:t>,</w:t>
      </w:r>
      <w:r>
        <w:rPr>
          <w:sz w:val="24"/>
          <w:szCs w:val="24"/>
        </w:rPr>
        <w:t xml:space="preserve"> a </w:t>
      </w:r>
      <w:r w:rsidR="004043B6">
        <w:rPr>
          <w:sz w:val="24"/>
          <w:szCs w:val="24"/>
        </w:rPr>
        <w:t>R</w:t>
      </w:r>
      <w:r>
        <w:rPr>
          <w:sz w:val="24"/>
          <w:szCs w:val="24"/>
        </w:rPr>
        <w:t xml:space="preserve">esponse </w:t>
      </w:r>
      <w:r w:rsidR="004043B6">
        <w:rPr>
          <w:sz w:val="24"/>
          <w:szCs w:val="24"/>
        </w:rPr>
        <w:t>A</w:t>
      </w:r>
      <w:r>
        <w:rPr>
          <w:sz w:val="24"/>
          <w:szCs w:val="24"/>
        </w:rPr>
        <w:t xml:space="preserve">nalysis </w:t>
      </w:r>
      <w:r w:rsidR="004043B6">
        <w:rPr>
          <w:sz w:val="24"/>
          <w:szCs w:val="24"/>
        </w:rPr>
        <w:t>S</w:t>
      </w:r>
      <w:r>
        <w:rPr>
          <w:sz w:val="24"/>
          <w:szCs w:val="24"/>
        </w:rPr>
        <w:t xml:space="preserve">urvey </w:t>
      </w:r>
      <w:r w:rsidR="004043B6">
        <w:rPr>
          <w:sz w:val="24"/>
          <w:szCs w:val="24"/>
        </w:rPr>
        <w:t xml:space="preserve">(RAS) </w:t>
      </w:r>
      <w:r>
        <w:rPr>
          <w:sz w:val="24"/>
          <w:szCs w:val="24"/>
        </w:rPr>
        <w:t>will be conducted</w:t>
      </w:r>
      <w:r w:rsidR="004043B6">
        <w:rPr>
          <w:sz w:val="24"/>
          <w:szCs w:val="24"/>
        </w:rPr>
        <w:t xml:space="preserve"> in January and February 2012</w:t>
      </w:r>
      <w:r>
        <w:rPr>
          <w:sz w:val="24"/>
          <w:szCs w:val="24"/>
        </w:rPr>
        <w:t>.</w:t>
      </w:r>
      <w:r w:rsidR="004043B6">
        <w:rPr>
          <w:sz w:val="24"/>
          <w:szCs w:val="24"/>
        </w:rPr>
        <w:t xml:space="preserve">  BLS anticipates submitting the RAS questions as a non-substantive change to this clearance in November 2011.</w:t>
      </w:r>
    </w:p>
    <w:p w:rsidR="00D830D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17. OMB Approval Expiration Date</w:t>
      </w:r>
    </w:p>
    <w:p w:rsidR="00D830D1" w:rsidRPr="00136741" w:rsidRDefault="00D830D1" w:rsidP="00A55E56">
      <w:pPr>
        <w:jc w:val="both"/>
        <w:rPr>
          <w:sz w:val="24"/>
          <w:szCs w:val="24"/>
        </w:rPr>
      </w:pPr>
      <w:r w:rsidRPr="00136741">
        <w:rPr>
          <w:sz w:val="24"/>
          <w:szCs w:val="24"/>
        </w:rPr>
        <w:t>Permission for suppressing the expiration date is not being requested.</w:t>
      </w:r>
    </w:p>
    <w:p w:rsidR="00D830D1" w:rsidRPr="0013674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18. Exception to Certification Statement</w:t>
      </w:r>
    </w:p>
    <w:p w:rsidR="00D830D1" w:rsidRPr="00136741" w:rsidRDefault="00D830D1" w:rsidP="00A55E56">
      <w:pPr>
        <w:jc w:val="both"/>
        <w:rPr>
          <w:sz w:val="24"/>
          <w:szCs w:val="24"/>
        </w:rPr>
      </w:pPr>
      <w:r w:rsidRPr="00136741">
        <w:rPr>
          <w:sz w:val="24"/>
          <w:szCs w:val="24"/>
        </w:rPr>
        <w:t>There are no exceptions to the certification.</w:t>
      </w:r>
    </w:p>
    <w:p w:rsidR="00D830D1" w:rsidRDefault="00D830D1" w:rsidP="00A55E56">
      <w:pPr>
        <w:jc w:val="both"/>
        <w:rPr>
          <w:color w:val="000000"/>
          <w:sz w:val="22"/>
          <w:szCs w:val="22"/>
        </w:rPr>
      </w:pPr>
    </w:p>
    <w:p w:rsidR="00D830D1" w:rsidRPr="00937390" w:rsidRDefault="00D830D1" w:rsidP="00A55E56">
      <w:pPr>
        <w:jc w:val="both"/>
        <w:rPr>
          <w:b/>
          <w:color w:val="000000"/>
          <w:sz w:val="24"/>
          <w:szCs w:val="24"/>
        </w:rPr>
      </w:pPr>
      <w:r w:rsidRPr="00937390">
        <w:rPr>
          <w:b/>
          <w:color w:val="000000"/>
          <w:sz w:val="24"/>
          <w:szCs w:val="24"/>
        </w:rPr>
        <w:t>Attachments for Section A</w:t>
      </w:r>
    </w:p>
    <w:p w:rsidR="00F8162F" w:rsidRPr="00F8162F" w:rsidRDefault="00B66CCC" w:rsidP="00A55E56">
      <w:pPr>
        <w:numPr>
          <w:ilvl w:val="0"/>
          <w:numId w:val="14"/>
        </w:numPr>
        <w:jc w:val="both"/>
        <w:rPr>
          <w:sz w:val="24"/>
          <w:szCs w:val="24"/>
        </w:rPr>
      </w:pPr>
      <w:r>
        <w:rPr>
          <w:color w:val="000000"/>
          <w:sz w:val="24"/>
          <w:szCs w:val="24"/>
        </w:rPr>
        <w:t>Cover Letter version 1</w:t>
      </w:r>
    </w:p>
    <w:p w:rsidR="00E750A7" w:rsidRDefault="00B66CCC">
      <w:pPr>
        <w:numPr>
          <w:ilvl w:val="0"/>
          <w:numId w:val="14"/>
        </w:numPr>
        <w:jc w:val="both"/>
        <w:rPr>
          <w:color w:val="000000"/>
          <w:sz w:val="24"/>
          <w:szCs w:val="24"/>
        </w:rPr>
      </w:pPr>
      <w:r>
        <w:rPr>
          <w:color w:val="000000"/>
          <w:sz w:val="24"/>
          <w:szCs w:val="24"/>
        </w:rPr>
        <w:t>Cover Letter version 2</w:t>
      </w:r>
    </w:p>
    <w:p w:rsidR="00F8162F" w:rsidRPr="00F8162F" w:rsidRDefault="00B66CCC" w:rsidP="00F8162F">
      <w:pPr>
        <w:numPr>
          <w:ilvl w:val="0"/>
          <w:numId w:val="14"/>
        </w:numPr>
        <w:jc w:val="both"/>
        <w:rPr>
          <w:color w:val="000000"/>
          <w:sz w:val="24"/>
          <w:szCs w:val="24"/>
        </w:rPr>
      </w:pPr>
      <w:r>
        <w:rPr>
          <w:color w:val="000000"/>
          <w:sz w:val="24"/>
          <w:szCs w:val="24"/>
        </w:rPr>
        <w:t>GTP S</w:t>
      </w:r>
      <w:r w:rsidR="00F8162F" w:rsidRPr="00F8162F">
        <w:rPr>
          <w:color w:val="000000"/>
          <w:sz w:val="24"/>
          <w:szCs w:val="24"/>
        </w:rPr>
        <w:t>urvey form</w:t>
      </w:r>
    </w:p>
    <w:p w:rsidR="00B66CCC" w:rsidRDefault="00B66CCC">
      <w:pPr>
        <w:numPr>
          <w:ilvl w:val="0"/>
          <w:numId w:val="14"/>
        </w:numPr>
        <w:jc w:val="both"/>
        <w:rPr>
          <w:color w:val="000000"/>
          <w:sz w:val="24"/>
          <w:szCs w:val="24"/>
        </w:rPr>
      </w:pPr>
      <w:r>
        <w:rPr>
          <w:color w:val="000000"/>
          <w:sz w:val="24"/>
          <w:szCs w:val="24"/>
        </w:rPr>
        <w:t>GTP Web Reporting Instructions</w:t>
      </w:r>
    </w:p>
    <w:p w:rsidR="00B66CCC" w:rsidRDefault="001658BB">
      <w:pPr>
        <w:numPr>
          <w:ilvl w:val="0"/>
          <w:numId w:val="14"/>
        </w:numPr>
        <w:jc w:val="both"/>
        <w:rPr>
          <w:color w:val="000000"/>
          <w:sz w:val="24"/>
          <w:szCs w:val="24"/>
        </w:rPr>
      </w:pPr>
      <w:r>
        <w:rPr>
          <w:color w:val="000000"/>
          <w:sz w:val="24"/>
          <w:szCs w:val="24"/>
        </w:rPr>
        <w:t>GTP Adobe Fillable Form</w:t>
      </w:r>
    </w:p>
    <w:p w:rsidR="00E750A7" w:rsidRPr="00E750A7" w:rsidRDefault="001658BB">
      <w:pPr>
        <w:numPr>
          <w:ilvl w:val="0"/>
          <w:numId w:val="14"/>
        </w:numPr>
        <w:jc w:val="both"/>
        <w:rPr>
          <w:color w:val="000000"/>
          <w:sz w:val="24"/>
          <w:szCs w:val="24"/>
        </w:rPr>
      </w:pPr>
      <w:r>
        <w:rPr>
          <w:color w:val="000000"/>
          <w:sz w:val="24"/>
          <w:szCs w:val="24"/>
        </w:rPr>
        <w:t>GTP IDCF Screen Shots</w:t>
      </w:r>
    </w:p>
    <w:p w:rsidR="00D830D1" w:rsidRPr="00BC7ACE" w:rsidRDefault="001658BB" w:rsidP="00A55E56">
      <w:pPr>
        <w:numPr>
          <w:ilvl w:val="0"/>
          <w:numId w:val="14"/>
        </w:numPr>
        <w:jc w:val="both"/>
        <w:rPr>
          <w:sz w:val="24"/>
          <w:szCs w:val="24"/>
        </w:rPr>
      </w:pPr>
      <w:r>
        <w:rPr>
          <w:color w:val="000000"/>
          <w:sz w:val="24"/>
          <w:szCs w:val="24"/>
        </w:rPr>
        <w:t xml:space="preserve">GTP </w:t>
      </w:r>
      <w:r w:rsidR="00C17882">
        <w:rPr>
          <w:color w:val="000000"/>
          <w:sz w:val="24"/>
          <w:szCs w:val="24"/>
        </w:rPr>
        <w:t>Non</w:t>
      </w:r>
      <w:r>
        <w:rPr>
          <w:color w:val="000000"/>
          <w:sz w:val="24"/>
          <w:szCs w:val="24"/>
        </w:rPr>
        <w:t>-</w:t>
      </w:r>
      <w:r w:rsidR="00C17882">
        <w:rPr>
          <w:color w:val="000000"/>
          <w:sz w:val="24"/>
          <w:szCs w:val="24"/>
        </w:rPr>
        <w:t>response prompt postc</w:t>
      </w:r>
      <w:r w:rsidR="00D830D1">
        <w:rPr>
          <w:color w:val="000000"/>
          <w:sz w:val="24"/>
          <w:szCs w:val="24"/>
        </w:rPr>
        <w:t>ard</w:t>
      </w:r>
    </w:p>
    <w:p w:rsidR="00BC7ACE" w:rsidRPr="009F5BA7" w:rsidRDefault="00B66CCC" w:rsidP="00A55E56">
      <w:pPr>
        <w:numPr>
          <w:ilvl w:val="0"/>
          <w:numId w:val="14"/>
        </w:numPr>
        <w:jc w:val="both"/>
        <w:rPr>
          <w:sz w:val="24"/>
          <w:szCs w:val="24"/>
        </w:rPr>
      </w:pPr>
      <w:r>
        <w:rPr>
          <w:color w:val="000000"/>
          <w:sz w:val="24"/>
          <w:szCs w:val="24"/>
        </w:rPr>
        <w:t>GTP Fax</w:t>
      </w:r>
      <w:r w:rsidR="00BC7ACE">
        <w:rPr>
          <w:color w:val="000000"/>
          <w:sz w:val="24"/>
          <w:szCs w:val="24"/>
        </w:rPr>
        <w:t xml:space="preserve"> form</w:t>
      </w:r>
    </w:p>
    <w:p w:rsidR="009F5BA7" w:rsidRPr="00FA770D" w:rsidRDefault="009F5BA7" w:rsidP="00A55E56">
      <w:pPr>
        <w:numPr>
          <w:ilvl w:val="0"/>
          <w:numId w:val="14"/>
        </w:numPr>
        <w:jc w:val="both"/>
        <w:rPr>
          <w:sz w:val="24"/>
          <w:szCs w:val="24"/>
        </w:rPr>
      </w:pPr>
      <w:r>
        <w:rPr>
          <w:color w:val="000000"/>
          <w:sz w:val="24"/>
          <w:szCs w:val="24"/>
        </w:rPr>
        <w:t xml:space="preserve">Automated E-mail providing Adobe </w:t>
      </w:r>
      <w:r w:rsidR="00C06A45">
        <w:rPr>
          <w:color w:val="000000"/>
          <w:sz w:val="24"/>
          <w:szCs w:val="24"/>
        </w:rPr>
        <w:t>f</w:t>
      </w:r>
      <w:r>
        <w:rPr>
          <w:color w:val="000000"/>
          <w:sz w:val="24"/>
          <w:szCs w:val="24"/>
        </w:rPr>
        <w:t xml:space="preserve">illable </w:t>
      </w:r>
      <w:r w:rsidR="00C06A45">
        <w:rPr>
          <w:color w:val="000000"/>
          <w:sz w:val="24"/>
          <w:szCs w:val="24"/>
        </w:rPr>
        <w:t>f</w:t>
      </w:r>
      <w:r>
        <w:rPr>
          <w:color w:val="000000"/>
          <w:sz w:val="24"/>
          <w:szCs w:val="24"/>
        </w:rPr>
        <w:t>orm</w:t>
      </w:r>
    </w:p>
    <w:p w:rsidR="00E750A7" w:rsidRDefault="00E750A7" w:rsidP="00E750A7">
      <w:pPr>
        <w:jc w:val="both"/>
        <w:rPr>
          <w:color w:val="000000"/>
          <w:sz w:val="22"/>
          <w:szCs w:val="22"/>
        </w:rPr>
      </w:pPr>
    </w:p>
    <w:p w:rsidR="00D830D1" w:rsidRPr="006339AA" w:rsidRDefault="00D830D1" w:rsidP="00DC02F4"/>
    <w:sectPr w:rsidR="00D830D1" w:rsidRPr="006339AA" w:rsidSect="00784357">
      <w:headerReference w:type="default" r:id="rId9"/>
      <w:footerReference w:type="default" r:id="rId10"/>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39F" w:rsidRDefault="002E539F">
      <w:r>
        <w:separator/>
      </w:r>
    </w:p>
  </w:endnote>
  <w:endnote w:type="continuationSeparator" w:id="0">
    <w:p w:rsidR="002E539F" w:rsidRDefault="002E5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9F" w:rsidRDefault="002E539F" w:rsidP="00784357">
    <w:pPr>
      <w:pStyle w:val="Footer"/>
      <w:tabs>
        <w:tab w:val="right" w:pos="9360"/>
      </w:tabs>
    </w:pPr>
    <w:r>
      <w:tab/>
    </w:r>
    <w:r>
      <w:tab/>
    </w:r>
    <w:r>
      <w:tab/>
    </w:r>
    <w:fldSimple w:instr=" PAGE   \* MERGEFORMAT ">
      <w:r w:rsidR="00DC02F4">
        <w:rPr>
          <w:noProof/>
        </w:rPr>
        <w:t>5</w:t>
      </w:r>
    </w:fldSimple>
  </w:p>
  <w:p w:rsidR="002E539F" w:rsidRDefault="002E5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39F" w:rsidRDefault="002E539F">
      <w:r>
        <w:separator/>
      </w:r>
    </w:p>
  </w:footnote>
  <w:footnote w:type="continuationSeparator" w:id="0">
    <w:p w:rsidR="002E539F" w:rsidRDefault="002E539F">
      <w:r>
        <w:continuationSeparator/>
      </w:r>
    </w:p>
  </w:footnote>
  <w:footnote w:id="1">
    <w:p w:rsidR="002E539F" w:rsidRDefault="002E539F" w:rsidP="00784357">
      <w:r>
        <w:rPr>
          <w:rStyle w:val="FootnoteReference"/>
        </w:rPr>
        <w:footnoteRef/>
      </w:r>
      <w:r>
        <w:t xml:space="preserve"> Hardcastle, A. (2009). </w:t>
      </w:r>
      <w:proofErr w:type="gramStart"/>
      <w:r>
        <w:rPr>
          <w:i/>
          <w:iCs/>
        </w:rPr>
        <w:t>2008 Green Economy Jobs in Washington State</w:t>
      </w:r>
      <w:r>
        <w:t>.</w:t>
      </w:r>
      <w:proofErr w:type="gramEnd"/>
      <w:r>
        <w:t xml:space="preserve"> WA. </w:t>
      </w:r>
      <w:hyperlink r:id="rId1" w:history="1">
        <w:r>
          <w:rPr>
            <w:rStyle w:val="Hyperlink"/>
          </w:rPr>
          <w:t>http://www.workforceexplorer.com/admin/uploadedPublications/9463_Green_Jobs_Report_2008_WEXVersion.pdf</w:t>
        </w:r>
      </w:hyperlink>
    </w:p>
  </w:footnote>
  <w:footnote w:id="2">
    <w:p w:rsidR="002E539F" w:rsidRDefault="002E539F">
      <w:pPr>
        <w:pStyle w:val="FootnoteText"/>
      </w:pPr>
      <w:r>
        <w:rPr>
          <w:rStyle w:val="FootnoteReference"/>
        </w:rPr>
        <w:footnoteRef/>
      </w:r>
      <w:r>
        <w:t xml:space="preserve"> </w:t>
      </w:r>
      <w:proofErr w:type="gramStart"/>
      <w:r>
        <w:t>The PEW Charitable Trusts.</w:t>
      </w:r>
      <w:proofErr w:type="gramEnd"/>
      <w:r>
        <w:t xml:space="preserve"> (2009). </w:t>
      </w:r>
      <w:proofErr w:type="gramStart"/>
      <w:r>
        <w:rPr>
          <w:i/>
          <w:iCs/>
        </w:rPr>
        <w:t>The</w:t>
      </w:r>
      <w:proofErr w:type="gramEnd"/>
      <w:r>
        <w:rPr>
          <w:i/>
          <w:iCs/>
        </w:rPr>
        <w:t xml:space="preserve"> Clean Energy Economy: Repowering Jobs, Businesses and Investments Across </w:t>
      </w:r>
      <w:smartTag w:uri="urn:schemas-microsoft-com:office:smarttags" w:element="country-region">
        <w:smartTag w:uri="urn:schemas-microsoft-com:office:smarttags" w:element="place">
          <w:r>
            <w:rPr>
              <w:i/>
              <w:iCs/>
            </w:rPr>
            <w:t>America</w:t>
          </w:r>
        </w:smartTag>
      </w:smartTag>
      <w:r>
        <w:t xml:space="preserve">. </w:t>
      </w:r>
      <w:hyperlink r:id="rId2" w:history="1">
        <w:r>
          <w:rPr>
            <w:rStyle w:val="Hyperlink"/>
          </w:rPr>
          <w:t>http://www.pewcenteronthestates.org/uploadedFiles/Clean_Economy_Report_Web.pdf</w:t>
        </w:r>
      </w:hyperlink>
    </w:p>
  </w:footnote>
  <w:footnote w:id="3">
    <w:p w:rsidR="002E539F" w:rsidRPr="00D27D0D" w:rsidRDefault="002E539F">
      <w:pPr>
        <w:pStyle w:val="FootnoteText"/>
        <w:rPr>
          <w:lang w:val="es-ES_tradnl"/>
        </w:rPr>
      </w:pPr>
      <w:r>
        <w:rPr>
          <w:rStyle w:val="FootnoteReference"/>
        </w:rPr>
        <w:footnoteRef/>
      </w:r>
      <w:r>
        <w:t xml:space="preserve"> </w:t>
      </w:r>
      <w:proofErr w:type="gramStart"/>
      <w:r>
        <w:t>Statistics Canada.</w:t>
      </w:r>
      <w:proofErr w:type="gramEnd"/>
      <w:r>
        <w:t xml:space="preserve"> </w:t>
      </w:r>
      <w:r>
        <w:rPr>
          <w:i/>
        </w:rPr>
        <w:t xml:space="preserve">Environment and Industry Sector: 2002 revised and 2004. </w:t>
      </w:r>
      <w:hyperlink r:id="rId3" w:history="1">
        <w:r w:rsidRPr="004E3A89">
          <w:rPr>
            <w:rStyle w:val="Hyperlink"/>
            <w:lang w:val="pt-BR"/>
          </w:rPr>
          <w:t>http://www.statcan.gc.ca/pub/16f0008x/16f0008x2007001-eng.pdf</w:t>
        </w:r>
      </w:hyperlink>
    </w:p>
  </w:footnote>
  <w:footnote w:id="4">
    <w:p w:rsidR="002E539F" w:rsidRPr="00C524B8" w:rsidRDefault="002E539F" w:rsidP="00C524B8">
      <w:pPr>
        <w:rPr>
          <w:rStyle w:val="Hyperlink"/>
          <w:color w:val="auto"/>
          <w:u w:val="none"/>
        </w:rPr>
      </w:pPr>
      <w:r>
        <w:rPr>
          <w:rStyle w:val="FootnoteReference"/>
        </w:rPr>
        <w:footnoteRef/>
      </w:r>
      <w:r w:rsidRPr="004E3A89">
        <w:rPr>
          <w:lang w:val="pt-BR"/>
        </w:rPr>
        <w:t xml:space="preserve"> </w:t>
      </w:r>
      <w:r w:rsidRPr="004E3A89">
        <w:rPr>
          <w:lang w:val="pt-BR"/>
        </w:rPr>
        <w:t xml:space="preserve">Eurostat. </w:t>
      </w:r>
      <w:r>
        <w:t xml:space="preserve">(2009). </w:t>
      </w:r>
      <w:r>
        <w:rPr>
          <w:i/>
        </w:rPr>
        <w:t>The Environmental Goods and Services Sector: A data collection handbook.</w:t>
      </w:r>
      <w:r>
        <w:t xml:space="preserve"> </w:t>
      </w:r>
      <w:hyperlink r:id="rId4" w:history="1">
        <w:r w:rsidRPr="00225802">
          <w:rPr>
            <w:rStyle w:val="Hyperlink"/>
          </w:rPr>
          <w:t>http://epp.eurostat.ec.europa.eu/cache/ITY_OFFPUB/KS-RA-09-012/EN/KS-RA-09-012-EN.PDF</w:t>
        </w:r>
      </w:hyperlink>
    </w:p>
    <w:p w:rsidR="002E539F" w:rsidRDefault="002E539F" w:rsidP="00C524B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9F" w:rsidRDefault="002E539F">
    <w:pPr>
      <w:pStyle w:val="Header"/>
    </w:pPr>
    <w:r>
      <w:t>6/24/11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9F64FB4"/>
    <w:multiLevelType w:val="hybridMultilevel"/>
    <w:tmpl w:val="BBA89694"/>
    <w:lvl w:ilvl="0" w:tplc="9D5C3E7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D3700B"/>
    <w:multiLevelType w:val="hybridMultilevel"/>
    <w:tmpl w:val="2280EC7A"/>
    <w:lvl w:ilvl="0" w:tplc="07EC639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CAB284C"/>
    <w:multiLevelType w:val="hybridMultilevel"/>
    <w:tmpl w:val="89888DE8"/>
    <w:lvl w:ilvl="0" w:tplc="566CD14A">
      <w:start w:val="1"/>
      <w:numFmt w:val="decimal"/>
      <w:lvlText w:val="%1."/>
      <w:lvlJc w:val="left"/>
      <w:pPr>
        <w:ind w:left="720" w:hanging="360"/>
      </w:pPr>
      <w:rPr>
        <w:rFonts w:cs="Times New Roman" w:hint="default"/>
        <w:color w:val="00000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C5012F"/>
    <w:multiLevelType w:val="hybridMultilevel"/>
    <w:tmpl w:val="8D4E8E02"/>
    <w:lvl w:ilvl="0" w:tplc="59DCAFF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2623C7C"/>
    <w:multiLevelType w:val="hybridMultilevel"/>
    <w:tmpl w:val="39BE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96395"/>
    <w:multiLevelType w:val="hybridMultilevel"/>
    <w:tmpl w:val="02E2EBCA"/>
    <w:lvl w:ilvl="0" w:tplc="A67EC69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A7034B6"/>
    <w:multiLevelType w:val="hybridMultilevel"/>
    <w:tmpl w:val="A3E064E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D1D3AA8"/>
    <w:multiLevelType w:val="hybridMultilevel"/>
    <w:tmpl w:val="89888DE8"/>
    <w:lvl w:ilvl="0" w:tplc="566CD14A">
      <w:start w:val="1"/>
      <w:numFmt w:val="decimal"/>
      <w:lvlText w:val="%1."/>
      <w:lvlJc w:val="left"/>
      <w:pPr>
        <w:ind w:left="720" w:hanging="360"/>
      </w:pPr>
      <w:rPr>
        <w:rFonts w:cs="Times New Roman" w:hint="default"/>
        <w:color w:val="00000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4070E4D"/>
    <w:multiLevelType w:val="hybridMultilevel"/>
    <w:tmpl w:val="C650676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07A2D35"/>
    <w:multiLevelType w:val="singleLevel"/>
    <w:tmpl w:val="255EFBA6"/>
    <w:lvl w:ilvl="0">
      <w:start w:val="1"/>
      <w:numFmt w:val="lowerLetter"/>
      <w:lvlText w:val="%1. "/>
      <w:lvlJc w:val="left"/>
      <w:pPr>
        <w:tabs>
          <w:tab w:val="num" w:pos="0"/>
        </w:tabs>
        <w:ind w:left="1080" w:hanging="360"/>
      </w:pPr>
      <w:rPr>
        <w:rFonts w:ascii="Times New Roman" w:hAnsi="Times New Roman" w:cs="Times New Roman" w:hint="default"/>
        <w:b w:val="0"/>
        <w:i w:val="0"/>
        <w:sz w:val="24"/>
        <w:u w:val="none"/>
      </w:rPr>
    </w:lvl>
  </w:abstractNum>
  <w:abstractNum w:abstractNumId="11">
    <w:nsid w:val="5823766C"/>
    <w:multiLevelType w:val="hybridMultilevel"/>
    <w:tmpl w:val="EF08924A"/>
    <w:lvl w:ilvl="0" w:tplc="4B3CAAB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295706"/>
    <w:multiLevelType w:val="hybridMultilevel"/>
    <w:tmpl w:val="462E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FB5388"/>
    <w:multiLevelType w:val="hybridMultilevel"/>
    <w:tmpl w:val="1F80B1C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A011149"/>
    <w:multiLevelType w:val="hybridMultilevel"/>
    <w:tmpl w:val="EDA677D2"/>
    <w:lvl w:ilvl="0" w:tplc="87D203B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F11585C"/>
    <w:multiLevelType w:val="hybridMultilevel"/>
    <w:tmpl w:val="CA40A13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7BE4296"/>
    <w:multiLevelType w:val="hybridMultilevel"/>
    <w:tmpl w:val="3574FB8A"/>
    <w:lvl w:ilvl="0" w:tplc="9DEE4CCA">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9A7819"/>
    <w:multiLevelType w:val="hybridMultilevel"/>
    <w:tmpl w:val="BC7A2C7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nsid w:val="78620E75"/>
    <w:multiLevelType w:val="hybridMultilevel"/>
    <w:tmpl w:val="ABB4B5E6"/>
    <w:lvl w:ilvl="0" w:tplc="AB067B4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8"/>
  </w:num>
  <w:num w:numId="3">
    <w:abstractNumId w:val="14"/>
  </w:num>
  <w:num w:numId="4">
    <w:abstractNumId w:val="4"/>
  </w:num>
  <w:num w:numId="5">
    <w:abstractNumId w:val="6"/>
  </w:num>
  <w:num w:numId="6">
    <w:abstractNumId w:val="7"/>
  </w:num>
  <w:num w:numId="7">
    <w:abstractNumId w:val="15"/>
  </w:num>
  <w:num w:numId="8">
    <w:abstractNumId w:val="2"/>
  </w:num>
  <w:num w:numId="9">
    <w:abstractNumId w:val="9"/>
  </w:num>
  <w:num w:numId="10">
    <w:abstractNumId w:val="13"/>
  </w:num>
  <w:num w:numId="11">
    <w:abstractNumId w:val="1"/>
  </w:num>
  <w:num w:numId="12">
    <w:abstractNumId w:val="11"/>
  </w:num>
  <w:num w:numId="13">
    <w:abstractNumId w:val="16"/>
  </w:num>
  <w:num w:numId="14">
    <w:abstractNumId w:val="8"/>
  </w:num>
  <w:num w:numId="15">
    <w:abstractNumId w:val="17"/>
  </w:num>
  <w:num w:numId="16">
    <w:abstractNumId w:val="5"/>
  </w:num>
  <w:num w:numId="17">
    <w:abstractNumId w:val="12"/>
  </w:num>
  <w:num w:numId="18">
    <w:abstractNumId w:val="3"/>
  </w:num>
  <w:num w:numId="19">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00E5D"/>
    <w:rsid w:val="000012BF"/>
    <w:rsid w:val="00014CE3"/>
    <w:rsid w:val="000276AC"/>
    <w:rsid w:val="00035491"/>
    <w:rsid w:val="000369CE"/>
    <w:rsid w:val="000468CC"/>
    <w:rsid w:val="00053BD9"/>
    <w:rsid w:val="0005433F"/>
    <w:rsid w:val="00055D85"/>
    <w:rsid w:val="00061FE1"/>
    <w:rsid w:val="00065129"/>
    <w:rsid w:val="00073E14"/>
    <w:rsid w:val="0007494F"/>
    <w:rsid w:val="00075664"/>
    <w:rsid w:val="00076768"/>
    <w:rsid w:val="0008425A"/>
    <w:rsid w:val="00084DB8"/>
    <w:rsid w:val="0009024D"/>
    <w:rsid w:val="00096374"/>
    <w:rsid w:val="000A1C8B"/>
    <w:rsid w:val="000A7453"/>
    <w:rsid w:val="000A77D5"/>
    <w:rsid w:val="000B5054"/>
    <w:rsid w:val="000C0A5B"/>
    <w:rsid w:val="000C4077"/>
    <w:rsid w:val="000C5DBF"/>
    <w:rsid w:val="000D1623"/>
    <w:rsid w:val="000E2558"/>
    <w:rsid w:val="000E376A"/>
    <w:rsid w:val="000F1060"/>
    <w:rsid w:val="000F6535"/>
    <w:rsid w:val="001006E7"/>
    <w:rsid w:val="00102B49"/>
    <w:rsid w:val="0010504B"/>
    <w:rsid w:val="00111B19"/>
    <w:rsid w:val="00114CFC"/>
    <w:rsid w:val="00116F56"/>
    <w:rsid w:val="0012294A"/>
    <w:rsid w:val="00123E81"/>
    <w:rsid w:val="001250E9"/>
    <w:rsid w:val="00127584"/>
    <w:rsid w:val="0013518F"/>
    <w:rsid w:val="00136741"/>
    <w:rsid w:val="0014459A"/>
    <w:rsid w:val="001453C4"/>
    <w:rsid w:val="00154996"/>
    <w:rsid w:val="001658BB"/>
    <w:rsid w:val="00166060"/>
    <w:rsid w:val="0016631A"/>
    <w:rsid w:val="0017444D"/>
    <w:rsid w:val="001747C8"/>
    <w:rsid w:val="001756AD"/>
    <w:rsid w:val="001817BD"/>
    <w:rsid w:val="0018301D"/>
    <w:rsid w:val="00185F3F"/>
    <w:rsid w:val="0018654D"/>
    <w:rsid w:val="001866C7"/>
    <w:rsid w:val="001875C4"/>
    <w:rsid w:val="0019104F"/>
    <w:rsid w:val="00193680"/>
    <w:rsid w:val="001A3AA3"/>
    <w:rsid w:val="001B162F"/>
    <w:rsid w:val="001B6046"/>
    <w:rsid w:val="001C4E7E"/>
    <w:rsid w:val="001D11F7"/>
    <w:rsid w:val="001D4FC4"/>
    <w:rsid w:val="001D5F76"/>
    <w:rsid w:val="001E42AB"/>
    <w:rsid w:val="001E45C5"/>
    <w:rsid w:val="001F19A5"/>
    <w:rsid w:val="001F47ED"/>
    <w:rsid w:val="001F724E"/>
    <w:rsid w:val="00200455"/>
    <w:rsid w:val="00200A67"/>
    <w:rsid w:val="00202F00"/>
    <w:rsid w:val="00204062"/>
    <w:rsid w:val="002045F7"/>
    <w:rsid w:val="00214740"/>
    <w:rsid w:val="00215104"/>
    <w:rsid w:val="002157A9"/>
    <w:rsid w:val="00225802"/>
    <w:rsid w:val="00225FC5"/>
    <w:rsid w:val="00226FA2"/>
    <w:rsid w:val="00227753"/>
    <w:rsid w:val="00230BF6"/>
    <w:rsid w:val="00232484"/>
    <w:rsid w:val="0023463D"/>
    <w:rsid w:val="0023573B"/>
    <w:rsid w:val="00244900"/>
    <w:rsid w:val="002468BA"/>
    <w:rsid w:val="0025216F"/>
    <w:rsid w:val="0025397F"/>
    <w:rsid w:val="00256CC7"/>
    <w:rsid w:val="00262227"/>
    <w:rsid w:val="00262FBE"/>
    <w:rsid w:val="002635C5"/>
    <w:rsid w:val="00264088"/>
    <w:rsid w:val="0026518D"/>
    <w:rsid w:val="0026756D"/>
    <w:rsid w:val="00272567"/>
    <w:rsid w:val="0027548B"/>
    <w:rsid w:val="0027780E"/>
    <w:rsid w:val="002827D8"/>
    <w:rsid w:val="00282C5F"/>
    <w:rsid w:val="00285A8E"/>
    <w:rsid w:val="00291566"/>
    <w:rsid w:val="00291CE5"/>
    <w:rsid w:val="00292F8A"/>
    <w:rsid w:val="002B27E0"/>
    <w:rsid w:val="002B4517"/>
    <w:rsid w:val="002B457F"/>
    <w:rsid w:val="002B6224"/>
    <w:rsid w:val="002C0F4D"/>
    <w:rsid w:val="002C34F2"/>
    <w:rsid w:val="002C383D"/>
    <w:rsid w:val="002C3CEF"/>
    <w:rsid w:val="002C4166"/>
    <w:rsid w:val="002D0A9B"/>
    <w:rsid w:val="002D2419"/>
    <w:rsid w:val="002D5F3B"/>
    <w:rsid w:val="002E539F"/>
    <w:rsid w:val="002E7401"/>
    <w:rsid w:val="002F3D4D"/>
    <w:rsid w:val="002F51F5"/>
    <w:rsid w:val="002F731C"/>
    <w:rsid w:val="0030207E"/>
    <w:rsid w:val="00306F7A"/>
    <w:rsid w:val="003112EA"/>
    <w:rsid w:val="003133FB"/>
    <w:rsid w:val="00313A8D"/>
    <w:rsid w:val="003161A2"/>
    <w:rsid w:val="00320EC5"/>
    <w:rsid w:val="0032118B"/>
    <w:rsid w:val="0032586B"/>
    <w:rsid w:val="00325BAD"/>
    <w:rsid w:val="0032654E"/>
    <w:rsid w:val="0033166D"/>
    <w:rsid w:val="003334F0"/>
    <w:rsid w:val="00337E2B"/>
    <w:rsid w:val="00340EDD"/>
    <w:rsid w:val="00343325"/>
    <w:rsid w:val="00345F82"/>
    <w:rsid w:val="0035585C"/>
    <w:rsid w:val="003559EB"/>
    <w:rsid w:val="00355AC8"/>
    <w:rsid w:val="00364438"/>
    <w:rsid w:val="00377625"/>
    <w:rsid w:val="00377785"/>
    <w:rsid w:val="0038071A"/>
    <w:rsid w:val="003914B5"/>
    <w:rsid w:val="003946D2"/>
    <w:rsid w:val="00396666"/>
    <w:rsid w:val="00396B96"/>
    <w:rsid w:val="003973CE"/>
    <w:rsid w:val="003A2680"/>
    <w:rsid w:val="003A3AF3"/>
    <w:rsid w:val="003A55B6"/>
    <w:rsid w:val="003A7469"/>
    <w:rsid w:val="003B467A"/>
    <w:rsid w:val="003B6851"/>
    <w:rsid w:val="003B6E03"/>
    <w:rsid w:val="003C55A1"/>
    <w:rsid w:val="003C66E0"/>
    <w:rsid w:val="003C7677"/>
    <w:rsid w:val="003C7965"/>
    <w:rsid w:val="003D055F"/>
    <w:rsid w:val="003D0F25"/>
    <w:rsid w:val="003D3E4D"/>
    <w:rsid w:val="003D749F"/>
    <w:rsid w:val="003E2BE3"/>
    <w:rsid w:val="003E48BB"/>
    <w:rsid w:val="003E7B75"/>
    <w:rsid w:val="003F26D4"/>
    <w:rsid w:val="003F3586"/>
    <w:rsid w:val="00400FD2"/>
    <w:rsid w:val="004043B6"/>
    <w:rsid w:val="0040730A"/>
    <w:rsid w:val="004139C7"/>
    <w:rsid w:val="0042460E"/>
    <w:rsid w:val="00434048"/>
    <w:rsid w:val="00434231"/>
    <w:rsid w:val="00434AAC"/>
    <w:rsid w:val="00436555"/>
    <w:rsid w:val="00436562"/>
    <w:rsid w:val="00436A04"/>
    <w:rsid w:val="004472BE"/>
    <w:rsid w:val="004477CF"/>
    <w:rsid w:val="00450D88"/>
    <w:rsid w:val="004566BE"/>
    <w:rsid w:val="00457CF8"/>
    <w:rsid w:val="00470458"/>
    <w:rsid w:val="004756CF"/>
    <w:rsid w:val="004866A2"/>
    <w:rsid w:val="004951DD"/>
    <w:rsid w:val="00495F81"/>
    <w:rsid w:val="004A0671"/>
    <w:rsid w:val="004A12A4"/>
    <w:rsid w:val="004A2165"/>
    <w:rsid w:val="004A2F16"/>
    <w:rsid w:val="004A3D51"/>
    <w:rsid w:val="004A3DCA"/>
    <w:rsid w:val="004B6304"/>
    <w:rsid w:val="004B731F"/>
    <w:rsid w:val="004C39B3"/>
    <w:rsid w:val="004C402B"/>
    <w:rsid w:val="004C67A2"/>
    <w:rsid w:val="004D6FE6"/>
    <w:rsid w:val="004E07FF"/>
    <w:rsid w:val="004E3A89"/>
    <w:rsid w:val="004E62A3"/>
    <w:rsid w:val="004E6949"/>
    <w:rsid w:val="004F1A87"/>
    <w:rsid w:val="004F5CC9"/>
    <w:rsid w:val="004F68F7"/>
    <w:rsid w:val="004F6A5A"/>
    <w:rsid w:val="00507398"/>
    <w:rsid w:val="00513305"/>
    <w:rsid w:val="005146EB"/>
    <w:rsid w:val="00515E1B"/>
    <w:rsid w:val="00516488"/>
    <w:rsid w:val="0052195D"/>
    <w:rsid w:val="00525CDC"/>
    <w:rsid w:val="00530E88"/>
    <w:rsid w:val="00534E1D"/>
    <w:rsid w:val="005355E4"/>
    <w:rsid w:val="005374F9"/>
    <w:rsid w:val="00541A28"/>
    <w:rsid w:val="0055234E"/>
    <w:rsid w:val="00554254"/>
    <w:rsid w:val="00563A7F"/>
    <w:rsid w:val="00564133"/>
    <w:rsid w:val="0056578A"/>
    <w:rsid w:val="00572CFC"/>
    <w:rsid w:val="005734DE"/>
    <w:rsid w:val="005820B6"/>
    <w:rsid w:val="0058695A"/>
    <w:rsid w:val="005914BA"/>
    <w:rsid w:val="00593D98"/>
    <w:rsid w:val="005944A0"/>
    <w:rsid w:val="00597BBD"/>
    <w:rsid w:val="005A6A24"/>
    <w:rsid w:val="005B22B7"/>
    <w:rsid w:val="005B2506"/>
    <w:rsid w:val="005B69F2"/>
    <w:rsid w:val="005B6DA9"/>
    <w:rsid w:val="005D0525"/>
    <w:rsid w:val="005D1036"/>
    <w:rsid w:val="005D16B2"/>
    <w:rsid w:val="005D24FB"/>
    <w:rsid w:val="005D349E"/>
    <w:rsid w:val="005D50B8"/>
    <w:rsid w:val="005E0782"/>
    <w:rsid w:val="005E10D6"/>
    <w:rsid w:val="005E4507"/>
    <w:rsid w:val="005E7BBD"/>
    <w:rsid w:val="006009BC"/>
    <w:rsid w:val="00603376"/>
    <w:rsid w:val="00605AB2"/>
    <w:rsid w:val="0060628D"/>
    <w:rsid w:val="00607866"/>
    <w:rsid w:val="00610DD5"/>
    <w:rsid w:val="006131AA"/>
    <w:rsid w:val="00614DD5"/>
    <w:rsid w:val="006155DB"/>
    <w:rsid w:val="00621A77"/>
    <w:rsid w:val="00622FDB"/>
    <w:rsid w:val="0062519D"/>
    <w:rsid w:val="00626970"/>
    <w:rsid w:val="00631407"/>
    <w:rsid w:val="006339AA"/>
    <w:rsid w:val="0063667B"/>
    <w:rsid w:val="0065274C"/>
    <w:rsid w:val="0065793E"/>
    <w:rsid w:val="006671B7"/>
    <w:rsid w:val="00667521"/>
    <w:rsid w:val="0067670B"/>
    <w:rsid w:val="00677B91"/>
    <w:rsid w:val="00680417"/>
    <w:rsid w:val="00684955"/>
    <w:rsid w:val="00684D3D"/>
    <w:rsid w:val="006905F6"/>
    <w:rsid w:val="00691CD9"/>
    <w:rsid w:val="0069223E"/>
    <w:rsid w:val="006A2A8E"/>
    <w:rsid w:val="006B39EC"/>
    <w:rsid w:val="006B4226"/>
    <w:rsid w:val="006B57F1"/>
    <w:rsid w:val="006B7D45"/>
    <w:rsid w:val="006C4B84"/>
    <w:rsid w:val="006C79B4"/>
    <w:rsid w:val="006D015B"/>
    <w:rsid w:val="006E2C67"/>
    <w:rsid w:val="006E2C90"/>
    <w:rsid w:val="006E2F53"/>
    <w:rsid w:val="006E4665"/>
    <w:rsid w:val="00702DF6"/>
    <w:rsid w:val="007069B3"/>
    <w:rsid w:val="00711B8A"/>
    <w:rsid w:val="00713EB8"/>
    <w:rsid w:val="00714E19"/>
    <w:rsid w:val="00716EA4"/>
    <w:rsid w:val="00721D18"/>
    <w:rsid w:val="00722210"/>
    <w:rsid w:val="00726CA9"/>
    <w:rsid w:val="00727E63"/>
    <w:rsid w:val="007336DC"/>
    <w:rsid w:val="0073712B"/>
    <w:rsid w:val="00737EB6"/>
    <w:rsid w:val="00740ECE"/>
    <w:rsid w:val="007420EB"/>
    <w:rsid w:val="00743158"/>
    <w:rsid w:val="007577E6"/>
    <w:rsid w:val="0076411C"/>
    <w:rsid w:val="00766E15"/>
    <w:rsid w:val="007730F4"/>
    <w:rsid w:val="007747A4"/>
    <w:rsid w:val="00776F73"/>
    <w:rsid w:val="00777BC9"/>
    <w:rsid w:val="007828FC"/>
    <w:rsid w:val="00783287"/>
    <w:rsid w:val="00784357"/>
    <w:rsid w:val="00790813"/>
    <w:rsid w:val="007930B8"/>
    <w:rsid w:val="007971DD"/>
    <w:rsid w:val="00797C08"/>
    <w:rsid w:val="007A290E"/>
    <w:rsid w:val="007A6317"/>
    <w:rsid w:val="007B5DCD"/>
    <w:rsid w:val="007B7C32"/>
    <w:rsid w:val="007C0A2C"/>
    <w:rsid w:val="007C65A1"/>
    <w:rsid w:val="007D2691"/>
    <w:rsid w:val="007D39D7"/>
    <w:rsid w:val="007D6B25"/>
    <w:rsid w:val="007D774A"/>
    <w:rsid w:val="007D7FCA"/>
    <w:rsid w:val="007E2016"/>
    <w:rsid w:val="007E3105"/>
    <w:rsid w:val="007E56FF"/>
    <w:rsid w:val="007E6E36"/>
    <w:rsid w:val="007F1367"/>
    <w:rsid w:val="007F2153"/>
    <w:rsid w:val="008000E0"/>
    <w:rsid w:val="00800A05"/>
    <w:rsid w:val="008042EC"/>
    <w:rsid w:val="0080458F"/>
    <w:rsid w:val="008111D7"/>
    <w:rsid w:val="00817D45"/>
    <w:rsid w:val="00820D41"/>
    <w:rsid w:val="008218B7"/>
    <w:rsid w:val="008219A8"/>
    <w:rsid w:val="0082511E"/>
    <w:rsid w:val="00836E34"/>
    <w:rsid w:val="00845617"/>
    <w:rsid w:val="008459D7"/>
    <w:rsid w:val="0085035D"/>
    <w:rsid w:val="0085398C"/>
    <w:rsid w:val="00857E74"/>
    <w:rsid w:val="00861241"/>
    <w:rsid w:val="00861A96"/>
    <w:rsid w:val="008624EF"/>
    <w:rsid w:val="00862942"/>
    <w:rsid w:val="00866035"/>
    <w:rsid w:val="00871E05"/>
    <w:rsid w:val="008725DE"/>
    <w:rsid w:val="00883E3D"/>
    <w:rsid w:val="00883F81"/>
    <w:rsid w:val="008A1F2F"/>
    <w:rsid w:val="008A32D8"/>
    <w:rsid w:val="008A44EB"/>
    <w:rsid w:val="008A7A46"/>
    <w:rsid w:val="008C19F6"/>
    <w:rsid w:val="008C317C"/>
    <w:rsid w:val="008C3191"/>
    <w:rsid w:val="008C4FFA"/>
    <w:rsid w:val="008C6B9F"/>
    <w:rsid w:val="008D160E"/>
    <w:rsid w:val="008D4919"/>
    <w:rsid w:val="008E16E1"/>
    <w:rsid w:val="008E62BD"/>
    <w:rsid w:val="008F2B91"/>
    <w:rsid w:val="00900E5D"/>
    <w:rsid w:val="009177AE"/>
    <w:rsid w:val="00921869"/>
    <w:rsid w:val="0092234D"/>
    <w:rsid w:val="00925035"/>
    <w:rsid w:val="00931639"/>
    <w:rsid w:val="00931B69"/>
    <w:rsid w:val="0093555A"/>
    <w:rsid w:val="009359C2"/>
    <w:rsid w:val="00937390"/>
    <w:rsid w:val="0094011E"/>
    <w:rsid w:val="00940F15"/>
    <w:rsid w:val="00943E09"/>
    <w:rsid w:val="009441DA"/>
    <w:rsid w:val="00944718"/>
    <w:rsid w:val="00953233"/>
    <w:rsid w:val="00953CFC"/>
    <w:rsid w:val="00954492"/>
    <w:rsid w:val="00961841"/>
    <w:rsid w:val="009626C2"/>
    <w:rsid w:val="00964979"/>
    <w:rsid w:val="00966567"/>
    <w:rsid w:val="009765FF"/>
    <w:rsid w:val="0097700D"/>
    <w:rsid w:val="009775E5"/>
    <w:rsid w:val="00981458"/>
    <w:rsid w:val="0098294B"/>
    <w:rsid w:val="00993B4F"/>
    <w:rsid w:val="00996FCD"/>
    <w:rsid w:val="009A4773"/>
    <w:rsid w:val="009B3B28"/>
    <w:rsid w:val="009C3475"/>
    <w:rsid w:val="009D0CFC"/>
    <w:rsid w:val="009D23B4"/>
    <w:rsid w:val="009D4D62"/>
    <w:rsid w:val="009D5FF2"/>
    <w:rsid w:val="009D7C79"/>
    <w:rsid w:val="009E2F26"/>
    <w:rsid w:val="009E437A"/>
    <w:rsid w:val="009F4ADF"/>
    <w:rsid w:val="009F5BA7"/>
    <w:rsid w:val="00A00C72"/>
    <w:rsid w:val="00A01722"/>
    <w:rsid w:val="00A11912"/>
    <w:rsid w:val="00A204C3"/>
    <w:rsid w:val="00A21363"/>
    <w:rsid w:val="00A27B52"/>
    <w:rsid w:val="00A33A17"/>
    <w:rsid w:val="00A34787"/>
    <w:rsid w:val="00A358D3"/>
    <w:rsid w:val="00A42761"/>
    <w:rsid w:val="00A43257"/>
    <w:rsid w:val="00A45721"/>
    <w:rsid w:val="00A461DF"/>
    <w:rsid w:val="00A50B71"/>
    <w:rsid w:val="00A536CA"/>
    <w:rsid w:val="00A54C81"/>
    <w:rsid w:val="00A55E56"/>
    <w:rsid w:val="00A575C0"/>
    <w:rsid w:val="00A66196"/>
    <w:rsid w:val="00A6792C"/>
    <w:rsid w:val="00A712EC"/>
    <w:rsid w:val="00A74F2D"/>
    <w:rsid w:val="00A956B3"/>
    <w:rsid w:val="00AA133C"/>
    <w:rsid w:val="00AA2E4A"/>
    <w:rsid w:val="00AA4021"/>
    <w:rsid w:val="00AA4AFE"/>
    <w:rsid w:val="00AA6D77"/>
    <w:rsid w:val="00AB6A3A"/>
    <w:rsid w:val="00AC1E9C"/>
    <w:rsid w:val="00AC27EB"/>
    <w:rsid w:val="00AC4DD9"/>
    <w:rsid w:val="00AD1EEF"/>
    <w:rsid w:val="00AD2056"/>
    <w:rsid w:val="00AD2A9C"/>
    <w:rsid w:val="00AD6C07"/>
    <w:rsid w:val="00AD7086"/>
    <w:rsid w:val="00AE115F"/>
    <w:rsid w:val="00AE3BB1"/>
    <w:rsid w:val="00AE6AAE"/>
    <w:rsid w:val="00AE7AC2"/>
    <w:rsid w:val="00AF4104"/>
    <w:rsid w:val="00AF532C"/>
    <w:rsid w:val="00AF684D"/>
    <w:rsid w:val="00B048F0"/>
    <w:rsid w:val="00B2237F"/>
    <w:rsid w:val="00B41237"/>
    <w:rsid w:val="00B43000"/>
    <w:rsid w:val="00B46444"/>
    <w:rsid w:val="00B50899"/>
    <w:rsid w:val="00B514B0"/>
    <w:rsid w:val="00B51675"/>
    <w:rsid w:val="00B53F67"/>
    <w:rsid w:val="00B5507B"/>
    <w:rsid w:val="00B5715A"/>
    <w:rsid w:val="00B57FBA"/>
    <w:rsid w:val="00B61084"/>
    <w:rsid w:val="00B646C7"/>
    <w:rsid w:val="00B66CCC"/>
    <w:rsid w:val="00B72AEE"/>
    <w:rsid w:val="00B76D1C"/>
    <w:rsid w:val="00B82F77"/>
    <w:rsid w:val="00B853A6"/>
    <w:rsid w:val="00B85FA7"/>
    <w:rsid w:val="00B9003D"/>
    <w:rsid w:val="00B90571"/>
    <w:rsid w:val="00B91CC7"/>
    <w:rsid w:val="00B92F3F"/>
    <w:rsid w:val="00B92F54"/>
    <w:rsid w:val="00BC2C0C"/>
    <w:rsid w:val="00BC7ACE"/>
    <w:rsid w:val="00BD22B7"/>
    <w:rsid w:val="00BD27F0"/>
    <w:rsid w:val="00BD38E9"/>
    <w:rsid w:val="00BD54E9"/>
    <w:rsid w:val="00BE5416"/>
    <w:rsid w:val="00BE63E4"/>
    <w:rsid w:val="00BE7B50"/>
    <w:rsid w:val="00BF193B"/>
    <w:rsid w:val="00BF2C55"/>
    <w:rsid w:val="00BF3856"/>
    <w:rsid w:val="00BF526B"/>
    <w:rsid w:val="00C00C1E"/>
    <w:rsid w:val="00C0449B"/>
    <w:rsid w:val="00C06A45"/>
    <w:rsid w:val="00C07203"/>
    <w:rsid w:val="00C1098C"/>
    <w:rsid w:val="00C1739F"/>
    <w:rsid w:val="00C17882"/>
    <w:rsid w:val="00C2267D"/>
    <w:rsid w:val="00C235CA"/>
    <w:rsid w:val="00C242F6"/>
    <w:rsid w:val="00C27CF8"/>
    <w:rsid w:val="00C343BA"/>
    <w:rsid w:val="00C357AD"/>
    <w:rsid w:val="00C40600"/>
    <w:rsid w:val="00C40645"/>
    <w:rsid w:val="00C4226C"/>
    <w:rsid w:val="00C51530"/>
    <w:rsid w:val="00C524B8"/>
    <w:rsid w:val="00C548F6"/>
    <w:rsid w:val="00C57328"/>
    <w:rsid w:val="00C6460C"/>
    <w:rsid w:val="00C652C2"/>
    <w:rsid w:val="00C65499"/>
    <w:rsid w:val="00C72CD4"/>
    <w:rsid w:val="00C73D25"/>
    <w:rsid w:val="00C778E8"/>
    <w:rsid w:val="00C82530"/>
    <w:rsid w:val="00C87271"/>
    <w:rsid w:val="00C91904"/>
    <w:rsid w:val="00C971F9"/>
    <w:rsid w:val="00CA1721"/>
    <w:rsid w:val="00CB1020"/>
    <w:rsid w:val="00CB24E1"/>
    <w:rsid w:val="00CC0E0D"/>
    <w:rsid w:val="00CC1C35"/>
    <w:rsid w:val="00CC42C7"/>
    <w:rsid w:val="00CD1856"/>
    <w:rsid w:val="00CD3482"/>
    <w:rsid w:val="00CE51CA"/>
    <w:rsid w:val="00CE6882"/>
    <w:rsid w:val="00CF0411"/>
    <w:rsid w:val="00CF6875"/>
    <w:rsid w:val="00D019D1"/>
    <w:rsid w:val="00D01E27"/>
    <w:rsid w:val="00D03F71"/>
    <w:rsid w:val="00D05D60"/>
    <w:rsid w:val="00D07CF2"/>
    <w:rsid w:val="00D1096E"/>
    <w:rsid w:val="00D20CCB"/>
    <w:rsid w:val="00D210CC"/>
    <w:rsid w:val="00D24AA6"/>
    <w:rsid w:val="00D27107"/>
    <w:rsid w:val="00D27D0D"/>
    <w:rsid w:val="00D3102B"/>
    <w:rsid w:val="00D3464A"/>
    <w:rsid w:val="00D34DD1"/>
    <w:rsid w:val="00D36B1B"/>
    <w:rsid w:val="00D37F57"/>
    <w:rsid w:val="00D40427"/>
    <w:rsid w:val="00D46356"/>
    <w:rsid w:val="00D67221"/>
    <w:rsid w:val="00D75265"/>
    <w:rsid w:val="00D759B5"/>
    <w:rsid w:val="00D8073C"/>
    <w:rsid w:val="00D8118B"/>
    <w:rsid w:val="00D830D1"/>
    <w:rsid w:val="00D8471D"/>
    <w:rsid w:val="00D85F4B"/>
    <w:rsid w:val="00D96F08"/>
    <w:rsid w:val="00D97925"/>
    <w:rsid w:val="00DA0009"/>
    <w:rsid w:val="00DA171B"/>
    <w:rsid w:val="00DA2486"/>
    <w:rsid w:val="00DA4C95"/>
    <w:rsid w:val="00DB03A4"/>
    <w:rsid w:val="00DB5A13"/>
    <w:rsid w:val="00DB7A05"/>
    <w:rsid w:val="00DC02F4"/>
    <w:rsid w:val="00DC2D71"/>
    <w:rsid w:val="00DC6D94"/>
    <w:rsid w:val="00DC7E67"/>
    <w:rsid w:val="00DD2169"/>
    <w:rsid w:val="00DD3B4B"/>
    <w:rsid w:val="00DE44AA"/>
    <w:rsid w:val="00DF2ED5"/>
    <w:rsid w:val="00DF473C"/>
    <w:rsid w:val="00DF49AB"/>
    <w:rsid w:val="00E059F9"/>
    <w:rsid w:val="00E067C7"/>
    <w:rsid w:val="00E1063D"/>
    <w:rsid w:val="00E12D8B"/>
    <w:rsid w:val="00E15C1A"/>
    <w:rsid w:val="00E17240"/>
    <w:rsid w:val="00E24C34"/>
    <w:rsid w:val="00E25273"/>
    <w:rsid w:val="00E27A09"/>
    <w:rsid w:val="00E31876"/>
    <w:rsid w:val="00E32342"/>
    <w:rsid w:val="00E357BB"/>
    <w:rsid w:val="00E36AD5"/>
    <w:rsid w:val="00E425BF"/>
    <w:rsid w:val="00E44694"/>
    <w:rsid w:val="00E45D71"/>
    <w:rsid w:val="00E467DC"/>
    <w:rsid w:val="00E479AC"/>
    <w:rsid w:val="00E510D8"/>
    <w:rsid w:val="00E51674"/>
    <w:rsid w:val="00E54BED"/>
    <w:rsid w:val="00E54E6A"/>
    <w:rsid w:val="00E55388"/>
    <w:rsid w:val="00E648F1"/>
    <w:rsid w:val="00E66266"/>
    <w:rsid w:val="00E739E6"/>
    <w:rsid w:val="00E746C2"/>
    <w:rsid w:val="00E750A7"/>
    <w:rsid w:val="00E821E7"/>
    <w:rsid w:val="00E84116"/>
    <w:rsid w:val="00E84DC7"/>
    <w:rsid w:val="00E876D6"/>
    <w:rsid w:val="00E87AC3"/>
    <w:rsid w:val="00EA0289"/>
    <w:rsid w:val="00EA2B49"/>
    <w:rsid w:val="00EB1F03"/>
    <w:rsid w:val="00EB2BA0"/>
    <w:rsid w:val="00EB2F7D"/>
    <w:rsid w:val="00EB387B"/>
    <w:rsid w:val="00EC066D"/>
    <w:rsid w:val="00EC72DE"/>
    <w:rsid w:val="00EC79B7"/>
    <w:rsid w:val="00ED4923"/>
    <w:rsid w:val="00EE01BC"/>
    <w:rsid w:val="00EE12D9"/>
    <w:rsid w:val="00EF028A"/>
    <w:rsid w:val="00EF1004"/>
    <w:rsid w:val="00EF1A17"/>
    <w:rsid w:val="00EF4F6C"/>
    <w:rsid w:val="00EF7158"/>
    <w:rsid w:val="00F018F3"/>
    <w:rsid w:val="00F024E5"/>
    <w:rsid w:val="00F07C51"/>
    <w:rsid w:val="00F07FD9"/>
    <w:rsid w:val="00F1104D"/>
    <w:rsid w:val="00F13CFA"/>
    <w:rsid w:val="00F222F7"/>
    <w:rsid w:val="00F23EAF"/>
    <w:rsid w:val="00F3082F"/>
    <w:rsid w:val="00F33429"/>
    <w:rsid w:val="00F41E14"/>
    <w:rsid w:val="00F44139"/>
    <w:rsid w:val="00F536E4"/>
    <w:rsid w:val="00F60275"/>
    <w:rsid w:val="00F6482E"/>
    <w:rsid w:val="00F65D08"/>
    <w:rsid w:val="00F72A3E"/>
    <w:rsid w:val="00F73969"/>
    <w:rsid w:val="00F75419"/>
    <w:rsid w:val="00F804D1"/>
    <w:rsid w:val="00F8162F"/>
    <w:rsid w:val="00F817DC"/>
    <w:rsid w:val="00F8637E"/>
    <w:rsid w:val="00F92ADC"/>
    <w:rsid w:val="00F96556"/>
    <w:rsid w:val="00FA770D"/>
    <w:rsid w:val="00FB1E52"/>
    <w:rsid w:val="00FC6B8F"/>
    <w:rsid w:val="00FC75F1"/>
    <w:rsid w:val="00FD01D0"/>
    <w:rsid w:val="00FD2F14"/>
    <w:rsid w:val="00FD53DB"/>
    <w:rsid w:val="00FD7EF4"/>
    <w:rsid w:val="00FE0B85"/>
    <w:rsid w:val="00FE25BC"/>
    <w:rsid w:val="00FE3EEB"/>
    <w:rsid w:val="00FE6AD8"/>
    <w:rsid w:val="00FF05B4"/>
    <w:rsid w:val="00FF7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5D"/>
    <w:rPr>
      <w:rFonts w:ascii="Times New Roman" w:eastAsia="Times New Roman" w:hAnsi="Times New Roman"/>
      <w:sz w:val="20"/>
      <w:szCs w:val="20"/>
    </w:rPr>
  </w:style>
  <w:style w:type="paragraph" w:styleId="Heading1">
    <w:name w:val="heading 1"/>
    <w:basedOn w:val="Normal"/>
    <w:next w:val="Normal"/>
    <w:link w:val="Heading1Char"/>
    <w:uiPriority w:val="99"/>
    <w:qFormat/>
    <w:rsid w:val="00900E5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0E5D"/>
    <w:rPr>
      <w:rFonts w:ascii="Times New Roman" w:hAnsi="Times New Roman" w:cs="Times New Roman"/>
      <w:sz w:val="20"/>
      <w:szCs w:val="20"/>
    </w:rPr>
  </w:style>
  <w:style w:type="paragraph" w:styleId="Title">
    <w:name w:val="Title"/>
    <w:basedOn w:val="Normal"/>
    <w:link w:val="TitleChar"/>
    <w:uiPriority w:val="99"/>
    <w:qFormat/>
    <w:rsid w:val="00900E5D"/>
    <w:pPr>
      <w:jc w:val="center"/>
    </w:pPr>
    <w:rPr>
      <w:b/>
      <w:sz w:val="24"/>
    </w:rPr>
  </w:style>
  <w:style w:type="character" w:customStyle="1" w:styleId="TitleChar">
    <w:name w:val="Title Char"/>
    <w:basedOn w:val="DefaultParagraphFont"/>
    <w:link w:val="Title"/>
    <w:uiPriority w:val="99"/>
    <w:locked/>
    <w:rsid w:val="00900E5D"/>
    <w:rPr>
      <w:rFonts w:ascii="Times New Roman" w:hAnsi="Times New Roman" w:cs="Times New Roman"/>
      <w:b/>
      <w:sz w:val="20"/>
      <w:szCs w:val="20"/>
    </w:rPr>
  </w:style>
  <w:style w:type="paragraph" w:styleId="Footer">
    <w:name w:val="footer"/>
    <w:basedOn w:val="Normal"/>
    <w:link w:val="FooterChar"/>
    <w:uiPriority w:val="99"/>
    <w:rsid w:val="00900E5D"/>
    <w:pPr>
      <w:tabs>
        <w:tab w:val="center" w:pos="4320"/>
        <w:tab w:val="right" w:pos="8640"/>
      </w:tabs>
    </w:pPr>
  </w:style>
  <w:style w:type="character" w:customStyle="1" w:styleId="FooterChar">
    <w:name w:val="Footer Char"/>
    <w:basedOn w:val="DefaultParagraphFont"/>
    <w:link w:val="Footer"/>
    <w:uiPriority w:val="99"/>
    <w:locked/>
    <w:rsid w:val="00900E5D"/>
    <w:rPr>
      <w:rFonts w:ascii="Times New Roman" w:hAnsi="Times New Roman" w:cs="Times New Roman"/>
      <w:sz w:val="20"/>
      <w:szCs w:val="20"/>
    </w:rPr>
  </w:style>
  <w:style w:type="character" w:styleId="PageNumber">
    <w:name w:val="page number"/>
    <w:basedOn w:val="DefaultParagraphFont"/>
    <w:uiPriority w:val="99"/>
    <w:rsid w:val="00900E5D"/>
    <w:rPr>
      <w:rFonts w:cs="Times New Roman"/>
    </w:rPr>
  </w:style>
  <w:style w:type="paragraph" w:styleId="Index1">
    <w:name w:val="index 1"/>
    <w:basedOn w:val="Normal"/>
    <w:next w:val="Normal"/>
    <w:autoRedefine/>
    <w:uiPriority w:val="99"/>
    <w:rsid w:val="00900E5D"/>
    <w:pPr>
      <w:spacing w:line="240" w:lineRule="exact"/>
    </w:pPr>
    <w:rPr>
      <w:b/>
      <w:sz w:val="24"/>
    </w:rPr>
  </w:style>
  <w:style w:type="paragraph" w:styleId="Header">
    <w:name w:val="header"/>
    <w:basedOn w:val="Normal"/>
    <w:link w:val="HeaderChar"/>
    <w:uiPriority w:val="99"/>
    <w:rsid w:val="00900E5D"/>
    <w:pPr>
      <w:tabs>
        <w:tab w:val="center" w:pos="4320"/>
        <w:tab w:val="right" w:pos="8640"/>
      </w:tabs>
    </w:pPr>
    <w:rPr>
      <w:rFonts w:ascii="Courier" w:hAnsi="Courier"/>
      <w:sz w:val="24"/>
    </w:rPr>
  </w:style>
  <w:style w:type="character" w:customStyle="1" w:styleId="HeaderChar">
    <w:name w:val="Header Char"/>
    <w:basedOn w:val="DefaultParagraphFont"/>
    <w:link w:val="Header"/>
    <w:uiPriority w:val="99"/>
    <w:locked/>
    <w:rsid w:val="00900E5D"/>
    <w:rPr>
      <w:rFonts w:ascii="Courier" w:hAnsi="Courier" w:cs="Times New Roman"/>
      <w:sz w:val="20"/>
      <w:szCs w:val="20"/>
    </w:rPr>
  </w:style>
  <w:style w:type="paragraph" w:styleId="BodyText">
    <w:name w:val="Body Text"/>
    <w:basedOn w:val="Normal"/>
    <w:link w:val="BodyTextChar"/>
    <w:uiPriority w:val="99"/>
    <w:rsid w:val="00900E5D"/>
    <w:pPr>
      <w:spacing w:line="240" w:lineRule="exact"/>
    </w:pPr>
    <w:rPr>
      <w:sz w:val="24"/>
    </w:rPr>
  </w:style>
  <w:style w:type="character" w:customStyle="1" w:styleId="BodyTextChar">
    <w:name w:val="Body Text Char"/>
    <w:basedOn w:val="DefaultParagraphFont"/>
    <w:link w:val="BodyText"/>
    <w:uiPriority w:val="99"/>
    <w:locked/>
    <w:rsid w:val="00900E5D"/>
    <w:rPr>
      <w:rFonts w:ascii="Times New Roman" w:hAnsi="Times New Roman" w:cs="Times New Roman"/>
      <w:sz w:val="20"/>
      <w:szCs w:val="20"/>
    </w:rPr>
  </w:style>
  <w:style w:type="paragraph" w:styleId="BalloonText">
    <w:name w:val="Balloon Text"/>
    <w:basedOn w:val="Normal"/>
    <w:link w:val="BalloonTextChar"/>
    <w:uiPriority w:val="99"/>
    <w:semiHidden/>
    <w:rsid w:val="006251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24D"/>
    <w:rPr>
      <w:rFonts w:ascii="Times New Roman" w:hAnsi="Times New Roman" w:cs="Times New Roman"/>
      <w:sz w:val="2"/>
    </w:rPr>
  </w:style>
  <w:style w:type="character" w:styleId="CommentReference">
    <w:name w:val="annotation reference"/>
    <w:basedOn w:val="DefaultParagraphFont"/>
    <w:uiPriority w:val="99"/>
    <w:semiHidden/>
    <w:rsid w:val="0062519D"/>
    <w:rPr>
      <w:rFonts w:cs="Times New Roman"/>
      <w:sz w:val="16"/>
      <w:szCs w:val="16"/>
    </w:rPr>
  </w:style>
  <w:style w:type="paragraph" w:styleId="CommentText">
    <w:name w:val="annotation text"/>
    <w:basedOn w:val="Normal"/>
    <w:link w:val="CommentTextChar"/>
    <w:uiPriority w:val="99"/>
    <w:semiHidden/>
    <w:rsid w:val="0062519D"/>
  </w:style>
  <w:style w:type="character" w:customStyle="1" w:styleId="CommentTextChar">
    <w:name w:val="Comment Text Char"/>
    <w:basedOn w:val="DefaultParagraphFont"/>
    <w:link w:val="CommentText"/>
    <w:uiPriority w:val="99"/>
    <w:semiHidden/>
    <w:locked/>
    <w:rsid w:val="00B5715A"/>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2519D"/>
    <w:rPr>
      <w:b/>
      <w:bCs/>
    </w:rPr>
  </w:style>
  <w:style w:type="character" w:customStyle="1" w:styleId="CommentSubjectChar">
    <w:name w:val="Comment Subject Char"/>
    <w:basedOn w:val="CommentTextChar"/>
    <w:link w:val="CommentSubject"/>
    <w:uiPriority w:val="99"/>
    <w:semiHidden/>
    <w:locked/>
    <w:rsid w:val="0009024D"/>
    <w:rPr>
      <w:b/>
      <w:bCs/>
      <w:sz w:val="20"/>
      <w:szCs w:val="20"/>
    </w:rPr>
  </w:style>
  <w:style w:type="paragraph" w:styleId="ListParagraph">
    <w:name w:val="List Paragraph"/>
    <w:basedOn w:val="Normal"/>
    <w:uiPriority w:val="99"/>
    <w:qFormat/>
    <w:rsid w:val="00B41237"/>
    <w:pPr>
      <w:ind w:left="720"/>
    </w:pPr>
  </w:style>
  <w:style w:type="paragraph" w:styleId="FootnoteText">
    <w:name w:val="footnote text"/>
    <w:basedOn w:val="Normal"/>
    <w:link w:val="FootnoteTextChar"/>
    <w:uiPriority w:val="99"/>
    <w:semiHidden/>
    <w:rsid w:val="00C524B8"/>
  </w:style>
  <w:style w:type="character" w:customStyle="1" w:styleId="FootnoteTextChar">
    <w:name w:val="Footnote Text Char"/>
    <w:basedOn w:val="DefaultParagraphFont"/>
    <w:link w:val="FootnoteText"/>
    <w:uiPriority w:val="99"/>
    <w:semiHidden/>
    <w:locked/>
    <w:rsid w:val="00C524B8"/>
    <w:rPr>
      <w:rFonts w:ascii="Times New Roman" w:hAnsi="Times New Roman" w:cs="Times New Roman"/>
    </w:rPr>
  </w:style>
  <w:style w:type="character" w:styleId="FootnoteReference">
    <w:name w:val="footnote reference"/>
    <w:basedOn w:val="DefaultParagraphFont"/>
    <w:uiPriority w:val="99"/>
    <w:semiHidden/>
    <w:rsid w:val="00C524B8"/>
    <w:rPr>
      <w:rFonts w:cs="Times New Roman"/>
      <w:vertAlign w:val="superscript"/>
    </w:rPr>
  </w:style>
  <w:style w:type="character" w:styleId="Hyperlink">
    <w:name w:val="Hyperlink"/>
    <w:basedOn w:val="DefaultParagraphFont"/>
    <w:uiPriority w:val="99"/>
    <w:rsid w:val="00C524B8"/>
    <w:rPr>
      <w:rFonts w:cs="Times New Roman"/>
      <w:color w:val="0000FF"/>
      <w:u w:val="single"/>
    </w:rPr>
  </w:style>
  <w:style w:type="paragraph" w:styleId="Revision">
    <w:name w:val="Revision"/>
    <w:hidden/>
    <w:uiPriority w:val="99"/>
    <w:semiHidden/>
    <w:rsid w:val="00E51674"/>
    <w:rPr>
      <w:rFonts w:ascii="Times New Roman" w:eastAsia="Times New Roman" w:hAnsi="Times New Roman"/>
      <w:sz w:val="20"/>
      <w:szCs w:val="20"/>
    </w:rPr>
  </w:style>
  <w:style w:type="paragraph" w:styleId="BodyText3">
    <w:name w:val="Body Text 3"/>
    <w:basedOn w:val="Normal"/>
    <w:link w:val="BodyText3Char"/>
    <w:uiPriority w:val="99"/>
    <w:semiHidden/>
    <w:rsid w:val="00A66196"/>
    <w:pPr>
      <w:spacing w:after="120"/>
    </w:pPr>
    <w:rPr>
      <w:sz w:val="16"/>
      <w:szCs w:val="16"/>
    </w:rPr>
  </w:style>
  <w:style w:type="character" w:customStyle="1" w:styleId="BodyText3Char">
    <w:name w:val="Body Text 3 Char"/>
    <w:basedOn w:val="DefaultParagraphFont"/>
    <w:link w:val="BodyText3"/>
    <w:uiPriority w:val="99"/>
    <w:semiHidden/>
    <w:locked/>
    <w:rsid w:val="00A66196"/>
    <w:rPr>
      <w:rFonts w:ascii="Times New Roman" w:hAnsi="Times New Roman" w:cs="Times New Roman"/>
      <w:sz w:val="16"/>
      <w:szCs w:val="16"/>
    </w:rPr>
  </w:style>
  <w:style w:type="character" w:styleId="FollowedHyperlink">
    <w:name w:val="FollowedHyperlink"/>
    <w:basedOn w:val="DefaultParagraphFont"/>
    <w:uiPriority w:val="99"/>
    <w:semiHidden/>
    <w:unhideWhenUsed/>
    <w:rsid w:val="00DF473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2571191">
      <w:bodyDiv w:val="1"/>
      <w:marLeft w:val="0"/>
      <w:marRight w:val="0"/>
      <w:marTop w:val="0"/>
      <w:marBottom w:val="0"/>
      <w:divBdr>
        <w:top w:val="none" w:sz="0" w:space="0" w:color="auto"/>
        <w:left w:val="none" w:sz="0" w:space="0" w:color="auto"/>
        <w:bottom w:val="none" w:sz="0" w:space="0" w:color="auto"/>
        <w:right w:val="none" w:sz="0" w:space="0" w:color="auto"/>
      </w:divBdr>
    </w:div>
    <w:div w:id="539171750">
      <w:marLeft w:val="0"/>
      <w:marRight w:val="0"/>
      <w:marTop w:val="0"/>
      <w:marBottom w:val="0"/>
      <w:divBdr>
        <w:top w:val="none" w:sz="0" w:space="0" w:color="auto"/>
        <w:left w:val="none" w:sz="0" w:space="0" w:color="auto"/>
        <w:bottom w:val="none" w:sz="0" w:space="0" w:color="auto"/>
        <w:right w:val="none" w:sz="0" w:space="0" w:color="auto"/>
      </w:divBdr>
    </w:div>
    <w:div w:id="539171751">
      <w:marLeft w:val="0"/>
      <w:marRight w:val="0"/>
      <w:marTop w:val="0"/>
      <w:marBottom w:val="0"/>
      <w:divBdr>
        <w:top w:val="none" w:sz="0" w:space="0" w:color="auto"/>
        <w:left w:val="none" w:sz="0" w:space="0" w:color="auto"/>
        <w:bottom w:val="none" w:sz="0" w:space="0" w:color="auto"/>
        <w:right w:val="none" w:sz="0" w:space="0" w:color="auto"/>
      </w:divBdr>
    </w:div>
    <w:div w:id="539171752">
      <w:marLeft w:val="0"/>
      <w:marRight w:val="0"/>
      <w:marTop w:val="0"/>
      <w:marBottom w:val="0"/>
      <w:divBdr>
        <w:top w:val="none" w:sz="0" w:space="0" w:color="auto"/>
        <w:left w:val="none" w:sz="0" w:space="0" w:color="auto"/>
        <w:bottom w:val="none" w:sz="0" w:space="0" w:color="auto"/>
        <w:right w:val="none" w:sz="0" w:space="0" w:color="auto"/>
      </w:divBdr>
    </w:div>
    <w:div w:id="98069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gre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statcan.gc.ca/pub/16f0008x/16f0008x2007001-eng.pdf" TargetMode="External"/><Relationship Id="rId2" Type="http://schemas.openxmlformats.org/officeDocument/2006/relationships/hyperlink" Target="http://www.pewcenteronthestates.org/uploadedFiles/Clean_Economy_Report_Web.pdf" TargetMode="External"/><Relationship Id="rId1" Type="http://schemas.openxmlformats.org/officeDocument/2006/relationships/hyperlink" Target="http://www.workforceexplorer.com/admin/uploadedPublications/9463_Green_Jobs_Report_2008_WEXVersion.pdf" TargetMode="External"/><Relationship Id="rId4" Type="http://schemas.openxmlformats.org/officeDocument/2006/relationships/hyperlink" Target="http://epp.eurostat.ec.europa.eu/cache/ITY_OFFPUB/KS-RA-09-012/EN/KS-RA-09-01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33291-5E06-43C8-86F0-2ECF31BB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Request for OMB Approval</vt:lpstr>
    </vt:vector>
  </TitlesOfParts>
  <Company>Bureau of Labor Statistics</Company>
  <LinksUpToDate>false</LinksUpToDate>
  <CharactersWithSpaces>12345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dc:title>
  <dc:subject/>
  <dc:creator>fairman_k</dc:creator>
  <cp:keywords/>
  <dc:description/>
  <cp:lastModifiedBy>rowan_c</cp:lastModifiedBy>
  <cp:revision>12</cp:revision>
  <cp:lastPrinted>2011-04-19T13:18:00Z</cp:lastPrinted>
  <dcterms:created xsi:type="dcterms:W3CDTF">2011-06-23T16:05:00Z</dcterms:created>
  <dcterms:modified xsi:type="dcterms:W3CDTF">2011-06-24T16:07:00Z</dcterms:modified>
</cp:coreProperties>
</file>