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9B3" w:rsidRPr="0025604D" w:rsidRDefault="00B50861" w:rsidP="00F06A3C">
      <w:pPr>
        <w:jc w:val="center"/>
        <w:outlineLvl w:val="0"/>
      </w:pPr>
      <w:r w:rsidRPr="0025604D">
        <w:t>Department of the Treasury, Departmental Offices</w:t>
      </w:r>
    </w:p>
    <w:p w:rsidR="00C612CA" w:rsidRDefault="00B50861" w:rsidP="00845E1D">
      <w:pPr>
        <w:jc w:val="center"/>
      </w:pPr>
      <w:r w:rsidRPr="0025604D">
        <w:t xml:space="preserve">Supporting Statement </w:t>
      </w:r>
    </w:p>
    <w:p w:rsidR="00C612CA" w:rsidRDefault="00C612CA" w:rsidP="00845E1D">
      <w:pPr>
        <w:jc w:val="center"/>
      </w:pPr>
    </w:p>
    <w:p w:rsidR="00C612CA" w:rsidRDefault="00C612CA" w:rsidP="00845E1D">
      <w:pPr>
        <w:jc w:val="center"/>
      </w:pPr>
      <w:r w:rsidRPr="00C612CA">
        <w:t>New Issue Bond Program and Temporary Credit and Liquidity Program</w:t>
      </w:r>
    </w:p>
    <w:p w:rsidR="00172F5F" w:rsidRDefault="00172F5F" w:rsidP="00845E1D">
      <w:pPr>
        <w:jc w:val="center"/>
      </w:pPr>
      <w:r>
        <w:t>OMB Control Number 1505-0224</w:t>
      </w:r>
    </w:p>
    <w:p w:rsidR="00172F5F" w:rsidRPr="00845E1D" w:rsidRDefault="00172F5F" w:rsidP="00845E1D">
      <w:pPr>
        <w:jc w:val="center"/>
      </w:pPr>
    </w:p>
    <w:p w:rsidR="00845E1D" w:rsidRPr="0025604D" w:rsidRDefault="00845E1D"/>
    <w:p w:rsidR="00B50861" w:rsidRDefault="00172F5F" w:rsidP="00172F5F">
      <w:pPr>
        <w:numPr>
          <w:ilvl w:val="0"/>
          <w:numId w:val="12"/>
        </w:numPr>
        <w:tabs>
          <w:tab w:val="clear" w:pos="720"/>
          <w:tab w:val="left" w:pos="540"/>
        </w:tabs>
        <w:ind w:left="540" w:hanging="540"/>
        <w:rPr>
          <w:u w:val="single"/>
        </w:rPr>
      </w:pPr>
      <w:r w:rsidRPr="00172F5F">
        <w:rPr>
          <w:u w:val="single"/>
        </w:rPr>
        <w:t>C</w:t>
      </w:r>
      <w:r w:rsidR="00B50861" w:rsidRPr="0025604D">
        <w:rPr>
          <w:u w:val="single"/>
        </w:rPr>
        <w:t>ircumstances necessitating the collection of information</w:t>
      </w:r>
    </w:p>
    <w:p w:rsidR="00990870" w:rsidRPr="0025604D" w:rsidRDefault="00990870" w:rsidP="00990870">
      <w:pPr>
        <w:ind w:left="360"/>
        <w:rPr>
          <w:u w:val="single"/>
        </w:rPr>
      </w:pPr>
    </w:p>
    <w:p w:rsidR="00B716A8" w:rsidRDefault="00256911" w:rsidP="00B716A8">
      <w:r>
        <w:t>Authorized under</w:t>
      </w:r>
      <w:r w:rsidR="006F3E09">
        <w:t xml:space="preserve"> section 304(g) of the Federal National Mortgage Association Charter Act (12 U.S.C. 1719(g)) and Section 306(l) of the Federal Home Loan Mortgage Corporation Act (12 U.S.C. 1455(l), as amended by</w:t>
      </w:r>
      <w:r>
        <w:t xml:space="preserve"> the </w:t>
      </w:r>
      <w:r w:rsidR="00BA1116">
        <w:t>Housing and Economic Recovery</w:t>
      </w:r>
      <w:r w:rsidR="00BA1116" w:rsidRPr="00460B20">
        <w:t xml:space="preserve"> Act (</w:t>
      </w:r>
      <w:r w:rsidR="00BA1116">
        <w:t>HERA</w:t>
      </w:r>
      <w:r w:rsidR="00BA1116" w:rsidRPr="00460B20">
        <w:t>) of 2008 (Public Law 110-</w:t>
      </w:r>
      <w:r w:rsidR="00BA1116">
        <w:t>289; approved July 30, 2008)</w:t>
      </w:r>
      <w:r>
        <w:t xml:space="preserve"> the Department of the Treasury </w:t>
      </w:r>
      <w:r w:rsidR="00F06A3C">
        <w:t xml:space="preserve">(Treasury) </w:t>
      </w:r>
      <w:r w:rsidR="00172F5F">
        <w:t>implemented</w:t>
      </w:r>
      <w:r>
        <w:t xml:space="preserve"> </w:t>
      </w:r>
      <w:r w:rsidR="006F3E09">
        <w:t>two programs under the HFA (Housing Finance Agency) Initiative</w:t>
      </w:r>
      <w:r>
        <w:t xml:space="preserve">.  </w:t>
      </w:r>
      <w:r w:rsidRPr="003265D6">
        <w:t xml:space="preserve">The </w:t>
      </w:r>
      <w:r w:rsidR="00534EA9">
        <w:t xml:space="preserve">statute provides </w:t>
      </w:r>
      <w:r w:rsidRPr="003265D6">
        <w:t>the Secretary</w:t>
      </w:r>
      <w:r w:rsidR="00BB7E9C">
        <w:t xml:space="preserve"> authority</w:t>
      </w:r>
      <w:r w:rsidRPr="003265D6">
        <w:t xml:space="preserve"> to purchase</w:t>
      </w:r>
      <w:r w:rsidR="00BB7E9C">
        <w:t xml:space="preserve"> securities and obligations of Fannie Mae and Freddie Mac (the GSEs) as he determines</w:t>
      </w:r>
      <w:r w:rsidRPr="003265D6">
        <w:t xml:space="preserve"> necessary to stabilize </w:t>
      </w:r>
      <w:r w:rsidR="00BB7E9C">
        <w:t>the financial markets, prevent disruptions in the availability of mortgage finance, and to protect the taxpayer.</w:t>
      </w:r>
    </w:p>
    <w:p w:rsidR="00C954EA" w:rsidRDefault="00C954EA" w:rsidP="00073704"/>
    <w:p w:rsidR="003E03C4" w:rsidRDefault="00CE5780" w:rsidP="00F06A3C">
      <w:r>
        <w:t>On December 4, 2009, the Secretary made the appropriate determination to authorize the two programs of the HFA Initiative: the New Issue Bond Program (NIBP) and the Temporary Credit and Liquidity Program (TCLP).  Under the NIBP, Treasury has purchased securities from the GSEs backed by mortgage revenue bonds issued by participating state and local HFAs.  Under the TCLP, Treasury has purchased a participation interest from the GSEs in temporary credit and liquidity facilities provided to participating HFAs as a liquidity backstop on their variable-rate debt.</w:t>
      </w:r>
    </w:p>
    <w:p w:rsidR="00EB38BE" w:rsidRDefault="00EB38BE" w:rsidP="00073704"/>
    <w:p w:rsidR="00CE5780" w:rsidRDefault="00CE5780" w:rsidP="00073704">
      <w:r>
        <w:t>In order to properly manage the two programs of the initiative, continue to protect the taxpayer, and assure compliance with the Programs’ provisions, Treasury is instituting a series of data collection requirements to be completed by participating HFAs and furnished to Treasury through the GSEs.</w:t>
      </w:r>
    </w:p>
    <w:p w:rsidR="00CE5780" w:rsidRDefault="00CE5780" w:rsidP="00073704"/>
    <w:p w:rsidR="003C1AB8" w:rsidRPr="0025604D" w:rsidRDefault="00F72D0B" w:rsidP="00172F5F">
      <w:pPr>
        <w:numPr>
          <w:ilvl w:val="0"/>
          <w:numId w:val="12"/>
        </w:numPr>
        <w:tabs>
          <w:tab w:val="clear" w:pos="720"/>
        </w:tabs>
        <w:ind w:left="540" w:hanging="540"/>
      </w:pPr>
      <w:r w:rsidRPr="0025604D">
        <w:rPr>
          <w:u w:val="single"/>
        </w:rPr>
        <w:t>U</w:t>
      </w:r>
      <w:r w:rsidR="003C1AB8" w:rsidRPr="0025604D">
        <w:rPr>
          <w:u w:val="single"/>
        </w:rPr>
        <w:t>se of the data</w:t>
      </w:r>
    </w:p>
    <w:p w:rsidR="003C1AB8" w:rsidRPr="0025604D" w:rsidRDefault="003C1AB8" w:rsidP="003C1AB8">
      <w:pPr>
        <w:rPr>
          <w:u w:val="single"/>
        </w:rPr>
      </w:pPr>
    </w:p>
    <w:p w:rsidR="002E0DDC" w:rsidRPr="006D7D8C" w:rsidRDefault="002E0DDC" w:rsidP="002E0DDC">
      <w:r w:rsidRPr="006D7D8C">
        <w:t xml:space="preserve">The reporting </w:t>
      </w:r>
      <w:r>
        <w:t>package</w:t>
      </w:r>
      <w:r w:rsidRPr="006D7D8C">
        <w:t xml:space="preserve"> includes</w:t>
      </w:r>
      <w:r>
        <w:t xml:space="preserve"> requests for program </w:t>
      </w:r>
      <w:r w:rsidRPr="006D7D8C">
        <w:t>bond</w:t>
      </w:r>
      <w:r>
        <w:t xml:space="preserve"> information, loan performance metrics and HFA financial reporting.  </w:t>
      </w:r>
      <w:r w:rsidRPr="006D7D8C">
        <w:t xml:space="preserve">Through these reporting requirements, Treasury aims to collect different types of data </w:t>
      </w:r>
      <w:r>
        <w:t xml:space="preserve">to achieve </w:t>
      </w:r>
      <w:r w:rsidR="009F6730">
        <w:t>several objectives as</w:t>
      </w:r>
      <w:r w:rsidRPr="006D7D8C">
        <w:t xml:space="preserve"> provided in the table below.  </w:t>
      </w:r>
    </w:p>
    <w:p w:rsidR="00856DD0" w:rsidRDefault="00856DD0" w:rsidP="003C1AB8"/>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58"/>
        <w:gridCol w:w="4920"/>
      </w:tblGrid>
      <w:tr w:rsidR="002E0DDC" w:rsidRPr="00A46B19" w:rsidTr="00C612CA">
        <w:tc>
          <w:tcPr>
            <w:tcW w:w="4458" w:type="dxa"/>
            <w:shd w:val="clear" w:color="auto" w:fill="D9D9D9"/>
          </w:tcPr>
          <w:p w:rsidR="002E0DDC" w:rsidRPr="00A46B19" w:rsidRDefault="002E0DDC" w:rsidP="002E0DDC">
            <w:r w:rsidRPr="00A46B19">
              <w:t>Reporting Category:</w:t>
            </w:r>
          </w:p>
        </w:tc>
        <w:tc>
          <w:tcPr>
            <w:tcW w:w="4920" w:type="dxa"/>
            <w:shd w:val="clear" w:color="auto" w:fill="D9D9D9"/>
          </w:tcPr>
          <w:p w:rsidR="002E0DDC" w:rsidRPr="00A46B19" w:rsidRDefault="002E0DDC" w:rsidP="002E0DDC">
            <w:r w:rsidRPr="00A46B19">
              <w:t>Rationale:</w:t>
            </w:r>
          </w:p>
        </w:tc>
      </w:tr>
      <w:tr w:rsidR="002E0DDC" w:rsidRPr="00A46B19" w:rsidTr="00C612CA">
        <w:tc>
          <w:tcPr>
            <w:tcW w:w="4458" w:type="dxa"/>
          </w:tcPr>
          <w:p w:rsidR="002E0DDC" w:rsidRPr="00A46B19" w:rsidRDefault="002E0DDC" w:rsidP="002E0DDC">
            <w:r w:rsidRPr="00A46B19">
              <w:t>HFA Business Reporting</w:t>
            </w:r>
          </w:p>
          <w:p w:rsidR="002E0DDC" w:rsidRPr="00A46B19" w:rsidRDefault="002E0DDC" w:rsidP="002E0DDC">
            <w:pPr>
              <w:pStyle w:val="ListParagraph"/>
              <w:numPr>
                <w:ilvl w:val="0"/>
                <w:numId w:val="16"/>
              </w:numPr>
              <w:spacing w:after="0" w:line="240" w:lineRule="auto"/>
              <w:rPr>
                <w:rFonts w:ascii="Times New Roman" w:hAnsi="Times New Roman"/>
                <w:sz w:val="24"/>
                <w:szCs w:val="24"/>
              </w:rPr>
            </w:pPr>
            <w:r w:rsidRPr="00A46B19">
              <w:rPr>
                <w:rFonts w:ascii="Times New Roman" w:hAnsi="Times New Roman"/>
                <w:sz w:val="24"/>
                <w:szCs w:val="24"/>
              </w:rPr>
              <w:t>Financial Reports and other Submissions</w:t>
            </w:r>
          </w:p>
          <w:p w:rsidR="002E0DDC" w:rsidRPr="00A46B19" w:rsidRDefault="002E0DDC" w:rsidP="002E0DDC">
            <w:pPr>
              <w:pStyle w:val="ListParagraph"/>
              <w:numPr>
                <w:ilvl w:val="0"/>
                <w:numId w:val="16"/>
              </w:numPr>
              <w:spacing w:after="0" w:line="240" w:lineRule="auto"/>
              <w:rPr>
                <w:rFonts w:ascii="Times New Roman" w:hAnsi="Times New Roman"/>
                <w:sz w:val="24"/>
                <w:szCs w:val="24"/>
              </w:rPr>
            </w:pPr>
            <w:r w:rsidRPr="00A46B19">
              <w:rPr>
                <w:rFonts w:ascii="Times New Roman" w:hAnsi="Times New Roman"/>
                <w:sz w:val="24"/>
                <w:szCs w:val="24"/>
              </w:rPr>
              <w:t>Notices &amp; Certifications</w:t>
            </w:r>
          </w:p>
        </w:tc>
        <w:tc>
          <w:tcPr>
            <w:tcW w:w="4920" w:type="dxa"/>
          </w:tcPr>
          <w:p w:rsidR="002E0DDC" w:rsidRPr="006C1C12" w:rsidRDefault="002E0DDC" w:rsidP="002E0DDC">
            <w:pPr>
              <w:rPr>
                <w:szCs w:val="20"/>
              </w:rPr>
            </w:pPr>
            <w:r w:rsidRPr="006C1C12">
              <w:rPr>
                <w:szCs w:val="20"/>
              </w:rPr>
              <w:t xml:space="preserve">Most of these requirements are already explicitly spelled out in various program documents.  The request constitutes the information necessary for the day-to-day management of the NIBP and TCLP and for Treasury to monitor </w:t>
            </w:r>
            <w:r>
              <w:rPr>
                <w:szCs w:val="20"/>
              </w:rPr>
              <w:t xml:space="preserve">the financial health </w:t>
            </w:r>
            <w:r>
              <w:rPr>
                <w:szCs w:val="20"/>
              </w:rPr>
              <w:lastRenderedPageBreak/>
              <w:t>o</w:t>
            </w:r>
            <w:r w:rsidRPr="006C1C12">
              <w:rPr>
                <w:szCs w:val="20"/>
              </w:rPr>
              <w:t xml:space="preserve">f the HFAs </w:t>
            </w:r>
            <w:r>
              <w:rPr>
                <w:szCs w:val="20"/>
              </w:rPr>
              <w:t xml:space="preserve">to </w:t>
            </w:r>
            <w:r w:rsidRPr="006C1C12">
              <w:rPr>
                <w:szCs w:val="20"/>
              </w:rPr>
              <w:t xml:space="preserve">which it </w:t>
            </w:r>
            <w:r>
              <w:rPr>
                <w:szCs w:val="20"/>
              </w:rPr>
              <w:t>has risk exposure under the Initiative</w:t>
            </w:r>
            <w:r w:rsidRPr="006C1C12">
              <w:rPr>
                <w:szCs w:val="20"/>
              </w:rPr>
              <w:t>.</w:t>
            </w:r>
          </w:p>
        </w:tc>
      </w:tr>
      <w:tr w:rsidR="002E0DDC" w:rsidRPr="00A46B19" w:rsidTr="00C612CA">
        <w:tc>
          <w:tcPr>
            <w:tcW w:w="4458" w:type="dxa"/>
          </w:tcPr>
          <w:p w:rsidR="002E0DDC" w:rsidRPr="00A46B19" w:rsidRDefault="002E0DDC" w:rsidP="002E0DDC">
            <w:r w:rsidRPr="00A46B19">
              <w:lastRenderedPageBreak/>
              <w:t>Indenture Detail</w:t>
            </w:r>
          </w:p>
          <w:p w:rsidR="002E0DDC" w:rsidRPr="00A46B19" w:rsidRDefault="002E0DDC" w:rsidP="002E0DDC">
            <w:pPr>
              <w:pStyle w:val="ListParagraph"/>
              <w:numPr>
                <w:ilvl w:val="0"/>
                <w:numId w:val="17"/>
              </w:numPr>
              <w:spacing w:after="0" w:line="240" w:lineRule="auto"/>
              <w:rPr>
                <w:rFonts w:ascii="Times New Roman" w:hAnsi="Times New Roman"/>
                <w:sz w:val="24"/>
                <w:szCs w:val="24"/>
              </w:rPr>
            </w:pPr>
            <w:r w:rsidRPr="00A46B19">
              <w:rPr>
                <w:rFonts w:ascii="Times New Roman" w:hAnsi="Times New Roman"/>
                <w:sz w:val="24"/>
                <w:szCs w:val="24"/>
              </w:rPr>
              <w:t>Single Family Indenture Reporting</w:t>
            </w:r>
          </w:p>
          <w:p w:rsidR="002E0DDC" w:rsidRPr="00A46B19" w:rsidRDefault="002E0DDC" w:rsidP="002E0DDC">
            <w:pPr>
              <w:pStyle w:val="ListParagraph"/>
              <w:numPr>
                <w:ilvl w:val="0"/>
                <w:numId w:val="17"/>
              </w:numPr>
              <w:spacing w:after="0" w:line="240" w:lineRule="auto"/>
              <w:rPr>
                <w:rFonts w:ascii="Times New Roman" w:hAnsi="Times New Roman"/>
                <w:sz w:val="24"/>
                <w:szCs w:val="24"/>
              </w:rPr>
            </w:pPr>
            <w:r w:rsidRPr="00A46B19">
              <w:rPr>
                <w:rFonts w:ascii="Times New Roman" w:hAnsi="Times New Roman"/>
                <w:sz w:val="24"/>
                <w:szCs w:val="24"/>
              </w:rPr>
              <w:t>Multi-loan MF Indenture Reporting</w:t>
            </w:r>
          </w:p>
          <w:p w:rsidR="002E0DDC" w:rsidRPr="00A46B19" w:rsidRDefault="002E0DDC" w:rsidP="002E0DDC">
            <w:pPr>
              <w:pStyle w:val="ListParagraph"/>
              <w:numPr>
                <w:ilvl w:val="0"/>
                <w:numId w:val="17"/>
              </w:numPr>
              <w:spacing w:after="0" w:line="240" w:lineRule="auto"/>
              <w:rPr>
                <w:rFonts w:ascii="Times New Roman" w:hAnsi="Times New Roman"/>
                <w:sz w:val="24"/>
                <w:szCs w:val="24"/>
              </w:rPr>
            </w:pPr>
            <w:r w:rsidRPr="00A46B19">
              <w:rPr>
                <w:rFonts w:ascii="Times New Roman" w:hAnsi="Times New Roman"/>
                <w:sz w:val="24"/>
                <w:szCs w:val="24"/>
              </w:rPr>
              <w:t>Single-loan MF Indenture Reporting</w:t>
            </w:r>
          </w:p>
        </w:tc>
        <w:tc>
          <w:tcPr>
            <w:tcW w:w="4920" w:type="dxa"/>
          </w:tcPr>
          <w:p w:rsidR="002E0DDC" w:rsidRPr="006C1C12" w:rsidRDefault="002E0DDC" w:rsidP="002E0DDC">
            <w:pPr>
              <w:rPr>
                <w:szCs w:val="20"/>
              </w:rPr>
            </w:pPr>
            <w:r w:rsidRPr="006C1C12">
              <w:rPr>
                <w:szCs w:val="20"/>
              </w:rPr>
              <w:t xml:space="preserve">The data requested here are designed to provide Treasury with relevant detail on precisely how its </w:t>
            </w:r>
            <w:r>
              <w:rPr>
                <w:szCs w:val="20"/>
              </w:rPr>
              <w:t>risk position is changing over time</w:t>
            </w:r>
            <w:r w:rsidRPr="006C1C12">
              <w:rPr>
                <w:szCs w:val="20"/>
              </w:rPr>
              <w:t>.  Th</w:t>
            </w:r>
            <w:r>
              <w:rPr>
                <w:szCs w:val="20"/>
              </w:rPr>
              <w:t>e</w:t>
            </w:r>
            <w:r w:rsidRPr="006C1C12">
              <w:rPr>
                <w:szCs w:val="20"/>
              </w:rPr>
              <w:t xml:space="preserve"> </w:t>
            </w:r>
            <w:r>
              <w:rPr>
                <w:szCs w:val="20"/>
              </w:rPr>
              <w:t>information</w:t>
            </w:r>
            <w:r w:rsidRPr="006C1C12">
              <w:rPr>
                <w:szCs w:val="20"/>
              </w:rPr>
              <w:t xml:space="preserve"> will allow Treasury to </w:t>
            </w:r>
            <w:r>
              <w:rPr>
                <w:szCs w:val="20"/>
              </w:rPr>
              <w:t xml:space="preserve">compare actual losses versus expected losses, </w:t>
            </w:r>
            <w:r w:rsidRPr="008752E9">
              <w:rPr>
                <w:szCs w:val="20"/>
              </w:rPr>
              <w:t xml:space="preserve">project cash flows </w:t>
            </w:r>
            <w:r>
              <w:rPr>
                <w:szCs w:val="20"/>
              </w:rPr>
              <w:t xml:space="preserve">and re-calibrate loss expectations. The information will enable Treasury and the GSEs to </w:t>
            </w:r>
            <w:r w:rsidRPr="008752E9">
              <w:rPr>
                <w:szCs w:val="20"/>
              </w:rPr>
              <w:t>updat</w:t>
            </w:r>
            <w:r>
              <w:rPr>
                <w:szCs w:val="20"/>
              </w:rPr>
              <w:t>e</w:t>
            </w:r>
            <w:r w:rsidRPr="008752E9">
              <w:rPr>
                <w:szCs w:val="20"/>
              </w:rPr>
              <w:t xml:space="preserve"> cost estimates </w:t>
            </w:r>
            <w:r>
              <w:rPr>
                <w:szCs w:val="20"/>
              </w:rPr>
              <w:t xml:space="preserve">for the program and remain </w:t>
            </w:r>
            <w:r w:rsidRPr="006C1C12">
              <w:rPr>
                <w:szCs w:val="20"/>
              </w:rPr>
              <w:t>consistent with government-wide accounting standards</w:t>
            </w:r>
            <w:r>
              <w:rPr>
                <w:szCs w:val="20"/>
              </w:rPr>
              <w:t>.  Lastly, the information will provide Treasury and the GSEs</w:t>
            </w:r>
            <w:r w:rsidRPr="006C1C12">
              <w:rPr>
                <w:szCs w:val="20"/>
              </w:rPr>
              <w:t xml:space="preserve"> </w:t>
            </w:r>
            <w:r>
              <w:rPr>
                <w:szCs w:val="20"/>
              </w:rPr>
              <w:t>with the transparency necessary to keep senior officials appropriately informed of the status of the taxpayer investment.</w:t>
            </w:r>
          </w:p>
        </w:tc>
      </w:tr>
      <w:tr w:rsidR="002E0DDC" w:rsidRPr="00A46B19" w:rsidTr="00C612CA">
        <w:tc>
          <w:tcPr>
            <w:tcW w:w="4458" w:type="dxa"/>
          </w:tcPr>
          <w:p w:rsidR="002E0DDC" w:rsidRPr="00A46B19" w:rsidRDefault="002E0DDC" w:rsidP="002E0DDC">
            <w:r w:rsidRPr="00A46B19">
              <w:t>Policy Success Metrics</w:t>
            </w:r>
          </w:p>
        </w:tc>
        <w:tc>
          <w:tcPr>
            <w:tcW w:w="4920" w:type="dxa"/>
          </w:tcPr>
          <w:p w:rsidR="002E0DDC" w:rsidRPr="006C1C12" w:rsidRDefault="002E0DDC" w:rsidP="002E0DDC">
            <w:pPr>
              <w:rPr>
                <w:szCs w:val="20"/>
              </w:rPr>
            </w:pPr>
            <w:r w:rsidRPr="006C1C12">
              <w:rPr>
                <w:szCs w:val="20"/>
              </w:rPr>
              <w:t xml:space="preserve">Because the HFA Initiative constitutes an investment of the taxpayer in helping to stabilize the housing market, it is essential that the Treasury </w:t>
            </w:r>
            <w:r>
              <w:rPr>
                <w:szCs w:val="20"/>
              </w:rPr>
              <w:t xml:space="preserve">has the information necessary </w:t>
            </w:r>
            <w:r w:rsidRPr="006C1C12">
              <w:rPr>
                <w:szCs w:val="20"/>
              </w:rPr>
              <w:t xml:space="preserve">to measure the impact </w:t>
            </w:r>
            <w:r>
              <w:rPr>
                <w:szCs w:val="20"/>
              </w:rPr>
              <w:t xml:space="preserve">of </w:t>
            </w:r>
            <w:r w:rsidRPr="006C1C12">
              <w:rPr>
                <w:szCs w:val="20"/>
              </w:rPr>
              <w:t>the</w:t>
            </w:r>
            <w:r>
              <w:rPr>
                <w:szCs w:val="20"/>
              </w:rPr>
              <w:t xml:space="preserve"> I</w:t>
            </w:r>
            <w:r w:rsidRPr="006C1C12">
              <w:rPr>
                <w:szCs w:val="20"/>
              </w:rPr>
              <w:t xml:space="preserve">nitiative </w:t>
            </w:r>
            <w:r>
              <w:rPr>
                <w:szCs w:val="20"/>
              </w:rPr>
              <w:t>as a policy response.</w:t>
            </w:r>
          </w:p>
        </w:tc>
      </w:tr>
      <w:tr w:rsidR="002E0DDC" w:rsidRPr="00A46B19" w:rsidTr="00C612CA">
        <w:tc>
          <w:tcPr>
            <w:tcW w:w="4458" w:type="dxa"/>
          </w:tcPr>
          <w:p w:rsidR="002E0DDC" w:rsidRPr="00A46B19" w:rsidRDefault="002E0DDC" w:rsidP="002E0DDC">
            <w:r w:rsidRPr="00A46B19">
              <w:t>Compliance Checklist</w:t>
            </w:r>
          </w:p>
        </w:tc>
        <w:tc>
          <w:tcPr>
            <w:tcW w:w="4920" w:type="dxa"/>
          </w:tcPr>
          <w:p w:rsidR="002E0DDC" w:rsidRPr="006C1C12" w:rsidRDefault="002E0DDC" w:rsidP="002E0DDC">
            <w:pPr>
              <w:rPr>
                <w:szCs w:val="20"/>
              </w:rPr>
            </w:pPr>
            <w:r>
              <w:rPr>
                <w:szCs w:val="20"/>
              </w:rPr>
              <w:t>C</w:t>
            </w:r>
            <w:r w:rsidRPr="006C1C12">
              <w:rPr>
                <w:szCs w:val="20"/>
              </w:rPr>
              <w:t xml:space="preserve">ompliance is a top priority of Treasury in the implementation of the various programs involved in economic stabilization.  </w:t>
            </w:r>
            <w:r>
              <w:rPr>
                <w:szCs w:val="20"/>
              </w:rPr>
              <w:t>T</w:t>
            </w:r>
            <w:r w:rsidRPr="006C1C12">
              <w:rPr>
                <w:szCs w:val="20"/>
              </w:rPr>
              <w:t>he compliance checklist is designed to allow each HFA to certify in a single document its compliance with the Initiative</w:t>
            </w:r>
            <w:r>
              <w:rPr>
                <w:szCs w:val="20"/>
              </w:rPr>
              <w:t>’</w:t>
            </w:r>
            <w:r w:rsidRPr="006C1C12">
              <w:rPr>
                <w:szCs w:val="20"/>
              </w:rPr>
              <w:t xml:space="preserve">s key provisions that relate to </w:t>
            </w:r>
            <w:r>
              <w:rPr>
                <w:szCs w:val="20"/>
              </w:rPr>
              <w:t>the soundness of the securities in which the taxpayer is invested.</w:t>
            </w:r>
          </w:p>
        </w:tc>
      </w:tr>
    </w:tbl>
    <w:p w:rsidR="002E0DDC" w:rsidRDefault="002E0DDC" w:rsidP="003C1AB8"/>
    <w:p w:rsidR="00172F5F" w:rsidRDefault="00172F5F" w:rsidP="00172F5F">
      <w:pPr>
        <w:keepNext/>
      </w:pPr>
    </w:p>
    <w:p w:rsidR="003C1AB8" w:rsidRPr="00172F5F" w:rsidRDefault="00F72D0B" w:rsidP="00172F5F">
      <w:pPr>
        <w:pStyle w:val="ListParagraph"/>
        <w:numPr>
          <w:ilvl w:val="0"/>
          <w:numId w:val="12"/>
        </w:numPr>
        <w:tabs>
          <w:tab w:val="clear" w:pos="720"/>
          <w:tab w:val="left" w:pos="540"/>
        </w:tabs>
        <w:spacing w:after="0" w:line="240" w:lineRule="auto"/>
        <w:ind w:left="540" w:hanging="540"/>
        <w:rPr>
          <w:rFonts w:ascii="Times New Roman" w:hAnsi="Times New Roman"/>
          <w:sz w:val="24"/>
          <w:szCs w:val="24"/>
          <w:u w:val="single"/>
        </w:rPr>
      </w:pPr>
      <w:r w:rsidRPr="00172F5F">
        <w:rPr>
          <w:rFonts w:ascii="Times New Roman" w:hAnsi="Times New Roman"/>
          <w:sz w:val="24"/>
          <w:szCs w:val="24"/>
          <w:u w:val="single"/>
        </w:rPr>
        <w:t>Use of information technology</w:t>
      </w:r>
      <w:r w:rsidR="003C1AB8" w:rsidRPr="00172F5F">
        <w:rPr>
          <w:rFonts w:ascii="Times New Roman" w:hAnsi="Times New Roman"/>
          <w:sz w:val="24"/>
          <w:szCs w:val="24"/>
          <w:u w:val="single"/>
        </w:rPr>
        <w:t xml:space="preserve"> </w:t>
      </w:r>
    </w:p>
    <w:p w:rsidR="003C1AB8" w:rsidRPr="0025604D" w:rsidRDefault="003C1AB8" w:rsidP="00172F5F">
      <w:pPr>
        <w:keepNext/>
      </w:pPr>
    </w:p>
    <w:p w:rsidR="00856DD0" w:rsidRDefault="002E0DDC" w:rsidP="00172F5F">
      <w:r>
        <w:t>All of the information associated with this collection is to be submitted in electronic form.  Depending on the specific information type, it will either be in PDF or Excel format.  Initially, submissions will be by e-mail to a central mailbox created for the specific purpose of this collection.  In the future, Treasury hopes to develop, in coordination with the GSEs, a web-based IT platform that will facilitate the upload of reporting from participating HFAs, track necessary submission, and automatically make submission available to the properly authorized individuals at Treasury and the GSEs.</w:t>
      </w:r>
    </w:p>
    <w:p w:rsidR="00795DDF" w:rsidRPr="0025604D" w:rsidRDefault="00795DDF" w:rsidP="00F72D0B"/>
    <w:p w:rsidR="00172F5F" w:rsidRDefault="00172F5F">
      <w:r>
        <w:br w:type="page"/>
      </w:r>
    </w:p>
    <w:p w:rsidR="00F72D0B" w:rsidRPr="00172F5F" w:rsidRDefault="00F72D0B" w:rsidP="00172F5F">
      <w:pPr>
        <w:pStyle w:val="ListParagraph"/>
        <w:numPr>
          <w:ilvl w:val="0"/>
          <w:numId w:val="12"/>
        </w:numPr>
        <w:tabs>
          <w:tab w:val="clear" w:pos="720"/>
          <w:tab w:val="left" w:pos="540"/>
        </w:tabs>
        <w:spacing w:after="0" w:line="240" w:lineRule="auto"/>
        <w:ind w:left="540" w:hanging="540"/>
        <w:rPr>
          <w:rFonts w:ascii="Times New Roman" w:hAnsi="Times New Roman"/>
          <w:sz w:val="24"/>
          <w:szCs w:val="24"/>
        </w:rPr>
      </w:pPr>
      <w:r w:rsidRPr="00172F5F">
        <w:rPr>
          <w:rFonts w:ascii="Times New Roman" w:hAnsi="Times New Roman"/>
          <w:sz w:val="24"/>
          <w:szCs w:val="24"/>
          <w:u w:val="single"/>
        </w:rPr>
        <w:lastRenderedPageBreak/>
        <w:t>Efforts to identify duplication</w:t>
      </w:r>
      <w:r w:rsidR="00172F5F">
        <w:rPr>
          <w:rFonts w:ascii="Times New Roman" w:hAnsi="Times New Roman"/>
          <w:sz w:val="24"/>
          <w:szCs w:val="24"/>
        </w:rPr>
        <w:t xml:space="preserve"> </w:t>
      </w:r>
    </w:p>
    <w:p w:rsidR="00406DAA" w:rsidRDefault="00406DAA" w:rsidP="00172F5F">
      <w:pPr>
        <w:ind w:left="144"/>
      </w:pPr>
    </w:p>
    <w:p w:rsidR="00F72D0B" w:rsidRDefault="001F4F6F" w:rsidP="00F72D0B">
      <w:r>
        <w:t>Some aspects of the information collection may involve data already collected and published by the HFAs.  However, in such cases, the HFA will be able to submit the data in the form in which it already exists thus minimizing the incremental burden of this collection.  Furthermore, to the extent that any information being collected duplicates information already published, the large number of participants and heterogeneity of reporting standards makes it unreasonable for Treasury to collect the information deemed necessary without instituting a uniform set of reporting requirements.</w:t>
      </w:r>
    </w:p>
    <w:p w:rsidR="001F4F6F" w:rsidRDefault="001F4F6F" w:rsidP="00F72D0B"/>
    <w:p w:rsidR="001F4F6F" w:rsidRDefault="001F4F6F" w:rsidP="00F72D0B">
      <w:r>
        <w:t>Other aspects of the information collection regard reporting on matters that are unique to the HFA Initiative’s programs.  In these cases, no existing reporting exists, and the potential for duplication is not a concern.</w:t>
      </w:r>
    </w:p>
    <w:p w:rsidR="001F4F6F" w:rsidRDefault="001F4F6F" w:rsidP="00F72D0B"/>
    <w:p w:rsidR="00F72D0B" w:rsidRPr="00C612CA" w:rsidRDefault="00F72D0B" w:rsidP="00C612CA">
      <w:pPr>
        <w:pStyle w:val="ListParagraph"/>
        <w:numPr>
          <w:ilvl w:val="0"/>
          <w:numId w:val="12"/>
        </w:numPr>
        <w:tabs>
          <w:tab w:val="clear" w:pos="720"/>
          <w:tab w:val="left" w:pos="540"/>
        </w:tabs>
        <w:spacing w:after="0" w:line="240" w:lineRule="auto"/>
        <w:ind w:left="540" w:hanging="540"/>
        <w:rPr>
          <w:rFonts w:ascii="Times New Roman" w:hAnsi="Times New Roman"/>
          <w:sz w:val="24"/>
          <w:szCs w:val="24"/>
          <w:u w:val="single"/>
        </w:rPr>
      </w:pPr>
      <w:r w:rsidRPr="00C612CA">
        <w:rPr>
          <w:rFonts w:ascii="Times New Roman" w:hAnsi="Times New Roman"/>
          <w:sz w:val="24"/>
          <w:szCs w:val="24"/>
          <w:u w:val="single"/>
        </w:rPr>
        <w:t>Impact on small entities</w:t>
      </w:r>
    </w:p>
    <w:p w:rsidR="00F72D0B" w:rsidRDefault="00F72D0B" w:rsidP="00C612CA"/>
    <w:p w:rsidR="00F8520C" w:rsidRDefault="004435F6" w:rsidP="00F72D0B">
      <w:r>
        <w:t>The HFAs participating in the Initiative vary in size, and some may be considered to be small entities.  Local HFAs, which are the most likely to fit the criteria for small entities have less frequent reporting requirements than their state-level counterparts thus reducing their reporting burden.  Additionally, for those HFAs whose size and complexity makes timely delivery of all reporting a challenge, Treasury intends to provide accommodation in deadlines and frequency so as not to create an undue burden on such small entities.</w:t>
      </w:r>
    </w:p>
    <w:p w:rsidR="00914F6D" w:rsidRPr="0025604D" w:rsidRDefault="00914F6D" w:rsidP="00F72D0B"/>
    <w:p w:rsidR="00F72D0B" w:rsidRPr="00172F5F" w:rsidRDefault="00F72D0B" w:rsidP="00172F5F">
      <w:pPr>
        <w:pStyle w:val="ListParagraph"/>
        <w:numPr>
          <w:ilvl w:val="0"/>
          <w:numId w:val="12"/>
        </w:numPr>
        <w:tabs>
          <w:tab w:val="clear" w:pos="720"/>
          <w:tab w:val="num" w:pos="540"/>
        </w:tabs>
        <w:spacing w:after="0" w:line="240" w:lineRule="auto"/>
        <w:ind w:left="540" w:hanging="540"/>
        <w:rPr>
          <w:rFonts w:ascii="Times New Roman" w:hAnsi="Times New Roman"/>
          <w:sz w:val="24"/>
          <w:szCs w:val="24"/>
          <w:u w:val="single"/>
        </w:rPr>
      </w:pPr>
      <w:r w:rsidRPr="00172F5F">
        <w:rPr>
          <w:rFonts w:ascii="Times New Roman" w:hAnsi="Times New Roman"/>
          <w:sz w:val="24"/>
          <w:szCs w:val="24"/>
          <w:u w:val="single"/>
        </w:rPr>
        <w:t>Consequences of less frequent collection and obstacles to burden reduction</w:t>
      </w:r>
    </w:p>
    <w:p w:rsidR="00F72D0B" w:rsidRPr="0025604D" w:rsidRDefault="00F72D0B" w:rsidP="00172F5F"/>
    <w:p w:rsidR="00FB7F1C" w:rsidRDefault="004435F6" w:rsidP="008A5AEA">
      <w:r>
        <w:t xml:space="preserve">Any reduction of the burden associated with this information will diminish Treasury’s ability to manage programs from an operational standpoint, and to evaluate its success in achieving its policy goals.  Furthermore, because this collection is essential to Treasury being able to monitor its risk position, </w:t>
      </w:r>
      <w:r w:rsidR="007B402F">
        <w:t>less frequent collections would be contrary to the provision of HERA mandating that any purchase of GSE obligations be undertaken such that the taxpayer is protected.</w:t>
      </w:r>
      <w:r w:rsidR="007B0A16">
        <w:t xml:space="preserve">  While it would be preferable to have the same reporting frequency from local HFAs from state HFAs, Treasury believes it is acceptable to operate with the lesser frequency in the interest of keeping the reporting burden on small entities to a reasonable level.</w:t>
      </w:r>
    </w:p>
    <w:p w:rsidR="00C322A1" w:rsidRPr="006B22D1" w:rsidRDefault="00C322A1" w:rsidP="008A5AEA"/>
    <w:p w:rsidR="00F72D0B" w:rsidRPr="00172F5F" w:rsidRDefault="00CB003A" w:rsidP="00172F5F">
      <w:pPr>
        <w:pStyle w:val="ListParagraph"/>
        <w:numPr>
          <w:ilvl w:val="0"/>
          <w:numId w:val="12"/>
        </w:numPr>
        <w:tabs>
          <w:tab w:val="clear" w:pos="720"/>
          <w:tab w:val="left" w:pos="540"/>
        </w:tabs>
        <w:spacing w:after="0" w:line="240" w:lineRule="auto"/>
        <w:ind w:left="540" w:hanging="540"/>
        <w:rPr>
          <w:rFonts w:ascii="Times New Roman" w:hAnsi="Times New Roman"/>
          <w:sz w:val="24"/>
          <w:szCs w:val="24"/>
          <w:u w:val="single"/>
        </w:rPr>
      </w:pPr>
      <w:r w:rsidRPr="00172F5F">
        <w:rPr>
          <w:rFonts w:ascii="Times New Roman" w:hAnsi="Times New Roman"/>
          <w:sz w:val="24"/>
          <w:szCs w:val="24"/>
          <w:u w:val="single"/>
        </w:rPr>
        <w:t>Circumstances requiring special information collection</w:t>
      </w:r>
    </w:p>
    <w:p w:rsidR="00FB7F1C" w:rsidRPr="00172F5F" w:rsidRDefault="00FB7F1C" w:rsidP="00172F5F">
      <w:pPr>
        <w:rPr>
          <w:u w:val="single"/>
        </w:rPr>
      </w:pPr>
    </w:p>
    <w:p w:rsidR="00F31337" w:rsidRPr="00F31337" w:rsidRDefault="007B402F" w:rsidP="00172F5F">
      <w:pPr>
        <w:outlineLvl w:val="0"/>
      </w:pPr>
      <w:r w:rsidRPr="00172F5F">
        <w:t>The only potential for this collection involving one of the defined special circumstances</w:t>
      </w:r>
      <w:r>
        <w:t xml:space="preserve"> is the request for certain quantitative information on a monthly basis.  Because the characteristics of outstanding loans may change materially every month, quarterly updates would diminish Treasury’s ability to project cash flows and costs as well as to be able to make informed policy decisions based on past performance.  However, this type of information is expected to be provided by relatively sophisticated mortgage servicers (either internal or external) to the HFA who upon initial development of any necessary </w:t>
      </w:r>
      <w:r>
        <w:lastRenderedPageBreak/>
        <w:t>reporting structure should experience minimal marginal burden stemming from the reporting frequency requested.</w:t>
      </w:r>
    </w:p>
    <w:p w:rsidR="00CB003A" w:rsidRPr="0025604D" w:rsidRDefault="00CB003A" w:rsidP="00CB003A"/>
    <w:p w:rsidR="00C612CA" w:rsidRDefault="00C612CA">
      <w:pPr>
        <w:rPr>
          <w:u w:val="single"/>
        </w:rPr>
      </w:pPr>
      <w:r>
        <w:rPr>
          <w:u w:val="single"/>
        </w:rPr>
        <w:br w:type="page"/>
      </w:r>
    </w:p>
    <w:p w:rsidR="00CB003A" w:rsidRPr="00172F5F" w:rsidRDefault="00CB003A" w:rsidP="00172F5F">
      <w:pPr>
        <w:pStyle w:val="ListParagraph"/>
        <w:numPr>
          <w:ilvl w:val="0"/>
          <w:numId w:val="12"/>
        </w:numPr>
        <w:tabs>
          <w:tab w:val="clear" w:pos="720"/>
          <w:tab w:val="num" w:pos="540"/>
        </w:tabs>
        <w:spacing w:after="0" w:line="240" w:lineRule="auto"/>
        <w:ind w:left="547" w:hanging="547"/>
        <w:rPr>
          <w:rFonts w:ascii="Times New Roman" w:hAnsi="Times New Roman"/>
          <w:sz w:val="24"/>
          <w:szCs w:val="24"/>
          <w:u w:val="single"/>
        </w:rPr>
      </w:pPr>
      <w:r w:rsidRPr="00172F5F">
        <w:rPr>
          <w:rFonts w:ascii="Times New Roman" w:hAnsi="Times New Roman"/>
          <w:sz w:val="24"/>
          <w:szCs w:val="24"/>
          <w:u w:val="single"/>
        </w:rPr>
        <w:t>Solicitation of comments on information collection</w:t>
      </w:r>
    </w:p>
    <w:p w:rsidR="00CB003A" w:rsidRPr="0025604D" w:rsidRDefault="00CB003A" w:rsidP="00172F5F">
      <w:pPr>
        <w:tabs>
          <w:tab w:val="left" w:pos="540"/>
        </w:tabs>
        <w:ind w:left="540" w:hanging="540"/>
      </w:pPr>
    </w:p>
    <w:p w:rsidR="00147A26" w:rsidRDefault="00C612CA" w:rsidP="00172F5F">
      <w:r>
        <w:t xml:space="preserve">A 60-day notice was published in the </w:t>
      </w:r>
      <w:r w:rsidRPr="00DB2C03">
        <w:rPr>
          <w:i/>
        </w:rPr>
        <w:t>Federal Register</w:t>
      </w:r>
      <w:r>
        <w:t xml:space="preserve"> on January 19, 2011, </w:t>
      </w:r>
      <w:r w:rsidR="00DB2C03">
        <w:t xml:space="preserve">soliciting comments from the public </w:t>
      </w:r>
      <w:r>
        <w:t>with the comment period ending March 21, 2011.  No comments were received as a result of this notice.</w:t>
      </w:r>
    </w:p>
    <w:p w:rsidR="00F31337" w:rsidRPr="0025604D" w:rsidRDefault="00F31337" w:rsidP="00CB003A"/>
    <w:p w:rsidR="00147A26" w:rsidRPr="00172F5F" w:rsidRDefault="00147A26" w:rsidP="00172F5F">
      <w:pPr>
        <w:pStyle w:val="ListParagraph"/>
        <w:keepNext/>
        <w:numPr>
          <w:ilvl w:val="0"/>
          <w:numId w:val="12"/>
        </w:numPr>
        <w:tabs>
          <w:tab w:val="clear" w:pos="720"/>
          <w:tab w:val="left" w:pos="540"/>
        </w:tabs>
        <w:spacing w:after="0" w:line="240" w:lineRule="auto"/>
        <w:ind w:left="547" w:hanging="547"/>
        <w:rPr>
          <w:rFonts w:ascii="Times New Roman" w:hAnsi="Times New Roman"/>
          <w:sz w:val="24"/>
          <w:szCs w:val="24"/>
        </w:rPr>
      </w:pPr>
      <w:r w:rsidRPr="00172F5F">
        <w:rPr>
          <w:rFonts w:ascii="Times New Roman" w:hAnsi="Times New Roman"/>
          <w:sz w:val="24"/>
          <w:szCs w:val="24"/>
          <w:u w:val="single"/>
        </w:rPr>
        <w:t xml:space="preserve">Provision of payments to </w:t>
      </w:r>
      <w:proofErr w:type="spellStart"/>
      <w:r w:rsidRPr="00172F5F">
        <w:rPr>
          <w:rFonts w:ascii="Times New Roman" w:hAnsi="Times New Roman"/>
          <w:sz w:val="24"/>
          <w:szCs w:val="24"/>
          <w:u w:val="single"/>
        </w:rPr>
        <w:t>recordkeepers</w:t>
      </w:r>
      <w:proofErr w:type="spellEnd"/>
    </w:p>
    <w:p w:rsidR="00147A26" w:rsidRPr="00172F5F" w:rsidRDefault="00147A26" w:rsidP="00172F5F">
      <w:pPr>
        <w:keepNext/>
        <w:tabs>
          <w:tab w:val="left" w:pos="540"/>
        </w:tabs>
        <w:ind w:left="547" w:hanging="547"/>
      </w:pPr>
    </w:p>
    <w:p w:rsidR="00147A26" w:rsidRPr="00172F5F" w:rsidRDefault="00256911" w:rsidP="00172F5F">
      <w:pPr>
        <w:tabs>
          <w:tab w:val="left" w:pos="540"/>
        </w:tabs>
        <w:ind w:left="547" w:hanging="547"/>
        <w:outlineLvl w:val="0"/>
      </w:pPr>
      <w:r w:rsidRPr="00172F5F">
        <w:t>Not applicable.</w:t>
      </w:r>
    </w:p>
    <w:p w:rsidR="00256911" w:rsidRPr="00172F5F" w:rsidRDefault="00256911" w:rsidP="00172F5F">
      <w:pPr>
        <w:tabs>
          <w:tab w:val="left" w:pos="540"/>
        </w:tabs>
        <w:ind w:left="547" w:hanging="547"/>
      </w:pPr>
    </w:p>
    <w:p w:rsidR="00147A26" w:rsidRPr="00172F5F" w:rsidRDefault="00147A26" w:rsidP="00172F5F">
      <w:pPr>
        <w:pStyle w:val="ListParagraph"/>
        <w:keepNext/>
        <w:numPr>
          <w:ilvl w:val="0"/>
          <w:numId w:val="12"/>
        </w:numPr>
        <w:tabs>
          <w:tab w:val="clear" w:pos="720"/>
          <w:tab w:val="left" w:pos="540"/>
        </w:tabs>
        <w:spacing w:after="0" w:line="240" w:lineRule="auto"/>
        <w:ind w:left="547" w:hanging="547"/>
        <w:rPr>
          <w:rFonts w:ascii="Times New Roman" w:hAnsi="Times New Roman"/>
          <w:sz w:val="24"/>
          <w:szCs w:val="24"/>
        </w:rPr>
      </w:pPr>
      <w:r w:rsidRPr="00172F5F">
        <w:rPr>
          <w:rFonts w:ascii="Times New Roman" w:hAnsi="Times New Roman"/>
          <w:sz w:val="24"/>
          <w:szCs w:val="24"/>
          <w:u w:val="single"/>
        </w:rPr>
        <w:t>Assurance of confidentiality</w:t>
      </w:r>
    </w:p>
    <w:p w:rsidR="00147A26" w:rsidRPr="00172F5F" w:rsidRDefault="00147A26" w:rsidP="00172F5F">
      <w:pPr>
        <w:keepNext/>
        <w:tabs>
          <w:tab w:val="left" w:pos="540"/>
        </w:tabs>
        <w:ind w:left="547" w:hanging="547"/>
      </w:pPr>
    </w:p>
    <w:p w:rsidR="00147A26" w:rsidRPr="00172F5F" w:rsidRDefault="00256911" w:rsidP="00172F5F">
      <w:pPr>
        <w:ind w:hanging="7"/>
      </w:pPr>
      <w:r w:rsidRPr="00172F5F">
        <w:t>A</w:t>
      </w:r>
      <w:r w:rsidR="00147A26" w:rsidRPr="00172F5F">
        <w:t xml:space="preserve">ny </w:t>
      </w:r>
      <w:r w:rsidR="00921EA8" w:rsidRPr="00172F5F">
        <w:t xml:space="preserve">confidential </w:t>
      </w:r>
      <w:r w:rsidR="00147A26" w:rsidRPr="00172F5F">
        <w:t xml:space="preserve">information </w:t>
      </w:r>
      <w:r w:rsidR="00460B20" w:rsidRPr="00172F5F">
        <w:t xml:space="preserve">provided </w:t>
      </w:r>
      <w:r w:rsidR="0060663C" w:rsidRPr="00172F5F">
        <w:t>as part of this collection will be</w:t>
      </w:r>
      <w:r w:rsidR="00147A26" w:rsidRPr="00172F5F">
        <w:t xml:space="preserve"> maintained as confidential consistent with applicable provisions of the Trade Secrets Act and Freedom of Information Act</w:t>
      </w:r>
      <w:r w:rsidR="008A5AEA" w:rsidRPr="00172F5F">
        <w:t>.</w:t>
      </w:r>
      <w:r w:rsidR="00BA59A6" w:rsidRPr="00172F5F">
        <w:t xml:space="preserve"> </w:t>
      </w:r>
      <w:r w:rsidR="00422F85" w:rsidRPr="00172F5F">
        <w:t xml:space="preserve"> </w:t>
      </w:r>
    </w:p>
    <w:p w:rsidR="00147A26" w:rsidRPr="00172F5F" w:rsidRDefault="00147A26" w:rsidP="00172F5F">
      <w:pPr>
        <w:tabs>
          <w:tab w:val="left" w:pos="540"/>
        </w:tabs>
        <w:ind w:left="547" w:hanging="547"/>
      </w:pPr>
    </w:p>
    <w:p w:rsidR="00147A26" w:rsidRPr="00172F5F" w:rsidRDefault="00147A26" w:rsidP="00172F5F">
      <w:pPr>
        <w:pStyle w:val="ListParagraph"/>
        <w:numPr>
          <w:ilvl w:val="0"/>
          <w:numId w:val="12"/>
        </w:numPr>
        <w:tabs>
          <w:tab w:val="clear" w:pos="720"/>
          <w:tab w:val="left" w:pos="540"/>
        </w:tabs>
        <w:spacing w:after="0" w:line="240" w:lineRule="auto"/>
        <w:ind w:left="547" w:hanging="547"/>
        <w:rPr>
          <w:rFonts w:ascii="Times New Roman" w:hAnsi="Times New Roman"/>
          <w:sz w:val="24"/>
          <w:szCs w:val="24"/>
          <w:u w:val="single"/>
        </w:rPr>
      </w:pPr>
      <w:r w:rsidRPr="00172F5F">
        <w:rPr>
          <w:rFonts w:ascii="Times New Roman" w:hAnsi="Times New Roman"/>
          <w:sz w:val="24"/>
          <w:szCs w:val="24"/>
          <w:u w:val="single"/>
        </w:rPr>
        <w:t>Justification of sensitive questions</w:t>
      </w:r>
    </w:p>
    <w:p w:rsidR="00147A26" w:rsidRPr="0025604D" w:rsidRDefault="00147A26" w:rsidP="00172F5F">
      <w:pPr>
        <w:tabs>
          <w:tab w:val="left" w:pos="540"/>
        </w:tabs>
        <w:ind w:left="540" w:hanging="540"/>
      </w:pPr>
    </w:p>
    <w:p w:rsidR="00147A26" w:rsidRPr="0025604D" w:rsidRDefault="00475731" w:rsidP="00172F5F">
      <w:pPr>
        <w:tabs>
          <w:tab w:val="left" w:pos="540"/>
        </w:tabs>
        <w:ind w:left="540" w:hanging="540"/>
        <w:outlineLvl w:val="0"/>
      </w:pPr>
      <w:r>
        <w:t>Not applicable.</w:t>
      </w:r>
    </w:p>
    <w:p w:rsidR="00147A26" w:rsidRPr="00172F5F" w:rsidRDefault="00147A26" w:rsidP="00172F5F">
      <w:pPr>
        <w:tabs>
          <w:tab w:val="left" w:pos="540"/>
        </w:tabs>
        <w:ind w:left="547" w:hanging="547"/>
      </w:pPr>
    </w:p>
    <w:p w:rsidR="00147A26" w:rsidRPr="00172F5F" w:rsidRDefault="00961823" w:rsidP="00172F5F">
      <w:pPr>
        <w:pStyle w:val="ListParagraph"/>
        <w:numPr>
          <w:ilvl w:val="0"/>
          <w:numId w:val="18"/>
        </w:numPr>
        <w:tabs>
          <w:tab w:val="left" w:pos="540"/>
        </w:tabs>
        <w:spacing w:after="0" w:line="240" w:lineRule="auto"/>
        <w:ind w:left="547" w:hanging="547"/>
        <w:rPr>
          <w:rFonts w:ascii="Times New Roman" w:hAnsi="Times New Roman"/>
          <w:sz w:val="24"/>
          <w:szCs w:val="24"/>
          <w:u w:val="single"/>
        </w:rPr>
      </w:pPr>
      <w:bookmarkStart w:id="0" w:name="OLE_LINK1"/>
      <w:r w:rsidRPr="00172F5F">
        <w:rPr>
          <w:rFonts w:ascii="Times New Roman" w:hAnsi="Times New Roman"/>
          <w:sz w:val="24"/>
          <w:szCs w:val="24"/>
          <w:u w:val="single"/>
        </w:rPr>
        <w:t>Estimated burden of information collection</w:t>
      </w:r>
    </w:p>
    <w:p w:rsidR="001220C5" w:rsidRDefault="001220C5" w:rsidP="00172F5F">
      <w:pPr>
        <w:tabs>
          <w:tab w:val="left" w:pos="540"/>
        </w:tabs>
        <w:ind w:left="540" w:hanging="540"/>
        <w:rPr>
          <w:u w:val="single"/>
        </w:rPr>
      </w:pPr>
    </w:p>
    <w:bookmarkEnd w:id="0"/>
    <w:p w:rsidR="000B55E8" w:rsidRDefault="00437371" w:rsidP="00172F5F">
      <w:r>
        <w:t>The burden associated with this information collection will vary widely based on the size of the HFA, its level of sophistication, and the level of its participation in the Initiative.  The table below provides a means for estimating the total annual burden of the collection.</w:t>
      </w:r>
    </w:p>
    <w:p w:rsidR="00437371" w:rsidRDefault="00437371" w:rsidP="00172F5F"/>
    <w:p w:rsidR="00437371" w:rsidRDefault="00437371" w:rsidP="00172F5F">
      <w:r>
        <w:t>For each request that is part of the collection, an estimate</w:t>
      </w:r>
      <w:r w:rsidR="0060663C">
        <w:t>d</w:t>
      </w:r>
      <w:r>
        <w:t xml:space="preserve"> burden per submission is provided.  </w:t>
      </w:r>
      <w:r w:rsidR="007E41B3">
        <w:t xml:space="preserve">Because the operations of state and local HFAs may differ, a “factor” is provided for each reporting type for state and local HFAs.  This factor represents an estimate of the fraction of the aforementioned number of hours which the HFA already commits to that type of reporting in </w:t>
      </w:r>
      <w:r w:rsidR="0060663C">
        <w:t>its</w:t>
      </w:r>
      <w:r w:rsidR="007E41B3">
        <w:t xml:space="preserve"> normal course of business.  Thus, a factor of 0% would indicate that the marginal burden of the reporting request will be the full stated number of hours.  A factor of 100% would indicate that the reporting request implies no marginal burden on the HFA.</w:t>
      </w:r>
    </w:p>
    <w:p w:rsidR="007E41B3" w:rsidRDefault="007E41B3" w:rsidP="00172F5F"/>
    <w:p w:rsidR="007E41B3" w:rsidRDefault="007E41B3" w:rsidP="00172F5F">
      <w:r>
        <w:t>Next, for state and local agencies, the number of submissions for each reporting type per year is provided.  For each reporting type, an estimated marginal annual burden is calculated by multiplying the estimated number of hours by the number of submissions per year and multiplying that by (1-f) where f is the previously described factor for state or local HFAs.  There is a separate estimate for state and local HFAs.  For either state or local HFAs</w:t>
      </w:r>
      <w:r w:rsidR="0060663C">
        <w:t>,</w:t>
      </w:r>
      <w:r>
        <w:t xml:space="preserve"> the estimates for each reporting type can be added to provide a total estimated burden for</w:t>
      </w:r>
      <w:r w:rsidR="0060663C">
        <w:t xml:space="preserve"> each</w:t>
      </w:r>
      <w:r>
        <w:t xml:space="preserve"> state </w:t>
      </w:r>
      <w:r w:rsidR="0060663C">
        <w:t>or local HFA.</w:t>
      </w:r>
    </w:p>
    <w:p w:rsidR="0060663C" w:rsidRDefault="0060663C" w:rsidP="00172F5F">
      <w:pPr>
        <w:tabs>
          <w:tab w:val="left" w:pos="540"/>
        </w:tabs>
        <w:ind w:left="540" w:hanging="540"/>
      </w:pPr>
    </w:p>
    <w:p w:rsidR="007E41B3" w:rsidRDefault="007E41B3" w:rsidP="00172F5F">
      <w:r>
        <w:t>These numbers can be multiplied by the 49 state HFA participants and 43 local HFA participants to find the total burden of the information collection.</w:t>
      </w:r>
    </w:p>
    <w:p w:rsidR="003D7D86" w:rsidRDefault="003D7D86" w:rsidP="00172F5F"/>
    <w:p w:rsidR="007E41B3" w:rsidRDefault="007E41B3" w:rsidP="00CB003A"/>
    <w:tbl>
      <w:tblPr>
        <w:tblW w:w="9937" w:type="dxa"/>
        <w:tblInd w:w="-252" w:type="dxa"/>
        <w:tblLook w:val="04A0"/>
      </w:tblPr>
      <w:tblGrid>
        <w:gridCol w:w="2700"/>
        <w:gridCol w:w="262"/>
        <w:gridCol w:w="610"/>
        <w:gridCol w:w="634"/>
        <w:gridCol w:w="667"/>
        <w:gridCol w:w="787"/>
        <w:gridCol w:w="810"/>
        <w:gridCol w:w="263"/>
        <w:gridCol w:w="789"/>
        <w:gridCol w:w="815"/>
        <w:gridCol w:w="640"/>
        <w:gridCol w:w="960"/>
      </w:tblGrid>
      <w:tr w:rsidR="0050124D" w:rsidRPr="003D7D86" w:rsidTr="0050124D">
        <w:trPr>
          <w:trHeight w:val="319"/>
        </w:trPr>
        <w:tc>
          <w:tcPr>
            <w:tcW w:w="2700"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262"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610" w:type="dxa"/>
            <w:tcBorders>
              <w:top w:val="nil"/>
              <w:left w:val="nil"/>
              <w:bottom w:val="nil"/>
              <w:right w:val="nil"/>
            </w:tcBorders>
            <w:shd w:val="clear" w:color="auto" w:fill="auto"/>
            <w:noWrap/>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Hours</w:t>
            </w:r>
          </w:p>
        </w:tc>
        <w:tc>
          <w:tcPr>
            <w:tcW w:w="634" w:type="dxa"/>
            <w:tcBorders>
              <w:top w:val="nil"/>
              <w:left w:val="nil"/>
              <w:bottom w:val="nil"/>
              <w:right w:val="nil"/>
            </w:tcBorders>
            <w:shd w:val="clear" w:color="auto" w:fill="auto"/>
            <w:noWrap/>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St</w:t>
            </w:r>
            <w:r>
              <w:rPr>
                <w:rFonts w:ascii="Calibri" w:hAnsi="Calibri"/>
                <w:b/>
                <w:bCs/>
                <w:color w:val="000000"/>
                <w:sz w:val="16"/>
                <w:szCs w:val="16"/>
              </w:rPr>
              <w:t>ate</w:t>
            </w:r>
            <w:r w:rsidRPr="0050124D">
              <w:rPr>
                <w:rFonts w:ascii="Calibri" w:hAnsi="Calibri"/>
                <w:b/>
                <w:bCs/>
                <w:color w:val="000000"/>
                <w:sz w:val="16"/>
                <w:szCs w:val="16"/>
              </w:rPr>
              <w:t xml:space="preserve"> Factor</w:t>
            </w:r>
          </w:p>
        </w:tc>
        <w:tc>
          <w:tcPr>
            <w:tcW w:w="667" w:type="dxa"/>
            <w:tcBorders>
              <w:top w:val="nil"/>
              <w:left w:val="nil"/>
              <w:bottom w:val="nil"/>
              <w:right w:val="nil"/>
            </w:tcBorders>
            <w:shd w:val="clear" w:color="auto" w:fill="auto"/>
            <w:noWrap/>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L</w:t>
            </w:r>
            <w:r>
              <w:rPr>
                <w:rFonts w:ascii="Calibri" w:hAnsi="Calibri"/>
                <w:b/>
                <w:bCs/>
                <w:color w:val="000000"/>
                <w:sz w:val="16"/>
                <w:szCs w:val="16"/>
              </w:rPr>
              <w:t>o</w:t>
            </w:r>
            <w:r w:rsidRPr="0050124D">
              <w:rPr>
                <w:rFonts w:ascii="Calibri" w:hAnsi="Calibri"/>
                <w:b/>
                <w:bCs/>
                <w:color w:val="000000"/>
                <w:sz w:val="16"/>
                <w:szCs w:val="16"/>
              </w:rPr>
              <w:t>c</w:t>
            </w:r>
            <w:r>
              <w:rPr>
                <w:rFonts w:ascii="Calibri" w:hAnsi="Calibri"/>
                <w:b/>
                <w:bCs/>
                <w:color w:val="000000"/>
                <w:sz w:val="16"/>
                <w:szCs w:val="16"/>
              </w:rPr>
              <w:t>a</w:t>
            </w:r>
            <w:r w:rsidRPr="0050124D">
              <w:rPr>
                <w:rFonts w:ascii="Calibri" w:hAnsi="Calibri"/>
                <w:b/>
                <w:bCs/>
                <w:color w:val="000000"/>
                <w:sz w:val="16"/>
                <w:szCs w:val="16"/>
              </w:rPr>
              <w:t>l Factor</w:t>
            </w:r>
          </w:p>
        </w:tc>
        <w:tc>
          <w:tcPr>
            <w:tcW w:w="787" w:type="dxa"/>
            <w:tcBorders>
              <w:top w:val="nil"/>
              <w:left w:val="nil"/>
              <w:bottom w:val="nil"/>
              <w:right w:val="nil"/>
            </w:tcBorders>
            <w:shd w:val="clear" w:color="auto" w:fill="auto"/>
            <w:noWrap/>
            <w:vAlign w:val="bottom"/>
            <w:hideMark/>
          </w:tcPr>
          <w:p w:rsidR="0050124D" w:rsidRDefault="0050124D" w:rsidP="0050124D">
            <w:pPr>
              <w:rPr>
                <w:rFonts w:ascii="Calibri" w:hAnsi="Calibri"/>
                <w:b/>
                <w:bCs/>
                <w:color w:val="000000"/>
                <w:sz w:val="16"/>
                <w:szCs w:val="16"/>
              </w:rPr>
            </w:pPr>
            <w:r>
              <w:rPr>
                <w:rFonts w:ascii="Calibri" w:hAnsi="Calibri"/>
                <w:b/>
                <w:bCs/>
                <w:color w:val="000000"/>
                <w:sz w:val="16"/>
                <w:szCs w:val="16"/>
              </w:rPr>
              <w:t>St</w:t>
            </w:r>
          </w:p>
          <w:p w:rsidR="0050124D" w:rsidRPr="0050124D" w:rsidRDefault="0050124D" w:rsidP="0050124D">
            <w:pPr>
              <w:rPr>
                <w:rFonts w:ascii="Calibri" w:hAnsi="Calibri"/>
                <w:b/>
                <w:bCs/>
                <w:color w:val="000000"/>
                <w:sz w:val="16"/>
                <w:szCs w:val="16"/>
              </w:rPr>
            </w:pPr>
            <w:r>
              <w:rPr>
                <w:rFonts w:ascii="Calibri" w:hAnsi="Calibri"/>
                <w:b/>
                <w:bCs/>
                <w:color w:val="000000"/>
                <w:sz w:val="16"/>
                <w:szCs w:val="16"/>
              </w:rPr>
              <w:t xml:space="preserve"> sub/</w:t>
            </w:r>
            <w:r w:rsidRPr="0050124D">
              <w:rPr>
                <w:rFonts w:ascii="Calibri" w:hAnsi="Calibri"/>
                <w:b/>
                <w:bCs/>
                <w:color w:val="000000"/>
                <w:sz w:val="16"/>
                <w:szCs w:val="16"/>
              </w:rPr>
              <w:t xml:space="preserve"> yr</w:t>
            </w:r>
          </w:p>
        </w:tc>
        <w:tc>
          <w:tcPr>
            <w:tcW w:w="810" w:type="dxa"/>
            <w:tcBorders>
              <w:top w:val="nil"/>
              <w:left w:val="nil"/>
              <w:bottom w:val="nil"/>
              <w:right w:val="nil"/>
            </w:tcBorders>
            <w:shd w:val="clear" w:color="auto" w:fill="auto"/>
            <w:noWrap/>
            <w:vAlign w:val="bottom"/>
            <w:hideMark/>
          </w:tcPr>
          <w:p w:rsidR="0050124D" w:rsidRDefault="0050124D" w:rsidP="0050124D">
            <w:pPr>
              <w:rPr>
                <w:rFonts w:ascii="Calibri" w:hAnsi="Calibri"/>
                <w:b/>
                <w:bCs/>
                <w:color w:val="000000"/>
                <w:sz w:val="16"/>
                <w:szCs w:val="16"/>
              </w:rPr>
            </w:pPr>
            <w:proofErr w:type="spellStart"/>
            <w:r w:rsidRPr="0050124D">
              <w:rPr>
                <w:rFonts w:ascii="Calibri" w:hAnsi="Calibri"/>
                <w:b/>
                <w:bCs/>
                <w:color w:val="000000"/>
                <w:sz w:val="16"/>
                <w:szCs w:val="16"/>
              </w:rPr>
              <w:t>Lc</w:t>
            </w:r>
            <w:proofErr w:type="spellEnd"/>
            <w:r w:rsidRPr="0050124D">
              <w:rPr>
                <w:rFonts w:ascii="Calibri" w:hAnsi="Calibri"/>
                <w:b/>
                <w:bCs/>
                <w:color w:val="000000"/>
                <w:sz w:val="16"/>
                <w:szCs w:val="16"/>
              </w:rPr>
              <w:t xml:space="preserve"> </w:t>
            </w:r>
            <w:r>
              <w:rPr>
                <w:rFonts w:ascii="Calibri" w:hAnsi="Calibri"/>
                <w:b/>
                <w:bCs/>
                <w:color w:val="000000"/>
                <w:sz w:val="16"/>
                <w:szCs w:val="16"/>
              </w:rPr>
              <w:t>l</w:t>
            </w:r>
          </w:p>
          <w:p w:rsidR="0050124D" w:rsidRPr="0050124D" w:rsidRDefault="0050124D" w:rsidP="0050124D">
            <w:pPr>
              <w:rPr>
                <w:rFonts w:ascii="Calibri" w:hAnsi="Calibri"/>
                <w:b/>
                <w:bCs/>
                <w:color w:val="000000"/>
                <w:sz w:val="16"/>
                <w:szCs w:val="16"/>
              </w:rPr>
            </w:pPr>
            <w:r>
              <w:rPr>
                <w:rFonts w:ascii="Calibri" w:hAnsi="Calibri"/>
                <w:b/>
                <w:bCs/>
                <w:color w:val="000000"/>
                <w:sz w:val="16"/>
                <w:szCs w:val="16"/>
              </w:rPr>
              <w:t>sub/</w:t>
            </w:r>
            <w:r w:rsidRPr="0050124D">
              <w:rPr>
                <w:rFonts w:ascii="Calibri" w:hAnsi="Calibri"/>
                <w:b/>
                <w:bCs/>
                <w:color w:val="000000"/>
                <w:sz w:val="16"/>
                <w:szCs w:val="16"/>
              </w:rPr>
              <w:t xml:space="preserve"> yr</w:t>
            </w:r>
          </w:p>
        </w:tc>
        <w:tc>
          <w:tcPr>
            <w:tcW w:w="263" w:type="dxa"/>
            <w:tcBorders>
              <w:top w:val="nil"/>
              <w:left w:val="nil"/>
              <w:bottom w:val="nil"/>
              <w:right w:val="nil"/>
            </w:tcBorders>
            <w:shd w:val="clear" w:color="auto" w:fill="auto"/>
            <w:noWrap/>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 </w:t>
            </w:r>
          </w:p>
        </w:tc>
        <w:tc>
          <w:tcPr>
            <w:tcW w:w="789" w:type="dxa"/>
            <w:tcBorders>
              <w:top w:val="nil"/>
              <w:left w:val="nil"/>
              <w:bottom w:val="nil"/>
              <w:right w:val="nil"/>
            </w:tcBorders>
            <w:shd w:val="clear" w:color="auto" w:fill="auto"/>
            <w:noWrap/>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E(hrs/</w:t>
            </w:r>
            <w:proofErr w:type="spellStart"/>
            <w:r w:rsidRPr="0050124D">
              <w:rPr>
                <w:rFonts w:ascii="Calibri" w:hAnsi="Calibri"/>
                <w:b/>
                <w:bCs/>
                <w:color w:val="000000"/>
                <w:sz w:val="16"/>
                <w:szCs w:val="16"/>
              </w:rPr>
              <w:t>st</w:t>
            </w:r>
            <w:proofErr w:type="spellEnd"/>
            <w:r w:rsidRPr="0050124D">
              <w:rPr>
                <w:rFonts w:ascii="Calibri" w:hAnsi="Calibri"/>
                <w:b/>
                <w:bCs/>
                <w:color w:val="000000"/>
                <w:sz w:val="16"/>
                <w:szCs w:val="16"/>
              </w:rPr>
              <w:t>)</w:t>
            </w:r>
          </w:p>
        </w:tc>
        <w:tc>
          <w:tcPr>
            <w:tcW w:w="815" w:type="dxa"/>
            <w:tcBorders>
              <w:top w:val="nil"/>
              <w:left w:val="nil"/>
              <w:bottom w:val="nil"/>
              <w:right w:val="nil"/>
            </w:tcBorders>
            <w:shd w:val="clear" w:color="auto" w:fill="auto"/>
            <w:noWrap/>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E(hrs/</w:t>
            </w:r>
            <w:proofErr w:type="spellStart"/>
            <w:r w:rsidRPr="0050124D">
              <w:rPr>
                <w:rFonts w:ascii="Calibri" w:hAnsi="Calibri"/>
                <w:b/>
                <w:bCs/>
                <w:color w:val="000000"/>
                <w:sz w:val="16"/>
                <w:szCs w:val="16"/>
              </w:rPr>
              <w:t>lcl</w:t>
            </w:r>
            <w:proofErr w:type="spellEnd"/>
            <w:r w:rsidRPr="0050124D">
              <w:rPr>
                <w:rFonts w:ascii="Calibri" w:hAnsi="Calibri"/>
                <w:b/>
                <w:bCs/>
                <w:color w:val="000000"/>
                <w:sz w:val="16"/>
                <w:szCs w:val="16"/>
              </w:rPr>
              <w:t>)</w:t>
            </w:r>
          </w:p>
        </w:tc>
        <w:tc>
          <w:tcPr>
            <w:tcW w:w="640" w:type="dxa"/>
            <w:tcBorders>
              <w:top w:val="nil"/>
              <w:left w:val="nil"/>
              <w:bottom w:val="nil"/>
              <w:right w:val="nil"/>
            </w:tcBorders>
            <w:shd w:val="clear" w:color="auto" w:fill="auto"/>
            <w:noWrap/>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 </w:t>
            </w:r>
          </w:p>
        </w:tc>
        <w:tc>
          <w:tcPr>
            <w:tcW w:w="960" w:type="dxa"/>
            <w:tcBorders>
              <w:top w:val="nil"/>
              <w:left w:val="nil"/>
              <w:bottom w:val="nil"/>
              <w:right w:val="nil"/>
            </w:tcBorders>
            <w:shd w:val="clear" w:color="auto" w:fill="auto"/>
            <w:noWrap/>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E(total)</w:t>
            </w:r>
          </w:p>
        </w:tc>
      </w:tr>
      <w:tr w:rsidR="0050124D" w:rsidRPr="003D7D86" w:rsidTr="0050124D">
        <w:trPr>
          <w:trHeight w:val="300"/>
        </w:trPr>
        <w:tc>
          <w:tcPr>
            <w:tcW w:w="2700" w:type="dxa"/>
            <w:tcBorders>
              <w:top w:val="nil"/>
              <w:left w:val="nil"/>
              <w:bottom w:val="nil"/>
              <w:right w:val="nil"/>
            </w:tcBorders>
            <w:shd w:val="clear" w:color="auto" w:fill="auto"/>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Issuer Financial Statements</w:t>
            </w:r>
          </w:p>
        </w:tc>
        <w:tc>
          <w:tcPr>
            <w:tcW w:w="262"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6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250</w:t>
            </w:r>
          </w:p>
        </w:tc>
        <w:tc>
          <w:tcPr>
            <w:tcW w:w="634"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95%</w:t>
            </w:r>
          </w:p>
        </w:tc>
        <w:tc>
          <w:tcPr>
            <w:tcW w:w="66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90%</w:t>
            </w:r>
          </w:p>
        </w:tc>
        <w:tc>
          <w:tcPr>
            <w:tcW w:w="78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4</w:t>
            </w:r>
          </w:p>
        </w:tc>
        <w:tc>
          <w:tcPr>
            <w:tcW w:w="8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1</w:t>
            </w:r>
          </w:p>
        </w:tc>
        <w:tc>
          <w:tcPr>
            <w:tcW w:w="263"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789"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50</w:t>
            </w:r>
          </w:p>
        </w:tc>
        <w:tc>
          <w:tcPr>
            <w:tcW w:w="815"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25</w:t>
            </w:r>
          </w:p>
        </w:tc>
        <w:tc>
          <w:tcPr>
            <w:tcW w:w="640"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96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3525</w:t>
            </w:r>
          </w:p>
        </w:tc>
      </w:tr>
      <w:tr w:rsidR="0050124D" w:rsidRPr="003D7D86" w:rsidTr="0050124D">
        <w:trPr>
          <w:trHeight w:val="300"/>
        </w:trPr>
        <w:tc>
          <w:tcPr>
            <w:tcW w:w="2700" w:type="dxa"/>
            <w:tcBorders>
              <w:top w:val="nil"/>
              <w:left w:val="nil"/>
              <w:bottom w:val="nil"/>
              <w:right w:val="nil"/>
            </w:tcBorders>
            <w:shd w:val="clear" w:color="auto" w:fill="auto"/>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Indenture Financial Statements</w:t>
            </w:r>
          </w:p>
        </w:tc>
        <w:tc>
          <w:tcPr>
            <w:tcW w:w="262"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6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150</w:t>
            </w:r>
          </w:p>
        </w:tc>
        <w:tc>
          <w:tcPr>
            <w:tcW w:w="634"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95%</w:t>
            </w:r>
          </w:p>
        </w:tc>
        <w:tc>
          <w:tcPr>
            <w:tcW w:w="66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90%</w:t>
            </w:r>
          </w:p>
        </w:tc>
        <w:tc>
          <w:tcPr>
            <w:tcW w:w="78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4</w:t>
            </w:r>
          </w:p>
        </w:tc>
        <w:tc>
          <w:tcPr>
            <w:tcW w:w="8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1</w:t>
            </w:r>
          </w:p>
        </w:tc>
        <w:tc>
          <w:tcPr>
            <w:tcW w:w="263"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789"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30</w:t>
            </w:r>
          </w:p>
        </w:tc>
        <w:tc>
          <w:tcPr>
            <w:tcW w:w="815"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15</w:t>
            </w:r>
          </w:p>
        </w:tc>
        <w:tc>
          <w:tcPr>
            <w:tcW w:w="640"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96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2115</w:t>
            </w:r>
          </w:p>
        </w:tc>
      </w:tr>
      <w:tr w:rsidR="0050124D" w:rsidRPr="003D7D86" w:rsidTr="0050124D">
        <w:trPr>
          <w:trHeight w:val="300"/>
        </w:trPr>
        <w:tc>
          <w:tcPr>
            <w:tcW w:w="2700" w:type="dxa"/>
            <w:tcBorders>
              <w:top w:val="nil"/>
              <w:left w:val="nil"/>
              <w:bottom w:val="nil"/>
              <w:right w:val="nil"/>
            </w:tcBorders>
            <w:shd w:val="clear" w:color="auto" w:fill="auto"/>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 xml:space="preserve">Secondary Market Disclosures (higher factor for </w:t>
            </w:r>
            <w:proofErr w:type="spellStart"/>
            <w:r w:rsidRPr="0050124D">
              <w:rPr>
                <w:rFonts w:ascii="Calibri" w:hAnsi="Calibri"/>
                <w:b/>
                <w:bCs/>
                <w:color w:val="000000"/>
                <w:sz w:val="16"/>
                <w:szCs w:val="16"/>
              </w:rPr>
              <w:t>lcls</w:t>
            </w:r>
            <w:proofErr w:type="spellEnd"/>
            <w:r w:rsidRPr="0050124D">
              <w:rPr>
                <w:rFonts w:ascii="Calibri" w:hAnsi="Calibri"/>
                <w:b/>
                <w:bCs/>
                <w:color w:val="000000"/>
                <w:sz w:val="16"/>
                <w:szCs w:val="16"/>
              </w:rPr>
              <w:t xml:space="preserve"> due to simpler task)</w:t>
            </w:r>
          </w:p>
        </w:tc>
        <w:tc>
          <w:tcPr>
            <w:tcW w:w="262"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6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75</w:t>
            </w:r>
          </w:p>
        </w:tc>
        <w:tc>
          <w:tcPr>
            <w:tcW w:w="634"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85%</w:t>
            </w:r>
          </w:p>
        </w:tc>
        <w:tc>
          <w:tcPr>
            <w:tcW w:w="66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90%</w:t>
            </w:r>
          </w:p>
        </w:tc>
        <w:tc>
          <w:tcPr>
            <w:tcW w:w="78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4</w:t>
            </w:r>
          </w:p>
        </w:tc>
        <w:tc>
          <w:tcPr>
            <w:tcW w:w="8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1</w:t>
            </w:r>
          </w:p>
        </w:tc>
        <w:tc>
          <w:tcPr>
            <w:tcW w:w="263"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789"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45</w:t>
            </w:r>
          </w:p>
        </w:tc>
        <w:tc>
          <w:tcPr>
            <w:tcW w:w="815"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7.5</w:t>
            </w:r>
          </w:p>
        </w:tc>
        <w:tc>
          <w:tcPr>
            <w:tcW w:w="640"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96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2527.5</w:t>
            </w:r>
          </w:p>
        </w:tc>
      </w:tr>
      <w:tr w:rsidR="0050124D" w:rsidRPr="003D7D86" w:rsidTr="0050124D">
        <w:trPr>
          <w:trHeight w:val="300"/>
        </w:trPr>
        <w:tc>
          <w:tcPr>
            <w:tcW w:w="2700" w:type="dxa"/>
            <w:tcBorders>
              <w:top w:val="nil"/>
              <w:left w:val="nil"/>
              <w:bottom w:val="nil"/>
              <w:right w:val="nil"/>
            </w:tcBorders>
            <w:shd w:val="clear" w:color="auto" w:fill="auto"/>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Material events filings</w:t>
            </w:r>
          </w:p>
        </w:tc>
        <w:tc>
          <w:tcPr>
            <w:tcW w:w="262"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6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5</w:t>
            </w:r>
          </w:p>
        </w:tc>
        <w:tc>
          <w:tcPr>
            <w:tcW w:w="634"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80%</w:t>
            </w:r>
          </w:p>
        </w:tc>
        <w:tc>
          <w:tcPr>
            <w:tcW w:w="66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50%</w:t>
            </w:r>
          </w:p>
        </w:tc>
        <w:tc>
          <w:tcPr>
            <w:tcW w:w="78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6</w:t>
            </w:r>
          </w:p>
        </w:tc>
        <w:tc>
          <w:tcPr>
            <w:tcW w:w="8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2</w:t>
            </w:r>
          </w:p>
        </w:tc>
        <w:tc>
          <w:tcPr>
            <w:tcW w:w="263"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789"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6</w:t>
            </w:r>
          </w:p>
        </w:tc>
        <w:tc>
          <w:tcPr>
            <w:tcW w:w="815"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5</w:t>
            </w:r>
          </w:p>
        </w:tc>
        <w:tc>
          <w:tcPr>
            <w:tcW w:w="640"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96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509</w:t>
            </w:r>
          </w:p>
        </w:tc>
      </w:tr>
      <w:tr w:rsidR="0050124D" w:rsidRPr="003D7D86" w:rsidTr="0050124D">
        <w:trPr>
          <w:trHeight w:val="300"/>
        </w:trPr>
        <w:tc>
          <w:tcPr>
            <w:tcW w:w="2700" w:type="dxa"/>
            <w:tcBorders>
              <w:top w:val="nil"/>
              <w:left w:val="nil"/>
              <w:bottom w:val="nil"/>
              <w:right w:val="nil"/>
            </w:tcBorders>
            <w:shd w:val="clear" w:color="auto" w:fill="auto"/>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Current counterparties</w:t>
            </w:r>
          </w:p>
        </w:tc>
        <w:tc>
          <w:tcPr>
            <w:tcW w:w="262"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6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1</w:t>
            </w:r>
          </w:p>
        </w:tc>
        <w:tc>
          <w:tcPr>
            <w:tcW w:w="634"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50%</w:t>
            </w:r>
          </w:p>
        </w:tc>
        <w:tc>
          <w:tcPr>
            <w:tcW w:w="66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25%</w:t>
            </w:r>
          </w:p>
        </w:tc>
        <w:tc>
          <w:tcPr>
            <w:tcW w:w="78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4</w:t>
            </w:r>
          </w:p>
        </w:tc>
        <w:tc>
          <w:tcPr>
            <w:tcW w:w="8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1</w:t>
            </w:r>
          </w:p>
        </w:tc>
        <w:tc>
          <w:tcPr>
            <w:tcW w:w="263"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789"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2</w:t>
            </w:r>
          </w:p>
        </w:tc>
        <w:tc>
          <w:tcPr>
            <w:tcW w:w="815"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0.75</w:t>
            </w:r>
          </w:p>
        </w:tc>
        <w:tc>
          <w:tcPr>
            <w:tcW w:w="640"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96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130.25</w:t>
            </w:r>
          </w:p>
        </w:tc>
      </w:tr>
      <w:tr w:rsidR="0050124D" w:rsidRPr="003D7D86" w:rsidTr="0050124D">
        <w:trPr>
          <w:trHeight w:val="525"/>
        </w:trPr>
        <w:tc>
          <w:tcPr>
            <w:tcW w:w="2700" w:type="dxa"/>
            <w:tcBorders>
              <w:top w:val="nil"/>
              <w:left w:val="nil"/>
              <w:bottom w:val="nil"/>
              <w:right w:val="nil"/>
            </w:tcBorders>
            <w:shd w:val="clear" w:color="auto" w:fill="auto"/>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Copies of Official Statements or any other disclosure documents</w:t>
            </w:r>
          </w:p>
        </w:tc>
        <w:tc>
          <w:tcPr>
            <w:tcW w:w="262"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6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0.5</w:t>
            </w:r>
          </w:p>
        </w:tc>
        <w:tc>
          <w:tcPr>
            <w:tcW w:w="634"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0%</w:t>
            </w:r>
          </w:p>
        </w:tc>
        <w:tc>
          <w:tcPr>
            <w:tcW w:w="66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0%</w:t>
            </w:r>
          </w:p>
        </w:tc>
        <w:tc>
          <w:tcPr>
            <w:tcW w:w="78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4</w:t>
            </w:r>
          </w:p>
        </w:tc>
        <w:tc>
          <w:tcPr>
            <w:tcW w:w="8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2</w:t>
            </w:r>
          </w:p>
        </w:tc>
        <w:tc>
          <w:tcPr>
            <w:tcW w:w="263"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789"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2</w:t>
            </w:r>
          </w:p>
        </w:tc>
        <w:tc>
          <w:tcPr>
            <w:tcW w:w="815"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1</w:t>
            </w:r>
          </w:p>
        </w:tc>
        <w:tc>
          <w:tcPr>
            <w:tcW w:w="640"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96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141</w:t>
            </w:r>
          </w:p>
        </w:tc>
      </w:tr>
      <w:tr w:rsidR="0050124D" w:rsidRPr="003D7D86" w:rsidTr="0050124D">
        <w:trPr>
          <w:trHeight w:val="525"/>
        </w:trPr>
        <w:tc>
          <w:tcPr>
            <w:tcW w:w="2700" w:type="dxa"/>
            <w:tcBorders>
              <w:top w:val="nil"/>
              <w:left w:val="nil"/>
              <w:bottom w:val="nil"/>
              <w:right w:val="nil"/>
            </w:tcBorders>
            <w:shd w:val="clear" w:color="auto" w:fill="auto"/>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Most recent ratings letters and any rating report</w:t>
            </w:r>
          </w:p>
        </w:tc>
        <w:tc>
          <w:tcPr>
            <w:tcW w:w="262"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6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0.5</w:t>
            </w:r>
          </w:p>
        </w:tc>
        <w:tc>
          <w:tcPr>
            <w:tcW w:w="634"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0%</w:t>
            </w:r>
          </w:p>
        </w:tc>
        <w:tc>
          <w:tcPr>
            <w:tcW w:w="66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0%</w:t>
            </w:r>
          </w:p>
        </w:tc>
        <w:tc>
          <w:tcPr>
            <w:tcW w:w="78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2</w:t>
            </w:r>
          </w:p>
        </w:tc>
        <w:tc>
          <w:tcPr>
            <w:tcW w:w="8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2</w:t>
            </w:r>
          </w:p>
        </w:tc>
        <w:tc>
          <w:tcPr>
            <w:tcW w:w="263"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789"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1</w:t>
            </w:r>
          </w:p>
        </w:tc>
        <w:tc>
          <w:tcPr>
            <w:tcW w:w="815"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1</w:t>
            </w:r>
          </w:p>
        </w:tc>
        <w:tc>
          <w:tcPr>
            <w:tcW w:w="640"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96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92</w:t>
            </w:r>
          </w:p>
        </w:tc>
      </w:tr>
      <w:tr w:rsidR="0050124D" w:rsidRPr="003D7D86" w:rsidTr="0050124D">
        <w:trPr>
          <w:trHeight w:val="525"/>
        </w:trPr>
        <w:tc>
          <w:tcPr>
            <w:tcW w:w="2700" w:type="dxa"/>
            <w:tcBorders>
              <w:top w:val="nil"/>
              <w:left w:val="nil"/>
              <w:bottom w:val="nil"/>
              <w:right w:val="nil"/>
            </w:tcBorders>
            <w:shd w:val="clear" w:color="auto" w:fill="auto"/>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Copies of presentations to rating agencies</w:t>
            </w:r>
          </w:p>
        </w:tc>
        <w:tc>
          <w:tcPr>
            <w:tcW w:w="262"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6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0.5</w:t>
            </w:r>
          </w:p>
        </w:tc>
        <w:tc>
          <w:tcPr>
            <w:tcW w:w="634"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0%</w:t>
            </w:r>
          </w:p>
        </w:tc>
        <w:tc>
          <w:tcPr>
            <w:tcW w:w="66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0%</w:t>
            </w:r>
          </w:p>
        </w:tc>
        <w:tc>
          <w:tcPr>
            <w:tcW w:w="78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2</w:t>
            </w:r>
          </w:p>
        </w:tc>
        <w:tc>
          <w:tcPr>
            <w:tcW w:w="8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1</w:t>
            </w:r>
          </w:p>
        </w:tc>
        <w:tc>
          <w:tcPr>
            <w:tcW w:w="263"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789"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1</w:t>
            </w:r>
          </w:p>
        </w:tc>
        <w:tc>
          <w:tcPr>
            <w:tcW w:w="815"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0.5</w:t>
            </w:r>
          </w:p>
        </w:tc>
        <w:tc>
          <w:tcPr>
            <w:tcW w:w="640"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96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70.5</w:t>
            </w:r>
          </w:p>
        </w:tc>
      </w:tr>
      <w:tr w:rsidR="0050124D" w:rsidRPr="003D7D86" w:rsidTr="0050124D">
        <w:trPr>
          <w:trHeight w:val="300"/>
        </w:trPr>
        <w:tc>
          <w:tcPr>
            <w:tcW w:w="2700" w:type="dxa"/>
            <w:tcBorders>
              <w:top w:val="nil"/>
              <w:left w:val="nil"/>
              <w:bottom w:val="nil"/>
              <w:right w:val="nil"/>
            </w:tcBorders>
            <w:shd w:val="clear" w:color="auto" w:fill="auto"/>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Copies of Indenture Cash flow certificates</w:t>
            </w:r>
          </w:p>
        </w:tc>
        <w:tc>
          <w:tcPr>
            <w:tcW w:w="262"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6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0.5</w:t>
            </w:r>
          </w:p>
        </w:tc>
        <w:tc>
          <w:tcPr>
            <w:tcW w:w="634"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0%</w:t>
            </w:r>
          </w:p>
        </w:tc>
        <w:tc>
          <w:tcPr>
            <w:tcW w:w="66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0%</w:t>
            </w:r>
          </w:p>
        </w:tc>
        <w:tc>
          <w:tcPr>
            <w:tcW w:w="78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4</w:t>
            </w:r>
          </w:p>
        </w:tc>
        <w:tc>
          <w:tcPr>
            <w:tcW w:w="8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2</w:t>
            </w:r>
          </w:p>
        </w:tc>
        <w:tc>
          <w:tcPr>
            <w:tcW w:w="263"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789"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2</w:t>
            </w:r>
          </w:p>
        </w:tc>
        <w:tc>
          <w:tcPr>
            <w:tcW w:w="815"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1</w:t>
            </w:r>
          </w:p>
        </w:tc>
        <w:tc>
          <w:tcPr>
            <w:tcW w:w="640"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96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141</w:t>
            </w:r>
          </w:p>
        </w:tc>
      </w:tr>
      <w:tr w:rsidR="0050124D" w:rsidRPr="003D7D86" w:rsidTr="0050124D">
        <w:trPr>
          <w:trHeight w:val="525"/>
        </w:trPr>
        <w:tc>
          <w:tcPr>
            <w:tcW w:w="2700" w:type="dxa"/>
            <w:tcBorders>
              <w:top w:val="nil"/>
              <w:left w:val="nil"/>
              <w:bottom w:val="nil"/>
              <w:right w:val="nil"/>
            </w:tcBorders>
            <w:shd w:val="clear" w:color="auto" w:fill="auto"/>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Trustee trial balance, or trial balance certified by the Issuer</w:t>
            </w:r>
          </w:p>
        </w:tc>
        <w:tc>
          <w:tcPr>
            <w:tcW w:w="262"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6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3</w:t>
            </w:r>
          </w:p>
        </w:tc>
        <w:tc>
          <w:tcPr>
            <w:tcW w:w="634"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50%</w:t>
            </w:r>
          </w:p>
        </w:tc>
        <w:tc>
          <w:tcPr>
            <w:tcW w:w="66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50%</w:t>
            </w:r>
          </w:p>
        </w:tc>
        <w:tc>
          <w:tcPr>
            <w:tcW w:w="78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4</w:t>
            </w:r>
          </w:p>
        </w:tc>
        <w:tc>
          <w:tcPr>
            <w:tcW w:w="8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4</w:t>
            </w:r>
          </w:p>
        </w:tc>
        <w:tc>
          <w:tcPr>
            <w:tcW w:w="263"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789"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6</w:t>
            </w:r>
          </w:p>
        </w:tc>
        <w:tc>
          <w:tcPr>
            <w:tcW w:w="815"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6</w:t>
            </w:r>
          </w:p>
        </w:tc>
        <w:tc>
          <w:tcPr>
            <w:tcW w:w="640"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96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552</w:t>
            </w:r>
          </w:p>
        </w:tc>
      </w:tr>
      <w:tr w:rsidR="0050124D" w:rsidRPr="003D7D86" w:rsidTr="0050124D">
        <w:trPr>
          <w:trHeight w:val="300"/>
        </w:trPr>
        <w:tc>
          <w:tcPr>
            <w:tcW w:w="2700" w:type="dxa"/>
            <w:tcBorders>
              <w:top w:val="nil"/>
              <w:left w:val="nil"/>
              <w:bottom w:val="nil"/>
              <w:right w:val="nil"/>
            </w:tcBorders>
            <w:shd w:val="clear" w:color="auto" w:fill="auto"/>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Loan portfolio performance data (and policy metrics)</w:t>
            </w:r>
          </w:p>
        </w:tc>
        <w:tc>
          <w:tcPr>
            <w:tcW w:w="262"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6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20</w:t>
            </w:r>
          </w:p>
        </w:tc>
        <w:tc>
          <w:tcPr>
            <w:tcW w:w="634"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50%</w:t>
            </w:r>
          </w:p>
        </w:tc>
        <w:tc>
          <w:tcPr>
            <w:tcW w:w="66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30%</w:t>
            </w:r>
          </w:p>
        </w:tc>
        <w:tc>
          <w:tcPr>
            <w:tcW w:w="78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12</w:t>
            </w:r>
          </w:p>
        </w:tc>
        <w:tc>
          <w:tcPr>
            <w:tcW w:w="8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12</w:t>
            </w:r>
          </w:p>
        </w:tc>
        <w:tc>
          <w:tcPr>
            <w:tcW w:w="263"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789"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120</w:t>
            </w:r>
          </w:p>
        </w:tc>
        <w:tc>
          <w:tcPr>
            <w:tcW w:w="815"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168</w:t>
            </w:r>
          </w:p>
        </w:tc>
        <w:tc>
          <w:tcPr>
            <w:tcW w:w="640"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96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13104</w:t>
            </w:r>
          </w:p>
        </w:tc>
      </w:tr>
      <w:tr w:rsidR="0050124D" w:rsidRPr="003D7D86" w:rsidTr="0050124D">
        <w:trPr>
          <w:trHeight w:val="525"/>
        </w:trPr>
        <w:tc>
          <w:tcPr>
            <w:tcW w:w="2700" w:type="dxa"/>
            <w:tcBorders>
              <w:top w:val="nil"/>
              <w:left w:val="nil"/>
              <w:bottom w:val="nil"/>
              <w:right w:val="nil"/>
            </w:tcBorders>
            <w:shd w:val="clear" w:color="auto" w:fill="auto"/>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Any information for housing goals upon GSE request</w:t>
            </w:r>
          </w:p>
        </w:tc>
        <w:tc>
          <w:tcPr>
            <w:tcW w:w="262"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6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3</w:t>
            </w:r>
          </w:p>
        </w:tc>
        <w:tc>
          <w:tcPr>
            <w:tcW w:w="634"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0%</w:t>
            </w:r>
          </w:p>
        </w:tc>
        <w:tc>
          <w:tcPr>
            <w:tcW w:w="66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0%</w:t>
            </w:r>
          </w:p>
        </w:tc>
        <w:tc>
          <w:tcPr>
            <w:tcW w:w="78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3</w:t>
            </w:r>
          </w:p>
        </w:tc>
        <w:tc>
          <w:tcPr>
            <w:tcW w:w="8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2</w:t>
            </w:r>
          </w:p>
        </w:tc>
        <w:tc>
          <w:tcPr>
            <w:tcW w:w="263"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789"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9</w:t>
            </w:r>
          </w:p>
        </w:tc>
        <w:tc>
          <w:tcPr>
            <w:tcW w:w="815"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6</w:t>
            </w:r>
          </w:p>
        </w:tc>
        <w:tc>
          <w:tcPr>
            <w:tcW w:w="640"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96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699</w:t>
            </w:r>
          </w:p>
        </w:tc>
      </w:tr>
      <w:tr w:rsidR="0050124D" w:rsidRPr="003D7D86" w:rsidTr="0050124D">
        <w:trPr>
          <w:trHeight w:val="300"/>
        </w:trPr>
        <w:tc>
          <w:tcPr>
            <w:tcW w:w="2700" w:type="dxa"/>
            <w:tcBorders>
              <w:top w:val="nil"/>
              <w:left w:val="nil"/>
              <w:bottom w:val="nil"/>
              <w:right w:val="nil"/>
            </w:tcBorders>
            <w:shd w:val="clear" w:color="auto" w:fill="auto"/>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Other data, as requested by GSEs</w:t>
            </w:r>
          </w:p>
        </w:tc>
        <w:tc>
          <w:tcPr>
            <w:tcW w:w="262"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6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3</w:t>
            </w:r>
          </w:p>
        </w:tc>
        <w:tc>
          <w:tcPr>
            <w:tcW w:w="634"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0%</w:t>
            </w:r>
          </w:p>
        </w:tc>
        <w:tc>
          <w:tcPr>
            <w:tcW w:w="66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0%</w:t>
            </w:r>
          </w:p>
        </w:tc>
        <w:tc>
          <w:tcPr>
            <w:tcW w:w="78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3</w:t>
            </w:r>
          </w:p>
        </w:tc>
        <w:tc>
          <w:tcPr>
            <w:tcW w:w="8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2</w:t>
            </w:r>
          </w:p>
        </w:tc>
        <w:tc>
          <w:tcPr>
            <w:tcW w:w="263"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789"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9</w:t>
            </w:r>
          </w:p>
        </w:tc>
        <w:tc>
          <w:tcPr>
            <w:tcW w:w="815"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6</w:t>
            </w:r>
          </w:p>
        </w:tc>
        <w:tc>
          <w:tcPr>
            <w:tcW w:w="640"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96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699</w:t>
            </w:r>
          </w:p>
        </w:tc>
      </w:tr>
      <w:tr w:rsidR="0050124D" w:rsidRPr="003D7D86" w:rsidTr="0050124D">
        <w:trPr>
          <w:trHeight w:val="300"/>
        </w:trPr>
        <w:tc>
          <w:tcPr>
            <w:tcW w:w="2700" w:type="dxa"/>
            <w:tcBorders>
              <w:top w:val="nil"/>
              <w:left w:val="nil"/>
              <w:bottom w:val="nil"/>
              <w:right w:val="nil"/>
            </w:tcBorders>
            <w:shd w:val="clear" w:color="auto" w:fill="auto"/>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Notices and Certifications</w:t>
            </w:r>
          </w:p>
        </w:tc>
        <w:tc>
          <w:tcPr>
            <w:tcW w:w="262"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6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4</w:t>
            </w:r>
          </w:p>
        </w:tc>
        <w:tc>
          <w:tcPr>
            <w:tcW w:w="634"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0%</w:t>
            </w:r>
          </w:p>
        </w:tc>
        <w:tc>
          <w:tcPr>
            <w:tcW w:w="66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0%</w:t>
            </w:r>
          </w:p>
        </w:tc>
        <w:tc>
          <w:tcPr>
            <w:tcW w:w="78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4</w:t>
            </w:r>
          </w:p>
        </w:tc>
        <w:tc>
          <w:tcPr>
            <w:tcW w:w="8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2</w:t>
            </w:r>
          </w:p>
        </w:tc>
        <w:tc>
          <w:tcPr>
            <w:tcW w:w="263"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789"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16</w:t>
            </w:r>
          </w:p>
        </w:tc>
        <w:tc>
          <w:tcPr>
            <w:tcW w:w="815"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8</w:t>
            </w:r>
          </w:p>
        </w:tc>
        <w:tc>
          <w:tcPr>
            <w:tcW w:w="640"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96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1128</w:t>
            </w:r>
          </w:p>
        </w:tc>
      </w:tr>
      <w:tr w:rsidR="0050124D" w:rsidRPr="003D7D86" w:rsidTr="0050124D">
        <w:trPr>
          <w:trHeight w:val="300"/>
        </w:trPr>
        <w:tc>
          <w:tcPr>
            <w:tcW w:w="2700" w:type="dxa"/>
            <w:tcBorders>
              <w:top w:val="nil"/>
              <w:left w:val="nil"/>
              <w:bottom w:val="nil"/>
              <w:right w:val="nil"/>
            </w:tcBorders>
            <w:shd w:val="clear" w:color="auto" w:fill="auto"/>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Compliance Certification</w:t>
            </w:r>
          </w:p>
        </w:tc>
        <w:tc>
          <w:tcPr>
            <w:tcW w:w="262"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6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2</w:t>
            </w:r>
          </w:p>
        </w:tc>
        <w:tc>
          <w:tcPr>
            <w:tcW w:w="634"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0%</w:t>
            </w:r>
          </w:p>
        </w:tc>
        <w:tc>
          <w:tcPr>
            <w:tcW w:w="66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0%</w:t>
            </w:r>
          </w:p>
        </w:tc>
        <w:tc>
          <w:tcPr>
            <w:tcW w:w="787"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4</w:t>
            </w:r>
          </w:p>
        </w:tc>
        <w:tc>
          <w:tcPr>
            <w:tcW w:w="81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4</w:t>
            </w:r>
          </w:p>
        </w:tc>
        <w:tc>
          <w:tcPr>
            <w:tcW w:w="263"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789"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8</w:t>
            </w:r>
          </w:p>
        </w:tc>
        <w:tc>
          <w:tcPr>
            <w:tcW w:w="815"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8</w:t>
            </w:r>
          </w:p>
        </w:tc>
        <w:tc>
          <w:tcPr>
            <w:tcW w:w="640" w:type="dxa"/>
            <w:tcBorders>
              <w:top w:val="nil"/>
              <w:left w:val="nil"/>
              <w:bottom w:val="nil"/>
              <w:right w:val="nil"/>
            </w:tcBorders>
            <w:shd w:val="clear" w:color="auto" w:fill="auto"/>
            <w:noWrap/>
            <w:vAlign w:val="bottom"/>
            <w:hideMark/>
          </w:tcPr>
          <w:p w:rsidR="0050124D" w:rsidRPr="0050124D" w:rsidRDefault="0050124D">
            <w:pPr>
              <w:rPr>
                <w:rFonts w:ascii="Calibri" w:hAnsi="Calibri"/>
                <w:color w:val="000000"/>
                <w:sz w:val="16"/>
                <w:szCs w:val="16"/>
              </w:rPr>
            </w:pPr>
            <w:r w:rsidRPr="0050124D">
              <w:rPr>
                <w:rFonts w:ascii="Calibri" w:hAnsi="Calibri"/>
                <w:color w:val="000000"/>
                <w:sz w:val="16"/>
                <w:szCs w:val="16"/>
              </w:rPr>
              <w:t> </w:t>
            </w:r>
          </w:p>
        </w:tc>
        <w:tc>
          <w:tcPr>
            <w:tcW w:w="960" w:type="dxa"/>
            <w:tcBorders>
              <w:top w:val="nil"/>
              <w:left w:val="nil"/>
              <w:bottom w:val="nil"/>
              <w:right w:val="nil"/>
            </w:tcBorders>
            <w:shd w:val="clear" w:color="auto" w:fill="auto"/>
            <w:noWrap/>
            <w:vAlign w:val="bottom"/>
            <w:hideMark/>
          </w:tcPr>
          <w:p w:rsidR="0050124D" w:rsidRPr="0050124D" w:rsidRDefault="0050124D">
            <w:pPr>
              <w:jc w:val="right"/>
              <w:rPr>
                <w:rFonts w:ascii="Calibri" w:hAnsi="Calibri"/>
                <w:color w:val="000000"/>
                <w:sz w:val="16"/>
                <w:szCs w:val="16"/>
              </w:rPr>
            </w:pPr>
            <w:r w:rsidRPr="0050124D">
              <w:rPr>
                <w:rFonts w:ascii="Calibri" w:hAnsi="Calibri"/>
                <w:color w:val="000000"/>
                <w:sz w:val="16"/>
                <w:szCs w:val="16"/>
              </w:rPr>
              <w:t>736</w:t>
            </w:r>
          </w:p>
        </w:tc>
      </w:tr>
      <w:tr w:rsidR="0050124D" w:rsidRPr="003D7D86" w:rsidTr="0050124D">
        <w:trPr>
          <w:trHeight w:val="300"/>
        </w:trPr>
        <w:tc>
          <w:tcPr>
            <w:tcW w:w="2700" w:type="dxa"/>
            <w:tcBorders>
              <w:top w:val="single" w:sz="4" w:space="0" w:color="auto"/>
              <w:left w:val="nil"/>
              <w:bottom w:val="nil"/>
              <w:right w:val="nil"/>
            </w:tcBorders>
            <w:shd w:val="clear" w:color="auto" w:fill="auto"/>
            <w:noWrap/>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Total</w:t>
            </w:r>
          </w:p>
        </w:tc>
        <w:tc>
          <w:tcPr>
            <w:tcW w:w="262" w:type="dxa"/>
            <w:tcBorders>
              <w:top w:val="single" w:sz="4" w:space="0" w:color="auto"/>
              <w:left w:val="nil"/>
              <w:bottom w:val="nil"/>
              <w:right w:val="nil"/>
            </w:tcBorders>
            <w:shd w:val="clear" w:color="auto" w:fill="auto"/>
            <w:noWrap/>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 </w:t>
            </w:r>
          </w:p>
        </w:tc>
        <w:tc>
          <w:tcPr>
            <w:tcW w:w="610" w:type="dxa"/>
            <w:tcBorders>
              <w:top w:val="single" w:sz="4" w:space="0" w:color="auto"/>
              <w:left w:val="nil"/>
              <w:bottom w:val="nil"/>
              <w:right w:val="nil"/>
            </w:tcBorders>
            <w:shd w:val="clear" w:color="auto" w:fill="auto"/>
            <w:noWrap/>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 </w:t>
            </w:r>
          </w:p>
        </w:tc>
        <w:tc>
          <w:tcPr>
            <w:tcW w:w="634" w:type="dxa"/>
            <w:tcBorders>
              <w:top w:val="single" w:sz="4" w:space="0" w:color="auto"/>
              <w:left w:val="nil"/>
              <w:bottom w:val="nil"/>
              <w:right w:val="nil"/>
            </w:tcBorders>
            <w:shd w:val="clear" w:color="auto" w:fill="auto"/>
            <w:noWrap/>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 </w:t>
            </w:r>
          </w:p>
        </w:tc>
        <w:tc>
          <w:tcPr>
            <w:tcW w:w="667" w:type="dxa"/>
            <w:tcBorders>
              <w:top w:val="single" w:sz="4" w:space="0" w:color="auto"/>
              <w:left w:val="nil"/>
              <w:bottom w:val="nil"/>
              <w:right w:val="nil"/>
            </w:tcBorders>
            <w:shd w:val="clear" w:color="auto" w:fill="auto"/>
            <w:noWrap/>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 </w:t>
            </w:r>
          </w:p>
        </w:tc>
        <w:tc>
          <w:tcPr>
            <w:tcW w:w="787" w:type="dxa"/>
            <w:tcBorders>
              <w:top w:val="single" w:sz="4" w:space="0" w:color="auto"/>
              <w:left w:val="nil"/>
              <w:bottom w:val="nil"/>
              <w:right w:val="nil"/>
            </w:tcBorders>
            <w:shd w:val="clear" w:color="auto" w:fill="auto"/>
            <w:noWrap/>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 </w:t>
            </w:r>
          </w:p>
        </w:tc>
        <w:tc>
          <w:tcPr>
            <w:tcW w:w="810" w:type="dxa"/>
            <w:tcBorders>
              <w:top w:val="single" w:sz="4" w:space="0" w:color="auto"/>
              <w:left w:val="nil"/>
              <w:bottom w:val="nil"/>
              <w:right w:val="nil"/>
            </w:tcBorders>
            <w:shd w:val="clear" w:color="auto" w:fill="auto"/>
            <w:noWrap/>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 </w:t>
            </w:r>
          </w:p>
        </w:tc>
        <w:tc>
          <w:tcPr>
            <w:tcW w:w="263" w:type="dxa"/>
            <w:tcBorders>
              <w:top w:val="single" w:sz="4" w:space="0" w:color="auto"/>
              <w:left w:val="nil"/>
              <w:bottom w:val="nil"/>
              <w:right w:val="nil"/>
            </w:tcBorders>
            <w:shd w:val="clear" w:color="auto" w:fill="auto"/>
            <w:noWrap/>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 </w:t>
            </w:r>
          </w:p>
        </w:tc>
        <w:tc>
          <w:tcPr>
            <w:tcW w:w="789" w:type="dxa"/>
            <w:tcBorders>
              <w:top w:val="single" w:sz="4" w:space="0" w:color="auto"/>
              <w:left w:val="nil"/>
              <w:bottom w:val="nil"/>
              <w:right w:val="nil"/>
            </w:tcBorders>
            <w:shd w:val="clear" w:color="auto" w:fill="auto"/>
            <w:noWrap/>
            <w:vAlign w:val="bottom"/>
            <w:hideMark/>
          </w:tcPr>
          <w:p w:rsidR="0050124D" w:rsidRPr="0050124D" w:rsidRDefault="0050124D">
            <w:pPr>
              <w:jc w:val="right"/>
              <w:rPr>
                <w:rFonts w:ascii="Calibri" w:hAnsi="Calibri"/>
                <w:b/>
                <w:bCs/>
                <w:color w:val="000000"/>
                <w:sz w:val="16"/>
                <w:szCs w:val="16"/>
              </w:rPr>
            </w:pPr>
            <w:r w:rsidRPr="0050124D">
              <w:rPr>
                <w:rFonts w:ascii="Calibri" w:hAnsi="Calibri"/>
                <w:b/>
                <w:bCs/>
                <w:color w:val="000000"/>
                <w:sz w:val="16"/>
                <w:szCs w:val="16"/>
              </w:rPr>
              <w:t>307</w:t>
            </w:r>
          </w:p>
        </w:tc>
        <w:tc>
          <w:tcPr>
            <w:tcW w:w="815" w:type="dxa"/>
            <w:tcBorders>
              <w:top w:val="single" w:sz="4" w:space="0" w:color="auto"/>
              <w:left w:val="nil"/>
              <w:bottom w:val="nil"/>
              <w:right w:val="nil"/>
            </w:tcBorders>
            <w:shd w:val="clear" w:color="auto" w:fill="auto"/>
            <w:noWrap/>
            <w:vAlign w:val="bottom"/>
            <w:hideMark/>
          </w:tcPr>
          <w:p w:rsidR="0050124D" w:rsidRPr="0050124D" w:rsidRDefault="0050124D">
            <w:pPr>
              <w:jc w:val="right"/>
              <w:rPr>
                <w:rFonts w:ascii="Calibri" w:hAnsi="Calibri"/>
                <w:b/>
                <w:bCs/>
                <w:color w:val="000000"/>
                <w:sz w:val="16"/>
                <w:szCs w:val="16"/>
              </w:rPr>
            </w:pPr>
            <w:r w:rsidRPr="0050124D">
              <w:rPr>
                <w:rFonts w:ascii="Calibri" w:hAnsi="Calibri"/>
                <w:b/>
                <w:bCs/>
                <w:color w:val="000000"/>
                <w:sz w:val="16"/>
                <w:szCs w:val="16"/>
              </w:rPr>
              <w:t>258.75</w:t>
            </w:r>
          </w:p>
        </w:tc>
        <w:tc>
          <w:tcPr>
            <w:tcW w:w="640" w:type="dxa"/>
            <w:tcBorders>
              <w:top w:val="single" w:sz="4" w:space="0" w:color="auto"/>
              <w:left w:val="nil"/>
              <w:bottom w:val="nil"/>
              <w:right w:val="nil"/>
            </w:tcBorders>
            <w:shd w:val="clear" w:color="auto" w:fill="auto"/>
            <w:noWrap/>
            <w:vAlign w:val="bottom"/>
            <w:hideMark/>
          </w:tcPr>
          <w:p w:rsidR="0050124D" w:rsidRPr="0050124D" w:rsidRDefault="0050124D">
            <w:pPr>
              <w:rPr>
                <w:rFonts w:ascii="Calibri" w:hAnsi="Calibri"/>
                <w:b/>
                <w:bCs/>
                <w:color w:val="000000"/>
                <w:sz w:val="16"/>
                <w:szCs w:val="16"/>
              </w:rPr>
            </w:pPr>
            <w:r w:rsidRPr="0050124D">
              <w:rPr>
                <w:rFonts w:ascii="Calibri" w:hAnsi="Calibri"/>
                <w:b/>
                <w:bCs/>
                <w:color w:val="000000"/>
                <w:sz w:val="16"/>
                <w:szCs w:val="16"/>
              </w:rPr>
              <w:t> </w:t>
            </w:r>
          </w:p>
        </w:tc>
        <w:tc>
          <w:tcPr>
            <w:tcW w:w="960" w:type="dxa"/>
            <w:tcBorders>
              <w:top w:val="single" w:sz="4" w:space="0" w:color="auto"/>
              <w:left w:val="nil"/>
              <w:bottom w:val="nil"/>
              <w:right w:val="nil"/>
            </w:tcBorders>
            <w:shd w:val="clear" w:color="auto" w:fill="auto"/>
            <w:noWrap/>
            <w:vAlign w:val="bottom"/>
            <w:hideMark/>
          </w:tcPr>
          <w:p w:rsidR="0050124D" w:rsidRPr="0050124D" w:rsidRDefault="0050124D">
            <w:pPr>
              <w:jc w:val="right"/>
              <w:rPr>
                <w:rFonts w:ascii="Calibri" w:hAnsi="Calibri"/>
                <w:b/>
                <w:bCs/>
                <w:color w:val="000000"/>
                <w:sz w:val="16"/>
                <w:szCs w:val="16"/>
              </w:rPr>
            </w:pPr>
            <w:r w:rsidRPr="0050124D">
              <w:rPr>
                <w:rFonts w:ascii="Calibri" w:hAnsi="Calibri"/>
                <w:b/>
                <w:bCs/>
                <w:color w:val="000000"/>
                <w:sz w:val="16"/>
                <w:szCs w:val="16"/>
              </w:rPr>
              <w:t>26169.25</w:t>
            </w:r>
          </w:p>
        </w:tc>
      </w:tr>
    </w:tbl>
    <w:p w:rsidR="007E41B3" w:rsidRPr="00172F5F" w:rsidRDefault="007E41B3" w:rsidP="00172F5F">
      <w:pPr>
        <w:tabs>
          <w:tab w:val="left" w:pos="540"/>
        </w:tabs>
        <w:ind w:left="540" w:hanging="540"/>
      </w:pPr>
    </w:p>
    <w:p w:rsidR="00FB7F1C" w:rsidRPr="00172F5F" w:rsidRDefault="00961823" w:rsidP="00172F5F">
      <w:pPr>
        <w:pStyle w:val="ListParagraph"/>
        <w:keepNext/>
        <w:numPr>
          <w:ilvl w:val="0"/>
          <w:numId w:val="18"/>
        </w:numPr>
        <w:tabs>
          <w:tab w:val="left" w:pos="540"/>
        </w:tabs>
        <w:spacing w:after="0" w:line="240" w:lineRule="auto"/>
        <w:ind w:left="540" w:hanging="540"/>
        <w:rPr>
          <w:rFonts w:ascii="Times New Roman" w:hAnsi="Times New Roman"/>
          <w:sz w:val="24"/>
          <w:szCs w:val="24"/>
        </w:rPr>
      </w:pPr>
      <w:r w:rsidRPr="00172F5F">
        <w:rPr>
          <w:rFonts w:ascii="Times New Roman" w:hAnsi="Times New Roman"/>
          <w:sz w:val="24"/>
          <w:szCs w:val="24"/>
          <w:u w:val="single"/>
        </w:rPr>
        <w:t>Estimated total annual cost burden to respondents</w:t>
      </w:r>
      <w:r w:rsidR="00FB7F1C" w:rsidRPr="00172F5F">
        <w:rPr>
          <w:rFonts w:ascii="Times New Roman" w:hAnsi="Times New Roman"/>
          <w:sz w:val="24"/>
          <w:szCs w:val="24"/>
          <w:u w:val="single"/>
        </w:rPr>
        <w:t> </w:t>
      </w:r>
      <w:r w:rsidR="00FB7F1C" w:rsidRPr="00172F5F">
        <w:rPr>
          <w:rFonts w:ascii="Times New Roman" w:hAnsi="Times New Roman"/>
          <w:sz w:val="24"/>
          <w:szCs w:val="24"/>
        </w:rPr>
        <w:t> </w:t>
      </w:r>
    </w:p>
    <w:p w:rsidR="00961823" w:rsidRPr="00172F5F" w:rsidRDefault="00961823" w:rsidP="00172F5F">
      <w:pPr>
        <w:keepNext/>
        <w:tabs>
          <w:tab w:val="left" w:pos="540"/>
        </w:tabs>
        <w:ind w:left="540" w:hanging="540"/>
      </w:pPr>
    </w:p>
    <w:p w:rsidR="00961823" w:rsidRPr="00172F5F" w:rsidRDefault="00A10A09" w:rsidP="00172F5F">
      <w:r w:rsidRPr="00172F5F">
        <w:t>The</w:t>
      </w:r>
      <w:r w:rsidR="0044510E" w:rsidRPr="00172F5F">
        <w:t xml:space="preserve"> Department estimates that there</w:t>
      </w:r>
      <w:r w:rsidRPr="00172F5F">
        <w:t xml:space="preserve"> will be no </w:t>
      </w:r>
      <w:r w:rsidR="0050124D" w:rsidRPr="00172F5F">
        <w:t xml:space="preserve">significant </w:t>
      </w:r>
      <w:r w:rsidRPr="00172F5F">
        <w:t>annualized</w:t>
      </w:r>
      <w:r w:rsidR="000F53C2" w:rsidRPr="00172F5F">
        <w:t xml:space="preserve"> </w:t>
      </w:r>
      <w:r w:rsidRPr="00172F5F">
        <w:t>capital</w:t>
      </w:r>
      <w:r w:rsidR="000F53C2" w:rsidRPr="00172F5F">
        <w:t>/</w:t>
      </w:r>
      <w:r w:rsidRPr="00172F5F">
        <w:t>start-up costs</w:t>
      </w:r>
      <w:r w:rsidR="000F53C2" w:rsidRPr="00172F5F">
        <w:t xml:space="preserve"> for the respondents to collect and submit this information</w:t>
      </w:r>
      <w:r w:rsidR="0050124D" w:rsidRPr="00172F5F">
        <w:t xml:space="preserve"> aside from the costs associated with the time burden estimated above.</w:t>
      </w:r>
    </w:p>
    <w:p w:rsidR="00156E23" w:rsidRPr="00172F5F" w:rsidRDefault="00156E23" w:rsidP="00172F5F">
      <w:pPr>
        <w:tabs>
          <w:tab w:val="left" w:pos="540"/>
        </w:tabs>
        <w:ind w:left="540" w:hanging="540"/>
      </w:pPr>
    </w:p>
    <w:p w:rsidR="00961823" w:rsidRPr="00172F5F" w:rsidRDefault="00961823" w:rsidP="00172F5F">
      <w:pPr>
        <w:pStyle w:val="ListParagraph"/>
        <w:numPr>
          <w:ilvl w:val="0"/>
          <w:numId w:val="18"/>
        </w:numPr>
        <w:spacing w:after="0" w:line="240" w:lineRule="auto"/>
        <w:ind w:left="540" w:hanging="540"/>
        <w:rPr>
          <w:rFonts w:ascii="Times New Roman" w:hAnsi="Times New Roman"/>
          <w:sz w:val="24"/>
          <w:szCs w:val="24"/>
        </w:rPr>
      </w:pPr>
      <w:r w:rsidRPr="00172F5F">
        <w:rPr>
          <w:rFonts w:ascii="Times New Roman" w:hAnsi="Times New Roman"/>
          <w:sz w:val="24"/>
          <w:szCs w:val="24"/>
          <w:u w:val="single"/>
        </w:rPr>
        <w:t>Estimated cost to the federal government</w:t>
      </w:r>
      <w:r w:rsidRPr="00172F5F">
        <w:rPr>
          <w:rFonts w:ascii="Times New Roman" w:hAnsi="Times New Roman"/>
          <w:sz w:val="24"/>
          <w:szCs w:val="24"/>
        </w:rPr>
        <w:t>.</w:t>
      </w:r>
    </w:p>
    <w:p w:rsidR="00961823" w:rsidRPr="00172F5F" w:rsidRDefault="00961823" w:rsidP="00172F5F">
      <w:pPr>
        <w:tabs>
          <w:tab w:val="left" w:pos="540"/>
        </w:tabs>
        <w:ind w:left="540" w:hanging="540"/>
      </w:pPr>
    </w:p>
    <w:p w:rsidR="000F53C2" w:rsidRPr="00172F5F" w:rsidRDefault="000F53C2" w:rsidP="00172F5F">
      <w:r w:rsidRPr="00172F5F">
        <w:t>There will be no annualized capital/start-up costs for the government to receive this information.</w:t>
      </w:r>
    </w:p>
    <w:p w:rsidR="00961823" w:rsidRPr="00172F5F" w:rsidRDefault="00961823" w:rsidP="00172F5F">
      <w:pPr>
        <w:tabs>
          <w:tab w:val="left" w:pos="540"/>
        </w:tabs>
        <w:ind w:left="540" w:hanging="540"/>
      </w:pPr>
    </w:p>
    <w:p w:rsidR="00961823" w:rsidRPr="00172F5F" w:rsidRDefault="00961823" w:rsidP="00172F5F">
      <w:pPr>
        <w:pStyle w:val="ListParagraph"/>
        <w:keepNext/>
        <w:numPr>
          <w:ilvl w:val="0"/>
          <w:numId w:val="18"/>
        </w:numPr>
        <w:tabs>
          <w:tab w:val="left" w:pos="540"/>
        </w:tabs>
        <w:spacing w:after="0" w:line="240" w:lineRule="auto"/>
        <w:ind w:left="540" w:hanging="540"/>
        <w:rPr>
          <w:rFonts w:ascii="Times New Roman" w:hAnsi="Times New Roman"/>
          <w:sz w:val="24"/>
          <w:szCs w:val="24"/>
        </w:rPr>
      </w:pPr>
      <w:r w:rsidRPr="00172F5F">
        <w:rPr>
          <w:rFonts w:ascii="Times New Roman" w:hAnsi="Times New Roman"/>
          <w:sz w:val="24"/>
          <w:szCs w:val="24"/>
          <w:u w:val="single"/>
        </w:rPr>
        <w:t>Reasons for change in burden</w:t>
      </w:r>
    </w:p>
    <w:p w:rsidR="00961823" w:rsidRPr="00172F5F" w:rsidRDefault="00961823" w:rsidP="00172F5F">
      <w:pPr>
        <w:keepNext/>
        <w:tabs>
          <w:tab w:val="left" w:pos="540"/>
        </w:tabs>
        <w:ind w:left="540" w:hanging="540"/>
      </w:pPr>
    </w:p>
    <w:p w:rsidR="00156E23" w:rsidRPr="00172F5F" w:rsidRDefault="00C612CA" w:rsidP="00172F5F">
      <w:pPr>
        <w:tabs>
          <w:tab w:val="left" w:pos="540"/>
        </w:tabs>
        <w:ind w:left="540" w:hanging="540"/>
        <w:outlineLvl w:val="0"/>
      </w:pPr>
      <w:r>
        <w:t>This is an extension, without change, of a previously approved collection.</w:t>
      </w:r>
    </w:p>
    <w:p w:rsidR="00961823" w:rsidRPr="0025604D" w:rsidRDefault="00961823" w:rsidP="00172F5F">
      <w:pPr>
        <w:tabs>
          <w:tab w:val="left" w:pos="540"/>
        </w:tabs>
        <w:ind w:left="540" w:hanging="540"/>
      </w:pPr>
    </w:p>
    <w:p w:rsidR="00961823" w:rsidRPr="00172F5F" w:rsidRDefault="00961823" w:rsidP="00C612CA">
      <w:pPr>
        <w:pStyle w:val="ListParagraph"/>
        <w:keepNext/>
        <w:numPr>
          <w:ilvl w:val="0"/>
          <w:numId w:val="18"/>
        </w:numPr>
        <w:tabs>
          <w:tab w:val="left" w:pos="540"/>
        </w:tabs>
        <w:spacing w:after="0" w:line="240" w:lineRule="auto"/>
        <w:ind w:left="540" w:hanging="547"/>
        <w:rPr>
          <w:rFonts w:ascii="Times New Roman" w:hAnsi="Times New Roman"/>
          <w:sz w:val="24"/>
          <w:szCs w:val="24"/>
        </w:rPr>
      </w:pPr>
      <w:r w:rsidRPr="00172F5F">
        <w:rPr>
          <w:rFonts w:ascii="Times New Roman" w:hAnsi="Times New Roman"/>
          <w:sz w:val="24"/>
          <w:szCs w:val="24"/>
          <w:u w:val="single"/>
        </w:rPr>
        <w:lastRenderedPageBreak/>
        <w:t>Plans for tabulation, statistical analysis</w:t>
      </w:r>
      <w:r w:rsidR="00A2596F" w:rsidRPr="00172F5F">
        <w:rPr>
          <w:rFonts w:ascii="Times New Roman" w:hAnsi="Times New Roman"/>
          <w:sz w:val="24"/>
          <w:szCs w:val="24"/>
          <w:u w:val="single"/>
        </w:rPr>
        <w:t xml:space="preserve"> and publication</w:t>
      </w:r>
    </w:p>
    <w:p w:rsidR="00A2596F" w:rsidRPr="0025604D" w:rsidRDefault="00A2596F" w:rsidP="00C612CA">
      <w:pPr>
        <w:tabs>
          <w:tab w:val="left" w:pos="540"/>
        </w:tabs>
        <w:ind w:left="540" w:hanging="547"/>
      </w:pPr>
    </w:p>
    <w:p w:rsidR="00A2596F" w:rsidRPr="0025604D" w:rsidRDefault="00256911" w:rsidP="00C612CA">
      <w:pPr>
        <w:tabs>
          <w:tab w:val="left" w:pos="540"/>
        </w:tabs>
        <w:ind w:left="540" w:hanging="547"/>
        <w:outlineLvl w:val="0"/>
      </w:pPr>
      <w:r>
        <w:t xml:space="preserve">Not applicable.  </w:t>
      </w:r>
    </w:p>
    <w:p w:rsidR="00A2596F" w:rsidRPr="00C612CA" w:rsidRDefault="00A2596F" w:rsidP="00C612CA">
      <w:pPr>
        <w:tabs>
          <w:tab w:val="left" w:pos="540"/>
        </w:tabs>
        <w:ind w:left="547" w:hanging="547"/>
      </w:pPr>
    </w:p>
    <w:p w:rsidR="00C612CA" w:rsidRDefault="00C612CA">
      <w:pPr>
        <w:rPr>
          <w:u w:val="single"/>
        </w:rPr>
      </w:pPr>
      <w:r>
        <w:rPr>
          <w:u w:val="single"/>
        </w:rPr>
        <w:br w:type="page"/>
      </w:r>
    </w:p>
    <w:p w:rsidR="00A2596F" w:rsidRPr="00C612CA" w:rsidRDefault="00A2596F" w:rsidP="00C612CA">
      <w:pPr>
        <w:pStyle w:val="ListParagraph"/>
        <w:numPr>
          <w:ilvl w:val="0"/>
          <w:numId w:val="18"/>
        </w:numPr>
        <w:tabs>
          <w:tab w:val="left" w:pos="540"/>
        </w:tabs>
        <w:spacing w:after="0" w:line="240" w:lineRule="auto"/>
        <w:ind w:left="547" w:hanging="547"/>
        <w:rPr>
          <w:rFonts w:ascii="Times New Roman" w:hAnsi="Times New Roman"/>
          <w:sz w:val="24"/>
          <w:szCs w:val="24"/>
        </w:rPr>
      </w:pPr>
      <w:r w:rsidRPr="00C612CA">
        <w:rPr>
          <w:rFonts w:ascii="Times New Roman" w:hAnsi="Times New Roman"/>
          <w:sz w:val="24"/>
          <w:szCs w:val="24"/>
          <w:u w:val="single"/>
        </w:rPr>
        <w:t>Reasons why displaying the OMB expiration date is inappropriate</w:t>
      </w:r>
    </w:p>
    <w:p w:rsidR="00A2596F" w:rsidRPr="0025604D" w:rsidRDefault="00A2596F" w:rsidP="00C612CA">
      <w:pPr>
        <w:tabs>
          <w:tab w:val="left" w:pos="540"/>
        </w:tabs>
        <w:ind w:left="547" w:hanging="540"/>
      </w:pPr>
    </w:p>
    <w:p w:rsidR="00A2596F" w:rsidRPr="0025604D" w:rsidRDefault="009F6730" w:rsidP="00C612CA">
      <w:pPr>
        <w:ind w:hanging="7"/>
      </w:pPr>
      <w:r>
        <w:t xml:space="preserve">Treasury believes displaying an OMB expiration date on this collection will create the incorrect </w:t>
      </w:r>
      <w:r w:rsidR="003C0372">
        <w:t>perception</w:t>
      </w:r>
      <w:r>
        <w:t xml:space="preserve"> that this information request is to run for a shorter term than the programs of the HFA Initiative.  Treasury intends to renew this ICR as long as the information remains necessary to protect the taxpayer, and accordingly and believes it would create confusion to imply otherwise.</w:t>
      </w:r>
    </w:p>
    <w:p w:rsidR="00A2596F" w:rsidRPr="00C612CA" w:rsidRDefault="00A2596F" w:rsidP="00C612CA">
      <w:pPr>
        <w:tabs>
          <w:tab w:val="left" w:pos="540"/>
        </w:tabs>
        <w:ind w:left="540" w:hanging="540"/>
      </w:pPr>
    </w:p>
    <w:p w:rsidR="00A2596F" w:rsidRPr="00C612CA" w:rsidRDefault="00A2596F" w:rsidP="00C612CA">
      <w:pPr>
        <w:pStyle w:val="ListParagraph"/>
        <w:numPr>
          <w:ilvl w:val="0"/>
          <w:numId w:val="18"/>
        </w:numPr>
        <w:tabs>
          <w:tab w:val="left" w:pos="540"/>
        </w:tabs>
        <w:spacing w:after="0" w:line="240" w:lineRule="auto"/>
        <w:ind w:left="540" w:hanging="540"/>
        <w:rPr>
          <w:rFonts w:ascii="Times New Roman" w:hAnsi="Times New Roman"/>
        </w:rPr>
      </w:pPr>
      <w:r w:rsidRPr="00C612CA">
        <w:rPr>
          <w:rFonts w:ascii="Times New Roman" w:hAnsi="Times New Roman"/>
          <w:u w:val="single"/>
        </w:rPr>
        <w:t>Exceptions to certification requirement of OMB Form 83-I</w:t>
      </w:r>
    </w:p>
    <w:p w:rsidR="00A2596F" w:rsidRPr="00C612CA" w:rsidRDefault="00A2596F" w:rsidP="00C612CA">
      <w:pPr>
        <w:tabs>
          <w:tab w:val="left" w:pos="540"/>
        </w:tabs>
      </w:pPr>
    </w:p>
    <w:p w:rsidR="00156E23" w:rsidRPr="0025604D" w:rsidRDefault="000E1F44" w:rsidP="00A90BAB">
      <w:r w:rsidRPr="0025604D">
        <w:t>Regarding this request for OMB approval, there are no exceptions to the certification statement in item 19 of Form 83-I.</w:t>
      </w:r>
    </w:p>
    <w:p w:rsidR="00271992" w:rsidRPr="0025604D" w:rsidRDefault="00271992" w:rsidP="00CB003A"/>
    <w:p w:rsidR="00A2596F" w:rsidRPr="0025604D" w:rsidRDefault="00A2596F" w:rsidP="00CB003A"/>
    <w:sectPr w:rsidR="00A2596F" w:rsidRPr="0025604D" w:rsidSect="00C612CA">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F5F" w:rsidRDefault="00172F5F">
      <w:r>
        <w:separator/>
      </w:r>
    </w:p>
  </w:endnote>
  <w:endnote w:type="continuationSeparator" w:id="0">
    <w:p w:rsidR="00172F5F" w:rsidRDefault="00172F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F5F" w:rsidRDefault="00172F5F"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72F5F" w:rsidRDefault="00172F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F5F" w:rsidRDefault="00172F5F"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2C03">
      <w:rPr>
        <w:rStyle w:val="PageNumber"/>
        <w:noProof/>
      </w:rPr>
      <w:t>6</w:t>
    </w:r>
    <w:r>
      <w:rPr>
        <w:rStyle w:val="PageNumber"/>
      </w:rPr>
      <w:fldChar w:fldCharType="end"/>
    </w:r>
  </w:p>
  <w:p w:rsidR="00172F5F" w:rsidRDefault="00172F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F5F" w:rsidRDefault="00172F5F">
      <w:r>
        <w:separator/>
      </w:r>
    </w:p>
  </w:footnote>
  <w:footnote w:type="continuationSeparator" w:id="0">
    <w:p w:rsidR="00172F5F" w:rsidRDefault="00172F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700B3"/>
    <w:multiLevelType w:val="hybridMultilevel"/>
    <w:tmpl w:val="F58A39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A96212"/>
    <w:multiLevelType w:val="hybridMultilevel"/>
    <w:tmpl w:val="44C00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99C70B0"/>
    <w:multiLevelType w:val="hybridMultilevel"/>
    <w:tmpl w:val="BDF84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D273B6D"/>
    <w:multiLevelType w:val="hybridMultilevel"/>
    <w:tmpl w:val="4FE4371E"/>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AC5B75"/>
    <w:multiLevelType w:val="hybridMultilevel"/>
    <w:tmpl w:val="820EDC7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5AD2714"/>
    <w:multiLevelType w:val="hybridMultilevel"/>
    <w:tmpl w:val="8F844A18"/>
    <w:lvl w:ilvl="0" w:tplc="78E4325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34F797B"/>
    <w:multiLevelType w:val="hybridMultilevel"/>
    <w:tmpl w:val="22DEF6B4"/>
    <w:lvl w:ilvl="0" w:tplc="8CA40C2A">
      <w:start w:val="12"/>
      <w:numFmt w:val="decimal"/>
      <w:lvlText w:val="%1."/>
      <w:lvlJc w:val="left"/>
      <w:pPr>
        <w:tabs>
          <w:tab w:val="num" w:pos="780"/>
        </w:tabs>
        <w:ind w:left="780" w:hanging="4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4"/>
  </w:num>
  <w:num w:numId="3">
    <w:abstractNumId w:val="17"/>
  </w:num>
  <w:num w:numId="4">
    <w:abstractNumId w:val="7"/>
  </w:num>
  <w:num w:numId="5">
    <w:abstractNumId w:val="16"/>
  </w:num>
  <w:num w:numId="6">
    <w:abstractNumId w:val="6"/>
  </w:num>
  <w:num w:numId="7">
    <w:abstractNumId w:val="2"/>
  </w:num>
  <w:num w:numId="8">
    <w:abstractNumId w:val="11"/>
  </w:num>
  <w:num w:numId="9">
    <w:abstractNumId w:val="10"/>
  </w:num>
  <w:num w:numId="10">
    <w:abstractNumId w:val="13"/>
  </w:num>
  <w:num w:numId="11">
    <w:abstractNumId w:val="3"/>
  </w:num>
  <w:num w:numId="12">
    <w:abstractNumId w:val="8"/>
  </w:num>
  <w:num w:numId="13">
    <w:abstractNumId w:val="0"/>
  </w:num>
  <w:num w:numId="14">
    <w:abstractNumId w:val="15"/>
  </w:num>
  <w:num w:numId="15">
    <w:abstractNumId w:val="12"/>
  </w:num>
  <w:num w:numId="16">
    <w:abstractNumId w:val="5"/>
  </w:num>
  <w:num w:numId="17">
    <w:abstractNumId w:val="1"/>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B50861"/>
    <w:rsid w:val="0001560A"/>
    <w:rsid w:val="00022F56"/>
    <w:rsid w:val="00043B98"/>
    <w:rsid w:val="00045A29"/>
    <w:rsid w:val="000536C4"/>
    <w:rsid w:val="00073704"/>
    <w:rsid w:val="000B0264"/>
    <w:rsid w:val="000B55E8"/>
    <w:rsid w:val="000D7FB0"/>
    <w:rsid w:val="000E0109"/>
    <w:rsid w:val="000E1F44"/>
    <w:rsid w:val="000F2AE6"/>
    <w:rsid w:val="000F32C0"/>
    <w:rsid w:val="000F53C2"/>
    <w:rsid w:val="00105553"/>
    <w:rsid w:val="001220C5"/>
    <w:rsid w:val="00147A26"/>
    <w:rsid w:val="00156E23"/>
    <w:rsid w:val="00161711"/>
    <w:rsid w:val="00172F5F"/>
    <w:rsid w:val="001819F2"/>
    <w:rsid w:val="00181F21"/>
    <w:rsid w:val="0018375D"/>
    <w:rsid w:val="001A2486"/>
    <w:rsid w:val="001A7C52"/>
    <w:rsid w:val="001D609C"/>
    <w:rsid w:val="001E4BCF"/>
    <w:rsid w:val="001F4F6F"/>
    <w:rsid w:val="00204698"/>
    <w:rsid w:val="0024000F"/>
    <w:rsid w:val="0025604D"/>
    <w:rsid w:val="00256911"/>
    <w:rsid w:val="00271992"/>
    <w:rsid w:val="002B2B99"/>
    <w:rsid w:val="002C2A5D"/>
    <w:rsid w:val="002E0DDC"/>
    <w:rsid w:val="002F435B"/>
    <w:rsid w:val="002F4C96"/>
    <w:rsid w:val="00312568"/>
    <w:rsid w:val="003265D6"/>
    <w:rsid w:val="00353C2F"/>
    <w:rsid w:val="00355292"/>
    <w:rsid w:val="00364917"/>
    <w:rsid w:val="00365005"/>
    <w:rsid w:val="00380639"/>
    <w:rsid w:val="00382984"/>
    <w:rsid w:val="003874C3"/>
    <w:rsid w:val="00394A61"/>
    <w:rsid w:val="003C0372"/>
    <w:rsid w:val="003C068B"/>
    <w:rsid w:val="003C1AB8"/>
    <w:rsid w:val="003D7D86"/>
    <w:rsid w:val="003E03C4"/>
    <w:rsid w:val="003F3118"/>
    <w:rsid w:val="00406DAA"/>
    <w:rsid w:val="00422F85"/>
    <w:rsid w:val="00437371"/>
    <w:rsid w:val="00441AB7"/>
    <w:rsid w:val="004435F6"/>
    <w:rsid w:val="0044510E"/>
    <w:rsid w:val="00445C4A"/>
    <w:rsid w:val="00460B20"/>
    <w:rsid w:val="00475731"/>
    <w:rsid w:val="004B06B5"/>
    <w:rsid w:val="004E6996"/>
    <w:rsid w:val="004F5145"/>
    <w:rsid w:val="0050124D"/>
    <w:rsid w:val="00534EA9"/>
    <w:rsid w:val="00535AD0"/>
    <w:rsid w:val="005366FC"/>
    <w:rsid w:val="00572D2C"/>
    <w:rsid w:val="00584BEB"/>
    <w:rsid w:val="00590AD2"/>
    <w:rsid w:val="005C74A2"/>
    <w:rsid w:val="005F21AA"/>
    <w:rsid w:val="0060168D"/>
    <w:rsid w:val="006049CB"/>
    <w:rsid w:val="0060663C"/>
    <w:rsid w:val="00610580"/>
    <w:rsid w:val="00612025"/>
    <w:rsid w:val="006137E1"/>
    <w:rsid w:val="00633442"/>
    <w:rsid w:val="0064051D"/>
    <w:rsid w:val="006536E9"/>
    <w:rsid w:val="00657A83"/>
    <w:rsid w:val="00666B6D"/>
    <w:rsid w:val="006B22D1"/>
    <w:rsid w:val="006B3E5B"/>
    <w:rsid w:val="006F02DD"/>
    <w:rsid w:val="006F3E09"/>
    <w:rsid w:val="006F5284"/>
    <w:rsid w:val="00707BDE"/>
    <w:rsid w:val="00714C3D"/>
    <w:rsid w:val="00775C08"/>
    <w:rsid w:val="007773B0"/>
    <w:rsid w:val="00795CCA"/>
    <w:rsid w:val="00795DDF"/>
    <w:rsid w:val="007B0A16"/>
    <w:rsid w:val="007B402F"/>
    <w:rsid w:val="007E41B3"/>
    <w:rsid w:val="007E69B3"/>
    <w:rsid w:val="007F0335"/>
    <w:rsid w:val="00840E1B"/>
    <w:rsid w:val="00845E1D"/>
    <w:rsid w:val="00856DD0"/>
    <w:rsid w:val="008961E6"/>
    <w:rsid w:val="008A5AEA"/>
    <w:rsid w:val="008B7CB1"/>
    <w:rsid w:val="00914F6D"/>
    <w:rsid w:val="00920A07"/>
    <w:rsid w:val="00921EA8"/>
    <w:rsid w:val="00950A9E"/>
    <w:rsid w:val="00961823"/>
    <w:rsid w:val="00983B56"/>
    <w:rsid w:val="00986077"/>
    <w:rsid w:val="00990870"/>
    <w:rsid w:val="00997B6C"/>
    <w:rsid w:val="009D5B6E"/>
    <w:rsid w:val="009F45CC"/>
    <w:rsid w:val="009F4D1C"/>
    <w:rsid w:val="009F6730"/>
    <w:rsid w:val="00A10A09"/>
    <w:rsid w:val="00A2596F"/>
    <w:rsid w:val="00A54D20"/>
    <w:rsid w:val="00A67505"/>
    <w:rsid w:val="00A90BAB"/>
    <w:rsid w:val="00AA3C13"/>
    <w:rsid w:val="00AE7B3E"/>
    <w:rsid w:val="00AF437A"/>
    <w:rsid w:val="00B002FE"/>
    <w:rsid w:val="00B50861"/>
    <w:rsid w:val="00B54683"/>
    <w:rsid w:val="00B61494"/>
    <w:rsid w:val="00B669F3"/>
    <w:rsid w:val="00B716A8"/>
    <w:rsid w:val="00B73FFF"/>
    <w:rsid w:val="00BA03A3"/>
    <w:rsid w:val="00BA1116"/>
    <w:rsid w:val="00BA59A6"/>
    <w:rsid w:val="00BB7E9C"/>
    <w:rsid w:val="00C0391A"/>
    <w:rsid w:val="00C12766"/>
    <w:rsid w:val="00C322A1"/>
    <w:rsid w:val="00C36F16"/>
    <w:rsid w:val="00C60DF5"/>
    <w:rsid w:val="00C612CA"/>
    <w:rsid w:val="00C63059"/>
    <w:rsid w:val="00C75252"/>
    <w:rsid w:val="00C809FC"/>
    <w:rsid w:val="00C954EA"/>
    <w:rsid w:val="00CB003A"/>
    <w:rsid w:val="00CC0B33"/>
    <w:rsid w:val="00CC4534"/>
    <w:rsid w:val="00CE2D06"/>
    <w:rsid w:val="00CE5780"/>
    <w:rsid w:val="00D1560A"/>
    <w:rsid w:val="00D4066C"/>
    <w:rsid w:val="00D63439"/>
    <w:rsid w:val="00DA5F5B"/>
    <w:rsid w:val="00DB2C03"/>
    <w:rsid w:val="00E20513"/>
    <w:rsid w:val="00E45588"/>
    <w:rsid w:val="00E57D3C"/>
    <w:rsid w:val="00E71397"/>
    <w:rsid w:val="00E8070F"/>
    <w:rsid w:val="00E8455B"/>
    <w:rsid w:val="00E92A39"/>
    <w:rsid w:val="00E92B8B"/>
    <w:rsid w:val="00EB38BE"/>
    <w:rsid w:val="00EB5E62"/>
    <w:rsid w:val="00ED1367"/>
    <w:rsid w:val="00EE0B0E"/>
    <w:rsid w:val="00EE295C"/>
    <w:rsid w:val="00EE2E62"/>
    <w:rsid w:val="00F06A3C"/>
    <w:rsid w:val="00F21F8C"/>
    <w:rsid w:val="00F24F5A"/>
    <w:rsid w:val="00F27C5F"/>
    <w:rsid w:val="00F31337"/>
    <w:rsid w:val="00F41911"/>
    <w:rsid w:val="00F51DC7"/>
    <w:rsid w:val="00F72D0B"/>
    <w:rsid w:val="00F761CE"/>
    <w:rsid w:val="00F8520C"/>
    <w:rsid w:val="00F874A6"/>
    <w:rsid w:val="00FB7F1C"/>
    <w:rsid w:val="00FC174E"/>
    <w:rsid w:val="00FC2B60"/>
    <w:rsid w:val="00FC4E29"/>
    <w:rsid w:val="00FD0BF8"/>
    <w:rsid w:val="00FF12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7B6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0B55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F06A3C"/>
    <w:pPr>
      <w:shd w:val="clear" w:color="auto" w:fill="000080"/>
    </w:pPr>
    <w:rPr>
      <w:rFonts w:ascii="Tahoma" w:hAnsi="Tahoma" w:cs="Tahoma"/>
      <w:sz w:val="20"/>
      <w:szCs w:val="20"/>
    </w:rPr>
  </w:style>
  <w:style w:type="character" w:styleId="CommentReference">
    <w:name w:val="annotation reference"/>
    <w:basedOn w:val="DefaultParagraphFont"/>
    <w:semiHidden/>
    <w:rsid w:val="00F06A3C"/>
    <w:rPr>
      <w:sz w:val="16"/>
      <w:szCs w:val="16"/>
    </w:rPr>
  </w:style>
  <w:style w:type="paragraph" w:styleId="CommentText">
    <w:name w:val="annotation text"/>
    <w:basedOn w:val="Normal"/>
    <w:semiHidden/>
    <w:rsid w:val="00F06A3C"/>
    <w:rPr>
      <w:sz w:val="20"/>
      <w:szCs w:val="20"/>
    </w:rPr>
  </w:style>
  <w:style w:type="paragraph" w:styleId="CommentSubject">
    <w:name w:val="annotation subject"/>
    <w:basedOn w:val="CommentText"/>
    <w:next w:val="CommentText"/>
    <w:semiHidden/>
    <w:rsid w:val="00F06A3C"/>
    <w:rPr>
      <w:b/>
      <w:bCs/>
    </w:rPr>
  </w:style>
  <w:style w:type="paragraph" w:styleId="ListParagraph">
    <w:name w:val="List Paragraph"/>
    <w:basedOn w:val="Normal"/>
    <w:qFormat/>
    <w:rsid w:val="002E0DDC"/>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472253219">
      <w:bodyDiv w:val="1"/>
      <w:marLeft w:val="0"/>
      <w:marRight w:val="0"/>
      <w:marTop w:val="0"/>
      <w:marBottom w:val="0"/>
      <w:divBdr>
        <w:top w:val="none" w:sz="0" w:space="0" w:color="auto"/>
        <w:left w:val="none" w:sz="0" w:space="0" w:color="auto"/>
        <w:bottom w:val="none" w:sz="0" w:space="0" w:color="auto"/>
        <w:right w:val="none" w:sz="0" w:space="0" w:color="auto"/>
      </w:divBdr>
    </w:div>
    <w:div w:id="111223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1909</Words>
  <Characters>10387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Department of the Treasury, Departmental Offices</vt:lpstr>
    </vt:vector>
  </TitlesOfParts>
  <Company>U.S. Department of the Treasury</Company>
  <LinksUpToDate>false</LinksUpToDate>
  <CharactersWithSpaces>12272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Departmental Offices</dc:title>
  <dc:creator>reeseci</dc:creator>
  <cp:lastModifiedBy>Reference</cp:lastModifiedBy>
  <cp:revision>3</cp:revision>
  <cp:lastPrinted>2011-03-30T14:12:00Z</cp:lastPrinted>
  <dcterms:created xsi:type="dcterms:W3CDTF">2011-03-30T14:12:00Z</dcterms:created>
  <dcterms:modified xsi:type="dcterms:W3CDTF">2011-03-30T14:14:00Z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1240379715</vt:i4>
  </property>
  <property fmtid="{D5CDD505-2E9C-101B-9397-08002B2CF9AE}" pid="3" name="_ReviewCycleID">
    <vt:i4>1240379715</vt:i4>
  </property>
  <property fmtid="{D5CDD505-2E9C-101B-9397-08002B2CF9AE}" pid="4" name="_NewReviewCycle">
    <vt:lpwstr/>
  </property>
  <property fmtid="{D5CDD505-2E9C-101B-9397-08002B2CF9AE}" pid="5" name="_EmailEntryID">
    <vt:lpwstr>000000008BB89D5A7DBF8D4A9A2B7C415AE52A1F070072982944BDF81C4ABDB4F35A9CE7961B000006F65BF800002D30BFFD157D8F458C886528C2E909E80000027D02A70000</vt:lpwstr>
  </property>
  <property fmtid="{D5CDD505-2E9C-101B-9397-08002B2CF9AE}" pid="6" name="_EmailStoreID0">
    <vt:lpwstr>0000000038A1BB1005E5101AA1BB08002B2A56C20000454D534D44422E444C4C00000000000000001B55FA20AA6611CD9BC800AA002FC45A0C000000534D4F4D423032455653002F6F3D454F502F6F753D46697273742041646D696E6973747261746976652047726F75702F636E3D526563697069656E74732F636E3D54657</vt:lpwstr>
  </property>
  <property fmtid="{D5CDD505-2E9C-101B-9397-08002B2CF9AE}" pid="7" name="_EmailStoreID1">
    <vt:lpwstr>272695F422E5F5061796E6500</vt:lpwstr>
  </property>
  <property fmtid="{D5CDD505-2E9C-101B-9397-08002B2CF9AE}" pid="8" name="_ReviewingToolsShownOnce">
    <vt:lpwstr/>
  </property>
</Properties>
</file>