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9B544" w14:textId="5945FDBD" w:rsidR="00FD5E3B" w:rsidRDefault="0031543D" w:rsidP="00C71F9E">
      <w:pPr>
        <w:jc w:val="center"/>
        <w:rPr>
          <w:b/>
        </w:rPr>
      </w:pPr>
      <w:r>
        <w:rPr>
          <w:b/>
        </w:rPr>
        <w:t xml:space="preserve">EFT </w:t>
      </w:r>
      <w:r w:rsidR="00FD5E3B">
        <w:rPr>
          <w:b/>
        </w:rPr>
        <w:t>Tax Refund Motivation Research –</w:t>
      </w:r>
      <w:r w:rsidR="002232E6">
        <w:rPr>
          <w:b/>
        </w:rPr>
        <w:t xml:space="preserve"> Inc</w:t>
      </w:r>
      <w:r w:rsidR="00FD5E3B">
        <w:rPr>
          <w:b/>
        </w:rPr>
        <w:t>entive Rationale</w:t>
      </w:r>
    </w:p>
    <w:p w14:paraId="302BC6E6" w14:textId="77777777" w:rsidR="00FD5E3B" w:rsidRDefault="00FD5E3B" w:rsidP="00C71F9E">
      <w:pPr>
        <w:jc w:val="center"/>
        <w:rPr>
          <w:b/>
        </w:rPr>
      </w:pPr>
      <w:r>
        <w:rPr>
          <w:b/>
        </w:rPr>
        <w:t>Qualitative Phase</w:t>
      </w:r>
    </w:p>
    <w:p w14:paraId="1A7A2D30" w14:textId="77777777" w:rsidR="00FD5E3B" w:rsidRDefault="00FD5E3B" w:rsidP="00C71F9E">
      <w:pPr>
        <w:jc w:val="center"/>
        <w:rPr>
          <w:b/>
        </w:rPr>
      </w:pPr>
    </w:p>
    <w:p w14:paraId="5C2456CA" w14:textId="7C1539A1" w:rsidR="00FD5E3B" w:rsidRDefault="002A123D" w:rsidP="00C71F9E">
      <w:pPr>
        <w:jc w:val="center"/>
        <w:rPr>
          <w:b/>
        </w:rPr>
      </w:pPr>
      <w:bookmarkStart w:id="0" w:name="_GoBack"/>
      <w:bookmarkEnd w:id="0"/>
      <w:r>
        <w:rPr>
          <w:b/>
        </w:rPr>
        <w:t>Updated May 6, 2014</w:t>
      </w:r>
    </w:p>
    <w:p w14:paraId="792260BE" w14:textId="77777777" w:rsidR="00FD5E3B" w:rsidRDefault="00FD5E3B" w:rsidP="00FD5E3B">
      <w:pPr>
        <w:widowControl w:val="0"/>
        <w:autoSpaceDE w:val="0"/>
        <w:autoSpaceDN w:val="0"/>
        <w:adjustRightInd w:val="0"/>
        <w:rPr>
          <w:rFonts w:cs="Arial"/>
          <w:sz w:val="22"/>
          <w:szCs w:val="22"/>
        </w:rPr>
      </w:pPr>
    </w:p>
    <w:p w14:paraId="36E63F4D" w14:textId="77777777" w:rsidR="00FD5E3B" w:rsidRDefault="00FD5E3B" w:rsidP="00FD5E3B">
      <w:pPr>
        <w:widowControl w:val="0"/>
        <w:autoSpaceDE w:val="0"/>
        <w:autoSpaceDN w:val="0"/>
        <w:adjustRightInd w:val="0"/>
        <w:rPr>
          <w:rFonts w:cs="Arial"/>
          <w:sz w:val="22"/>
          <w:szCs w:val="22"/>
        </w:rPr>
      </w:pPr>
    </w:p>
    <w:p w14:paraId="3A174491" w14:textId="62F0F453"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xml:space="preserve">The following provides rationale for the incentives we propose to pay </w:t>
      </w:r>
      <w:r w:rsidR="002232E6">
        <w:rPr>
          <w:sz w:val="22"/>
        </w:rPr>
        <w:t>the participants in these focus groups who will be taxpayers who presently receive refunds via paper check and tax preparers</w:t>
      </w:r>
      <w:r w:rsidRPr="00FD5E3B">
        <w:rPr>
          <w:rFonts w:cs="Arial"/>
          <w:sz w:val="22"/>
          <w:szCs w:val="22"/>
        </w:rPr>
        <w:t>. The rates are based on the pr</w:t>
      </w:r>
      <w:r w:rsidR="000871EB">
        <w:rPr>
          <w:rFonts w:cs="Arial"/>
          <w:sz w:val="22"/>
          <w:szCs w:val="22"/>
        </w:rPr>
        <w:t>evailing rates for the location.</w:t>
      </w:r>
    </w:p>
    <w:p w14:paraId="29AE2F1E"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1A524D78"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xml:space="preserve">This is a piece of market research designed to </w:t>
      </w:r>
      <w:r w:rsidR="002E423A">
        <w:rPr>
          <w:sz w:val="22"/>
        </w:rPr>
        <w:t>identify underlying motivations among taxpayers for continuing to opt for paper check refunds instead of receiving refunds via direct deposit when submitting their federal income tax forms.</w:t>
      </w:r>
    </w:p>
    <w:p w14:paraId="6272B794"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65F99170"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In the case of focus groups, there is an established pattern of costing based on collective recruiting experience.  The research industry does not typically conduct feasibility studies with individual market research projects to determine optimal incentive rates.  Such market research projects typically don’t have the budget for research-on research testing.  But this is a market-driven process.  We have two pieces of information guiding this: our own experience and the bid/ask experience in the marketplace. </w:t>
      </w:r>
    </w:p>
    <w:p w14:paraId="324D6C60" w14:textId="6806CD04" w:rsidR="00FD5E3B" w:rsidRPr="002E423A" w:rsidRDefault="00FD5E3B" w:rsidP="002E423A">
      <w:pPr>
        <w:pStyle w:val="ListParagraph"/>
        <w:widowControl w:val="0"/>
        <w:numPr>
          <w:ilvl w:val="0"/>
          <w:numId w:val="1"/>
        </w:numPr>
        <w:autoSpaceDE w:val="0"/>
        <w:autoSpaceDN w:val="0"/>
        <w:adjustRightInd w:val="0"/>
        <w:rPr>
          <w:rFonts w:cs="Arial"/>
          <w:sz w:val="22"/>
          <w:szCs w:val="22"/>
        </w:rPr>
      </w:pPr>
      <w:r w:rsidRPr="002E423A">
        <w:rPr>
          <w:rFonts w:cs="Arial"/>
          <w:sz w:val="22"/>
          <w:szCs w:val="22"/>
        </w:rPr>
        <w:t>Artemis Strategy Group is a mainstream research organization whose leaders each have 25</w:t>
      </w:r>
      <w:r w:rsidR="00D017E1">
        <w:rPr>
          <w:rFonts w:cs="Arial"/>
          <w:sz w:val="22"/>
          <w:szCs w:val="22"/>
        </w:rPr>
        <w:t>+ years</w:t>
      </w:r>
      <w:r w:rsidRPr="002E423A">
        <w:rPr>
          <w:rFonts w:cs="Arial"/>
          <w:sz w:val="22"/>
          <w:szCs w:val="22"/>
        </w:rPr>
        <w:t xml:space="preserve"> experience conducting these kinds </w:t>
      </w:r>
      <w:r w:rsidR="00D017E1">
        <w:rPr>
          <w:rFonts w:cs="Arial"/>
          <w:sz w:val="22"/>
          <w:szCs w:val="22"/>
        </w:rPr>
        <w:t>of qualitative research studies</w:t>
      </w:r>
      <w:r w:rsidRPr="002E423A">
        <w:rPr>
          <w:rFonts w:cs="Arial"/>
          <w:sz w:val="22"/>
          <w:szCs w:val="22"/>
        </w:rPr>
        <w:t xml:space="preserve"> for private and public sector clients. </w:t>
      </w:r>
    </w:p>
    <w:p w14:paraId="5F436DEC" w14:textId="01CA5D6F" w:rsidR="00FD5E3B" w:rsidRPr="002E423A" w:rsidRDefault="00FD5E3B" w:rsidP="002E423A">
      <w:pPr>
        <w:pStyle w:val="ListParagraph"/>
        <w:widowControl w:val="0"/>
        <w:numPr>
          <w:ilvl w:val="0"/>
          <w:numId w:val="1"/>
        </w:numPr>
        <w:autoSpaceDE w:val="0"/>
        <w:autoSpaceDN w:val="0"/>
        <w:adjustRightInd w:val="0"/>
        <w:rPr>
          <w:rFonts w:cs="Arial"/>
          <w:sz w:val="22"/>
          <w:szCs w:val="22"/>
        </w:rPr>
      </w:pPr>
      <w:r w:rsidRPr="002E423A">
        <w:rPr>
          <w:rFonts w:cs="Arial"/>
          <w:sz w:val="22"/>
          <w:szCs w:val="22"/>
        </w:rPr>
        <w:t xml:space="preserve">The market provides the primary basis for pricing.  In major U.S. cities there are typically a handful of organizations that provide the recruiting services for focus groups.  They respond to our specifications and bid against each other to conduct this kind of work.  They are highly competitive with each other, and we negotiate with them to find the best deal.  </w:t>
      </w:r>
      <w:r w:rsidR="00954D7E">
        <w:rPr>
          <w:rFonts w:cs="Arial"/>
          <w:sz w:val="22"/>
          <w:szCs w:val="22"/>
        </w:rPr>
        <w:t xml:space="preserve">Attached is </w:t>
      </w:r>
      <w:r w:rsidRPr="002E423A">
        <w:rPr>
          <w:rFonts w:cs="Arial"/>
          <w:sz w:val="22"/>
          <w:szCs w:val="22"/>
        </w:rPr>
        <w:t>a spreadsheet showing the proposed incentive rates for these audiences. These organizations represent the primary entities in these cities doing this kind of work. </w:t>
      </w:r>
    </w:p>
    <w:p w14:paraId="38DCE8C7"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68DE10C2" w14:textId="30481D3F" w:rsidR="008653F0" w:rsidRDefault="008653F0" w:rsidP="00003506">
      <w:pPr>
        <w:widowControl w:val="0"/>
        <w:autoSpaceDE w:val="0"/>
        <w:autoSpaceDN w:val="0"/>
        <w:adjustRightInd w:val="0"/>
        <w:rPr>
          <w:rFonts w:cs="Arial"/>
          <w:sz w:val="22"/>
          <w:szCs w:val="22"/>
        </w:rPr>
      </w:pPr>
      <w:r>
        <w:rPr>
          <w:rFonts w:cs="Arial"/>
          <w:sz w:val="22"/>
          <w:szCs w:val="22"/>
        </w:rPr>
        <w:t xml:space="preserve">The incentive amount proposed for taxpayers is $75. This is the lowest amount proposed by any of the </w:t>
      </w:r>
      <w:r w:rsidR="00F316D0">
        <w:rPr>
          <w:rFonts w:cs="Arial"/>
          <w:sz w:val="22"/>
          <w:szCs w:val="22"/>
        </w:rPr>
        <w:t>eight companies who provided bids. The bids ranged from a low of $75 to a hig</w:t>
      </w:r>
      <w:r w:rsidR="00D04C4F">
        <w:rPr>
          <w:rFonts w:cs="Arial"/>
          <w:sz w:val="22"/>
          <w:szCs w:val="22"/>
        </w:rPr>
        <w:t>h of $125 with an average of $96</w:t>
      </w:r>
      <w:r w:rsidR="00F316D0">
        <w:rPr>
          <w:rFonts w:cs="Arial"/>
          <w:sz w:val="22"/>
          <w:szCs w:val="22"/>
        </w:rPr>
        <w:t xml:space="preserve"> across all companies in the three markets. </w:t>
      </w:r>
    </w:p>
    <w:p w14:paraId="332EB5D4" w14:textId="77777777" w:rsidR="008653F0" w:rsidRDefault="008653F0" w:rsidP="00003506">
      <w:pPr>
        <w:widowControl w:val="0"/>
        <w:autoSpaceDE w:val="0"/>
        <w:autoSpaceDN w:val="0"/>
        <w:adjustRightInd w:val="0"/>
        <w:rPr>
          <w:rFonts w:cs="Arial"/>
          <w:sz w:val="22"/>
          <w:szCs w:val="22"/>
        </w:rPr>
      </w:pPr>
    </w:p>
    <w:p w14:paraId="7E0CD514" w14:textId="3F0CF888" w:rsidR="00003506" w:rsidRPr="00003506" w:rsidRDefault="00F316D0" w:rsidP="00003506">
      <w:pPr>
        <w:widowControl w:val="0"/>
        <w:autoSpaceDE w:val="0"/>
        <w:autoSpaceDN w:val="0"/>
        <w:adjustRightInd w:val="0"/>
        <w:rPr>
          <w:rFonts w:cs="Arial"/>
          <w:sz w:val="22"/>
          <w:szCs w:val="22"/>
        </w:rPr>
      </w:pPr>
      <w:r>
        <w:rPr>
          <w:rFonts w:cs="Arial"/>
          <w:sz w:val="22"/>
          <w:szCs w:val="22"/>
        </w:rPr>
        <w:t>The tax preparers</w:t>
      </w:r>
      <w:r w:rsidR="00003506" w:rsidRPr="00003506">
        <w:rPr>
          <w:rFonts w:cs="Arial"/>
          <w:sz w:val="22"/>
          <w:szCs w:val="22"/>
        </w:rPr>
        <w:t xml:space="preserve"> are significantly more elite and harder to r</w:t>
      </w:r>
      <w:r w:rsidR="00D95779">
        <w:rPr>
          <w:rFonts w:cs="Arial"/>
          <w:sz w:val="22"/>
          <w:szCs w:val="22"/>
        </w:rPr>
        <w:t>each than the public audience. </w:t>
      </w:r>
      <w:r w:rsidR="00003506" w:rsidRPr="00003506">
        <w:rPr>
          <w:rFonts w:cs="Arial"/>
          <w:sz w:val="22"/>
          <w:szCs w:val="22"/>
        </w:rPr>
        <w:t>In market research the effort required to reach such individuals and persuade them to respond is orders of magnitude more difficult than with the public.  The greater effort required to reach them is also reflected in the incentives required to persuade them to participate in foc</w:t>
      </w:r>
      <w:r w:rsidR="0051383E">
        <w:rPr>
          <w:rFonts w:cs="Arial"/>
          <w:sz w:val="22"/>
          <w:szCs w:val="22"/>
        </w:rPr>
        <w:t>us groups</w:t>
      </w:r>
      <w:r w:rsidR="00003506" w:rsidRPr="00003506">
        <w:rPr>
          <w:rFonts w:cs="Arial"/>
          <w:sz w:val="22"/>
          <w:szCs w:val="22"/>
        </w:rPr>
        <w:t>.  Among the range of reasons they are more difficult to recruit for group sessions:</w:t>
      </w:r>
    </w:p>
    <w:p w14:paraId="4D575335" w14:textId="501E9FF8" w:rsidR="00003506" w:rsidRPr="0051383E" w:rsidRDefault="00003506" w:rsidP="0051383E">
      <w:pPr>
        <w:pStyle w:val="ListParagraph"/>
        <w:widowControl w:val="0"/>
        <w:numPr>
          <w:ilvl w:val="0"/>
          <w:numId w:val="2"/>
        </w:numPr>
        <w:autoSpaceDE w:val="0"/>
        <w:autoSpaceDN w:val="0"/>
        <w:adjustRightInd w:val="0"/>
        <w:rPr>
          <w:rFonts w:cs="Arial"/>
          <w:sz w:val="22"/>
          <w:szCs w:val="22"/>
        </w:rPr>
      </w:pPr>
      <w:r w:rsidRPr="0051383E">
        <w:rPr>
          <w:rFonts w:cs="Arial"/>
          <w:sz w:val="22"/>
          <w:szCs w:val="22"/>
        </w:rPr>
        <w:t xml:space="preserve">They are higher status economically; there are few of them; they need to be reached through their business and its gatekeepers; </w:t>
      </w:r>
      <w:r w:rsidR="0051383E">
        <w:rPr>
          <w:rFonts w:cs="Arial"/>
          <w:sz w:val="22"/>
          <w:szCs w:val="22"/>
        </w:rPr>
        <w:t xml:space="preserve">and </w:t>
      </w:r>
      <w:r w:rsidRPr="0051383E">
        <w:rPr>
          <w:rFonts w:cs="Arial"/>
          <w:sz w:val="22"/>
          <w:szCs w:val="22"/>
        </w:rPr>
        <w:t>they have real and self-perceived other commitments that occupy their time. </w:t>
      </w:r>
    </w:p>
    <w:p w14:paraId="2A1FE44F" w14:textId="53A9A039" w:rsidR="00003506" w:rsidRDefault="00003506" w:rsidP="0051383E">
      <w:pPr>
        <w:pStyle w:val="ListParagraph"/>
        <w:widowControl w:val="0"/>
        <w:numPr>
          <w:ilvl w:val="0"/>
          <w:numId w:val="2"/>
        </w:numPr>
        <w:autoSpaceDE w:val="0"/>
        <w:autoSpaceDN w:val="0"/>
        <w:adjustRightInd w:val="0"/>
        <w:rPr>
          <w:rFonts w:cs="Arial"/>
          <w:sz w:val="22"/>
          <w:szCs w:val="22"/>
        </w:rPr>
      </w:pPr>
      <w:r w:rsidRPr="0051383E">
        <w:rPr>
          <w:rFonts w:cs="Arial"/>
          <w:sz w:val="22"/>
          <w:szCs w:val="22"/>
        </w:rPr>
        <w:t>With the</w:t>
      </w:r>
      <w:r w:rsidR="006A5F61">
        <w:rPr>
          <w:rFonts w:cs="Arial"/>
          <w:sz w:val="22"/>
          <w:szCs w:val="22"/>
        </w:rPr>
        <w:t xml:space="preserve"> focus</w:t>
      </w:r>
      <w:r w:rsidRPr="0051383E">
        <w:rPr>
          <w:rFonts w:cs="Arial"/>
          <w:sz w:val="22"/>
          <w:szCs w:val="22"/>
        </w:rPr>
        <w:t xml:space="preserve"> group participants, we are asking them to make the effort to come to a facility in their community, so they are committing travel time as well as the two hours that they will be partic</w:t>
      </w:r>
      <w:r w:rsidR="00EB0F94">
        <w:rPr>
          <w:rFonts w:cs="Arial"/>
          <w:sz w:val="22"/>
          <w:szCs w:val="22"/>
        </w:rPr>
        <w:t>ipating in the group sessions. </w:t>
      </w:r>
      <w:r w:rsidRPr="0051383E">
        <w:rPr>
          <w:rFonts w:cs="Arial"/>
          <w:sz w:val="22"/>
          <w:szCs w:val="22"/>
        </w:rPr>
        <w:t>This is no different than is the case with the public group participants</w:t>
      </w:r>
      <w:r w:rsidR="00EB0F94">
        <w:rPr>
          <w:rFonts w:cs="Arial"/>
          <w:sz w:val="22"/>
          <w:szCs w:val="22"/>
        </w:rPr>
        <w:t>,</w:t>
      </w:r>
      <w:r w:rsidRPr="0051383E">
        <w:rPr>
          <w:rFonts w:cs="Arial"/>
          <w:sz w:val="22"/>
          <w:szCs w:val="22"/>
        </w:rPr>
        <w:t xml:space="preserve"> but it differentiates these qualitative group participants from telephone survey respondents.</w:t>
      </w:r>
    </w:p>
    <w:p w14:paraId="0BA943B7" w14:textId="3E84589D" w:rsidR="00EB0F94" w:rsidRPr="00EB0F94" w:rsidRDefault="00EB0F94" w:rsidP="00EB0F94">
      <w:pPr>
        <w:widowControl w:val="0"/>
        <w:autoSpaceDE w:val="0"/>
        <w:autoSpaceDN w:val="0"/>
        <w:adjustRightInd w:val="0"/>
        <w:rPr>
          <w:rFonts w:cs="Arial"/>
          <w:sz w:val="22"/>
          <w:szCs w:val="22"/>
        </w:rPr>
      </w:pPr>
      <w:r>
        <w:rPr>
          <w:rFonts w:cs="Arial"/>
          <w:sz w:val="22"/>
          <w:szCs w:val="22"/>
        </w:rPr>
        <w:lastRenderedPageBreak/>
        <w:t>For the tax preparers</w:t>
      </w:r>
      <w:r w:rsidR="00954D7E">
        <w:rPr>
          <w:rFonts w:cs="Arial"/>
          <w:sz w:val="22"/>
          <w:szCs w:val="22"/>
        </w:rPr>
        <w:t>,</w:t>
      </w:r>
      <w:r w:rsidRPr="00EB0F94">
        <w:rPr>
          <w:rFonts w:cs="Arial"/>
          <w:sz w:val="22"/>
          <w:szCs w:val="22"/>
        </w:rPr>
        <w:t xml:space="preserve"> </w:t>
      </w:r>
      <w:r>
        <w:rPr>
          <w:rFonts w:cs="Arial"/>
          <w:sz w:val="22"/>
          <w:szCs w:val="22"/>
        </w:rPr>
        <w:t xml:space="preserve">the incentive amount proposed is </w:t>
      </w:r>
      <w:r w:rsidR="0051302F">
        <w:rPr>
          <w:rFonts w:cs="Arial"/>
          <w:sz w:val="22"/>
          <w:szCs w:val="22"/>
        </w:rPr>
        <w:t xml:space="preserve">$100 to </w:t>
      </w:r>
      <w:r>
        <w:rPr>
          <w:rFonts w:cs="Arial"/>
          <w:sz w:val="22"/>
          <w:szCs w:val="22"/>
        </w:rPr>
        <w:t>$1</w:t>
      </w:r>
      <w:r w:rsidR="00FE7B3C">
        <w:rPr>
          <w:rFonts w:cs="Arial"/>
          <w:sz w:val="22"/>
          <w:szCs w:val="22"/>
        </w:rPr>
        <w:t>25</w:t>
      </w:r>
      <w:r w:rsidR="0051302F">
        <w:rPr>
          <w:rFonts w:cs="Arial"/>
          <w:sz w:val="22"/>
          <w:szCs w:val="22"/>
        </w:rPr>
        <w:t xml:space="preserve"> based on </w:t>
      </w:r>
      <w:r w:rsidR="004E1374">
        <w:rPr>
          <w:rFonts w:cs="Arial"/>
          <w:sz w:val="22"/>
          <w:szCs w:val="22"/>
        </w:rPr>
        <w:t xml:space="preserve">prevailing rates for </w:t>
      </w:r>
      <w:r w:rsidR="0051302F">
        <w:rPr>
          <w:rFonts w:cs="Arial"/>
          <w:sz w:val="22"/>
          <w:szCs w:val="22"/>
        </w:rPr>
        <w:t>the market</w:t>
      </w:r>
      <w:r>
        <w:rPr>
          <w:rFonts w:cs="Arial"/>
          <w:sz w:val="22"/>
          <w:szCs w:val="22"/>
        </w:rPr>
        <w:t xml:space="preserve">. This is </w:t>
      </w:r>
      <w:r w:rsidR="003F6449">
        <w:rPr>
          <w:rFonts w:cs="Arial"/>
          <w:sz w:val="22"/>
          <w:szCs w:val="22"/>
        </w:rPr>
        <w:t xml:space="preserve">lower than the average </w:t>
      </w:r>
      <w:r>
        <w:rPr>
          <w:rFonts w:cs="Arial"/>
          <w:sz w:val="22"/>
          <w:szCs w:val="22"/>
        </w:rPr>
        <w:t>amount</w:t>
      </w:r>
      <w:r w:rsidR="00D04C4F">
        <w:rPr>
          <w:rFonts w:cs="Arial"/>
          <w:sz w:val="22"/>
          <w:szCs w:val="22"/>
        </w:rPr>
        <w:t xml:space="preserve"> of $180</w:t>
      </w:r>
      <w:r>
        <w:rPr>
          <w:rFonts w:cs="Arial"/>
          <w:sz w:val="22"/>
          <w:szCs w:val="22"/>
        </w:rPr>
        <w:t xml:space="preserve"> proposed by </w:t>
      </w:r>
      <w:r w:rsidR="003F6449">
        <w:rPr>
          <w:rFonts w:cs="Arial"/>
          <w:sz w:val="22"/>
          <w:szCs w:val="22"/>
        </w:rPr>
        <w:t>t</w:t>
      </w:r>
      <w:r>
        <w:rPr>
          <w:rFonts w:cs="Arial"/>
          <w:sz w:val="22"/>
          <w:szCs w:val="22"/>
        </w:rPr>
        <w:t xml:space="preserve">he eight companies </w:t>
      </w:r>
      <w:r w:rsidR="003F6449">
        <w:rPr>
          <w:rFonts w:cs="Arial"/>
          <w:sz w:val="22"/>
          <w:szCs w:val="22"/>
        </w:rPr>
        <w:t xml:space="preserve">in the three markets </w:t>
      </w:r>
      <w:r>
        <w:rPr>
          <w:rFonts w:cs="Arial"/>
          <w:sz w:val="22"/>
          <w:szCs w:val="22"/>
        </w:rPr>
        <w:t>who provided bids. T</w:t>
      </w:r>
      <w:r w:rsidR="003F6449">
        <w:rPr>
          <w:rFonts w:cs="Arial"/>
          <w:sz w:val="22"/>
          <w:szCs w:val="22"/>
        </w:rPr>
        <w:t>he bids ranged from a low of $100</w:t>
      </w:r>
      <w:r w:rsidR="00513D79">
        <w:rPr>
          <w:rFonts w:cs="Arial"/>
          <w:sz w:val="22"/>
          <w:szCs w:val="22"/>
        </w:rPr>
        <w:t xml:space="preserve"> to a high of $350. </w:t>
      </w:r>
    </w:p>
    <w:p w14:paraId="4F39F8DB" w14:textId="77777777" w:rsidR="00003506" w:rsidRDefault="00003506" w:rsidP="00FD5E3B">
      <w:pPr>
        <w:widowControl w:val="0"/>
        <w:autoSpaceDE w:val="0"/>
        <w:autoSpaceDN w:val="0"/>
        <w:adjustRightInd w:val="0"/>
        <w:rPr>
          <w:rFonts w:cs="Arial"/>
          <w:sz w:val="22"/>
          <w:szCs w:val="22"/>
        </w:rPr>
      </w:pPr>
    </w:p>
    <w:p w14:paraId="0DDADF4E" w14:textId="1BEBE309"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xml:space="preserve">Referring to the incentives spreadsheet, </w:t>
      </w:r>
      <w:r w:rsidR="0044662E">
        <w:rPr>
          <w:rFonts w:cs="Arial"/>
          <w:sz w:val="22"/>
          <w:szCs w:val="22"/>
        </w:rPr>
        <w:t>the proposed honorarium for taxpayers and tax preparers are</w:t>
      </w:r>
      <w:r w:rsidRPr="00FD5E3B">
        <w:rPr>
          <w:rFonts w:cs="Arial"/>
          <w:sz w:val="22"/>
          <w:szCs w:val="22"/>
        </w:rPr>
        <w:t xml:space="preserve"> </w:t>
      </w:r>
      <w:r w:rsidR="0051302F">
        <w:rPr>
          <w:rFonts w:cs="Arial"/>
          <w:sz w:val="22"/>
          <w:szCs w:val="22"/>
        </w:rPr>
        <w:t xml:space="preserve">in </w:t>
      </w:r>
      <w:r w:rsidRPr="00FD5E3B">
        <w:rPr>
          <w:rFonts w:cs="Arial"/>
          <w:sz w:val="22"/>
          <w:szCs w:val="22"/>
        </w:rPr>
        <w:t>line (or below) the bids received based on the size of the market. If we are unable to offer this level of incentive, the bidders may not accept the work</w:t>
      </w:r>
      <w:r w:rsidR="0044662E">
        <w:rPr>
          <w:rFonts w:cs="Arial"/>
          <w:sz w:val="22"/>
          <w:szCs w:val="22"/>
        </w:rPr>
        <w:t>,</w:t>
      </w:r>
      <w:r w:rsidRPr="00FD5E3B">
        <w:rPr>
          <w:rFonts w:cs="Arial"/>
          <w:sz w:val="22"/>
          <w:szCs w:val="22"/>
        </w:rPr>
        <w:t xml:space="preserve"> they may reduce their com</w:t>
      </w:r>
      <w:r w:rsidR="0044662E">
        <w:rPr>
          <w:rFonts w:cs="Arial"/>
          <w:sz w:val="22"/>
          <w:szCs w:val="22"/>
        </w:rPr>
        <w:t>mitment to fulfilling the task, or we may encounter low show-rates for participants in the focus groups.</w:t>
      </w:r>
      <w:r w:rsidRPr="00FD5E3B">
        <w:rPr>
          <w:rFonts w:cs="Arial"/>
          <w:sz w:val="22"/>
          <w:szCs w:val="22"/>
        </w:rPr>
        <w:t xml:space="preserve"> We can negotiate with them to some extent, but these incentive rates are widely accepted industry norms for this kind of work. </w:t>
      </w:r>
    </w:p>
    <w:p w14:paraId="20B571FA" w14:textId="77777777" w:rsidR="001C6F4D" w:rsidRPr="00FD5E3B" w:rsidRDefault="001C6F4D"/>
    <w:sectPr w:rsidR="001C6F4D" w:rsidRPr="00FD5E3B" w:rsidSect="001C6F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43CD5" w14:textId="77777777" w:rsidR="00FE7B3C" w:rsidRDefault="00FE7B3C" w:rsidP="00954D7E">
      <w:r>
        <w:separator/>
      </w:r>
    </w:p>
  </w:endnote>
  <w:endnote w:type="continuationSeparator" w:id="0">
    <w:p w14:paraId="7EF60FF1" w14:textId="77777777" w:rsidR="00FE7B3C" w:rsidRDefault="00FE7B3C" w:rsidP="009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FF70" w14:textId="77777777" w:rsidR="00FE7B3C" w:rsidRDefault="00FE7B3C" w:rsidP="00954D7E">
      <w:r>
        <w:separator/>
      </w:r>
    </w:p>
  </w:footnote>
  <w:footnote w:type="continuationSeparator" w:id="0">
    <w:p w14:paraId="017D5B39" w14:textId="77777777" w:rsidR="00FE7B3C" w:rsidRDefault="00FE7B3C" w:rsidP="0095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E0096"/>
    <w:multiLevelType w:val="hybridMultilevel"/>
    <w:tmpl w:val="505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A0498"/>
    <w:multiLevelType w:val="hybridMultilevel"/>
    <w:tmpl w:val="C17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73"/>
    <w:rsid w:val="00003506"/>
    <w:rsid w:val="000871EB"/>
    <w:rsid w:val="001C6F4D"/>
    <w:rsid w:val="002232E6"/>
    <w:rsid w:val="00261B31"/>
    <w:rsid w:val="002A123D"/>
    <w:rsid w:val="002E423A"/>
    <w:rsid w:val="0031543D"/>
    <w:rsid w:val="003F6449"/>
    <w:rsid w:val="0044662E"/>
    <w:rsid w:val="00474E5D"/>
    <w:rsid w:val="004E1374"/>
    <w:rsid w:val="0051302F"/>
    <w:rsid w:val="0051383E"/>
    <w:rsid w:val="00513D79"/>
    <w:rsid w:val="006A5F61"/>
    <w:rsid w:val="00707478"/>
    <w:rsid w:val="008653F0"/>
    <w:rsid w:val="00954D7E"/>
    <w:rsid w:val="009612A1"/>
    <w:rsid w:val="00973973"/>
    <w:rsid w:val="00A241A4"/>
    <w:rsid w:val="00C1139E"/>
    <w:rsid w:val="00C71F9E"/>
    <w:rsid w:val="00D017E1"/>
    <w:rsid w:val="00D04C4F"/>
    <w:rsid w:val="00D64703"/>
    <w:rsid w:val="00D95779"/>
    <w:rsid w:val="00E35F5A"/>
    <w:rsid w:val="00EB0F94"/>
    <w:rsid w:val="00F316D0"/>
    <w:rsid w:val="00F738B6"/>
    <w:rsid w:val="00FD5E3B"/>
    <w:rsid w:val="00FE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5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A"/>
    <w:pPr>
      <w:ind w:left="720"/>
      <w:contextualSpacing/>
    </w:pPr>
  </w:style>
  <w:style w:type="paragraph" w:styleId="Header">
    <w:name w:val="header"/>
    <w:basedOn w:val="Normal"/>
    <w:link w:val="HeaderChar"/>
    <w:uiPriority w:val="99"/>
    <w:unhideWhenUsed/>
    <w:rsid w:val="00954D7E"/>
    <w:pPr>
      <w:tabs>
        <w:tab w:val="center" w:pos="4680"/>
        <w:tab w:val="right" w:pos="9360"/>
      </w:tabs>
    </w:pPr>
  </w:style>
  <w:style w:type="character" w:customStyle="1" w:styleId="HeaderChar">
    <w:name w:val="Header Char"/>
    <w:basedOn w:val="DefaultParagraphFont"/>
    <w:link w:val="Header"/>
    <w:uiPriority w:val="99"/>
    <w:rsid w:val="00954D7E"/>
  </w:style>
  <w:style w:type="paragraph" w:styleId="Footer">
    <w:name w:val="footer"/>
    <w:basedOn w:val="Normal"/>
    <w:link w:val="FooterChar"/>
    <w:uiPriority w:val="99"/>
    <w:unhideWhenUsed/>
    <w:rsid w:val="00954D7E"/>
    <w:pPr>
      <w:tabs>
        <w:tab w:val="center" w:pos="4680"/>
        <w:tab w:val="right" w:pos="9360"/>
      </w:tabs>
    </w:pPr>
  </w:style>
  <w:style w:type="character" w:customStyle="1" w:styleId="FooterChar">
    <w:name w:val="Footer Char"/>
    <w:basedOn w:val="DefaultParagraphFont"/>
    <w:link w:val="Footer"/>
    <w:uiPriority w:val="99"/>
    <w:rsid w:val="00954D7E"/>
  </w:style>
  <w:style w:type="paragraph" w:styleId="BalloonText">
    <w:name w:val="Balloon Text"/>
    <w:basedOn w:val="Normal"/>
    <w:link w:val="BalloonTextChar"/>
    <w:uiPriority w:val="99"/>
    <w:semiHidden/>
    <w:unhideWhenUsed/>
    <w:rsid w:val="00954D7E"/>
    <w:rPr>
      <w:rFonts w:ascii="Tahoma" w:hAnsi="Tahoma" w:cs="Tahoma"/>
      <w:sz w:val="16"/>
      <w:szCs w:val="16"/>
    </w:rPr>
  </w:style>
  <w:style w:type="character" w:customStyle="1" w:styleId="BalloonTextChar">
    <w:name w:val="Balloon Text Char"/>
    <w:basedOn w:val="DefaultParagraphFont"/>
    <w:link w:val="BalloonText"/>
    <w:uiPriority w:val="99"/>
    <w:semiHidden/>
    <w:rsid w:val="00954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A"/>
    <w:pPr>
      <w:ind w:left="720"/>
      <w:contextualSpacing/>
    </w:pPr>
  </w:style>
  <w:style w:type="paragraph" w:styleId="Header">
    <w:name w:val="header"/>
    <w:basedOn w:val="Normal"/>
    <w:link w:val="HeaderChar"/>
    <w:uiPriority w:val="99"/>
    <w:unhideWhenUsed/>
    <w:rsid w:val="00954D7E"/>
    <w:pPr>
      <w:tabs>
        <w:tab w:val="center" w:pos="4680"/>
        <w:tab w:val="right" w:pos="9360"/>
      </w:tabs>
    </w:pPr>
  </w:style>
  <w:style w:type="character" w:customStyle="1" w:styleId="HeaderChar">
    <w:name w:val="Header Char"/>
    <w:basedOn w:val="DefaultParagraphFont"/>
    <w:link w:val="Header"/>
    <w:uiPriority w:val="99"/>
    <w:rsid w:val="00954D7E"/>
  </w:style>
  <w:style w:type="paragraph" w:styleId="Footer">
    <w:name w:val="footer"/>
    <w:basedOn w:val="Normal"/>
    <w:link w:val="FooterChar"/>
    <w:uiPriority w:val="99"/>
    <w:unhideWhenUsed/>
    <w:rsid w:val="00954D7E"/>
    <w:pPr>
      <w:tabs>
        <w:tab w:val="center" w:pos="4680"/>
        <w:tab w:val="right" w:pos="9360"/>
      </w:tabs>
    </w:pPr>
  </w:style>
  <w:style w:type="character" w:customStyle="1" w:styleId="FooterChar">
    <w:name w:val="Footer Char"/>
    <w:basedOn w:val="DefaultParagraphFont"/>
    <w:link w:val="Footer"/>
    <w:uiPriority w:val="99"/>
    <w:rsid w:val="00954D7E"/>
  </w:style>
  <w:style w:type="paragraph" w:styleId="BalloonText">
    <w:name w:val="Balloon Text"/>
    <w:basedOn w:val="Normal"/>
    <w:link w:val="BalloonTextChar"/>
    <w:uiPriority w:val="99"/>
    <w:semiHidden/>
    <w:unhideWhenUsed/>
    <w:rsid w:val="00954D7E"/>
    <w:rPr>
      <w:rFonts w:ascii="Tahoma" w:hAnsi="Tahoma" w:cs="Tahoma"/>
      <w:sz w:val="16"/>
      <w:szCs w:val="16"/>
    </w:rPr>
  </w:style>
  <w:style w:type="character" w:customStyle="1" w:styleId="BalloonTextChar">
    <w:name w:val="Balloon Text Char"/>
    <w:basedOn w:val="DefaultParagraphFont"/>
    <w:link w:val="BalloonText"/>
    <w:uiPriority w:val="99"/>
    <w:semiHidden/>
    <w:rsid w:val="00954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Artemis Strategy Group</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Paasche</dc:creator>
  <cp:lastModifiedBy>Edita W. Rickard </cp:lastModifiedBy>
  <cp:revision>2</cp:revision>
  <cp:lastPrinted>2014-04-22T16:19:00Z</cp:lastPrinted>
  <dcterms:created xsi:type="dcterms:W3CDTF">2014-05-06T18:10:00Z</dcterms:created>
  <dcterms:modified xsi:type="dcterms:W3CDTF">2014-05-06T18:10:00Z</dcterms:modified>
</cp:coreProperties>
</file>