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88" w:rsidRDefault="002E0088">
      <w:pPr>
        <w:jc w:val="center"/>
        <w:rPr>
          <w:b/>
          <w:sz w:val="24"/>
        </w:rPr>
      </w:pPr>
      <w:r>
        <w:rPr>
          <w:b/>
          <w:sz w:val="24"/>
        </w:rPr>
        <w:t>SUPPORTING STATEMENT</w:t>
      </w:r>
    </w:p>
    <w:p w:rsidR="002E0088" w:rsidRDefault="002E0088">
      <w:pPr>
        <w:jc w:val="center"/>
        <w:rPr>
          <w:b/>
          <w:sz w:val="24"/>
        </w:rPr>
      </w:pPr>
      <w:r>
        <w:rPr>
          <w:b/>
          <w:sz w:val="24"/>
        </w:rPr>
        <w:t>Notice of Hiring or Indemnifying Senior Executive Officers or Directors</w:t>
      </w:r>
    </w:p>
    <w:p w:rsidR="002E0088" w:rsidRDefault="002E0088">
      <w:pPr>
        <w:jc w:val="center"/>
        <w:rPr>
          <w:b/>
          <w:sz w:val="24"/>
        </w:rPr>
      </w:pPr>
      <w:r>
        <w:rPr>
          <w:b/>
          <w:sz w:val="24"/>
        </w:rPr>
        <w:t>OMB Control No. 1550-0047</w:t>
      </w:r>
    </w:p>
    <w:p w:rsidR="002E0088" w:rsidRDefault="002E0088">
      <w:pPr>
        <w:rPr>
          <w:sz w:val="24"/>
        </w:rPr>
      </w:pPr>
    </w:p>
    <w:p w:rsidR="002E0088" w:rsidRDefault="002E0088">
      <w:pPr>
        <w:rPr>
          <w:sz w:val="24"/>
        </w:rPr>
      </w:pPr>
    </w:p>
    <w:p w:rsidR="002E0088" w:rsidRDefault="002E0088">
      <w:pPr>
        <w:rPr>
          <w:b/>
          <w:bCs/>
          <w:sz w:val="24"/>
          <w:u w:val="single"/>
        </w:rPr>
      </w:pPr>
      <w:r>
        <w:rPr>
          <w:b/>
          <w:bCs/>
          <w:sz w:val="24"/>
        </w:rPr>
        <w:t xml:space="preserve">A.  </w:t>
      </w:r>
      <w:r>
        <w:rPr>
          <w:b/>
          <w:bCs/>
          <w:sz w:val="24"/>
        </w:rPr>
        <w:tab/>
      </w:r>
      <w:r>
        <w:rPr>
          <w:b/>
          <w:bCs/>
          <w:sz w:val="24"/>
          <w:u w:val="single"/>
        </w:rPr>
        <w:t>JUSTIFICATION</w:t>
      </w:r>
    </w:p>
    <w:p w:rsidR="002E0088" w:rsidRDefault="002E0088">
      <w:pPr>
        <w:rPr>
          <w:b/>
          <w:bCs/>
          <w:sz w:val="24"/>
          <w:u w:val="single"/>
        </w:rPr>
      </w:pPr>
    </w:p>
    <w:p w:rsidR="002E0088" w:rsidRDefault="002E0088">
      <w:pPr>
        <w:rPr>
          <w:b/>
          <w:bCs/>
          <w:sz w:val="24"/>
          <w:u w:val="single"/>
        </w:rPr>
      </w:pPr>
      <w:r>
        <w:rPr>
          <w:b/>
          <w:bCs/>
          <w:sz w:val="24"/>
        </w:rPr>
        <w:t>1.</w:t>
      </w:r>
      <w:r>
        <w:rPr>
          <w:b/>
          <w:bCs/>
          <w:sz w:val="24"/>
        </w:rPr>
        <w:tab/>
      </w:r>
      <w:r>
        <w:rPr>
          <w:b/>
          <w:bCs/>
          <w:sz w:val="24"/>
          <w:u w:val="single"/>
        </w:rPr>
        <w:t>Circumstance and Need</w:t>
      </w:r>
      <w:r>
        <w:rPr>
          <w:b/>
          <w:bCs/>
          <w:sz w:val="24"/>
        </w:rPr>
        <w:t xml:space="preserve"> </w:t>
      </w:r>
    </w:p>
    <w:p w:rsidR="002E0088" w:rsidRDefault="002E0088">
      <w:pPr>
        <w:rPr>
          <w:sz w:val="24"/>
          <w:u w:val="single"/>
        </w:rPr>
      </w:pPr>
    </w:p>
    <w:p w:rsidR="002E0088" w:rsidRDefault="002E0088">
      <w:pPr>
        <w:rPr>
          <w:sz w:val="24"/>
        </w:rPr>
      </w:pPr>
      <w:r>
        <w:rPr>
          <w:sz w:val="24"/>
        </w:rPr>
        <w:t xml:space="preserve">Pursuant </w:t>
      </w:r>
      <w:r w:rsidR="00903254">
        <w:rPr>
          <w:sz w:val="24"/>
        </w:rPr>
        <w:t xml:space="preserve">to 12 U.S.C. 1831i and 12 C.F.R. </w:t>
      </w:r>
      <w:r w:rsidR="0002132A">
        <w:rPr>
          <w:sz w:val="24"/>
        </w:rPr>
        <w:t xml:space="preserve">Part 563 </w:t>
      </w:r>
      <w:r w:rsidR="00903254">
        <w:rPr>
          <w:sz w:val="24"/>
        </w:rPr>
        <w:t>Subpart H, depository institutions and their holding companies</w:t>
      </w:r>
      <w:r w:rsidR="006E7698">
        <w:rPr>
          <w:sz w:val="24"/>
        </w:rPr>
        <w:t xml:space="preserve"> </w:t>
      </w:r>
      <w:r w:rsidR="00903254">
        <w:rPr>
          <w:sz w:val="24"/>
        </w:rPr>
        <w:t>are required to notify</w:t>
      </w:r>
      <w:r w:rsidR="00BF2CDE">
        <w:rPr>
          <w:sz w:val="24"/>
        </w:rPr>
        <w:t xml:space="preserve"> the Office of Thrift Supervision (</w:t>
      </w:r>
      <w:r w:rsidR="00903254">
        <w:rPr>
          <w:sz w:val="24"/>
        </w:rPr>
        <w:t>OTS</w:t>
      </w:r>
      <w:r w:rsidR="00BF2CDE">
        <w:rPr>
          <w:sz w:val="24"/>
        </w:rPr>
        <w:t>)</w:t>
      </w:r>
      <w:r w:rsidR="00903254">
        <w:rPr>
          <w:sz w:val="24"/>
        </w:rPr>
        <w:t xml:space="preserve"> of the proposed addition of any individual to its board of directors or the employment of any individual as a senior executive officer.  The notification is to be given at least 30 days before such addition or em</w:t>
      </w:r>
      <w:r w:rsidR="00C4137B">
        <w:rPr>
          <w:sz w:val="24"/>
        </w:rPr>
        <w:t>ployment becomes effective</w:t>
      </w:r>
      <w:r w:rsidR="00903254">
        <w:rPr>
          <w:sz w:val="24"/>
        </w:rPr>
        <w:t xml:space="preserve"> if:  (1) </w:t>
      </w:r>
      <w:r w:rsidR="00E12444">
        <w:rPr>
          <w:sz w:val="24"/>
        </w:rPr>
        <w:t xml:space="preserve">the institution </w:t>
      </w:r>
      <w:r w:rsidR="00903254">
        <w:rPr>
          <w:sz w:val="24"/>
        </w:rPr>
        <w:t xml:space="preserve">is not in compliance with </w:t>
      </w:r>
      <w:r w:rsidR="00E12444">
        <w:rPr>
          <w:sz w:val="24"/>
        </w:rPr>
        <w:t xml:space="preserve">its </w:t>
      </w:r>
      <w:r w:rsidR="00903254">
        <w:rPr>
          <w:sz w:val="24"/>
        </w:rPr>
        <w:t>minimum capital requirements</w:t>
      </w:r>
      <w:r w:rsidR="00E12444">
        <w:rPr>
          <w:sz w:val="24"/>
        </w:rPr>
        <w:t xml:space="preserve"> under 12 C.F.R. Part 565</w:t>
      </w:r>
      <w:r w:rsidR="00C4137B">
        <w:rPr>
          <w:sz w:val="24"/>
        </w:rPr>
        <w:t>;</w:t>
      </w:r>
      <w:r w:rsidR="00903254">
        <w:rPr>
          <w:sz w:val="24"/>
        </w:rPr>
        <w:t xml:space="preserve"> or </w:t>
      </w:r>
      <w:r w:rsidR="00E12444">
        <w:rPr>
          <w:sz w:val="24"/>
        </w:rPr>
        <w:t xml:space="preserve">(2) the institution or its holding company </w:t>
      </w:r>
      <w:r w:rsidR="00903254">
        <w:rPr>
          <w:sz w:val="24"/>
        </w:rPr>
        <w:t>is in a troubled condition</w:t>
      </w:r>
      <w:r w:rsidR="00E12444">
        <w:rPr>
          <w:sz w:val="24"/>
        </w:rPr>
        <w:t xml:space="preserve"> as defined in 12 C.F.R. </w:t>
      </w:r>
      <w:r w:rsidR="00E12444">
        <w:rPr>
          <w:rFonts w:cs="Arial"/>
          <w:sz w:val="24"/>
        </w:rPr>
        <w:t>§</w:t>
      </w:r>
      <w:r w:rsidR="00C4137B">
        <w:rPr>
          <w:sz w:val="24"/>
        </w:rPr>
        <w:t xml:space="preserve"> 563.555;</w:t>
      </w:r>
      <w:r w:rsidR="00E12444">
        <w:rPr>
          <w:sz w:val="24"/>
        </w:rPr>
        <w:t xml:space="preserve"> or (3) the institution or holding company has been notified by OTS </w:t>
      </w:r>
      <w:r w:rsidR="00C4137B">
        <w:rPr>
          <w:sz w:val="24"/>
        </w:rPr>
        <w:t xml:space="preserve">that a notice is required in connection with its review of a capital restoration plan submitted under Section 38 of the Federal Deposit Insurance Act or under 12 C.F.R. </w:t>
      </w:r>
      <w:r w:rsidR="00C4137B">
        <w:rPr>
          <w:rFonts w:cs="Arial"/>
          <w:sz w:val="24"/>
        </w:rPr>
        <w:t>§</w:t>
      </w:r>
      <w:r w:rsidR="00C4137B">
        <w:rPr>
          <w:sz w:val="24"/>
        </w:rPr>
        <w:t xml:space="preserve"> 563.565; or (4) you are an individual seeking election to the board of directors</w:t>
      </w:r>
      <w:r w:rsidR="0002132A">
        <w:rPr>
          <w:sz w:val="24"/>
        </w:rPr>
        <w:t>,</w:t>
      </w:r>
      <w:r w:rsidR="00903254">
        <w:rPr>
          <w:sz w:val="24"/>
        </w:rPr>
        <w:t xml:space="preserve">  </w:t>
      </w:r>
      <w:r w:rsidR="006E7698">
        <w:rPr>
          <w:sz w:val="24"/>
        </w:rPr>
        <w:t xml:space="preserve">of a savings association or savings and loan holding company </w:t>
      </w:r>
      <w:r w:rsidR="006117C4">
        <w:rPr>
          <w:sz w:val="24"/>
        </w:rPr>
        <w:t xml:space="preserve">meeting the above criterion, </w:t>
      </w:r>
      <w:r w:rsidR="0002132A">
        <w:rPr>
          <w:sz w:val="24"/>
        </w:rPr>
        <w:t>has and you have</w:t>
      </w:r>
      <w:r w:rsidR="006117C4">
        <w:rPr>
          <w:sz w:val="24"/>
        </w:rPr>
        <w:t xml:space="preserve"> not been nominated by management.  N</w:t>
      </w:r>
      <w:r w:rsidR="00903254">
        <w:rPr>
          <w:sz w:val="24"/>
        </w:rPr>
        <w:t>otices under 12 U.S.C. 1831i must include, at a minimum, the information described in 12 U.S.C. 1817(j)(6)(A)</w:t>
      </w:r>
      <w:r w:rsidR="006117C4">
        <w:rPr>
          <w:sz w:val="24"/>
        </w:rPr>
        <w:t xml:space="preserve">, and the information in 12 C.F.R. </w:t>
      </w:r>
      <w:r w:rsidR="006117C4">
        <w:rPr>
          <w:rFonts w:cs="Arial"/>
          <w:sz w:val="24"/>
        </w:rPr>
        <w:t>§</w:t>
      </w:r>
      <w:r w:rsidR="006117C4">
        <w:rPr>
          <w:sz w:val="24"/>
        </w:rPr>
        <w:t xml:space="preserve"> 563.570</w:t>
      </w:r>
      <w:r w:rsidR="00903254">
        <w:rPr>
          <w:sz w:val="24"/>
        </w:rPr>
        <w:t>.  OTS is authorized to issue a Notice of Disapproval of the individual if, because of that individual’s competence, experience, character, or integrity, permitting the individual to be employed by, or associated with, the institution or holding company would not be in the best interests of the depositors of the institution or in the best interests of the public.</w:t>
      </w:r>
      <w:r w:rsidR="006117C4">
        <w:rPr>
          <w:sz w:val="24"/>
        </w:rPr>
        <w:t xml:space="preserve">  </w:t>
      </w:r>
    </w:p>
    <w:p w:rsidR="002E0088" w:rsidRDefault="002E0088">
      <w:pPr>
        <w:rPr>
          <w:sz w:val="24"/>
        </w:rPr>
      </w:pPr>
    </w:p>
    <w:p w:rsidR="002E0088" w:rsidRDefault="002E0088">
      <w:pPr>
        <w:rPr>
          <w:sz w:val="24"/>
        </w:rPr>
      </w:pPr>
      <w:r>
        <w:rPr>
          <w:sz w:val="24"/>
        </w:rPr>
        <w:t xml:space="preserve">OTS Form No. 1606 is referred to colloquially as the “No-crook Certification.”  This application certification information is collected through a </w:t>
      </w:r>
      <w:r w:rsidR="00773E2B">
        <w:rPr>
          <w:sz w:val="24"/>
        </w:rPr>
        <w:t xml:space="preserve">regulatory </w:t>
      </w:r>
      <w:r>
        <w:rPr>
          <w:sz w:val="24"/>
        </w:rPr>
        <w:t xml:space="preserve">bulletin issued by the OTS.  Other Federal banking agencies may not require such certifications.  </w:t>
      </w:r>
    </w:p>
    <w:p w:rsidR="002E0088" w:rsidRDefault="002E0088">
      <w:pPr>
        <w:rPr>
          <w:sz w:val="24"/>
        </w:rPr>
      </w:pPr>
    </w:p>
    <w:p w:rsidR="002E0088" w:rsidRDefault="002E0088">
      <w:pPr>
        <w:rPr>
          <w:sz w:val="24"/>
        </w:rPr>
      </w:pPr>
      <w:r>
        <w:rPr>
          <w:sz w:val="24"/>
        </w:rPr>
        <w:t xml:space="preserve">Pursuant to 12 C.F.R. 545.121(c)(iii), </w:t>
      </w:r>
      <w:r w:rsidR="00773E2B">
        <w:rPr>
          <w:sz w:val="24"/>
        </w:rPr>
        <w:t xml:space="preserve">savings associations </w:t>
      </w:r>
      <w:r>
        <w:rPr>
          <w:sz w:val="24"/>
        </w:rPr>
        <w:t xml:space="preserve">may make no indemnification of its directors, officers or employees without providing the OTS at least 60 days notice of its intention to make such indemnification.  No particular form is prescribed for that notice.  Most notices would be expected in letter-format.  The OTS needs this information to assure that the institution’s indemnification policy is consistent with the safe and sound operation of the institution.  </w:t>
      </w:r>
    </w:p>
    <w:p w:rsidR="002E0088" w:rsidRDefault="002E0088">
      <w:pPr>
        <w:rPr>
          <w:sz w:val="24"/>
        </w:rPr>
      </w:pPr>
    </w:p>
    <w:p w:rsidR="002E0088" w:rsidRDefault="002E0088">
      <w:pPr>
        <w:rPr>
          <w:b/>
          <w:bCs/>
          <w:sz w:val="24"/>
          <w:u w:val="single"/>
        </w:rPr>
      </w:pPr>
      <w:r>
        <w:rPr>
          <w:b/>
          <w:bCs/>
          <w:sz w:val="24"/>
        </w:rPr>
        <w:t>2.</w:t>
      </w:r>
      <w:r>
        <w:rPr>
          <w:b/>
          <w:bCs/>
          <w:sz w:val="24"/>
        </w:rPr>
        <w:tab/>
      </w:r>
      <w:r>
        <w:rPr>
          <w:b/>
          <w:bCs/>
          <w:sz w:val="24"/>
          <w:u w:val="single"/>
        </w:rPr>
        <w:t>Use of Information Collected</w:t>
      </w:r>
    </w:p>
    <w:p w:rsidR="002E0088" w:rsidRDefault="002E0088">
      <w:pPr>
        <w:rPr>
          <w:sz w:val="24"/>
        </w:rPr>
      </w:pPr>
    </w:p>
    <w:p w:rsidR="002E0088" w:rsidRDefault="002E0088">
      <w:pPr>
        <w:rPr>
          <w:sz w:val="24"/>
        </w:rPr>
      </w:pPr>
      <w:r>
        <w:rPr>
          <w:sz w:val="24"/>
        </w:rPr>
        <w:t xml:space="preserve">As discussed above, 12 U.S.C. 1831i requires OTS to make a determination as to the hiring or appointment of senior executive officers or directors at savings institutions or thrift holding companies.  The OTS’s determination must be based upon an evaluation of the individual’s competence, experience, character, and integrity.  The information </w:t>
      </w:r>
      <w:r>
        <w:rPr>
          <w:sz w:val="24"/>
        </w:rPr>
        <w:lastRenderedPageBreak/>
        <w:t xml:space="preserve">required by the collection is necessary to make this determination.  Without this information, the OTS cannot accomplish the statutory requirement designed to protect the interests of the </w:t>
      </w:r>
      <w:r w:rsidR="00773E2B">
        <w:rPr>
          <w:sz w:val="24"/>
        </w:rPr>
        <w:t>Deposit</w:t>
      </w:r>
      <w:r>
        <w:rPr>
          <w:sz w:val="24"/>
        </w:rPr>
        <w:t xml:space="preserve"> Insurance Fund (“</w:t>
      </w:r>
      <w:r w:rsidR="00773E2B">
        <w:rPr>
          <w:sz w:val="24"/>
        </w:rPr>
        <w:t>D</w:t>
      </w:r>
      <w:r>
        <w:rPr>
          <w:sz w:val="24"/>
        </w:rPr>
        <w:t xml:space="preserve">IF”).  </w:t>
      </w:r>
    </w:p>
    <w:p w:rsidR="002E0088" w:rsidRDefault="002E0088">
      <w:pPr>
        <w:rPr>
          <w:sz w:val="24"/>
        </w:rPr>
      </w:pPr>
    </w:p>
    <w:p w:rsidR="002E0088" w:rsidRDefault="002E0088">
      <w:pPr>
        <w:rPr>
          <w:sz w:val="24"/>
        </w:rPr>
      </w:pPr>
      <w:r>
        <w:rPr>
          <w:sz w:val="24"/>
        </w:rPr>
        <w:t xml:space="preserve">The OTS has delegated the Regional Director, or his designee, at each Regional Office the authority to approve or deny these requests.  They evaluate the individual’s educational and professional experience to determine competence in the proposed position.  An evaluation of the individual’s proprietary interests identifies conflicts of interest that may render such person unsuitable for the position.  Finally, information such as an individual’s criminal offenses, lawsuits, and related disclosures, enable further evaluation of the individual’s integrity and character.  </w:t>
      </w:r>
    </w:p>
    <w:p w:rsidR="002E0088" w:rsidRDefault="002E0088">
      <w:pPr>
        <w:rPr>
          <w:sz w:val="24"/>
        </w:rPr>
      </w:pPr>
    </w:p>
    <w:p w:rsidR="002E0088" w:rsidRDefault="002E0088">
      <w:pPr>
        <w:rPr>
          <w:b/>
          <w:bCs/>
          <w:sz w:val="24"/>
        </w:rPr>
      </w:pPr>
      <w:r>
        <w:rPr>
          <w:b/>
          <w:bCs/>
          <w:sz w:val="24"/>
        </w:rPr>
        <w:t>3.</w:t>
      </w:r>
      <w:r>
        <w:rPr>
          <w:b/>
          <w:bCs/>
          <w:sz w:val="24"/>
        </w:rPr>
        <w:tab/>
      </w:r>
      <w:r>
        <w:rPr>
          <w:b/>
          <w:bCs/>
          <w:sz w:val="24"/>
          <w:u w:val="single"/>
        </w:rPr>
        <w:t>Use of Technology to Reduce Burden</w:t>
      </w:r>
    </w:p>
    <w:p w:rsidR="002E0088" w:rsidRDefault="002E0088">
      <w:pPr>
        <w:rPr>
          <w:sz w:val="24"/>
        </w:rPr>
      </w:pPr>
    </w:p>
    <w:p w:rsidR="002E0088" w:rsidRDefault="002E0088">
      <w:pPr>
        <w:rPr>
          <w:sz w:val="24"/>
        </w:rPr>
      </w:pPr>
      <w:r>
        <w:rPr>
          <w:sz w:val="24"/>
        </w:rPr>
        <w:t xml:space="preserve">Automated information systems are not used to obtain or process the information required by the proposed information collection, therefore, the use of improved technology to reduce the burden is not applicable. </w:t>
      </w:r>
    </w:p>
    <w:p w:rsidR="002E0088" w:rsidRDefault="002E0088">
      <w:pPr>
        <w:rPr>
          <w:sz w:val="24"/>
        </w:rPr>
      </w:pPr>
    </w:p>
    <w:p w:rsidR="002E0088" w:rsidRDefault="002E0088">
      <w:pPr>
        <w:rPr>
          <w:b/>
          <w:bCs/>
          <w:sz w:val="24"/>
          <w:u w:val="single"/>
        </w:rPr>
      </w:pPr>
      <w:r>
        <w:rPr>
          <w:b/>
          <w:bCs/>
          <w:sz w:val="24"/>
        </w:rPr>
        <w:t>4.</w:t>
      </w:r>
      <w:r>
        <w:rPr>
          <w:b/>
          <w:bCs/>
          <w:sz w:val="24"/>
        </w:rPr>
        <w:tab/>
      </w:r>
      <w:r>
        <w:rPr>
          <w:b/>
          <w:bCs/>
          <w:sz w:val="24"/>
          <w:u w:val="single"/>
        </w:rPr>
        <w:t>Efforts to Identify Duplication</w:t>
      </w:r>
      <w:r>
        <w:rPr>
          <w:b/>
          <w:bCs/>
          <w:sz w:val="24"/>
        </w:rPr>
        <w:t xml:space="preserve"> </w:t>
      </w:r>
    </w:p>
    <w:p w:rsidR="002E0088" w:rsidRDefault="002E0088">
      <w:pPr>
        <w:rPr>
          <w:sz w:val="24"/>
        </w:rPr>
      </w:pPr>
    </w:p>
    <w:p w:rsidR="002E0088" w:rsidRDefault="002E0088">
      <w:pPr>
        <w:rPr>
          <w:sz w:val="24"/>
        </w:rPr>
      </w:pPr>
      <w:r>
        <w:rPr>
          <w:sz w:val="24"/>
        </w:rPr>
        <w:t>Each Notice and the accompanying information is unique.  Specific details of the Notice and information can only be provided by the individual in question, through the institution or holding company.  We are unaware of any required information that duplicates other information retained by the OTS.</w:t>
      </w:r>
    </w:p>
    <w:p w:rsidR="002E0088" w:rsidRDefault="002E0088">
      <w:pPr>
        <w:rPr>
          <w:sz w:val="24"/>
        </w:rPr>
      </w:pPr>
    </w:p>
    <w:p w:rsidR="002E0088" w:rsidRDefault="002E0088">
      <w:pPr>
        <w:rPr>
          <w:b/>
          <w:bCs/>
          <w:sz w:val="24"/>
        </w:rPr>
      </w:pPr>
      <w:r>
        <w:rPr>
          <w:b/>
          <w:bCs/>
          <w:sz w:val="24"/>
        </w:rPr>
        <w:t>5.</w:t>
      </w:r>
      <w:r>
        <w:rPr>
          <w:b/>
          <w:bCs/>
          <w:sz w:val="24"/>
        </w:rPr>
        <w:tab/>
      </w:r>
      <w:r>
        <w:rPr>
          <w:b/>
          <w:bCs/>
          <w:sz w:val="24"/>
          <w:u w:val="single"/>
        </w:rPr>
        <w:t>Minimizing the Burden on Small Firms</w:t>
      </w:r>
      <w:r>
        <w:rPr>
          <w:b/>
          <w:bCs/>
          <w:sz w:val="24"/>
        </w:rPr>
        <w:t xml:space="preserve"> </w:t>
      </w:r>
    </w:p>
    <w:p w:rsidR="002E0088" w:rsidRDefault="002E0088">
      <w:pPr>
        <w:rPr>
          <w:sz w:val="24"/>
        </w:rPr>
      </w:pPr>
    </w:p>
    <w:p w:rsidR="002E0088" w:rsidRDefault="002E0088">
      <w:pPr>
        <w:rPr>
          <w:sz w:val="24"/>
        </w:rPr>
      </w:pPr>
      <w:r>
        <w:rPr>
          <w:sz w:val="24"/>
        </w:rPr>
        <w:t xml:space="preserve">Some of these institutions may be considered small businesses.  The information collection does not differentiate information requirements on the basis of an institution’s or holding company’s size because the OTS is responsible for evaluating each new addition to these positions regardless of the applicant’s size.  </w:t>
      </w:r>
    </w:p>
    <w:p w:rsidR="002E0088" w:rsidRDefault="002E0088">
      <w:pPr>
        <w:rPr>
          <w:sz w:val="24"/>
        </w:rPr>
      </w:pPr>
    </w:p>
    <w:p w:rsidR="002E0088" w:rsidRDefault="002E0088">
      <w:pPr>
        <w:rPr>
          <w:b/>
          <w:bCs/>
          <w:sz w:val="24"/>
        </w:rPr>
      </w:pPr>
      <w:r>
        <w:rPr>
          <w:b/>
          <w:bCs/>
          <w:sz w:val="24"/>
        </w:rPr>
        <w:t>6.</w:t>
      </w:r>
      <w:r>
        <w:rPr>
          <w:b/>
          <w:bCs/>
          <w:sz w:val="24"/>
        </w:rPr>
        <w:tab/>
      </w:r>
      <w:r>
        <w:rPr>
          <w:b/>
          <w:bCs/>
          <w:sz w:val="24"/>
          <w:u w:val="single"/>
        </w:rPr>
        <w:t>Consequences of Less Frequent Collection</w:t>
      </w:r>
      <w:r>
        <w:rPr>
          <w:b/>
          <w:bCs/>
          <w:sz w:val="24"/>
        </w:rPr>
        <w:t xml:space="preserve"> </w:t>
      </w:r>
    </w:p>
    <w:p w:rsidR="002E0088" w:rsidRDefault="002E0088">
      <w:pPr>
        <w:rPr>
          <w:sz w:val="24"/>
        </w:rPr>
      </w:pPr>
    </w:p>
    <w:p w:rsidR="002E0088" w:rsidRDefault="002E0088">
      <w:pPr>
        <w:rPr>
          <w:sz w:val="24"/>
        </w:rPr>
      </w:pPr>
      <w:r>
        <w:rPr>
          <w:sz w:val="24"/>
        </w:rPr>
        <w:t>Inasmuch as the Notice information is submitted only once for an individual, each Notice is unique to that individual.  The OTS could not evaluate the proposed individual if the required information is not submitted by an institution or holding company on the individual’s behalf each time this type of addition is proposed.</w:t>
      </w:r>
    </w:p>
    <w:p w:rsidR="002E0088" w:rsidRDefault="002E0088">
      <w:pPr>
        <w:rPr>
          <w:sz w:val="24"/>
        </w:rPr>
      </w:pPr>
    </w:p>
    <w:p w:rsidR="002E0088" w:rsidRDefault="002E0088">
      <w:pPr>
        <w:rPr>
          <w:b/>
          <w:bCs/>
          <w:sz w:val="24"/>
        </w:rPr>
      </w:pPr>
      <w:r>
        <w:rPr>
          <w:b/>
          <w:bCs/>
          <w:sz w:val="24"/>
        </w:rPr>
        <w:t>7.</w:t>
      </w:r>
      <w:r>
        <w:rPr>
          <w:b/>
          <w:bCs/>
          <w:sz w:val="24"/>
        </w:rPr>
        <w:tab/>
      </w:r>
      <w:r>
        <w:rPr>
          <w:b/>
          <w:bCs/>
          <w:sz w:val="24"/>
          <w:u w:val="single"/>
        </w:rPr>
        <w:t>Special Circumstances</w:t>
      </w:r>
      <w:r>
        <w:rPr>
          <w:b/>
          <w:bCs/>
          <w:sz w:val="24"/>
        </w:rPr>
        <w:t xml:space="preserve"> </w:t>
      </w:r>
    </w:p>
    <w:p w:rsidR="002E0088" w:rsidRDefault="002E0088">
      <w:pPr>
        <w:rPr>
          <w:sz w:val="24"/>
        </w:rPr>
      </w:pPr>
    </w:p>
    <w:p w:rsidR="002E0088" w:rsidRDefault="002E0088">
      <w:pPr>
        <w:rPr>
          <w:sz w:val="24"/>
        </w:rPr>
      </w:pPr>
      <w:r>
        <w:rPr>
          <w:sz w:val="24"/>
        </w:rPr>
        <w:t>The information collection is conducted in a manner consistent with the gu</w:t>
      </w:r>
      <w:r w:rsidR="00701B22">
        <w:rPr>
          <w:sz w:val="24"/>
        </w:rPr>
        <w:t>idelines set out in 5 CFR 1320.5</w:t>
      </w:r>
      <w:r>
        <w:rPr>
          <w:sz w:val="24"/>
        </w:rPr>
        <w:t>.</w:t>
      </w:r>
    </w:p>
    <w:p w:rsidR="002E0088" w:rsidRDefault="002E0088">
      <w:pPr>
        <w:rPr>
          <w:sz w:val="24"/>
        </w:rPr>
      </w:pPr>
    </w:p>
    <w:p w:rsidR="002E0088" w:rsidRDefault="002E0088">
      <w:pPr>
        <w:rPr>
          <w:b/>
          <w:bCs/>
          <w:sz w:val="24"/>
        </w:rPr>
      </w:pPr>
      <w:r>
        <w:rPr>
          <w:b/>
          <w:bCs/>
          <w:sz w:val="24"/>
        </w:rPr>
        <w:lastRenderedPageBreak/>
        <w:t>8.</w:t>
      </w:r>
      <w:r>
        <w:rPr>
          <w:b/>
          <w:bCs/>
          <w:sz w:val="24"/>
        </w:rPr>
        <w:tab/>
      </w:r>
      <w:r>
        <w:rPr>
          <w:b/>
          <w:bCs/>
          <w:sz w:val="24"/>
          <w:u w:val="single"/>
        </w:rPr>
        <w:t>Consultation With Persons Outside the OTS</w:t>
      </w:r>
    </w:p>
    <w:p w:rsidR="002E0088" w:rsidRDefault="002E0088">
      <w:pPr>
        <w:rPr>
          <w:sz w:val="24"/>
        </w:rPr>
      </w:pPr>
    </w:p>
    <w:p w:rsidR="00C17601" w:rsidRDefault="002E0088">
      <w:pPr>
        <w:rPr>
          <w:sz w:val="24"/>
        </w:rPr>
      </w:pPr>
      <w:r>
        <w:rPr>
          <w:sz w:val="24"/>
        </w:rPr>
        <w:t>Notice of intent to renew this information collection was published in the “Federal Register</w:t>
      </w:r>
      <w:r w:rsidRPr="00C17601">
        <w:rPr>
          <w:sz w:val="24"/>
        </w:rPr>
        <w:t>”</w:t>
      </w:r>
      <w:r w:rsidR="00D7096D" w:rsidRPr="00C17601">
        <w:rPr>
          <w:sz w:val="24"/>
        </w:rPr>
        <w:t xml:space="preserve"> Vol.7</w:t>
      </w:r>
      <w:r w:rsidR="00C17601">
        <w:rPr>
          <w:sz w:val="24"/>
        </w:rPr>
        <w:t>5</w:t>
      </w:r>
      <w:r w:rsidR="00D7096D" w:rsidRPr="00C17601">
        <w:rPr>
          <w:sz w:val="24"/>
        </w:rPr>
        <w:t xml:space="preserve">, Page </w:t>
      </w:r>
      <w:r w:rsidR="00C17601">
        <w:rPr>
          <w:sz w:val="24"/>
        </w:rPr>
        <w:t>80896</w:t>
      </w:r>
      <w:r w:rsidR="00D7096D" w:rsidRPr="00C17601">
        <w:rPr>
          <w:sz w:val="24"/>
        </w:rPr>
        <w:t xml:space="preserve"> on </w:t>
      </w:r>
      <w:r w:rsidR="00C17601">
        <w:rPr>
          <w:sz w:val="24"/>
        </w:rPr>
        <w:t>December 23, 2010</w:t>
      </w:r>
      <w:proofErr w:type="gramStart"/>
      <w:r w:rsidR="00C17601">
        <w:rPr>
          <w:sz w:val="24"/>
        </w:rPr>
        <w:t>.</w:t>
      </w:r>
      <w:r w:rsidRPr="00C17601">
        <w:rPr>
          <w:sz w:val="24"/>
        </w:rPr>
        <w:t xml:space="preserve"> </w:t>
      </w:r>
      <w:proofErr w:type="gramEnd"/>
      <w:r w:rsidR="009C77D8" w:rsidRPr="00C17601">
        <w:rPr>
          <w:sz w:val="24"/>
        </w:rPr>
        <w:t>OTS did not receive any comments</w:t>
      </w:r>
      <w:r w:rsidR="00C17601">
        <w:rPr>
          <w:sz w:val="24"/>
        </w:rPr>
        <w:t>.</w:t>
      </w:r>
    </w:p>
    <w:p w:rsidR="002E0088" w:rsidRDefault="002E0088">
      <w:pPr>
        <w:rPr>
          <w:sz w:val="24"/>
        </w:rPr>
      </w:pPr>
    </w:p>
    <w:p w:rsidR="002E0088" w:rsidRDefault="002E0088">
      <w:pPr>
        <w:rPr>
          <w:b/>
          <w:bCs/>
          <w:sz w:val="24"/>
        </w:rPr>
      </w:pPr>
      <w:r>
        <w:rPr>
          <w:b/>
          <w:bCs/>
          <w:sz w:val="24"/>
        </w:rPr>
        <w:t>9.</w:t>
      </w:r>
      <w:r>
        <w:rPr>
          <w:b/>
          <w:bCs/>
          <w:sz w:val="24"/>
        </w:rPr>
        <w:tab/>
      </w:r>
      <w:r>
        <w:rPr>
          <w:b/>
          <w:bCs/>
          <w:sz w:val="24"/>
          <w:u w:val="single"/>
        </w:rPr>
        <w:t>Payment of Respondents</w:t>
      </w:r>
      <w:r>
        <w:rPr>
          <w:b/>
          <w:bCs/>
          <w:sz w:val="24"/>
        </w:rPr>
        <w:t xml:space="preserve"> </w:t>
      </w:r>
    </w:p>
    <w:p w:rsidR="002E0088" w:rsidRDefault="002E0088">
      <w:pPr>
        <w:rPr>
          <w:sz w:val="24"/>
        </w:rPr>
      </w:pPr>
    </w:p>
    <w:p w:rsidR="002E0088" w:rsidRDefault="002E0088">
      <w:pPr>
        <w:rPr>
          <w:sz w:val="24"/>
        </w:rPr>
      </w:pPr>
      <w:r>
        <w:rPr>
          <w:sz w:val="24"/>
        </w:rPr>
        <w:t>OTS provides no payment or gifts to respondents.</w:t>
      </w:r>
    </w:p>
    <w:p w:rsidR="002E0088" w:rsidRDefault="002E0088">
      <w:pPr>
        <w:rPr>
          <w:sz w:val="24"/>
        </w:rPr>
      </w:pPr>
    </w:p>
    <w:p w:rsidR="002E0088" w:rsidRDefault="002E0088">
      <w:pPr>
        <w:rPr>
          <w:b/>
          <w:bCs/>
          <w:sz w:val="24"/>
        </w:rPr>
      </w:pPr>
      <w:r>
        <w:rPr>
          <w:b/>
          <w:bCs/>
          <w:sz w:val="24"/>
        </w:rPr>
        <w:t>10.</w:t>
      </w:r>
      <w:r>
        <w:rPr>
          <w:b/>
          <w:bCs/>
          <w:sz w:val="24"/>
        </w:rPr>
        <w:tab/>
      </w:r>
      <w:r>
        <w:rPr>
          <w:b/>
          <w:bCs/>
          <w:sz w:val="24"/>
          <w:u w:val="single"/>
        </w:rPr>
        <w:t>Confidentiality</w:t>
      </w:r>
    </w:p>
    <w:p w:rsidR="002E0088" w:rsidRDefault="002E0088">
      <w:pPr>
        <w:rPr>
          <w:sz w:val="24"/>
        </w:rPr>
      </w:pPr>
    </w:p>
    <w:p w:rsidR="002E0088" w:rsidRDefault="002E0088">
      <w:pPr>
        <w:rPr>
          <w:sz w:val="24"/>
        </w:rPr>
      </w:pPr>
      <w:r>
        <w:rPr>
          <w:sz w:val="24"/>
        </w:rPr>
        <w:t>Certain information is unavailable to the public including (i) information exempt from disclosure by statute or executive order, (ii) information contained or related to examination, operating, or condition reports prepared for agency use, and (iii) privileged information related to the business, personal, or financial affairs of any person furnished in confidence.</w:t>
      </w:r>
    </w:p>
    <w:p w:rsidR="002E0088" w:rsidRDefault="002E0088">
      <w:pPr>
        <w:rPr>
          <w:sz w:val="24"/>
        </w:rPr>
      </w:pPr>
    </w:p>
    <w:p w:rsidR="002E0088" w:rsidRDefault="002E0088">
      <w:pPr>
        <w:rPr>
          <w:b/>
          <w:bCs/>
          <w:sz w:val="24"/>
        </w:rPr>
      </w:pPr>
      <w:r>
        <w:rPr>
          <w:b/>
          <w:bCs/>
          <w:sz w:val="24"/>
        </w:rPr>
        <w:t>11.</w:t>
      </w:r>
      <w:r>
        <w:rPr>
          <w:b/>
          <w:bCs/>
          <w:sz w:val="24"/>
        </w:rPr>
        <w:tab/>
      </w:r>
      <w:r>
        <w:rPr>
          <w:b/>
          <w:bCs/>
          <w:sz w:val="24"/>
          <w:u w:val="single"/>
        </w:rPr>
        <w:t>Information of a Sensitive Nature</w:t>
      </w:r>
      <w:r>
        <w:rPr>
          <w:b/>
          <w:bCs/>
          <w:sz w:val="24"/>
        </w:rPr>
        <w:t xml:space="preserve"> </w:t>
      </w:r>
    </w:p>
    <w:p w:rsidR="002E0088" w:rsidRDefault="002E0088">
      <w:pPr>
        <w:rPr>
          <w:sz w:val="24"/>
        </w:rPr>
      </w:pPr>
    </w:p>
    <w:p w:rsidR="002E0088" w:rsidRDefault="002E0088">
      <w:pPr>
        <w:rPr>
          <w:sz w:val="24"/>
        </w:rPr>
      </w:pPr>
      <w:r>
        <w:rPr>
          <w:sz w:val="24"/>
        </w:rPr>
        <w:t>No questions of a sensitive nature are required by the proposed information collection.</w:t>
      </w:r>
    </w:p>
    <w:p w:rsidR="002E0088" w:rsidRDefault="002E0088">
      <w:pPr>
        <w:rPr>
          <w:sz w:val="24"/>
        </w:rPr>
      </w:pPr>
    </w:p>
    <w:p w:rsidR="002E0088" w:rsidRDefault="002E0088">
      <w:pPr>
        <w:rPr>
          <w:b/>
          <w:bCs/>
          <w:sz w:val="24"/>
        </w:rPr>
      </w:pPr>
      <w:r>
        <w:rPr>
          <w:b/>
          <w:bCs/>
          <w:sz w:val="24"/>
        </w:rPr>
        <w:t>12.</w:t>
      </w:r>
      <w:r>
        <w:rPr>
          <w:b/>
          <w:bCs/>
          <w:sz w:val="24"/>
        </w:rPr>
        <w:tab/>
      </w:r>
      <w:r>
        <w:rPr>
          <w:b/>
          <w:bCs/>
          <w:sz w:val="24"/>
          <w:u w:val="single"/>
        </w:rPr>
        <w:t>Estimate of Annual Hour Burden</w:t>
      </w:r>
      <w:r>
        <w:rPr>
          <w:b/>
          <w:bCs/>
          <w:sz w:val="24"/>
        </w:rPr>
        <w:t xml:space="preserve"> </w:t>
      </w:r>
    </w:p>
    <w:p w:rsidR="002E0088" w:rsidRDefault="002E0088">
      <w:pPr>
        <w:rPr>
          <w:sz w:val="24"/>
        </w:rPr>
      </w:pPr>
    </w:p>
    <w:p w:rsidR="002E0088" w:rsidRDefault="007C7B63">
      <w:pPr>
        <w:rPr>
          <w:sz w:val="24"/>
        </w:rPr>
      </w:pPr>
      <w:r>
        <w:rPr>
          <w:sz w:val="24"/>
        </w:rPr>
        <w:t xml:space="preserve">Form 1624  </w:t>
      </w:r>
      <w:r w:rsidRPr="00842DB5">
        <w:rPr>
          <w:sz w:val="24"/>
        </w:rPr>
        <w:t xml:space="preserve"> </w:t>
      </w:r>
      <w:r w:rsidR="00773E2B" w:rsidRPr="00842DB5">
        <w:rPr>
          <w:sz w:val="24"/>
        </w:rPr>
        <w:t xml:space="preserve">120 </w:t>
      </w:r>
      <w:proofErr w:type="gramStart"/>
      <w:r>
        <w:rPr>
          <w:sz w:val="24"/>
        </w:rPr>
        <w:t>x  2</w:t>
      </w:r>
      <w:proofErr w:type="gramEnd"/>
      <w:r>
        <w:rPr>
          <w:sz w:val="24"/>
        </w:rPr>
        <w:t xml:space="preserve"> hours     </w:t>
      </w:r>
      <w:r w:rsidR="00D7096D">
        <w:rPr>
          <w:sz w:val="24"/>
        </w:rPr>
        <w:t xml:space="preserve">   </w:t>
      </w:r>
      <w:r>
        <w:rPr>
          <w:sz w:val="24"/>
        </w:rPr>
        <w:t xml:space="preserve">=    </w:t>
      </w:r>
      <w:r w:rsidR="00773E2B">
        <w:rPr>
          <w:sz w:val="24"/>
        </w:rPr>
        <w:t>240.00</w:t>
      </w:r>
      <w:r>
        <w:rPr>
          <w:sz w:val="24"/>
        </w:rPr>
        <w:t xml:space="preserve"> hours</w:t>
      </w:r>
    </w:p>
    <w:p w:rsidR="007C7B63" w:rsidRPr="007C7B63" w:rsidRDefault="007C7B63">
      <w:pPr>
        <w:rPr>
          <w:sz w:val="24"/>
          <w:u w:val="single"/>
        </w:rPr>
      </w:pPr>
      <w:r>
        <w:rPr>
          <w:sz w:val="24"/>
        </w:rPr>
        <w:t xml:space="preserve">Form 1606   </w:t>
      </w:r>
      <w:r w:rsidR="00773E2B">
        <w:rPr>
          <w:sz w:val="24"/>
        </w:rPr>
        <w:t xml:space="preserve">120 </w:t>
      </w:r>
      <w:r>
        <w:rPr>
          <w:sz w:val="24"/>
        </w:rPr>
        <w:t xml:space="preserve">x </w:t>
      </w:r>
      <w:r w:rsidR="00D7096D">
        <w:rPr>
          <w:sz w:val="24"/>
        </w:rPr>
        <w:t xml:space="preserve">   </w:t>
      </w:r>
      <w:r>
        <w:rPr>
          <w:sz w:val="24"/>
        </w:rPr>
        <w:t xml:space="preserve">.333 hours =   </w:t>
      </w:r>
      <w:r w:rsidRPr="007C7B63">
        <w:rPr>
          <w:sz w:val="24"/>
          <w:u w:val="single"/>
        </w:rPr>
        <w:t xml:space="preserve"> </w:t>
      </w:r>
      <w:r w:rsidR="00D7096D">
        <w:rPr>
          <w:sz w:val="24"/>
          <w:u w:val="single"/>
        </w:rPr>
        <w:t xml:space="preserve">  </w:t>
      </w:r>
      <w:r w:rsidR="00773E2B">
        <w:rPr>
          <w:sz w:val="24"/>
          <w:u w:val="single"/>
        </w:rPr>
        <w:t>39.</w:t>
      </w:r>
      <w:r w:rsidR="002E7DCD">
        <w:rPr>
          <w:sz w:val="24"/>
          <w:u w:val="single"/>
        </w:rPr>
        <w:t>36</w:t>
      </w:r>
      <w:r w:rsidRPr="007C7B63">
        <w:rPr>
          <w:sz w:val="24"/>
          <w:u w:val="single"/>
        </w:rPr>
        <w:t xml:space="preserve"> hours</w:t>
      </w:r>
    </w:p>
    <w:p w:rsidR="007C7B63" w:rsidRDefault="007C7B63">
      <w:pPr>
        <w:rPr>
          <w:sz w:val="24"/>
        </w:rPr>
      </w:pPr>
      <w:r>
        <w:rPr>
          <w:sz w:val="24"/>
        </w:rPr>
        <w:t xml:space="preserve">Total Burden                               </w:t>
      </w:r>
      <w:r w:rsidR="00D7096D">
        <w:rPr>
          <w:sz w:val="24"/>
        </w:rPr>
        <w:t xml:space="preserve">      </w:t>
      </w:r>
      <w:r w:rsidR="00773E2B">
        <w:rPr>
          <w:sz w:val="24"/>
        </w:rPr>
        <w:t>279.</w:t>
      </w:r>
      <w:r w:rsidR="002E7DCD">
        <w:rPr>
          <w:sz w:val="24"/>
        </w:rPr>
        <w:t>96</w:t>
      </w:r>
      <w:r>
        <w:rPr>
          <w:sz w:val="24"/>
        </w:rPr>
        <w:t xml:space="preserve"> hours</w:t>
      </w:r>
    </w:p>
    <w:p w:rsidR="002E0088" w:rsidRDefault="002E0088">
      <w:pPr>
        <w:rPr>
          <w:sz w:val="24"/>
        </w:rPr>
      </w:pPr>
      <w:r>
        <w:rPr>
          <w:sz w:val="24"/>
        </w:rPr>
        <w:t xml:space="preserve">  </w:t>
      </w:r>
    </w:p>
    <w:p w:rsidR="002E0088" w:rsidRDefault="002E0088">
      <w:pPr>
        <w:rPr>
          <w:b/>
          <w:sz w:val="24"/>
        </w:rPr>
      </w:pPr>
    </w:p>
    <w:p w:rsidR="002E0088" w:rsidRDefault="002E0088">
      <w:pPr>
        <w:rPr>
          <w:b/>
          <w:bCs/>
          <w:sz w:val="24"/>
        </w:rPr>
      </w:pPr>
      <w:r>
        <w:rPr>
          <w:b/>
          <w:bCs/>
          <w:sz w:val="24"/>
        </w:rPr>
        <w:t>13.</w:t>
      </w:r>
      <w:r>
        <w:rPr>
          <w:b/>
          <w:bCs/>
          <w:sz w:val="24"/>
        </w:rPr>
        <w:tab/>
      </w:r>
      <w:r>
        <w:rPr>
          <w:b/>
          <w:bCs/>
          <w:sz w:val="24"/>
          <w:u w:val="single"/>
        </w:rPr>
        <w:t>Estimate of Annual Cost</w:t>
      </w:r>
      <w:r>
        <w:rPr>
          <w:b/>
          <w:bCs/>
          <w:sz w:val="24"/>
        </w:rPr>
        <w:t xml:space="preserve"> </w:t>
      </w:r>
    </w:p>
    <w:p w:rsidR="002E0088" w:rsidRDefault="002E0088">
      <w:pPr>
        <w:rPr>
          <w:sz w:val="24"/>
        </w:rPr>
      </w:pPr>
    </w:p>
    <w:p w:rsidR="002E0088" w:rsidRDefault="002E0088">
      <w:pPr>
        <w:rPr>
          <w:sz w:val="24"/>
        </w:rPr>
      </w:pPr>
      <w:r>
        <w:rPr>
          <w:sz w:val="24"/>
        </w:rPr>
        <w:t>In addition to the application filing fee of $500 per respondent, the total annualized cost for collecting the information for each respondent is calculated at an hourly rate of $50 per hour.  This figure is based on an average cost representing a mixture of analytical and support personnel.  Listed below are the forms and estimated costs:</w:t>
      </w:r>
    </w:p>
    <w:p w:rsidR="002E0088" w:rsidRDefault="002E0088">
      <w:pPr>
        <w:rPr>
          <w:sz w:val="24"/>
        </w:rPr>
      </w:pPr>
    </w:p>
    <w:p w:rsidR="002E0088" w:rsidRDefault="002E0088">
      <w:pPr>
        <w:rPr>
          <w:sz w:val="24"/>
        </w:rPr>
      </w:pPr>
    </w:p>
    <w:p w:rsidR="002E0088" w:rsidRDefault="002E0088">
      <w:r>
        <w:tab/>
      </w:r>
      <w:r>
        <w:tab/>
      </w:r>
      <w:r>
        <w:tab/>
      </w:r>
      <w:r>
        <w:tab/>
        <w:t>Number</w:t>
      </w:r>
      <w:r>
        <w:tab/>
      </w:r>
      <w:r>
        <w:tab/>
        <w:t>No. Hours</w:t>
      </w:r>
      <w:r>
        <w:tab/>
        <w:t>$50</w:t>
      </w:r>
      <w:r>
        <w:tab/>
        <w:t>Total</w:t>
      </w:r>
    </w:p>
    <w:p w:rsidR="002E0088" w:rsidRDefault="002E0088">
      <w:pPr>
        <w:rPr>
          <w:u w:val="single"/>
        </w:rPr>
      </w:pPr>
      <w:r>
        <w:rPr>
          <w:u w:val="single"/>
        </w:rPr>
        <w:t>Form</w:t>
      </w:r>
      <w:r>
        <w:tab/>
      </w:r>
      <w:r>
        <w:tab/>
      </w:r>
      <w:r>
        <w:tab/>
      </w:r>
      <w:r>
        <w:tab/>
      </w:r>
      <w:r>
        <w:rPr>
          <w:u w:val="single"/>
        </w:rPr>
        <w:t>of Forms</w:t>
      </w:r>
      <w:r>
        <w:t xml:space="preserve">    </w:t>
      </w:r>
      <w:r>
        <w:tab/>
      </w:r>
      <w:r>
        <w:rPr>
          <w:u w:val="single"/>
        </w:rPr>
        <w:t>Per Form</w:t>
      </w:r>
      <w:r>
        <w:tab/>
      </w:r>
      <w:r>
        <w:rPr>
          <w:u w:val="single"/>
        </w:rPr>
        <w:t>Per</w:t>
      </w:r>
      <w:r>
        <w:tab/>
      </w:r>
      <w:r>
        <w:rPr>
          <w:u w:val="single"/>
        </w:rPr>
        <w:t>Dollars</w:t>
      </w:r>
    </w:p>
    <w:p w:rsidR="002E0088" w:rsidRDefault="002E0088">
      <w:pPr>
        <w:rPr>
          <w:u w:val="single"/>
        </w:rPr>
      </w:pPr>
    </w:p>
    <w:p w:rsidR="002E0088" w:rsidRDefault="002E0088">
      <w:pPr>
        <w:rPr>
          <w:bCs/>
        </w:rPr>
      </w:pPr>
      <w:r>
        <w:rPr>
          <w:bCs/>
        </w:rPr>
        <w:t>Notice Form 1624</w:t>
      </w:r>
      <w:r>
        <w:rPr>
          <w:bCs/>
        </w:rPr>
        <w:tab/>
      </w:r>
      <w:r>
        <w:rPr>
          <w:bCs/>
        </w:rPr>
        <w:tab/>
      </w:r>
      <w:r w:rsidR="003E3166" w:rsidRPr="003E3166">
        <w:rPr>
          <w:bCs/>
        </w:rPr>
        <w:t>120</w:t>
      </w:r>
      <w:r>
        <w:rPr>
          <w:bCs/>
        </w:rPr>
        <w:t xml:space="preserve"> </w:t>
      </w:r>
      <w:r>
        <w:rPr>
          <w:bCs/>
        </w:rPr>
        <w:tab/>
      </w:r>
      <w:r>
        <w:rPr>
          <w:bCs/>
        </w:rPr>
        <w:tab/>
        <w:t>2</w:t>
      </w:r>
      <w:r>
        <w:rPr>
          <w:bCs/>
        </w:rPr>
        <w:tab/>
      </w:r>
      <w:r>
        <w:rPr>
          <w:bCs/>
        </w:rPr>
        <w:tab/>
        <w:t>$50</w:t>
      </w:r>
      <w:r>
        <w:rPr>
          <w:bCs/>
        </w:rPr>
        <w:tab/>
        <w:t xml:space="preserve"> $ </w:t>
      </w:r>
      <w:r w:rsidR="00931B6A">
        <w:rPr>
          <w:bCs/>
        </w:rPr>
        <w:t>12,000</w:t>
      </w:r>
      <w:r w:rsidR="00842DB5">
        <w:rPr>
          <w:bCs/>
        </w:rPr>
        <w:t xml:space="preserve"> </w:t>
      </w:r>
    </w:p>
    <w:p w:rsidR="002E0088" w:rsidRDefault="002E0088">
      <w:pPr>
        <w:rPr>
          <w:bCs/>
        </w:rPr>
      </w:pPr>
      <w:r>
        <w:rPr>
          <w:bCs/>
        </w:rPr>
        <w:t>Certification Form 1606</w:t>
      </w:r>
      <w:r>
        <w:rPr>
          <w:bCs/>
        </w:rPr>
        <w:tab/>
      </w:r>
      <w:r w:rsidR="0062146A">
        <w:rPr>
          <w:bCs/>
        </w:rPr>
        <w:t xml:space="preserve">            </w:t>
      </w:r>
      <w:r w:rsidR="003E3166" w:rsidRPr="003E3166">
        <w:rPr>
          <w:bCs/>
        </w:rPr>
        <w:t xml:space="preserve"> 120</w:t>
      </w:r>
      <w:r w:rsidR="0062146A">
        <w:rPr>
          <w:bCs/>
        </w:rPr>
        <w:t xml:space="preserve">       </w:t>
      </w:r>
      <w:r>
        <w:rPr>
          <w:bCs/>
        </w:rPr>
        <w:t xml:space="preserve"> </w:t>
      </w:r>
      <w:r>
        <w:rPr>
          <w:bCs/>
        </w:rPr>
        <w:tab/>
      </w:r>
      <w:r w:rsidR="0062146A">
        <w:rPr>
          <w:bCs/>
        </w:rPr>
        <w:t xml:space="preserve">  .333                 $50</w:t>
      </w:r>
      <w:r>
        <w:rPr>
          <w:bCs/>
        </w:rPr>
        <w:tab/>
        <w:t xml:space="preserve"> </w:t>
      </w:r>
      <w:r w:rsidR="00842DB5">
        <w:rPr>
          <w:bCs/>
        </w:rPr>
        <w:t>$   1</w:t>
      </w:r>
      <w:r w:rsidR="00931B6A">
        <w:rPr>
          <w:bCs/>
        </w:rPr>
        <w:t>,998</w:t>
      </w:r>
    </w:p>
    <w:p w:rsidR="002E0088" w:rsidRDefault="002E0088">
      <w:pPr>
        <w:rPr>
          <w:sz w:val="24"/>
        </w:rPr>
      </w:pPr>
    </w:p>
    <w:p w:rsidR="0062146A" w:rsidRDefault="0062146A">
      <w:pPr>
        <w:rPr>
          <w:sz w:val="24"/>
          <w:u w:val="single"/>
        </w:rPr>
      </w:pPr>
      <w:r w:rsidRPr="0062146A">
        <w:rPr>
          <w:sz w:val="24"/>
          <w:u w:val="single"/>
        </w:rPr>
        <w:t>Application Fees:</w:t>
      </w:r>
    </w:p>
    <w:p w:rsidR="003754C1" w:rsidRPr="003754C1" w:rsidRDefault="003754C1">
      <w:pPr>
        <w:rPr>
          <w:sz w:val="24"/>
        </w:rPr>
      </w:pPr>
    </w:p>
    <w:p w:rsidR="0062146A" w:rsidRPr="003754C1" w:rsidRDefault="003754C1">
      <w:pPr>
        <w:rPr>
          <w:sz w:val="24"/>
        </w:rPr>
      </w:pPr>
      <w:r>
        <w:rPr>
          <w:sz w:val="24"/>
        </w:rPr>
        <w:lastRenderedPageBreak/>
        <w:t xml:space="preserve">                                        No. filed           Fee Amount      Total</w:t>
      </w:r>
    </w:p>
    <w:p w:rsidR="0062146A" w:rsidRPr="003754C1" w:rsidRDefault="003754C1">
      <w:pPr>
        <w:rPr>
          <w:sz w:val="24"/>
        </w:rPr>
      </w:pPr>
      <w:r>
        <w:rPr>
          <w:sz w:val="24"/>
        </w:rPr>
        <w:t xml:space="preserve">Form 1624                       </w:t>
      </w:r>
      <w:r w:rsidR="003E3166" w:rsidRPr="003E3166">
        <w:rPr>
          <w:sz w:val="24"/>
        </w:rPr>
        <w:t>120</w:t>
      </w:r>
      <w:r w:rsidR="002E7DCD">
        <w:rPr>
          <w:sz w:val="24"/>
        </w:rPr>
        <w:t xml:space="preserve">   </w:t>
      </w:r>
      <w:r>
        <w:rPr>
          <w:sz w:val="24"/>
        </w:rPr>
        <w:t xml:space="preserve">                  $500             $</w:t>
      </w:r>
      <w:r w:rsidR="003E3166" w:rsidRPr="003E3166">
        <w:rPr>
          <w:sz w:val="24"/>
        </w:rPr>
        <w:t>60,000</w:t>
      </w:r>
    </w:p>
    <w:p w:rsidR="002E0088" w:rsidRPr="0062146A" w:rsidRDefault="002E0088">
      <w:pPr>
        <w:rPr>
          <w:sz w:val="24"/>
          <w:u w:val="single"/>
        </w:rPr>
      </w:pPr>
    </w:p>
    <w:p w:rsidR="002E0088" w:rsidRPr="0062146A" w:rsidRDefault="002E0088">
      <w:pPr>
        <w:rPr>
          <w:u w:val="single"/>
        </w:rPr>
      </w:pPr>
    </w:p>
    <w:p w:rsidR="002E0088" w:rsidRDefault="002E0088">
      <w:pPr>
        <w:rPr>
          <w:b/>
          <w:bCs/>
          <w:sz w:val="24"/>
        </w:rPr>
      </w:pPr>
      <w:r>
        <w:rPr>
          <w:b/>
          <w:bCs/>
          <w:sz w:val="24"/>
        </w:rPr>
        <w:t>14.</w:t>
      </w:r>
      <w:r>
        <w:rPr>
          <w:b/>
          <w:bCs/>
          <w:sz w:val="24"/>
        </w:rPr>
        <w:tab/>
      </w:r>
      <w:r>
        <w:rPr>
          <w:b/>
          <w:bCs/>
          <w:sz w:val="24"/>
          <w:u w:val="single"/>
        </w:rPr>
        <w:t>Estimate of Annual Cost to Government</w:t>
      </w:r>
      <w:r>
        <w:rPr>
          <w:b/>
          <w:bCs/>
          <w:sz w:val="24"/>
        </w:rPr>
        <w:t xml:space="preserve"> </w:t>
      </w:r>
    </w:p>
    <w:p w:rsidR="002E0088" w:rsidRDefault="002E0088">
      <w:pPr>
        <w:rPr>
          <w:sz w:val="24"/>
        </w:rPr>
      </w:pPr>
    </w:p>
    <w:p w:rsidR="002E0088" w:rsidRDefault="002E0088">
      <w:pPr>
        <w:rPr>
          <w:sz w:val="24"/>
        </w:rPr>
      </w:pPr>
      <w:r>
        <w:rPr>
          <w:sz w:val="24"/>
        </w:rPr>
        <w:t>The total estimated annualized cost to the government for collecting the information is minimal because:  (i) the Interagency Notice of Biographical and Financial Report is currently utilized in connection with other types of applications; (ii) there will not be any developmental, computer, or other equipment costs; and (iii) no new employees will be hired to evaluate the information.</w:t>
      </w:r>
    </w:p>
    <w:p w:rsidR="002E0088" w:rsidRDefault="002E0088">
      <w:pPr>
        <w:rPr>
          <w:sz w:val="24"/>
        </w:rPr>
      </w:pPr>
    </w:p>
    <w:p w:rsidR="002E0088" w:rsidRDefault="002E0088">
      <w:pPr>
        <w:rPr>
          <w:b/>
          <w:bCs/>
          <w:sz w:val="24"/>
        </w:rPr>
      </w:pPr>
      <w:r>
        <w:rPr>
          <w:b/>
          <w:bCs/>
          <w:sz w:val="24"/>
        </w:rPr>
        <w:t>15.</w:t>
      </w:r>
      <w:r>
        <w:rPr>
          <w:b/>
          <w:bCs/>
          <w:sz w:val="24"/>
        </w:rPr>
        <w:tab/>
      </w:r>
      <w:r>
        <w:rPr>
          <w:b/>
          <w:bCs/>
          <w:sz w:val="24"/>
          <w:u w:val="single"/>
        </w:rPr>
        <w:t>Reason for Change in Burden</w:t>
      </w:r>
      <w:r>
        <w:rPr>
          <w:b/>
          <w:bCs/>
          <w:sz w:val="24"/>
        </w:rPr>
        <w:t xml:space="preserve"> </w:t>
      </w:r>
    </w:p>
    <w:p w:rsidR="00701B22" w:rsidRDefault="00701B22">
      <w:pPr>
        <w:rPr>
          <w:sz w:val="24"/>
        </w:rPr>
      </w:pPr>
    </w:p>
    <w:p w:rsidR="00E06DF6" w:rsidRDefault="00E06DF6">
      <w:pPr>
        <w:rPr>
          <w:sz w:val="24"/>
        </w:rPr>
      </w:pPr>
      <w:r>
        <w:rPr>
          <w:sz w:val="24"/>
        </w:rPr>
        <w:t xml:space="preserve">OTS is citing an increase in the inventory burden in the amount of 47 hours as an adjustment due to an increase in the number of respondents. </w:t>
      </w:r>
    </w:p>
    <w:p w:rsidR="00E06DF6" w:rsidRDefault="00E06DF6">
      <w:pPr>
        <w:rPr>
          <w:sz w:val="24"/>
        </w:rPr>
      </w:pPr>
    </w:p>
    <w:p w:rsidR="002E0088" w:rsidRDefault="002E0088">
      <w:pPr>
        <w:rPr>
          <w:b/>
          <w:bCs/>
          <w:sz w:val="24"/>
        </w:rPr>
      </w:pPr>
      <w:r>
        <w:rPr>
          <w:b/>
          <w:bCs/>
          <w:sz w:val="24"/>
        </w:rPr>
        <w:t>16.</w:t>
      </w:r>
      <w:r>
        <w:rPr>
          <w:b/>
          <w:bCs/>
          <w:sz w:val="24"/>
        </w:rPr>
        <w:tab/>
      </w:r>
      <w:r>
        <w:rPr>
          <w:b/>
          <w:bCs/>
          <w:sz w:val="24"/>
          <w:u w:val="single"/>
        </w:rPr>
        <w:t>Publication</w:t>
      </w:r>
    </w:p>
    <w:p w:rsidR="002E0088" w:rsidRDefault="002E0088">
      <w:pPr>
        <w:rPr>
          <w:sz w:val="24"/>
        </w:rPr>
      </w:pPr>
    </w:p>
    <w:p w:rsidR="002E0088" w:rsidRDefault="002E0088">
      <w:pPr>
        <w:rPr>
          <w:sz w:val="24"/>
        </w:rPr>
      </w:pPr>
      <w:r>
        <w:rPr>
          <w:sz w:val="24"/>
        </w:rPr>
        <w:t>Not applicable.</w:t>
      </w:r>
    </w:p>
    <w:p w:rsidR="002E0088" w:rsidRDefault="002E0088">
      <w:pPr>
        <w:rPr>
          <w:sz w:val="24"/>
        </w:rPr>
      </w:pPr>
    </w:p>
    <w:p w:rsidR="002E0088" w:rsidRDefault="002E0088">
      <w:pPr>
        <w:rPr>
          <w:b/>
          <w:bCs/>
          <w:sz w:val="24"/>
          <w:u w:val="single"/>
        </w:rPr>
      </w:pPr>
      <w:r>
        <w:rPr>
          <w:b/>
          <w:bCs/>
          <w:sz w:val="24"/>
        </w:rPr>
        <w:t>17.</w:t>
      </w:r>
      <w:r>
        <w:rPr>
          <w:b/>
          <w:bCs/>
          <w:sz w:val="24"/>
        </w:rPr>
        <w:tab/>
      </w:r>
      <w:r>
        <w:rPr>
          <w:b/>
          <w:bCs/>
          <w:sz w:val="24"/>
          <w:u w:val="single"/>
        </w:rPr>
        <w:t>Expiration Date</w:t>
      </w:r>
      <w:r>
        <w:rPr>
          <w:b/>
          <w:bCs/>
          <w:sz w:val="24"/>
        </w:rPr>
        <w:t xml:space="preserve"> </w:t>
      </w:r>
    </w:p>
    <w:p w:rsidR="002E0088" w:rsidRDefault="002E0088">
      <w:pPr>
        <w:rPr>
          <w:sz w:val="24"/>
          <w:u w:val="single"/>
        </w:rPr>
      </w:pPr>
    </w:p>
    <w:p w:rsidR="002E0088" w:rsidRDefault="002E0088">
      <w:pPr>
        <w:rPr>
          <w:sz w:val="24"/>
        </w:rPr>
      </w:pPr>
      <w:r>
        <w:rPr>
          <w:sz w:val="24"/>
        </w:rPr>
        <w:t>The OMB expiration date will be displayed on the Interagency Notice of Change in Director or Senior Executive Officer and the Interagency Biographical and Financial Report.</w:t>
      </w:r>
    </w:p>
    <w:p w:rsidR="002E0088" w:rsidRDefault="002E0088">
      <w:pPr>
        <w:rPr>
          <w:sz w:val="24"/>
        </w:rPr>
      </w:pPr>
    </w:p>
    <w:p w:rsidR="002E0088" w:rsidRDefault="002E0088">
      <w:pPr>
        <w:rPr>
          <w:b/>
          <w:bCs/>
          <w:sz w:val="24"/>
        </w:rPr>
      </w:pPr>
      <w:r>
        <w:rPr>
          <w:b/>
          <w:bCs/>
          <w:sz w:val="24"/>
        </w:rPr>
        <w:t>18.</w:t>
      </w:r>
      <w:r>
        <w:rPr>
          <w:b/>
          <w:bCs/>
          <w:sz w:val="24"/>
        </w:rPr>
        <w:tab/>
      </w:r>
      <w:r>
        <w:rPr>
          <w:b/>
          <w:bCs/>
          <w:sz w:val="24"/>
          <w:u w:val="single"/>
        </w:rPr>
        <w:t>Exceptions</w:t>
      </w:r>
    </w:p>
    <w:p w:rsidR="002E0088" w:rsidRDefault="002E0088">
      <w:pPr>
        <w:rPr>
          <w:sz w:val="24"/>
        </w:rPr>
      </w:pPr>
    </w:p>
    <w:p w:rsidR="002E0088" w:rsidRDefault="002E0088">
      <w:pPr>
        <w:rPr>
          <w:sz w:val="24"/>
        </w:rPr>
      </w:pPr>
      <w:r>
        <w:rPr>
          <w:sz w:val="24"/>
        </w:rPr>
        <w:t>There are no exceptions to the certification on OMB Form 83-I.</w:t>
      </w:r>
    </w:p>
    <w:p w:rsidR="002E0088" w:rsidRDefault="002E0088">
      <w:pPr>
        <w:rPr>
          <w:b/>
          <w:bCs/>
          <w:sz w:val="24"/>
        </w:rPr>
      </w:pPr>
      <w:r>
        <w:rPr>
          <w:b/>
          <w:bCs/>
          <w:sz w:val="24"/>
        </w:rPr>
        <w:t>B.</w:t>
      </w:r>
      <w:r>
        <w:rPr>
          <w:b/>
          <w:bCs/>
          <w:sz w:val="24"/>
        </w:rPr>
        <w:tab/>
      </w:r>
      <w:r>
        <w:rPr>
          <w:b/>
          <w:bCs/>
          <w:sz w:val="24"/>
          <w:u w:val="single"/>
        </w:rPr>
        <w:t>COLLECTION OF INFORMATION EMPLOYING STATISTICAL METHODS</w:t>
      </w:r>
    </w:p>
    <w:p w:rsidR="002E0088" w:rsidRDefault="002E0088">
      <w:pPr>
        <w:rPr>
          <w:sz w:val="24"/>
        </w:rPr>
      </w:pPr>
    </w:p>
    <w:p w:rsidR="002E0088" w:rsidRDefault="002E0088">
      <w:pPr>
        <w:rPr>
          <w:sz w:val="24"/>
        </w:rPr>
      </w:pPr>
      <w:r>
        <w:rPr>
          <w:sz w:val="24"/>
        </w:rPr>
        <w:t>Not applicable.</w:t>
      </w:r>
    </w:p>
    <w:p w:rsidR="002E0088" w:rsidRDefault="002E0088">
      <w:pPr>
        <w:rPr>
          <w:sz w:val="24"/>
        </w:rPr>
      </w:pPr>
    </w:p>
    <w:p w:rsidR="002E0088" w:rsidRDefault="002E0088"/>
    <w:sectPr w:rsidR="002E0088" w:rsidSect="00864A71">
      <w:headerReference w:type="default" r:id="rId7"/>
      <w:pgSz w:w="12240" w:h="15840"/>
      <w:pgMar w:top="1440" w:right="1166"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2A" w:rsidRDefault="0002132A">
      <w:r>
        <w:separator/>
      </w:r>
    </w:p>
  </w:endnote>
  <w:endnote w:type="continuationSeparator" w:id="0">
    <w:p w:rsidR="0002132A" w:rsidRDefault="00021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2A" w:rsidRDefault="0002132A">
      <w:r>
        <w:separator/>
      </w:r>
    </w:p>
  </w:footnote>
  <w:footnote w:type="continuationSeparator" w:id="0">
    <w:p w:rsidR="0002132A" w:rsidRDefault="0002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2A" w:rsidRDefault="0002132A">
    <w:pPr>
      <w:rPr>
        <w:sz w:val="24"/>
      </w:rPr>
    </w:pPr>
    <w:r>
      <w:rPr>
        <w:sz w:val="24"/>
      </w:rPr>
      <w:t>Supporting Statement</w:t>
    </w:r>
  </w:p>
  <w:p w:rsidR="0002132A" w:rsidRDefault="0002132A">
    <w:pPr>
      <w:rPr>
        <w:sz w:val="24"/>
      </w:rPr>
    </w:pPr>
    <w:r>
      <w:rPr>
        <w:sz w:val="24"/>
      </w:rPr>
      <w:t>OMB Control No. 1550-0047</w:t>
    </w:r>
  </w:p>
  <w:p w:rsidR="0002132A" w:rsidRDefault="0002132A">
    <w:pPr>
      <w:rPr>
        <w:sz w:val="24"/>
      </w:rPr>
    </w:pPr>
    <w:r>
      <w:rPr>
        <w:sz w:val="24"/>
      </w:rPr>
      <w:t xml:space="preserve">Page </w:t>
    </w:r>
    <w:r w:rsidR="003E3166">
      <w:rPr>
        <w:rStyle w:val="PageNumber"/>
        <w:sz w:val="24"/>
      </w:rPr>
      <w:fldChar w:fldCharType="begin"/>
    </w:r>
    <w:r>
      <w:rPr>
        <w:rStyle w:val="PageNumber"/>
        <w:sz w:val="24"/>
      </w:rPr>
      <w:instrText xml:space="preserve"> PAGE </w:instrText>
    </w:r>
    <w:r w:rsidR="003E3166">
      <w:rPr>
        <w:rStyle w:val="PageNumber"/>
        <w:sz w:val="24"/>
      </w:rPr>
      <w:fldChar w:fldCharType="separate"/>
    </w:r>
    <w:r w:rsidR="00C17601">
      <w:rPr>
        <w:rStyle w:val="PageNumber"/>
        <w:noProof/>
        <w:sz w:val="24"/>
      </w:rPr>
      <w:t>3</w:t>
    </w:r>
    <w:r w:rsidR="003E3166">
      <w:rPr>
        <w:rStyle w:val="PageNumber"/>
        <w:sz w:val="24"/>
      </w:rPr>
      <w:fldChar w:fldCharType="end"/>
    </w:r>
  </w:p>
  <w:p w:rsidR="0002132A" w:rsidRDefault="0002132A">
    <w:pPr>
      <w:pStyle w:val="Header"/>
    </w:pPr>
  </w:p>
  <w:p w:rsidR="0002132A" w:rsidRDefault="000213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70216B"/>
    <w:rsid w:val="0002132A"/>
    <w:rsid w:val="001A60C4"/>
    <w:rsid w:val="002E0088"/>
    <w:rsid w:val="002E7DCD"/>
    <w:rsid w:val="00331B14"/>
    <w:rsid w:val="00367386"/>
    <w:rsid w:val="003754C1"/>
    <w:rsid w:val="003E3166"/>
    <w:rsid w:val="004E7BC1"/>
    <w:rsid w:val="006117C4"/>
    <w:rsid w:val="0062146A"/>
    <w:rsid w:val="00681828"/>
    <w:rsid w:val="006956D2"/>
    <w:rsid w:val="006B143E"/>
    <w:rsid w:val="006B2458"/>
    <w:rsid w:val="006D463D"/>
    <w:rsid w:val="006E7698"/>
    <w:rsid w:val="00701B22"/>
    <w:rsid w:val="0070216B"/>
    <w:rsid w:val="00773E2B"/>
    <w:rsid w:val="00776877"/>
    <w:rsid w:val="0079389D"/>
    <w:rsid w:val="007C7B63"/>
    <w:rsid w:val="00842DB5"/>
    <w:rsid w:val="00864A71"/>
    <w:rsid w:val="00903254"/>
    <w:rsid w:val="009045A7"/>
    <w:rsid w:val="00931B6A"/>
    <w:rsid w:val="00957856"/>
    <w:rsid w:val="009630A9"/>
    <w:rsid w:val="009C77D8"/>
    <w:rsid w:val="00B26D05"/>
    <w:rsid w:val="00BF2CDE"/>
    <w:rsid w:val="00C17601"/>
    <w:rsid w:val="00C4137B"/>
    <w:rsid w:val="00CB448D"/>
    <w:rsid w:val="00CD710E"/>
    <w:rsid w:val="00D25B19"/>
    <w:rsid w:val="00D7096D"/>
    <w:rsid w:val="00E02E40"/>
    <w:rsid w:val="00E06DF6"/>
    <w:rsid w:val="00E12444"/>
    <w:rsid w:val="00E2686D"/>
    <w:rsid w:val="00E8466A"/>
    <w:rsid w:val="00FB6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A71"/>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701B2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71"/>
    <w:pPr>
      <w:tabs>
        <w:tab w:val="center" w:pos="4320"/>
        <w:tab w:val="right" w:pos="8640"/>
      </w:tabs>
    </w:pPr>
  </w:style>
  <w:style w:type="paragraph" w:styleId="Footer">
    <w:name w:val="footer"/>
    <w:basedOn w:val="Normal"/>
    <w:rsid w:val="00864A71"/>
    <w:pPr>
      <w:tabs>
        <w:tab w:val="center" w:pos="4320"/>
        <w:tab w:val="right" w:pos="8640"/>
      </w:tabs>
    </w:pPr>
  </w:style>
  <w:style w:type="character" w:styleId="PageNumber">
    <w:name w:val="page number"/>
    <w:basedOn w:val="DefaultParagraphFont"/>
    <w:rsid w:val="00864A71"/>
  </w:style>
  <w:style w:type="paragraph" w:styleId="BalloonText">
    <w:name w:val="Balloon Text"/>
    <w:basedOn w:val="Normal"/>
    <w:link w:val="BalloonTextChar"/>
    <w:rsid w:val="00367386"/>
    <w:rPr>
      <w:rFonts w:ascii="Tahoma" w:hAnsi="Tahoma" w:cs="Tahoma"/>
      <w:sz w:val="16"/>
      <w:szCs w:val="16"/>
    </w:rPr>
  </w:style>
  <w:style w:type="character" w:customStyle="1" w:styleId="BalloonTextChar">
    <w:name w:val="Balloon Text Char"/>
    <w:basedOn w:val="DefaultParagraphFont"/>
    <w:link w:val="BalloonText"/>
    <w:rsid w:val="00367386"/>
    <w:rPr>
      <w:rFonts w:ascii="Tahoma" w:hAnsi="Tahoma" w:cs="Tahoma"/>
      <w:sz w:val="16"/>
      <w:szCs w:val="16"/>
    </w:rPr>
  </w:style>
  <w:style w:type="character" w:customStyle="1" w:styleId="Heading1Char">
    <w:name w:val="Heading 1 Char"/>
    <w:basedOn w:val="DefaultParagraphFont"/>
    <w:link w:val="Heading1"/>
    <w:rsid w:val="00701B22"/>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1EAC-071A-4636-AB57-3752A054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1179</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 BY THE OTS FOR</vt:lpstr>
    </vt:vector>
  </TitlesOfParts>
  <Company>OTS</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BY THE OTS FOR</dc:title>
  <dc:creator>MARILYN BURTON</dc:creator>
  <cp:lastModifiedBy>Ira Mills</cp:lastModifiedBy>
  <cp:revision>7</cp:revision>
  <cp:lastPrinted>2011-03-08T15:26:00Z</cp:lastPrinted>
  <dcterms:created xsi:type="dcterms:W3CDTF">2010-12-15T15:04:00Z</dcterms:created>
  <dcterms:modified xsi:type="dcterms:W3CDTF">2011-03-08T15:26:00Z</dcterms:modified>
</cp:coreProperties>
</file>