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DE" w:rsidRDefault="004F692A" w:rsidP="005606DE">
      <w:pPr>
        <w:pStyle w:val="Title"/>
        <w:spacing w:before="0" w:after="0"/>
        <w:rPr>
          <w:sz w:val="28"/>
        </w:rPr>
      </w:pPr>
      <w:r>
        <w:rPr>
          <w:sz w:val="28"/>
        </w:rPr>
        <w:tab/>
      </w:r>
      <w:r w:rsidR="005606DE">
        <w:rPr>
          <w:sz w:val="28"/>
        </w:rPr>
        <w:t>Minority Science and Engineering Improvement Program (MSEIP)</w:t>
      </w:r>
    </w:p>
    <w:p w:rsidR="005606DE" w:rsidRDefault="005606DE" w:rsidP="005606DE">
      <w:pPr>
        <w:pStyle w:val="Title"/>
        <w:spacing w:before="0" w:after="0"/>
        <w:rPr>
          <w:sz w:val="28"/>
        </w:rPr>
      </w:pPr>
    </w:p>
    <w:p w:rsidR="005606DE" w:rsidRDefault="005606DE" w:rsidP="005606DE">
      <w:pPr>
        <w:pStyle w:val="Title"/>
        <w:spacing w:before="0" w:after="0"/>
        <w:rPr>
          <w:sz w:val="28"/>
        </w:rPr>
      </w:pPr>
    </w:p>
    <w:p w:rsidR="005606DE" w:rsidRDefault="005606DE" w:rsidP="005606DE">
      <w:pPr>
        <w:pStyle w:val="Title"/>
        <w:spacing w:before="0" w:after="0"/>
        <w:rPr>
          <w:sz w:val="28"/>
        </w:rPr>
      </w:pPr>
    </w:p>
    <w:p w:rsidR="005606DE" w:rsidRDefault="005606DE" w:rsidP="005606DE">
      <w:pPr>
        <w:pStyle w:val="Title"/>
        <w:spacing w:before="0" w:after="0"/>
        <w:rPr>
          <w:sz w:val="28"/>
        </w:rPr>
      </w:pPr>
    </w:p>
    <w:p w:rsidR="005606DE" w:rsidRDefault="005606DE" w:rsidP="005606DE">
      <w:pPr>
        <w:pStyle w:val="Title"/>
        <w:spacing w:before="0" w:after="0"/>
        <w:rPr>
          <w:sz w:val="28"/>
        </w:rPr>
      </w:pPr>
    </w:p>
    <w:p w:rsidR="005606DE" w:rsidRDefault="00A76E38" w:rsidP="005606DE">
      <w:pPr>
        <w:pStyle w:val="Title"/>
        <w:spacing w:before="0" w:after="0"/>
        <w:rPr>
          <w:sz w:val="28"/>
        </w:rPr>
      </w:pPr>
      <w:r w:rsidRPr="00A76E38">
        <w:rPr>
          <w:noProof/>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0.9pt;height:121.6pt;visibility:visible">
            <v:imagedata r:id="rId8" o:title=""/>
          </v:shape>
        </w:pict>
      </w:r>
    </w:p>
    <w:p w:rsidR="005606DE" w:rsidRDefault="005606DE" w:rsidP="005606DE">
      <w:pPr>
        <w:pStyle w:val="Title"/>
        <w:spacing w:before="0" w:after="0"/>
        <w:rPr>
          <w:sz w:val="28"/>
        </w:rPr>
      </w:pPr>
    </w:p>
    <w:p w:rsidR="005606DE" w:rsidRDefault="005606DE" w:rsidP="005606DE">
      <w:pPr>
        <w:pStyle w:val="Title"/>
        <w:spacing w:before="0" w:after="0"/>
        <w:rPr>
          <w:sz w:val="28"/>
        </w:rPr>
      </w:pPr>
    </w:p>
    <w:p w:rsidR="006E329D" w:rsidRDefault="006E329D" w:rsidP="005606DE">
      <w:pPr>
        <w:pStyle w:val="Title"/>
        <w:spacing w:before="0" w:after="0"/>
        <w:rPr>
          <w:rFonts w:ascii="Univers" w:hAnsi="Univers"/>
          <w:sz w:val="24"/>
        </w:rPr>
      </w:pPr>
    </w:p>
    <w:p w:rsidR="006E329D" w:rsidRDefault="006E329D" w:rsidP="005606DE">
      <w:pPr>
        <w:pStyle w:val="Title"/>
        <w:spacing w:before="0" w:after="0"/>
        <w:rPr>
          <w:rFonts w:ascii="Univers" w:hAnsi="Univers"/>
          <w:sz w:val="24"/>
        </w:rPr>
      </w:pPr>
    </w:p>
    <w:p w:rsidR="006E329D" w:rsidRDefault="006E329D" w:rsidP="005606DE">
      <w:pPr>
        <w:pStyle w:val="Title"/>
        <w:spacing w:before="0" w:after="0"/>
        <w:rPr>
          <w:rFonts w:ascii="Univers" w:hAnsi="Univers"/>
          <w:sz w:val="24"/>
        </w:rPr>
      </w:pPr>
    </w:p>
    <w:p w:rsidR="005606DE" w:rsidRDefault="005606DE" w:rsidP="005606DE">
      <w:pPr>
        <w:pStyle w:val="Title"/>
        <w:spacing w:before="0" w:after="0"/>
        <w:rPr>
          <w:rFonts w:ascii="Univers" w:hAnsi="Univers"/>
          <w:sz w:val="24"/>
        </w:rPr>
      </w:pPr>
      <w:r>
        <w:rPr>
          <w:rFonts w:ascii="Univers" w:hAnsi="Univers"/>
          <w:sz w:val="24"/>
        </w:rPr>
        <w:t>SUPPORTING STATEMENT</w:t>
      </w:r>
    </w:p>
    <w:p w:rsidR="005606DE" w:rsidRDefault="005606DE" w:rsidP="005606DE">
      <w:pPr>
        <w:pStyle w:val="Title"/>
        <w:spacing w:before="0" w:after="0"/>
        <w:rPr>
          <w:rFonts w:ascii="Univers" w:hAnsi="Univers"/>
          <w:sz w:val="24"/>
        </w:rPr>
      </w:pPr>
      <w:r>
        <w:rPr>
          <w:rFonts w:ascii="Univers" w:hAnsi="Univers"/>
          <w:sz w:val="24"/>
        </w:rPr>
        <w:tab/>
        <w:t>FOR PAPERWORK REDUCTION ACT SUBMISSION</w:t>
      </w:r>
    </w:p>
    <w:p w:rsidR="005606DE" w:rsidRPr="005606DE" w:rsidRDefault="005606DE" w:rsidP="005606DE">
      <w:pPr>
        <w:pStyle w:val="Title"/>
        <w:spacing w:before="0" w:after="0"/>
        <w:rPr>
          <w:sz w:val="36"/>
          <w:szCs w:val="36"/>
        </w:rPr>
      </w:pPr>
      <w:r w:rsidRPr="005606DE">
        <w:rPr>
          <w:sz w:val="36"/>
          <w:szCs w:val="36"/>
        </w:rPr>
        <w:t>FY 2011-2013</w:t>
      </w:r>
    </w:p>
    <w:p w:rsidR="007B0A39" w:rsidRDefault="007B0A39" w:rsidP="00982A53">
      <w:pPr>
        <w:pStyle w:val="Title"/>
        <w:spacing w:before="0" w:after="0"/>
        <w:rPr>
          <w:sz w:val="28"/>
        </w:rPr>
      </w:pPr>
    </w:p>
    <w:p w:rsidR="007B0A39" w:rsidRDefault="007B0A39" w:rsidP="00982A53">
      <w:pPr>
        <w:pStyle w:val="Title"/>
        <w:spacing w:before="0" w:after="0"/>
        <w:rPr>
          <w:sz w:val="28"/>
        </w:rPr>
      </w:pPr>
    </w:p>
    <w:p w:rsidR="007B0A39" w:rsidRDefault="007B0A39" w:rsidP="00982A53">
      <w:pPr>
        <w:pStyle w:val="Title"/>
        <w:spacing w:before="0" w:after="0"/>
        <w:rPr>
          <w:sz w:val="28"/>
        </w:rPr>
      </w:pPr>
    </w:p>
    <w:p w:rsidR="006E329D" w:rsidRDefault="006E329D" w:rsidP="00982A53">
      <w:pPr>
        <w:pStyle w:val="Title"/>
        <w:spacing w:before="0" w:after="0"/>
        <w:rPr>
          <w:sz w:val="28"/>
        </w:rPr>
      </w:pPr>
    </w:p>
    <w:p w:rsidR="007B0A39" w:rsidRDefault="007B0A39" w:rsidP="00982A53">
      <w:pPr>
        <w:pStyle w:val="Title"/>
        <w:spacing w:before="0" w:after="0"/>
        <w:rPr>
          <w:sz w:val="28"/>
        </w:rPr>
      </w:pPr>
    </w:p>
    <w:p w:rsidR="006E329D" w:rsidRDefault="006E329D" w:rsidP="00982A53">
      <w:pPr>
        <w:pStyle w:val="Title"/>
        <w:spacing w:before="0" w:after="0"/>
        <w:rPr>
          <w:sz w:val="28"/>
        </w:rPr>
      </w:pPr>
    </w:p>
    <w:p w:rsidR="006E329D" w:rsidRDefault="006E329D" w:rsidP="00982A53">
      <w:pPr>
        <w:pStyle w:val="Title"/>
        <w:spacing w:before="0" w:after="0"/>
        <w:rPr>
          <w:sz w:val="28"/>
        </w:rPr>
      </w:pPr>
    </w:p>
    <w:p w:rsidR="006E329D" w:rsidRDefault="006E329D" w:rsidP="00982A53">
      <w:pPr>
        <w:pStyle w:val="Title"/>
        <w:spacing w:before="0" w:after="0"/>
        <w:rPr>
          <w:sz w:val="28"/>
        </w:rPr>
      </w:pPr>
    </w:p>
    <w:p w:rsidR="006E329D" w:rsidRDefault="006E329D" w:rsidP="00982A53">
      <w:pPr>
        <w:pStyle w:val="Title"/>
        <w:spacing w:before="0" w:after="0"/>
        <w:rPr>
          <w:sz w:val="28"/>
        </w:rPr>
      </w:pPr>
    </w:p>
    <w:p w:rsidR="007B0A39" w:rsidRDefault="007B0A39" w:rsidP="00982A53">
      <w:pPr>
        <w:pStyle w:val="Title"/>
        <w:spacing w:before="0" w:after="0"/>
        <w:rPr>
          <w:sz w:val="28"/>
        </w:rPr>
      </w:pPr>
    </w:p>
    <w:p w:rsidR="007B0A39" w:rsidRDefault="007B0A39" w:rsidP="00982A53">
      <w:pPr>
        <w:pStyle w:val="Title"/>
        <w:spacing w:before="0" w:after="0"/>
        <w:rPr>
          <w:sz w:val="28"/>
        </w:rPr>
      </w:pPr>
    </w:p>
    <w:p w:rsidR="007B0A39" w:rsidRDefault="007B0A39" w:rsidP="007B0A39">
      <w:pPr>
        <w:pStyle w:val="Title"/>
        <w:spacing w:before="0" w:after="0"/>
        <w:rPr>
          <w:sz w:val="24"/>
          <w:szCs w:val="24"/>
        </w:rPr>
      </w:pPr>
      <w:r>
        <w:rPr>
          <w:sz w:val="24"/>
          <w:szCs w:val="24"/>
        </w:rPr>
        <w:t>prepared</w:t>
      </w:r>
    </w:p>
    <w:p w:rsidR="007B0A39" w:rsidRDefault="007B0A39" w:rsidP="007B0A39">
      <w:pPr>
        <w:pStyle w:val="Title"/>
        <w:spacing w:before="0" w:after="0"/>
        <w:jc w:val="left"/>
        <w:rPr>
          <w:sz w:val="24"/>
          <w:szCs w:val="24"/>
        </w:rPr>
      </w:pPr>
    </w:p>
    <w:p w:rsidR="007B0A39" w:rsidRPr="007B0A39" w:rsidRDefault="007B0A39" w:rsidP="007B0A39">
      <w:pPr>
        <w:pStyle w:val="Title"/>
        <w:spacing w:before="0" w:after="0"/>
        <w:rPr>
          <w:sz w:val="24"/>
          <w:szCs w:val="24"/>
        </w:rPr>
        <w:sectPr w:rsidR="007B0A39" w:rsidRPr="007B0A39" w:rsidSect="00B235E6">
          <w:footerReference w:type="default" r:id="rId9"/>
          <w:endnotePr>
            <w:numFmt w:val="decimal"/>
          </w:endnotePr>
          <w:pgSz w:w="12240" w:h="15840" w:code="1"/>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20"/>
          <w:noEndnote/>
          <w:titlePg/>
          <w:docGrid w:linePitch="326"/>
        </w:sectPr>
      </w:pPr>
      <w:r>
        <w:rPr>
          <w:sz w:val="24"/>
          <w:szCs w:val="24"/>
        </w:rPr>
        <w:t>December 2010</w:t>
      </w:r>
    </w:p>
    <w:p w:rsidR="004F692A" w:rsidRDefault="004F692A" w:rsidP="00982A53">
      <w:pPr>
        <w:pStyle w:val="Title"/>
        <w:spacing w:before="0" w:after="0"/>
        <w:rPr>
          <w:rFonts w:ascii="Univers" w:hAnsi="Univers"/>
          <w:sz w:val="24"/>
        </w:rPr>
      </w:pPr>
      <w:r>
        <w:rPr>
          <w:rFonts w:ascii="Univers" w:hAnsi="Univers"/>
          <w:sz w:val="24"/>
        </w:rPr>
        <w:lastRenderedPageBreak/>
        <w:t>SUPPORTING STATEMENT</w:t>
      </w:r>
    </w:p>
    <w:p w:rsidR="004F692A" w:rsidRDefault="004F692A" w:rsidP="00982A53">
      <w:pPr>
        <w:pStyle w:val="Title"/>
        <w:spacing w:before="0" w:after="0"/>
        <w:rPr>
          <w:rFonts w:ascii="Univers" w:hAnsi="Univers"/>
          <w:sz w:val="24"/>
        </w:rPr>
      </w:pPr>
      <w:r>
        <w:rPr>
          <w:rFonts w:ascii="Univers" w:hAnsi="Univers"/>
          <w:sz w:val="24"/>
        </w:rPr>
        <w:tab/>
        <w:t>FOR PAPERWORK REDUCTION ACT SUBMISSION</w:t>
      </w:r>
    </w:p>
    <w:p w:rsidR="00E66703" w:rsidRDefault="00E66703" w:rsidP="00E66703"/>
    <w:p w:rsidR="00E66703" w:rsidRPr="009669C1" w:rsidRDefault="00E66703" w:rsidP="00E66703">
      <w:pPr>
        <w:pBdr>
          <w:bottom w:val="double" w:sz="6" w:space="1" w:color="auto"/>
        </w:pBdr>
        <w:rPr>
          <w:b/>
        </w:rPr>
      </w:pPr>
      <w:r w:rsidRPr="009669C1">
        <w:rPr>
          <w:b/>
        </w:rPr>
        <w:t>AP</w:t>
      </w:r>
      <w:r w:rsidR="00881434" w:rsidRPr="009669C1">
        <w:rPr>
          <w:b/>
        </w:rPr>
        <w:t xml:space="preserve">PLICATION FOR GRANTS UNDER THE </w:t>
      </w:r>
      <w:r w:rsidRPr="009669C1">
        <w:rPr>
          <w:b/>
        </w:rPr>
        <w:t>Minority Science and Engineering Improvement Program (MSEIP), CFDA NUMBER 84.120A</w:t>
      </w:r>
    </w:p>
    <w:p w:rsidR="00982A53" w:rsidRDefault="00982A53">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2106D2" w:rsidRDefault="002106D2" w:rsidP="002106D2">
      <w:r>
        <w:t>The Office of Postsecondary Education is requesting</w:t>
      </w:r>
      <w:r w:rsidR="00B235E6">
        <w:t xml:space="preserve"> </w:t>
      </w:r>
      <w:r>
        <w:t>reinstatement of this previously approved application which will be needed for the upcoming FY 2011 Minority Science and Engineering Improvement Program (MSEIP) competition that is anticipated to take place in spring of 2011.  The previous application was discontinued on May 30, 2009, to allow the Department to review suggestions from prospective applicants and to incorporate and update changes that would clarify information. In FY 2010 we funded down the FY 2009 grant slate because of the significant number of high-quality applications.</w:t>
      </w:r>
    </w:p>
    <w:p w:rsidR="002106D2" w:rsidRDefault="002106D2" w:rsidP="00832583"/>
    <w:p w:rsidR="002106D2" w:rsidRDefault="002106D2" w:rsidP="002106D2">
      <w:r>
        <w:t>The authorizing statute for this program</w:t>
      </w:r>
      <w:r w:rsidR="00912FCF">
        <w:t xml:space="preserve">, </w:t>
      </w:r>
      <w:r w:rsidR="00AD4705">
        <w:t>Ti</w:t>
      </w:r>
      <w:r w:rsidR="00D06CAE">
        <w:t>tle III, Part E, Subpart 1, Sections</w:t>
      </w:r>
      <w:r w:rsidR="00AD4705">
        <w:t xml:space="preserve"> 350-365 of the Higher Education Act of 1965, as amended</w:t>
      </w:r>
      <w:r>
        <w:t>, and the governing regulations</w:t>
      </w:r>
      <w:r w:rsidR="00912FCF">
        <w:t xml:space="preserve"> </w:t>
      </w:r>
      <w:r w:rsidR="002600B4">
        <w:t>(34CFR637.1)</w:t>
      </w:r>
      <w:r>
        <w:t>, require the collection of this information to determine the applicant’s eligibility.</w:t>
      </w:r>
    </w:p>
    <w:p w:rsidR="002106D2" w:rsidRDefault="002106D2" w:rsidP="00832583"/>
    <w:p w:rsidR="002106D2" w:rsidRDefault="002106D2" w:rsidP="00832583">
      <w:r>
        <w:t>M</w:t>
      </w:r>
      <w:r w:rsidR="006B160C">
        <w:t xml:space="preserve">inor </w:t>
      </w:r>
      <w:r w:rsidR="00A936B5">
        <w:t xml:space="preserve">changes to </w:t>
      </w:r>
      <w:r>
        <w:t>the application have been made</w:t>
      </w:r>
      <w:r w:rsidR="00A936B5">
        <w:t xml:space="preserve"> since OMB’s last review and approval of the form.  </w:t>
      </w:r>
      <w:r w:rsidR="00217774">
        <w:t xml:space="preserve">The program staff has improved the instructions and </w:t>
      </w:r>
      <w:r w:rsidR="00912FCF">
        <w:t>the MSEIP Eligibility Form</w:t>
      </w:r>
      <w:r w:rsidR="00217774">
        <w:t xml:space="preserve"> based on the comments and feedback from the field. </w:t>
      </w:r>
      <w:r w:rsidR="00A936B5">
        <w:t xml:space="preserve">These clarifications do not require additional data from the applicant.  </w:t>
      </w:r>
    </w:p>
    <w:p w:rsidR="00912FCF" w:rsidRDefault="00912FCF" w:rsidP="00832583"/>
    <w:p w:rsidR="00520155" w:rsidRDefault="00E66703" w:rsidP="00832583">
      <w:r>
        <w:t xml:space="preserve">The collection of the information requested on the proposed application form is necessary to allow </w:t>
      </w:r>
      <w:r w:rsidR="00325E11">
        <w:t xml:space="preserve">2-year and 4-year, </w:t>
      </w:r>
      <w:r w:rsidR="000E7A63">
        <w:t xml:space="preserve">public and private, nonprofit </w:t>
      </w:r>
      <w:r>
        <w:t>institutions of higher education</w:t>
      </w:r>
      <w:r w:rsidR="00325E11">
        <w:t>;</w:t>
      </w:r>
      <w:r w:rsidR="000E7A63">
        <w:t xml:space="preserve"> nonprofit science-oriented organizations</w:t>
      </w:r>
      <w:r w:rsidR="00325E11">
        <w:t>;</w:t>
      </w:r>
      <w:r w:rsidR="000E7A63">
        <w:t xml:space="preserve"> and professional scientific societies</w:t>
      </w:r>
      <w:r>
        <w:t xml:space="preserve"> to apply for grant funds under the Minority Science and Engineering Improvement Program (MSEIP</w:t>
      </w:r>
      <w:r w:rsidR="00912FCF">
        <w:t>.</w:t>
      </w:r>
      <w:r>
        <w:t xml:space="preserve">  </w:t>
      </w:r>
    </w:p>
    <w:p w:rsidR="00520155" w:rsidRDefault="00520155" w:rsidP="00832583"/>
    <w:p w:rsidR="004F692A" w:rsidRDefault="008C056B" w:rsidP="00832583">
      <w:pPr>
        <w:suppressAutoHyphens/>
        <w:ind w:left="360" w:hanging="360"/>
        <w:rPr>
          <w:rFonts w:ascii="Univers" w:hAnsi="Univers"/>
        </w:rPr>
      </w:pPr>
      <w:r>
        <w:rPr>
          <w:rFonts w:ascii="Univers" w:hAnsi="Univers"/>
        </w:rPr>
        <w:br w:type="page"/>
      </w:r>
      <w:r w:rsidR="004F692A">
        <w:rPr>
          <w:rFonts w:ascii="Univers" w:hAnsi="Univers"/>
        </w:rPr>
        <w:lastRenderedPageBreak/>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D4293C" w:rsidRDefault="00E66703" w:rsidP="00832583">
      <w:pPr>
        <w:ind w:left="360"/>
      </w:pPr>
      <w:r>
        <w:t>The information on the appl</w:t>
      </w:r>
      <w:r w:rsidR="000E7A63">
        <w:t xml:space="preserve">icant’s </w:t>
      </w:r>
      <w:r w:rsidR="00520155">
        <w:t>eligibility</w:t>
      </w:r>
      <w:r>
        <w:t xml:space="preserve"> form will be collected annually from </w:t>
      </w:r>
      <w:r w:rsidR="00520155">
        <w:t>applicants</w:t>
      </w:r>
      <w:r>
        <w:t xml:space="preserve"> that desire to apply for new awards under MSEIP.  </w:t>
      </w:r>
    </w:p>
    <w:p w:rsidR="00D4293C" w:rsidRDefault="00D4293C" w:rsidP="00832583">
      <w:pPr>
        <w:ind w:left="360"/>
      </w:pPr>
    </w:p>
    <w:p w:rsidR="00AD0A3E" w:rsidRDefault="00E66703" w:rsidP="00832583">
      <w:pPr>
        <w:ind w:left="360"/>
      </w:pPr>
      <w:r>
        <w:t xml:space="preserve">Without the collection of this information, the Department cannot </w:t>
      </w:r>
      <w:r w:rsidR="00AD0A3E">
        <w:t xml:space="preserve">properly screen </w:t>
      </w:r>
      <w:r w:rsidR="00520155">
        <w:t>applicants</w:t>
      </w:r>
      <w:r w:rsidR="00CD4612">
        <w:t xml:space="preserve"> that </w:t>
      </w:r>
      <w:r>
        <w:t>apply for MSEIP gran</w:t>
      </w:r>
      <w:r w:rsidR="00520155">
        <w:t xml:space="preserve">ts under Title III, and </w:t>
      </w:r>
      <w:r>
        <w:t>therefore, cannot award new grants for which Congress has appropriat</w:t>
      </w:r>
      <w:r w:rsidR="00982A53">
        <w:t xml:space="preserve">ed funds under these programs. </w:t>
      </w:r>
    </w:p>
    <w:p w:rsidR="00AD0A3E" w:rsidRDefault="00AD0A3E" w:rsidP="00832583">
      <w:pPr>
        <w:ind w:left="360"/>
      </w:pPr>
    </w:p>
    <w:p w:rsidR="004F692A" w:rsidRPr="00520155" w:rsidRDefault="00D4293C" w:rsidP="00832583">
      <w:pPr>
        <w:ind w:left="360"/>
      </w:pPr>
      <w:r>
        <w:t>The p</w:t>
      </w:r>
      <w:r w:rsidR="00E66703">
        <w:t>rogram staff and peer reviewers will use the information to evaluate applications and make funding decisions.</w:t>
      </w:r>
    </w:p>
    <w:p w:rsidR="004F692A" w:rsidRDefault="004F692A">
      <w:pPr>
        <w:tabs>
          <w:tab w:val="left" w:pos="-720"/>
        </w:tabs>
        <w:suppressAutoHyphens/>
        <w:rPr>
          <w:rFonts w:ascii="Univers" w:hAnsi="Univers"/>
        </w:rPr>
      </w:pPr>
    </w:p>
    <w:p w:rsidR="004F692A" w:rsidRDefault="004F692A" w:rsidP="00832583">
      <w:pPr>
        <w:tabs>
          <w:tab w:val="left" w:pos="-720"/>
        </w:tabs>
        <w:suppressAutoHyphens/>
        <w:ind w:left="360" w:hanging="360"/>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4F692A" w:rsidRDefault="004F692A">
      <w:pPr>
        <w:tabs>
          <w:tab w:val="left" w:pos="-720"/>
        </w:tabs>
        <w:suppressAutoHyphens/>
        <w:rPr>
          <w:rFonts w:ascii="Univers" w:hAnsi="Univers"/>
        </w:rPr>
      </w:pPr>
    </w:p>
    <w:p w:rsidR="00520155" w:rsidRDefault="00520155" w:rsidP="00832583">
      <w:pPr>
        <w:ind w:left="360"/>
      </w:pPr>
    </w:p>
    <w:p w:rsidR="00E66703" w:rsidRDefault="00217774" w:rsidP="00832583">
      <w:pPr>
        <w:ind w:left="360"/>
      </w:pPr>
      <w:r>
        <w:t xml:space="preserve">OPE will use </w:t>
      </w:r>
      <w:r w:rsidR="00E66703">
        <w:t>Grants.gov</w:t>
      </w:r>
      <w:r w:rsidR="00520155">
        <w:t xml:space="preserve"> to permit electronic submission of the applications</w:t>
      </w:r>
      <w:r w:rsidR="00D4293C">
        <w:t xml:space="preserve"> </w:t>
      </w:r>
      <w:r w:rsidR="002559AE">
        <w:t xml:space="preserve">which streamlines </w:t>
      </w:r>
      <w:r w:rsidR="00520155">
        <w:t xml:space="preserve">the preparation and application process. </w:t>
      </w:r>
      <w:r w:rsidR="00E66703">
        <w:t xml:space="preserve"> </w:t>
      </w:r>
      <w:r>
        <w:t>Im</w:t>
      </w:r>
      <w:r w:rsidR="00EC64A0">
        <w:t>provements</w:t>
      </w:r>
      <w:r>
        <w:t xml:space="preserve"> to the forms</w:t>
      </w:r>
      <w:r w:rsidR="00520155">
        <w:t xml:space="preserve"> </w:t>
      </w:r>
      <w:r w:rsidR="00E66703">
        <w:t>make it easier for applicants to prepare and submit their applications, thereby reducing paperwork burden.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832583">
      <w:pPr>
        <w:tabs>
          <w:tab w:val="left" w:pos="-720"/>
        </w:tabs>
        <w:suppressAutoHyphens/>
        <w:ind w:left="360" w:hanging="360"/>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4F692A" w:rsidRDefault="004F692A">
      <w:pPr>
        <w:tabs>
          <w:tab w:val="left" w:pos="-720"/>
        </w:tabs>
        <w:suppressAutoHyphens/>
        <w:rPr>
          <w:rFonts w:ascii="Univers" w:hAnsi="Univers"/>
        </w:rPr>
      </w:pPr>
    </w:p>
    <w:p w:rsidR="004F692A" w:rsidRPr="009669C1" w:rsidRDefault="00E66703" w:rsidP="00832583">
      <w:pPr>
        <w:ind w:left="360"/>
      </w:pPr>
      <w:r>
        <w:t xml:space="preserve">The data collected in the application </w:t>
      </w:r>
      <w:r w:rsidR="009669C1">
        <w:t xml:space="preserve">are unique </w:t>
      </w:r>
      <w:r w:rsidR="00CD4612">
        <w:t xml:space="preserve">and </w:t>
      </w:r>
      <w:r w:rsidR="009669C1">
        <w:t>do</w:t>
      </w:r>
      <w:r>
        <w:t xml:space="preserve"> not duplicate other data requests from other Department offices.</w:t>
      </w:r>
    </w:p>
    <w:p w:rsidR="004F692A" w:rsidRDefault="00AD0A3E" w:rsidP="00832583">
      <w:pPr>
        <w:tabs>
          <w:tab w:val="left" w:pos="-720"/>
        </w:tabs>
        <w:suppressAutoHyphens/>
        <w:ind w:left="360" w:hanging="360"/>
        <w:rPr>
          <w:rFonts w:ascii="Univers" w:hAnsi="Univers"/>
        </w:rPr>
      </w:pPr>
      <w:r>
        <w:rPr>
          <w:rFonts w:ascii="Univers" w:hAnsi="Univers"/>
        </w:rPr>
        <w:br w:type="page"/>
      </w:r>
      <w:r w:rsidR="004F692A">
        <w:rPr>
          <w:rFonts w:ascii="Univers" w:hAnsi="Univers"/>
        </w:rPr>
        <w:t>5.  If the collection of information impacts small businesses or other small entities (Item 5 of OMB Form 83-I), describe any methods used to minimize burden.</w:t>
      </w:r>
    </w:p>
    <w:p w:rsidR="004F692A" w:rsidRDefault="004F692A">
      <w:pPr>
        <w:tabs>
          <w:tab w:val="left" w:pos="-720"/>
        </w:tabs>
        <w:suppressAutoHyphens/>
        <w:rPr>
          <w:rFonts w:ascii="Univers" w:hAnsi="Univers"/>
        </w:rPr>
      </w:pPr>
    </w:p>
    <w:p w:rsidR="009669C1" w:rsidRDefault="00E66703" w:rsidP="00832583">
      <w:pPr>
        <w:ind w:left="360"/>
      </w:pPr>
      <w:r>
        <w:t>The collection of information does not involve small bus</w:t>
      </w:r>
      <w:r w:rsidR="009669C1">
        <w:t xml:space="preserve">inesses or other small entities.  </w:t>
      </w:r>
    </w:p>
    <w:p w:rsidR="009669C1" w:rsidRDefault="009669C1" w:rsidP="00832583">
      <w:pPr>
        <w:ind w:left="360"/>
      </w:pPr>
    </w:p>
    <w:p w:rsidR="004F692A" w:rsidRDefault="004F692A">
      <w:pPr>
        <w:pStyle w:val="EndnoteText"/>
        <w:rPr>
          <w:rFonts w:ascii="Univers" w:hAnsi="Univers"/>
        </w:rPr>
      </w:pPr>
    </w:p>
    <w:p w:rsidR="004F692A" w:rsidRDefault="004F692A" w:rsidP="00832583">
      <w:pPr>
        <w:tabs>
          <w:tab w:val="left" w:pos="-720"/>
        </w:tabs>
        <w:suppressAutoHyphens/>
        <w:ind w:left="360" w:hanging="360"/>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E66703" w:rsidRDefault="00E66703" w:rsidP="00832583">
      <w:pPr>
        <w:ind w:left="360"/>
      </w:pPr>
      <w:r>
        <w:t>This application will be used by those applicants that desire to apply for new awards under MSEIP.</w:t>
      </w:r>
      <w:r w:rsidR="009669C1" w:rsidRPr="009669C1">
        <w:t xml:space="preserve"> </w:t>
      </w:r>
      <w:r w:rsidR="009669C1">
        <w:t xml:space="preserve">If this information </w:t>
      </w:r>
      <w:r w:rsidR="00832583">
        <w:t>is not collected, grants can</w:t>
      </w:r>
      <w:r w:rsidR="009669C1">
        <w:t>not be awarded</w:t>
      </w:r>
      <w:r w:rsidR="00CD4612">
        <w:t xml:space="preserve"> in accordance with the guidelines outlined in the Title III, Part E legislation</w:t>
      </w:r>
      <w:r w:rsidR="009669C1">
        <w:t xml:space="preserve">. </w:t>
      </w:r>
    </w:p>
    <w:p w:rsidR="009669C1" w:rsidRDefault="009669C1" w:rsidP="00832583">
      <w:pPr>
        <w:pStyle w:val="EndnoteText"/>
        <w:ind w:left="360"/>
        <w:rPr>
          <w:rFonts w:ascii="Univers" w:hAnsi="Univers"/>
        </w:rPr>
      </w:pPr>
    </w:p>
    <w:p w:rsidR="009669C1" w:rsidRDefault="009669C1" w:rsidP="009669C1">
      <w:pPr>
        <w:pStyle w:val="EndnoteText"/>
        <w:rPr>
          <w:rFonts w:ascii="Univers" w:hAnsi="Univers"/>
        </w:rPr>
      </w:pPr>
    </w:p>
    <w:p w:rsidR="004F692A" w:rsidRDefault="004F692A" w:rsidP="00832583">
      <w:pPr>
        <w:tabs>
          <w:tab w:val="left" w:pos="-720"/>
        </w:tabs>
        <w:suppressAutoHyphens/>
        <w:ind w:left="360" w:hanging="360"/>
        <w:rPr>
          <w:rFonts w:ascii="Univers" w:hAnsi="Univers"/>
        </w:rPr>
      </w:pPr>
      <w:r>
        <w:rPr>
          <w:rFonts w:ascii="Univers" w:hAnsi="Univers"/>
        </w:rPr>
        <w:t xml:space="preserve">7. </w:t>
      </w:r>
      <w:r w:rsidR="00832583">
        <w:rPr>
          <w:rFonts w:ascii="Univers" w:hAnsi="Univers"/>
        </w:rPr>
        <w:t xml:space="preserve"> </w:t>
      </w:r>
      <w:r>
        <w:rPr>
          <w:rFonts w:ascii="Univers" w:hAnsi="Univers"/>
        </w:rPr>
        <w:t>Explain any special circumstances that would cause an information collection to be conducted in a manner:</w:t>
      </w:r>
    </w:p>
    <w:p w:rsidR="004F692A" w:rsidRDefault="004F692A" w:rsidP="00832583">
      <w:pPr>
        <w:tabs>
          <w:tab w:val="left" w:pos="-720"/>
        </w:tabs>
        <w:suppressAutoHyphens/>
        <w:ind w:left="360" w:hanging="360"/>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Pr="00F9495F" w:rsidRDefault="00E66703" w:rsidP="00832583">
      <w:pPr>
        <w:ind w:left="360"/>
      </w:pPr>
      <w:r>
        <w:t xml:space="preserve">There are no </w:t>
      </w:r>
      <w:r w:rsidR="00EF0168">
        <w:t xml:space="preserve">special </w:t>
      </w:r>
      <w:r>
        <w:t xml:space="preserve">circumstances that </w:t>
      </w:r>
      <w:r w:rsidR="00EF0168">
        <w:t xml:space="preserve">would </w:t>
      </w:r>
      <w:r>
        <w:t xml:space="preserve">require the collection to be conducted in </w:t>
      </w:r>
      <w:r w:rsidR="00CA5AF4">
        <w:t>any manner listed above.</w:t>
      </w: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D08D1" w:rsidRDefault="008D08D1" w:rsidP="008D08D1">
      <w:pPr>
        <w:tabs>
          <w:tab w:val="left" w:pos="-720"/>
        </w:tabs>
        <w:suppressAutoHyphens/>
        <w:ind w:left="360"/>
        <w:rPr>
          <w:rStyle w:val="a"/>
          <w:rFonts w:ascii="Univers" w:hAnsi="Univers"/>
        </w:rPr>
      </w:pPr>
    </w:p>
    <w:p w:rsidR="008D08D1" w:rsidRDefault="008D08D1" w:rsidP="008D08D1">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D08D1" w:rsidRDefault="008D08D1" w:rsidP="008D08D1">
      <w:pPr>
        <w:ind w:left="375"/>
      </w:pPr>
    </w:p>
    <w:p w:rsidR="008D08D1" w:rsidRDefault="008D08D1" w:rsidP="008D08D1">
      <w:pPr>
        <w:ind w:left="375"/>
      </w:pPr>
      <w:r>
        <w:t xml:space="preserve">A citation for the 30 day notice will be supplied once it is published in the </w:t>
      </w:r>
      <w:r w:rsidRPr="009108B8">
        <w:rPr>
          <w:u w:val="single"/>
        </w:rPr>
        <w:t>Federal</w:t>
      </w:r>
      <w:r w:rsidRPr="00832583">
        <w:t xml:space="preserve"> </w:t>
      </w:r>
      <w:r w:rsidRPr="009108B8">
        <w:rPr>
          <w:u w:val="single"/>
        </w:rPr>
        <w:t>Register</w:t>
      </w:r>
      <w:r>
        <w:t>.</w:t>
      </w:r>
    </w:p>
    <w:p w:rsidR="004F692A" w:rsidRDefault="004F692A">
      <w:pPr>
        <w:tabs>
          <w:tab w:val="left" w:pos="-720"/>
        </w:tabs>
        <w:suppressAutoHyphens/>
        <w:rPr>
          <w:rStyle w:val="a"/>
          <w:rFonts w:ascii="Univers" w:hAnsi="Univers"/>
        </w:rPr>
      </w:pPr>
    </w:p>
    <w:p w:rsidR="000358C4" w:rsidRDefault="00F9495F" w:rsidP="00F9495F">
      <w:pPr>
        <w:tabs>
          <w:tab w:val="left" w:pos="-720"/>
        </w:tabs>
        <w:suppressAutoHyphens/>
        <w:ind w:left="360"/>
      </w:pPr>
      <w:r>
        <w:t>We have consulted with persons outside the agency regarding</w:t>
      </w:r>
      <w:r w:rsidR="004357A9">
        <w:t xml:space="preserve"> their views on data collection including current grantees and other federal agencies</w:t>
      </w:r>
      <w:r w:rsidR="000358C4">
        <w:t xml:space="preserve"> i.e., National Science Foundation</w:t>
      </w:r>
      <w:r w:rsidR="004357A9">
        <w:t>.</w:t>
      </w:r>
      <w:r w:rsidR="005729EF">
        <w:t xml:space="preserve">  Comments that we received revealed concerns regarding </w:t>
      </w:r>
      <w:r w:rsidR="001755AF">
        <w:t>‘</w:t>
      </w:r>
      <w:r w:rsidR="005729EF">
        <w:t>what is included in the page count</w:t>
      </w:r>
      <w:r w:rsidR="007D2D70">
        <w:t>’ and streamlining the MSEIP Eligibility Form.</w:t>
      </w:r>
    </w:p>
    <w:p w:rsidR="000358C4" w:rsidRDefault="000358C4" w:rsidP="00F9495F">
      <w:pPr>
        <w:tabs>
          <w:tab w:val="left" w:pos="-720"/>
        </w:tabs>
        <w:suppressAutoHyphens/>
        <w:ind w:left="360"/>
      </w:pPr>
    </w:p>
    <w:p w:rsidR="00325E11" w:rsidRDefault="001755AF" w:rsidP="00B235E6">
      <w:pPr>
        <w:numPr>
          <w:ilvl w:val="0"/>
          <w:numId w:val="17"/>
        </w:numPr>
        <w:tabs>
          <w:tab w:val="left" w:pos="-720"/>
        </w:tabs>
        <w:suppressAutoHyphens/>
      </w:pPr>
      <w:r>
        <w:t>In response to these comments</w:t>
      </w:r>
      <w:r w:rsidR="005729EF">
        <w:t xml:space="preserve">, we </w:t>
      </w:r>
      <w:r w:rsidR="00D06CAE">
        <w:t>revise</w:t>
      </w:r>
      <w:r>
        <w:t>d the ‘Instructions for Completing the Application Package’ and reorganized the information to match the four parts that the applicant submits information in Grants.gov.  We also developed a chart with the headings below for Parts I, II, III, and IV.</w:t>
      </w:r>
    </w:p>
    <w:p w:rsidR="001755AF" w:rsidRDefault="001755AF" w:rsidP="00B235E6">
      <w:pPr>
        <w:tabs>
          <w:tab w:val="left" w:pos="-720"/>
        </w:tabs>
        <w:suppressAutoHyphens/>
        <w:ind w:left="720"/>
      </w:pPr>
      <w:r>
        <w:t xml:space="preserve"> </w:t>
      </w:r>
    </w:p>
    <w:tbl>
      <w:tblPr>
        <w:tblW w:w="91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2340"/>
        <w:gridCol w:w="2160"/>
        <w:gridCol w:w="2970"/>
      </w:tblGrid>
      <w:tr w:rsidR="001755AF" w:rsidRPr="00DF36F7" w:rsidTr="00B235E6">
        <w:tc>
          <w:tcPr>
            <w:tcW w:w="1710" w:type="dxa"/>
            <w:shd w:val="pct15" w:color="auto" w:fill="auto"/>
          </w:tcPr>
          <w:p w:rsidR="001755AF" w:rsidRPr="00DF36F7" w:rsidRDefault="001755AF" w:rsidP="00325E11">
            <w:pPr>
              <w:tabs>
                <w:tab w:val="left" w:pos="900"/>
              </w:tabs>
              <w:spacing w:after="120"/>
              <w:rPr>
                <w:b/>
                <w:bCs/>
              </w:rPr>
            </w:pPr>
            <w:r w:rsidRPr="00DF36F7">
              <w:rPr>
                <w:b/>
                <w:bCs/>
              </w:rPr>
              <w:t>PART I</w:t>
            </w:r>
          </w:p>
        </w:tc>
        <w:tc>
          <w:tcPr>
            <w:tcW w:w="2340" w:type="dxa"/>
            <w:shd w:val="pct15" w:color="auto" w:fill="auto"/>
          </w:tcPr>
          <w:p w:rsidR="001755AF" w:rsidRPr="00DF36F7" w:rsidRDefault="001755AF" w:rsidP="00325E11">
            <w:pPr>
              <w:tabs>
                <w:tab w:val="left" w:pos="900"/>
              </w:tabs>
              <w:spacing w:after="120"/>
              <w:rPr>
                <w:b/>
                <w:bCs/>
              </w:rPr>
            </w:pPr>
            <w:r>
              <w:rPr>
                <w:b/>
                <w:bCs/>
              </w:rPr>
              <w:t xml:space="preserve">GRANTS.GOV </w:t>
            </w:r>
            <w:r w:rsidRPr="00DF36F7">
              <w:rPr>
                <w:b/>
                <w:bCs/>
              </w:rPr>
              <w:t>SECTION NAME</w:t>
            </w:r>
          </w:p>
        </w:tc>
        <w:tc>
          <w:tcPr>
            <w:tcW w:w="2160" w:type="dxa"/>
            <w:shd w:val="pct15" w:color="auto" w:fill="auto"/>
          </w:tcPr>
          <w:p w:rsidR="001755AF" w:rsidRPr="00DF36F7" w:rsidRDefault="001755AF" w:rsidP="00325E11">
            <w:pPr>
              <w:tabs>
                <w:tab w:val="left" w:pos="900"/>
              </w:tabs>
              <w:spacing w:after="120"/>
              <w:rPr>
                <w:b/>
                <w:bCs/>
                <w:u w:val="single"/>
              </w:rPr>
            </w:pPr>
            <w:r w:rsidRPr="00DF36F7">
              <w:rPr>
                <w:b/>
                <w:bCs/>
                <w:u w:val="single"/>
              </w:rPr>
              <w:t>Included in the page count?</w:t>
            </w:r>
          </w:p>
        </w:tc>
        <w:tc>
          <w:tcPr>
            <w:tcW w:w="2970" w:type="dxa"/>
            <w:shd w:val="pct15" w:color="auto" w:fill="auto"/>
          </w:tcPr>
          <w:p w:rsidR="001755AF" w:rsidRPr="00DF36F7" w:rsidRDefault="001755AF" w:rsidP="00325E11">
            <w:pPr>
              <w:tabs>
                <w:tab w:val="left" w:pos="900"/>
              </w:tabs>
              <w:spacing w:after="120"/>
              <w:rPr>
                <w:b/>
                <w:bCs/>
              </w:rPr>
            </w:pPr>
            <w:r>
              <w:rPr>
                <w:b/>
                <w:bCs/>
              </w:rPr>
              <w:t>Instructions</w:t>
            </w:r>
          </w:p>
        </w:tc>
      </w:tr>
    </w:tbl>
    <w:p w:rsidR="001755AF" w:rsidRDefault="001755AF" w:rsidP="00F9495F">
      <w:pPr>
        <w:tabs>
          <w:tab w:val="left" w:pos="-720"/>
        </w:tabs>
        <w:suppressAutoHyphens/>
        <w:ind w:left="360"/>
      </w:pPr>
    </w:p>
    <w:p w:rsidR="0018231C" w:rsidRDefault="00F637BC" w:rsidP="00F9495F">
      <w:pPr>
        <w:tabs>
          <w:tab w:val="left" w:pos="-720"/>
        </w:tabs>
        <w:suppressAutoHyphens/>
        <w:ind w:left="360"/>
      </w:pPr>
      <w:r>
        <w:t>T</w:t>
      </w:r>
      <w:r w:rsidR="001755AF">
        <w:t>hese changes will help the applicant to</w:t>
      </w:r>
      <w:r w:rsidR="0018231C">
        <w:t xml:space="preserve">: </w:t>
      </w:r>
    </w:p>
    <w:p w:rsidR="00F9495F" w:rsidRDefault="0018231C" w:rsidP="00F9495F">
      <w:pPr>
        <w:tabs>
          <w:tab w:val="left" w:pos="-720"/>
        </w:tabs>
        <w:suppressAutoHyphens/>
        <w:ind w:left="360"/>
      </w:pPr>
      <w:r>
        <w:t xml:space="preserve">1) </w:t>
      </w:r>
      <w:r w:rsidR="005729EF">
        <w:t>identif</w:t>
      </w:r>
      <w:r w:rsidR="001755AF">
        <w:t>y</w:t>
      </w:r>
      <w:r w:rsidR="005729EF">
        <w:t xml:space="preserve"> what has to be completed</w:t>
      </w:r>
      <w:r w:rsidR="000358C4">
        <w:t xml:space="preserve"> </w:t>
      </w:r>
      <w:r w:rsidR="001755AF">
        <w:t>(i.e., forms and narratives)</w:t>
      </w:r>
      <w:r w:rsidR="005729EF">
        <w:t xml:space="preserve">; </w:t>
      </w:r>
      <w:r w:rsidR="000358C4">
        <w:t xml:space="preserve">2) correctly identify the name of the file located in Grants.Gov that they will need; 3) </w:t>
      </w:r>
      <w:r>
        <w:t xml:space="preserve">clearly </w:t>
      </w:r>
      <w:r w:rsidR="000358C4">
        <w:t>understand whether the form or narrative is included in the page count; and 4</w:t>
      </w:r>
      <w:r w:rsidR="005729EF">
        <w:t xml:space="preserve">) </w:t>
      </w:r>
      <w:r w:rsidR="000358C4">
        <w:t xml:space="preserve">also understand what section to </w:t>
      </w:r>
      <w:r w:rsidR="005729EF">
        <w:t xml:space="preserve">upload the </w:t>
      </w:r>
      <w:r w:rsidR="000358C4">
        <w:t>files or forms in Grants.Gov.</w:t>
      </w:r>
      <w:r>
        <w:t xml:space="preserve">  As a result of these changes, we expect fewer applicants to go over the page limits.</w:t>
      </w:r>
    </w:p>
    <w:p w:rsidR="00325E11" w:rsidRDefault="00325E11" w:rsidP="00F9495F">
      <w:pPr>
        <w:tabs>
          <w:tab w:val="left" w:pos="-720"/>
        </w:tabs>
        <w:suppressAutoHyphens/>
        <w:ind w:left="360"/>
      </w:pPr>
    </w:p>
    <w:p w:rsidR="00732060" w:rsidRDefault="00732060" w:rsidP="00732060">
      <w:pPr>
        <w:numPr>
          <w:ilvl w:val="0"/>
          <w:numId w:val="17"/>
        </w:numPr>
        <w:tabs>
          <w:tab w:val="left" w:pos="-720"/>
        </w:tabs>
        <w:suppressAutoHyphens/>
      </w:pPr>
      <w:r>
        <w:t xml:space="preserve">There are four types of eligible applicants: </w:t>
      </w:r>
    </w:p>
    <w:p w:rsidR="00732060" w:rsidRDefault="00732060" w:rsidP="00B235E6">
      <w:pPr>
        <w:tabs>
          <w:tab w:val="left" w:pos="-720"/>
        </w:tabs>
        <w:suppressAutoHyphens/>
        <w:ind w:left="720"/>
      </w:pPr>
      <w:r>
        <w:t>1) 2-year public and private, nonprofit institutions of higher education;</w:t>
      </w:r>
    </w:p>
    <w:p w:rsidR="00732060" w:rsidRDefault="00732060" w:rsidP="00B235E6">
      <w:pPr>
        <w:tabs>
          <w:tab w:val="left" w:pos="-720"/>
        </w:tabs>
        <w:suppressAutoHyphens/>
        <w:ind w:left="720"/>
      </w:pPr>
      <w:r>
        <w:t>2) 4-year</w:t>
      </w:r>
      <w:r w:rsidRPr="00325E11">
        <w:t xml:space="preserve"> </w:t>
      </w:r>
      <w:r>
        <w:t>public and private, nonprofit institutions of higher education;</w:t>
      </w:r>
    </w:p>
    <w:p w:rsidR="00732060" w:rsidRDefault="00732060" w:rsidP="00B235E6">
      <w:pPr>
        <w:tabs>
          <w:tab w:val="left" w:pos="-720"/>
        </w:tabs>
        <w:suppressAutoHyphens/>
        <w:ind w:left="720"/>
      </w:pPr>
      <w:r>
        <w:t xml:space="preserve">3) Nonprofit science-oriented organizations; and </w:t>
      </w:r>
    </w:p>
    <w:p w:rsidR="00732060" w:rsidRDefault="00732060" w:rsidP="00B235E6">
      <w:pPr>
        <w:tabs>
          <w:tab w:val="left" w:pos="-720"/>
        </w:tabs>
        <w:suppressAutoHyphens/>
        <w:ind w:left="720"/>
      </w:pPr>
      <w:r>
        <w:t>4) Professional scientific societies.</w:t>
      </w:r>
      <w:r w:rsidRPr="00325E11">
        <w:t xml:space="preserve"> </w:t>
      </w:r>
    </w:p>
    <w:p w:rsidR="00D06CAE" w:rsidRDefault="00D06CAE" w:rsidP="00B235E6">
      <w:pPr>
        <w:tabs>
          <w:tab w:val="left" w:pos="-720"/>
        </w:tabs>
        <w:suppressAutoHyphens/>
        <w:ind w:left="720"/>
      </w:pPr>
    </w:p>
    <w:p w:rsidR="00F637BC" w:rsidRDefault="00F637BC" w:rsidP="00B235E6">
      <w:pPr>
        <w:tabs>
          <w:tab w:val="left" w:pos="-720"/>
        </w:tabs>
        <w:suppressAutoHyphens/>
        <w:ind w:left="720"/>
      </w:pPr>
      <w:r>
        <w:t xml:space="preserve">We modified the MSEIP Eligibility Form by </w:t>
      </w:r>
      <w:r w:rsidR="00732060" w:rsidRPr="00B235E6">
        <w:rPr>
          <w:b/>
          <w:u w:val="single"/>
        </w:rPr>
        <w:t>moving</w:t>
      </w:r>
      <w:r w:rsidRPr="00B235E6">
        <w:rPr>
          <w:b/>
          <w:u w:val="single"/>
        </w:rPr>
        <w:t xml:space="preserve"> </w:t>
      </w:r>
      <w:r w:rsidR="00732060" w:rsidRPr="00B235E6">
        <w:rPr>
          <w:b/>
          <w:u w:val="single"/>
        </w:rPr>
        <w:t xml:space="preserve">the </w:t>
      </w:r>
      <w:r w:rsidRPr="00B235E6">
        <w:rPr>
          <w:b/>
          <w:u w:val="single"/>
        </w:rPr>
        <w:t>section</w:t>
      </w:r>
      <w:r w:rsidR="00732060" w:rsidRPr="00B235E6">
        <w:rPr>
          <w:b/>
          <w:u w:val="single"/>
        </w:rPr>
        <w:t>s together</w:t>
      </w:r>
      <w:r>
        <w:t xml:space="preserve"> for each </w:t>
      </w:r>
      <w:r w:rsidR="00732060">
        <w:t xml:space="preserve">of the four </w:t>
      </w:r>
      <w:r>
        <w:t>type of</w:t>
      </w:r>
      <w:r w:rsidR="00732060">
        <w:t xml:space="preserve"> eligible applicants rather than having them to complete a common section and then locate the unique section that applies to their eligibility.</w:t>
      </w:r>
    </w:p>
    <w:p w:rsidR="00D06CAE" w:rsidRDefault="00D06CAE" w:rsidP="00B235E6">
      <w:pPr>
        <w:tabs>
          <w:tab w:val="left" w:pos="-720"/>
        </w:tabs>
        <w:suppressAutoHyphens/>
        <w:ind w:left="720"/>
      </w:pPr>
    </w:p>
    <w:p w:rsidR="007D2D70" w:rsidRDefault="007D2D70" w:rsidP="00D06CAE">
      <w:pPr>
        <w:tabs>
          <w:tab w:val="left" w:pos="-720"/>
        </w:tabs>
        <w:suppressAutoHyphens/>
      </w:pPr>
    </w:p>
    <w:p w:rsidR="005F64EF" w:rsidRDefault="005F64EF" w:rsidP="005F64EF">
      <w:pPr>
        <w:tabs>
          <w:tab w:val="left" w:pos="-720"/>
        </w:tabs>
        <w:suppressAutoHyphens/>
        <w:ind w:left="720"/>
      </w:pPr>
      <w:r>
        <w:t xml:space="preserve">The applicant must complete all sections of the eligibility form in order for the Department to determine their eligibility status.  These </w:t>
      </w:r>
      <w:r w:rsidR="00670320">
        <w:t>minor edits</w:t>
      </w:r>
      <w:r>
        <w:t xml:space="preserve"> will help to ensure that all sections are completed by the applicant.</w:t>
      </w:r>
    </w:p>
    <w:p w:rsidR="005F64EF" w:rsidRDefault="005F64EF" w:rsidP="005F64EF">
      <w:pPr>
        <w:tabs>
          <w:tab w:val="left" w:pos="-720"/>
        </w:tabs>
        <w:suppressAutoHyphens/>
        <w:ind w:left="720"/>
      </w:pPr>
    </w:p>
    <w:p w:rsidR="005F64EF" w:rsidRDefault="00732060" w:rsidP="005F64EF">
      <w:pPr>
        <w:tabs>
          <w:tab w:val="left" w:pos="-720"/>
        </w:tabs>
        <w:suppressAutoHyphens/>
        <w:ind w:left="720"/>
      </w:pPr>
      <w:r>
        <w:t xml:space="preserve">The </w:t>
      </w:r>
      <w:r w:rsidR="00670320">
        <w:t>minor modifications</w:t>
      </w:r>
      <w:r>
        <w:t xml:space="preserve"> </w:t>
      </w:r>
      <w:r w:rsidR="00670320">
        <w:t xml:space="preserve">to the </w:t>
      </w:r>
      <w:r>
        <w:t>MSEIP Eligibility Forms for each type of applicant</w:t>
      </w:r>
      <w:r w:rsidR="00670320">
        <w:t>,</w:t>
      </w:r>
      <w:r>
        <w:t xml:space="preserve"> requires</w:t>
      </w:r>
      <w:r w:rsidR="00670320">
        <w:t xml:space="preserve"> applicants</w:t>
      </w:r>
      <w:r>
        <w:t xml:space="preserve"> to provide the same information as previously requested </w:t>
      </w:r>
      <w:r w:rsidR="00670320">
        <w:t>but the rearrangement</w:t>
      </w:r>
      <w:r>
        <w:t xml:space="preserve"> makes it easier for the applicant to understand and complete.  Therefore, applicants should make fewer errors when completing these forms.</w:t>
      </w:r>
      <w:r w:rsidR="005F64EF" w:rsidRPr="005F64EF">
        <w:t xml:space="preserve"> </w:t>
      </w:r>
    </w:p>
    <w:p w:rsidR="005F64EF" w:rsidRDefault="005F64EF" w:rsidP="005F64EF">
      <w:pPr>
        <w:tabs>
          <w:tab w:val="left" w:pos="-720"/>
        </w:tabs>
        <w:suppressAutoHyphens/>
        <w:ind w:left="720"/>
      </w:pPr>
    </w:p>
    <w:p w:rsidR="004F692A" w:rsidRDefault="004F692A" w:rsidP="008D08D1">
      <w:pPr>
        <w:tabs>
          <w:tab w:val="left" w:pos="-720"/>
        </w:tabs>
        <w:suppressAutoHyphens/>
        <w:rPr>
          <w:rFonts w:ascii="Univers" w:hAnsi="Univers"/>
        </w:rPr>
      </w:pPr>
    </w:p>
    <w:p w:rsidR="006236B3" w:rsidRDefault="006236B3" w:rsidP="006236B3">
      <w:pPr>
        <w:tabs>
          <w:tab w:val="left" w:pos="-720"/>
        </w:tabs>
        <w:suppressAutoHyphens/>
        <w:rPr>
          <w:rFonts w:ascii="Univers" w:hAnsi="Univers"/>
        </w:rPr>
      </w:pPr>
    </w:p>
    <w:p w:rsidR="004F692A" w:rsidRDefault="004F692A" w:rsidP="006236B3">
      <w:pPr>
        <w:numPr>
          <w:ilvl w:val="0"/>
          <w:numId w:val="2"/>
        </w:numPr>
        <w:tabs>
          <w:tab w:val="left" w:pos="-720"/>
        </w:tabs>
        <w:suppressAutoHyphens/>
        <w:rPr>
          <w:rFonts w:ascii="Univers" w:hAnsi="Univers"/>
        </w:rPr>
      </w:pP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E66703" w:rsidRDefault="00E66703" w:rsidP="006236B3">
      <w:pPr>
        <w:ind w:firstLine="360"/>
      </w:pPr>
      <w:r>
        <w:t>No payment or gifts are provided to respondents.</w:t>
      </w:r>
    </w:p>
    <w:p w:rsidR="00DA4F16" w:rsidRPr="005F64EF" w:rsidRDefault="00DA4F16" w:rsidP="005F64EF">
      <w:pPr>
        <w:tabs>
          <w:tab w:val="left" w:pos="-720"/>
        </w:tabs>
        <w:suppressAutoHyphens/>
        <w:ind w:left="375"/>
      </w:pPr>
    </w:p>
    <w:p w:rsidR="004F692A" w:rsidRDefault="00DA4F16" w:rsidP="00B235E6">
      <w:pPr>
        <w:tabs>
          <w:tab w:val="left" w:pos="-720"/>
        </w:tabs>
        <w:suppressAutoHyphens/>
        <w:ind w:left="360" w:hanging="360"/>
        <w:rPr>
          <w:rFonts w:ascii="Univers" w:hAnsi="Univers"/>
        </w:rPr>
      </w:pPr>
      <w:r>
        <w:rPr>
          <w:rFonts w:ascii="Univers" w:hAnsi="Univers"/>
        </w:rPr>
        <w:t>10.</w:t>
      </w:r>
      <w:r w:rsidR="00832583">
        <w:rPr>
          <w:rFonts w:ascii="Univers" w:hAnsi="Univers"/>
        </w:rPr>
        <w:t xml:space="preserve"> </w:t>
      </w:r>
      <w:r w:rsidR="004F692A">
        <w:rPr>
          <w:rFonts w:ascii="Univers" w:hAnsi="Univers"/>
        </w:rPr>
        <w:t>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Pr="00B235E6" w:rsidRDefault="00217774" w:rsidP="00B235E6">
      <w:pPr>
        <w:ind w:firstLine="360"/>
      </w:pPr>
      <w:r w:rsidRPr="00B235E6">
        <w:t>No assurances of confidentiality are provided.</w:t>
      </w:r>
    </w:p>
    <w:p w:rsidR="00217774" w:rsidRDefault="00217774">
      <w:pPr>
        <w:tabs>
          <w:tab w:val="left" w:pos="-720"/>
        </w:tabs>
        <w:suppressAutoHyphens/>
        <w:rPr>
          <w:rFonts w:ascii="Univers" w:hAnsi="Univers"/>
        </w:rPr>
      </w:pPr>
    </w:p>
    <w:p w:rsidR="004F692A" w:rsidRDefault="004F692A" w:rsidP="006236B3">
      <w:pPr>
        <w:tabs>
          <w:tab w:val="left" w:pos="-720"/>
        </w:tabs>
        <w:suppressAutoHyphens/>
        <w:ind w:left="360" w:hanging="360"/>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36B3" w:rsidRDefault="006236B3" w:rsidP="00E66703">
      <w:pPr>
        <w:ind w:left="720"/>
      </w:pPr>
    </w:p>
    <w:p w:rsidR="008136E4" w:rsidRDefault="00217774" w:rsidP="00F44DC5">
      <w:pPr>
        <w:tabs>
          <w:tab w:val="left" w:pos="-720"/>
        </w:tabs>
        <w:suppressAutoHyphens/>
        <w:ind w:left="360"/>
      </w:pPr>
      <w:r>
        <w:t>There are no questions of a sensitive nature.</w:t>
      </w:r>
    </w:p>
    <w:p w:rsidR="008136E4" w:rsidRPr="008136E4" w:rsidRDefault="008136E4">
      <w:pPr>
        <w:tabs>
          <w:tab w:val="left" w:pos="-720"/>
        </w:tabs>
        <w:suppressAutoHyphens/>
      </w:pPr>
    </w:p>
    <w:p w:rsidR="004F692A" w:rsidRDefault="004F692A">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w:t>
      </w:r>
      <w:r w:rsidR="00A85843">
        <w:rPr>
          <w:rStyle w:val="a"/>
          <w:rFonts w:ascii="Univers" w:hAnsi="Univers"/>
        </w:rPr>
        <w:t>rmation.  The statement should</w:t>
      </w:r>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13 of OMB Form 83-I.</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4F692A" w:rsidRDefault="004F692A">
      <w:pPr>
        <w:suppressAutoHyphens/>
        <w:rPr>
          <w:rFonts w:ascii="Univers" w:hAnsi="Univers"/>
        </w:rPr>
      </w:pPr>
    </w:p>
    <w:p w:rsidR="004F692A" w:rsidRPr="00814FF1" w:rsidRDefault="00E66703" w:rsidP="00814FF1">
      <w:pPr>
        <w:ind w:left="720"/>
      </w:pPr>
      <w:r>
        <w:t xml:space="preserve">Based on past experiences with the use of the form we estimate that there will be </w:t>
      </w:r>
      <w:r w:rsidR="00CD4612">
        <w:t xml:space="preserve">approximately </w:t>
      </w:r>
      <w:r w:rsidR="00217774">
        <w:t>2</w:t>
      </w:r>
      <w:r>
        <w:t xml:space="preserve">00 respondents submitting the form annually; </w:t>
      </w:r>
      <w:r w:rsidR="00CD4612">
        <w:t xml:space="preserve">we estimate that </w:t>
      </w:r>
      <w:r>
        <w:t xml:space="preserve">each respondent </w:t>
      </w:r>
      <w:r w:rsidR="00CD4612">
        <w:t>would use approximately</w:t>
      </w:r>
      <w:r>
        <w:t xml:space="preserve"> 40 hours to prepare the form for a total of 8000 hours</w:t>
      </w:r>
      <w:r w:rsidR="00CD4612">
        <w:t xml:space="preserve"> per application submitted</w:t>
      </w:r>
      <w:r w:rsidR="005F64EF">
        <w:t>.  We expect approximately 180 responses from public institutions and approximately 20 responses from private institutions.</w:t>
      </w:r>
      <w:r w:rsidR="00CA46B8">
        <w:t xml:space="preserve"> We estimate that the burden for each applicant to be $8,385</w:t>
      </w:r>
      <w:r w:rsidR="00814FF1">
        <w:t>.  (We estimate the cost for 180 applicants from public institutions to be approximately $1,509,300.00 and the cost from private institutions to be approximately $167,700.00.)</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F438EC">
      <w:pPr>
        <w:tabs>
          <w:tab w:val="left" w:pos="-720"/>
          <w:tab w:val="left" w:pos="1247"/>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Pr>
            <w:rFonts w:ascii="Univers" w:hAnsi="Univers"/>
          </w:rPr>
          <w:t>October 1, 1995</w:t>
        </w:r>
      </w:smartTag>
      <w:r>
        <w:rPr>
          <w:rFonts w:ascii="Univers" w:hAnsi="Univers"/>
        </w:rPr>
        <w:t>, (2) to achieve regulatory compliance with requirements not associated with the information collection, (3) for reasons other than to provide information or keep records for the government,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A76E38">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A76E38">
        <w:rPr>
          <w:rFonts w:ascii="Univers" w:hAnsi="Univers"/>
        </w:rPr>
      </w:r>
      <w:r w:rsidR="00A76E38">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A76E38">
        <w:rPr>
          <w:rFonts w:ascii="Univers" w:hAnsi="Univers"/>
        </w:rPr>
        <w:fldChar w:fldCharType="end"/>
      </w:r>
      <w:bookmarkEnd w:id="0"/>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A76E38">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A76E38">
        <w:rPr>
          <w:rFonts w:ascii="Univers" w:hAnsi="Univers"/>
        </w:rPr>
      </w:r>
      <w:r w:rsidR="00A76E38">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A76E38">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821381"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A76E38">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A76E38">
        <w:rPr>
          <w:rFonts w:ascii="Univers" w:hAnsi="Univers"/>
        </w:rPr>
      </w:r>
      <w:r w:rsidR="00A76E38">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A76E38">
        <w:rPr>
          <w:rFonts w:ascii="Univers" w:hAnsi="Univers"/>
        </w:rPr>
        <w:fldChar w:fldCharType="end"/>
      </w:r>
      <w:bookmarkEnd w:id="2"/>
    </w:p>
    <w:p w:rsidR="00983CFF" w:rsidRPr="00983CFF" w:rsidRDefault="00821381">
      <w:pPr>
        <w:tabs>
          <w:tab w:val="left" w:pos="-720"/>
        </w:tabs>
        <w:suppressAutoHyphens/>
      </w:pPr>
      <w:r w:rsidRPr="00983CFF">
        <w:br w:type="page"/>
      </w:r>
      <w:r w:rsidR="00983CFF" w:rsidRPr="00983CFF">
        <w:t>There are no federal costs except for those included in Item 12.</w:t>
      </w:r>
    </w:p>
    <w:p w:rsidR="00983CFF" w:rsidRDefault="00983CFF">
      <w:pPr>
        <w:tabs>
          <w:tab w:val="left" w:pos="-720"/>
        </w:tabs>
        <w:suppressAutoHyphens/>
        <w:rPr>
          <w:rFonts w:ascii="Univers" w:hAnsi="Univers"/>
        </w:rPr>
      </w:pPr>
    </w:p>
    <w:p w:rsidR="004F692A" w:rsidRDefault="00983CFF">
      <w:pPr>
        <w:tabs>
          <w:tab w:val="left" w:pos="-720"/>
        </w:tabs>
        <w:suppressAutoHyphens/>
        <w:rPr>
          <w:rFonts w:ascii="Univers" w:hAnsi="Univers"/>
        </w:rPr>
      </w:pPr>
      <w:r>
        <w:rPr>
          <w:rFonts w:ascii="Univers" w:hAnsi="Univers"/>
        </w:rPr>
        <w:t>1</w:t>
      </w:r>
      <w:r w:rsidR="004F692A">
        <w:rPr>
          <w:rFonts w:ascii="Univers" w:hAnsi="Univers"/>
        </w:rPr>
        <w:t xml:space="preserve">4. </w:t>
      </w:r>
      <w:r w:rsidR="004F692A">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0"/>
        <w:gridCol w:w="2876"/>
        <w:gridCol w:w="1374"/>
      </w:tblGrid>
      <w:tr w:rsidR="00E66703">
        <w:tc>
          <w:tcPr>
            <w:tcW w:w="6120" w:type="dxa"/>
          </w:tcPr>
          <w:p w:rsidR="00E66703" w:rsidRDefault="00E66703" w:rsidP="001E1865">
            <w:pPr>
              <w:pStyle w:val="Footer"/>
              <w:tabs>
                <w:tab w:val="clear" w:pos="4320"/>
                <w:tab w:val="clear" w:pos="8640"/>
              </w:tabs>
            </w:pPr>
          </w:p>
        </w:tc>
        <w:tc>
          <w:tcPr>
            <w:tcW w:w="2880" w:type="dxa"/>
          </w:tcPr>
          <w:p w:rsidR="00E66703" w:rsidRDefault="00E66703" w:rsidP="001E1865"/>
        </w:tc>
        <w:tc>
          <w:tcPr>
            <w:tcW w:w="1350" w:type="dxa"/>
          </w:tcPr>
          <w:p w:rsidR="00E66703" w:rsidRDefault="00E66703" w:rsidP="001E1865"/>
        </w:tc>
      </w:tr>
      <w:tr w:rsidR="00E66703">
        <w:tc>
          <w:tcPr>
            <w:tcW w:w="6120" w:type="dxa"/>
          </w:tcPr>
          <w:p w:rsidR="00E66703" w:rsidRDefault="00E66703" w:rsidP="001E1865">
            <w:pPr>
              <w:jc w:val="center"/>
              <w:rPr>
                <w:b/>
                <w:bCs/>
                <w:i/>
                <w:iCs/>
              </w:rPr>
            </w:pPr>
            <w:r>
              <w:rPr>
                <w:b/>
                <w:bCs/>
                <w:i/>
                <w:iCs/>
              </w:rPr>
              <w:t>14.  Cost to the Federal Government</w:t>
            </w:r>
          </w:p>
        </w:tc>
        <w:tc>
          <w:tcPr>
            <w:tcW w:w="2880" w:type="dxa"/>
          </w:tcPr>
          <w:p w:rsidR="00E66703" w:rsidRDefault="00E66703" w:rsidP="001E1865"/>
        </w:tc>
        <w:tc>
          <w:tcPr>
            <w:tcW w:w="1350" w:type="dxa"/>
          </w:tcPr>
          <w:p w:rsidR="00E66703" w:rsidRDefault="00E66703" w:rsidP="001E1865"/>
        </w:tc>
      </w:tr>
      <w:tr w:rsidR="00E66703">
        <w:tc>
          <w:tcPr>
            <w:tcW w:w="6120" w:type="dxa"/>
          </w:tcPr>
          <w:p w:rsidR="00E66703" w:rsidRDefault="00E66703" w:rsidP="001E1865">
            <w:bookmarkStart w:id="3" w:name="_Hlk228918642"/>
            <w:r>
              <w:t>A professional staff to develop clearance package</w:t>
            </w:r>
            <w:r w:rsidR="00524561">
              <w:t xml:space="preserve"> (Program Manager)</w:t>
            </w:r>
          </w:p>
        </w:tc>
        <w:tc>
          <w:tcPr>
            <w:tcW w:w="2880" w:type="dxa"/>
          </w:tcPr>
          <w:p w:rsidR="00E66703" w:rsidRDefault="00A85843" w:rsidP="001E1865">
            <w:r>
              <w:t>GS-14</w:t>
            </w:r>
            <w:r w:rsidR="00E66703">
              <w:t xml:space="preserve"> employe</w:t>
            </w:r>
            <w:r>
              <w:t>e: 60 hrs. @$</w:t>
            </w:r>
            <w:r w:rsidR="000E4257">
              <w:t>4</w:t>
            </w:r>
            <w:r w:rsidR="00E66703">
              <w:t>0 per hr.</w:t>
            </w:r>
          </w:p>
        </w:tc>
        <w:tc>
          <w:tcPr>
            <w:tcW w:w="1350" w:type="dxa"/>
          </w:tcPr>
          <w:p w:rsidR="00E66703" w:rsidRDefault="00E66703" w:rsidP="000E4257">
            <w:pPr>
              <w:jc w:val="right"/>
            </w:pPr>
            <w:r>
              <w:t>$</w:t>
            </w:r>
            <w:r w:rsidR="000E4257">
              <w:t>2400</w:t>
            </w:r>
          </w:p>
        </w:tc>
      </w:tr>
      <w:tr w:rsidR="00E66703">
        <w:tc>
          <w:tcPr>
            <w:tcW w:w="6120" w:type="dxa"/>
          </w:tcPr>
          <w:p w:rsidR="00E66703" w:rsidRDefault="00E66703" w:rsidP="001E1865">
            <w:r>
              <w:t>Overhead cost related to facilities, administration, and other indirect cost plus accrual of leave and fringe benefits</w:t>
            </w:r>
          </w:p>
        </w:tc>
        <w:tc>
          <w:tcPr>
            <w:tcW w:w="2880" w:type="dxa"/>
          </w:tcPr>
          <w:p w:rsidR="00E66703" w:rsidRDefault="00E66703" w:rsidP="001E1865"/>
          <w:p w:rsidR="00E66703" w:rsidRDefault="00E66703" w:rsidP="000E4257">
            <w:r>
              <w:t>$</w:t>
            </w:r>
            <w:r w:rsidR="000E4257">
              <w:t>2</w:t>
            </w:r>
            <w:r w:rsidR="008518CF">
              <w:t>,</w:t>
            </w:r>
            <w:r w:rsidR="000E4257">
              <w:t xml:space="preserve">400 </w:t>
            </w:r>
            <w:r>
              <w:t>x @ 50% salary</w:t>
            </w:r>
          </w:p>
        </w:tc>
        <w:tc>
          <w:tcPr>
            <w:tcW w:w="1350" w:type="dxa"/>
          </w:tcPr>
          <w:p w:rsidR="00E66703" w:rsidRDefault="00E66703" w:rsidP="001E1865">
            <w:pPr>
              <w:jc w:val="right"/>
            </w:pPr>
            <w:r>
              <w:t>$1</w:t>
            </w:r>
            <w:r w:rsidR="00524561">
              <w:t>2</w:t>
            </w:r>
            <w:r>
              <w:t>00</w:t>
            </w:r>
          </w:p>
        </w:tc>
      </w:tr>
      <w:tr w:rsidR="00E66703">
        <w:tc>
          <w:tcPr>
            <w:tcW w:w="6120" w:type="dxa"/>
          </w:tcPr>
          <w:p w:rsidR="00E66703" w:rsidRDefault="00E66703" w:rsidP="001E1865">
            <w:r>
              <w:t>Application printing</w:t>
            </w:r>
          </w:p>
        </w:tc>
        <w:tc>
          <w:tcPr>
            <w:tcW w:w="2880" w:type="dxa"/>
          </w:tcPr>
          <w:p w:rsidR="00E66703" w:rsidRDefault="008518CF" w:rsidP="001E1865">
            <w:r>
              <w:t>50</w:t>
            </w:r>
            <w:r w:rsidR="00E66703">
              <w:t xml:space="preserve"> copies x $1/copy)</w:t>
            </w:r>
          </w:p>
        </w:tc>
        <w:tc>
          <w:tcPr>
            <w:tcW w:w="1350" w:type="dxa"/>
          </w:tcPr>
          <w:p w:rsidR="00E66703" w:rsidRDefault="00E66703" w:rsidP="001E1865">
            <w:pPr>
              <w:jc w:val="right"/>
            </w:pPr>
            <w:r>
              <w:t>$</w:t>
            </w:r>
            <w:r w:rsidR="008518CF">
              <w:t>50</w:t>
            </w:r>
          </w:p>
        </w:tc>
      </w:tr>
      <w:tr w:rsidR="00E66703">
        <w:tc>
          <w:tcPr>
            <w:tcW w:w="6120" w:type="dxa"/>
          </w:tcPr>
          <w:p w:rsidR="00E66703" w:rsidRDefault="00E66703" w:rsidP="001E1865">
            <w:r>
              <w:t>Application mailing</w:t>
            </w:r>
          </w:p>
        </w:tc>
        <w:tc>
          <w:tcPr>
            <w:tcW w:w="2880" w:type="dxa"/>
          </w:tcPr>
          <w:p w:rsidR="00E66703" w:rsidRDefault="00E66703" w:rsidP="001E1865">
            <w:r>
              <w:t>(</w:t>
            </w:r>
            <w:r w:rsidR="008518CF">
              <w:t>5</w:t>
            </w:r>
            <w:r>
              <w:t xml:space="preserve"> copies X $.40/item mailed)</w:t>
            </w:r>
          </w:p>
        </w:tc>
        <w:tc>
          <w:tcPr>
            <w:tcW w:w="1350" w:type="dxa"/>
          </w:tcPr>
          <w:p w:rsidR="00E66703" w:rsidRDefault="00E66703" w:rsidP="001E1865">
            <w:pPr>
              <w:jc w:val="right"/>
            </w:pPr>
            <w:r>
              <w:t>$2</w:t>
            </w:r>
          </w:p>
        </w:tc>
      </w:tr>
      <w:tr w:rsidR="00E66703">
        <w:tc>
          <w:tcPr>
            <w:tcW w:w="6120" w:type="dxa"/>
          </w:tcPr>
          <w:p w:rsidR="00E66703" w:rsidRDefault="00E66703" w:rsidP="001E1865">
            <w:r>
              <w:t xml:space="preserve">Other Department staff to review and approve the request: GS-15 employee </w:t>
            </w:r>
            <w:r w:rsidR="00524561">
              <w:t>(Director) and GS-14 employee (Team Leader)</w:t>
            </w:r>
            <w:r>
              <w:t>for final review and approval</w:t>
            </w:r>
          </w:p>
        </w:tc>
        <w:tc>
          <w:tcPr>
            <w:tcW w:w="2880" w:type="dxa"/>
          </w:tcPr>
          <w:p w:rsidR="00E66703" w:rsidRDefault="00E66703" w:rsidP="005F6E60">
            <w:r>
              <w:t xml:space="preserve">GS-15 employee: </w:t>
            </w:r>
            <w:r w:rsidR="005F6E60">
              <w:t>1</w:t>
            </w:r>
            <w:r w:rsidR="005230D6">
              <w:t>0</w:t>
            </w:r>
            <w:r w:rsidR="005F6E60">
              <w:t xml:space="preserve"> </w:t>
            </w:r>
            <w:r w:rsidR="008518CF">
              <w:t>hours @ $6</w:t>
            </w:r>
            <w:r>
              <w:t>0 per hr.</w:t>
            </w:r>
            <w:r w:rsidR="005230D6">
              <w:t>($600)</w:t>
            </w:r>
          </w:p>
          <w:p w:rsidR="005230D6" w:rsidRDefault="005230D6" w:rsidP="005F6E60">
            <w:r>
              <w:t>+</w:t>
            </w:r>
          </w:p>
          <w:p w:rsidR="005230D6" w:rsidRDefault="005230D6" w:rsidP="005F6E60">
            <w:r>
              <w:t>GS-14 employee 10 hours @$40 per hr ($400)</w:t>
            </w:r>
            <w:r w:rsidR="00524561">
              <w:t>+</w:t>
            </w:r>
          </w:p>
          <w:p w:rsidR="00524561" w:rsidRDefault="00524561" w:rsidP="005F6E60">
            <w:r>
              <w:t>(Overhead cost: $1,000 x 50% = $500)</w:t>
            </w:r>
          </w:p>
        </w:tc>
        <w:tc>
          <w:tcPr>
            <w:tcW w:w="1350" w:type="dxa"/>
          </w:tcPr>
          <w:p w:rsidR="00E66703" w:rsidRDefault="00E66703" w:rsidP="005230D6">
            <w:pPr>
              <w:jc w:val="right"/>
            </w:pPr>
            <w:r>
              <w:t>$</w:t>
            </w:r>
            <w:r w:rsidR="00524561">
              <w:t>15</w:t>
            </w:r>
            <w:r w:rsidR="005230D6">
              <w:t>00</w:t>
            </w:r>
          </w:p>
        </w:tc>
      </w:tr>
      <w:tr w:rsidR="00E66703">
        <w:tc>
          <w:tcPr>
            <w:tcW w:w="6120" w:type="dxa"/>
          </w:tcPr>
          <w:p w:rsidR="00E66703" w:rsidRDefault="00E66703" w:rsidP="001E1865">
            <w:r>
              <w:t>Field Readers</w:t>
            </w:r>
          </w:p>
        </w:tc>
        <w:tc>
          <w:tcPr>
            <w:tcW w:w="2880" w:type="dxa"/>
          </w:tcPr>
          <w:p w:rsidR="00E66703" w:rsidRDefault="00E66703" w:rsidP="001E1865">
            <w:r>
              <w:t>(50 @ $1,100)</w:t>
            </w:r>
          </w:p>
        </w:tc>
        <w:tc>
          <w:tcPr>
            <w:tcW w:w="1350" w:type="dxa"/>
          </w:tcPr>
          <w:p w:rsidR="00E66703" w:rsidRDefault="00E66703" w:rsidP="001E1865">
            <w:pPr>
              <w:jc w:val="right"/>
            </w:pPr>
            <w:r>
              <w:t>$55,000</w:t>
            </w:r>
          </w:p>
        </w:tc>
      </w:tr>
      <w:tr w:rsidR="00E66703">
        <w:tc>
          <w:tcPr>
            <w:tcW w:w="6120" w:type="dxa"/>
          </w:tcPr>
          <w:p w:rsidR="00E66703" w:rsidRDefault="00E66703" w:rsidP="004357A9">
            <w:r>
              <w:t>Forms and Web-site development costs</w:t>
            </w:r>
          </w:p>
        </w:tc>
        <w:tc>
          <w:tcPr>
            <w:tcW w:w="2880" w:type="dxa"/>
          </w:tcPr>
          <w:p w:rsidR="00E66703" w:rsidRDefault="00E66703" w:rsidP="001E1865"/>
        </w:tc>
        <w:tc>
          <w:tcPr>
            <w:tcW w:w="1350" w:type="dxa"/>
          </w:tcPr>
          <w:p w:rsidR="00E66703" w:rsidRDefault="00E66703" w:rsidP="001E1865">
            <w:pPr>
              <w:jc w:val="right"/>
            </w:pPr>
            <w:r>
              <w:t>$4,000</w:t>
            </w:r>
          </w:p>
        </w:tc>
      </w:tr>
      <w:tr w:rsidR="00E66703">
        <w:tc>
          <w:tcPr>
            <w:tcW w:w="6120" w:type="dxa"/>
          </w:tcPr>
          <w:p w:rsidR="00E66703" w:rsidRDefault="00524561" w:rsidP="001E1865">
            <w:r>
              <w:t xml:space="preserve">Processing applications by </w:t>
            </w:r>
            <w:r w:rsidR="00E66703">
              <w:t>staff</w:t>
            </w:r>
          </w:p>
        </w:tc>
        <w:tc>
          <w:tcPr>
            <w:tcW w:w="2880" w:type="dxa"/>
          </w:tcPr>
          <w:p w:rsidR="00E66703" w:rsidRDefault="00E66703" w:rsidP="001E1865">
            <w:r>
              <w:t>(12 staff x 40 hrs. x $30 per hr. = $14,400)</w:t>
            </w:r>
            <w:r w:rsidR="005230D6">
              <w:t>+</w:t>
            </w:r>
          </w:p>
          <w:p w:rsidR="00E66703" w:rsidRDefault="00E66703" w:rsidP="001E1865">
            <w:r>
              <w:t>(Overhead cost:  $14,400 x 50% = $7,200)</w:t>
            </w:r>
          </w:p>
        </w:tc>
        <w:tc>
          <w:tcPr>
            <w:tcW w:w="1350" w:type="dxa"/>
          </w:tcPr>
          <w:p w:rsidR="00E66703" w:rsidRDefault="00E66703" w:rsidP="001E1865">
            <w:pPr>
              <w:jc w:val="right"/>
            </w:pPr>
            <w:r>
              <w:t>$21,600</w:t>
            </w:r>
          </w:p>
        </w:tc>
      </w:tr>
      <w:tr w:rsidR="00E66703">
        <w:tc>
          <w:tcPr>
            <w:tcW w:w="6120" w:type="dxa"/>
          </w:tcPr>
          <w:p w:rsidR="00E66703" w:rsidRDefault="00E66703" w:rsidP="001E1865">
            <w:r>
              <w:t>Contractor logistical support for workshops, application processing, field reading and slate preparation</w:t>
            </w:r>
          </w:p>
        </w:tc>
        <w:tc>
          <w:tcPr>
            <w:tcW w:w="2880" w:type="dxa"/>
          </w:tcPr>
          <w:p w:rsidR="00E66703" w:rsidRDefault="00E66703" w:rsidP="001E1865"/>
        </w:tc>
        <w:tc>
          <w:tcPr>
            <w:tcW w:w="1350" w:type="dxa"/>
          </w:tcPr>
          <w:p w:rsidR="00E66703" w:rsidRDefault="00524561" w:rsidP="001E1865">
            <w:pPr>
              <w:jc w:val="right"/>
            </w:pPr>
            <w:r>
              <w:t>$3</w:t>
            </w:r>
            <w:r w:rsidR="00E66703">
              <w:t>0,000</w:t>
            </w:r>
          </w:p>
        </w:tc>
      </w:tr>
      <w:tr w:rsidR="00E66703">
        <w:tc>
          <w:tcPr>
            <w:tcW w:w="6120" w:type="dxa"/>
          </w:tcPr>
          <w:p w:rsidR="00E66703" w:rsidRDefault="00E66703" w:rsidP="001E1865">
            <w:r>
              <w:t>Staff time for conducting supervised review</w:t>
            </w:r>
          </w:p>
        </w:tc>
        <w:tc>
          <w:tcPr>
            <w:tcW w:w="2880" w:type="dxa"/>
          </w:tcPr>
          <w:p w:rsidR="00E66703" w:rsidRDefault="00E66703" w:rsidP="001E1865">
            <w:r>
              <w:t xml:space="preserve">(2 weeks x 3 control reviews, and 11 panel chairpersons) </w:t>
            </w:r>
          </w:p>
          <w:p w:rsidR="00E66703" w:rsidRDefault="00E66703" w:rsidP="001E1865">
            <w:r>
              <w:t>(12 staff x 120 hrs. = 1,440 hrs. x $30 per hr. = $43,200)</w:t>
            </w:r>
            <w:r w:rsidR="005230D6">
              <w:t>+</w:t>
            </w:r>
          </w:p>
          <w:p w:rsidR="00E66703" w:rsidRDefault="00E66703" w:rsidP="001E1865">
            <w:r>
              <w:t xml:space="preserve">(Overhead cost:  50%(43,200) = $21,600 </w:t>
            </w:r>
          </w:p>
        </w:tc>
        <w:tc>
          <w:tcPr>
            <w:tcW w:w="1350" w:type="dxa"/>
          </w:tcPr>
          <w:p w:rsidR="00E66703" w:rsidRDefault="00E66703" w:rsidP="001E1865">
            <w:pPr>
              <w:jc w:val="right"/>
            </w:pPr>
            <w:r>
              <w:t>$64,800</w:t>
            </w:r>
          </w:p>
        </w:tc>
      </w:tr>
      <w:tr w:rsidR="00E66703">
        <w:tc>
          <w:tcPr>
            <w:tcW w:w="6120" w:type="dxa"/>
          </w:tcPr>
          <w:p w:rsidR="00E66703" w:rsidRDefault="00E66703" w:rsidP="001E1865">
            <w:r>
              <w:t xml:space="preserve">Staff time for generating slate </w:t>
            </w:r>
          </w:p>
        </w:tc>
        <w:tc>
          <w:tcPr>
            <w:tcW w:w="2880" w:type="dxa"/>
          </w:tcPr>
          <w:p w:rsidR="00E66703" w:rsidRDefault="00E66703" w:rsidP="001E1865">
            <w:r>
              <w:t>(3 staff x $30 x 40 hrs. = $3,600)</w:t>
            </w:r>
            <w:r w:rsidR="005230D6">
              <w:t>+</w:t>
            </w:r>
          </w:p>
          <w:p w:rsidR="00E66703" w:rsidRDefault="00E66703" w:rsidP="001E1865">
            <w:r>
              <w:t>(Overhead cost:  $3,600 x 50% = $1,800)</w:t>
            </w:r>
          </w:p>
        </w:tc>
        <w:tc>
          <w:tcPr>
            <w:tcW w:w="1350" w:type="dxa"/>
          </w:tcPr>
          <w:p w:rsidR="00E66703" w:rsidRDefault="00E66703" w:rsidP="001E1865">
            <w:pPr>
              <w:jc w:val="right"/>
            </w:pPr>
            <w:r>
              <w:t>$5,400</w:t>
            </w:r>
          </w:p>
        </w:tc>
      </w:tr>
      <w:tr w:rsidR="00E66703">
        <w:tc>
          <w:tcPr>
            <w:tcW w:w="6120" w:type="dxa"/>
          </w:tcPr>
          <w:p w:rsidR="00E66703" w:rsidRDefault="00E66703" w:rsidP="001E1865">
            <w:r>
              <w:t>Staff time to review and approve funding recommendation</w:t>
            </w:r>
          </w:p>
        </w:tc>
        <w:tc>
          <w:tcPr>
            <w:tcW w:w="2880" w:type="dxa"/>
          </w:tcPr>
          <w:p w:rsidR="00E66703" w:rsidRDefault="00E66703" w:rsidP="001E1865">
            <w:r>
              <w:t>(</w:t>
            </w:r>
            <w:r w:rsidR="005F20BD">
              <w:t xml:space="preserve">1 staff x </w:t>
            </w:r>
            <w:r>
              <w:t>4 hrs. per grant award x 33 awards)</w:t>
            </w:r>
          </w:p>
          <w:p w:rsidR="00E66703" w:rsidRDefault="00E66703" w:rsidP="001E1865">
            <w:r>
              <w:t>(33 awards x 4 hrs. per award x $30 per hr. = $3,960)</w:t>
            </w:r>
            <w:r w:rsidR="005230D6">
              <w:t>+</w:t>
            </w:r>
          </w:p>
          <w:p w:rsidR="00E66703" w:rsidRDefault="00E66703" w:rsidP="001E1865">
            <w:r>
              <w:t>(Overhead cost:  $3,960 x 50% = $1,980)</w:t>
            </w:r>
          </w:p>
        </w:tc>
        <w:tc>
          <w:tcPr>
            <w:tcW w:w="1350" w:type="dxa"/>
          </w:tcPr>
          <w:p w:rsidR="00E66703" w:rsidRDefault="00E66703" w:rsidP="001E1865">
            <w:pPr>
              <w:jc w:val="right"/>
            </w:pPr>
            <w:r>
              <w:t>$ 5,940</w:t>
            </w:r>
          </w:p>
        </w:tc>
      </w:tr>
      <w:tr w:rsidR="00E66703">
        <w:tc>
          <w:tcPr>
            <w:tcW w:w="6120" w:type="dxa"/>
          </w:tcPr>
          <w:p w:rsidR="00E66703" w:rsidRDefault="00E66703" w:rsidP="001E1865">
            <w:r>
              <w:t>Staff time to generate, approve, and issue grant awards</w:t>
            </w:r>
          </w:p>
        </w:tc>
        <w:tc>
          <w:tcPr>
            <w:tcW w:w="2880" w:type="dxa"/>
          </w:tcPr>
          <w:p w:rsidR="005F20BD" w:rsidRDefault="00E66703" w:rsidP="001E1865">
            <w:r>
              <w:t>(6 hrs. per award x 33 awards = 198/12 = 16.5</w:t>
            </w:r>
            <w:r w:rsidR="005230D6">
              <w:t xml:space="preserve"> hr/person</w:t>
            </w:r>
          </w:p>
          <w:p w:rsidR="00E66703" w:rsidRDefault="00E66703" w:rsidP="001E1865">
            <w:r>
              <w:t>12 staff x $30 x 16.5 hrs. = $5,940)</w:t>
            </w:r>
            <w:r w:rsidR="005230D6">
              <w:t>+</w:t>
            </w:r>
          </w:p>
          <w:p w:rsidR="00E66703" w:rsidRDefault="00E66703" w:rsidP="001E1865">
            <w:r>
              <w:t>(Overhead cost:  $5,940x 50% = $470)</w:t>
            </w:r>
          </w:p>
        </w:tc>
        <w:tc>
          <w:tcPr>
            <w:tcW w:w="1350" w:type="dxa"/>
          </w:tcPr>
          <w:p w:rsidR="00E66703" w:rsidRDefault="00E66703" w:rsidP="001E1865">
            <w:pPr>
              <w:jc w:val="right"/>
            </w:pPr>
            <w:r>
              <w:t>$8,910</w:t>
            </w:r>
          </w:p>
        </w:tc>
      </w:tr>
      <w:tr w:rsidR="00E66703">
        <w:tc>
          <w:tcPr>
            <w:tcW w:w="6120" w:type="dxa"/>
          </w:tcPr>
          <w:p w:rsidR="00E66703" w:rsidRDefault="00E66703" w:rsidP="001E1865">
            <w:r>
              <w:t>Annual Monitoring Cost</w:t>
            </w:r>
          </w:p>
        </w:tc>
        <w:tc>
          <w:tcPr>
            <w:tcW w:w="2880" w:type="dxa"/>
          </w:tcPr>
          <w:p w:rsidR="00E66703" w:rsidRPr="001E1865" w:rsidRDefault="00E66703" w:rsidP="001E1865">
            <w:pPr>
              <w:pStyle w:val="Heading3"/>
              <w:rPr>
                <w:b w:val="0"/>
                <w:bCs w:val="0"/>
                <w:sz w:val="20"/>
              </w:rPr>
            </w:pPr>
            <w:r w:rsidRPr="001E1865">
              <w:rPr>
                <w:b w:val="0"/>
                <w:bCs w:val="0"/>
                <w:sz w:val="20"/>
              </w:rPr>
              <w:t>(10 hrs. per award x 33 awards = 330/12 = 27.5 hrs. per person)</w:t>
            </w:r>
          </w:p>
          <w:p w:rsidR="00E66703" w:rsidRDefault="00E66703" w:rsidP="001E1865">
            <w:r>
              <w:t>(12 staff x $30 = 360 x 27.5 hrs. = $9,900)</w:t>
            </w:r>
            <w:r>
              <w:rPr>
                <w:b/>
                <w:bCs/>
              </w:rPr>
              <w:t xml:space="preserve"> </w:t>
            </w:r>
            <w:r w:rsidR="00BC562C">
              <w:rPr>
                <w:b/>
                <w:bCs/>
              </w:rPr>
              <w:t xml:space="preserve">+ </w:t>
            </w:r>
            <w:r>
              <w:t>Overhead cost:  (9,900x 50% = $4,950)</w:t>
            </w:r>
          </w:p>
        </w:tc>
        <w:tc>
          <w:tcPr>
            <w:tcW w:w="1350" w:type="dxa"/>
          </w:tcPr>
          <w:p w:rsidR="00E66703" w:rsidRDefault="00E66703" w:rsidP="001E1865">
            <w:pPr>
              <w:jc w:val="right"/>
            </w:pPr>
            <w:r>
              <w:t>$14,850</w:t>
            </w:r>
          </w:p>
        </w:tc>
      </w:tr>
      <w:tr w:rsidR="00E66703">
        <w:tc>
          <w:tcPr>
            <w:tcW w:w="6120" w:type="dxa"/>
          </w:tcPr>
          <w:p w:rsidR="00E66703" w:rsidRPr="001E1865" w:rsidRDefault="00E66703" w:rsidP="001E1865">
            <w:pPr>
              <w:pStyle w:val="Heading2"/>
              <w:jc w:val="center"/>
              <w:rPr>
                <w:b w:val="0"/>
                <w:bCs w:val="0"/>
                <w:sz w:val="20"/>
              </w:rPr>
            </w:pPr>
          </w:p>
        </w:tc>
        <w:tc>
          <w:tcPr>
            <w:tcW w:w="2880" w:type="dxa"/>
          </w:tcPr>
          <w:p w:rsidR="00E66703" w:rsidRPr="001E1865" w:rsidRDefault="00E66703" w:rsidP="001E1865">
            <w:pPr>
              <w:pStyle w:val="Heading3"/>
              <w:rPr>
                <w:sz w:val="20"/>
              </w:rPr>
            </w:pPr>
            <w:r w:rsidRPr="001E1865">
              <w:rPr>
                <w:sz w:val="20"/>
              </w:rPr>
              <w:t>Total Annual Government Estimated Cost</w:t>
            </w:r>
          </w:p>
        </w:tc>
        <w:tc>
          <w:tcPr>
            <w:tcW w:w="1350" w:type="dxa"/>
          </w:tcPr>
          <w:p w:rsidR="00E66703" w:rsidRDefault="00E66703" w:rsidP="00BC562C">
            <w:pPr>
              <w:jc w:val="right"/>
            </w:pPr>
            <w:r>
              <w:rPr>
                <w:b/>
                <w:bCs/>
              </w:rPr>
              <w:t>$</w:t>
            </w:r>
            <w:r w:rsidR="00BC562C">
              <w:rPr>
                <w:b/>
                <w:bCs/>
              </w:rPr>
              <w:t>215,652</w:t>
            </w:r>
          </w:p>
        </w:tc>
      </w:tr>
      <w:bookmarkEnd w:id="3"/>
    </w:tbl>
    <w:p w:rsidR="004F692A" w:rsidRDefault="004F692A">
      <w:pPr>
        <w:tabs>
          <w:tab w:val="left" w:pos="-720"/>
        </w:tabs>
        <w:suppressAutoHyphens/>
        <w:rPr>
          <w:rFonts w:ascii="Univers" w:hAnsi="Univers"/>
        </w:rPr>
      </w:pPr>
    </w:p>
    <w:p w:rsidR="004F692A" w:rsidRDefault="004F692A" w:rsidP="0040606D">
      <w:pPr>
        <w:tabs>
          <w:tab w:val="left" w:pos="-720"/>
        </w:tabs>
        <w:suppressAutoHyphens/>
        <w:ind w:left="450" w:hanging="450"/>
        <w:rPr>
          <w:rFonts w:ascii="Univers" w:hAnsi="Univers"/>
        </w:rPr>
      </w:pPr>
      <w:r>
        <w:rPr>
          <w:rFonts w:ascii="Univers" w:hAnsi="Univers"/>
        </w:rPr>
        <w:t xml:space="preserve">15. </w:t>
      </w:r>
      <w:r w:rsidR="0040606D">
        <w:rPr>
          <w:rFonts w:ascii="Univers" w:hAnsi="Univers"/>
        </w:rPr>
        <w:t xml:space="preserve"> </w:t>
      </w:r>
      <w:r w:rsidR="003C29C2">
        <w:rPr>
          <w:rFonts w:ascii="Univers" w:hAnsi="Univers" w:cs="Univers"/>
          <w:szCs w:val="24"/>
        </w:rPr>
        <w:t>Explain the reasons for any program changes or adjustments</w:t>
      </w:r>
      <w:r w:rsidR="00824E39">
        <w:rPr>
          <w:rFonts w:ascii="Univers" w:hAnsi="Univers" w:cs="Univers"/>
          <w:szCs w:val="24"/>
        </w:rPr>
        <w:t>.</w:t>
      </w:r>
      <w:r w:rsidR="003C29C2">
        <w:rPr>
          <w:rFonts w:ascii="Univers" w:hAnsi="Univers" w:cs="Univers"/>
          <w:szCs w:val="24"/>
        </w:rPr>
        <w:t xml:space="preserve"> </w:t>
      </w:r>
    </w:p>
    <w:p w:rsidR="004F692A" w:rsidRDefault="004F692A" w:rsidP="0040606D">
      <w:pPr>
        <w:tabs>
          <w:tab w:val="left" w:pos="-720"/>
        </w:tabs>
        <w:suppressAutoHyphens/>
        <w:ind w:left="450"/>
        <w:rPr>
          <w:rFonts w:ascii="Univers" w:hAnsi="Univers"/>
        </w:rPr>
      </w:pPr>
    </w:p>
    <w:p w:rsidR="00E71C4B" w:rsidRDefault="001A3353" w:rsidP="00E71C4B">
      <w:pPr>
        <w:autoSpaceDE w:val="0"/>
        <w:autoSpaceDN w:val="0"/>
        <w:adjustRightInd w:val="0"/>
      </w:pPr>
      <w:r w:rsidRPr="00814FF1">
        <w:t>This is a reinstatement with change of a previously approved information collection request. This clearance request is a program change due to an increase of 8,000 hours and 200 responses. The previous submission was discontinued in May 2009.</w:t>
      </w:r>
    </w:p>
    <w:p w:rsidR="00E71C4B" w:rsidRPr="00E71C4B" w:rsidRDefault="00E71C4B">
      <w:pPr>
        <w:tabs>
          <w:tab w:val="left" w:pos="-720"/>
        </w:tabs>
        <w:suppressAutoHyphens/>
      </w:pPr>
    </w:p>
    <w:p w:rsidR="004F692A" w:rsidRDefault="004F692A">
      <w:pPr>
        <w:tabs>
          <w:tab w:val="left" w:pos="-720"/>
        </w:tabs>
        <w:suppressAutoHyphens/>
        <w:rPr>
          <w:rFonts w:ascii="Univers" w:hAnsi="Univers"/>
        </w:rPr>
      </w:pPr>
    </w:p>
    <w:p w:rsidR="004F692A" w:rsidRDefault="004F692A" w:rsidP="0040606D">
      <w:pPr>
        <w:tabs>
          <w:tab w:val="left" w:pos="-720"/>
        </w:tabs>
        <w:suppressAutoHyphens/>
        <w:ind w:left="450" w:hanging="450"/>
        <w:rPr>
          <w:rFonts w:ascii="Univers" w:hAnsi="Univers"/>
        </w:rPr>
      </w:pPr>
      <w:r>
        <w:rPr>
          <w:rFonts w:ascii="Univers" w:hAnsi="Univers"/>
        </w:rPr>
        <w:t xml:space="preserve">16. </w:t>
      </w:r>
      <w:r w:rsidR="0040606D">
        <w:rPr>
          <w:rFonts w:ascii="Univers" w:hAnsi="Univers"/>
        </w:rPr>
        <w:t xml:space="preserve">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E66703" w:rsidRDefault="00E66703" w:rsidP="0040606D">
      <w:pPr>
        <w:ind w:left="450"/>
      </w:pPr>
      <w:r>
        <w:t>Results of collected information will not be published for statistical purposes.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40606D">
      <w:pPr>
        <w:tabs>
          <w:tab w:val="left" w:pos="-720"/>
        </w:tabs>
        <w:suppressAutoHyphens/>
        <w:ind w:left="450" w:hanging="450"/>
        <w:rPr>
          <w:rFonts w:ascii="Univers" w:hAnsi="Univers"/>
        </w:rPr>
      </w:pPr>
      <w:r>
        <w:rPr>
          <w:rFonts w:ascii="Univers" w:hAnsi="Univers"/>
        </w:rPr>
        <w:t xml:space="preserve">17. </w:t>
      </w:r>
      <w:r w:rsidR="0040606D">
        <w:rPr>
          <w:rFonts w:ascii="Univers" w:hAnsi="Univers"/>
        </w:rPr>
        <w:t xml:space="preserve"> </w:t>
      </w:r>
      <w:r>
        <w:rPr>
          <w:rStyle w:val="a"/>
          <w:rFonts w:ascii="Univers" w:hAnsi="Univers"/>
        </w:rPr>
        <w:t>If seeking approval to not display the expiration date for OMB approval of the information collection, explain the reasons that display would be inappropriate.</w:t>
      </w:r>
    </w:p>
    <w:p w:rsidR="004F692A" w:rsidRDefault="004F692A">
      <w:pPr>
        <w:tabs>
          <w:tab w:val="left" w:pos="-720"/>
        </w:tabs>
        <w:suppressAutoHyphens/>
        <w:rPr>
          <w:rFonts w:ascii="Univers" w:hAnsi="Univers"/>
        </w:rPr>
      </w:pPr>
    </w:p>
    <w:p w:rsidR="00E66703" w:rsidRDefault="00E66703" w:rsidP="0040606D">
      <w:pPr>
        <w:ind w:left="450"/>
      </w:pPr>
      <w:r>
        <w:t xml:space="preserve">The Department will display </w:t>
      </w:r>
      <w:r w:rsidR="00821381">
        <w:t xml:space="preserve">the expiration date for the OMB approval </w:t>
      </w:r>
      <w:r>
        <w:t>on the form</w:t>
      </w:r>
      <w:r w:rsidR="00821381">
        <w:t>,</w:t>
      </w:r>
      <w:r>
        <w:t xml:space="preserve"> as required.</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40606D">
      <w:pPr>
        <w:tabs>
          <w:tab w:val="left" w:pos="-720"/>
        </w:tabs>
        <w:suppressAutoHyphens/>
        <w:ind w:left="450" w:hanging="450"/>
        <w:rPr>
          <w:rFonts w:ascii="Univers" w:hAnsi="Univers"/>
        </w:rPr>
      </w:pPr>
      <w:r>
        <w:rPr>
          <w:rFonts w:ascii="Univers" w:hAnsi="Univers"/>
        </w:rPr>
        <w:t xml:space="preserve">18. </w:t>
      </w:r>
      <w:r w:rsidR="0040606D">
        <w:rPr>
          <w:rFonts w:ascii="Univers" w:hAnsi="Univers"/>
        </w:rPr>
        <w:t xml:space="preserve"> </w:t>
      </w:r>
      <w:r>
        <w:rPr>
          <w:rStyle w:val="a"/>
          <w:rFonts w:ascii="Univers" w:hAnsi="Univers"/>
        </w:rPr>
        <w:t>Explain each exception</w:t>
      </w:r>
      <w:r w:rsidR="00814FF1">
        <w:rPr>
          <w:rStyle w:val="a"/>
          <w:rFonts w:ascii="Univers" w:hAnsi="Univers"/>
        </w:rPr>
        <w:t xml:space="preserve"> to the certification statemen</w:t>
      </w:r>
      <w:r w:rsidR="008D08D1">
        <w:rPr>
          <w:rStyle w:val="a"/>
          <w:rFonts w:ascii="Univers" w:hAnsi="Univers"/>
        </w:rPr>
        <w:t>t</w:t>
      </w:r>
      <w:r w:rsidR="00824E39">
        <w:rPr>
          <w:rStyle w:val="a"/>
          <w:rFonts w:ascii="Univers" w:hAnsi="Univers"/>
        </w:rPr>
        <w:t>.</w:t>
      </w:r>
    </w:p>
    <w:p w:rsidR="004F692A" w:rsidRDefault="004F692A">
      <w:pPr>
        <w:tabs>
          <w:tab w:val="left" w:pos="-720"/>
        </w:tabs>
        <w:suppressAutoHyphens/>
        <w:rPr>
          <w:rFonts w:ascii="Univers" w:hAnsi="Univers"/>
        </w:rPr>
      </w:pPr>
    </w:p>
    <w:p w:rsidR="00E66703" w:rsidRDefault="00E66703" w:rsidP="0040606D">
      <w:pPr>
        <w:ind w:firstLine="450"/>
      </w:pPr>
      <w:r>
        <w:t>There are no exceptions</w:t>
      </w:r>
      <w:r w:rsidR="00824E39">
        <w:t>.</w:t>
      </w:r>
    </w:p>
    <w:p w:rsidR="004F692A" w:rsidRDefault="004F692A">
      <w:pPr>
        <w:pStyle w:val="EndnoteText"/>
        <w:rPr>
          <w:rFonts w:ascii="Univers" w:hAnsi="Univers"/>
        </w:rPr>
      </w:pPr>
    </w:p>
    <w:p w:rsidR="004F692A" w:rsidRDefault="004F692A">
      <w:pPr>
        <w:tabs>
          <w:tab w:val="left" w:pos="-720"/>
        </w:tabs>
        <w:suppressAutoHyphens/>
        <w:rPr>
          <w:rFonts w:ascii="Univers" w:hAnsi="Univers"/>
        </w:rPr>
      </w:pPr>
    </w:p>
    <w:p w:rsidR="00850DB1" w:rsidRDefault="00850DB1" w:rsidP="00850DB1">
      <w:pPr>
        <w:tabs>
          <w:tab w:val="left" w:pos="-720"/>
          <w:tab w:val="left" w:pos="360"/>
        </w:tabs>
        <w:suppressAutoHyphens/>
        <w:rPr>
          <w:rFonts w:ascii="Univers" w:hAnsi="Univers"/>
        </w:rPr>
      </w:pPr>
    </w:p>
    <w:sectPr w:rsidR="00850DB1" w:rsidSect="00B235E6">
      <w:endnotePr>
        <w:numFmt w:val="decimal"/>
      </w:endnotePr>
      <w:pgSz w:w="12240" w:h="15840" w:code="1"/>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28B" w:rsidRDefault="0041228B">
      <w:pPr>
        <w:spacing w:line="20" w:lineRule="exact"/>
      </w:pPr>
    </w:p>
  </w:endnote>
  <w:endnote w:type="continuationSeparator" w:id="0">
    <w:p w:rsidR="0041228B" w:rsidRDefault="0041228B">
      <w:r>
        <w:t xml:space="preserve"> </w:t>
      </w:r>
    </w:p>
  </w:endnote>
  <w:endnote w:type="continuationNotice" w:id="1">
    <w:p w:rsidR="0041228B" w:rsidRDefault="0041228B">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70" w:rsidRPr="00EF4923" w:rsidRDefault="007D2D70">
    <w:pPr>
      <w:spacing w:before="140" w:line="100" w:lineRule="exact"/>
      <w:rPr>
        <w:sz w:val="12"/>
        <w:szCs w:val="12"/>
      </w:rPr>
    </w:pPr>
    <w:r w:rsidRPr="00EF4923">
      <w:rPr>
        <w:sz w:val="12"/>
        <w:szCs w:val="12"/>
      </w:rPr>
      <w:t>FY 2011-2013 SUPPORTING STATEMENTS FOR MSEIP APPLICATION RENEWAL</w:t>
    </w:r>
  </w:p>
  <w:p w:rsidR="007D2D70" w:rsidRDefault="007D2D70">
    <w:pPr>
      <w:tabs>
        <w:tab w:val="left" w:pos="0"/>
      </w:tabs>
      <w:suppressAutoHyphens/>
    </w:pPr>
  </w:p>
  <w:p w:rsidR="007D2D70" w:rsidRDefault="00A76E38">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style="mso-next-textbox:#_x0000_s2049" inset="0,0,0,0">
            <w:txbxContent>
              <w:p w:rsidR="007D2D70" w:rsidRDefault="007D2D70">
                <w:pPr>
                  <w:tabs>
                    <w:tab w:val="center" w:pos="4650"/>
                  </w:tabs>
                  <w:suppressAutoHyphens/>
                  <w:jc w:val="both"/>
                </w:pPr>
                <w:r>
                  <w:tab/>
                </w:r>
                <w:fldSimple w:instr="page \* arabic">
                  <w:r w:rsidR="00983CFF">
                    <w:rPr>
                      <w:noProof/>
                    </w:rPr>
                    <w:t>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28B" w:rsidRDefault="0041228B">
      <w:r>
        <w:separator/>
      </w:r>
    </w:p>
  </w:footnote>
  <w:footnote w:type="continuationSeparator" w:id="0">
    <w:p w:rsidR="0041228B" w:rsidRDefault="00412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27069B"/>
    <w:multiLevelType w:val="hybridMultilevel"/>
    <w:tmpl w:val="9B244BD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E033785"/>
    <w:multiLevelType w:val="singleLevel"/>
    <w:tmpl w:val="3A403C44"/>
    <w:lvl w:ilvl="0">
      <w:start w:val="1"/>
      <w:numFmt w:val="decimal"/>
      <w:lvlText w:val="%1."/>
      <w:lvlJc w:val="left"/>
      <w:pPr>
        <w:tabs>
          <w:tab w:val="num" w:pos="720"/>
        </w:tabs>
        <w:ind w:left="720" w:hanging="720"/>
      </w:pPr>
      <w:rPr>
        <w:rFonts w:hint="default"/>
      </w:rPr>
    </w:lvl>
  </w:abstractNum>
  <w:abstractNum w:abstractNumId="5">
    <w:nsid w:val="1B891A4F"/>
    <w:multiLevelType w:val="hybridMultilevel"/>
    <w:tmpl w:val="9B244BD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369E795C"/>
    <w:multiLevelType w:val="hybridMultilevel"/>
    <w:tmpl w:val="CE6EECFE"/>
    <w:lvl w:ilvl="0" w:tplc="C35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435987"/>
    <w:multiLevelType w:val="hybridMultilevel"/>
    <w:tmpl w:val="78528064"/>
    <w:lvl w:ilvl="0" w:tplc="589CE5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24504F6"/>
    <w:multiLevelType w:val="hybridMultilevel"/>
    <w:tmpl w:val="9B244BD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nsid w:val="67127385"/>
    <w:multiLevelType w:val="hybridMultilevel"/>
    <w:tmpl w:val="E62E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lvl>
  </w:abstractNum>
  <w:abstractNum w:abstractNumId="16">
    <w:nsid w:val="6EAF07E5"/>
    <w:multiLevelType w:val="hybridMultilevel"/>
    <w:tmpl w:val="C3E60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B6CCE"/>
    <w:multiLevelType w:val="hybridMultilevel"/>
    <w:tmpl w:val="C7E42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2"/>
  </w:num>
  <w:num w:numId="8">
    <w:abstractNumId w:val="11"/>
  </w:num>
  <w:num w:numId="9">
    <w:abstractNumId w:val="13"/>
  </w:num>
  <w:num w:numId="10">
    <w:abstractNumId w:val="4"/>
  </w:num>
  <w:num w:numId="11">
    <w:abstractNumId w:val="8"/>
  </w:num>
  <w:num w:numId="12">
    <w:abstractNumId w:val="10"/>
  </w:num>
  <w:num w:numId="13">
    <w:abstractNumId w:val="2"/>
  </w:num>
  <w:num w:numId="14">
    <w:abstractNumId w:val="5"/>
  </w:num>
  <w:num w:numId="15">
    <w:abstractNumId w:val="14"/>
  </w:num>
  <w:num w:numId="16">
    <w:abstractNumId w:val="17"/>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9C2"/>
    <w:rsid w:val="000358C4"/>
    <w:rsid w:val="00036B37"/>
    <w:rsid w:val="000C01A8"/>
    <w:rsid w:val="000E4257"/>
    <w:rsid w:val="000E7A63"/>
    <w:rsid w:val="00115441"/>
    <w:rsid w:val="00124C8D"/>
    <w:rsid w:val="001755AF"/>
    <w:rsid w:val="0018231C"/>
    <w:rsid w:val="001A3353"/>
    <w:rsid w:val="001C3333"/>
    <w:rsid w:val="001E1865"/>
    <w:rsid w:val="002106D2"/>
    <w:rsid w:val="00217774"/>
    <w:rsid w:val="00222956"/>
    <w:rsid w:val="0023496B"/>
    <w:rsid w:val="002559AE"/>
    <w:rsid w:val="002600B4"/>
    <w:rsid w:val="00262B15"/>
    <w:rsid w:val="002711FD"/>
    <w:rsid w:val="00274987"/>
    <w:rsid w:val="00325E11"/>
    <w:rsid w:val="00386A21"/>
    <w:rsid w:val="003C29C2"/>
    <w:rsid w:val="0040606D"/>
    <w:rsid w:val="0041228B"/>
    <w:rsid w:val="00412F88"/>
    <w:rsid w:val="004357A9"/>
    <w:rsid w:val="0047123F"/>
    <w:rsid w:val="004E4809"/>
    <w:rsid w:val="004F692A"/>
    <w:rsid w:val="00520155"/>
    <w:rsid w:val="005230D6"/>
    <w:rsid w:val="00524561"/>
    <w:rsid w:val="005606DE"/>
    <w:rsid w:val="005729EF"/>
    <w:rsid w:val="005E4409"/>
    <w:rsid w:val="005F20BD"/>
    <w:rsid w:val="005F64EF"/>
    <w:rsid w:val="005F6E60"/>
    <w:rsid w:val="00606F6D"/>
    <w:rsid w:val="00614716"/>
    <w:rsid w:val="006236B3"/>
    <w:rsid w:val="00670320"/>
    <w:rsid w:val="006B160C"/>
    <w:rsid w:val="006E329D"/>
    <w:rsid w:val="00732060"/>
    <w:rsid w:val="0074297D"/>
    <w:rsid w:val="007B0A39"/>
    <w:rsid w:val="007D2D70"/>
    <w:rsid w:val="00807067"/>
    <w:rsid w:val="008136E4"/>
    <w:rsid w:val="00814724"/>
    <w:rsid w:val="00814FF1"/>
    <w:rsid w:val="00821381"/>
    <w:rsid w:val="00824E39"/>
    <w:rsid w:val="00832583"/>
    <w:rsid w:val="00850DB1"/>
    <w:rsid w:val="008518CF"/>
    <w:rsid w:val="00881434"/>
    <w:rsid w:val="008B7642"/>
    <w:rsid w:val="008C056B"/>
    <w:rsid w:val="008D08D1"/>
    <w:rsid w:val="008D5C76"/>
    <w:rsid w:val="009108B8"/>
    <w:rsid w:val="00912FCF"/>
    <w:rsid w:val="00922D2E"/>
    <w:rsid w:val="009669C1"/>
    <w:rsid w:val="00982A53"/>
    <w:rsid w:val="00983CFF"/>
    <w:rsid w:val="009A7990"/>
    <w:rsid w:val="00A34F8F"/>
    <w:rsid w:val="00A5395F"/>
    <w:rsid w:val="00A76E38"/>
    <w:rsid w:val="00A825BC"/>
    <w:rsid w:val="00A85843"/>
    <w:rsid w:val="00A936B5"/>
    <w:rsid w:val="00AD0A3E"/>
    <w:rsid w:val="00AD4705"/>
    <w:rsid w:val="00B1178C"/>
    <w:rsid w:val="00B235E6"/>
    <w:rsid w:val="00BA45E3"/>
    <w:rsid w:val="00BC562C"/>
    <w:rsid w:val="00BC7B50"/>
    <w:rsid w:val="00BF12F0"/>
    <w:rsid w:val="00CA46B8"/>
    <w:rsid w:val="00CA5AF4"/>
    <w:rsid w:val="00CD4612"/>
    <w:rsid w:val="00CE3266"/>
    <w:rsid w:val="00D06CAE"/>
    <w:rsid w:val="00D4293C"/>
    <w:rsid w:val="00D94567"/>
    <w:rsid w:val="00DA4F16"/>
    <w:rsid w:val="00DF6A17"/>
    <w:rsid w:val="00DF7CD6"/>
    <w:rsid w:val="00E03F87"/>
    <w:rsid w:val="00E17AA2"/>
    <w:rsid w:val="00E216B7"/>
    <w:rsid w:val="00E62DAD"/>
    <w:rsid w:val="00E66703"/>
    <w:rsid w:val="00E71C4B"/>
    <w:rsid w:val="00EC64A0"/>
    <w:rsid w:val="00EF0168"/>
    <w:rsid w:val="00EF4923"/>
    <w:rsid w:val="00F20F1E"/>
    <w:rsid w:val="00F438EC"/>
    <w:rsid w:val="00F44DC5"/>
    <w:rsid w:val="00F4779D"/>
    <w:rsid w:val="00F5175C"/>
    <w:rsid w:val="00F637BC"/>
    <w:rsid w:val="00F949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38"/>
    <w:rPr>
      <w:rFonts w:ascii="Courier" w:hAnsi="Courier"/>
      <w:sz w:val="24"/>
    </w:rPr>
  </w:style>
  <w:style w:type="paragraph" w:styleId="Heading1">
    <w:name w:val="heading 1"/>
    <w:basedOn w:val="Normal"/>
    <w:next w:val="Normal"/>
    <w:link w:val="Heading1Char"/>
    <w:qFormat/>
    <w:rsid w:val="00E66703"/>
    <w:pPr>
      <w:keepNext/>
      <w:outlineLvl w:val="0"/>
    </w:pPr>
    <w:rPr>
      <w:rFonts w:ascii="Courier New" w:hAnsi="Courier New"/>
    </w:rPr>
  </w:style>
  <w:style w:type="paragraph" w:styleId="Heading2">
    <w:name w:val="heading 2"/>
    <w:basedOn w:val="Normal"/>
    <w:next w:val="Normal"/>
    <w:link w:val="Heading2Char"/>
    <w:qFormat/>
    <w:rsid w:val="00E6670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6670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66703"/>
    <w:pPr>
      <w:keepNext/>
      <w:jc w:val="center"/>
      <w:outlineLvl w:val="3"/>
    </w:pPr>
    <w:rPr>
      <w:rFonts w:ascii="Times New Roman" w:hAnsi="Times New Roman"/>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6E38"/>
    <w:pPr>
      <w:tabs>
        <w:tab w:val="left" w:pos="-720"/>
      </w:tabs>
      <w:suppressAutoHyphens/>
    </w:pPr>
  </w:style>
  <w:style w:type="character" w:styleId="EndnoteReference">
    <w:name w:val="endnote reference"/>
    <w:semiHidden/>
    <w:rsid w:val="00A76E38"/>
    <w:rPr>
      <w:rFonts w:ascii="Courier" w:hAnsi="Courier"/>
      <w:noProof w:val="0"/>
      <w:sz w:val="24"/>
      <w:vertAlign w:val="superscript"/>
      <w:lang w:val="en-US"/>
    </w:rPr>
  </w:style>
  <w:style w:type="paragraph" w:styleId="FootnoteText">
    <w:name w:val="footnote text"/>
    <w:basedOn w:val="Normal"/>
    <w:semiHidden/>
    <w:rsid w:val="00A76E38"/>
    <w:pPr>
      <w:tabs>
        <w:tab w:val="left" w:pos="-720"/>
      </w:tabs>
      <w:suppressAutoHyphens/>
    </w:pPr>
  </w:style>
  <w:style w:type="character" w:styleId="FootnoteReference">
    <w:name w:val="footnote reference"/>
    <w:semiHidden/>
    <w:rsid w:val="00A76E38"/>
    <w:rPr>
      <w:rFonts w:ascii="Courier" w:hAnsi="Courier"/>
      <w:noProof w:val="0"/>
      <w:sz w:val="24"/>
      <w:vertAlign w:val="superscript"/>
      <w:lang w:val="en-US"/>
    </w:rPr>
  </w:style>
  <w:style w:type="character" w:customStyle="1" w:styleId="DefaultParagraphFo">
    <w:name w:val="Default Paragraph Fo"/>
    <w:basedOn w:val="DefaultParagraphFont"/>
    <w:rsid w:val="00A76E38"/>
  </w:style>
  <w:style w:type="character" w:customStyle="1" w:styleId="EquationCaption">
    <w:name w:val="_Equation Caption"/>
    <w:basedOn w:val="DefaultParagraphFont"/>
    <w:rsid w:val="00A76E38"/>
  </w:style>
  <w:style w:type="paragraph" w:styleId="Footer">
    <w:name w:val="footer"/>
    <w:basedOn w:val="Normal"/>
    <w:rsid w:val="00A76E38"/>
    <w:pPr>
      <w:tabs>
        <w:tab w:val="left" w:pos="0"/>
        <w:tab w:val="center" w:pos="4320"/>
        <w:tab w:val="right" w:pos="8640"/>
      </w:tabs>
      <w:suppressAutoHyphens/>
    </w:pPr>
  </w:style>
  <w:style w:type="paragraph" w:styleId="Header">
    <w:name w:val="header"/>
    <w:basedOn w:val="Normal"/>
    <w:rsid w:val="00A76E38"/>
    <w:pPr>
      <w:tabs>
        <w:tab w:val="left" w:pos="0"/>
        <w:tab w:val="left" w:pos="360"/>
        <w:tab w:val="right" w:pos="9000"/>
        <w:tab w:val="left" w:pos="9360"/>
      </w:tabs>
      <w:suppressAutoHyphens/>
    </w:pPr>
  </w:style>
  <w:style w:type="character" w:styleId="PageNumber">
    <w:name w:val="page number"/>
    <w:basedOn w:val="DefaultParagraphFont"/>
    <w:rsid w:val="00A76E38"/>
  </w:style>
  <w:style w:type="character" w:customStyle="1" w:styleId="EquationCaption1">
    <w:name w:val="_Equation Caption1"/>
    <w:basedOn w:val="DefaultParagraphFont"/>
    <w:rsid w:val="00A76E38"/>
  </w:style>
  <w:style w:type="paragraph" w:styleId="TOC1">
    <w:name w:val="toc 1"/>
    <w:basedOn w:val="Normal"/>
    <w:next w:val="Normal"/>
    <w:semiHidden/>
    <w:rsid w:val="00A76E38"/>
    <w:pPr>
      <w:tabs>
        <w:tab w:val="right" w:leader="dot" w:pos="9360"/>
      </w:tabs>
      <w:suppressAutoHyphens/>
      <w:spacing w:before="480"/>
      <w:ind w:left="720" w:right="720" w:hanging="720"/>
    </w:pPr>
  </w:style>
  <w:style w:type="paragraph" w:styleId="TOC2">
    <w:name w:val="toc 2"/>
    <w:basedOn w:val="Normal"/>
    <w:next w:val="Normal"/>
    <w:semiHidden/>
    <w:rsid w:val="00A76E38"/>
    <w:pPr>
      <w:tabs>
        <w:tab w:val="right" w:leader="dot" w:pos="9360"/>
      </w:tabs>
      <w:suppressAutoHyphens/>
      <w:ind w:left="1440" w:right="720" w:hanging="720"/>
    </w:pPr>
  </w:style>
  <w:style w:type="paragraph" w:styleId="TOC3">
    <w:name w:val="toc 3"/>
    <w:basedOn w:val="Normal"/>
    <w:next w:val="Normal"/>
    <w:semiHidden/>
    <w:rsid w:val="00A76E38"/>
    <w:pPr>
      <w:tabs>
        <w:tab w:val="right" w:leader="dot" w:pos="9360"/>
      </w:tabs>
      <w:suppressAutoHyphens/>
      <w:ind w:left="2160" w:right="720" w:hanging="720"/>
    </w:pPr>
  </w:style>
  <w:style w:type="paragraph" w:styleId="TOC4">
    <w:name w:val="toc 4"/>
    <w:basedOn w:val="Normal"/>
    <w:next w:val="Normal"/>
    <w:semiHidden/>
    <w:rsid w:val="00A76E38"/>
    <w:pPr>
      <w:tabs>
        <w:tab w:val="right" w:leader="dot" w:pos="9360"/>
      </w:tabs>
      <w:suppressAutoHyphens/>
      <w:ind w:left="2880" w:right="720" w:hanging="720"/>
    </w:pPr>
  </w:style>
  <w:style w:type="paragraph" w:styleId="TOC5">
    <w:name w:val="toc 5"/>
    <w:basedOn w:val="Normal"/>
    <w:next w:val="Normal"/>
    <w:semiHidden/>
    <w:rsid w:val="00A76E38"/>
    <w:pPr>
      <w:tabs>
        <w:tab w:val="right" w:leader="dot" w:pos="9360"/>
      </w:tabs>
      <w:suppressAutoHyphens/>
      <w:ind w:left="3600" w:right="720" w:hanging="720"/>
    </w:pPr>
  </w:style>
  <w:style w:type="paragraph" w:styleId="TOC6">
    <w:name w:val="toc 6"/>
    <w:basedOn w:val="Normal"/>
    <w:next w:val="Normal"/>
    <w:semiHidden/>
    <w:rsid w:val="00A76E38"/>
    <w:pPr>
      <w:tabs>
        <w:tab w:val="right" w:pos="9360"/>
      </w:tabs>
      <w:suppressAutoHyphens/>
      <w:ind w:left="720" w:hanging="720"/>
    </w:pPr>
  </w:style>
  <w:style w:type="paragraph" w:styleId="TOC7">
    <w:name w:val="toc 7"/>
    <w:basedOn w:val="Normal"/>
    <w:next w:val="Normal"/>
    <w:semiHidden/>
    <w:rsid w:val="00A76E38"/>
    <w:pPr>
      <w:suppressAutoHyphens/>
      <w:ind w:left="720" w:hanging="720"/>
    </w:pPr>
  </w:style>
  <w:style w:type="paragraph" w:styleId="TOC8">
    <w:name w:val="toc 8"/>
    <w:basedOn w:val="Normal"/>
    <w:next w:val="Normal"/>
    <w:semiHidden/>
    <w:rsid w:val="00A76E38"/>
    <w:pPr>
      <w:tabs>
        <w:tab w:val="right" w:pos="9360"/>
      </w:tabs>
      <w:suppressAutoHyphens/>
      <w:ind w:left="720" w:hanging="720"/>
    </w:pPr>
  </w:style>
  <w:style w:type="paragraph" w:styleId="TOC9">
    <w:name w:val="toc 9"/>
    <w:basedOn w:val="Normal"/>
    <w:next w:val="Normal"/>
    <w:semiHidden/>
    <w:rsid w:val="00A76E38"/>
    <w:pPr>
      <w:tabs>
        <w:tab w:val="right" w:leader="dot" w:pos="9360"/>
      </w:tabs>
      <w:suppressAutoHyphens/>
      <w:ind w:left="720" w:hanging="720"/>
    </w:pPr>
  </w:style>
  <w:style w:type="paragraph" w:styleId="Index1">
    <w:name w:val="index 1"/>
    <w:basedOn w:val="Normal"/>
    <w:next w:val="Normal"/>
    <w:semiHidden/>
    <w:rsid w:val="00A76E38"/>
    <w:pPr>
      <w:tabs>
        <w:tab w:val="right" w:leader="dot" w:pos="9360"/>
      </w:tabs>
      <w:suppressAutoHyphens/>
      <w:ind w:left="1440" w:right="720" w:hanging="1440"/>
    </w:pPr>
  </w:style>
  <w:style w:type="paragraph" w:styleId="Index2">
    <w:name w:val="index 2"/>
    <w:basedOn w:val="Normal"/>
    <w:next w:val="Normal"/>
    <w:semiHidden/>
    <w:rsid w:val="00A76E38"/>
    <w:pPr>
      <w:tabs>
        <w:tab w:val="right" w:leader="dot" w:pos="9360"/>
      </w:tabs>
      <w:suppressAutoHyphens/>
      <w:ind w:left="1440" w:right="720" w:hanging="720"/>
    </w:pPr>
  </w:style>
  <w:style w:type="paragraph" w:styleId="TOAHeading">
    <w:name w:val="toa heading"/>
    <w:basedOn w:val="Normal"/>
    <w:next w:val="Normal"/>
    <w:semiHidden/>
    <w:rsid w:val="00A76E38"/>
    <w:pPr>
      <w:tabs>
        <w:tab w:val="right" w:pos="9360"/>
      </w:tabs>
      <w:suppressAutoHyphens/>
    </w:pPr>
  </w:style>
  <w:style w:type="paragraph" w:styleId="Caption">
    <w:name w:val="caption"/>
    <w:basedOn w:val="Normal"/>
    <w:next w:val="Normal"/>
    <w:qFormat/>
    <w:rsid w:val="00A76E38"/>
  </w:style>
  <w:style w:type="character" w:customStyle="1" w:styleId="EquationCaption2">
    <w:name w:val="_Equation Caption2"/>
    <w:basedOn w:val="DefaultParagraphFont"/>
    <w:rsid w:val="00A76E38"/>
  </w:style>
  <w:style w:type="character" w:customStyle="1" w:styleId="EquationCaption3">
    <w:name w:val="_Equation Caption3"/>
    <w:rsid w:val="00A76E38"/>
  </w:style>
  <w:style w:type="character" w:customStyle="1" w:styleId="a">
    <w:name w:val="À"/>
    <w:basedOn w:val="DefaultParagraphFont"/>
    <w:rsid w:val="00A76E38"/>
  </w:style>
  <w:style w:type="paragraph" w:styleId="Title">
    <w:name w:val="Title"/>
    <w:basedOn w:val="Normal"/>
    <w:qFormat/>
    <w:rsid w:val="00A76E38"/>
    <w:pPr>
      <w:spacing w:before="240" w:after="60"/>
      <w:jc w:val="center"/>
    </w:pPr>
    <w:rPr>
      <w:rFonts w:ascii="Arial" w:hAnsi="Arial"/>
      <w:b/>
      <w:kern w:val="28"/>
      <w:sz w:val="32"/>
    </w:rPr>
  </w:style>
  <w:style w:type="character" w:customStyle="1" w:styleId="Heading1Char">
    <w:name w:val="Heading 1 Char"/>
    <w:link w:val="Heading1"/>
    <w:rsid w:val="00E66703"/>
    <w:rPr>
      <w:rFonts w:ascii="Courier New" w:hAnsi="Courier New"/>
      <w:sz w:val="24"/>
    </w:rPr>
  </w:style>
  <w:style w:type="character" w:customStyle="1" w:styleId="Heading4Char">
    <w:name w:val="Heading 4 Char"/>
    <w:link w:val="Heading4"/>
    <w:rsid w:val="00E66703"/>
    <w:rPr>
      <w:b/>
      <w:bCs/>
      <w:i/>
      <w:iCs/>
    </w:rPr>
  </w:style>
  <w:style w:type="character" w:customStyle="1" w:styleId="Heading2Char">
    <w:name w:val="Heading 2 Char"/>
    <w:link w:val="Heading2"/>
    <w:semiHidden/>
    <w:rsid w:val="00E66703"/>
    <w:rPr>
      <w:rFonts w:ascii="Cambria" w:eastAsia="Times New Roman" w:hAnsi="Cambria" w:cs="Times New Roman"/>
      <w:b/>
      <w:bCs/>
      <w:i/>
      <w:iCs/>
      <w:sz w:val="28"/>
      <w:szCs w:val="28"/>
    </w:rPr>
  </w:style>
  <w:style w:type="character" w:customStyle="1" w:styleId="Heading3Char">
    <w:name w:val="Heading 3 Char"/>
    <w:link w:val="Heading3"/>
    <w:semiHidden/>
    <w:rsid w:val="00E66703"/>
    <w:rPr>
      <w:rFonts w:ascii="Cambria" w:eastAsia="Times New Roman" w:hAnsi="Cambria" w:cs="Times New Roman"/>
      <w:b/>
      <w:bCs/>
      <w:sz w:val="26"/>
      <w:szCs w:val="26"/>
    </w:rPr>
  </w:style>
  <w:style w:type="paragraph" w:styleId="BalloonText">
    <w:name w:val="Balloon Text"/>
    <w:basedOn w:val="Normal"/>
    <w:semiHidden/>
    <w:rsid w:val="002106D2"/>
    <w:rPr>
      <w:rFonts w:ascii="Tahoma" w:hAnsi="Tahoma" w:cs="Tahoma"/>
      <w:sz w:val="16"/>
      <w:szCs w:val="16"/>
    </w:rPr>
  </w:style>
  <w:style w:type="character" w:styleId="CommentReference">
    <w:name w:val="annotation reference"/>
    <w:semiHidden/>
    <w:rsid w:val="002106D2"/>
    <w:rPr>
      <w:sz w:val="16"/>
      <w:szCs w:val="16"/>
    </w:rPr>
  </w:style>
  <w:style w:type="paragraph" w:styleId="CommentText">
    <w:name w:val="annotation text"/>
    <w:basedOn w:val="Normal"/>
    <w:semiHidden/>
    <w:rsid w:val="002106D2"/>
    <w:rPr>
      <w:sz w:val="20"/>
    </w:rPr>
  </w:style>
  <w:style w:type="paragraph" w:styleId="CommentSubject">
    <w:name w:val="annotation subject"/>
    <w:basedOn w:val="CommentText"/>
    <w:next w:val="CommentText"/>
    <w:semiHidden/>
    <w:rsid w:val="002106D2"/>
    <w:rPr>
      <w:b/>
      <w:bCs/>
    </w:rPr>
  </w:style>
  <w:style w:type="paragraph" w:customStyle="1" w:styleId="bullet-ss">
    <w:name w:val="bullet-ss"/>
    <w:basedOn w:val="Normal"/>
    <w:rsid w:val="007D2D70"/>
    <w:pPr>
      <w:tabs>
        <w:tab w:val="num" w:pos="360"/>
      </w:tabs>
      <w:ind w:left="360" w:hanging="360"/>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19406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1524-C61A-4735-947C-5EC74525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2742</Words>
  <Characters>15297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2011-03-24T20:03:00Z</cp:lastPrinted>
  <dcterms:created xsi:type="dcterms:W3CDTF">2011-03-11T17:29:00Z</dcterms:created>
  <dcterms:modified xsi:type="dcterms:W3CDTF">2011-03-24T20:03:00Z</dcterms:modified>
</cp:coreProperties>
</file>