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2322" w:rsidRDefault="001D2322">
      <w:pPr>
        <w:spacing w:line="480" w:lineRule="auto"/>
        <w:rPr>
          <w:rFonts w:ascii="Lucida Sans" w:hAnsi="Lucida Sans"/>
        </w:rPr>
      </w:pPr>
    </w:p>
    <w:p w:rsidR="001D2322" w:rsidRDefault="001D2322">
      <w:pPr>
        <w:spacing w:line="480" w:lineRule="auto"/>
        <w:rPr>
          <w:rFonts w:ascii="Lucida Sans" w:hAnsi="Lucida Sans"/>
        </w:rPr>
      </w:pPr>
    </w:p>
    <w:p w:rsidR="001D2322" w:rsidRDefault="001D2322">
      <w:pPr>
        <w:spacing w:line="480" w:lineRule="auto"/>
        <w:rPr>
          <w:rFonts w:ascii="Lucida Sans" w:hAnsi="Lucida Sans"/>
        </w:rPr>
      </w:pPr>
    </w:p>
    <w:p w:rsidR="001D2322" w:rsidRDefault="001D2322">
      <w:pPr>
        <w:spacing w:line="480" w:lineRule="auto"/>
        <w:rPr>
          <w:rFonts w:ascii="Lucida Sans" w:hAnsi="Lucida Sans"/>
        </w:rPr>
      </w:pPr>
    </w:p>
    <w:p w:rsidR="001D2322" w:rsidRDefault="001D2322">
      <w:pPr>
        <w:spacing w:line="480" w:lineRule="auto"/>
        <w:rPr>
          <w:rFonts w:ascii="Lucida Sans" w:hAnsi="Lucida Sans"/>
        </w:rPr>
      </w:pPr>
    </w:p>
    <w:p w:rsidR="001D2322" w:rsidRDefault="001D2322">
      <w:pPr>
        <w:spacing w:line="480" w:lineRule="auto"/>
        <w:rPr>
          <w:rFonts w:ascii="Lucida Sans" w:hAnsi="Lucida Sans"/>
        </w:rPr>
      </w:pPr>
    </w:p>
    <w:p w:rsidR="00E1082A" w:rsidRDefault="00E1082A" w:rsidP="00E1082A">
      <w:pPr>
        <w:pStyle w:val="MarkforAppendixHeadingBlack"/>
      </w:pPr>
      <w:r>
        <w:t xml:space="preserve">APPENDIX </w:t>
      </w:r>
      <w:bookmarkStart w:id="0" w:name="AppLetter"/>
      <w:bookmarkEnd w:id="0"/>
      <w:r w:rsidR="00682435">
        <w:t>B</w:t>
      </w:r>
    </w:p>
    <w:p w:rsidR="00E1082A" w:rsidRPr="00011AFE" w:rsidRDefault="00E1082A" w:rsidP="00E1082A">
      <w:pPr>
        <w:pStyle w:val="MarkforAppendixHeadingBlack"/>
      </w:pPr>
      <w:bookmarkStart w:id="1" w:name="AppTitle"/>
      <w:bookmarkEnd w:id="1"/>
      <w:r>
        <w:t>STUDY INFO SHEET</w:t>
      </w:r>
    </w:p>
    <w:p w:rsidR="001D2322" w:rsidRDefault="001D2322" w:rsidP="00E1082A">
      <w:pPr>
        <w:sectPr w:rsidR="001D2322" w:rsidSect="00E1082A">
          <w:footerReference w:type="default" r:id="rId8"/>
          <w:pgSz w:w="12240" w:h="15840" w:code="1"/>
          <w:pgMar w:top="1440" w:right="1440" w:bottom="576" w:left="1440" w:header="720" w:footer="576" w:gutter="0"/>
          <w:cols w:space="720"/>
          <w:docGrid w:linePitch="360"/>
        </w:sectPr>
      </w:pPr>
    </w:p>
    <w:p w:rsidR="00C56A62" w:rsidRDefault="00C56A62" w:rsidP="00C56A62">
      <w:pPr>
        <w:pStyle w:val="SummaryHeading"/>
        <w:spacing w:before="0" w:after="0"/>
        <w:ind w:left="-115" w:right="-115"/>
      </w:pPr>
    </w:p>
    <w:p w:rsidR="00C56A62" w:rsidRDefault="00C56A62" w:rsidP="00C56A62">
      <w:pPr>
        <w:pStyle w:val="SummaryHeading"/>
        <w:spacing w:before="0" w:after="0"/>
        <w:ind w:left="-115" w:right="-115"/>
      </w:pPr>
    </w:p>
    <w:p w:rsidR="00C56A62" w:rsidRDefault="00C56A62" w:rsidP="00C56A62">
      <w:pPr>
        <w:pStyle w:val="SummaryHeading"/>
        <w:spacing w:before="0" w:after="0"/>
        <w:ind w:left="-115" w:right="-115"/>
      </w:pPr>
      <w:r>
        <w:t>Impact Evaluation of the Race to the Top (RTT) and</w:t>
      </w:r>
    </w:p>
    <w:p w:rsidR="00C56A62" w:rsidRDefault="00C56A62" w:rsidP="00C56A62">
      <w:pPr>
        <w:pStyle w:val="SummaryHeading"/>
        <w:spacing w:before="0" w:after="0"/>
        <w:ind w:left="-115" w:right="-115"/>
      </w:pPr>
      <w:r>
        <w:t>School Improvement Grant (SIG) Programs</w:t>
      </w:r>
    </w:p>
    <w:p w:rsidR="00C56A62" w:rsidRDefault="00C56A62" w:rsidP="00C56A62">
      <w:pPr>
        <w:pStyle w:val="SummaryHeading"/>
        <w:spacing w:before="0" w:after="0"/>
        <w:ind w:left="-115" w:right="-115"/>
      </w:pPr>
    </w:p>
    <w:p w:rsidR="00C56A62" w:rsidRDefault="00C56A62" w:rsidP="00C56A62">
      <w:pPr>
        <w:pStyle w:val="SummaryHeading"/>
        <w:spacing w:before="0" w:after="0"/>
        <w:ind w:left="-115" w:right="-115"/>
        <w:jc w:val="left"/>
        <w:rPr>
          <w:b w:val="0"/>
          <w:bCs/>
          <w:i w:val="0"/>
          <w:iCs/>
          <w:sz w:val="20"/>
          <w:szCs w:val="28"/>
        </w:rPr>
      </w:pPr>
    </w:p>
    <w:p w:rsidR="00C56A62" w:rsidRDefault="00C56A62" w:rsidP="00C56A62">
      <w:pPr>
        <w:pStyle w:val="SummaryHeading"/>
        <w:spacing w:before="0" w:after="0"/>
        <w:ind w:left="-115" w:right="-115"/>
        <w:jc w:val="left"/>
        <w:rPr>
          <w:b w:val="0"/>
          <w:bCs/>
          <w:i w:val="0"/>
          <w:iCs/>
          <w:sz w:val="20"/>
          <w:szCs w:val="28"/>
        </w:rPr>
      </w:pPr>
    </w:p>
    <w:tbl>
      <w:tblPr>
        <w:tblW w:w="9700" w:type="dxa"/>
        <w:jc w:val="center"/>
        <w:tblInd w:w="-322" w:type="dxa"/>
        <w:tblLook w:val="01E0"/>
      </w:tblPr>
      <w:tblGrid>
        <w:gridCol w:w="1793"/>
        <w:gridCol w:w="7907"/>
      </w:tblGrid>
      <w:tr w:rsidR="00C56A62" w:rsidTr="00C52218">
        <w:trPr>
          <w:jc w:val="center"/>
        </w:trPr>
        <w:tc>
          <w:tcPr>
            <w:tcW w:w="1793" w:type="dxa"/>
            <w:tcBorders>
              <w:right w:val="single" w:sz="4" w:space="0" w:color="auto"/>
            </w:tcBorders>
          </w:tcPr>
          <w:p w:rsidR="00C56A62" w:rsidRDefault="00C56A62" w:rsidP="00C52218">
            <w:pPr>
              <w:pStyle w:val="TableHeadLeft"/>
              <w:spacing w:after="0"/>
              <w:jc w:val="right"/>
            </w:pPr>
            <w:r>
              <w:t xml:space="preserve">The Issue: </w:t>
            </w:r>
          </w:p>
          <w:p w:rsidR="00C56A62" w:rsidRDefault="00C56A62" w:rsidP="00C52218">
            <w:pPr>
              <w:pStyle w:val="TableHeadLeft"/>
              <w:spacing w:before="0" w:after="0"/>
              <w:jc w:val="right"/>
            </w:pPr>
            <w:r>
              <w:t>How RTT and SIG Programs Are Implemented and How They Affect Student Outcomes</w:t>
            </w:r>
          </w:p>
        </w:tc>
        <w:tc>
          <w:tcPr>
            <w:tcW w:w="7907" w:type="dxa"/>
            <w:tcBorders>
              <w:left w:val="single" w:sz="4" w:space="0" w:color="auto"/>
            </w:tcBorders>
          </w:tcPr>
          <w:p w:rsidR="00C56A62" w:rsidRDefault="00C56A62" w:rsidP="00C52218">
            <w:pPr>
              <w:pStyle w:val="TableText"/>
              <w:jc w:val="both"/>
              <w:rPr>
                <w:color w:val="000000"/>
                <w:szCs w:val="21"/>
              </w:rPr>
            </w:pPr>
            <w:r w:rsidRPr="00077B87">
              <w:t>The American Recov</w:t>
            </w:r>
            <w:r>
              <w:t>ery and Reinvestment Act (ARRA)</w:t>
            </w:r>
            <w:r w:rsidRPr="00077B87">
              <w:t xml:space="preserve"> provided an unprecedented level of federal funds for education in an effort to lessen the effects of the nation’s economic </w:t>
            </w:r>
            <w:r>
              <w:t>recession</w:t>
            </w:r>
            <w:r w:rsidRPr="00077B87">
              <w:t xml:space="preserve"> and make a lasting investment in schools. </w:t>
            </w:r>
            <w:r>
              <w:t>T</w:t>
            </w:r>
            <w:r w:rsidRPr="00077B87">
              <w:t xml:space="preserve">he federal government </w:t>
            </w:r>
            <w:r>
              <w:t xml:space="preserve">used this </w:t>
            </w:r>
            <w:r w:rsidRPr="00077B87">
              <w:t>opportunity to fund a new wave of innovation and</w:t>
            </w:r>
            <w:r>
              <w:t xml:space="preserve"> to</w:t>
            </w:r>
            <w:r w:rsidRPr="00077B87">
              <w:t xml:space="preserve"> support comprehensive efforts to turn around the lowest</w:t>
            </w:r>
            <w:r>
              <w:t xml:space="preserve"> </w:t>
            </w:r>
            <w:r w:rsidRPr="00077B87">
              <w:t xml:space="preserve">achieving schools. Race to the Top (RTT) </w:t>
            </w:r>
            <w:r>
              <w:t xml:space="preserve">grants </w:t>
            </w:r>
            <w:r w:rsidRPr="00077B87">
              <w:t>fund a broad array of reforms that affect all levels of the education system</w:t>
            </w:r>
            <w:r>
              <w:t>.</w:t>
            </w:r>
            <w:r w:rsidRPr="00077B87">
              <w:t xml:space="preserve"> Title I School Improvement Grants (SIG) </w:t>
            </w:r>
            <w:r>
              <w:t xml:space="preserve">support the implementation of school turnaround models in the lowest achieving schools. Both programs </w:t>
            </w:r>
            <w:r w:rsidRPr="00077B87">
              <w:t>look to spur systemic change with the ultimate goal of improving student outcomes.</w:t>
            </w:r>
            <w:r>
              <w:t xml:space="preserve"> Determining whether these unprecedented investments achieve their intended goals is critical. The U.S. Department of Education’s Institute of Education Sciences (IES) has therefore launched an evaluation of RTT and SIG programs funded under ARRA. </w:t>
            </w:r>
            <w:r w:rsidRPr="00E354B0">
              <w:rPr>
                <w:color w:val="000000"/>
                <w:szCs w:val="21"/>
              </w:rPr>
              <w:t xml:space="preserve">This </w:t>
            </w:r>
            <w:r>
              <w:rPr>
                <w:color w:val="000000"/>
                <w:szCs w:val="21"/>
              </w:rPr>
              <w:t>evaluation</w:t>
            </w:r>
            <w:r w:rsidRPr="00E354B0">
              <w:rPr>
                <w:color w:val="000000"/>
                <w:szCs w:val="21"/>
              </w:rPr>
              <w:t xml:space="preserve"> </w:t>
            </w:r>
            <w:r>
              <w:rPr>
                <w:color w:val="000000"/>
                <w:szCs w:val="21"/>
              </w:rPr>
              <w:t xml:space="preserve">will </w:t>
            </w:r>
            <w:r w:rsidRPr="00E354B0">
              <w:rPr>
                <w:color w:val="000000"/>
                <w:szCs w:val="21"/>
              </w:rPr>
              <w:t xml:space="preserve">collect information from states, districts, and schools to examine </w:t>
            </w:r>
            <w:r>
              <w:rPr>
                <w:color w:val="000000"/>
                <w:szCs w:val="21"/>
              </w:rPr>
              <w:t xml:space="preserve">how </w:t>
            </w:r>
            <w:r w:rsidRPr="00E354B0">
              <w:rPr>
                <w:color w:val="000000"/>
                <w:szCs w:val="21"/>
              </w:rPr>
              <w:t>RTT and SIG</w:t>
            </w:r>
            <w:r>
              <w:rPr>
                <w:color w:val="000000"/>
                <w:szCs w:val="21"/>
              </w:rPr>
              <w:t xml:space="preserve"> programs are implemented and whether they are associated with improved student outcomes.</w:t>
            </w:r>
          </w:p>
          <w:p w:rsidR="00C56A62" w:rsidRDefault="00C56A62" w:rsidP="00C52218">
            <w:pPr>
              <w:pStyle w:val="TableText"/>
              <w:jc w:val="both"/>
              <w:rPr>
                <w:color w:val="000000"/>
                <w:szCs w:val="21"/>
              </w:rPr>
            </w:pPr>
          </w:p>
        </w:tc>
      </w:tr>
      <w:tr w:rsidR="00C56A62" w:rsidTr="00C52218">
        <w:trPr>
          <w:jc w:val="center"/>
        </w:trPr>
        <w:tc>
          <w:tcPr>
            <w:tcW w:w="1793" w:type="dxa"/>
            <w:tcBorders>
              <w:right w:val="single" w:sz="4" w:space="0" w:color="auto"/>
            </w:tcBorders>
          </w:tcPr>
          <w:p w:rsidR="00C56A62" w:rsidRDefault="00C56A62" w:rsidP="00C52218">
            <w:pPr>
              <w:pStyle w:val="TableHeadLeft"/>
              <w:jc w:val="right"/>
            </w:pPr>
            <w:r>
              <w:t>Research Questions and Objectives</w:t>
            </w:r>
          </w:p>
        </w:tc>
        <w:tc>
          <w:tcPr>
            <w:tcW w:w="7907" w:type="dxa"/>
            <w:tcBorders>
              <w:left w:val="single" w:sz="4" w:space="0" w:color="auto"/>
            </w:tcBorders>
          </w:tcPr>
          <w:p w:rsidR="00C56A62" w:rsidRDefault="00C56A62" w:rsidP="00C52218">
            <w:pPr>
              <w:pStyle w:val="TableText"/>
              <w:jc w:val="both"/>
            </w:pPr>
            <w:r>
              <w:t xml:space="preserve">The evaluation’s primary research questions are: </w:t>
            </w:r>
          </w:p>
          <w:p w:rsidR="00C56A62" w:rsidRPr="00E04461" w:rsidRDefault="00C56A62" w:rsidP="00C56A62">
            <w:pPr>
              <w:pStyle w:val="Bullet"/>
              <w:numPr>
                <w:ilvl w:val="0"/>
                <w:numId w:val="8"/>
              </w:numPr>
              <w:tabs>
                <w:tab w:val="left" w:pos="360"/>
              </w:tabs>
              <w:spacing w:before="0" w:after="180" w:line="240" w:lineRule="auto"/>
              <w:ind w:right="360"/>
              <w:jc w:val="both"/>
              <w:rPr>
                <w:rFonts w:ascii="Times New Roman" w:hAnsi="Times New Roman"/>
                <w:sz w:val="21"/>
                <w:szCs w:val="21"/>
              </w:rPr>
            </w:pPr>
            <w:r w:rsidRPr="00E04461">
              <w:rPr>
                <w:rFonts w:ascii="Times New Roman" w:hAnsi="Times New Roman"/>
                <w:sz w:val="21"/>
                <w:szCs w:val="21"/>
              </w:rPr>
              <w:t xml:space="preserve">How are RTT and SIG implemented at the </w:t>
            </w:r>
            <w:r>
              <w:rPr>
                <w:rFonts w:ascii="Times New Roman" w:hAnsi="Times New Roman"/>
                <w:sz w:val="21"/>
                <w:szCs w:val="21"/>
              </w:rPr>
              <w:t>s</w:t>
            </w:r>
            <w:r w:rsidRPr="00E04461">
              <w:rPr>
                <w:rFonts w:ascii="Times New Roman" w:hAnsi="Times New Roman"/>
                <w:sz w:val="21"/>
                <w:szCs w:val="21"/>
              </w:rPr>
              <w:t>tate, district, and school levels?</w:t>
            </w:r>
          </w:p>
          <w:p w:rsidR="00C56A62" w:rsidRPr="00E04461" w:rsidRDefault="00C56A62" w:rsidP="00C56A62">
            <w:pPr>
              <w:pStyle w:val="Bullet"/>
              <w:numPr>
                <w:ilvl w:val="0"/>
                <w:numId w:val="8"/>
              </w:numPr>
              <w:tabs>
                <w:tab w:val="left" w:pos="360"/>
              </w:tabs>
              <w:spacing w:before="0" w:after="180" w:line="240" w:lineRule="auto"/>
              <w:ind w:right="360"/>
              <w:jc w:val="both"/>
              <w:rPr>
                <w:rFonts w:ascii="Times New Roman" w:hAnsi="Times New Roman"/>
                <w:sz w:val="21"/>
                <w:szCs w:val="21"/>
              </w:rPr>
            </w:pPr>
            <w:r w:rsidRPr="00E04461">
              <w:rPr>
                <w:rFonts w:ascii="Times New Roman" w:hAnsi="Times New Roman"/>
                <w:sz w:val="21"/>
                <w:szCs w:val="21"/>
              </w:rPr>
              <w:t>Does receipt of RTT and/or SIG funding to implement a school turnaround model have an impact on outcomes for low-performing schools?</w:t>
            </w:r>
          </w:p>
          <w:p w:rsidR="00C56A62" w:rsidRPr="00E04461" w:rsidRDefault="00C56A62" w:rsidP="00C56A62">
            <w:pPr>
              <w:pStyle w:val="Bullet"/>
              <w:numPr>
                <w:ilvl w:val="0"/>
                <w:numId w:val="8"/>
              </w:numPr>
              <w:tabs>
                <w:tab w:val="left" w:pos="360"/>
              </w:tabs>
              <w:spacing w:before="0" w:after="180" w:line="240" w:lineRule="auto"/>
              <w:ind w:right="360"/>
              <w:jc w:val="both"/>
              <w:rPr>
                <w:rFonts w:ascii="Times New Roman" w:hAnsi="Times New Roman"/>
                <w:sz w:val="21"/>
                <w:szCs w:val="21"/>
              </w:rPr>
            </w:pPr>
            <w:r>
              <w:rPr>
                <w:rFonts w:ascii="Times New Roman" w:hAnsi="Times New Roman"/>
                <w:sz w:val="21"/>
                <w:szCs w:val="21"/>
              </w:rPr>
              <w:t>Are RTT reforms</w:t>
            </w:r>
            <w:r w:rsidRPr="00E04461">
              <w:rPr>
                <w:rFonts w:ascii="Times New Roman" w:hAnsi="Times New Roman"/>
                <w:sz w:val="21"/>
                <w:szCs w:val="21"/>
              </w:rPr>
              <w:t xml:space="preserve"> related to improvement in student outcomes?</w:t>
            </w:r>
          </w:p>
          <w:p w:rsidR="00C56A62" w:rsidRPr="00E04461" w:rsidRDefault="00C56A62" w:rsidP="00C56A62">
            <w:pPr>
              <w:pStyle w:val="Bullet"/>
              <w:numPr>
                <w:ilvl w:val="0"/>
                <w:numId w:val="8"/>
              </w:numPr>
              <w:spacing w:line="240" w:lineRule="auto"/>
              <w:rPr>
                <w:rFonts w:ascii="Times New Roman" w:hAnsi="Times New Roman"/>
                <w:sz w:val="21"/>
                <w:szCs w:val="21"/>
              </w:rPr>
            </w:pPr>
            <w:r w:rsidRPr="00E04461">
              <w:rPr>
                <w:rFonts w:ascii="Times New Roman" w:hAnsi="Times New Roman"/>
                <w:sz w:val="21"/>
                <w:szCs w:val="21"/>
              </w:rPr>
              <w:t xml:space="preserve">Is the implementation of school turnaround models, and strategies within those models, related to improvement in student outcomes? </w:t>
            </w:r>
          </w:p>
          <w:p w:rsidR="00C56A62" w:rsidRDefault="00C56A62" w:rsidP="00C52218">
            <w:pPr>
              <w:pStyle w:val="TableBullet"/>
              <w:numPr>
                <w:ilvl w:val="0"/>
                <w:numId w:val="0"/>
              </w:numPr>
              <w:spacing w:before="80" w:after="0"/>
              <w:ind w:left="432"/>
              <w:jc w:val="both"/>
            </w:pPr>
          </w:p>
        </w:tc>
      </w:tr>
      <w:tr w:rsidR="00C56A62" w:rsidTr="00C52218">
        <w:trPr>
          <w:jc w:val="center"/>
        </w:trPr>
        <w:tc>
          <w:tcPr>
            <w:tcW w:w="1793" w:type="dxa"/>
            <w:tcBorders>
              <w:right w:val="single" w:sz="4" w:space="0" w:color="auto"/>
            </w:tcBorders>
          </w:tcPr>
          <w:p w:rsidR="00C56A62" w:rsidRDefault="00C56A62" w:rsidP="00C52218">
            <w:pPr>
              <w:pStyle w:val="TableHeadLeft"/>
              <w:jc w:val="right"/>
            </w:pPr>
            <w:r>
              <w:t>Evaluation Participants and Activities</w:t>
            </w:r>
          </w:p>
        </w:tc>
        <w:tc>
          <w:tcPr>
            <w:tcW w:w="7907" w:type="dxa"/>
            <w:tcBorders>
              <w:left w:val="single" w:sz="4" w:space="0" w:color="auto"/>
            </w:tcBorders>
          </w:tcPr>
          <w:p w:rsidR="00C56A62" w:rsidRDefault="00C56A62" w:rsidP="00C52218">
            <w:pPr>
              <w:pStyle w:val="TableText"/>
              <w:jc w:val="both"/>
            </w:pPr>
            <w:r w:rsidRPr="005060CC">
              <w:t xml:space="preserve">The </w:t>
            </w:r>
            <w:r>
              <w:t>evaluation</w:t>
            </w:r>
            <w:r w:rsidRPr="005060CC">
              <w:t xml:space="preserve"> will involve </w:t>
            </w:r>
            <w:r>
              <w:t>collecting and analyzing data from all 50 states and the District of Columbia, approximately</w:t>
            </w:r>
            <w:r w:rsidRPr="00D037DB">
              <w:t xml:space="preserve"> </w:t>
            </w:r>
            <w:r>
              <w:t>24</w:t>
            </w:r>
            <w:r w:rsidRPr="00D037DB">
              <w:t>0</w:t>
            </w:r>
            <w:r w:rsidRPr="005060CC">
              <w:t xml:space="preserve"> </w:t>
            </w:r>
            <w:r>
              <w:t xml:space="preserve">school </w:t>
            </w:r>
            <w:r w:rsidRPr="005060CC">
              <w:t>districts</w:t>
            </w:r>
            <w:r>
              <w:t>,</w:t>
            </w:r>
            <w:r w:rsidRPr="005060CC">
              <w:t xml:space="preserve"> and</w:t>
            </w:r>
            <w:r>
              <w:t xml:space="preserve"> approximately</w:t>
            </w:r>
            <w:r w:rsidRPr="005060CC">
              <w:t xml:space="preserve"> </w:t>
            </w:r>
            <w:r>
              <w:t xml:space="preserve">1,200 </w:t>
            </w:r>
            <w:r w:rsidRPr="005060CC">
              <w:t xml:space="preserve">schools. </w:t>
            </w:r>
            <w:r>
              <w:t>Evaluation activities will include:</w:t>
            </w:r>
          </w:p>
          <w:p w:rsidR="00C56A62" w:rsidRPr="00C073C2" w:rsidRDefault="00C56A62" w:rsidP="00C52218">
            <w:pPr>
              <w:pStyle w:val="Bullet"/>
              <w:spacing w:line="240" w:lineRule="auto"/>
              <w:jc w:val="both"/>
              <w:rPr>
                <w:rFonts w:ascii="Times New Roman" w:hAnsi="Times New Roman"/>
                <w:sz w:val="21"/>
                <w:szCs w:val="21"/>
              </w:rPr>
            </w:pPr>
            <w:r w:rsidRPr="00C073C2">
              <w:rPr>
                <w:rFonts w:ascii="Times New Roman" w:hAnsi="Times New Roman"/>
                <w:b/>
                <w:i/>
                <w:sz w:val="21"/>
                <w:szCs w:val="21"/>
              </w:rPr>
              <w:t xml:space="preserve">Interviews with State and District Representatives. </w:t>
            </w:r>
            <w:r w:rsidRPr="00C073C2">
              <w:rPr>
                <w:rFonts w:ascii="Times New Roman" w:hAnsi="Times New Roman"/>
                <w:sz w:val="21"/>
                <w:szCs w:val="21"/>
              </w:rPr>
              <w:t xml:space="preserve">Interviews will be conducted by telephone and will focus on </w:t>
            </w:r>
            <w:r>
              <w:rPr>
                <w:rFonts w:ascii="Times New Roman" w:hAnsi="Times New Roman"/>
                <w:sz w:val="21"/>
                <w:szCs w:val="21"/>
              </w:rPr>
              <w:t xml:space="preserve">reforms being implemented with SIG funds and around RTT’s four priority areas: </w:t>
            </w:r>
            <w:r w:rsidRPr="00C073C2">
              <w:rPr>
                <w:rFonts w:ascii="Times New Roman" w:hAnsi="Times New Roman"/>
                <w:sz w:val="21"/>
                <w:szCs w:val="21"/>
              </w:rPr>
              <w:t>standards and assessments, data systems, teacher and principal effectiveness, and turnaround efforts in low-performing schools.</w:t>
            </w:r>
          </w:p>
          <w:p w:rsidR="00C56A62" w:rsidRPr="00C073C2" w:rsidRDefault="00C56A62" w:rsidP="00C52218">
            <w:pPr>
              <w:pStyle w:val="Bullet"/>
              <w:spacing w:line="240" w:lineRule="auto"/>
              <w:jc w:val="both"/>
              <w:rPr>
                <w:rFonts w:ascii="Times New Roman" w:hAnsi="Times New Roman"/>
                <w:sz w:val="21"/>
                <w:szCs w:val="21"/>
              </w:rPr>
            </w:pPr>
            <w:r w:rsidRPr="00C073C2">
              <w:rPr>
                <w:rFonts w:ascii="Times New Roman" w:hAnsi="Times New Roman"/>
                <w:b/>
                <w:i/>
                <w:sz w:val="21"/>
                <w:szCs w:val="21"/>
              </w:rPr>
              <w:t xml:space="preserve">Survey of School Administrators. </w:t>
            </w:r>
            <w:r w:rsidRPr="00C073C2">
              <w:rPr>
                <w:rFonts w:ascii="Times New Roman" w:hAnsi="Times New Roman"/>
                <w:sz w:val="21"/>
                <w:szCs w:val="21"/>
              </w:rPr>
              <w:t>School staff knowledgeable about RTT and SIG activities will be asked to complete surveys via the web (or by telephone</w:t>
            </w:r>
            <w:r>
              <w:rPr>
                <w:rFonts w:ascii="Times New Roman" w:hAnsi="Times New Roman"/>
                <w:sz w:val="21"/>
                <w:szCs w:val="21"/>
              </w:rPr>
              <w:t>,</w:t>
            </w:r>
            <w:r w:rsidRPr="00C073C2">
              <w:rPr>
                <w:rFonts w:ascii="Times New Roman" w:hAnsi="Times New Roman"/>
                <w:sz w:val="21"/>
                <w:szCs w:val="21"/>
              </w:rPr>
              <w:t xml:space="preserve"> if preferred) about learning conditions and </w:t>
            </w:r>
            <w:r>
              <w:rPr>
                <w:rFonts w:ascii="Times New Roman" w:hAnsi="Times New Roman"/>
                <w:sz w:val="21"/>
                <w:szCs w:val="21"/>
              </w:rPr>
              <w:t xml:space="preserve">improvement </w:t>
            </w:r>
            <w:r w:rsidRPr="00C073C2">
              <w:rPr>
                <w:rFonts w:ascii="Times New Roman" w:hAnsi="Times New Roman"/>
                <w:sz w:val="21"/>
                <w:szCs w:val="21"/>
              </w:rPr>
              <w:t xml:space="preserve">strategies in their schools. </w:t>
            </w:r>
          </w:p>
          <w:p w:rsidR="00C56A62" w:rsidRPr="006067B6" w:rsidRDefault="00C56A62" w:rsidP="00C52218">
            <w:pPr>
              <w:pStyle w:val="Bullet"/>
              <w:spacing w:line="240" w:lineRule="auto"/>
              <w:jc w:val="both"/>
              <w:rPr>
                <w:rFonts w:ascii="Times New Roman" w:hAnsi="Times New Roman"/>
                <w:sz w:val="21"/>
                <w:szCs w:val="21"/>
              </w:rPr>
            </w:pPr>
            <w:r w:rsidRPr="006067B6">
              <w:rPr>
                <w:rFonts w:ascii="Times New Roman" w:hAnsi="Times New Roman"/>
                <w:b/>
                <w:i/>
                <w:sz w:val="21"/>
                <w:szCs w:val="21"/>
              </w:rPr>
              <w:t xml:space="preserve">Administrative Records Data. </w:t>
            </w:r>
            <w:r w:rsidRPr="006067B6">
              <w:rPr>
                <w:rFonts w:ascii="Times New Roman" w:hAnsi="Times New Roman"/>
                <w:sz w:val="21"/>
                <w:szCs w:val="21"/>
              </w:rPr>
              <w:t xml:space="preserve">Data on student outcomes (such as standardized test scores and high school graduation rates) will be gathered electronically from states and districts. </w:t>
            </w:r>
          </w:p>
          <w:p w:rsidR="00C56A62" w:rsidRDefault="00C56A62" w:rsidP="00C52218">
            <w:pPr>
              <w:pStyle w:val="Bullet"/>
              <w:numPr>
                <w:ilvl w:val="0"/>
                <w:numId w:val="0"/>
              </w:numPr>
              <w:spacing w:line="240" w:lineRule="auto"/>
              <w:ind w:left="720"/>
              <w:jc w:val="both"/>
              <w:rPr>
                <w:bCs/>
                <w:i/>
                <w:color w:val="FF0000"/>
                <w:szCs w:val="24"/>
              </w:rPr>
            </w:pPr>
          </w:p>
        </w:tc>
      </w:tr>
      <w:tr w:rsidR="00C56A62" w:rsidTr="00C52218">
        <w:trPr>
          <w:jc w:val="center"/>
        </w:trPr>
        <w:tc>
          <w:tcPr>
            <w:tcW w:w="1793" w:type="dxa"/>
            <w:tcBorders>
              <w:right w:val="single" w:sz="4" w:space="0" w:color="auto"/>
            </w:tcBorders>
          </w:tcPr>
          <w:p w:rsidR="00C56A62" w:rsidRDefault="00C56A62" w:rsidP="00C52218">
            <w:pPr>
              <w:pStyle w:val="TableHeadLeft"/>
              <w:jc w:val="right"/>
            </w:pPr>
            <w:r>
              <w:t>Evaluation Timeline</w:t>
            </w:r>
          </w:p>
        </w:tc>
        <w:tc>
          <w:tcPr>
            <w:tcW w:w="7907" w:type="dxa"/>
            <w:tcBorders>
              <w:left w:val="single" w:sz="4" w:space="0" w:color="auto"/>
            </w:tcBorders>
          </w:tcPr>
          <w:p w:rsidR="00C56A62" w:rsidRDefault="00C56A62" w:rsidP="00C52218">
            <w:pPr>
              <w:pStyle w:val="TableText"/>
              <w:jc w:val="both"/>
              <w:rPr>
                <w:bCs/>
              </w:rPr>
            </w:pPr>
            <w:r>
              <w:rPr>
                <w:bCs/>
              </w:rPr>
              <w:t xml:space="preserve">The evaluation’s interviews and surveys will be conducted in </w:t>
            </w:r>
            <w:r w:rsidRPr="00367FB3">
              <w:rPr>
                <w:bCs/>
              </w:rPr>
              <w:t>spring 2012, 2013, and 2014</w:t>
            </w:r>
            <w:r>
              <w:rPr>
                <w:bCs/>
              </w:rPr>
              <w:t xml:space="preserve">. </w:t>
            </w:r>
            <w:r w:rsidRPr="006067B6">
              <w:rPr>
                <w:bCs/>
              </w:rPr>
              <w:t>Administrative data will be collected as standardized test scores become available in summer/fall 2012, 2013, and 2014.</w:t>
            </w:r>
          </w:p>
          <w:p w:rsidR="00C56A62" w:rsidRPr="005060CC" w:rsidRDefault="00C56A62" w:rsidP="00C52218">
            <w:pPr>
              <w:pStyle w:val="TableText"/>
              <w:jc w:val="both"/>
            </w:pPr>
            <w:r>
              <w:rPr>
                <w:b/>
                <w:bCs/>
              </w:rPr>
              <w:tab/>
            </w:r>
          </w:p>
        </w:tc>
      </w:tr>
    </w:tbl>
    <w:p w:rsidR="00C56A62" w:rsidRDefault="00C56A62" w:rsidP="00C56A62">
      <w:pPr>
        <w:rPr>
          <w:b/>
          <w:i/>
        </w:rPr>
        <w:sectPr w:rsidR="00C56A62" w:rsidSect="00586DFB">
          <w:headerReference w:type="default" r:id="rId9"/>
          <w:footerReference w:type="default" r:id="rId10"/>
          <w:pgSz w:w="12240" w:h="15840"/>
          <w:pgMar w:top="720" w:right="1440" w:bottom="1080" w:left="1152" w:header="288" w:footer="576" w:gutter="0"/>
          <w:cols w:space="720"/>
          <w:docGrid w:linePitch="360"/>
        </w:sectPr>
      </w:pPr>
    </w:p>
    <w:tbl>
      <w:tblPr>
        <w:tblW w:w="9648" w:type="dxa"/>
        <w:jc w:val="center"/>
        <w:tblLook w:val="01E0"/>
      </w:tblPr>
      <w:tblGrid>
        <w:gridCol w:w="1741"/>
        <w:gridCol w:w="7907"/>
      </w:tblGrid>
      <w:tr w:rsidR="00C56A62" w:rsidTr="00C52218">
        <w:trPr>
          <w:trHeight w:val="1782"/>
          <w:jc w:val="center"/>
        </w:trPr>
        <w:tc>
          <w:tcPr>
            <w:tcW w:w="1741" w:type="dxa"/>
            <w:tcBorders>
              <w:right w:val="single" w:sz="4" w:space="0" w:color="auto"/>
            </w:tcBorders>
          </w:tcPr>
          <w:p w:rsidR="00C56A62" w:rsidRDefault="00C56A62" w:rsidP="00C52218">
            <w:pPr>
              <w:pStyle w:val="TableHeadLeft"/>
              <w:jc w:val="right"/>
            </w:pPr>
            <w:r>
              <w:lastRenderedPageBreak/>
              <w:t xml:space="preserve">The Evaluation Team </w:t>
            </w:r>
          </w:p>
        </w:tc>
        <w:tc>
          <w:tcPr>
            <w:tcW w:w="7907" w:type="dxa"/>
            <w:tcBorders>
              <w:left w:val="single" w:sz="4" w:space="0" w:color="auto"/>
            </w:tcBorders>
          </w:tcPr>
          <w:p w:rsidR="00C56A62" w:rsidRPr="006817C8" w:rsidRDefault="00C56A62" w:rsidP="00C52218">
            <w:pPr>
              <w:autoSpaceDE w:val="0"/>
              <w:autoSpaceDN w:val="0"/>
              <w:adjustRightInd w:val="0"/>
              <w:jc w:val="both"/>
              <w:rPr>
                <w:rFonts w:ascii="Times New Roman" w:hAnsi="Times New Roman"/>
                <w:sz w:val="21"/>
                <w:szCs w:val="21"/>
              </w:rPr>
            </w:pPr>
            <w:r>
              <w:rPr>
                <w:rFonts w:ascii="Times New Roman" w:eastAsia="MS Mincho" w:hAnsi="Times New Roman"/>
                <w:sz w:val="21"/>
                <w:szCs w:val="21"/>
              </w:rPr>
              <w:t>IES</w:t>
            </w:r>
            <w:r w:rsidRPr="006817C8">
              <w:rPr>
                <w:rFonts w:ascii="Times New Roman" w:eastAsia="MS Mincho" w:hAnsi="Times New Roman"/>
                <w:sz w:val="21"/>
                <w:szCs w:val="21"/>
              </w:rPr>
              <w:t xml:space="preserve"> selected Mathematica Policy Research and its</w:t>
            </w:r>
            <w:r>
              <w:rPr>
                <w:rFonts w:ascii="Times New Roman" w:eastAsia="MS Mincho" w:hAnsi="Times New Roman"/>
                <w:sz w:val="21"/>
                <w:szCs w:val="21"/>
              </w:rPr>
              <w:t xml:space="preserve"> </w:t>
            </w:r>
            <w:r w:rsidRPr="006817C8">
              <w:rPr>
                <w:rFonts w:ascii="Times New Roman" w:eastAsia="MS Mincho" w:hAnsi="Times New Roman"/>
                <w:sz w:val="21"/>
                <w:szCs w:val="21"/>
              </w:rPr>
              <w:t xml:space="preserve">partners, </w:t>
            </w:r>
            <w:r>
              <w:rPr>
                <w:rFonts w:ascii="Times New Roman" w:eastAsia="MS Mincho" w:hAnsi="Times New Roman"/>
                <w:sz w:val="21"/>
                <w:szCs w:val="21"/>
              </w:rPr>
              <w:t xml:space="preserve">the </w:t>
            </w:r>
            <w:r w:rsidRPr="006817C8">
              <w:rPr>
                <w:rFonts w:ascii="Times New Roman" w:hAnsi="Times New Roman"/>
                <w:sz w:val="21"/>
                <w:szCs w:val="21"/>
              </w:rPr>
              <w:t xml:space="preserve">American Institutes for Research </w:t>
            </w:r>
            <w:r>
              <w:rPr>
                <w:rFonts w:ascii="Times New Roman" w:hAnsi="Times New Roman"/>
                <w:sz w:val="21"/>
                <w:szCs w:val="21"/>
              </w:rPr>
              <w:t xml:space="preserve">(AIR) </w:t>
            </w:r>
            <w:r w:rsidRPr="006817C8">
              <w:rPr>
                <w:rFonts w:ascii="Times New Roman" w:hAnsi="Times New Roman"/>
                <w:sz w:val="21"/>
                <w:szCs w:val="21"/>
              </w:rPr>
              <w:t>and Social Policy Research Associates</w:t>
            </w:r>
            <w:r>
              <w:rPr>
                <w:rFonts w:ascii="Times New Roman" w:hAnsi="Times New Roman"/>
                <w:sz w:val="21"/>
                <w:szCs w:val="21"/>
              </w:rPr>
              <w:t xml:space="preserve"> (SPR)</w:t>
            </w:r>
            <w:r w:rsidRPr="006817C8">
              <w:rPr>
                <w:rFonts w:ascii="Times New Roman" w:hAnsi="Times New Roman"/>
                <w:sz w:val="21"/>
                <w:szCs w:val="21"/>
              </w:rPr>
              <w:t xml:space="preserve">, </w:t>
            </w:r>
            <w:r w:rsidRPr="006817C8">
              <w:rPr>
                <w:rFonts w:ascii="Times New Roman" w:eastAsia="MS Mincho" w:hAnsi="Times New Roman"/>
                <w:sz w:val="21"/>
                <w:szCs w:val="21"/>
              </w:rPr>
              <w:t>to conduct this national evaluation of RTT and SIG. Mathematica</w:t>
            </w:r>
            <w:r w:rsidRPr="006817C8">
              <w:rPr>
                <w:rFonts w:ascii="Times New Roman" w:eastAsia="MS Mincho" w:hAnsi="Times New Roman"/>
                <w:b/>
                <w:bCs/>
                <w:sz w:val="21"/>
                <w:szCs w:val="21"/>
              </w:rPr>
              <w:t xml:space="preserve">, </w:t>
            </w:r>
            <w:r w:rsidRPr="006817C8">
              <w:rPr>
                <w:rFonts w:ascii="Times New Roman" w:eastAsia="MS Mincho" w:hAnsi="Times New Roman"/>
                <w:sz w:val="21"/>
                <w:szCs w:val="21"/>
              </w:rPr>
              <w:t xml:space="preserve">a nonpartisan policy research firm, conducts research and surveys for federal and state governments, foundations, and private sector clients. Mathematica’s studies of education initiatives and other programs have been used to inform national policymakers for more than 35 years. </w:t>
            </w:r>
            <w:r w:rsidRPr="006817C8">
              <w:rPr>
                <w:rFonts w:ascii="Times New Roman" w:hAnsi="Times New Roman"/>
                <w:sz w:val="21"/>
                <w:szCs w:val="21"/>
              </w:rPr>
              <w:t>AIR is a not-for-profit organization that conducts behavioral and social science research</w:t>
            </w:r>
            <w:r>
              <w:rPr>
                <w:rFonts w:ascii="Times New Roman" w:hAnsi="Times New Roman"/>
                <w:sz w:val="21"/>
                <w:szCs w:val="21"/>
              </w:rPr>
              <w:t xml:space="preserve">, and </w:t>
            </w:r>
            <w:r w:rsidRPr="006817C8">
              <w:rPr>
                <w:rFonts w:ascii="Times New Roman" w:hAnsi="Times New Roman"/>
                <w:sz w:val="21"/>
                <w:szCs w:val="21"/>
              </w:rPr>
              <w:t>S</w:t>
            </w:r>
            <w:r>
              <w:rPr>
                <w:rFonts w:ascii="Times New Roman" w:hAnsi="Times New Roman"/>
                <w:sz w:val="21"/>
                <w:szCs w:val="21"/>
              </w:rPr>
              <w:t>PR</w:t>
            </w:r>
            <w:r w:rsidRPr="006817C8">
              <w:rPr>
                <w:rFonts w:ascii="Times New Roman" w:hAnsi="Times New Roman"/>
                <w:sz w:val="21"/>
                <w:szCs w:val="21"/>
              </w:rPr>
              <w:t xml:space="preserve"> is a research, evaluation, and technical assistance firm.</w:t>
            </w:r>
          </w:p>
          <w:p w:rsidR="00C56A62" w:rsidRDefault="00C56A62" w:rsidP="00C52218">
            <w:pPr>
              <w:jc w:val="both"/>
            </w:pPr>
          </w:p>
        </w:tc>
      </w:tr>
      <w:tr w:rsidR="00C56A62" w:rsidTr="00C52218">
        <w:trPr>
          <w:jc w:val="center"/>
        </w:trPr>
        <w:tc>
          <w:tcPr>
            <w:tcW w:w="1741" w:type="dxa"/>
            <w:tcBorders>
              <w:right w:val="single" w:sz="4" w:space="0" w:color="auto"/>
            </w:tcBorders>
          </w:tcPr>
          <w:p w:rsidR="00C56A62" w:rsidRDefault="00C56A62" w:rsidP="00C52218">
            <w:pPr>
              <w:pStyle w:val="TableHeadLeft"/>
              <w:jc w:val="right"/>
            </w:pPr>
            <w:r>
              <w:t>To Find Out More</w:t>
            </w:r>
          </w:p>
        </w:tc>
        <w:tc>
          <w:tcPr>
            <w:tcW w:w="7907" w:type="dxa"/>
            <w:tcBorders>
              <w:left w:val="single" w:sz="4" w:space="0" w:color="auto"/>
            </w:tcBorders>
          </w:tcPr>
          <w:p w:rsidR="00C56A62" w:rsidRDefault="00C56A62" w:rsidP="00C52218">
            <w:pPr>
              <w:pStyle w:val="TableText"/>
              <w:jc w:val="both"/>
            </w:pPr>
            <w:r>
              <w:t xml:space="preserve">Contact Mathematica’s project director, Susanne James-Burdumy at </w:t>
            </w:r>
            <w:r w:rsidRPr="00274D9E">
              <w:t xml:space="preserve">(609) 275-2248 </w:t>
            </w:r>
            <w:r>
              <w:t xml:space="preserve">or </w:t>
            </w:r>
            <w:hyperlink r:id="rId11" w:history="1">
              <w:r w:rsidRPr="00F03D86">
                <w:rPr>
                  <w:rStyle w:val="Hyperlink"/>
                </w:rPr>
                <w:t>sjames-burdumy@mathematica-mpr.com</w:t>
              </w:r>
            </w:hyperlink>
            <w:r>
              <w:t xml:space="preserve">. You also may contact IES’s project officer, Thomas Wei at (202) 208-0452 or </w:t>
            </w:r>
            <w:hyperlink r:id="rId12" w:history="1">
              <w:r w:rsidRPr="00CC1921">
                <w:rPr>
                  <w:rStyle w:val="Hyperlink"/>
                </w:rPr>
                <w:t>thomas.wei@ed.gov</w:t>
              </w:r>
            </w:hyperlink>
            <w:r>
              <w:t>.</w:t>
            </w:r>
          </w:p>
          <w:p w:rsidR="00C56A62" w:rsidRDefault="00C56A62" w:rsidP="00C52218">
            <w:pPr>
              <w:pStyle w:val="TableText"/>
              <w:jc w:val="both"/>
            </w:pPr>
          </w:p>
        </w:tc>
      </w:tr>
      <w:tr w:rsidR="00C56A62" w:rsidTr="00C52218">
        <w:trPr>
          <w:jc w:val="center"/>
        </w:trPr>
        <w:tc>
          <w:tcPr>
            <w:tcW w:w="1741" w:type="dxa"/>
            <w:tcBorders>
              <w:right w:val="single" w:sz="4" w:space="0" w:color="auto"/>
            </w:tcBorders>
          </w:tcPr>
          <w:p w:rsidR="00C56A62" w:rsidRDefault="00C56A62" w:rsidP="00C52218">
            <w:pPr>
              <w:pStyle w:val="TableHeadLeft"/>
              <w:jc w:val="right"/>
            </w:pPr>
            <w:r>
              <w:t>Confidentiality</w:t>
            </w:r>
          </w:p>
        </w:tc>
        <w:tc>
          <w:tcPr>
            <w:tcW w:w="7907" w:type="dxa"/>
            <w:tcBorders>
              <w:left w:val="single" w:sz="4" w:space="0" w:color="auto"/>
            </w:tcBorders>
          </w:tcPr>
          <w:p w:rsidR="00C56A62" w:rsidRPr="00D037DB" w:rsidRDefault="00C56A62" w:rsidP="00C52218">
            <w:pPr>
              <w:pStyle w:val="TableText"/>
              <w:jc w:val="both"/>
            </w:pPr>
            <w:r w:rsidRPr="00D037DB">
              <w:t>The evaluation team will not identify any individual respondents interviewed for the evaluation, and all interview data will be used for research purposes only. Any student-level data provided to the evaluation team will be kept strictly confidential, except as may be required by law, and will be used for research purposes only. Any student identifiers will be replaced with randomly generated numbers prior to analysis. </w:t>
            </w:r>
          </w:p>
          <w:p w:rsidR="00C56A62" w:rsidRDefault="00C56A62" w:rsidP="00C52218">
            <w:pPr>
              <w:pStyle w:val="TableText"/>
              <w:jc w:val="both"/>
            </w:pPr>
          </w:p>
        </w:tc>
      </w:tr>
    </w:tbl>
    <w:p w:rsidR="00C56A62" w:rsidRDefault="00C56A62" w:rsidP="00C56A62">
      <w:pPr>
        <w:pStyle w:val="HeadingBase"/>
        <w:keepNext w:val="0"/>
        <w:keepLines w:val="0"/>
        <w:widowControl/>
        <w:rPr>
          <w:b/>
          <w:bCs/>
          <w:kern w:val="0"/>
          <w:szCs w:val="24"/>
        </w:rPr>
      </w:pPr>
    </w:p>
    <w:p w:rsidR="00C56A62" w:rsidRDefault="00C56A62" w:rsidP="00C56A62">
      <w:pPr>
        <w:pStyle w:val="HeadingBase"/>
        <w:keepNext w:val="0"/>
        <w:keepLines w:val="0"/>
        <w:widowControl/>
        <w:rPr>
          <w:b/>
          <w:bCs/>
          <w:kern w:val="0"/>
          <w:szCs w:val="24"/>
        </w:rPr>
      </w:pPr>
    </w:p>
    <w:p w:rsidR="00C56A62" w:rsidRDefault="00C56A62" w:rsidP="00C56A62">
      <w:pPr>
        <w:pStyle w:val="HeadingBase"/>
        <w:keepNext w:val="0"/>
        <w:keepLines w:val="0"/>
        <w:widowControl/>
        <w:rPr>
          <w:b/>
          <w:bCs/>
          <w:kern w:val="0"/>
          <w:szCs w:val="24"/>
        </w:rPr>
      </w:pPr>
    </w:p>
    <w:p w:rsidR="00C56A62" w:rsidRDefault="00C56A62" w:rsidP="00C56A62">
      <w:pPr>
        <w:pStyle w:val="HeadingBase"/>
        <w:keepNext w:val="0"/>
        <w:keepLines w:val="0"/>
        <w:widowControl/>
        <w:rPr>
          <w:b/>
          <w:bCs/>
          <w:kern w:val="0"/>
          <w:szCs w:val="24"/>
        </w:rPr>
      </w:pPr>
    </w:p>
    <w:p w:rsidR="00C56A62" w:rsidRDefault="00C56A62" w:rsidP="00C56A62">
      <w:pPr>
        <w:pStyle w:val="HeadingBase"/>
        <w:keepNext w:val="0"/>
        <w:keepLines w:val="0"/>
        <w:widowControl/>
        <w:rPr>
          <w:b/>
          <w:bCs/>
          <w:kern w:val="0"/>
          <w:szCs w:val="24"/>
        </w:rPr>
      </w:pPr>
    </w:p>
    <w:p w:rsidR="00C56A62" w:rsidRDefault="00C56A62" w:rsidP="00C56A62">
      <w:pPr>
        <w:pStyle w:val="HeadingBase"/>
        <w:keepNext w:val="0"/>
        <w:keepLines w:val="0"/>
        <w:widowControl/>
        <w:rPr>
          <w:b/>
          <w:bCs/>
          <w:kern w:val="0"/>
          <w:szCs w:val="24"/>
        </w:rPr>
      </w:pPr>
    </w:p>
    <w:p w:rsidR="00C56A62" w:rsidRDefault="00C56A62" w:rsidP="00C56A62">
      <w:pPr>
        <w:pStyle w:val="HeadingBase"/>
        <w:keepNext w:val="0"/>
        <w:keepLines w:val="0"/>
        <w:widowControl/>
        <w:rPr>
          <w:b/>
          <w:bCs/>
          <w:kern w:val="0"/>
          <w:szCs w:val="24"/>
        </w:rPr>
      </w:pPr>
    </w:p>
    <w:p w:rsidR="00C56A62" w:rsidRDefault="00C56A62" w:rsidP="00C56A62">
      <w:pPr>
        <w:pStyle w:val="HeadingBase"/>
        <w:keepNext w:val="0"/>
        <w:keepLines w:val="0"/>
        <w:widowControl/>
        <w:rPr>
          <w:b/>
          <w:bCs/>
          <w:kern w:val="0"/>
          <w:szCs w:val="24"/>
        </w:rPr>
      </w:pPr>
    </w:p>
    <w:p w:rsidR="00C56A62" w:rsidRDefault="00C56A62" w:rsidP="00C56A62">
      <w:pPr>
        <w:pStyle w:val="HeadingBase"/>
        <w:keepNext w:val="0"/>
        <w:keepLines w:val="0"/>
        <w:widowControl/>
        <w:rPr>
          <w:b/>
          <w:bCs/>
          <w:kern w:val="0"/>
          <w:szCs w:val="24"/>
        </w:rPr>
      </w:pPr>
    </w:p>
    <w:p w:rsidR="00C56A62" w:rsidRDefault="00C56A62" w:rsidP="00C56A62">
      <w:pPr>
        <w:pStyle w:val="HeadingBase"/>
        <w:keepNext w:val="0"/>
        <w:keepLines w:val="0"/>
        <w:widowControl/>
        <w:rPr>
          <w:b/>
          <w:bCs/>
          <w:kern w:val="0"/>
          <w:szCs w:val="24"/>
        </w:rPr>
      </w:pPr>
    </w:p>
    <w:p w:rsidR="00C56A62" w:rsidRDefault="00C56A62" w:rsidP="00C56A62">
      <w:pPr>
        <w:pStyle w:val="HeadingBase"/>
        <w:keepNext w:val="0"/>
        <w:keepLines w:val="0"/>
        <w:widowControl/>
        <w:rPr>
          <w:b/>
          <w:bCs/>
          <w:kern w:val="0"/>
          <w:szCs w:val="24"/>
        </w:rPr>
      </w:pPr>
    </w:p>
    <w:p w:rsidR="00C56A62" w:rsidRDefault="00C56A62" w:rsidP="00C56A62">
      <w:pPr>
        <w:pStyle w:val="HeadingBase"/>
        <w:keepNext w:val="0"/>
        <w:keepLines w:val="0"/>
        <w:widowControl/>
        <w:rPr>
          <w:b/>
          <w:bCs/>
          <w:kern w:val="0"/>
          <w:szCs w:val="24"/>
        </w:rPr>
      </w:pPr>
    </w:p>
    <w:p w:rsidR="00C56A62" w:rsidRDefault="00C56A62" w:rsidP="00C56A62">
      <w:pPr>
        <w:pStyle w:val="HeadingBase"/>
        <w:keepNext w:val="0"/>
        <w:keepLines w:val="0"/>
        <w:widowControl/>
        <w:rPr>
          <w:b/>
          <w:bCs/>
          <w:kern w:val="0"/>
          <w:szCs w:val="24"/>
        </w:rPr>
      </w:pPr>
    </w:p>
    <w:p w:rsidR="00C56A62" w:rsidRDefault="00C56A62" w:rsidP="00C56A62">
      <w:pPr>
        <w:pStyle w:val="HeadingBase"/>
        <w:keepNext w:val="0"/>
        <w:keepLines w:val="0"/>
        <w:widowControl/>
        <w:rPr>
          <w:b/>
          <w:bCs/>
          <w:kern w:val="0"/>
          <w:szCs w:val="24"/>
        </w:rPr>
      </w:pPr>
    </w:p>
    <w:p w:rsidR="0041375E" w:rsidRDefault="0041375E" w:rsidP="00C56A62">
      <w:pPr>
        <w:pStyle w:val="SummaryHeading"/>
        <w:spacing w:before="0" w:after="0"/>
        <w:ind w:left="-115" w:right="-115"/>
        <w:rPr>
          <w:b w:val="0"/>
          <w:bCs/>
          <w:kern w:val="0"/>
          <w:szCs w:val="24"/>
        </w:rPr>
      </w:pPr>
      <w:bookmarkStart w:id="2" w:name="_GoBack"/>
      <w:bookmarkEnd w:id="2"/>
    </w:p>
    <w:sectPr w:rsidR="0041375E" w:rsidSect="00091584">
      <w:headerReference w:type="default" r:id="rId13"/>
      <w:type w:val="continuous"/>
      <w:pgSz w:w="12240" w:h="15840"/>
      <w:pgMar w:top="1800" w:right="1440" w:bottom="1440" w:left="1152"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1E02" w:rsidRDefault="00021E02">
      <w:r>
        <w:separator/>
      </w:r>
    </w:p>
  </w:endnote>
  <w:endnote w:type="continuationSeparator" w:id="0">
    <w:p w:rsidR="00021E02" w:rsidRDefault="00021E0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ucida Sans">
    <w:panose1 w:val="020B060203050402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font>
  <w:font w:name="ＭＳ 明朝">
    <w:charset w:val="4E"/>
    <w:family w:val="auto"/>
    <w:pitch w:val="variable"/>
    <w:sig w:usb0="00000001" w:usb1="08070000" w:usb2="00000010" w:usb3="00000000" w:csb0="00020000"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4059" w:rsidRPr="00E1082A" w:rsidRDefault="00E64059">
    <w:pPr>
      <w:pStyle w:val="Footer"/>
      <w:pBdr>
        <w:top w:val="none" w:sz="0" w:space="0" w:color="auto"/>
      </w:pBdr>
      <w:rPr>
        <w:rFonts w:ascii="Garamond" w:hAnsi="Garamond"/>
        <w:b/>
        <w:bCs/>
        <w:sz w:val="24"/>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13954"/>
      <w:docPartObj>
        <w:docPartGallery w:val="Page Numbers (Bottom of Page)"/>
        <w:docPartUnique/>
      </w:docPartObj>
    </w:sdtPr>
    <w:sdtEndPr>
      <w:rPr>
        <w:rFonts w:ascii="Garamond" w:hAnsi="Garamond"/>
        <w:sz w:val="24"/>
        <w:szCs w:val="24"/>
      </w:rPr>
    </w:sdtEndPr>
    <w:sdtContent>
      <w:p w:rsidR="00C56A62" w:rsidRPr="00996925" w:rsidRDefault="00EC7F95" w:rsidP="00996925">
        <w:pPr>
          <w:pStyle w:val="Footer"/>
          <w:pBdr>
            <w:top w:val="single" w:sz="4" w:space="3" w:color="auto"/>
          </w:pBdr>
          <w:spacing w:before="120"/>
          <w:jc w:val="center"/>
          <w:rPr>
            <w:rFonts w:ascii="Garamond" w:hAnsi="Garamond"/>
            <w:sz w:val="24"/>
            <w:szCs w:val="24"/>
          </w:rPr>
        </w:pPr>
        <w:r w:rsidRPr="00996925">
          <w:rPr>
            <w:rFonts w:ascii="Garamond" w:hAnsi="Garamond"/>
            <w:sz w:val="24"/>
            <w:szCs w:val="24"/>
          </w:rPr>
          <w:fldChar w:fldCharType="begin"/>
        </w:r>
        <w:r w:rsidR="00C56A62" w:rsidRPr="00996925">
          <w:rPr>
            <w:rFonts w:ascii="Garamond" w:hAnsi="Garamond"/>
            <w:sz w:val="24"/>
            <w:szCs w:val="24"/>
          </w:rPr>
          <w:instrText xml:space="preserve"> PAGE   \* MERGEFORMAT </w:instrText>
        </w:r>
        <w:r w:rsidRPr="00996925">
          <w:rPr>
            <w:rFonts w:ascii="Garamond" w:hAnsi="Garamond"/>
            <w:sz w:val="24"/>
            <w:szCs w:val="24"/>
          </w:rPr>
          <w:fldChar w:fldCharType="separate"/>
        </w:r>
        <w:r w:rsidR="00990929">
          <w:rPr>
            <w:rFonts w:ascii="Garamond" w:hAnsi="Garamond"/>
            <w:noProof/>
            <w:sz w:val="24"/>
            <w:szCs w:val="24"/>
          </w:rPr>
          <w:t>2</w:t>
        </w:r>
        <w:r w:rsidRPr="00996925">
          <w:rPr>
            <w:rFonts w:ascii="Garamond" w:hAnsi="Garamond"/>
            <w:sz w:val="24"/>
            <w:szCs w:val="24"/>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1E02" w:rsidRDefault="00021E02">
      <w:r>
        <w:separator/>
      </w:r>
    </w:p>
  </w:footnote>
  <w:footnote w:type="continuationSeparator" w:id="0">
    <w:p w:rsidR="00021E02" w:rsidRDefault="00021E0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6A62" w:rsidRDefault="00C56A62">
    <w:pPr>
      <w:pStyle w:val="Header"/>
    </w:pPr>
    <w:r w:rsidRPr="0056247F">
      <w:rPr>
        <w:noProof/>
      </w:rPr>
      <w:drawing>
        <wp:anchor distT="0" distB="0" distL="114300" distR="114300" simplePos="0" relativeHeight="251659264" behindDoc="0" locked="0" layoutInCell="1" allowOverlap="1">
          <wp:simplePos x="0" y="0"/>
          <wp:positionH relativeFrom="margin">
            <wp:posOffset>84455</wp:posOffset>
          </wp:positionH>
          <wp:positionV relativeFrom="margin">
            <wp:posOffset>-95885</wp:posOffset>
          </wp:positionV>
          <wp:extent cx="1203325" cy="1296670"/>
          <wp:effectExtent l="19050" t="0" r="0" b="0"/>
          <wp:wrapThrough wrapText="bothSides">
            <wp:wrapPolygon edited="0">
              <wp:start x="-342" y="0"/>
              <wp:lineTo x="-342" y="21262"/>
              <wp:lineTo x="21543" y="21262"/>
              <wp:lineTo x="21543" y="0"/>
              <wp:lineTo x="-342" y="0"/>
            </wp:wrapPolygon>
          </wp:wrapThrough>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203325" cy="1296670"/>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1584" w:rsidRDefault="00021E0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F8565E"/>
    <w:multiLevelType w:val="hybridMultilevel"/>
    <w:tmpl w:val="1C50A9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B1119FD"/>
    <w:multiLevelType w:val="hybridMultilevel"/>
    <w:tmpl w:val="55B43F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95551F"/>
    <w:multiLevelType w:val="singleLevel"/>
    <w:tmpl w:val="8CD2F778"/>
    <w:lvl w:ilvl="0">
      <w:numFmt w:val="bullet"/>
      <w:pStyle w:val="TableBullet"/>
      <w:lvlText w:val=""/>
      <w:lvlJc w:val="left"/>
      <w:pPr>
        <w:tabs>
          <w:tab w:val="num" w:pos="360"/>
        </w:tabs>
        <w:ind w:left="216" w:hanging="216"/>
      </w:pPr>
      <w:rPr>
        <w:rFonts w:ascii="Wingdings" w:hAnsi="Wingdings" w:hint="default"/>
      </w:rPr>
    </w:lvl>
  </w:abstractNum>
  <w:abstractNum w:abstractNumId="3">
    <w:nsid w:val="3B2D5C5F"/>
    <w:multiLevelType w:val="hybridMultilevel"/>
    <w:tmpl w:val="06FEA232"/>
    <w:lvl w:ilvl="0" w:tplc="74A41AC6">
      <w:start w:val="1"/>
      <w:numFmt w:val="decimal"/>
      <w:pStyle w:val="NumberedList"/>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3C1B0B3C"/>
    <w:multiLevelType w:val="hybridMultilevel"/>
    <w:tmpl w:val="61A08C34"/>
    <w:lvl w:ilvl="0" w:tplc="EC5C3ED2">
      <w:start w:val="1"/>
      <w:numFmt w:val="bullet"/>
      <w:pStyle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5FA34262"/>
    <w:multiLevelType w:val="hybridMultilevel"/>
    <w:tmpl w:val="E8DE1C72"/>
    <w:lvl w:ilvl="0" w:tplc="04090005">
      <w:start w:val="1"/>
      <w:numFmt w:val="bullet"/>
      <w:lvlText w:val=""/>
      <w:lvlJc w:val="left"/>
      <w:pPr>
        <w:ind w:left="792" w:hanging="360"/>
      </w:pPr>
      <w:rPr>
        <w:rFonts w:ascii="Wingdings" w:hAnsi="Wingding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6">
    <w:nsid w:val="67A874B9"/>
    <w:multiLevelType w:val="singleLevel"/>
    <w:tmpl w:val="67A0D5FE"/>
    <w:lvl w:ilvl="0">
      <w:start w:val="1"/>
      <w:numFmt w:val="decimal"/>
      <w:pStyle w:val="TableNumberedList"/>
      <w:lvlText w:val="%1."/>
      <w:lvlJc w:val="left"/>
      <w:pPr>
        <w:tabs>
          <w:tab w:val="num" w:pos="360"/>
        </w:tabs>
        <w:ind w:left="360" w:hanging="360"/>
      </w:pPr>
      <w:rPr>
        <w:rFonts w:hint="default"/>
        <w:b w:val="0"/>
        <w:i w:val="0"/>
      </w:rPr>
    </w:lvl>
  </w:abstractNum>
  <w:abstractNum w:abstractNumId="7">
    <w:nsid w:val="7FE70A73"/>
    <w:multiLevelType w:val="hybridMultilevel"/>
    <w:tmpl w:val="162029DC"/>
    <w:lvl w:ilvl="0" w:tplc="FFFFFFFF">
      <w:start w:val="1"/>
      <w:numFmt w:val="bullet"/>
      <w:lvlText w:val=""/>
      <w:lvlJc w:val="left"/>
      <w:pPr>
        <w:ind w:left="576" w:hanging="360"/>
      </w:pPr>
      <w:rPr>
        <w:rFonts w:ascii="Symbol" w:hAnsi="Symbol" w:hint="default"/>
      </w:rPr>
    </w:lvl>
    <w:lvl w:ilvl="1" w:tplc="FFFFFFFF" w:tentative="1">
      <w:start w:val="1"/>
      <w:numFmt w:val="bullet"/>
      <w:lvlText w:val="o"/>
      <w:lvlJc w:val="left"/>
      <w:pPr>
        <w:ind w:left="1296" w:hanging="360"/>
      </w:pPr>
      <w:rPr>
        <w:rFonts w:ascii="Courier New" w:hAnsi="Courier New" w:cs="Courier New" w:hint="default"/>
      </w:rPr>
    </w:lvl>
    <w:lvl w:ilvl="2" w:tplc="FFFFFFFF" w:tentative="1">
      <w:start w:val="1"/>
      <w:numFmt w:val="bullet"/>
      <w:lvlText w:val=""/>
      <w:lvlJc w:val="left"/>
      <w:pPr>
        <w:ind w:left="2016" w:hanging="360"/>
      </w:pPr>
      <w:rPr>
        <w:rFonts w:ascii="Wingdings" w:hAnsi="Wingdings" w:hint="default"/>
      </w:rPr>
    </w:lvl>
    <w:lvl w:ilvl="3" w:tplc="FFFFFFFF" w:tentative="1">
      <w:start w:val="1"/>
      <w:numFmt w:val="bullet"/>
      <w:lvlText w:val=""/>
      <w:lvlJc w:val="left"/>
      <w:pPr>
        <w:ind w:left="2736" w:hanging="360"/>
      </w:pPr>
      <w:rPr>
        <w:rFonts w:ascii="Symbol" w:hAnsi="Symbol" w:hint="default"/>
      </w:rPr>
    </w:lvl>
    <w:lvl w:ilvl="4" w:tplc="FFFFFFFF" w:tentative="1">
      <w:start w:val="1"/>
      <w:numFmt w:val="bullet"/>
      <w:lvlText w:val="o"/>
      <w:lvlJc w:val="left"/>
      <w:pPr>
        <w:ind w:left="3456" w:hanging="360"/>
      </w:pPr>
      <w:rPr>
        <w:rFonts w:ascii="Courier New" w:hAnsi="Courier New" w:cs="Courier New" w:hint="default"/>
      </w:rPr>
    </w:lvl>
    <w:lvl w:ilvl="5" w:tplc="FFFFFFFF" w:tentative="1">
      <w:start w:val="1"/>
      <w:numFmt w:val="bullet"/>
      <w:lvlText w:val=""/>
      <w:lvlJc w:val="left"/>
      <w:pPr>
        <w:ind w:left="4176" w:hanging="360"/>
      </w:pPr>
      <w:rPr>
        <w:rFonts w:ascii="Wingdings" w:hAnsi="Wingdings" w:hint="default"/>
      </w:rPr>
    </w:lvl>
    <w:lvl w:ilvl="6" w:tplc="FFFFFFFF" w:tentative="1">
      <w:start w:val="1"/>
      <w:numFmt w:val="bullet"/>
      <w:lvlText w:val=""/>
      <w:lvlJc w:val="left"/>
      <w:pPr>
        <w:ind w:left="4896" w:hanging="360"/>
      </w:pPr>
      <w:rPr>
        <w:rFonts w:ascii="Symbol" w:hAnsi="Symbol" w:hint="default"/>
      </w:rPr>
    </w:lvl>
    <w:lvl w:ilvl="7" w:tplc="FFFFFFFF" w:tentative="1">
      <w:start w:val="1"/>
      <w:numFmt w:val="bullet"/>
      <w:lvlText w:val="o"/>
      <w:lvlJc w:val="left"/>
      <w:pPr>
        <w:ind w:left="5616" w:hanging="360"/>
      </w:pPr>
      <w:rPr>
        <w:rFonts w:ascii="Courier New" w:hAnsi="Courier New" w:cs="Courier New" w:hint="default"/>
      </w:rPr>
    </w:lvl>
    <w:lvl w:ilvl="8" w:tplc="FFFFFFFF" w:tentative="1">
      <w:start w:val="1"/>
      <w:numFmt w:val="bullet"/>
      <w:lvlText w:val=""/>
      <w:lvlJc w:val="left"/>
      <w:pPr>
        <w:ind w:left="6336" w:hanging="360"/>
      </w:pPr>
      <w:rPr>
        <w:rFonts w:ascii="Wingdings" w:hAnsi="Wingdings" w:hint="default"/>
      </w:rPr>
    </w:lvl>
  </w:abstractNum>
  <w:num w:numId="1">
    <w:abstractNumId w:val="2"/>
  </w:num>
  <w:num w:numId="2">
    <w:abstractNumId w:val="6"/>
  </w:num>
  <w:num w:numId="3">
    <w:abstractNumId w:val="4"/>
  </w:num>
  <w:num w:numId="4">
    <w:abstractNumId w:val="3"/>
  </w:num>
  <w:num w:numId="5">
    <w:abstractNumId w:val="7"/>
  </w:num>
  <w:num w:numId="6">
    <w:abstractNumId w:val="5"/>
  </w:num>
  <w:num w:numId="7">
    <w:abstractNumId w:val="0"/>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attachedTemplate r:id="rId1"/>
  <w:defaultTabStop w:val="720"/>
  <w:drawingGridHorizontalSpacing w:val="120"/>
  <w:displayHorizontalDrawingGridEvery w:val="2"/>
  <w:displayVerticalDrawingGridEvery w:val="2"/>
  <w:noPunctuationKerning/>
  <w:characterSpacingControl w:val="doNotCompress"/>
  <w:hdrShapeDefaults>
    <o:shapedefaults v:ext="edit" spidmax="9218"/>
  </w:hdrShapeDefaults>
  <w:footnotePr>
    <w:footnote w:id="-1"/>
    <w:footnote w:id="0"/>
  </w:footnotePr>
  <w:endnotePr>
    <w:endnote w:id="-1"/>
    <w:endnote w:id="0"/>
  </w:endnotePr>
  <w:compat>
    <w:useFELayout/>
  </w:compat>
  <w:rsids>
    <w:rsidRoot w:val="000A7DFB"/>
    <w:rsid w:val="00002CFF"/>
    <w:rsid w:val="00004D27"/>
    <w:rsid w:val="0001712D"/>
    <w:rsid w:val="00021E02"/>
    <w:rsid w:val="00023D8A"/>
    <w:rsid w:val="00077B87"/>
    <w:rsid w:val="00091E05"/>
    <w:rsid w:val="000A7DFB"/>
    <w:rsid w:val="00126290"/>
    <w:rsid w:val="00143CC1"/>
    <w:rsid w:val="001670CF"/>
    <w:rsid w:val="001863D9"/>
    <w:rsid w:val="00186B1C"/>
    <w:rsid w:val="001876B4"/>
    <w:rsid w:val="001938E6"/>
    <w:rsid w:val="001C15F2"/>
    <w:rsid w:val="001C2888"/>
    <w:rsid w:val="001C5BF8"/>
    <w:rsid w:val="001D2322"/>
    <w:rsid w:val="001F1C18"/>
    <w:rsid w:val="00247E32"/>
    <w:rsid w:val="00274B93"/>
    <w:rsid w:val="00274D9E"/>
    <w:rsid w:val="002876DF"/>
    <w:rsid w:val="002E388A"/>
    <w:rsid w:val="002E68AF"/>
    <w:rsid w:val="00302E3E"/>
    <w:rsid w:val="0031211F"/>
    <w:rsid w:val="003178EB"/>
    <w:rsid w:val="00340DC8"/>
    <w:rsid w:val="003444EF"/>
    <w:rsid w:val="003463A7"/>
    <w:rsid w:val="00352C13"/>
    <w:rsid w:val="00357550"/>
    <w:rsid w:val="00362279"/>
    <w:rsid w:val="00367FB3"/>
    <w:rsid w:val="003A750B"/>
    <w:rsid w:val="003B038F"/>
    <w:rsid w:val="003C4278"/>
    <w:rsid w:val="003E2E60"/>
    <w:rsid w:val="003F0638"/>
    <w:rsid w:val="0041375E"/>
    <w:rsid w:val="0042368C"/>
    <w:rsid w:val="00431022"/>
    <w:rsid w:val="00435CE7"/>
    <w:rsid w:val="00475FCC"/>
    <w:rsid w:val="004A4A3D"/>
    <w:rsid w:val="004A6E08"/>
    <w:rsid w:val="005060CC"/>
    <w:rsid w:val="00537F75"/>
    <w:rsid w:val="00562088"/>
    <w:rsid w:val="005720E2"/>
    <w:rsid w:val="00585C8B"/>
    <w:rsid w:val="00586DFB"/>
    <w:rsid w:val="00591FB7"/>
    <w:rsid w:val="005A657F"/>
    <w:rsid w:val="005B0B4F"/>
    <w:rsid w:val="005B156E"/>
    <w:rsid w:val="005C3EEA"/>
    <w:rsid w:val="005D0DF6"/>
    <w:rsid w:val="006037DB"/>
    <w:rsid w:val="00621D79"/>
    <w:rsid w:val="00626791"/>
    <w:rsid w:val="00653AA9"/>
    <w:rsid w:val="006817C8"/>
    <w:rsid w:val="00682435"/>
    <w:rsid w:val="00687C13"/>
    <w:rsid w:val="006D7FE3"/>
    <w:rsid w:val="00742602"/>
    <w:rsid w:val="0074641B"/>
    <w:rsid w:val="00747AD7"/>
    <w:rsid w:val="00775E0B"/>
    <w:rsid w:val="00780D48"/>
    <w:rsid w:val="00794F1C"/>
    <w:rsid w:val="008228F6"/>
    <w:rsid w:val="0086236B"/>
    <w:rsid w:val="008D0A5E"/>
    <w:rsid w:val="008E1E7C"/>
    <w:rsid w:val="00920CD9"/>
    <w:rsid w:val="0094021A"/>
    <w:rsid w:val="009446EE"/>
    <w:rsid w:val="00990929"/>
    <w:rsid w:val="009A0A1F"/>
    <w:rsid w:val="009E0C10"/>
    <w:rsid w:val="009F7313"/>
    <w:rsid w:val="00A31DB8"/>
    <w:rsid w:val="00A373A3"/>
    <w:rsid w:val="00A61DA5"/>
    <w:rsid w:val="00A771B2"/>
    <w:rsid w:val="00AA19AF"/>
    <w:rsid w:val="00AB4430"/>
    <w:rsid w:val="00AC5A48"/>
    <w:rsid w:val="00AE527A"/>
    <w:rsid w:val="00AE762A"/>
    <w:rsid w:val="00AF1339"/>
    <w:rsid w:val="00B15905"/>
    <w:rsid w:val="00B376C0"/>
    <w:rsid w:val="00B55FA6"/>
    <w:rsid w:val="00B96F13"/>
    <w:rsid w:val="00BE04A3"/>
    <w:rsid w:val="00C0304D"/>
    <w:rsid w:val="00C073C2"/>
    <w:rsid w:val="00C143D0"/>
    <w:rsid w:val="00C21D52"/>
    <w:rsid w:val="00C27E8F"/>
    <w:rsid w:val="00C56A62"/>
    <w:rsid w:val="00C66CD7"/>
    <w:rsid w:val="00C71367"/>
    <w:rsid w:val="00C742FB"/>
    <w:rsid w:val="00C7642A"/>
    <w:rsid w:val="00C925DD"/>
    <w:rsid w:val="00CA06F1"/>
    <w:rsid w:val="00CC1AC1"/>
    <w:rsid w:val="00CC2B7A"/>
    <w:rsid w:val="00CC60D7"/>
    <w:rsid w:val="00D373D3"/>
    <w:rsid w:val="00D725F0"/>
    <w:rsid w:val="00D729B3"/>
    <w:rsid w:val="00D8278F"/>
    <w:rsid w:val="00DB721B"/>
    <w:rsid w:val="00DC0375"/>
    <w:rsid w:val="00DE7D56"/>
    <w:rsid w:val="00DF1D9F"/>
    <w:rsid w:val="00E013CC"/>
    <w:rsid w:val="00E04461"/>
    <w:rsid w:val="00E10463"/>
    <w:rsid w:val="00E1082A"/>
    <w:rsid w:val="00E354B0"/>
    <w:rsid w:val="00E64059"/>
    <w:rsid w:val="00E91890"/>
    <w:rsid w:val="00E9748A"/>
    <w:rsid w:val="00EC7F95"/>
    <w:rsid w:val="00EE50AC"/>
    <w:rsid w:val="00EF01BD"/>
    <w:rsid w:val="00F353AD"/>
    <w:rsid w:val="00F808A7"/>
    <w:rsid w:val="00F944A2"/>
    <w:rsid w:val="00FA5C27"/>
    <w:rsid w:val="00FA7AC9"/>
    <w:rsid w:val="00FB1D0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01BD"/>
    <w:rPr>
      <w:rFonts w:ascii="Arial" w:eastAsia="Times New Roman" w:hAnsi="Arial"/>
      <w:sz w:val="24"/>
      <w:szCs w:val="24"/>
    </w:rPr>
  </w:style>
  <w:style w:type="paragraph" w:styleId="Heading1">
    <w:name w:val="heading 1"/>
    <w:basedOn w:val="HeadingBase"/>
    <w:next w:val="Body"/>
    <w:qFormat/>
    <w:rsid w:val="00EF01BD"/>
    <w:pPr>
      <w:pageBreakBefore/>
      <w:pBdr>
        <w:bottom w:val="single" w:sz="48" w:space="12" w:color="auto"/>
      </w:pBdr>
      <w:spacing w:after="240"/>
      <w:jc w:val="right"/>
      <w:outlineLvl w:val="0"/>
    </w:pPr>
    <w:rPr>
      <w:b/>
      <w:sz w:val="36"/>
    </w:rPr>
  </w:style>
  <w:style w:type="paragraph" w:styleId="Heading2">
    <w:name w:val="heading 2"/>
    <w:basedOn w:val="HeadingBase"/>
    <w:next w:val="Body"/>
    <w:qFormat/>
    <w:rsid w:val="00EF01BD"/>
    <w:pPr>
      <w:spacing w:before="240" w:after="120"/>
      <w:outlineLvl w:val="1"/>
    </w:pPr>
    <w:rPr>
      <w:b/>
      <w:sz w:val="28"/>
    </w:rPr>
  </w:style>
  <w:style w:type="paragraph" w:styleId="Heading3">
    <w:name w:val="heading 3"/>
    <w:basedOn w:val="HeadingBase"/>
    <w:next w:val="Body"/>
    <w:qFormat/>
    <w:rsid w:val="00EF01BD"/>
    <w:pPr>
      <w:spacing w:before="240" w:after="120"/>
      <w:outlineLvl w:val="2"/>
    </w:pPr>
    <w:rPr>
      <w:b/>
      <w:i/>
      <w:kern w:val="0"/>
    </w:rPr>
  </w:style>
  <w:style w:type="paragraph" w:styleId="Heading4">
    <w:name w:val="heading 4"/>
    <w:basedOn w:val="HeadingBase"/>
    <w:next w:val="Body"/>
    <w:qFormat/>
    <w:rsid w:val="00EF01BD"/>
    <w:pPr>
      <w:spacing w:before="240" w:after="120"/>
      <w:ind w:left="360"/>
      <w:outlineLvl w:val="3"/>
    </w:pPr>
    <w:rPr>
      <w:b/>
      <w:kern w:val="0"/>
    </w:rPr>
  </w:style>
  <w:style w:type="paragraph" w:styleId="Heading5">
    <w:name w:val="heading 5"/>
    <w:basedOn w:val="HeadingBase"/>
    <w:next w:val="Body"/>
    <w:qFormat/>
    <w:rsid w:val="00EF01BD"/>
    <w:pPr>
      <w:spacing w:before="240" w:after="120"/>
      <w:ind w:left="720"/>
      <w:outlineLvl w:val="4"/>
    </w:pPr>
    <w:rPr>
      <w:b/>
      <w:kern w:val="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basedOn w:val="DefaultParagraphFont"/>
    <w:semiHidden/>
    <w:rsid w:val="00EF01BD"/>
    <w:rPr>
      <w:color w:val="800080"/>
      <w:u w:val="single"/>
    </w:rPr>
  </w:style>
  <w:style w:type="paragraph" w:styleId="Header">
    <w:name w:val="header"/>
    <w:basedOn w:val="BodyBase"/>
    <w:link w:val="HeaderChar"/>
    <w:semiHidden/>
    <w:rsid w:val="00EF01BD"/>
    <w:pPr>
      <w:tabs>
        <w:tab w:val="right" w:pos="9360"/>
      </w:tabs>
      <w:spacing w:line="240" w:lineRule="auto"/>
    </w:pPr>
    <w:rPr>
      <w:i/>
      <w:sz w:val="18"/>
    </w:rPr>
  </w:style>
  <w:style w:type="paragraph" w:styleId="Footer">
    <w:name w:val="footer"/>
    <w:basedOn w:val="BodyBase"/>
    <w:link w:val="FooterChar"/>
    <w:uiPriority w:val="99"/>
    <w:rsid w:val="00EF01BD"/>
    <w:pPr>
      <w:pBdr>
        <w:top w:val="single" w:sz="4" w:space="2" w:color="auto"/>
      </w:pBdr>
      <w:tabs>
        <w:tab w:val="center" w:pos="4680"/>
        <w:tab w:val="right" w:pos="9360"/>
      </w:tabs>
      <w:spacing w:line="240" w:lineRule="auto"/>
    </w:pPr>
    <w:rPr>
      <w:sz w:val="18"/>
    </w:rPr>
  </w:style>
  <w:style w:type="paragraph" w:customStyle="1" w:styleId="HeadingBase">
    <w:name w:val="Heading Base"/>
    <w:rsid w:val="00EF01BD"/>
    <w:pPr>
      <w:keepNext/>
      <w:keepLines/>
      <w:widowControl w:val="0"/>
    </w:pPr>
    <w:rPr>
      <w:rFonts w:ascii="Arial" w:eastAsia="Times New Roman" w:hAnsi="Arial"/>
      <w:kern w:val="28"/>
      <w:sz w:val="24"/>
    </w:rPr>
  </w:style>
  <w:style w:type="paragraph" w:customStyle="1" w:styleId="Body">
    <w:name w:val="Body"/>
    <w:basedOn w:val="BodyBase"/>
    <w:rsid w:val="00EF01BD"/>
    <w:pPr>
      <w:spacing w:before="120" w:after="120"/>
    </w:pPr>
  </w:style>
  <w:style w:type="paragraph" w:customStyle="1" w:styleId="BodyBase">
    <w:name w:val="Body Base"/>
    <w:rsid w:val="00EF01BD"/>
    <w:pPr>
      <w:spacing w:line="360" w:lineRule="auto"/>
    </w:pPr>
    <w:rPr>
      <w:rFonts w:ascii="Arial" w:eastAsia="Times New Roman" w:hAnsi="Arial"/>
      <w:sz w:val="24"/>
    </w:rPr>
  </w:style>
  <w:style w:type="paragraph" w:customStyle="1" w:styleId="Bullet">
    <w:name w:val="Bullet"/>
    <w:basedOn w:val="BodyBase"/>
    <w:qFormat/>
    <w:rsid w:val="00EF01BD"/>
    <w:pPr>
      <w:numPr>
        <w:numId w:val="3"/>
      </w:numPr>
      <w:spacing w:before="40" w:after="40"/>
    </w:pPr>
  </w:style>
  <w:style w:type="paragraph" w:customStyle="1" w:styleId="TableHeadCenter">
    <w:name w:val="Table Head Center"/>
    <w:basedOn w:val="TableBase"/>
    <w:next w:val="TableText"/>
    <w:rsid w:val="00EF01BD"/>
    <w:pPr>
      <w:spacing w:before="60" w:after="60"/>
      <w:jc w:val="center"/>
    </w:pPr>
    <w:rPr>
      <w:b/>
    </w:rPr>
  </w:style>
  <w:style w:type="paragraph" w:customStyle="1" w:styleId="TableBase">
    <w:name w:val="Table Base"/>
    <w:rsid w:val="00EF01BD"/>
    <w:rPr>
      <w:rFonts w:ascii="Arial" w:eastAsia="Times New Roman" w:hAnsi="Arial"/>
      <w:sz w:val="19"/>
    </w:rPr>
  </w:style>
  <w:style w:type="paragraph" w:customStyle="1" w:styleId="TableText">
    <w:name w:val="Table Text"/>
    <w:basedOn w:val="TableBase"/>
    <w:rsid w:val="00EF01BD"/>
    <w:pPr>
      <w:spacing w:before="80" w:after="80"/>
      <w:ind w:left="72"/>
    </w:pPr>
    <w:rPr>
      <w:rFonts w:ascii="Times New Roman" w:hAnsi="Times New Roman"/>
      <w:sz w:val="21"/>
    </w:rPr>
  </w:style>
  <w:style w:type="paragraph" w:customStyle="1" w:styleId="Exhibit">
    <w:name w:val="Exhibit"/>
    <w:basedOn w:val="HeadingBase"/>
    <w:next w:val="ExtraBlankLine"/>
    <w:rsid w:val="00EF01BD"/>
    <w:pPr>
      <w:tabs>
        <w:tab w:val="center" w:pos="4766"/>
      </w:tabs>
      <w:spacing w:before="240" w:after="240"/>
    </w:pPr>
    <w:rPr>
      <w:b/>
      <w:sz w:val="22"/>
    </w:rPr>
  </w:style>
  <w:style w:type="paragraph" w:customStyle="1" w:styleId="ExtraBlankLine">
    <w:name w:val="Extra Blank Line"/>
    <w:basedOn w:val="BodyBase"/>
    <w:rsid w:val="00EF01BD"/>
    <w:pPr>
      <w:spacing w:line="240" w:lineRule="auto"/>
    </w:pPr>
  </w:style>
  <w:style w:type="paragraph" w:customStyle="1" w:styleId="BlockQuotation">
    <w:name w:val="Block Quotation"/>
    <w:basedOn w:val="BodyBase"/>
    <w:next w:val="Body"/>
    <w:rsid w:val="00EF01BD"/>
    <w:pPr>
      <w:spacing w:before="120" w:after="120"/>
      <w:ind w:left="720" w:right="720"/>
    </w:pPr>
  </w:style>
  <w:style w:type="paragraph" w:customStyle="1" w:styleId="NumberedList">
    <w:name w:val="Numbered List"/>
    <w:basedOn w:val="BodyBase"/>
    <w:rsid w:val="00EF01BD"/>
    <w:pPr>
      <w:numPr>
        <w:numId w:val="4"/>
      </w:numPr>
      <w:spacing w:before="40" w:after="40"/>
    </w:pPr>
  </w:style>
  <w:style w:type="paragraph" w:styleId="FootnoteText">
    <w:name w:val="footnote text"/>
    <w:basedOn w:val="BodyBase"/>
    <w:semiHidden/>
    <w:rsid w:val="00EF01BD"/>
    <w:pPr>
      <w:widowControl w:val="0"/>
      <w:spacing w:line="240" w:lineRule="auto"/>
    </w:pPr>
    <w:rPr>
      <w:snapToGrid w:val="0"/>
      <w:sz w:val="18"/>
    </w:rPr>
  </w:style>
  <w:style w:type="paragraph" w:styleId="TOC1">
    <w:name w:val="toc 1"/>
    <w:basedOn w:val="BodyBase"/>
    <w:next w:val="TOC2"/>
    <w:semiHidden/>
    <w:rsid w:val="00EF01BD"/>
    <w:pPr>
      <w:tabs>
        <w:tab w:val="right" w:leader="dot" w:pos="9360"/>
      </w:tabs>
      <w:suppressAutoHyphens/>
      <w:spacing w:before="60" w:after="60" w:line="240" w:lineRule="auto"/>
    </w:pPr>
    <w:rPr>
      <w:snapToGrid w:val="0"/>
    </w:rPr>
  </w:style>
  <w:style w:type="paragraph" w:styleId="TOC2">
    <w:name w:val="toc 2"/>
    <w:basedOn w:val="BodyBase"/>
    <w:next w:val="TOC3"/>
    <w:semiHidden/>
    <w:rsid w:val="00EF01BD"/>
    <w:pPr>
      <w:tabs>
        <w:tab w:val="right" w:leader="dot" w:pos="9360"/>
      </w:tabs>
      <w:spacing w:line="240" w:lineRule="auto"/>
      <w:ind w:left="360"/>
    </w:pPr>
  </w:style>
  <w:style w:type="paragraph" w:styleId="TOC3">
    <w:name w:val="toc 3"/>
    <w:basedOn w:val="BodyBase"/>
    <w:next w:val="TOC4"/>
    <w:semiHidden/>
    <w:rsid w:val="00EF01BD"/>
    <w:pPr>
      <w:tabs>
        <w:tab w:val="right" w:leader="dot" w:pos="9360"/>
      </w:tabs>
      <w:spacing w:line="240" w:lineRule="auto"/>
      <w:ind w:left="720"/>
    </w:pPr>
  </w:style>
  <w:style w:type="paragraph" w:styleId="TOC4">
    <w:name w:val="toc 4"/>
    <w:basedOn w:val="BodyBase"/>
    <w:next w:val="Body"/>
    <w:semiHidden/>
    <w:rsid w:val="00EF01BD"/>
    <w:pPr>
      <w:tabs>
        <w:tab w:val="right" w:leader="dot" w:pos="9360"/>
      </w:tabs>
      <w:spacing w:line="240" w:lineRule="auto"/>
      <w:ind w:left="1080"/>
    </w:pPr>
  </w:style>
  <w:style w:type="paragraph" w:styleId="Index1">
    <w:name w:val="index 1"/>
    <w:basedOn w:val="BodyBase"/>
    <w:next w:val="Body"/>
    <w:autoRedefine/>
    <w:semiHidden/>
    <w:rsid w:val="00EF01BD"/>
    <w:pPr>
      <w:tabs>
        <w:tab w:val="right" w:leader="dot" w:pos="9360"/>
      </w:tabs>
      <w:suppressAutoHyphens/>
      <w:spacing w:line="240" w:lineRule="auto"/>
      <w:ind w:left="1440" w:right="720" w:hanging="1440"/>
    </w:pPr>
    <w:rPr>
      <w:snapToGrid w:val="0"/>
    </w:rPr>
  </w:style>
  <w:style w:type="paragraph" w:styleId="Index2">
    <w:name w:val="index 2"/>
    <w:basedOn w:val="BodyBase"/>
    <w:next w:val="Body"/>
    <w:autoRedefine/>
    <w:semiHidden/>
    <w:rsid w:val="00EF01BD"/>
    <w:pPr>
      <w:tabs>
        <w:tab w:val="right" w:leader="dot" w:pos="9360"/>
      </w:tabs>
      <w:suppressAutoHyphens/>
      <w:spacing w:line="240" w:lineRule="auto"/>
      <w:ind w:left="1440" w:right="720" w:hanging="720"/>
    </w:pPr>
    <w:rPr>
      <w:snapToGrid w:val="0"/>
    </w:rPr>
  </w:style>
  <w:style w:type="paragraph" w:customStyle="1" w:styleId="Vitabodybase">
    <w:name w:val="Vita body base"/>
    <w:rsid w:val="00EF01BD"/>
    <w:pPr>
      <w:spacing w:line="360" w:lineRule="auto"/>
    </w:pPr>
    <w:rPr>
      <w:rFonts w:ascii="Arial" w:eastAsia="Times New Roman" w:hAnsi="Arial"/>
      <w:sz w:val="24"/>
    </w:rPr>
  </w:style>
  <w:style w:type="paragraph" w:customStyle="1" w:styleId="ReferenceListText">
    <w:name w:val="Reference List Text"/>
    <w:basedOn w:val="BodyBase"/>
    <w:rsid w:val="00EF01BD"/>
    <w:pPr>
      <w:keepLines/>
      <w:widowControl w:val="0"/>
      <w:suppressAutoHyphens/>
      <w:spacing w:before="120" w:after="120"/>
      <w:ind w:left="720" w:hanging="720"/>
    </w:pPr>
  </w:style>
  <w:style w:type="paragraph" w:customStyle="1" w:styleId="CoverText10pt">
    <w:name w:val="Cover Text 10 pt"/>
    <w:basedOn w:val="BodyBase"/>
    <w:rsid w:val="00EF01BD"/>
    <w:pPr>
      <w:spacing w:line="240" w:lineRule="auto"/>
      <w:jc w:val="right"/>
    </w:pPr>
    <w:rPr>
      <w:sz w:val="20"/>
    </w:rPr>
  </w:style>
  <w:style w:type="paragraph" w:customStyle="1" w:styleId="CoverTitle">
    <w:name w:val="Cover Title"/>
    <w:basedOn w:val="BodyBase"/>
    <w:next w:val="CoverSubtitle"/>
    <w:rsid w:val="00EF01BD"/>
    <w:pPr>
      <w:spacing w:line="240" w:lineRule="auto"/>
    </w:pPr>
    <w:rPr>
      <w:b/>
      <w:sz w:val="36"/>
    </w:rPr>
  </w:style>
  <w:style w:type="paragraph" w:customStyle="1" w:styleId="CoverSubtitle">
    <w:name w:val="Cover Subtitle"/>
    <w:basedOn w:val="BodyBase"/>
    <w:rsid w:val="00EF01BD"/>
    <w:pPr>
      <w:spacing w:line="240" w:lineRule="auto"/>
    </w:pPr>
    <w:rPr>
      <w:i/>
      <w:sz w:val="28"/>
    </w:rPr>
  </w:style>
  <w:style w:type="paragraph" w:customStyle="1" w:styleId="TableNote">
    <w:name w:val="Table Note"/>
    <w:basedOn w:val="TableBase"/>
    <w:next w:val="Body"/>
    <w:rsid w:val="00EF01BD"/>
    <w:pPr>
      <w:widowControl w:val="0"/>
      <w:spacing w:before="20" w:after="360"/>
    </w:pPr>
    <w:rPr>
      <w:sz w:val="18"/>
    </w:rPr>
  </w:style>
  <w:style w:type="paragraph" w:customStyle="1" w:styleId="InsideTitle">
    <w:name w:val="Inside Title"/>
    <w:basedOn w:val="BodyBase"/>
    <w:next w:val="InsideSubtitle"/>
    <w:rsid w:val="00EF01BD"/>
    <w:pPr>
      <w:pBdr>
        <w:top w:val="single" w:sz="48" w:space="8" w:color="auto"/>
      </w:pBdr>
      <w:spacing w:before="240" w:after="240" w:line="240" w:lineRule="auto"/>
      <w:jc w:val="center"/>
    </w:pPr>
    <w:rPr>
      <w:b/>
      <w:kern w:val="28"/>
      <w:sz w:val="32"/>
    </w:rPr>
  </w:style>
  <w:style w:type="paragraph" w:customStyle="1" w:styleId="InsideSubtitle">
    <w:name w:val="Inside Subtitle"/>
    <w:basedOn w:val="BodyBase"/>
    <w:next w:val="InsideCoverText"/>
    <w:rsid w:val="00EF01BD"/>
    <w:pPr>
      <w:spacing w:line="240" w:lineRule="auto"/>
      <w:jc w:val="center"/>
    </w:pPr>
    <w:rPr>
      <w:i/>
      <w:sz w:val="28"/>
    </w:rPr>
  </w:style>
  <w:style w:type="paragraph" w:customStyle="1" w:styleId="InsideCoverText">
    <w:name w:val="Inside Cover Text"/>
    <w:basedOn w:val="BodyBase"/>
    <w:rsid w:val="00EF01BD"/>
    <w:pPr>
      <w:spacing w:line="240" w:lineRule="auto"/>
      <w:jc w:val="center"/>
    </w:pPr>
  </w:style>
  <w:style w:type="character" w:customStyle="1" w:styleId="Bold">
    <w:name w:val="Bold"/>
    <w:rsid w:val="00EF01BD"/>
    <w:rPr>
      <w:b/>
    </w:rPr>
  </w:style>
  <w:style w:type="paragraph" w:customStyle="1" w:styleId="EmphasisBlock">
    <w:name w:val="Emphasis Block"/>
    <w:basedOn w:val="BodyBase"/>
    <w:next w:val="Body"/>
    <w:rsid w:val="00EF01BD"/>
    <w:pPr>
      <w:pBdr>
        <w:left w:val="single" w:sz="48" w:space="4" w:color="auto"/>
      </w:pBdr>
      <w:spacing w:before="120" w:after="120"/>
      <w:ind w:left="720"/>
    </w:pPr>
    <w:rPr>
      <w:i/>
    </w:rPr>
  </w:style>
  <w:style w:type="paragraph" w:customStyle="1" w:styleId="AppendixCover">
    <w:name w:val="Appendix Cover"/>
    <w:basedOn w:val="HeadingBase"/>
    <w:next w:val="Body"/>
    <w:rsid w:val="00EF01BD"/>
    <w:pPr>
      <w:pBdr>
        <w:bottom w:val="single" w:sz="48" w:space="12" w:color="auto"/>
      </w:pBdr>
      <w:spacing w:before="960" w:after="240"/>
      <w:jc w:val="right"/>
      <w:outlineLvl w:val="0"/>
    </w:pPr>
    <w:rPr>
      <w:b/>
      <w:sz w:val="36"/>
    </w:rPr>
  </w:style>
  <w:style w:type="character" w:customStyle="1" w:styleId="Italics">
    <w:name w:val="Italics"/>
    <w:rsid w:val="00EF01BD"/>
    <w:rPr>
      <w:i/>
    </w:rPr>
  </w:style>
  <w:style w:type="paragraph" w:customStyle="1" w:styleId="ContentsLabel">
    <w:name w:val="Contents Label"/>
    <w:basedOn w:val="HeadingBase"/>
    <w:next w:val="Body"/>
    <w:rsid w:val="00EF01BD"/>
    <w:pPr>
      <w:pBdr>
        <w:bottom w:val="single" w:sz="48" w:space="12" w:color="auto"/>
      </w:pBdr>
      <w:spacing w:after="240"/>
      <w:jc w:val="right"/>
    </w:pPr>
    <w:rPr>
      <w:b/>
      <w:sz w:val="36"/>
    </w:rPr>
  </w:style>
  <w:style w:type="paragraph" w:customStyle="1" w:styleId="CoverText">
    <w:name w:val="Cover Text"/>
    <w:basedOn w:val="BodyBase"/>
    <w:rsid w:val="00EF01BD"/>
    <w:pPr>
      <w:spacing w:before="60" w:line="240" w:lineRule="auto"/>
      <w:jc w:val="right"/>
    </w:pPr>
  </w:style>
  <w:style w:type="paragraph" w:customStyle="1" w:styleId="TableTextCenter">
    <w:name w:val="Table Text Center"/>
    <w:basedOn w:val="TableBase"/>
    <w:rsid w:val="00EF01BD"/>
    <w:pPr>
      <w:spacing w:before="60" w:after="60"/>
      <w:jc w:val="center"/>
    </w:pPr>
  </w:style>
  <w:style w:type="paragraph" w:customStyle="1" w:styleId="TableHeadLeft">
    <w:name w:val="Table Head Left"/>
    <w:basedOn w:val="TableBase"/>
    <w:next w:val="TableText"/>
    <w:rsid w:val="00EF01BD"/>
    <w:pPr>
      <w:spacing w:before="80" w:after="80"/>
    </w:pPr>
    <w:rPr>
      <w:rFonts w:ascii="Times New Roman" w:hAnsi="Times New Roman"/>
      <w:b/>
      <w:i/>
      <w:sz w:val="21"/>
    </w:rPr>
  </w:style>
  <w:style w:type="paragraph" w:customStyle="1" w:styleId="AppendixHeading1">
    <w:name w:val="Appendix Heading 1"/>
    <w:basedOn w:val="HeadingBase"/>
    <w:next w:val="Body"/>
    <w:rsid w:val="00EF01BD"/>
    <w:pPr>
      <w:pageBreakBefore/>
      <w:pBdr>
        <w:bottom w:val="single" w:sz="48" w:space="12" w:color="auto"/>
      </w:pBdr>
      <w:spacing w:after="240"/>
      <w:jc w:val="right"/>
    </w:pPr>
    <w:rPr>
      <w:b/>
      <w:sz w:val="36"/>
    </w:rPr>
  </w:style>
  <w:style w:type="paragraph" w:styleId="TableofFigures">
    <w:name w:val="table of figures"/>
    <w:basedOn w:val="BodyBase"/>
    <w:semiHidden/>
    <w:rsid w:val="00EF01BD"/>
    <w:pPr>
      <w:tabs>
        <w:tab w:val="left" w:pos="1238"/>
        <w:tab w:val="right" w:leader="dot" w:pos="9360"/>
      </w:tabs>
      <w:spacing w:before="60" w:after="60" w:line="240" w:lineRule="auto"/>
      <w:ind w:left="1310" w:hanging="1310"/>
    </w:pPr>
  </w:style>
  <w:style w:type="paragraph" w:customStyle="1" w:styleId="AppendixHeading2">
    <w:name w:val="Appendix Heading 2"/>
    <w:basedOn w:val="HeadingBase"/>
    <w:next w:val="Body"/>
    <w:rsid w:val="00EF01BD"/>
    <w:pPr>
      <w:spacing w:before="240" w:after="120"/>
    </w:pPr>
    <w:rPr>
      <w:b/>
      <w:sz w:val="28"/>
    </w:rPr>
  </w:style>
  <w:style w:type="paragraph" w:customStyle="1" w:styleId="AppendixExhibit">
    <w:name w:val="Appendix Exhibit"/>
    <w:basedOn w:val="HeadingBase"/>
    <w:next w:val="ExtraBlankLine"/>
    <w:rsid w:val="00EF01BD"/>
    <w:pPr>
      <w:tabs>
        <w:tab w:val="center" w:pos="4766"/>
      </w:tabs>
      <w:spacing w:before="240" w:after="240"/>
      <w:jc w:val="center"/>
    </w:pPr>
    <w:rPr>
      <w:b/>
    </w:rPr>
  </w:style>
  <w:style w:type="paragraph" w:customStyle="1" w:styleId="TableBullet">
    <w:name w:val="Table Bullet"/>
    <w:basedOn w:val="TableBase"/>
    <w:rsid w:val="00EF01BD"/>
    <w:pPr>
      <w:numPr>
        <w:numId w:val="1"/>
      </w:numPr>
      <w:tabs>
        <w:tab w:val="clear" w:pos="360"/>
        <w:tab w:val="left" w:pos="216"/>
      </w:tabs>
      <w:spacing w:before="60" w:after="60"/>
      <w:ind w:left="432"/>
    </w:pPr>
    <w:rPr>
      <w:rFonts w:ascii="Times New Roman" w:hAnsi="Times New Roman"/>
      <w:sz w:val="21"/>
    </w:rPr>
  </w:style>
  <w:style w:type="paragraph" w:customStyle="1" w:styleId="TableNumberedList">
    <w:name w:val="Table Numbered List"/>
    <w:basedOn w:val="TableBase"/>
    <w:rsid w:val="00EF01BD"/>
    <w:pPr>
      <w:numPr>
        <w:numId w:val="2"/>
      </w:numPr>
      <w:spacing w:before="60" w:after="60"/>
    </w:pPr>
  </w:style>
  <w:style w:type="paragraph" w:customStyle="1" w:styleId="Exhibitcontinued">
    <w:name w:val="Exhibit (continued)"/>
    <w:basedOn w:val="HeadingBase"/>
    <w:next w:val="ExtraBlankLine"/>
    <w:rsid w:val="00EF01BD"/>
    <w:pPr>
      <w:spacing w:before="120" w:after="120"/>
    </w:pPr>
    <w:rPr>
      <w:b/>
    </w:rPr>
  </w:style>
  <w:style w:type="paragraph" w:customStyle="1" w:styleId="exhibitcontinues">
    <w:name w:val="exhibit continues"/>
    <w:basedOn w:val="TableBase"/>
    <w:next w:val="Body"/>
    <w:rsid w:val="00EF01BD"/>
    <w:pPr>
      <w:jc w:val="right"/>
    </w:pPr>
    <w:rPr>
      <w:i/>
    </w:rPr>
  </w:style>
  <w:style w:type="character" w:customStyle="1" w:styleId="BoldItalics">
    <w:name w:val="Bold/Italics"/>
    <w:rsid w:val="00EF01BD"/>
    <w:rPr>
      <w:b/>
      <w:i/>
    </w:rPr>
  </w:style>
  <w:style w:type="paragraph" w:styleId="CommentSubject">
    <w:name w:val="annotation subject"/>
    <w:basedOn w:val="CommentText"/>
    <w:next w:val="CommentText"/>
    <w:semiHidden/>
    <w:rsid w:val="00EF01BD"/>
    <w:rPr>
      <w:b/>
      <w:bCs/>
    </w:rPr>
  </w:style>
  <w:style w:type="character" w:styleId="PageNumber">
    <w:name w:val="page number"/>
    <w:basedOn w:val="DefaultParagraphFont"/>
    <w:semiHidden/>
    <w:rsid w:val="00EF01BD"/>
  </w:style>
  <w:style w:type="character" w:styleId="Hyperlink">
    <w:name w:val="Hyperlink"/>
    <w:basedOn w:val="DefaultParagraphFont"/>
    <w:semiHidden/>
    <w:rsid w:val="00EF01BD"/>
    <w:rPr>
      <w:color w:val="0000FF"/>
      <w:u w:val="single"/>
    </w:rPr>
  </w:style>
  <w:style w:type="paragraph" w:styleId="BodyText">
    <w:name w:val="Body Text"/>
    <w:basedOn w:val="Normal"/>
    <w:semiHidden/>
    <w:rsid w:val="00EF01BD"/>
    <w:rPr>
      <w:sz w:val="22"/>
    </w:rPr>
  </w:style>
  <w:style w:type="paragraph" w:customStyle="1" w:styleId="SummaryHeading">
    <w:name w:val="Summary Heading"/>
    <w:basedOn w:val="Exhibit"/>
    <w:rsid w:val="00EF01BD"/>
    <w:pPr>
      <w:spacing w:before="120"/>
      <w:jc w:val="center"/>
    </w:pPr>
    <w:rPr>
      <w:rFonts w:ascii="Times New Roman" w:hAnsi="Times New Roman"/>
      <w:i/>
      <w:sz w:val="26"/>
    </w:rPr>
  </w:style>
  <w:style w:type="paragraph" w:customStyle="1" w:styleId="TableTextIndented">
    <w:name w:val="Table Text Indented"/>
    <w:basedOn w:val="Normal"/>
    <w:rsid w:val="00EF01BD"/>
    <w:pPr>
      <w:spacing w:before="80" w:after="80"/>
      <w:ind w:left="360"/>
    </w:pPr>
    <w:rPr>
      <w:rFonts w:ascii="Times New Roman" w:hAnsi="Times New Roman"/>
      <w:sz w:val="20"/>
    </w:rPr>
  </w:style>
  <w:style w:type="character" w:styleId="CommentReference">
    <w:name w:val="annotation reference"/>
    <w:basedOn w:val="DefaultParagraphFont"/>
    <w:semiHidden/>
    <w:rsid w:val="00EF01BD"/>
    <w:rPr>
      <w:sz w:val="16"/>
      <w:szCs w:val="16"/>
    </w:rPr>
  </w:style>
  <w:style w:type="paragraph" w:styleId="CommentText">
    <w:name w:val="annotation text"/>
    <w:basedOn w:val="Normal"/>
    <w:semiHidden/>
    <w:rsid w:val="00EF01BD"/>
    <w:rPr>
      <w:sz w:val="20"/>
      <w:szCs w:val="20"/>
    </w:rPr>
  </w:style>
  <w:style w:type="paragraph" w:styleId="BalloonText">
    <w:name w:val="Balloon Text"/>
    <w:basedOn w:val="Normal"/>
    <w:semiHidden/>
    <w:rsid w:val="00EF01BD"/>
    <w:rPr>
      <w:rFonts w:ascii="Tahoma" w:hAnsi="Tahoma" w:cs="Tahoma"/>
      <w:sz w:val="16"/>
      <w:szCs w:val="16"/>
    </w:rPr>
  </w:style>
  <w:style w:type="character" w:customStyle="1" w:styleId="MTEquationSection">
    <w:name w:val="MTEquationSection"/>
    <w:basedOn w:val="DefaultParagraphFont"/>
    <w:rsid w:val="00EF01BD"/>
    <w:rPr>
      <w:vanish w:val="0"/>
      <w:color w:val="FF0000"/>
    </w:rPr>
  </w:style>
  <w:style w:type="paragraph" w:customStyle="1" w:styleId="body0">
    <w:name w:val="body"/>
    <w:basedOn w:val="Normal"/>
    <w:rsid w:val="00EF01BD"/>
    <w:pPr>
      <w:spacing w:before="100" w:beforeAutospacing="1" w:after="100" w:afterAutospacing="1"/>
    </w:pPr>
    <w:rPr>
      <w:rFonts w:ascii="Arial Unicode MS" w:eastAsia="Arial Unicode MS" w:hAnsi="Arial Unicode MS" w:cs="Arial Unicode MS"/>
    </w:rPr>
  </w:style>
  <w:style w:type="paragraph" w:customStyle="1" w:styleId="MarkforAppendixHeadingBlack">
    <w:name w:val="Mark for Appendix Heading_Black"/>
    <w:basedOn w:val="Normal"/>
    <w:next w:val="Normal"/>
    <w:qFormat/>
    <w:rsid w:val="00E1082A"/>
    <w:pPr>
      <w:tabs>
        <w:tab w:val="left" w:pos="432"/>
      </w:tabs>
      <w:spacing w:line="480" w:lineRule="auto"/>
      <w:jc w:val="center"/>
    </w:pPr>
    <w:rPr>
      <w:rFonts w:ascii="Lucida Sans" w:hAnsi="Lucida Sans"/>
      <w:b/>
      <w:caps/>
    </w:rPr>
  </w:style>
  <w:style w:type="character" w:customStyle="1" w:styleId="HeaderChar">
    <w:name w:val="Header Char"/>
    <w:basedOn w:val="DefaultParagraphFont"/>
    <w:link w:val="Header"/>
    <w:semiHidden/>
    <w:rsid w:val="0094021A"/>
    <w:rPr>
      <w:rFonts w:ascii="Arial" w:eastAsia="Times New Roman" w:hAnsi="Arial"/>
      <w:i/>
      <w:sz w:val="18"/>
    </w:rPr>
  </w:style>
  <w:style w:type="character" w:customStyle="1" w:styleId="FooterChar">
    <w:name w:val="Footer Char"/>
    <w:basedOn w:val="DefaultParagraphFont"/>
    <w:link w:val="Footer"/>
    <w:uiPriority w:val="99"/>
    <w:rsid w:val="0094021A"/>
    <w:rPr>
      <w:rFonts w:ascii="Arial" w:eastAsia="Times New Roman" w:hAnsi="Arial"/>
      <w:sz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thomas.wei@ed.gov" TargetMode="Externa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james-burdumy@mathematica-mpr.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S:\RMC\Templates\RMC%20Templates\RMC%20Report%20&amp;%20Propos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8E32F6-4156-4071-B81F-FC9670E83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RMC Report &amp; Proposal</Template>
  <TotalTime>0</TotalTime>
  <Pages>3</Pages>
  <Words>678</Words>
  <Characters>3871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Title</vt:lpstr>
    </vt:vector>
  </TitlesOfParts>
  <Company>RMC Research Corporation</Company>
  <LinksUpToDate>false</LinksUpToDate>
  <CharactersWithSpaces>4540</CharactersWithSpaces>
  <SharedDoc>false</SharedDoc>
  <HLinks>
    <vt:vector size="6" baseType="variant">
      <vt:variant>
        <vt:i4>7012427</vt:i4>
      </vt:variant>
      <vt:variant>
        <vt:i4>0</vt:i4>
      </vt:variant>
      <vt:variant>
        <vt:i4>0</vt:i4>
      </vt:variant>
      <vt:variant>
        <vt:i4>5</vt:i4>
      </vt:variant>
      <vt:variant>
        <vt:lpwstr>mailto:sjames-burdumy@mathematica-mpr.com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reception</dc:creator>
  <cp:lastModifiedBy>Authorised User</cp:lastModifiedBy>
  <cp:revision>4</cp:revision>
  <cp:lastPrinted>2010-10-21T13:58:00Z</cp:lastPrinted>
  <dcterms:created xsi:type="dcterms:W3CDTF">2011-06-17T18:34:00Z</dcterms:created>
  <dcterms:modified xsi:type="dcterms:W3CDTF">2011-06-20T20:12:00Z</dcterms:modified>
</cp:coreProperties>
</file>