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6A" w:rsidRDefault="00DF518E">
      <w:r>
        <w:t>March 2, 2011</w:t>
      </w:r>
    </w:p>
    <w:p w:rsidR="00DF518E" w:rsidRDefault="00DF518E"/>
    <w:p w:rsidR="00DF518E" w:rsidRDefault="00DF518E">
      <w:r>
        <w:t>OMB Control Number:  3060-0855</w:t>
      </w:r>
    </w:p>
    <w:p w:rsidR="00DF518E" w:rsidRDefault="00DF518E">
      <w:r>
        <w:t>Non-substantive change/non-material change request.</w:t>
      </w:r>
    </w:p>
    <w:p w:rsidR="00DF518E" w:rsidRDefault="00DF518E"/>
    <w:p w:rsidR="00DF518E" w:rsidRDefault="00DF518E">
      <w:r>
        <w:t xml:space="preserve">The Commission has updated the FCC Form 499A that involves email addresses.   The Commission has added Line 208.1 which requests an email address for ITSP regulatory fee purposes.   </w:t>
      </w:r>
    </w:p>
    <w:p w:rsidR="00DF518E" w:rsidRPr="00DF518E" w:rsidRDefault="00DF518E">
      <w:r>
        <w:t xml:space="preserve">The Commission also extensively reorganized the instructions.   However, no substantive changes have been made to the instructions.    Specifically, we revised the formatting throughout for consistency of presentation and readability, consolidated the contact information and how-to-file information into single sections, moved the table used to determine whether a filer was </w:t>
      </w:r>
      <w:r>
        <w:rPr>
          <w:i/>
        </w:rPr>
        <w:t xml:space="preserve">de </w:t>
      </w:r>
      <w:proofErr w:type="spellStart"/>
      <w:r>
        <w:rPr>
          <w:i/>
        </w:rPr>
        <w:t>minimus</w:t>
      </w:r>
      <w:proofErr w:type="spellEnd"/>
      <w:r>
        <w:rPr>
          <w:i/>
        </w:rPr>
        <w:t xml:space="preserve"> </w:t>
      </w:r>
      <w:r>
        <w:t xml:space="preserve">for universal service purposes to Appendix A and adjusted the factors used therein to estimate whether a filer will be </w:t>
      </w:r>
      <w:r>
        <w:rPr>
          <w:i/>
        </w:rPr>
        <w:t xml:space="preserve">de </w:t>
      </w:r>
      <w:proofErr w:type="spellStart"/>
      <w:r>
        <w:rPr>
          <w:i/>
        </w:rPr>
        <w:t>minimus</w:t>
      </w:r>
      <w:proofErr w:type="spellEnd"/>
      <w:r>
        <w:rPr>
          <w:i/>
        </w:rPr>
        <w:t xml:space="preserve"> </w:t>
      </w:r>
      <w:r>
        <w:t>in 2011, moved the list of Line 105 categories (describing the filer’s principal telecommunications activities) into Appendix B, noted that email addresses are generally required so</w:t>
      </w:r>
      <w:r w:rsidR="000225F8">
        <w:t xml:space="preserve"> </w:t>
      </w:r>
      <w:r>
        <w:t>that the Commission and the administrators may contact filers electronically and that filers must now use Line 208.1 of the Form to specify a contact email address for ITSP regulatory fee purposes, reorganized the sections discussing reporting revenues in Blocks 3 and 4 so that it par</w:t>
      </w:r>
      <w:r w:rsidR="000225F8">
        <w:t>allels the steps that filers typically take when filing out the form to report revenues, consolidated the discussion of specific line revenues for ease of reference, referred to filers consistently as “filers” rather than as “contributors” or “reporting entities” in some places, deleted information of historical value but unnecessary for reporting purposes, and updated references to precedent as appropriate to better track the language in relevant Commission precedent.</w:t>
      </w:r>
      <w:bookmarkStart w:id="0" w:name="_GoBack"/>
      <w:bookmarkEnd w:id="0"/>
    </w:p>
    <w:sectPr w:rsidR="00DF518E" w:rsidRPr="00DF5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8E"/>
    <w:rsid w:val="000225F8"/>
    <w:rsid w:val="00B3476A"/>
    <w:rsid w:val="00DF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judith</cp:lastModifiedBy>
  <cp:revision>1</cp:revision>
  <dcterms:created xsi:type="dcterms:W3CDTF">2011-03-02T17:44:00Z</dcterms:created>
  <dcterms:modified xsi:type="dcterms:W3CDTF">2011-03-02T17:58:00Z</dcterms:modified>
</cp:coreProperties>
</file>