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0B" w:rsidRPr="00CA02BF" w:rsidRDefault="00F0420B" w:rsidP="00F0420B">
      <w:pPr>
        <w:jc w:val="center"/>
        <w:rPr>
          <w:sz w:val="32"/>
          <w:szCs w:val="32"/>
        </w:rPr>
      </w:pPr>
      <w:bookmarkStart w:id="0" w:name="OLE_LINK1"/>
      <w:bookmarkStart w:id="1" w:name="OLE_LINK2"/>
      <w:r w:rsidRPr="00CA02BF">
        <w:rPr>
          <w:sz w:val="32"/>
          <w:szCs w:val="32"/>
        </w:rPr>
        <w:t xml:space="preserve">Supporting Statement </w:t>
      </w:r>
      <w:r w:rsidR="000962DF">
        <w:rPr>
          <w:sz w:val="32"/>
          <w:szCs w:val="32"/>
        </w:rPr>
        <w:t>B</w:t>
      </w:r>
      <w:r w:rsidRPr="00CA02BF">
        <w:rPr>
          <w:sz w:val="32"/>
          <w:szCs w:val="32"/>
        </w:rPr>
        <w:t xml:space="preserve"> for</w:t>
      </w:r>
    </w:p>
    <w:p w:rsidR="00F0420B" w:rsidRDefault="00F0420B" w:rsidP="00F0420B">
      <w:pPr>
        <w:ind w:left="1440" w:firstLine="720"/>
        <w:rPr>
          <w:sz w:val="28"/>
          <w:szCs w:val="28"/>
        </w:rPr>
      </w:pP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p>
    <w:p w:rsidR="00F0420B" w:rsidRDefault="00F0420B" w:rsidP="00F0420B">
      <w:pPr>
        <w:ind w:left="1440" w:firstLine="720"/>
        <w:rPr>
          <w:sz w:val="28"/>
          <w:szCs w:val="28"/>
        </w:rPr>
      </w:pPr>
    </w:p>
    <w:p w:rsidR="00F0420B" w:rsidRPr="000F5B86" w:rsidRDefault="00F0420B" w:rsidP="00F0420B">
      <w:pPr>
        <w:spacing w:line="480" w:lineRule="auto"/>
        <w:jc w:val="center"/>
        <w:rPr>
          <w:b/>
          <w:sz w:val="28"/>
          <w:szCs w:val="28"/>
        </w:rPr>
      </w:pPr>
      <w:r>
        <w:rPr>
          <w:sz w:val="28"/>
          <w:szCs w:val="28"/>
        </w:rPr>
        <w:t xml:space="preserve">       </w:t>
      </w:r>
      <w:r w:rsidR="00552EC6">
        <w:rPr>
          <w:b/>
          <w:sz w:val="24"/>
          <w:szCs w:val="24"/>
        </w:rPr>
        <w:t>Survey of Principal Investigators on Earthquake Engineering Research Awards Made by</w:t>
      </w:r>
      <w:r w:rsidR="00552EC6" w:rsidRPr="004849AB">
        <w:rPr>
          <w:b/>
          <w:sz w:val="24"/>
          <w:szCs w:val="24"/>
        </w:rPr>
        <w:t xml:space="preserve"> the </w:t>
      </w:r>
      <w:r w:rsidR="00552EC6">
        <w:rPr>
          <w:b/>
          <w:sz w:val="24"/>
        </w:rPr>
        <w:t>National Science Foundation, 2003-2009</w:t>
      </w: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r>
        <w:rPr>
          <w:sz w:val="32"/>
          <w:szCs w:val="32"/>
        </w:rPr>
        <w:t xml:space="preserve">                      Date: </w:t>
      </w:r>
      <w:r w:rsidR="0034307B">
        <w:rPr>
          <w:sz w:val="32"/>
          <w:szCs w:val="32"/>
        </w:rPr>
        <w:t>June 7</w:t>
      </w:r>
      <w:r>
        <w:rPr>
          <w:sz w:val="32"/>
          <w:szCs w:val="32"/>
        </w:rPr>
        <w:t>, 201</w:t>
      </w:r>
      <w:r w:rsidR="006352C0">
        <w:rPr>
          <w:sz w:val="32"/>
          <w:szCs w:val="32"/>
        </w:rPr>
        <w:t>1</w:t>
      </w:r>
    </w:p>
    <w:p w:rsidR="00F0420B" w:rsidRDefault="00F0420B" w:rsidP="00F0420B">
      <w:pPr>
        <w:ind w:left="1440" w:firstLine="720"/>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C70D11" w:rsidRPr="00AB012F" w:rsidRDefault="00C70D11" w:rsidP="00C70D11">
      <w:pPr>
        <w:rPr>
          <w:sz w:val="24"/>
          <w:szCs w:val="24"/>
        </w:rPr>
      </w:pPr>
      <w:r w:rsidRPr="00AB012F">
        <w:rPr>
          <w:sz w:val="32"/>
          <w:szCs w:val="32"/>
        </w:rPr>
        <w:t xml:space="preserve">Name: </w:t>
      </w:r>
      <w:r w:rsidRPr="00AB012F">
        <w:rPr>
          <w:sz w:val="24"/>
          <w:szCs w:val="24"/>
        </w:rPr>
        <w:t xml:space="preserve">Dr. Joy </w:t>
      </w:r>
      <w:proofErr w:type="spellStart"/>
      <w:r w:rsidRPr="00AB012F">
        <w:rPr>
          <w:sz w:val="24"/>
          <w:szCs w:val="24"/>
        </w:rPr>
        <w:t>Pauschke</w:t>
      </w:r>
      <w:proofErr w:type="spellEnd"/>
    </w:p>
    <w:p w:rsidR="00C70D11" w:rsidRPr="00AB012F" w:rsidRDefault="00C70D11" w:rsidP="00C70D11">
      <w:pPr>
        <w:rPr>
          <w:sz w:val="32"/>
          <w:szCs w:val="32"/>
        </w:rPr>
      </w:pPr>
      <w:r w:rsidRPr="00AB012F">
        <w:rPr>
          <w:sz w:val="32"/>
          <w:szCs w:val="32"/>
        </w:rPr>
        <w:t xml:space="preserve">Address: </w:t>
      </w:r>
      <w:r w:rsidRPr="00AB012F">
        <w:rPr>
          <w:sz w:val="24"/>
        </w:rPr>
        <w:t>National Science Foundation, Suite 545, 4201 Wilson Blvd, Arlington, VA, 22230</w:t>
      </w:r>
    </w:p>
    <w:p w:rsidR="00C70D11" w:rsidRPr="00AB012F" w:rsidRDefault="00C70D11" w:rsidP="00C70D11">
      <w:pPr>
        <w:rPr>
          <w:sz w:val="32"/>
          <w:szCs w:val="32"/>
        </w:rPr>
      </w:pPr>
      <w:r w:rsidRPr="00AB012F">
        <w:rPr>
          <w:sz w:val="32"/>
          <w:szCs w:val="32"/>
        </w:rPr>
        <w:t xml:space="preserve">Telephone: </w:t>
      </w:r>
      <w:r w:rsidRPr="00AB012F">
        <w:rPr>
          <w:sz w:val="24"/>
        </w:rPr>
        <w:t>703-292-8360</w:t>
      </w:r>
    </w:p>
    <w:p w:rsidR="00C70D11" w:rsidRPr="00AB012F" w:rsidRDefault="00C70D11" w:rsidP="00C70D11">
      <w:pPr>
        <w:rPr>
          <w:sz w:val="32"/>
          <w:szCs w:val="32"/>
        </w:rPr>
      </w:pPr>
      <w:r w:rsidRPr="00AB012F">
        <w:rPr>
          <w:sz w:val="32"/>
          <w:szCs w:val="32"/>
        </w:rPr>
        <w:t>Fax:</w:t>
      </w:r>
    </w:p>
    <w:p w:rsidR="00C70D11" w:rsidRDefault="00C70D11" w:rsidP="00C70D11">
      <w:pPr>
        <w:rPr>
          <w:sz w:val="32"/>
          <w:szCs w:val="32"/>
        </w:rPr>
      </w:pPr>
      <w:r w:rsidRPr="00AB012F">
        <w:rPr>
          <w:sz w:val="32"/>
          <w:szCs w:val="32"/>
        </w:rPr>
        <w:t xml:space="preserve">Email: </w:t>
      </w:r>
      <w:r w:rsidRPr="00AB012F">
        <w:rPr>
          <w:sz w:val="24"/>
        </w:rPr>
        <w:t>jpauschk@nsf.gov</w:t>
      </w:r>
    </w:p>
    <w:p w:rsidR="00F0420B" w:rsidRDefault="00F0420B" w:rsidP="00F0420B">
      <w:pPr>
        <w:rPr>
          <w:sz w:val="32"/>
          <w:szCs w:val="32"/>
        </w:rPr>
      </w:pPr>
    </w:p>
    <w:p w:rsidR="00F0420B" w:rsidRDefault="00F0420B" w:rsidP="00F0420B">
      <w:pPr>
        <w:rPr>
          <w:sz w:val="32"/>
          <w:szCs w:val="32"/>
        </w:rPr>
      </w:pPr>
    </w:p>
    <w:p w:rsidR="00F0420B" w:rsidRDefault="00F0420B" w:rsidP="00F0420B">
      <w:pPr>
        <w:rPr>
          <w:sz w:val="32"/>
          <w:szCs w:val="32"/>
        </w:rPr>
      </w:pPr>
    </w:p>
    <w:p w:rsidR="00F0420B" w:rsidRDefault="00F0420B">
      <w:pPr>
        <w:widowControl/>
      </w:pPr>
      <w:r>
        <w:br w:type="page"/>
      </w:r>
    </w:p>
    <w:p w:rsidR="00F0420B" w:rsidRDefault="00F0420B" w:rsidP="00F0420B">
      <w:pPr>
        <w:rPr>
          <w:caps/>
          <w:noProof/>
        </w:rPr>
      </w:pPr>
    </w:p>
    <w:sdt>
      <w:sdtPr>
        <w:rPr>
          <w:rFonts w:ascii="Times New Roman" w:eastAsia="Times New Roman" w:hAnsi="Times New Roman" w:cs="Times New Roman"/>
          <w:b w:val="0"/>
          <w:bCs w:val="0"/>
          <w:snapToGrid w:val="0"/>
          <w:color w:val="auto"/>
          <w:sz w:val="24"/>
          <w:szCs w:val="24"/>
        </w:rPr>
        <w:id w:val="34760985"/>
        <w:docPartObj>
          <w:docPartGallery w:val="Table of Contents"/>
          <w:docPartUnique/>
        </w:docPartObj>
      </w:sdtPr>
      <w:sdtEndPr>
        <w:rPr>
          <w:sz w:val="20"/>
          <w:szCs w:val="20"/>
        </w:rPr>
      </w:sdtEndPr>
      <w:sdtContent>
        <w:p w:rsidR="00D37944" w:rsidRPr="00332F9A" w:rsidRDefault="00D37944">
          <w:pPr>
            <w:pStyle w:val="TOCHeading"/>
            <w:rPr>
              <w:sz w:val="24"/>
              <w:szCs w:val="24"/>
            </w:rPr>
          </w:pPr>
          <w:r w:rsidRPr="00332F9A">
            <w:rPr>
              <w:sz w:val="24"/>
              <w:szCs w:val="24"/>
            </w:rPr>
            <w:t>Contents</w:t>
          </w:r>
        </w:p>
        <w:p w:rsidR="00C60B1B" w:rsidRDefault="00B3781A">
          <w:pPr>
            <w:pStyle w:val="TOC1"/>
            <w:rPr>
              <w:rFonts w:asciiTheme="minorHAnsi" w:eastAsiaTheme="minorEastAsia" w:hAnsiTheme="minorHAnsi" w:cstheme="minorBidi"/>
              <w:b w:val="0"/>
              <w:caps w:val="0"/>
              <w:sz w:val="22"/>
              <w:szCs w:val="22"/>
            </w:rPr>
          </w:pPr>
          <w:r w:rsidRPr="00B3781A">
            <w:rPr>
              <w:sz w:val="18"/>
            </w:rPr>
            <w:fldChar w:fldCharType="begin"/>
          </w:r>
          <w:r w:rsidR="00D37944" w:rsidRPr="00200A60">
            <w:rPr>
              <w:sz w:val="18"/>
            </w:rPr>
            <w:instrText xml:space="preserve"> TOC \o "1-3" \h \z \u </w:instrText>
          </w:r>
          <w:r w:rsidRPr="00B3781A">
            <w:rPr>
              <w:sz w:val="18"/>
            </w:rPr>
            <w:fldChar w:fldCharType="separate"/>
          </w:r>
          <w:hyperlink w:anchor="_Toc283391173" w:history="1">
            <w:r w:rsidR="00C60B1B" w:rsidRPr="0098128B">
              <w:rPr>
                <w:rStyle w:val="Hyperlink"/>
              </w:rPr>
              <w:t>B.1. Respondent Universe and Sampling Methods</w:t>
            </w:r>
            <w:r w:rsidR="00C60B1B">
              <w:rPr>
                <w:webHidden/>
              </w:rPr>
              <w:tab/>
            </w:r>
            <w:r>
              <w:rPr>
                <w:webHidden/>
              </w:rPr>
              <w:fldChar w:fldCharType="begin"/>
            </w:r>
            <w:r w:rsidR="00C60B1B">
              <w:rPr>
                <w:webHidden/>
              </w:rPr>
              <w:instrText xml:space="preserve"> PAGEREF _Toc283391173 \h </w:instrText>
            </w:r>
            <w:r>
              <w:rPr>
                <w:webHidden/>
              </w:rPr>
            </w:r>
            <w:r>
              <w:rPr>
                <w:webHidden/>
              </w:rPr>
              <w:fldChar w:fldCharType="separate"/>
            </w:r>
            <w:r w:rsidR="004126B6">
              <w:rPr>
                <w:webHidden/>
              </w:rPr>
              <w:t>4</w:t>
            </w:r>
            <w:r>
              <w:rPr>
                <w:webHidden/>
              </w:rPr>
              <w:fldChar w:fldCharType="end"/>
            </w:r>
          </w:hyperlink>
        </w:p>
        <w:p w:rsidR="00C60B1B" w:rsidRDefault="00B3781A">
          <w:pPr>
            <w:pStyle w:val="TOC1"/>
            <w:rPr>
              <w:rFonts w:asciiTheme="minorHAnsi" w:eastAsiaTheme="minorEastAsia" w:hAnsiTheme="minorHAnsi" w:cstheme="minorBidi"/>
              <w:b w:val="0"/>
              <w:caps w:val="0"/>
              <w:sz w:val="22"/>
              <w:szCs w:val="22"/>
            </w:rPr>
          </w:pPr>
          <w:hyperlink w:anchor="_Toc283391174" w:history="1">
            <w:r w:rsidR="00C60B1B" w:rsidRPr="0098128B">
              <w:rPr>
                <w:rStyle w:val="Hyperlink"/>
              </w:rPr>
              <w:t>B. 2. Procedures for the Collection of Information</w:t>
            </w:r>
            <w:r w:rsidR="00C60B1B">
              <w:rPr>
                <w:webHidden/>
              </w:rPr>
              <w:tab/>
            </w:r>
            <w:r>
              <w:rPr>
                <w:webHidden/>
              </w:rPr>
              <w:fldChar w:fldCharType="begin"/>
            </w:r>
            <w:r w:rsidR="00C60B1B">
              <w:rPr>
                <w:webHidden/>
              </w:rPr>
              <w:instrText xml:space="preserve"> PAGEREF _Toc283391174 \h </w:instrText>
            </w:r>
            <w:r>
              <w:rPr>
                <w:webHidden/>
              </w:rPr>
            </w:r>
            <w:r>
              <w:rPr>
                <w:webHidden/>
              </w:rPr>
              <w:fldChar w:fldCharType="separate"/>
            </w:r>
            <w:r w:rsidR="004126B6">
              <w:rPr>
                <w:webHidden/>
              </w:rPr>
              <w:t>5</w:t>
            </w:r>
            <w:r>
              <w:rPr>
                <w:webHidden/>
              </w:rPr>
              <w:fldChar w:fldCharType="end"/>
            </w:r>
          </w:hyperlink>
        </w:p>
        <w:p w:rsidR="00C60B1B" w:rsidRDefault="00B3781A">
          <w:pPr>
            <w:pStyle w:val="TOC1"/>
            <w:rPr>
              <w:rFonts w:asciiTheme="minorHAnsi" w:eastAsiaTheme="minorEastAsia" w:hAnsiTheme="minorHAnsi" w:cstheme="minorBidi"/>
              <w:b w:val="0"/>
              <w:caps w:val="0"/>
              <w:sz w:val="22"/>
              <w:szCs w:val="22"/>
            </w:rPr>
          </w:pPr>
          <w:hyperlink w:anchor="_Toc283391175" w:history="1">
            <w:r w:rsidR="00C60B1B" w:rsidRPr="0098128B">
              <w:rPr>
                <w:rStyle w:val="Hyperlink"/>
              </w:rPr>
              <w:t>B.3. Methods to Maximize Response Rates</w:t>
            </w:r>
            <w:r w:rsidR="00C60B1B">
              <w:rPr>
                <w:webHidden/>
              </w:rPr>
              <w:tab/>
            </w:r>
            <w:r>
              <w:rPr>
                <w:webHidden/>
              </w:rPr>
              <w:fldChar w:fldCharType="begin"/>
            </w:r>
            <w:r w:rsidR="00C60B1B">
              <w:rPr>
                <w:webHidden/>
              </w:rPr>
              <w:instrText xml:space="preserve"> PAGEREF _Toc283391175 \h </w:instrText>
            </w:r>
            <w:r>
              <w:rPr>
                <w:webHidden/>
              </w:rPr>
            </w:r>
            <w:r>
              <w:rPr>
                <w:webHidden/>
              </w:rPr>
              <w:fldChar w:fldCharType="separate"/>
            </w:r>
            <w:r w:rsidR="004126B6">
              <w:rPr>
                <w:webHidden/>
              </w:rPr>
              <w:t>6</w:t>
            </w:r>
            <w:r>
              <w:rPr>
                <w:webHidden/>
              </w:rPr>
              <w:fldChar w:fldCharType="end"/>
            </w:r>
          </w:hyperlink>
        </w:p>
        <w:p w:rsidR="00C60B1B" w:rsidRDefault="00B3781A">
          <w:pPr>
            <w:pStyle w:val="TOC1"/>
            <w:rPr>
              <w:rFonts w:asciiTheme="minorHAnsi" w:eastAsiaTheme="minorEastAsia" w:hAnsiTheme="minorHAnsi" w:cstheme="minorBidi"/>
              <w:b w:val="0"/>
              <w:caps w:val="0"/>
              <w:sz w:val="22"/>
              <w:szCs w:val="22"/>
            </w:rPr>
          </w:pPr>
          <w:hyperlink w:anchor="_Toc283391176" w:history="1">
            <w:r w:rsidR="00C60B1B" w:rsidRPr="0098128B">
              <w:rPr>
                <w:rStyle w:val="Hyperlink"/>
              </w:rPr>
              <w:t>B.4. Test of Procedures or Methods to be Undertaken</w:t>
            </w:r>
            <w:r w:rsidR="00C60B1B">
              <w:rPr>
                <w:webHidden/>
              </w:rPr>
              <w:tab/>
            </w:r>
            <w:r>
              <w:rPr>
                <w:webHidden/>
              </w:rPr>
              <w:fldChar w:fldCharType="begin"/>
            </w:r>
            <w:r w:rsidR="00C60B1B">
              <w:rPr>
                <w:webHidden/>
              </w:rPr>
              <w:instrText xml:space="preserve"> PAGEREF _Toc283391176 \h </w:instrText>
            </w:r>
            <w:r>
              <w:rPr>
                <w:webHidden/>
              </w:rPr>
            </w:r>
            <w:r>
              <w:rPr>
                <w:webHidden/>
              </w:rPr>
              <w:fldChar w:fldCharType="separate"/>
            </w:r>
            <w:r w:rsidR="004126B6">
              <w:rPr>
                <w:webHidden/>
              </w:rPr>
              <w:t>7</w:t>
            </w:r>
            <w:r>
              <w:rPr>
                <w:webHidden/>
              </w:rPr>
              <w:fldChar w:fldCharType="end"/>
            </w:r>
          </w:hyperlink>
        </w:p>
        <w:p w:rsidR="00C60B1B" w:rsidRDefault="00B3781A">
          <w:pPr>
            <w:pStyle w:val="TOC1"/>
            <w:rPr>
              <w:rFonts w:asciiTheme="minorHAnsi" w:eastAsiaTheme="minorEastAsia" w:hAnsiTheme="minorHAnsi" w:cstheme="minorBidi"/>
              <w:b w:val="0"/>
              <w:caps w:val="0"/>
              <w:sz w:val="22"/>
              <w:szCs w:val="22"/>
            </w:rPr>
          </w:pPr>
          <w:hyperlink w:anchor="_Toc283391177" w:history="1">
            <w:r w:rsidR="00C60B1B" w:rsidRPr="0098128B">
              <w:rPr>
                <w:rStyle w:val="Hyperlink"/>
              </w:rPr>
              <w:t>B.5. Individual Consulted on Statistical Aspects and Individual Collecting and/or Analyzing Data</w:t>
            </w:r>
            <w:r w:rsidR="00C60B1B">
              <w:rPr>
                <w:webHidden/>
              </w:rPr>
              <w:tab/>
            </w:r>
            <w:r>
              <w:rPr>
                <w:webHidden/>
              </w:rPr>
              <w:fldChar w:fldCharType="begin"/>
            </w:r>
            <w:r w:rsidR="00C60B1B">
              <w:rPr>
                <w:webHidden/>
              </w:rPr>
              <w:instrText xml:space="preserve"> PAGEREF _Toc283391177 \h </w:instrText>
            </w:r>
            <w:r>
              <w:rPr>
                <w:webHidden/>
              </w:rPr>
            </w:r>
            <w:r>
              <w:rPr>
                <w:webHidden/>
              </w:rPr>
              <w:fldChar w:fldCharType="separate"/>
            </w:r>
            <w:r w:rsidR="004126B6">
              <w:rPr>
                <w:webHidden/>
              </w:rPr>
              <w:t>7</w:t>
            </w:r>
            <w:r>
              <w:rPr>
                <w:webHidden/>
              </w:rPr>
              <w:fldChar w:fldCharType="end"/>
            </w:r>
          </w:hyperlink>
        </w:p>
        <w:p w:rsidR="00D37944" w:rsidRDefault="00B3781A">
          <w:r w:rsidRPr="00200A60">
            <w:rPr>
              <w:sz w:val="14"/>
            </w:rPr>
            <w:fldChar w:fldCharType="end"/>
          </w:r>
        </w:p>
      </w:sdtContent>
    </w:sdt>
    <w:p w:rsidR="00D37944" w:rsidRDefault="00D37944">
      <w:pPr>
        <w:widowControl/>
        <w:rPr>
          <w:caps/>
          <w:noProof/>
        </w:rPr>
      </w:pPr>
      <w:r>
        <w:rPr>
          <w:caps/>
          <w:noProof/>
        </w:rPr>
        <w:br w:type="page"/>
      </w:r>
    </w:p>
    <w:p w:rsidR="00F0420B" w:rsidRPr="000B3AD1" w:rsidRDefault="00D37944" w:rsidP="00F0420B">
      <w:pPr>
        <w:rPr>
          <w:rFonts w:asciiTheme="majorHAnsi" w:hAnsiTheme="majorHAnsi"/>
          <w:b/>
          <w:caps/>
          <w:noProof/>
          <w:color w:val="4F81BD" w:themeColor="accent1"/>
          <w:sz w:val="24"/>
          <w:szCs w:val="24"/>
        </w:rPr>
      </w:pPr>
      <w:r w:rsidRPr="000B3AD1">
        <w:rPr>
          <w:rFonts w:asciiTheme="majorHAnsi" w:hAnsiTheme="majorHAnsi"/>
          <w:b/>
          <w:noProof/>
          <w:color w:val="4F81BD" w:themeColor="accent1"/>
          <w:sz w:val="24"/>
          <w:szCs w:val="24"/>
        </w:rPr>
        <w:lastRenderedPageBreak/>
        <w:t>List of attachments</w:t>
      </w:r>
    </w:p>
    <w:p w:rsidR="00D37944" w:rsidRDefault="00D37944" w:rsidP="00F0420B">
      <w:pPr>
        <w:rPr>
          <w:caps/>
          <w:noProof/>
        </w:rPr>
      </w:pPr>
    </w:p>
    <w:p w:rsidR="006352C0" w:rsidRPr="004126B6" w:rsidRDefault="006352C0" w:rsidP="006352C0">
      <w:pPr>
        <w:rPr>
          <w:noProof/>
          <w:sz w:val="24"/>
          <w:szCs w:val="24"/>
          <w:highlight w:val="yellow"/>
        </w:rPr>
      </w:pPr>
      <w:r w:rsidRPr="004126B6">
        <w:rPr>
          <w:noProof/>
          <w:sz w:val="24"/>
          <w:szCs w:val="24"/>
          <w:highlight w:val="yellow"/>
        </w:rPr>
        <w:t xml:space="preserve">Attachment 1: </w:t>
      </w:r>
      <w:r w:rsidR="00821E21" w:rsidRPr="004126B6">
        <w:rPr>
          <w:color w:val="000000"/>
          <w:sz w:val="24"/>
          <w:szCs w:val="24"/>
          <w:highlight w:val="yellow"/>
        </w:rPr>
        <w:t>Earthquake Engineering Award PI Survey</w:t>
      </w:r>
    </w:p>
    <w:p w:rsidR="00821E21" w:rsidRPr="004126B6" w:rsidRDefault="006352C0" w:rsidP="006352C0">
      <w:pPr>
        <w:rPr>
          <w:color w:val="000000"/>
          <w:sz w:val="24"/>
          <w:szCs w:val="24"/>
          <w:highlight w:val="yellow"/>
        </w:rPr>
      </w:pPr>
      <w:r w:rsidRPr="004126B6">
        <w:rPr>
          <w:color w:val="000000"/>
          <w:sz w:val="24"/>
          <w:szCs w:val="24"/>
          <w:highlight w:val="yellow"/>
        </w:rPr>
        <w:t xml:space="preserve">Attachment 2: </w:t>
      </w:r>
      <w:r w:rsidR="00821E21" w:rsidRPr="004126B6">
        <w:rPr>
          <w:color w:val="000000"/>
          <w:sz w:val="24"/>
          <w:szCs w:val="24"/>
          <w:highlight w:val="yellow"/>
        </w:rPr>
        <w:t>Introductory Email from NSF</w:t>
      </w:r>
    </w:p>
    <w:p w:rsidR="00821E21" w:rsidRPr="004126B6" w:rsidRDefault="00821E21" w:rsidP="006352C0">
      <w:pPr>
        <w:rPr>
          <w:color w:val="000000"/>
          <w:sz w:val="24"/>
          <w:szCs w:val="24"/>
          <w:highlight w:val="yellow"/>
        </w:rPr>
      </w:pPr>
      <w:r w:rsidRPr="004126B6">
        <w:rPr>
          <w:color w:val="000000"/>
          <w:sz w:val="24"/>
          <w:szCs w:val="24"/>
          <w:highlight w:val="yellow"/>
        </w:rPr>
        <w:t>Attachment 3: Introductory Email from Contractor</w:t>
      </w:r>
    </w:p>
    <w:p w:rsidR="006352C0" w:rsidRPr="004126B6" w:rsidRDefault="00821E21" w:rsidP="006352C0">
      <w:pPr>
        <w:rPr>
          <w:color w:val="000000"/>
          <w:sz w:val="24"/>
          <w:szCs w:val="24"/>
          <w:highlight w:val="yellow"/>
        </w:rPr>
      </w:pPr>
      <w:r w:rsidRPr="004126B6">
        <w:rPr>
          <w:color w:val="000000"/>
          <w:sz w:val="24"/>
          <w:szCs w:val="24"/>
          <w:highlight w:val="yellow"/>
        </w:rPr>
        <w:t>Attachment 4: Reminder Email</w:t>
      </w:r>
    </w:p>
    <w:p w:rsidR="006352C0" w:rsidRPr="00F90773" w:rsidRDefault="006352C0" w:rsidP="006352C0">
      <w:pPr>
        <w:rPr>
          <w:color w:val="000000"/>
          <w:sz w:val="24"/>
          <w:szCs w:val="24"/>
        </w:rPr>
      </w:pPr>
      <w:r w:rsidRPr="004126B6">
        <w:rPr>
          <w:color w:val="000000"/>
          <w:sz w:val="24"/>
          <w:szCs w:val="24"/>
          <w:highlight w:val="yellow"/>
        </w:rPr>
        <w:t xml:space="preserve">Attachment </w:t>
      </w:r>
      <w:r w:rsidR="00821E21" w:rsidRPr="004126B6">
        <w:rPr>
          <w:color w:val="000000"/>
          <w:sz w:val="24"/>
          <w:szCs w:val="24"/>
          <w:highlight w:val="yellow"/>
        </w:rPr>
        <w:t>5</w:t>
      </w:r>
      <w:r w:rsidRPr="004126B6">
        <w:rPr>
          <w:color w:val="000000"/>
          <w:sz w:val="24"/>
          <w:szCs w:val="24"/>
          <w:highlight w:val="yellow"/>
        </w:rPr>
        <w:t xml:space="preserve">: </w:t>
      </w:r>
      <w:r w:rsidR="00821E21" w:rsidRPr="004126B6">
        <w:rPr>
          <w:color w:val="000000"/>
          <w:sz w:val="24"/>
          <w:szCs w:val="24"/>
          <w:highlight w:val="yellow"/>
        </w:rPr>
        <w:t>Thank You Email</w:t>
      </w:r>
    </w:p>
    <w:p w:rsidR="007400AC" w:rsidRPr="007400AC" w:rsidRDefault="007400AC" w:rsidP="00853AC0">
      <w:pPr>
        <w:spacing w:line="480" w:lineRule="auto"/>
        <w:jc w:val="center"/>
        <w:rPr>
          <w:b/>
          <w:sz w:val="28"/>
          <w:szCs w:val="28"/>
        </w:rPr>
      </w:pPr>
    </w:p>
    <w:bookmarkEnd w:id="0"/>
    <w:bookmarkEnd w:id="1"/>
    <w:p w:rsidR="00A536C7" w:rsidRPr="00853AC0" w:rsidRDefault="00A536C7" w:rsidP="00853AC0">
      <w:pPr>
        <w:spacing w:line="480" w:lineRule="auto"/>
        <w:jc w:val="center"/>
        <w:rPr>
          <w:b/>
          <w:sz w:val="24"/>
          <w:szCs w:val="24"/>
        </w:rPr>
      </w:pPr>
    </w:p>
    <w:p w:rsidR="00F0420B" w:rsidRDefault="00F0420B" w:rsidP="00853AC0">
      <w:pPr>
        <w:spacing w:line="480" w:lineRule="auto"/>
        <w:rPr>
          <w:b/>
          <w:sz w:val="24"/>
          <w:szCs w:val="24"/>
          <w:u w:val="single"/>
        </w:rPr>
        <w:sectPr w:rsidR="00F0420B" w:rsidSect="00F84374">
          <w:footerReference w:type="even" r:id="rId8"/>
          <w:footerReference w:type="default" r:id="rId9"/>
          <w:footnotePr>
            <w:numRestart w:val="eachSect"/>
          </w:footnotePr>
          <w:endnotePr>
            <w:numFmt w:val="decimal"/>
          </w:endnotePr>
          <w:pgSz w:w="12240" w:h="15840"/>
          <w:pgMar w:top="1260" w:right="1152" w:bottom="1440" w:left="1152" w:header="720" w:footer="720" w:gutter="0"/>
          <w:cols w:space="720"/>
          <w:noEndnote/>
          <w:docGrid w:linePitch="360"/>
        </w:sectPr>
      </w:pPr>
    </w:p>
    <w:p w:rsidR="00EE5083" w:rsidRPr="00FF4A80" w:rsidRDefault="00EE5083" w:rsidP="006352C0">
      <w:pPr>
        <w:pStyle w:val="Heading1"/>
        <w:spacing w:line="480" w:lineRule="auto"/>
        <w:rPr>
          <w:szCs w:val="24"/>
        </w:rPr>
      </w:pPr>
      <w:bookmarkStart w:id="2" w:name="_Toc273692137"/>
      <w:bookmarkStart w:id="3" w:name="_Toc283391173"/>
      <w:r w:rsidRPr="00FF4A80">
        <w:rPr>
          <w:szCs w:val="24"/>
        </w:rPr>
        <w:lastRenderedPageBreak/>
        <w:t>B.1</w:t>
      </w:r>
      <w:r w:rsidR="006352C0">
        <w:rPr>
          <w:szCs w:val="24"/>
        </w:rPr>
        <w:t>.</w:t>
      </w:r>
      <w:r w:rsidRPr="00FF4A80">
        <w:rPr>
          <w:szCs w:val="24"/>
        </w:rPr>
        <w:t xml:space="preserve"> Respondent Universe and Sampling Methods</w:t>
      </w:r>
      <w:bookmarkEnd w:id="2"/>
      <w:bookmarkEnd w:id="3"/>
    </w:p>
    <w:p w:rsidR="006352C0" w:rsidRDefault="006352C0" w:rsidP="006352C0">
      <w:pPr>
        <w:spacing w:line="480" w:lineRule="auto"/>
        <w:ind w:firstLine="720"/>
        <w:rPr>
          <w:rFonts w:cs="Calibri"/>
          <w:sz w:val="24"/>
          <w:szCs w:val="24"/>
        </w:rPr>
      </w:pPr>
      <w:r>
        <w:rPr>
          <w:rFonts w:cs="Calibri"/>
          <w:sz w:val="24"/>
          <w:szCs w:val="24"/>
        </w:rPr>
        <w:t xml:space="preserve">The respondent universe </w:t>
      </w:r>
      <w:r w:rsidR="00215BF0">
        <w:rPr>
          <w:rFonts w:cs="Calibri"/>
          <w:sz w:val="24"/>
          <w:szCs w:val="24"/>
        </w:rPr>
        <w:t xml:space="preserve">for the proposed data collection </w:t>
      </w:r>
      <w:r>
        <w:rPr>
          <w:rFonts w:cs="Calibri"/>
          <w:sz w:val="24"/>
          <w:szCs w:val="24"/>
        </w:rPr>
        <w:t xml:space="preserve">consists of two groups: </w:t>
      </w:r>
      <w:r w:rsidR="00DC7675">
        <w:rPr>
          <w:rFonts w:cs="Calibri"/>
          <w:sz w:val="24"/>
          <w:szCs w:val="24"/>
        </w:rPr>
        <w:t xml:space="preserve">1) Principal Investigators </w:t>
      </w:r>
      <w:r w:rsidR="000A4ED2">
        <w:rPr>
          <w:rFonts w:cs="Calibri"/>
          <w:sz w:val="24"/>
          <w:szCs w:val="24"/>
        </w:rPr>
        <w:t xml:space="preserve">(PIs) </w:t>
      </w:r>
      <w:r w:rsidR="00DC7675">
        <w:rPr>
          <w:rFonts w:cs="Calibri"/>
          <w:sz w:val="24"/>
          <w:szCs w:val="24"/>
        </w:rPr>
        <w:t xml:space="preserve">on research awards made by the </w:t>
      </w:r>
      <w:r w:rsidR="00DC7675" w:rsidRPr="001671F4">
        <w:rPr>
          <w:sz w:val="24"/>
          <w:szCs w:val="24"/>
        </w:rPr>
        <w:t>George E. Brown, Jr. Network for Earthquake Engineering Simulation (NEES)</w:t>
      </w:r>
      <w:r w:rsidR="00DC7675">
        <w:rPr>
          <w:sz w:val="24"/>
          <w:szCs w:val="24"/>
        </w:rPr>
        <w:t xml:space="preserve"> Program; and 2) </w:t>
      </w:r>
      <w:r w:rsidR="000A4ED2">
        <w:rPr>
          <w:sz w:val="24"/>
          <w:szCs w:val="24"/>
        </w:rPr>
        <w:t>PIs</w:t>
      </w:r>
      <w:r w:rsidR="00DC7675">
        <w:rPr>
          <w:sz w:val="24"/>
          <w:szCs w:val="24"/>
        </w:rPr>
        <w:t xml:space="preserve"> on other research awards made by NSF in the area of earthquake engineering while the NEES program has been active.</w:t>
      </w:r>
      <w:r w:rsidR="000A4ED2">
        <w:rPr>
          <w:sz w:val="24"/>
          <w:szCs w:val="24"/>
        </w:rPr>
        <w:t xml:space="preserve"> More specifically, the group of targeted NEES PIs consists of PIs on awards with the following characteristics:</w:t>
      </w:r>
    </w:p>
    <w:p w:rsidR="000A4ED2" w:rsidRDefault="000A4ED2" w:rsidP="00215BF0">
      <w:pPr>
        <w:pStyle w:val="ListBullet"/>
        <w:spacing w:after="0" w:line="480" w:lineRule="auto"/>
      </w:pPr>
      <w:r>
        <w:t>Awards funded through NSF award code 7</w:t>
      </w:r>
      <w:r w:rsidR="001848FE">
        <w:t>396</w:t>
      </w:r>
      <w:r>
        <w:t xml:space="preserve"> (NEES-R projects only, excluding the NEES Operations award)</w:t>
      </w:r>
    </w:p>
    <w:p w:rsidR="000A4ED2" w:rsidRDefault="000A4ED2" w:rsidP="00215BF0">
      <w:pPr>
        <w:pStyle w:val="ListBullet"/>
        <w:spacing w:after="0" w:line="480" w:lineRule="auto"/>
      </w:pPr>
      <w:r>
        <w:t>Awards funded through applications active as of FY 2009 (e.g., excluding awards with application codes beginning with "10" or "11")</w:t>
      </w:r>
    </w:p>
    <w:p w:rsidR="000A4ED2" w:rsidRDefault="000A4ED2" w:rsidP="00215BF0">
      <w:pPr>
        <w:pStyle w:val="ListBullet"/>
        <w:spacing w:after="0" w:line="480" w:lineRule="auto"/>
      </w:pPr>
      <w:r>
        <w:t>Excluding awards for workshops, conferences, student travel</w:t>
      </w:r>
    </w:p>
    <w:p w:rsidR="000A4ED2" w:rsidRDefault="000A4ED2" w:rsidP="00215BF0">
      <w:pPr>
        <w:pStyle w:val="ListBullet"/>
        <w:spacing w:after="0" w:line="480" w:lineRule="auto"/>
      </w:pPr>
      <w:r>
        <w:t>Excluding awards made to support other programs (e.g., IRIS, NEHRP)</w:t>
      </w:r>
    </w:p>
    <w:p w:rsidR="000A4ED2" w:rsidRDefault="000A4ED2" w:rsidP="00215BF0">
      <w:pPr>
        <w:pStyle w:val="ListBullet"/>
        <w:spacing w:line="480" w:lineRule="auto"/>
      </w:pPr>
      <w:r>
        <w:t>Excluding SGER/EAGER/RAPID awards unless the award was to use NEES or other international facilities (e.g., payload projects)</w:t>
      </w:r>
    </w:p>
    <w:p w:rsidR="000A4ED2" w:rsidRDefault="000A4ED2" w:rsidP="000A4ED2">
      <w:pPr>
        <w:pStyle w:val="ListBullet"/>
        <w:numPr>
          <w:ilvl w:val="0"/>
          <w:numId w:val="0"/>
        </w:numPr>
      </w:pPr>
      <w:r>
        <w:t>Targeted non-NEES investigators were PIs on awards with the following characteristics:</w:t>
      </w:r>
    </w:p>
    <w:p w:rsidR="000A4ED2" w:rsidRDefault="000A4ED2" w:rsidP="00C60B1B">
      <w:pPr>
        <w:pStyle w:val="ListBullet"/>
        <w:numPr>
          <w:ilvl w:val="0"/>
          <w:numId w:val="6"/>
        </w:numPr>
        <w:spacing w:after="0" w:line="480" w:lineRule="auto"/>
      </w:pPr>
      <w:r>
        <w:t>Awards funded through NSF application codes 1636 and 1637 whose subjects (based on a</w:t>
      </w:r>
      <w:r w:rsidR="00215BF0">
        <w:t xml:space="preserve"> </w:t>
      </w:r>
      <w:r>
        <w:t>review of project abstracts) were judged to be "earthquake engineering" or "tsunami" related</w:t>
      </w:r>
    </w:p>
    <w:p w:rsidR="000A4ED2" w:rsidRDefault="000A4ED2" w:rsidP="00C60B1B">
      <w:pPr>
        <w:pStyle w:val="ListBullet"/>
        <w:numPr>
          <w:ilvl w:val="0"/>
          <w:numId w:val="6"/>
        </w:numPr>
        <w:spacing w:after="0" w:line="480" w:lineRule="auto"/>
      </w:pPr>
      <w:r>
        <w:t>Awards funded through applications active between calendar year 2003 and FY2009</w:t>
      </w:r>
    </w:p>
    <w:p w:rsidR="000A4ED2" w:rsidRDefault="000A4ED2" w:rsidP="00C60B1B">
      <w:pPr>
        <w:pStyle w:val="ListBullet"/>
        <w:numPr>
          <w:ilvl w:val="0"/>
          <w:numId w:val="6"/>
        </w:numPr>
        <w:spacing w:after="0" w:line="480" w:lineRule="auto"/>
      </w:pPr>
      <w:r>
        <w:t>Excluding awards for workshops, conferences, student travel</w:t>
      </w:r>
    </w:p>
    <w:p w:rsidR="000A4ED2" w:rsidRDefault="000A4ED2" w:rsidP="00C60B1B">
      <w:pPr>
        <w:pStyle w:val="ListBullet"/>
        <w:numPr>
          <w:ilvl w:val="0"/>
          <w:numId w:val="6"/>
        </w:numPr>
        <w:spacing w:after="0" w:line="480" w:lineRule="auto"/>
      </w:pPr>
      <w:r>
        <w:t>Excluding awards purely for earthquake or tsunami reconnaissance</w:t>
      </w:r>
    </w:p>
    <w:p w:rsidR="000A4ED2" w:rsidRDefault="000A4ED2" w:rsidP="00215BF0">
      <w:pPr>
        <w:pStyle w:val="ListBullet"/>
        <w:numPr>
          <w:ilvl w:val="0"/>
          <w:numId w:val="6"/>
        </w:numPr>
        <w:spacing w:line="480" w:lineRule="auto"/>
      </w:pPr>
      <w:r>
        <w:t>Excluding SGER/EAGER/RAPID awards</w:t>
      </w:r>
    </w:p>
    <w:p w:rsidR="00EE5083" w:rsidRPr="000962DF" w:rsidRDefault="00EE5083" w:rsidP="00215BF0">
      <w:pPr>
        <w:spacing w:line="480" w:lineRule="auto"/>
        <w:rPr>
          <w:sz w:val="24"/>
          <w:szCs w:val="24"/>
        </w:rPr>
      </w:pPr>
      <w:r w:rsidRPr="000962DF">
        <w:rPr>
          <w:sz w:val="24"/>
          <w:szCs w:val="24"/>
        </w:rPr>
        <w:lastRenderedPageBreak/>
        <w:t>Estimates of the respondent universe for each category and anticipated number of participants are summarized in Table B.1.</w:t>
      </w:r>
    </w:p>
    <w:p w:rsidR="00EE5083" w:rsidRDefault="00EE5083" w:rsidP="00EE5083">
      <w:pPr>
        <w:rPr>
          <w:szCs w:val="24"/>
        </w:rPr>
      </w:pPr>
    </w:p>
    <w:p w:rsidR="00EE5083" w:rsidRDefault="00EE5083" w:rsidP="00EE5083">
      <w:pPr>
        <w:rPr>
          <w:rFonts w:cs="Calibri"/>
        </w:rPr>
      </w:pPr>
      <w:r w:rsidRPr="006225D4">
        <w:rPr>
          <w:b/>
          <w:szCs w:val="24"/>
        </w:rPr>
        <w:t xml:space="preserve">Table B.1. Estimated Respondent Universe and </w:t>
      </w:r>
      <w:r>
        <w:rPr>
          <w:b/>
          <w:szCs w:val="24"/>
        </w:rPr>
        <w:t xml:space="preserve">Use of </w:t>
      </w:r>
      <w:r w:rsidRPr="006225D4">
        <w:rPr>
          <w:b/>
          <w:szCs w:val="24"/>
        </w:rPr>
        <w:t xml:space="preserve">Sampling Methods by Category </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0"/>
        <w:gridCol w:w="1620"/>
        <w:gridCol w:w="1260"/>
        <w:gridCol w:w="1170"/>
        <w:gridCol w:w="1530"/>
      </w:tblGrid>
      <w:tr w:rsidR="00EE5083" w:rsidRPr="00511046" w:rsidTr="00815C96">
        <w:tc>
          <w:tcPr>
            <w:tcW w:w="2790" w:type="dxa"/>
          </w:tcPr>
          <w:p w:rsidR="00EE5083" w:rsidRPr="00511046" w:rsidRDefault="00EE5083" w:rsidP="00815C96">
            <w:pPr>
              <w:rPr>
                <w:b/>
                <w:bCs/>
              </w:rPr>
            </w:pPr>
            <w:r w:rsidRPr="00511046">
              <w:rPr>
                <w:b/>
                <w:bCs/>
              </w:rPr>
              <w:t>Category of participant</w:t>
            </w:r>
          </w:p>
        </w:tc>
        <w:tc>
          <w:tcPr>
            <w:tcW w:w="1620" w:type="dxa"/>
          </w:tcPr>
          <w:p w:rsidR="00EE5083" w:rsidRPr="00511046" w:rsidRDefault="00EE5083" w:rsidP="00815C96">
            <w:pPr>
              <w:rPr>
                <w:b/>
                <w:bCs/>
              </w:rPr>
            </w:pPr>
            <w:r w:rsidRPr="00511046">
              <w:rPr>
                <w:b/>
                <w:bCs/>
              </w:rPr>
              <w:t>Type of data collection proposed</w:t>
            </w:r>
          </w:p>
        </w:tc>
        <w:tc>
          <w:tcPr>
            <w:tcW w:w="1260" w:type="dxa"/>
          </w:tcPr>
          <w:p w:rsidR="00EE5083" w:rsidRPr="00511046" w:rsidRDefault="00EE5083" w:rsidP="00815C96">
            <w:pPr>
              <w:rPr>
                <w:b/>
                <w:bCs/>
              </w:rPr>
            </w:pPr>
            <w:r w:rsidRPr="00511046">
              <w:rPr>
                <w:b/>
                <w:bCs/>
              </w:rPr>
              <w:t>Estimated size of respondent universe</w:t>
            </w:r>
          </w:p>
        </w:tc>
        <w:tc>
          <w:tcPr>
            <w:tcW w:w="1170" w:type="dxa"/>
          </w:tcPr>
          <w:p w:rsidR="00EE5083" w:rsidRPr="00511046" w:rsidRDefault="00EE5083" w:rsidP="00815C96">
            <w:pPr>
              <w:rPr>
                <w:b/>
                <w:bCs/>
              </w:rPr>
            </w:pPr>
            <w:r w:rsidRPr="00511046">
              <w:rPr>
                <w:b/>
                <w:bCs/>
              </w:rPr>
              <w:t>Expected response rate</w:t>
            </w:r>
          </w:p>
        </w:tc>
        <w:tc>
          <w:tcPr>
            <w:tcW w:w="1530" w:type="dxa"/>
          </w:tcPr>
          <w:p w:rsidR="00EE5083" w:rsidRPr="00511046" w:rsidRDefault="00EE5083" w:rsidP="00815C96">
            <w:pPr>
              <w:rPr>
                <w:b/>
                <w:bCs/>
              </w:rPr>
            </w:pPr>
            <w:r w:rsidRPr="00511046">
              <w:rPr>
                <w:b/>
                <w:bCs/>
              </w:rPr>
              <w:t>Expected number of participants</w:t>
            </w:r>
          </w:p>
        </w:tc>
      </w:tr>
      <w:tr w:rsidR="00EE5083" w:rsidRPr="00EE0DAA" w:rsidTr="00815C96">
        <w:tc>
          <w:tcPr>
            <w:tcW w:w="2790" w:type="dxa"/>
            <w:vAlign w:val="bottom"/>
          </w:tcPr>
          <w:p w:rsidR="00EE5083" w:rsidRPr="005C3661" w:rsidRDefault="00EE5083" w:rsidP="00815C96">
            <w:pPr>
              <w:rPr>
                <w:snapToGrid/>
                <w:color w:val="000000"/>
              </w:rPr>
            </w:pPr>
            <w:r w:rsidRPr="005C3661">
              <w:rPr>
                <w:snapToGrid/>
                <w:color w:val="000000"/>
              </w:rPr>
              <w:t>PIs</w:t>
            </w:r>
            <w:r w:rsidR="00DC7675">
              <w:rPr>
                <w:snapToGrid/>
                <w:color w:val="000000"/>
              </w:rPr>
              <w:t xml:space="preserve"> on NEES research awards</w:t>
            </w:r>
          </w:p>
        </w:tc>
        <w:tc>
          <w:tcPr>
            <w:tcW w:w="1620" w:type="dxa"/>
          </w:tcPr>
          <w:p w:rsidR="00EE5083" w:rsidRDefault="00EE5083" w:rsidP="00815C96">
            <w:r>
              <w:rPr>
                <w:color w:val="000000"/>
              </w:rPr>
              <w:t>web-based survey</w:t>
            </w:r>
          </w:p>
        </w:tc>
        <w:tc>
          <w:tcPr>
            <w:tcW w:w="1260" w:type="dxa"/>
          </w:tcPr>
          <w:p w:rsidR="00EE5083" w:rsidRPr="00EE0DAA" w:rsidRDefault="00DC7675" w:rsidP="00815C96">
            <w:r>
              <w:t>98</w:t>
            </w:r>
          </w:p>
        </w:tc>
        <w:tc>
          <w:tcPr>
            <w:tcW w:w="1170" w:type="dxa"/>
          </w:tcPr>
          <w:p w:rsidR="00EE5083" w:rsidRPr="00EE0DAA" w:rsidRDefault="00EE5083" w:rsidP="00815C96">
            <w:r>
              <w:t>80%</w:t>
            </w:r>
          </w:p>
        </w:tc>
        <w:tc>
          <w:tcPr>
            <w:tcW w:w="1530" w:type="dxa"/>
          </w:tcPr>
          <w:p w:rsidR="00EE5083" w:rsidRPr="00EE0DAA" w:rsidRDefault="00215BF0" w:rsidP="00815C96">
            <w:r>
              <w:t>78</w:t>
            </w:r>
          </w:p>
        </w:tc>
      </w:tr>
      <w:tr w:rsidR="00DC7675" w:rsidRPr="00EE0DAA" w:rsidTr="00815C96">
        <w:tc>
          <w:tcPr>
            <w:tcW w:w="2790" w:type="dxa"/>
            <w:vAlign w:val="bottom"/>
          </w:tcPr>
          <w:p w:rsidR="00DC7675" w:rsidRPr="005C3661" w:rsidRDefault="00DC7675" w:rsidP="00815C96">
            <w:pPr>
              <w:rPr>
                <w:snapToGrid/>
                <w:color w:val="000000"/>
              </w:rPr>
            </w:pPr>
            <w:r>
              <w:rPr>
                <w:snapToGrid/>
                <w:color w:val="000000"/>
              </w:rPr>
              <w:t>PIs on other E</w:t>
            </w:r>
            <w:r w:rsidR="00F90773">
              <w:rPr>
                <w:snapToGrid/>
                <w:color w:val="000000"/>
              </w:rPr>
              <w:t xml:space="preserve">arthquake </w:t>
            </w:r>
            <w:r>
              <w:rPr>
                <w:snapToGrid/>
                <w:color w:val="000000"/>
              </w:rPr>
              <w:t>E</w:t>
            </w:r>
            <w:r w:rsidR="00F90773">
              <w:rPr>
                <w:snapToGrid/>
                <w:color w:val="000000"/>
              </w:rPr>
              <w:t>ngineering</w:t>
            </w:r>
            <w:r>
              <w:rPr>
                <w:snapToGrid/>
                <w:color w:val="000000"/>
              </w:rPr>
              <w:t xml:space="preserve"> research awards</w:t>
            </w:r>
          </w:p>
        </w:tc>
        <w:tc>
          <w:tcPr>
            <w:tcW w:w="1620" w:type="dxa"/>
          </w:tcPr>
          <w:p w:rsidR="00DC7675" w:rsidRDefault="00DC7675" w:rsidP="00D937B8">
            <w:r>
              <w:rPr>
                <w:color w:val="000000"/>
              </w:rPr>
              <w:t>web-based survey</w:t>
            </w:r>
          </w:p>
        </w:tc>
        <w:tc>
          <w:tcPr>
            <w:tcW w:w="1260" w:type="dxa"/>
          </w:tcPr>
          <w:p w:rsidR="00DC7675" w:rsidRPr="00EE0DAA" w:rsidRDefault="00DC7675" w:rsidP="00815C96">
            <w:r>
              <w:t>96</w:t>
            </w:r>
          </w:p>
        </w:tc>
        <w:tc>
          <w:tcPr>
            <w:tcW w:w="1170" w:type="dxa"/>
          </w:tcPr>
          <w:p w:rsidR="00DC7675" w:rsidRPr="00EE0DAA" w:rsidRDefault="00DC7675" w:rsidP="00D937B8">
            <w:r>
              <w:t>80%</w:t>
            </w:r>
          </w:p>
        </w:tc>
        <w:tc>
          <w:tcPr>
            <w:tcW w:w="1530" w:type="dxa"/>
          </w:tcPr>
          <w:p w:rsidR="00DC7675" w:rsidRPr="00EE0DAA" w:rsidRDefault="00215BF0" w:rsidP="00815C96">
            <w:r>
              <w:t>77</w:t>
            </w:r>
          </w:p>
        </w:tc>
      </w:tr>
    </w:tbl>
    <w:p w:rsidR="00EE5083" w:rsidRDefault="00EE5083" w:rsidP="00EE5083">
      <w:pPr>
        <w:rPr>
          <w:rFonts w:cs="Calibri"/>
        </w:rPr>
      </w:pPr>
    </w:p>
    <w:p w:rsidR="00EE5083" w:rsidRPr="000962DF" w:rsidRDefault="00215BF0" w:rsidP="00EE5083">
      <w:pPr>
        <w:spacing w:line="480" w:lineRule="auto"/>
        <w:rPr>
          <w:sz w:val="24"/>
          <w:szCs w:val="24"/>
        </w:rPr>
      </w:pPr>
      <w:r>
        <w:rPr>
          <w:sz w:val="24"/>
          <w:szCs w:val="24"/>
        </w:rPr>
        <w:t xml:space="preserve">Sampling is not feasible within the two target groups because there are a </w:t>
      </w:r>
      <w:r w:rsidR="00EE5083" w:rsidRPr="000962DF">
        <w:rPr>
          <w:sz w:val="24"/>
          <w:szCs w:val="24"/>
        </w:rPr>
        <w:t xml:space="preserve">variety of sub-strata of possible interest (e.g. PIs on large projects, PIs funded through NSF’s SGER program, PIs using each of the 16 different facilities, PIs using multiple facilities), and the numbers in any particular sub-stratum are too small to sample effectively. </w:t>
      </w:r>
    </w:p>
    <w:p w:rsidR="00EE5083" w:rsidRPr="00FF4A80" w:rsidRDefault="00EE5083" w:rsidP="00EE5083">
      <w:pPr>
        <w:pStyle w:val="Heading1"/>
        <w:spacing w:line="480" w:lineRule="auto"/>
        <w:rPr>
          <w:szCs w:val="24"/>
        </w:rPr>
      </w:pPr>
      <w:bookmarkStart w:id="4" w:name="_Toc273692138"/>
      <w:bookmarkStart w:id="5" w:name="_Toc283391174"/>
      <w:r w:rsidRPr="00FF4A80">
        <w:rPr>
          <w:szCs w:val="24"/>
        </w:rPr>
        <w:t>B. 2. Procedures for the Collection of Information</w:t>
      </w:r>
      <w:bookmarkEnd w:id="4"/>
      <w:bookmarkEnd w:id="5"/>
    </w:p>
    <w:p w:rsidR="00EE5083" w:rsidRPr="000962DF" w:rsidRDefault="00EE5083" w:rsidP="00EE5083">
      <w:pPr>
        <w:pStyle w:val="Header"/>
        <w:tabs>
          <w:tab w:val="clear" w:pos="4320"/>
          <w:tab w:val="clear" w:pos="8640"/>
        </w:tabs>
        <w:spacing w:line="480" w:lineRule="auto"/>
        <w:rPr>
          <w:b/>
          <w:bCs/>
          <w:szCs w:val="24"/>
        </w:rPr>
      </w:pPr>
      <w:r w:rsidRPr="000962DF">
        <w:rPr>
          <w:b/>
          <w:bCs/>
          <w:szCs w:val="24"/>
        </w:rPr>
        <w:t>B.2.1 Data Collection Procedures</w:t>
      </w:r>
    </w:p>
    <w:p w:rsidR="00391C54" w:rsidRDefault="00EE5083" w:rsidP="00215BF0">
      <w:pPr>
        <w:spacing w:line="480" w:lineRule="auto"/>
        <w:ind w:firstLine="720"/>
        <w:rPr>
          <w:rFonts w:cs="Calibri"/>
          <w:sz w:val="24"/>
          <w:szCs w:val="24"/>
        </w:rPr>
      </w:pPr>
      <w:r w:rsidRPr="000962DF">
        <w:rPr>
          <w:rFonts w:cs="Calibri"/>
          <w:sz w:val="24"/>
          <w:szCs w:val="24"/>
        </w:rPr>
        <w:t xml:space="preserve">The web-based survey will be implemented using a secure commercial web-based survey hosting service. The survey consists </w:t>
      </w:r>
      <w:r w:rsidRPr="00840278">
        <w:rPr>
          <w:rFonts w:cs="Calibri"/>
          <w:sz w:val="24"/>
          <w:szCs w:val="24"/>
        </w:rPr>
        <w:t xml:space="preserve">of </w:t>
      </w:r>
      <w:r w:rsidR="00F90773" w:rsidRPr="00840278">
        <w:rPr>
          <w:rFonts w:cs="Calibri"/>
          <w:sz w:val="24"/>
          <w:szCs w:val="24"/>
        </w:rPr>
        <w:t>2</w:t>
      </w:r>
      <w:r w:rsidR="00840278" w:rsidRPr="00840278">
        <w:rPr>
          <w:rFonts w:cs="Calibri"/>
          <w:sz w:val="24"/>
          <w:szCs w:val="24"/>
        </w:rPr>
        <w:t>6</w:t>
      </w:r>
      <w:r w:rsidRPr="00840278">
        <w:rPr>
          <w:rFonts w:cs="Calibri"/>
          <w:sz w:val="24"/>
          <w:szCs w:val="24"/>
        </w:rPr>
        <w:t xml:space="preserve"> multiple</w:t>
      </w:r>
      <w:r w:rsidRPr="000962DF">
        <w:rPr>
          <w:rFonts w:cs="Calibri"/>
          <w:sz w:val="24"/>
          <w:szCs w:val="24"/>
        </w:rPr>
        <w:t xml:space="preserve"> choice or free response questions (see Attachment </w:t>
      </w:r>
      <w:r w:rsidR="00821E21">
        <w:rPr>
          <w:rFonts w:cs="Calibri"/>
          <w:sz w:val="24"/>
          <w:szCs w:val="24"/>
        </w:rPr>
        <w:t>1</w:t>
      </w:r>
      <w:r w:rsidRPr="000962DF">
        <w:rPr>
          <w:rFonts w:cs="Calibri"/>
          <w:sz w:val="24"/>
          <w:szCs w:val="24"/>
        </w:rPr>
        <w:t xml:space="preserve">), and it is estimated that it will require approximately </w:t>
      </w:r>
      <w:r w:rsidR="00840278">
        <w:rPr>
          <w:rFonts w:cs="Calibri"/>
          <w:sz w:val="24"/>
          <w:szCs w:val="24"/>
        </w:rPr>
        <w:t>30</w:t>
      </w:r>
      <w:r w:rsidRPr="000962DF">
        <w:rPr>
          <w:rFonts w:cs="Calibri"/>
          <w:sz w:val="24"/>
          <w:szCs w:val="24"/>
        </w:rPr>
        <w:t xml:space="preserve"> minutes </w:t>
      </w:r>
      <w:proofErr w:type="gramStart"/>
      <w:r w:rsidRPr="000962DF">
        <w:rPr>
          <w:rFonts w:cs="Calibri"/>
          <w:sz w:val="24"/>
          <w:szCs w:val="24"/>
        </w:rPr>
        <w:t>to complete</w:t>
      </w:r>
      <w:proofErr w:type="gramEnd"/>
      <w:r w:rsidRPr="000962DF">
        <w:rPr>
          <w:rFonts w:cs="Calibri"/>
          <w:sz w:val="24"/>
          <w:szCs w:val="24"/>
        </w:rPr>
        <w:t xml:space="preserve">. </w:t>
      </w:r>
    </w:p>
    <w:p w:rsidR="00EE5083" w:rsidRDefault="00391C54" w:rsidP="00215BF0">
      <w:pPr>
        <w:spacing w:line="480" w:lineRule="auto"/>
        <w:ind w:firstLine="720"/>
        <w:rPr>
          <w:sz w:val="24"/>
          <w:szCs w:val="24"/>
        </w:rPr>
      </w:pPr>
      <w:r w:rsidRPr="00821E21">
        <w:rPr>
          <w:sz w:val="24"/>
          <w:szCs w:val="24"/>
          <w:highlight w:val="yellow"/>
        </w:rPr>
        <w:t>One week prior to the survey launch</w:t>
      </w:r>
      <w:r w:rsidR="00EE5083" w:rsidRPr="00821E21">
        <w:rPr>
          <w:sz w:val="24"/>
          <w:szCs w:val="24"/>
          <w:highlight w:val="yellow"/>
        </w:rPr>
        <w:t xml:space="preserve">, NSF program staff will contact the target population </w:t>
      </w:r>
      <w:r w:rsidRPr="00821E21">
        <w:rPr>
          <w:sz w:val="24"/>
          <w:szCs w:val="24"/>
          <w:highlight w:val="yellow"/>
        </w:rPr>
        <w:t>(</w:t>
      </w:r>
      <w:r w:rsidRPr="00391C54">
        <w:rPr>
          <w:snapToGrid/>
          <w:sz w:val="24"/>
          <w:szCs w:val="24"/>
          <w:highlight w:val="yellow"/>
        </w:rPr>
        <w:t>NEES-R and investigator-initiated researchers</w:t>
      </w:r>
      <w:r w:rsidRPr="00821E21">
        <w:rPr>
          <w:snapToGrid/>
          <w:sz w:val="24"/>
          <w:szCs w:val="24"/>
          <w:highlight w:val="yellow"/>
        </w:rPr>
        <w:t>)</w:t>
      </w:r>
      <w:r w:rsidRPr="00821E21">
        <w:rPr>
          <w:sz w:val="24"/>
          <w:szCs w:val="24"/>
          <w:highlight w:val="yellow"/>
        </w:rPr>
        <w:t xml:space="preserve"> via email </w:t>
      </w:r>
      <w:r w:rsidR="00EE5083" w:rsidRPr="00821E21">
        <w:rPr>
          <w:sz w:val="24"/>
          <w:szCs w:val="24"/>
          <w:highlight w:val="yellow"/>
        </w:rPr>
        <w:t xml:space="preserve">to describe the purpose of the evaluation, introduce the contractor, and request cooperation. </w:t>
      </w:r>
      <w:r w:rsidRPr="00821E21">
        <w:rPr>
          <w:sz w:val="24"/>
          <w:szCs w:val="24"/>
          <w:highlight w:val="yellow"/>
        </w:rPr>
        <w:t xml:space="preserve">This initial email is included as Attachment </w:t>
      </w:r>
      <w:r w:rsidR="00821E21">
        <w:rPr>
          <w:sz w:val="24"/>
          <w:szCs w:val="24"/>
          <w:highlight w:val="yellow"/>
        </w:rPr>
        <w:t>2</w:t>
      </w:r>
      <w:r w:rsidRPr="00821E21">
        <w:rPr>
          <w:sz w:val="24"/>
          <w:szCs w:val="24"/>
          <w:highlight w:val="yellow"/>
        </w:rPr>
        <w:t xml:space="preserve">. </w:t>
      </w:r>
      <w:r w:rsidR="00EE5083" w:rsidRPr="00821E21">
        <w:rPr>
          <w:sz w:val="24"/>
          <w:szCs w:val="24"/>
          <w:highlight w:val="yellow"/>
        </w:rPr>
        <w:t xml:space="preserve">Within one week, the contractor will contact all potential participants </w:t>
      </w:r>
      <w:r w:rsidRPr="00821E21">
        <w:rPr>
          <w:sz w:val="24"/>
          <w:szCs w:val="24"/>
          <w:highlight w:val="yellow"/>
        </w:rPr>
        <w:t xml:space="preserve">via email. This introductory letter will include </w:t>
      </w:r>
      <w:r w:rsidR="00EE5083" w:rsidRPr="00821E21">
        <w:rPr>
          <w:sz w:val="24"/>
          <w:szCs w:val="24"/>
          <w:highlight w:val="yellow"/>
        </w:rPr>
        <w:t xml:space="preserve">a link to the survey website and individual login information (Attachment </w:t>
      </w:r>
      <w:r w:rsidR="00215BF0" w:rsidRPr="00821E21">
        <w:rPr>
          <w:sz w:val="24"/>
          <w:szCs w:val="24"/>
          <w:highlight w:val="yellow"/>
        </w:rPr>
        <w:t>3</w:t>
      </w:r>
      <w:r w:rsidR="00EE5083" w:rsidRPr="00821E21">
        <w:rPr>
          <w:sz w:val="24"/>
          <w:szCs w:val="24"/>
          <w:highlight w:val="yellow"/>
        </w:rPr>
        <w:t>). Respondents will have four weeks in which to complete the survey. The contractor will monitor response rates</w:t>
      </w:r>
      <w:r w:rsidR="00821E21" w:rsidRPr="00821E21">
        <w:rPr>
          <w:sz w:val="24"/>
          <w:szCs w:val="24"/>
          <w:highlight w:val="yellow"/>
        </w:rPr>
        <w:t xml:space="preserve">. </w:t>
      </w:r>
      <w:r w:rsidR="00821E21" w:rsidRPr="00391C54">
        <w:rPr>
          <w:snapToGrid/>
          <w:sz w:val="24"/>
          <w:szCs w:val="24"/>
          <w:highlight w:val="yellow"/>
        </w:rPr>
        <w:t xml:space="preserve">At weeks 1, 2, and 3 after survey is initiated, </w:t>
      </w:r>
      <w:proofErr w:type="spellStart"/>
      <w:r w:rsidR="00821E21" w:rsidRPr="00391C54">
        <w:rPr>
          <w:snapToGrid/>
          <w:sz w:val="24"/>
          <w:szCs w:val="24"/>
          <w:highlight w:val="yellow"/>
        </w:rPr>
        <w:lastRenderedPageBreak/>
        <w:t>nonrespondents</w:t>
      </w:r>
      <w:proofErr w:type="spellEnd"/>
      <w:r w:rsidR="00821E21" w:rsidRPr="00391C54">
        <w:rPr>
          <w:snapToGrid/>
          <w:sz w:val="24"/>
          <w:szCs w:val="24"/>
          <w:highlight w:val="yellow"/>
        </w:rPr>
        <w:t xml:space="preserve"> </w:t>
      </w:r>
      <w:r w:rsidR="00821E21" w:rsidRPr="00821E21">
        <w:rPr>
          <w:snapToGrid/>
          <w:sz w:val="24"/>
          <w:szCs w:val="24"/>
          <w:highlight w:val="yellow"/>
        </w:rPr>
        <w:t xml:space="preserve">will </w:t>
      </w:r>
      <w:r w:rsidR="00821E21" w:rsidRPr="00391C54">
        <w:rPr>
          <w:snapToGrid/>
          <w:sz w:val="24"/>
          <w:szCs w:val="24"/>
          <w:highlight w:val="yellow"/>
        </w:rPr>
        <w:t xml:space="preserve">receive a follow-up email (in Attachment </w:t>
      </w:r>
      <w:r w:rsidR="00821E21">
        <w:rPr>
          <w:snapToGrid/>
          <w:sz w:val="24"/>
          <w:szCs w:val="24"/>
          <w:highlight w:val="yellow"/>
        </w:rPr>
        <w:t>4</w:t>
      </w:r>
      <w:r w:rsidR="00821E21" w:rsidRPr="00391C54">
        <w:rPr>
          <w:snapToGrid/>
          <w:sz w:val="24"/>
          <w:szCs w:val="24"/>
          <w:highlight w:val="yellow"/>
        </w:rPr>
        <w:t xml:space="preserve">). Those who complete the survey receive a thank-you note (in Attachment </w:t>
      </w:r>
      <w:r w:rsidR="00821E21">
        <w:rPr>
          <w:snapToGrid/>
          <w:sz w:val="24"/>
          <w:szCs w:val="24"/>
          <w:highlight w:val="yellow"/>
        </w:rPr>
        <w:t>5</w:t>
      </w:r>
      <w:r w:rsidR="00821E21" w:rsidRPr="00391C54">
        <w:rPr>
          <w:snapToGrid/>
          <w:sz w:val="24"/>
          <w:szCs w:val="24"/>
          <w:highlight w:val="yellow"/>
        </w:rPr>
        <w:t>).</w:t>
      </w:r>
      <w:r w:rsidR="00EE5083" w:rsidRPr="00821E21">
        <w:rPr>
          <w:sz w:val="24"/>
          <w:szCs w:val="24"/>
          <w:highlight w:val="yellow"/>
        </w:rPr>
        <w:t xml:space="preserve"> When the survey </w:t>
      </w:r>
      <w:r w:rsidR="00821E21" w:rsidRPr="00821E21">
        <w:rPr>
          <w:sz w:val="24"/>
          <w:szCs w:val="24"/>
          <w:highlight w:val="yellow"/>
        </w:rPr>
        <w:t>is</w:t>
      </w:r>
      <w:r w:rsidR="00EE5083" w:rsidRPr="00821E21">
        <w:rPr>
          <w:sz w:val="24"/>
          <w:szCs w:val="24"/>
          <w:highlight w:val="yellow"/>
        </w:rPr>
        <w:t xml:space="preserve"> complete, a non-respondent analysis will be performed by demographics and other characteristics.</w:t>
      </w:r>
    </w:p>
    <w:p w:rsidR="00EE5083" w:rsidRPr="000962DF" w:rsidRDefault="00EE5083" w:rsidP="00EE5083">
      <w:pPr>
        <w:spacing w:line="480" w:lineRule="auto"/>
        <w:rPr>
          <w:b/>
          <w:sz w:val="24"/>
          <w:szCs w:val="24"/>
        </w:rPr>
      </w:pPr>
      <w:bookmarkStart w:id="6" w:name="_Toc273692139"/>
      <w:r w:rsidRPr="000962DF">
        <w:rPr>
          <w:b/>
          <w:sz w:val="24"/>
          <w:szCs w:val="24"/>
        </w:rPr>
        <w:t>B.2.2 Data Analysis Procedures</w:t>
      </w:r>
      <w:bookmarkEnd w:id="6"/>
    </w:p>
    <w:p w:rsidR="00EE5083" w:rsidRPr="000962DF" w:rsidRDefault="00096985" w:rsidP="00215BF0">
      <w:pPr>
        <w:spacing w:line="480" w:lineRule="auto"/>
        <w:ind w:firstLine="720"/>
        <w:rPr>
          <w:sz w:val="24"/>
          <w:szCs w:val="24"/>
        </w:rPr>
      </w:pPr>
      <w:r w:rsidRPr="000962DF">
        <w:rPr>
          <w:rFonts w:cs="Calibri"/>
          <w:bCs/>
          <w:sz w:val="24"/>
          <w:szCs w:val="24"/>
        </w:rPr>
        <w:t xml:space="preserve">Quantitative data from the </w:t>
      </w:r>
      <w:r>
        <w:rPr>
          <w:rFonts w:cs="Calibri"/>
          <w:bCs/>
          <w:sz w:val="24"/>
          <w:szCs w:val="24"/>
        </w:rPr>
        <w:t>survey</w:t>
      </w:r>
      <w:r w:rsidRPr="000962DF">
        <w:rPr>
          <w:rFonts w:cs="Calibri"/>
          <w:bCs/>
          <w:sz w:val="24"/>
          <w:szCs w:val="24"/>
        </w:rPr>
        <w:t xml:space="preserve"> will be entered into a database and analyzed using a software package such as </w:t>
      </w:r>
      <w:proofErr w:type="spellStart"/>
      <w:r w:rsidRPr="000962DF">
        <w:rPr>
          <w:rFonts w:cs="Calibri"/>
          <w:bCs/>
          <w:sz w:val="24"/>
          <w:szCs w:val="24"/>
        </w:rPr>
        <w:t>Stata</w:t>
      </w:r>
      <w:proofErr w:type="spellEnd"/>
      <w:r w:rsidRPr="000962DF">
        <w:rPr>
          <w:rFonts w:cs="Calibri"/>
          <w:bCs/>
          <w:sz w:val="24"/>
          <w:szCs w:val="24"/>
        </w:rPr>
        <w:t xml:space="preserve">, SAS or SPSS. </w:t>
      </w:r>
      <w:r w:rsidR="00E747D7">
        <w:rPr>
          <w:rFonts w:cs="Calibri"/>
          <w:bCs/>
          <w:sz w:val="24"/>
          <w:szCs w:val="24"/>
        </w:rPr>
        <w:t>Responses for each question will be tabulated, and appropriate descriptive statistics will be calculated (e.g. measures of central tendency, dispersion)</w:t>
      </w:r>
      <w:r w:rsidRPr="000962DF">
        <w:rPr>
          <w:rFonts w:cs="Calibri"/>
          <w:bCs/>
          <w:sz w:val="24"/>
          <w:szCs w:val="24"/>
        </w:rPr>
        <w:t>.</w:t>
      </w:r>
      <w:r w:rsidR="00E747D7">
        <w:rPr>
          <w:rFonts w:cs="Calibri"/>
          <w:bCs/>
          <w:sz w:val="24"/>
          <w:szCs w:val="24"/>
        </w:rPr>
        <w:t xml:space="preserve"> Responses to certain questions will also be stratified by </w:t>
      </w:r>
      <w:r w:rsidR="008A72E1">
        <w:rPr>
          <w:rFonts w:cs="Calibri"/>
          <w:bCs/>
          <w:sz w:val="24"/>
          <w:szCs w:val="24"/>
        </w:rPr>
        <w:t>funding mechanism, type of project, and facilities used and cross-tab</w:t>
      </w:r>
      <w:r w:rsidR="004F2D7C">
        <w:rPr>
          <w:rFonts w:cs="Calibri"/>
          <w:bCs/>
          <w:sz w:val="24"/>
          <w:szCs w:val="24"/>
        </w:rPr>
        <w:t>u</w:t>
      </w:r>
      <w:r w:rsidR="008A72E1">
        <w:rPr>
          <w:rFonts w:cs="Calibri"/>
          <w:bCs/>
          <w:sz w:val="24"/>
          <w:szCs w:val="24"/>
        </w:rPr>
        <w:t xml:space="preserve">lated in order to look for potentially </w:t>
      </w:r>
      <w:r w:rsidR="00215BF0">
        <w:rPr>
          <w:rFonts w:cs="Calibri"/>
          <w:bCs/>
          <w:sz w:val="24"/>
          <w:szCs w:val="24"/>
        </w:rPr>
        <w:t>interesting</w:t>
      </w:r>
      <w:r w:rsidR="008A72E1">
        <w:rPr>
          <w:rFonts w:cs="Calibri"/>
          <w:bCs/>
          <w:sz w:val="24"/>
          <w:szCs w:val="24"/>
        </w:rPr>
        <w:t xml:space="preserve"> </w:t>
      </w:r>
      <w:r w:rsidR="00215BF0">
        <w:rPr>
          <w:rFonts w:cs="Calibri"/>
          <w:bCs/>
          <w:sz w:val="24"/>
          <w:szCs w:val="24"/>
        </w:rPr>
        <w:t>patterns</w:t>
      </w:r>
      <w:r w:rsidR="008A72E1">
        <w:rPr>
          <w:rFonts w:cs="Calibri"/>
          <w:bCs/>
          <w:sz w:val="24"/>
          <w:szCs w:val="24"/>
        </w:rPr>
        <w:t>. If warranted</w:t>
      </w:r>
      <w:r w:rsidR="00E111C1">
        <w:rPr>
          <w:rFonts w:cs="Calibri"/>
          <w:bCs/>
          <w:sz w:val="24"/>
          <w:szCs w:val="24"/>
        </w:rPr>
        <w:t xml:space="preserve"> and feasible</w:t>
      </w:r>
      <w:r w:rsidR="008A72E1">
        <w:rPr>
          <w:rFonts w:cs="Calibri"/>
          <w:bCs/>
          <w:sz w:val="24"/>
          <w:szCs w:val="24"/>
        </w:rPr>
        <w:t xml:space="preserve">, multivariate statistical methods may be used to further investigate </w:t>
      </w:r>
      <w:r w:rsidR="00215BF0">
        <w:rPr>
          <w:rFonts w:cs="Calibri"/>
          <w:bCs/>
          <w:sz w:val="24"/>
          <w:szCs w:val="24"/>
        </w:rPr>
        <w:t>apparent</w:t>
      </w:r>
      <w:r w:rsidR="008A72E1">
        <w:rPr>
          <w:rFonts w:cs="Calibri"/>
          <w:bCs/>
          <w:sz w:val="24"/>
          <w:szCs w:val="24"/>
        </w:rPr>
        <w:t xml:space="preserve"> patterns in the survey data</w:t>
      </w:r>
      <w:r w:rsidR="00EE5083" w:rsidRPr="000962DF">
        <w:rPr>
          <w:sz w:val="24"/>
          <w:szCs w:val="24"/>
        </w:rPr>
        <w:t xml:space="preserve">. </w:t>
      </w:r>
    </w:p>
    <w:p w:rsidR="00EE5083" w:rsidRPr="00C34ED8" w:rsidRDefault="00EE5083" w:rsidP="00EE5083">
      <w:pPr>
        <w:pStyle w:val="Heading1"/>
        <w:spacing w:line="480" w:lineRule="auto"/>
      </w:pPr>
      <w:bookmarkStart w:id="7" w:name="_Toc273692140"/>
      <w:bookmarkStart w:id="8" w:name="_Toc283391175"/>
      <w:r w:rsidRPr="00C34ED8">
        <w:t>B.3. Methods to Maximize Response Rates</w:t>
      </w:r>
      <w:bookmarkEnd w:id="7"/>
      <w:bookmarkEnd w:id="8"/>
    </w:p>
    <w:p w:rsidR="00EE5083" w:rsidRPr="00021753" w:rsidRDefault="00EE5083" w:rsidP="00215BF0">
      <w:pPr>
        <w:spacing w:line="480" w:lineRule="auto"/>
        <w:ind w:firstLine="720"/>
        <w:rPr>
          <w:sz w:val="24"/>
          <w:szCs w:val="24"/>
        </w:rPr>
      </w:pPr>
      <w:r w:rsidRPr="00021753">
        <w:rPr>
          <w:sz w:val="24"/>
          <w:szCs w:val="24"/>
        </w:rPr>
        <w:t xml:space="preserve">The contractor will employ methods found to be generally effective in maximizing response rates. These include: </w:t>
      </w:r>
    </w:p>
    <w:p w:rsidR="00EE5083" w:rsidRPr="00021753" w:rsidRDefault="00EE5083" w:rsidP="00EE5083">
      <w:pPr>
        <w:pStyle w:val="ListParagraph"/>
        <w:numPr>
          <w:ilvl w:val="0"/>
          <w:numId w:val="4"/>
        </w:numPr>
        <w:spacing w:line="480" w:lineRule="auto"/>
        <w:rPr>
          <w:rFonts w:ascii="Times New Roman" w:hAnsi="Times New Roman"/>
          <w:sz w:val="24"/>
          <w:szCs w:val="24"/>
        </w:rPr>
      </w:pPr>
      <w:r w:rsidRPr="00021753">
        <w:rPr>
          <w:rFonts w:ascii="Times New Roman" w:hAnsi="Times New Roman"/>
          <w:sz w:val="24"/>
          <w:szCs w:val="24"/>
        </w:rPr>
        <w:t>Sending an introductory letter from the NSF program staff to the survey population requesting cooperation</w:t>
      </w:r>
      <w:r>
        <w:rPr>
          <w:rFonts w:ascii="Times New Roman" w:hAnsi="Times New Roman"/>
          <w:sz w:val="24"/>
          <w:szCs w:val="24"/>
        </w:rPr>
        <w:t xml:space="preserve"> (see Attachment </w:t>
      </w:r>
      <w:r w:rsidR="00821E21">
        <w:rPr>
          <w:rFonts w:ascii="Times New Roman" w:hAnsi="Times New Roman"/>
          <w:sz w:val="24"/>
          <w:szCs w:val="24"/>
        </w:rPr>
        <w:t>2</w:t>
      </w:r>
      <w:r>
        <w:rPr>
          <w:rFonts w:ascii="Times New Roman" w:hAnsi="Times New Roman"/>
          <w:sz w:val="24"/>
          <w:szCs w:val="24"/>
        </w:rPr>
        <w:t>)</w:t>
      </w:r>
      <w:r w:rsidRPr="00021753">
        <w:rPr>
          <w:rFonts w:ascii="Times New Roman" w:hAnsi="Times New Roman"/>
          <w:sz w:val="24"/>
          <w:szCs w:val="24"/>
        </w:rPr>
        <w:t xml:space="preserve">. As a major funder of earthquake engineering research, it is anticipated that an initial communication directly from </w:t>
      </w:r>
      <w:r w:rsidR="00215BF0">
        <w:rPr>
          <w:rFonts w:ascii="Times New Roman" w:hAnsi="Times New Roman"/>
          <w:sz w:val="24"/>
          <w:szCs w:val="24"/>
        </w:rPr>
        <w:t>NSF may</w:t>
      </w:r>
      <w:r w:rsidRPr="00021753">
        <w:rPr>
          <w:rFonts w:ascii="Times New Roman" w:hAnsi="Times New Roman"/>
          <w:sz w:val="24"/>
          <w:szCs w:val="24"/>
        </w:rPr>
        <w:t xml:space="preserve"> draw attention to the evaluation.</w:t>
      </w:r>
    </w:p>
    <w:p w:rsidR="00EE5083" w:rsidRPr="00021753" w:rsidRDefault="00EE5083" w:rsidP="00EE5083">
      <w:pPr>
        <w:pStyle w:val="ListParagraph"/>
        <w:numPr>
          <w:ilvl w:val="0"/>
          <w:numId w:val="4"/>
        </w:numPr>
        <w:spacing w:line="480" w:lineRule="auto"/>
        <w:rPr>
          <w:rFonts w:ascii="Times New Roman" w:hAnsi="Times New Roman"/>
          <w:sz w:val="24"/>
          <w:szCs w:val="24"/>
        </w:rPr>
      </w:pPr>
      <w:r w:rsidRPr="00021753">
        <w:rPr>
          <w:rFonts w:ascii="Times New Roman" w:hAnsi="Times New Roman"/>
          <w:sz w:val="24"/>
          <w:szCs w:val="24"/>
        </w:rPr>
        <w:t>Monitoring survey responses continuously and contacting non-respondents periodically with individualized reminders.</w:t>
      </w:r>
    </w:p>
    <w:p w:rsidR="00EE5083" w:rsidRPr="00C35B14" w:rsidRDefault="00EE5083" w:rsidP="00EE5083">
      <w:pPr>
        <w:pStyle w:val="ListParagraph"/>
        <w:numPr>
          <w:ilvl w:val="0"/>
          <w:numId w:val="4"/>
        </w:numPr>
        <w:spacing w:line="480" w:lineRule="auto"/>
        <w:rPr>
          <w:szCs w:val="24"/>
        </w:rPr>
      </w:pPr>
      <w:r w:rsidRPr="00C35B14">
        <w:rPr>
          <w:rFonts w:ascii="Times New Roman" w:hAnsi="Times New Roman"/>
          <w:sz w:val="24"/>
          <w:szCs w:val="24"/>
        </w:rPr>
        <w:t xml:space="preserve">Allowing respondents to save partially-completed survey responses to be completed later. When logging out of the system, respondents who have not yet completed the survey will </w:t>
      </w:r>
      <w:r w:rsidRPr="00C35B14">
        <w:rPr>
          <w:rFonts w:ascii="Times New Roman" w:hAnsi="Times New Roman"/>
          <w:sz w:val="24"/>
          <w:szCs w:val="24"/>
        </w:rPr>
        <w:lastRenderedPageBreak/>
        <w:t>be given an estimate of future effort (e.g. "survey 50% complete"); if a respondent wishes to submit an incomplete survey, they will be able to do so at any time.</w:t>
      </w:r>
    </w:p>
    <w:p w:rsidR="00EE5083" w:rsidRPr="00C35B14" w:rsidRDefault="00EE5083" w:rsidP="00EE5083">
      <w:pPr>
        <w:pStyle w:val="ListParagraph"/>
        <w:numPr>
          <w:ilvl w:val="0"/>
          <w:numId w:val="4"/>
        </w:numPr>
        <w:spacing w:line="480" w:lineRule="auto"/>
        <w:rPr>
          <w:rFonts w:ascii="Times New Roman" w:hAnsi="Times New Roman"/>
          <w:sz w:val="24"/>
          <w:szCs w:val="24"/>
        </w:rPr>
      </w:pPr>
      <w:r w:rsidRPr="00C35B14">
        <w:rPr>
          <w:rFonts w:ascii="Times New Roman" w:hAnsi="Times New Roman"/>
          <w:sz w:val="24"/>
          <w:szCs w:val="24"/>
        </w:rPr>
        <w:t xml:space="preserve">Obtaining contact information directly from NSF. Since the relevant awards are fairly recent, it is likely that the email addresses on record are valid. If any emails are bounced, web searches will be conducted in an attempt to update the contact information. </w:t>
      </w:r>
    </w:p>
    <w:p w:rsidR="00EE5083" w:rsidRPr="00C34ED8" w:rsidRDefault="00EE5083" w:rsidP="00EE5083">
      <w:pPr>
        <w:pStyle w:val="Heading1"/>
        <w:spacing w:line="480" w:lineRule="auto"/>
      </w:pPr>
      <w:bookmarkStart w:id="9" w:name="_Toc273692141"/>
      <w:bookmarkStart w:id="10" w:name="_Toc283391176"/>
      <w:r w:rsidRPr="00C34ED8">
        <w:t>B.4. Test of Procedures or Methods to be Undertaken</w:t>
      </w:r>
      <w:bookmarkEnd w:id="9"/>
      <w:bookmarkEnd w:id="10"/>
    </w:p>
    <w:p w:rsidR="00EE5083" w:rsidRPr="000962DF" w:rsidRDefault="00EE5083" w:rsidP="00215BF0">
      <w:pPr>
        <w:spacing w:line="480" w:lineRule="auto"/>
        <w:ind w:firstLine="720"/>
        <w:rPr>
          <w:sz w:val="24"/>
          <w:szCs w:val="24"/>
        </w:rPr>
      </w:pPr>
      <w:r w:rsidRPr="000962DF">
        <w:rPr>
          <w:sz w:val="24"/>
          <w:szCs w:val="24"/>
        </w:rPr>
        <w:t xml:space="preserve">As the </w:t>
      </w:r>
      <w:r w:rsidR="00215BF0">
        <w:rPr>
          <w:sz w:val="24"/>
          <w:szCs w:val="24"/>
        </w:rPr>
        <w:t xml:space="preserve">target </w:t>
      </w:r>
      <w:r w:rsidRPr="000962DF">
        <w:rPr>
          <w:sz w:val="24"/>
          <w:szCs w:val="24"/>
        </w:rPr>
        <w:t xml:space="preserve">respondent group for </w:t>
      </w:r>
      <w:r w:rsidR="00215BF0">
        <w:rPr>
          <w:sz w:val="24"/>
          <w:szCs w:val="24"/>
        </w:rPr>
        <w:t>the survey</w:t>
      </w:r>
      <w:r w:rsidRPr="000962DF">
        <w:rPr>
          <w:sz w:val="24"/>
          <w:szCs w:val="24"/>
        </w:rPr>
        <w:t xml:space="preserve"> is </w:t>
      </w:r>
      <w:r w:rsidR="00215BF0">
        <w:rPr>
          <w:sz w:val="24"/>
          <w:szCs w:val="24"/>
        </w:rPr>
        <w:t xml:space="preserve">relatively </w:t>
      </w:r>
      <w:r w:rsidRPr="000962DF">
        <w:rPr>
          <w:sz w:val="24"/>
          <w:szCs w:val="24"/>
        </w:rPr>
        <w:t>small, a formal pre</w:t>
      </w:r>
      <w:r w:rsidR="00840278">
        <w:rPr>
          <w:sz w:val="24"/>
          <w:szCs w:val="24"/>
        </w:rPr>
        <w:t>-</w:t>
      </w:r>
      <w:r w:rsidRPr="000962DF">
        <w:rPr>
          <w:sz w:val="24"/>
          <w:szCs w:val="24"/>
        </w:rPr>
        <w:t xml:space="preserve">test of the </w:t>
      </w:r>
      <w:r w:rsidR="00215BF0">
        <w:rPr>
          <w:sz w:val="24"/>
          <w:szCs w:val="24"/>
        </w:rPr>
        <w:t>instrument</w:t>
      </w:r>
      <w:r w:rsidRPr="000962DF">
        <w:rPr>
          <w:sz w:val="24"/>
          <w:szCs w:val="24"/>
        </w:rPr>
        <w:t xml:space="preserve"> will not be undertaken before the</w:t>
      </w:r>
      <w:r w:rsidR="00215BF0">
        <w:rPr>
          <w:sz w:val="24"/>
          <w:szCs w:val="24"/>
        </w:rPr>
        <w:t xml:space="preserve"> survey is</w:t>
      </w:r>
      <w:r w:rsidRPr="000962DF">
        <w:rPr>
          <w:sz w:val="24"/>
          <w:szCs w:val="24"/>
        </w:rPr>
        <w:t xml:space="preserve"> fielded. However, </w:t>
      </w:r>
      <w:r w:rsidR="00215BF0">
        <w:rPr>
          <w:sz w:val="24"/>
          <w:szCs w:val="24"/>
        </w:rPr>
        <w:t>the</w:t>
      </w:r>
      <w:r w:rsidRPr="000962DF">
        <w:rPr>
          <w:sz w:val="24"/>
          <w:szCs w:val="24"/>
        </w:rPr>
        <w:t xml:space="preserve"> instruments have been reviewed by NSF and contractor staff, including experts in </w:t>
      </w:r>
      <w:r w:rsidR="00840278">
        <w:rPr>
          <w:sz w:val="24"/>
          <w:szCs w:val="24"/>
        </w:rPr>
        <w:t xml:space="preserve">survey design and evaluation methods. A member of the contractor’s staff </w:t>
      </w:r>
      <w:r w:rsidRPr="000962DF">
        <w:rPr>
          <w:sz w:val="24"/>
          <w:szCs w:val="24"/>
        </w:rPr>
        <w:t xml:space="preserve">with </w:t>
      </w:r>
      <w:r w:rsidR="00840278">
        <w:rPr>
          <w:sz w:val="24"/>
          <w:szCs w:val="24"/>
        </w:rPr>
        <w:t xml:space="preserve">a </w:t>
      </w:r>
      <w:r w:rsidRPr="000962DF">
        <w:rPr>
          <w:sz w:val="24"/>
          <w:szCs w:val="24"/>
        </w:rPr>
        <w:t>background similar to the target respondents</w:t>
      </w:r>
      <w:r w:rsidR="00840278">
        <w:rPr>
          <w:sz w:val="24"/>
          <w:szCs w:val="24"/>
        </w:rPr>
        <w:t xml:space="preserve"> (geophysical engineering) also gave simulated responses to the survey questions based on a past project that was similar to NEES; the simulation was used to estimate burden and to verify that the language used in the survey questions would be familiar to potential respondents</w:t>
      </w:r>
      <w:r w:rsidRPr="000962DF">
        <w:rPr>
          <w:sz w:val="24"/>
          <w:szCs w:val="24"/>
        </w:rPr>
        <w:t>.</w:t>
      </w:r>
      <w:r w:rsidR="00840278">
        <w:rPr>
          <w:sz w:val="24"/>
          <w:szCs w:val="24"/>
        </w:rPr>
        <w:t xml:space="preserve"> </w:t>
      </w:r>
    </w:p>
    <w:p w:rsidR="00EE5083" w:rsidRPr="006A1EFC" w:rsidRDefault="00EE5083" w:rsidP="00EE5083">
      <w:pPr>
        <w:pStyle w:val="Heading1"/>
        <w:spacing w:line="480" w:lineRule="auto"/>
      </w:pPr>
      <w:bookmarkStart w:id="11" w:name="_Toc273692142"/>
      <w:bookmarkStart w:id="12" w:name="_Toc283391177"/>
      <w:r w:rsidRPr="006A1EFC">
        <w:t>B.5</w:t>
      </w:r>
      <w:r w:rsidRPr="000F5CD6">
        <w:t>. Individual</w:t>
      </w:r>
      <w:r w:rsidRPr="006A1EFC">
        <w:t xml:space="preserve"> Consulted on Statistical Aspects and Individual Collecting and/or Analyzing Data</w:t>
      </w:r>
      <w:bookmarkEnd w:id="11"/>
      <w:bookmarkEnd w:id="12"/>
    </w:p>
    <w:p w:rsidR="00EE5083" w:rsidRPr="000962DF" w:rsidRDefault="00EE5083" w:rsidP="00215BF0">
      <w:pPr>
        <w:spacing w:line="480" w:lineRule="auto"/>
        <w:ind w:firstLine="720"/>
        <w:rPr>
          <w:sz w:val="24"/>
          <w:szCs w:val="24"/>
        </w:rPr>
      </w:pPr>
      <w:r w:rsidRPr="000962DF">
        <w:rPr>
          <w:sz w:val="24"/>
          <w:szCs w:val="24"/>
        </w:rPr>
        <w:t xml:space="preserve">The design for this </w:t>
      </w:r>
      <w:r w:rsidR="00215BF0">
        <w:rPr>
          <w:sz w:val="24"/>
          <w:szCs w:val="24"/>
        </w:rPr>
        <w:t>information collection</w:t>
      </w:r>
      <w:r w:rsidRPr="000962DF">
        <w:rPr>
          <w:sz w:val="24"/>
          <w:szCs w:val="24"/>
        </w:rPr>
        <w:t xml:space="preserve"> was developed by the Science and Technology Policy Institute (STPI) in consultation with </w:t>
      </w:r>
      <w:r w:rsidR="00215BF0">
        <w:rPr>
          <w:sz w:val="24"/>
          <w:szCs w:val="24"/>
        </w:rPr>
        <w:t xml:space="preserve">the </w:t>
      </w:r>
      <w:r w:rsidRPr="000962DF">
        <w:rPr>
          <w:sz w:val="24"/>
          <w:szCs w:val="24"/>
        </w:rPr>
        <w:t xml:space="preserve">NSF. STPI Research Staff Member Dr. Brian Zuckerman will have primary responsibility for data collection and analysis. Dr. Zuckerman’s contact information is: </w:t>
      </w:r>
    </w:p>
    <w:p w:rsidR="00EE5083" w:rsidRPr="000962DF" w:rsidRDefault="00EE5083" w:rsidP="00EE5083">
      <w:pPr>
        <w:spacing w:line="480" w:lineRule="auto"/>
        <w:ind w:left="360"/>
        <w:rPr>
          <w:sz w:val="24"/>
          <w:szCs w:val="24"/>
        </w:rPr>
      </w:pPr>
      <w:r w:rsidRPr="000962DF">
        <w:rPr>
          <w:sz w:val="24"/>
          <w:szCs w:val="24"/>
        </w:rPr>
        <w:t>Brian Zuckerman, Ph.D.</w:t>
      </w:r>
    </w:p>
    <w:p w:rsidR="00EE5083" w:rsidRPr="000962DF" w:rsidRDefault="00EE5083" w:rsidP="00EE5083">
      <w:pPr>
        <w:spacing w:line="480" w:lineRule="auto"/>
        <w:ind w:left="360"/>
        <w:rPr>
          <w:sz w:val="24"/>
          <w:szCs w:val="24"/>
        </w:rPr>
      </w:pPr>
      <w:r w:rsidRPr="000962DF">
        <w:rPr>
          <w:rStyle w:val="normal0"/>
          <w:sz w:val="24"/>
          <w:szCs w:val="24"/>
        </w:rPr>
        <w:t>Research Staff Member, Science and Technology Policy Institute/IDA</w:t>
      </w:r>
    </w:p>
    <w:p w:rsidR="00EE5083" w:rsidRPr="000962DF" w:rsidRDefault="00EE5083" w:rsidP="00EE5083">
      <w:pPr>
        <w:spacing w:line="480" w:lineRule="auto"/>
        <w:ind w:left="360"/>
        <w:rPr>
          <w:sz w:val="24"/>
          <w:szCs w:val="24"/>
        </w:rPr>
      </w:pPr>
      <w:r w:rsidRPr="000962DF">
        <w:rPr>
          <w:sz w:val="24"/>
          <w:szCs w:val="24"/>
        </w:rPr>
        <w:t>1899 Pennsylvania Avenue NW, Suite 520</w:t>
      </w:r>
    </w:p>
    <w:p w:rsidR="00EE5083" w:rsidRPr="000962DF" w:rsidRDefault="00EE5083" w:rsidP="00EE5083">
      <w:pPr>
        <w:spacing w:line="480" w:lineRule="auto"/>
        <w:ind w:left="360"/>
        <w:rPr>
          <w:sz w:val="24"/>
          <w:szCs w:val="24"/>
        </w:rPr>
      </w:pPr>
      <w:r w:rsidRPr="000962DF">
        <w:rPr>
          <w:sz w:val="24"/>
          <w:szCs w:val="24"/>
        </w:rPr>
        <w:t>Washington, DC  20006</w:t>
      </w:r>
    </w:p>
    <w:p w:rsidR="00EE5083" w:rsidRPr="000962DF" w:rsidRDefault="00EE5083" w:rsidP="00EE5083">
      <w:pPr>
        <w:spacing w:line="480" w:lineRule="auto"/>
        <w:ind w:left="360"/>
        <w:rPr>
          <w:sz w:val="24"/>
          <w:szCs w:val="24"/>
        </w:rPr>
      </w:pPr>
      <w:r w:rsidRPr="000962DF">
        <w:rPr>
          <w:sz w:val="24"/>
          <w:szCs w:val="24"/>
        </w:rPr>
        <w:lastRenderedPageBreak/>
        <w:t>Phone: 202-419-5485</w:t>
      </w:r>
    </w:p>
    <w:p w:rsidR="00EE5083" w:rsidRPr="000962DF" w:rsidRDefault="00EE5083" w:rsidP="00EE5083">
      <w:pPr>
        <w:spacing w:line="480" w:lineRule="auto"/>
        <w:ind w:left="360"/>
        <w:rPr>
          <w:sz w:val="24"/>
          <w:szCs w:val="24"/>
        </w:rPr>
      </w:pPr>
      <w:r w:rsidRPr="000962DF">
        <w:rPr>
          <w:sz w:val="24"/>
          <w:szCs w:val="24"/>
        </w:rPr>
        <w:t xml:space="preserve">Email: </w:t>
      </w:r>
      <w:hyperlink r:id="rId10" w:history="1">
        <w:r w:rsidR="00846AF5" w:rsidRPr="00BF5DFC">
          <w:rPr>
            <w:rStyle w:val="Hyperlink"/>
            <w:sz w:val="24"/>
            <w:szCs w:val="24"/>
          </w:rPr>
          <w:t>bzuckerm@ida.org</w:t>
        </w:r>
      </w:hyperlink>
    </w:p>
    <w:p w:rsidR="00A536C7" w:rsidRPr="00A81373" w:rsidRDefault="00A536C7" w:rsidP="00215BF0"/>
    <w:sectPr w:rsidR="00A536C7" w:rsidRPr="00A81373" w:rsidSect="00FF4A80">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6D" w:rsidRDefault="00282F6D">
      <w:r>
        <w:separator/>
      </w:r>
    </w:p>
  </w:endnote>
  <w:endnote w:type="continuationSeparator" w:id="0">
    <w:p w:rsidR="00282F6D" w:rsidRDefault="00282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02" w:rsidRDefault="00B3781A">
    <w:pPr>
      <w:pStyle w:val="Footer"/>
      <w:framePr w:w="576" w:wrap="around" w:vAnchor="page" w:hAnchor="page" w:x="10945" w:y="15121"/>
      <w:jc w:val="right"/>
      <w:rPr>
        <w:rStyle w:val="PageNumber"/>
      </w:rPr>
    </w:pPr>
    <w:r>
      <w:rPr>
        <w:rStyle w:val="PageNumber"/>
      </w:rPr>
      <w:fldChar w:fldCharType="begin"/>
    </w:r>
    <w:r w:rsidR="00940C02">
      <w:rPr>
        <w:rStyle w:val="PageNumber"/>
      </w:rPr>
      <w:instrText xml:space="preserve">PAGE  </w:instrText>
    </w:r>
    <w:r>
      <w:rPr>
        <w:rStyle w:val="PageNumber"/>
      </w:rPr>
      <w:fldChar w:fldCharType="separate"/>
    </w:r>
    <w:r w:rsidR="00940C02">
      <w:rPr>
        <w:rStyle w:val="PageNumber"/>
        <w:noProof/>
      </w:rPr>
      <w:t>20</w:t>
    </w:r>
    <w:r>
      <w:rPr>
        <w:rStyle w:val="PageNumber"/>
      </w:rPr>
      <w:fldChar w:fldCharType="end"/>
    </w:r>
  </w:p>
  <w:p w:rsidR="00940C02" w:rsidRDefault="00940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02" w:rsidRDefault="00B3781A">
    <w:pPr>
      <w:pStyle w:val="Footer"/>
      <w:framePr w:w="576" w:wrap="around" w:vAnchor="page" w:hAnchor="page" w:x="10945" w:y="15121"/>
      <w:jc w:val="right"/>
      <w:rPr>
        <w:rStyle w:val="PageNumber"/>
      </w:rPr>
    </w:pPr>
    <w:r>
      <w:rPr>
        <w:rStyle w:val="PageNumber"/>
      </w:rPr>
      <w:fldChar w:fldCharType="begin"/>
    </w:r>
    <w:r w:rsidR="00940C02">
      <w:rPr>
        <w:rStyle w:val="PageNumber"/>
      </w:rPr>
      <w:instrText xml:space="preserve">PAGE  </w:instrText>
    </w:r>
    <w:r>
      <w:rPr>
        <w:rStyle w:val="PageNumber"/>
      </w:rPr>
      <w:fldChar w:fldCharType="separate"/>
    </w:r>
    <w:r w:rsidR="004126B6">
      <w:rPr>
        <w:rStyle w:val="PageNumber"/>
        <w:noProof/>
      </w:rPr>
      <w:t>2</w:t>
    </w:r>
    <w:r>
      <w:rPr>
        <w:rStyle w:val="PageNumber"/>
      </w:rPr>
      <w:fldChar w:fldCharType="end"/>
    </w:r>
  </w:p>
  <w:p w:rsidR="00940C02" w:rsidRDefault="00940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6D" w:rsidRDefault="00282F6D">
      <w:r>
        <w:separator/>
      </w:r>
    </w:p>
  </w:footnote>
  <w:footnote w:type="continuationSeparator" w:id="0">
    <w:p w:rsidR="00282F6D" w:rsidRDefault="00282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A7B"/>
    <w:multiLevelType w:val="hybridMultilevel"/>
    <w:tmpl w:val="C506F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7AAC"/>
    <w:multiLevelType w:val="hybridMultilevel"/>
    <w:tmpl w:val="F63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600D8"/>
    <w:multiLevelType w:val="hybridMultilevel"/>
    <w:tmpl w:val="1214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4">
    <w:nsid w:val="5C8C2DC0"/>
    <w:multiLevelType w:val="hybridMultilevel"/>
    <w:tmpl w:val="ABDC9D30"/>
    <w:lvl w:ilvl="0" w:tplc="C294271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C189D"/>
    <w:multiLevelType w:val="multilevel"/>
    <w:tmpl w:val="63F882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rsids>
    <w:rsidRoot w:val="00A536C7"/>
    <w:rsid w:val="00003BB2"/>
    <w:rsid w:val="00005C6F"/>
    <w:rsid w:val="000065FB"/>
    <w:rsid w:val="000171D7"/>
    <w:rsid w:val="0001732F"/>
    <w:rsid w:val="00027B66"/>
    <w:rsid w:val="000371CC"/>
    <w:rsid w:val="00042DC7"/>
    <w:rsid w:val="00054F6A"/>
    <w:rsid w:val="00055E93"/>
    <w:rsid w:val="00067870"/>
    <w:rsid w:val="000962DF"/>
    <w:rsid w:val="00096985"/>
    <w:rsid w:val="00096C45"/>
    <w:rsid w:val="00097271"/>
    <w:rsid w:val="000A4ED2"/>
    <w:rsid w:val="000B3AD1"/>
    <w:rsid w:val="000B6EB5"/>
    <w:rsid w:val="000D682C"/>
    <w:rsid w:val="000E74BA"/>
    <w:rsid w:val="000F5B86"/>
    <w:rsid w:val="00103B3E"/>
    <w:rsid w:val="00131FB9"/>
    <w:rsid w:val="00144187"/>
    <w:rsid w:val="00156D8E"/>
    <w:rsid w:val="001671F4"/>
    <w:rsid w:val="001809AB"/>
    <w:rsid w:val="001848FE"/>
    <w:rsid w:val="00184C67"/>
    <w:rsid w:val="00190FDB"/>
    <w:rsid w:val="001B0FFC"/>
    <w:rsid w:val="001B72A7"/>
    <w:rsid w:val="001F0FF6"/>
    <w:rsid w:val="00200A60"/>
    <w:rsid w:val="0021028E"/>
    <w:rsid w:val="00215BF0"/>
    <w:rsid w:val="00226FC1"/>
    <w:rsid w:val="002305B7"/>
    <w:rsid w:val="002469D3"/>
    <w:rsid w:val="002476C6"/>
    <w:rsid w:val="00282F6D"/>
    <w:rsid w:val="00293C59"/>
    <w:rsid w:val="002969E6"/>
    <w:rsid w:val="002A2AA7"/>
    <w:rsid w:val="002A62AB"/>
    <w:rsid w:val="002A78D7"/>
    <w:rsid w:val="002B39B3"/>
    <w:rsid w:val="002D233F"/>
    <w:rsid w:val="002D65FF"/>
    <w:rsid w:val="002E0CD8"/>
    <w:rsid w:val="002F6F4B"/>
    <w:rsid w:val="003013F5"/>
    <w:rsid w:val="0031056B"/>
    <w:rsid w:val="00332BF5"/>
    <w:rsid w:val="00332F9A"/>
    <w:rsid w:val="003419E4"/>
    <w:rsid w:val="0034307B"/>
    <w:rsid w:val="00357A91"/>
    <w:rsid w:val="00360255"/>
    <w:rsid w:val="0036286A"/>
    <w:rsid w:val="003840E0"/>
    <w:rsid w:val="003906F0"/>
    <w:rsid w:val="00391C54"/>
    <w:rsid w:val="003B7595"/>
    <w:rsid w:val="003D447E"/>
    <w:rsid w:val="004126B6"/>
    <w:rsid w:val="00417311"/>
    <w:rsid w:val="00426B71"/>
    <w:rsid w:val="004330C8"/>
    <w:rsid w:val="00442CC7"/>
    <w:rsid w:val="00461066"/>
    <w:rsid w:val="00467C7C"/>
    <w:rsid w:val="00471BC3"/>
    <w:rsid w:val="00483E2B"/>
    <w:rsid w:val="004849AB"/>
    <w:rsid w:val="004A20D2"/>
    <w:rsid w:val="004B20C8"/>
    <w:rsid w:val="004C1386"/>
    <w:rsid w:val="004C5A74"/>
    <w:rsid w:val="004D5D10"/>
    <w:rsid w:val="004E659C"/>
    <w:rsid w:val="004F2D7C"/>
    <w:rsid w:val="004F3C3C"/>
    <w:rsid w:val="00505F1D"/>
    <w:rsid w:val="00522953"/>
    <w:rsid w:val="00527F9D"/>
    <w:rsid w:val="00531F23"/>
    <w:rsid w:val="00552EC6"/>
    <w:rsid w:val="00556D31"/>
    <w:rsid w:val="005846F1"/>
    <w:rsid w:val="005879AE"/>
    <w:rsid w:val="005A5B77"/>
    <w:rsid w:val="005C3661"/>
    <w:rsid w:val="005E1FB0"/>
    <w:rsid w:val="005E4EB3"/>
    <w:rsid w:val="005E584A"/>
    <w:rsid w:val="005F5DFA"/>
    <w:rsid w:val="00600EF1"/>
    <w:rsid w:val="006108DD"/>
    <w:rsid w:val="0062220E"/>
    <w:rsid w:val="006352C0"/>
    <w:rsid w:val="00642A0E"/>
    <w:rsid w:val="00651131"/>
    <w:rsid w:val="006533D4"/>
    <w:rsid w:val="00657E6D"/>
    <w:rsid w:val="00666B51"/>
    <w:rsid w:val="00671D31"/>
    <w:rsid w:val="006855E9"/>
    <w:rsid w:val="006C3615"/>
    <w:rsid w:val="006C59F2"/>
    <w:rsid w:val="006D439C"/>
    <w:rsid w:val="00723ED1"/>
    <w:rsid w:val="007400AC"/>
    <w:rsid w:val="00757DF1"/>
    <w:rsid w:val="00777C4E"/>
    <w:rsid w:val="00781E46"/>
    <w:rsid w:val="007C36F7"/>
    <w:rsid w:val="007C5957"/>
    <w:rsid w:val="007D1F38"/>
    <w:rsid w:val="007D5C95"/>
    <w:rsid w:val="007E0277"/>
    <w:rsid w:val="007E18D7"/>
    <w:rsid w:val="0080308E"/>
    <w:rsid w:val="0081376E"/>
    <w:rsid w:val="00821E21"/>
    <w:rsid w:val="00835E75"/>
    <w:rsid w:val="00840278"/>
    <w:rsid w:val="00840B19"/>
    <w:rsid w:val="0084133B"/>
    <w:rsid w:val="0084230F"/>
    <w:rsid w:val="00846AF5"/>
    <w:rsid w:val="00853AC0"/>
    <w:rsid w:val="0085633B"/>
    <w:rsid w:val="008A72E1"/>
    <w:rsid w:val="008B0088"/>
    <w:rsid w:val="008B7581"/>
    <w:rsid w:val="008C541A"/>
    <w:rsid w:val="008F082E"/>
    <w:rsid w:val="0091132E"/>
    <w:rsid w:val="009138F3"/>
    <w:rsid w:val="00925D5A"/>
    <w:rsid w:val="00926C43"/>
    <w:rsid w:val="00927C8E"/>
    <w:rsid w:val="00934ECE"/>
    <w:rsid w:val="00937333"/>
    <w:rsid w:val="00940C02"/>
    <w:rsid w:val="00947A46"/>
    <w:rsid w:val="00952483"/>
    <w:rsid w:val="009714EE"/>
    <w:rsid w:val="00972045"/>
    <w:rsid w:val="00977E8D"/>
    <w:rsid w:val="00981FD2"/>
    <w:rsid w:val="0098794F"/>
    <w:rsid w:val="00990735"/>
    <w:rsid w:val="0099474E"/>
    <w:rsid w:val="00994FE6"/>
    <w:rsid w:val="009A09C9"/>
    <w:rsid w:val="009B04FE"/>
    <w:rsid w:val="009C060F"/>
    <w:rsid w:val="009C0739"/>
    <w:rsid w:val="009C6A7A"/>
    <w:rsid w:val="009C6FEF"/>
    <w:rsid w:val="009C7D81"/>
    <w:rsid w:val="009D2146"/>
    <w:rsid w:val="009F0A9B"/>
    <w:rsid w:val="00A02DBC"/>
    <w:rsid w:val="00A348E2"/>
    <w:rsid w:val="00A40B98"/>
    <w:rsid w:val="00A44C41"/>
    <w:rsid w:val="00A52A29"/>
    <w:rsid w:val="00A536C7"/>
    <w:rsid w:val="00A659EA"/>
    <w:rsid w:val="00A7084A"/>
    <w:rsid w:val="00A71523"/>
    <w:rsid w:val="00A81373"/>
    <w:rsid w:val="00AE3E1E"/>
    <w:rsid w:val="00AE3F6F"/>
    <w:rsid w:val="00AF1DA2"/>
    <w:rsid w:val="00B3781A"/>
    <w:rsid w:val="00B442AF"/>
    <w:rsid w:val="00B8481E"/>
    <w:rsid w:val="00B92A68"/>
    <w:rsid w:val="00BA7A40"/>
    <w:rsid w:val="00BB14E1"/>
    <w:rsid w:val="00BB7F0F"/>
    <w:rsid w:val="00BC0F57"/>
    <w:rsid w:val="00BC7D9D"/>
    <w:rsid w:val="00BD02B6"/>
    <w:rsid w:val="00BD3719"/>
    <w:rsid w:val="00BE319A"/>
    <w:rsid w:val="00C33ADA"/>
    <w:rsid w:val="00C415C8"/>
    <w:rsid w:val="00C43BC1"/>
    <w:rsid w:val="00C60B1B"/>
    <w:rsid w:val="00C70D11"/>
    <w:rsid w:val="00C80D5D"/>
    <w:rsid w:val="00C84975"/>
    <w:rsid w:val="00CA7A44"/>
    <w:rsid w:val="00CF4BCF"/>
    <w:rsid w:val="00D11ECD"/>
    <w:rsid w:val="00D177B5"/>
    <w:rsid w:val="00D32303"/>
    <w:rsid w:val="00D32AD4"/>
    <w:rsid w:val="00D37944"/>
    <w:rsid w:val="00D60DB5"/>
    <w:rsid w:val="00D618AF"/>
    <w:rsid w:val="00D703B5"/>
    <w:rsid w:val="00DA180A"/>
    <w:rsid w:val="00DA4831"/>
    <w:rsid w:val="00DB4738"/>
    <w:rsid w:val="00DC406C"/>
    <w:rsid w:val="00DC7675"/>
    <w:rsid w:val="00DE26D8"/>
    <w:rsid w:val="00DE56CD"/>
    <w:rsid w:val="00DE66D7"/>
    <w:rsid w:val="00E044DA"/>
    <w:rsid w:val="00E05C62"/>
    <w:rsid w:val="00E111C1"/>
    <w:rsid w:val="00E32C3A"/>
    <w:rsid w:val="00E3691D"/>
    <w:rsid w:val="00E52B71"/>
    <w:rsid w:val="00E6199B"/>
    <w:rsid w:val="00E647FA"/>
    <w:rsid w:val="00E671BD"/>
    <w:rsid w:val="00E747D7"/>
    <w:rsid w:val="00EC4F43"/>
    <w:rsid w:val="00ED0D67"/>
    <w:rsid w:val="00EE0DAA"/>
    <w:rsid w:val="00EE4A89"/>
    <w:rsid w:val="00EE5083"/>
    <w:rsid w:val="00EF35FF"/>
    <w:rsid w:val="00EF7AF2"/>
    <w:rsid w:val="00F01621"/>
    <w:rsid w:val="00F0420B"/>
    <w:rsid w:val="00F06745"/>
    <w:rsid w:val="00F313EE"/>
    <w:rsid w:val="00F31ED8"/>
    <w:rsid w:val="00F32969"/>
    <w:rsid w:val="00F350EF"/>
    <w:rsid w:val="00F35801"/>
    <w:rsid w:val="00F41873"/>
    <w:rsid w:val="00F461EA"/>
    <w:rsid w:val="00F7745B"/>
    <w:rsid w:val="00F83555"/>
    <w:rsid w:val="00F84374"/>
    <w:rsid w:val="00F90773"/>
    <w:rsid w:val="00FB0D33"/>
    <w:rsid w:val="00FB1A77"/>
    <w:rsid w:val="00FC53D9"/>
    <w:rsid w:val="00FE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86"/>
    <w:pPr>
      <w:widowControl w:val="0"/>
    </w:pPr>
    <w:rPr>
      <w:snapToGrid w:val="0"/>
    </w:rPr>
  </w:style>
  <w:style w:type="paragraph" w:styleId="Heading1">
    <w:name w:val="heading 1"/>
    <w:basedOn w:val="Normal"/>
    <w:next w:val="Normal"/>
    <w:qFormat/>
    <w:rsid w:val="004C1386"/>
    <w:pPr>
      <w:keepNext/>
      <w:outlineLvl w:val="0"/>
    </w:pPr>
    <w:rPr>
      <w:b/>
      <w:sz w:val="28"/>
      <w:u w:val="single"/>
    </w:rPr>
  </w:style>
  <w:style w:type="paragraph" w:styleId="Heading2">
    <w:name w:val="heading 2"/>
    <w:basedOn w:val="Normal"/>
    <w:next w:val="Normal"/>
    <w:qFormat/>
    <w:rsid w:val="004C1386"/>
    <w:pPr>
      <w:keepNext/>
      <w:outlineLvl w:val="1"/>
    </w:pPr>
    <w:rPr>
      <w:b/>
    </w:rPr>
  </w:style>
  <w:style w:type="paragraph" w:styleId="Heading3">
    <w:name w:val="heading 3"/>
    <w:basedOn w:val="Normal"/>
    <w:next w:val="Normal"/>
    <w:qFormat/>
    <w:rsid w:val="000678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4C1386"/>
    <w:pPr>
      <w:widowControl w:val="0"/>
      <w:ind w:left="720"/>
    </w:pPr>
    <w:rPr>
      <w:snapToGrid w:val="0"/>
      <w:sz w:val="24"/>
    </w:rPr>
  </w:style>
  <w:style w:type="paragraph" w:styleId="Footer">
    <w:name w:val="footer"/>
    <w:basedOn w:val="Normal"/>
    <w:rsid w:val="004C1386"/>
    <w:pPr>
      <w:tabs>
        <w:tab w:val="center" w:pos="4320"/>
        <w:tab w:val="right" w:pos="8640"/>
      </w:tabs>
    </w:pPr>
  </w:style>
  <w:style w:type="character" w:styleId="PageNumber">
    <w:name w:val="page number"/>
    <w:basedOn w:val="DefaultParagraphFont"/>
    <w:rsid w:val="004C1386"/>
  </w:style>
  <w:style w:type="paragraph" w:styleId="BodyText">
    <w:name w:val="Body Text"/>
    <w:basedOn w:val="Normal"/>
    <w:rsid w:val="00977E8D"/>
    <w:pPr>
      <w:widowControl/>
      <w:tabs>
        <w:tab w:val="left" w:pos="720"/>
        <w:tab w:val="left" w:pos="1080"/>
        <w:tab w:val="left" w:pos="1440"/>
        <w:tab w:val="left" w:pos="1800"/>
      </w:tabs>
      <w:autoSpaceDE w:val="0"/>
      <w:autoSpaceDN w:val="0"/>
      <w:adjustRightInd w:val="0"/>
      <w:spacing w:line="480" w:lineRule="auto"/>
    </w:pPr>
    <w:rPr>
      <w:snapToGrid/>
      <w:color w:val="000000"/>
      <w:sz w:val="24"/>
      <w:szCs w:val="22"/>
    </w:rPr>
  </w:style>
  <w:style w:type="paragraph" w:styleId="Title">
    <w:name w:val="Title"/>
    <w:basedOn w:val="Normal"/>
    <w:qFormat/>
    <w:rsid w:val="00977E8D"/>
    <w:pPr>
      <w:widowControl/>
      <w:tabs>
        <w:tab w:val="left" w:pos="720"/>
        <w:tab w:val="left" w:pos="1080"/>
        <w:tab w:val="left" w:pos="1440"/>
        <w:tab w:val="left" w:pos="1800"/>
      </w:tabs>
      <w:autoSpaceDE w:val="0"/>
      <w:autoSpaceDN w:val="0"/>
      <w:adjustRightInd w:val="0"/>
      <w:spacing w:line="480" w:lineRule="auto"/>
      <w:jc w:val="center"/>
    </w:pPr>
    <w:rPr>
      <w:b/>
      <w:bCs/>
      <w:snapToGrid/>
      <w:color w:val="000000"/>
      <w:sz w:val="24"/>
      <w:szCs w:val="22"/>
    </w:rPr>
  </w:style>
  <w:style w:type="paragraph" w:styleId="Subtitle">
    <w:name w:val="Subtitle"/>
    <w:basedOn w:val="Normal"/>
    <w:qFormat/>
    <w:rsid w:val="00977E8D"/>
    <w:pPr>
      <w:widowControl/>
      <w:tabs>
        <w:tab w:val="left" w:pos="720"/>
        <w:tab w:val="left" w:pos="1080"/>
        <w:tab w:val="left" w:pos="1440"/>
        <w:tab w:val="left" w:pos="1800"/>
      </w:tabs>
      <w:autoSpaceDE w:val="0"/>
      <w:autoSpaceDN w:val="0"/>
      <w:adjustRightInd w:val="0"/>
      <w:spacing w:line="480" w:lineRule="auto"/>
    </w:pPr>
    <w:rPr>
      <w:b/>
      <w:bCs/>
      <w:snapToGrid/>
      <w:color w:val="000000"/>
      <w:sz w:val="24"/>
      <w:szCs w:val="22"/>
    </w:rPr>
  </w:style>
  <w:style w:type="paragraph" w:styleId="BalloonText">
    <w:name w:val="Balloon Text"/>
    <w:basedOn w:val="Normal"/>
    <w:semiHidden/>
    <w:rsid w:val="00E52B71"/>
    <w:rPr>
      <w:rFonts w:ascii="Tahoma" w:hAnsi="Tahoma" w:cs="Tahoma"/>
      <w:sz w:val="16"/>
      <w:szCs w:val="16"/>
    </w:rPr>
  </w:style>
  <w:style w:type="paragraph" w:styleId="PlainText">
    <w:name w:val="Plain Text"/>
    <w:basedOn w:val="Normal"/>
    <w:rsid w:val="00067870"/>
    <w:pPr>
      <w:widowControl/>
    </w:pPr>
    <w:rPr>
      <w:rFonts w:ascii="Courier New" w:hAnsi="Courier New"/>
      <w:snapToGrid/>
    </w:rPr>
  </w:style>
  <w:style w:type="table" w:styleId="TableGrid">
    <w:name w:val="Table Grid"/>
    <w:basedOn w:val="TableNormal"/>
    <w:rsid w:val="00E61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D1F38"/>
    <w:pPr>
      <w:spacing w:after="120" w:line="480" w:lineRule="auto"/>
    </w:pPr>
  </w:style>
  <w:style w:type="character" w:styleId="CommentReference">
    <w:name w:val="annotation reference"/>
    <w:basedOn w:val="DefaultParagraphFont"/>
    <w:semiHidden/>
    <w:rsid w:val="002E0CD8"/>
    <w:rPr>
      <w:sz w:val="16"/>
      <w:szCs w:val="16"/>
    </w:rPr>
  </w:style>
  <w:style w:type="paragraph" w:styleId="CommentText">
    <w:name w:val="annotation text"/>
    <w:basedOn w:val="Normal"/>
    <w:semiHidden/>
    <w:rsid w:val="002E0CD8"/>
  </w:style>
  <w:style w:type="paragraph" w:styleId="CommentSubject">
    <w:name w:val="annotation subject"/>
    <w:basedOn w:val="CommentText"/>
    <w:next w:val="CommentText"/>
    <w:semiHidden/>
    <w:rsid w:val="002E0CD8"/>
    <w:rPr>
      <w:b/>
      <w:bCs/>
    </w:rPr>
  </w:style>
  <w:style w:type="paragraph" w:styleId="NormalWeb">
    <w:name w:val="Normal (Web)"/>
    <w:basedOn w:val="Normal"/>
    <w:uiPriority w:val="99"/>
    <w:rsid w:val="00E671BD"/>
    <w:pPr>
      <w:widowControl/>
      <w:spacing w:before="100" w:beforeAutospacing="1" w:after="100" w:afterAutospacing="1"/>
    </w:pPr>
    <w:rPr>
      <w:snapToGrid/>
      <w:sz w:val="24"/>
      <w:szCs w:val="24"/>
    </w:rPr>
  </w:style>
  <w:style w:type="paragraph" w:styleId="FootnoteText">
    <w:name w:val="footnote text"/>
    <w:basedOn w:val="Normal"/>
    <w:link w:val="FootnoteTextChar"/>
    <w:rsid w:val="00E671BD"/>
    <w:pPr>
      <w:widowControl/>
    </w:pPr>
    <w:rPr>
      <w:snapToGrid/>
    </w:rPr>
  </w:style>
  <w:style w:type="character" w:customStyle="1" w:styleId="FootnoteTextChar">
    <w:name w:val="Footnote Text Char"/>
    <w:basedOn w:val="DefaultParagraphFont"/>
    <w:link w:val="FootnoteText"/>
    <w:rsid w:val="00E671BD"/>
  </w:style>
  <w:style w:type="character" w:styleId="FootnoteReference">
    <w:name w:val="footnote reference"/>
    <w:basedOn w:val="DefaultParagraphFont"/>
    <w:rsid w:val="00E671BD"/>
    <w:rPr>
      <w:rFonts w:cs="Times New Roman"/>
      <w:vertAlign w:val="superscript"/>
    </w:rPr>
  </w:style>
  <w:style w:type="paragraph" w:styleId="ListParagraph">
    <w:name w:val="List Paragraph"/>
    <w:basedOn w:val="Normal"/>
    <w:uiPriority w:val="99"/>
    <w:qFormat/>
    <w:rsid w:val="006C3615"/>
    <w:pPr>
      <w:widowControl/>
      <w:ind w:left="720" w:firstLine="360"/>
      <w:contextualSpacing/>
    </w:pPr>
    <w:rPr>
      <w:rFonts w:ascii="Calibri" w:hAnsi="Calibri"/>
      <w:snapToGrid/>
      <w:sz w:val="22"/>
      <w:szCs w:val="22"/>
    </w:rPr>
  </w:style>
  <w:style w:type="paragraph" w:styleId="TOC1">
    <w:name w:val="toc 1"/>
    <w:autoRedefine/>
    <w:uiPriority w:val="39"/>
    <w:rsid w:val="00F0420B"/>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F0420B"/>
    <w:pPr>
      <w:tabs>
        <w:tab w:val="left" w:pos="720"/>
        <w:tab w:val="right" w:leader="dot" w:pos="9494"/>
      </w:tabs>
      <w:spacing w:before="120" w:after="120" w:line="240" w:lineRule="atLeast"/>
      <w:ind w:left="720" w:hanging="720"/>
    </w:pPr>
    <w:rPr>
      <w:smallCaps/>
    </w:rPr>
  </w:style>
  <w:style w:type="paragraph" w:styleId="TOCHeading">
    <w:name w:val="TOC Heading"/>
    <w:basedOn w:val="Heading1"/>
    <w:next w:val="Normal"/>
    <w:uiPriority w:val="39"/>
    <w:semiHidden/>
    <w:unhideWhenUsed/>
    <w:qFormat/>
    <w:rsid w:val="00D37944"/>
    <w:pPr>
      <w:keepLines/>
      <w:widowControl/>
      <w:spacing w:before="480" w:line="276" w:lineRule="auto"/>
      <w:outlineLvl w:val="9"/>
    </w:pPr>
    <w:rPr>
      <w:rFonts w:asciiTheme="majorHAnsi" w:eastAsiaTheme="majorEastAsia" w:hAnsiTheme="majorHAnsi" w:cstheme="majorBidi"/>
      <w:bCs/>
      <w:snapToGrid/>
      <w:color w:val="365F91" w:themeColor="accent1" w:themeShade="BF"/>
      <w:szCs w:val="28"/>
      <w:u w:val="none"/>
    </w:rPr>
  </w:style>
  <w:style w:type="character" w:styleId="Hyperlink">
    <w:name w:val="Hyperlink"/>
    <w:basedOn w:val="DefaultParagraphFont"/>
    <w:uiPriority w:val="99"/>
    <w:unhideWhenUsed/>
    <w:rsid w:val="00D37944"/>
    <w:rPr>
      <w:color w:val="0000FF" w:themeColor="hyperlink"/>
      <w:u w:val="single"/>
    </w:rPr>
  </w:style>
  <w:style w:type="paragraph" w:styleId="Header">
    <w:name w:val="header"/>
    <w:basedOn w:val="Normal"/>
    <w:link w:val="HeaderChar"/>
    <w:rsid w:val="00EE5083"/>
    <w:pPr>
      <w:widowControl/>
      <w:tabs>
        <w:tab w:val="center" w:pos="4320"/>
        <w:tab w:val="right" w:pos="8640"/>
      </w:tabs>
    </w:pPr>
    <w:rPr>
      <w:snapToGrid/>
      <w:sz w:val="24"/>
    </w:rPr>
  </w:style>
  <w:style w:type="character" w:customStyle="1" w:styleId="HeaderChar">
    <w:name w:val="Header Char"/>
    <w:basedOn w:val="DefaultParagraphFont"/>
    <w:link w:val="Header"/>
    <w:rsid w:val="00EE5083"/>
    <w:rPr>
      <w:sz w:val="24"/>
    </w:rPr>
  </w:style>
  <w:style w:type="character" w:customStyle="1" w:styleId="normal0">
    <w:name w:val="normal"/>
    <w:basedOn w:val="DefaultParagraphFont"/>
    <w:rsid w:val="00EE5083"/>
  </w:style>
  <w:style w:type="paragraph" w:styleId="ListBullet">
    <w:name w:val="List Bullet"/>
    <w:qFormat/>
    <w:rsid w:val="000A4ED2"/>
    <w:pPr>
      <w:numPr>
        <w:numId w:val="5"/>
      </w:numPr>
      <w:spacing w:after="120" w:line="320" w:lineRule="atLeast"/>
      <w:ind w:left="864"/>
    </w:pPr>
    <w:rPr>
      <w:sz w:val="24"/>
      <w:szCs w:val="24"/>
    </w:rPr>
  </w:style>
</w:styles>
</file>

<file path=word/webSettings.xml><?xml version="1.0" encoding="utf-8"?>
<w:webSettings xmlns:r="http://schemas.openxmlformats.org/officeDocument/2006/relationships" xmlns:w="http://schemas.openxmlformats.org/wordprocessingml/2006/main">
  <w:divs>
    <w:div w:id="37049766">
      <w:bodyDiv w:val="1"/>
      <w:marLeft w:val="0"/>
      <w:marRight w:val="0"/>
      <w:marTop w:val="0"/>
      <w:marBottom w:val="0"/>
      <w:divBdr>
        <w:top w:val="none" w:sz="0" w:space="0" w:color="auto"/>
        <w:left w:val="none" w:sz="0" w:space="0" w:color="auto"/>
        <w:bottom w:val="none" w:sz="0" w:space="0" w:color="auto"/>
        <w:right w:val="none" w:sz="0" w:space="0" w:color="auto"/>
      </w:divBdr>
    </w:div>
    <w:div w:id="297417747">
      <w:bodyDiv w:val="1"/>
      <w:marLeft w:val="0"/>
      <w:marRight w:val="0"/>
      <w:marTop w:val="0"/>
      <w:marBottom w:val="0"/>
      <w:divBdr>
        <w:top w:val="none" w:sz="0" w:space="0" w:color="auto"/>
        <w:left w:val="none" w:sz="0" w:space="0" w:color="auto"/>
        <w:bottom w:val="none" w:sz="0" w:space="0" w:color="auto"/>
        <w:right w:val="none" w:sz="0" w:space="0" w:color="auto"/>
      </w:divBdr>
    </w:div>
    <w:div w:id="1375500665">
      <w:bodyDiv w:val="1"/>
      <w:marLeft w:val="0"/>
      <w:marRight w:val="0"/>
      <w:marTop w:val="0"/>
      <w:marBottom w:val="0"/>
      <w:divBdr>
        <w:top w:val="none" w:sz="0" w:space="0" w:color="auto"/>
        <w:left w:val="none" w:sz="0" w:space="0" w:color="auto"/>
        <w:bottom w:val="none" w:sz="0" w:space="0" w:color="auto"/>
        <w:right w:val="none" w:sz="0" w:space="0" w:color="auto"/>
      </w:divBdr>
    </w:div>
    <w:div w:id="1563103935">
      <w:bodyDiv w:val="1"/>
      <w:marLeft w:val="0"/>
      <w:marRight w:val="0"/>
      <w:marTop w:val="0"/>
      <w:marBottom w:val="0"/>
      <w:divBdr>
        <w:top w:val="none" w:sz="0" w:space="0" w:color="auto"/>
        <w:left w:val="none" w:sz="0" w:space="0" w:color="auto"/>
        <w:bottom w:val="none" w:sz="0" w:space="0" w:color="auto"/>
        <w:right w:val="none" w:sz="0" w:space="0" w:color="auto"/>
      </w:divBdr>
    </w:div>
    <w:div w:id="17835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zuckerm@ida.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F6A4-5670-4B25-B2BD-9408684D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How To Prepare a Request For OMB Review</vt:lpstr>
    </vt:vector>
  </TitlesOfParts>
  <Company>OIT/NIH</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 Request For OMB Review</dc:title>
  <dc:subject>How To Prepare a Request For OMB Review</dc:subject>
  <dc:creator>BrierlyE</dc:creator>
  <cp:keywords>How To Prepare a Request For OMB Review</cp:keywords>
  <dc:description/>
  <cp:lastModifiedBy>m</cp:lastModifiedBy>
  <cp:revision>9</cp:revision>
  <cp:lastPrinted>2007-11-15T16:02:00Z</cp:lastPrinted>
  <dcterms:created xsi:type="dcterms:W3CDTF">2011-01-21T18:46:00Z</dcterms:created>
  <dcterms:modified xsi:type="dcterms:W3CDTF">2011-06-07T17:16:00Z</dcterms:modified>
</cp:coreProperties>
</file>