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0B" w:rsidRPr="00CA02BF" w:rsidRDefault="00F0420B" w:rsidP="00F0420B">
      <w:pPr>
        <w:jc w:val="center"/>
        <w:rPr>
          <w:sz w:val="32"/>
          <w:szCs w:val="32"/>
        </w:rPr>
      </w:pPr>
      <w:bookmarkStart w:id="0" w:name="OLE_LINK1"/>
      <w:bookmarkStart w:id="1" w:name="OLE_LINK2"/>
      <w:r w:rsidRPr="00CA02BF">
        <w:rPr>
          <w:sz w:val="32"/>
          <w:szCs w:val="32"/>
        </w:rPr>
        <w:t>Supporting Statement A for</w:t>
      </w:r>
    </w:p>
    <w:p w:rsidR="00F0420B" w:rsidRDefault="00F0420B" w:rsidP="00F0420B">
      <w:pPr>
        <w:ind w:left="1440" w:firstLine="720"/>
        <w:rPr>
          <w:sz w:val="28"/>
          <w:szCs w:val="28"/>
        </w:rPr>
      </w:pPr>
    </w:p>
    <w:p w:rsidR="00F0420B" w:rsidRDefault="00F0420B" w:rsidP="00F0420B">
      <w:pPr>
        <w:ind w:left="1440" w:firstLine="720"/>
        <w:rPr>
          <w:sz w:val="28"/>
          <w:szCs w:val="28"/>
        </w:rPr>
      </w:pPr>
      <w:r>
        <w:rPr>
          <w:sz w:val="28"/>
          <w:szCs w:val="28"/>
        </w:rPr>
        <w:t xml:space="preserve">         </w:t>
      </w:r>
    </w:p>
    <w:p w:rsidR="00F0420B" w:rsidRDefault="00F0420B" w:rsidP="00F0420B">
      <w:pPr>
        <w:ind w:left="1440" w:firstLine="720"/>
        <w:rPr>
          <w:sz w:val="28"/>
          <w:szCs w:val="28"/>
        </w:rPr>
      </w:pPr>
      <w:r>
        <w:rPr>
          <w:sz w:val="28"/>
          <w:szCs w:val="28"/>
        </w:rPr>
        <w:t xml:space="preserve">              </w:t>
      </w:r>
    </w:p>
    <w:p w:rsidR="00F0420B" w:rsidRDefault="00F0420B" w:rsidP="00F0420B">
      <w:pPr>
        <w:ind w:left="1440" w:firstLine="720"/>
        <w:rPr>
          <w:sz w:val="28"/>
          <w:szCs w:val="28"/>
        </w:rPr>
      </w:pPr>
    </w:p>
    <w:p w:rsidR="00F0420B" w:rsidRDefault="00F0420B" w:rsidP="00F0420B">
      <w:pPr>
        <w:ind w:left="1440" w:firstLine="720"/>
        <w:rPr>
          <w:sz w:val="28"/>
          <w:szCs w:val="28"/>
        </w:rPr>
      </w:pPr>
    </w:p>
    <w:p w:rsidR="00F0420B" w:rsidRPr="000F5B86" w:rsidRDefault="00F0420B" w:rsidP="00F0420B">
      <w:pPr>
        <w:spacing w:line="480" w:lineRule="auto"/>
        <w:jc w:val="center"/>
        <w:rPr>
          <w:b/>
          <w:sz w:val="28"/>
          <w:szCs w:val="28"/>
        </w:rPr>
      </w:pPr>
      <w:r>
        <w:rPr>
          <w:sz w:val="28"/>
          <w:szCs w:val="28"/>
        </w:rPr>
        <w:t xml:space="preserve">       </w:t>
      </w:r>
      <w:r w:rsidR="000F053E">
        <w:rPr>
          <w:b/>
          <w:sz w:val="24"/>
          <w:szCs w:val="24"/>
        </w:rPr>
        <w:t>Survey of Principal Investigators on Earthquake Engineering Research Awards Made by</w:t>
      </w:r>
      <w:r w:rsidR="009C6FEF" w:rsidRPr="004849AB">
        <w:rPr>
          <w:b/>
          <w:sz w:val="24"/>
          <w:szCs w:val="24"/>
        </w:rPr>
        <w:t xml:space="preserve"> the </w:t>
      </w:r>
      <w:r w:rsidR="000F053E">
        <w:rPr>
          <w:b/>
          <w:sz w:val="24"/>
        </w:rPr>
        <w:t>National Science Foundation, 2003-2009</w:t>
      </w: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r>
        <w:rPr>
          <w:sz w:val="32"/>
          <w:szCs w:val="32"/>
        </w:rPr>
        <w:t xml:space="preserve">                      Date: </w:t>
      </w:r>
      <w:r w:rsidR="008D10D5">
        <w:rPr>
          <w:sz w:val="32"/>
          <w:szCs w:val="32"/>
        </w:rPr>
        <w:t>June 7</w:t>
      </w:r>
      <w:r>
        <w:rPr>
          <w:sz w:val="32"/>
          <w:szCs w:val="32"/>
        </w:rPr>
        <w:t>, 201</w:t>
      </w:r>
      <w:r w:rsidR="005419FF">
        <w:rPr>
          <w:sz w:val="32"/>
          <w:szCs w:val="32"/>
        </w:rPr>
        <w:t>1</w:t>
      </w:r>
    </w:p>
    <w:p w:rsidR="00F0420B" w:rsidRDefault="00F0420B" w:rsidP="00F0420B">
      <w:pPr>
        <w:ind w:left="1440" w:firstLine="720"/>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0F053E" w:rsidRDefault="00F0420B" w:rsidP="00F0420B">
      <w:pPr>
        <w:rPr>
          <w:sz w:val="32"/>
          <w:szCs w:val="32"/>
        </w:rPr>
      </w:pPr>
    </w:p>
    <w:p w:rsidR="00F0420B" w:rsidRPr="00AB012F" w:rsidRDefault="00F0420B" w:rsidP="00F0420B">
      <w:pPr>
        <w:rPr>
          <w:sz w:val="24"/>
          <w:szCs w:val="24"/>
        </w:rPr>
      </w:pPr>
      <w:r w:rsidRPr="00AB012F">
        <w:rPr>
          <w:sz w:val="32"/>
          <w:szCs w:val="32"/>
        </w:rPr>
        <w:t xml:space="preserve">Name: </w:t>
      </w:r>
      <w:r w:rsidR="00AB012F" w:rsidRPr="00AB012F">
        <w:rPr>
          <w:sz w:val="24"/>
          <w:szCs w:val="24"/>
        </w:rPr>
        <w:t>Dr. Joy Pauschke</w:t>
      </w:r>
    </w:p>
    <w:p w:rsidR="00F0420B" w:rsidRPr="00AB012F" w:rsidRDefault="00F0420B" w:rsidP="00F0420B">
      <w:pPr>
        <w:rPr>
          <w:sz w:val="32"/>
          <w:szCs w:val="32"/>
        </w:rPr>
      </w:pPr>
      <w:r w:rsidRPr="00AB012F">
        <w:rPr>
          <w:sz w:val="32"/>
          <w:szCs w:val="32"/>
        </w:rPr>
        <w:t>Address:</w:t>
      </w:r>
      <w:r w:rsidR="002F6F4B" w:rsidRPr="00AB012F">
        <w:rPr>
          <w:sz w:val="32"/>
          <w:szCs w:val="32"/>
        </w:rPr>
        <w:t xml:space="preserve"> </w:t>
      </w:r>
      <w:r w:rsidR="00AB012F" w:rsidRPr="00AB012F">
        <w:rPr>
          <w:sz w:val="24"/>
        </w:rPr>
        <w:t>National Science Foundation, Suite 545, 4201 Wilson Blvd, Arlington, VA, 22230</w:t>
      </w:r>
    </w:p>
    <w:p w:rsidR="00F0420B" w:rsidRPr="00AB012F" w:rsidRDefault="00F0420B" w:rsidP="00F0420B">
      <w:pPr>
        <w:rPr>
          <w:sz w:val="32"/>
          <w:szCs w:val="32"/>
        </w:rPr>
      </w:pPr>
      <w:r w:rsidRPr="00AB012F">
        <w:rPr>
          <w:sz w:val="32"/>
          <w:szCs w:val="32"/>
        </w:rPr>
        <w:t>Telephone:</w:t>
      </w:r>
      <w:r w:rsidR="002F6F4B" w:rsidRPr="00AB012F">
        <w:rPr>
          <w:sz w:val="32"/>
          <w:szCs w:val="32"/>
        </w:rPr>
        <w:t xml:space="preserve"> </w:t>
      </w:r>
      <w:r w:rsidR="00AB012F" w:rsidRPr="00AB012F">
        <w:rPr>
          <w:sz w:val="24"/>
        </w:rPr>
        <w:t>703-292-8360</w:t>
      </w:r>
    </w:p>
    <w:p w:rsidR="00F0420B" w:rsidRPr="00AB012F" w:rsidRDefault="00F0420B" w:rsidP="00F0420B">
      <w:pPr>
        <w:rPr>
          <w:sz w:val="32"/>
          <w:szCs w:val="32"/>
        </w:rPr>
      </w:pPr>
      <w:r w:rsidRPr="00AB012F">
        <w:rPr>
          <w:sz w:val="32"/>
          <w:szCs w:val="32"/>
        </w:rPr>
        <w:t>Fax:</w:t>
      </w:r>
    </w:p>
    <w:p w:rsidR="00F0420B" w:rsidRDefault="00F0420B" w:rsidP="00F0420B">
      <w:pPr>
        <w:rPr>
          <w:sz w:val="32"/>
          <w:szCs w:val="32"/>
        </w:rPr>
      </w:pPr>
      <w:r w:rsidRPr="00AB012F">
        <w:rPr>
          <w:sz w:val="32"/>
          <w:szCs w:val="32"/>
        </w:rPr>
        <w:t xml:space="preserve">Email: </w:t>
      </w:r>
      <w:r w:rsidR="00AB012F" w:rsidRPr="00AB012F">
        <w:rPr>
          <w:sz w:val="24"/>
        </w:rPr>
        <w:t>jpauschk@nsf.gov</w:t>
      </w:r>
    </w:p>
    <w:p w:rsidR="00F0420B" w:rsidRDefault="00F0420B" w:rsidP="00F0420B">
      <w:pPr>
        <w:rPr>
          <w:sz w:val="32"/>
          <w:szCs w:val="32"/>
        </w:rPr>
      </w:pPr>
    </w:p>
    <w:p w:rsidR="00F0420B" w:rsidRDefault="00F0420B" w:rsidP="00F0420B">
      <w:pPr>
        <w:rPr>
          <w:sz w:val="32"/>
          <w:szCs w:val="32"/>
        </w:rPr>
      </w:pPr>
    </w:p>
    <w:p w:rsidR="00F0420B" w:rsidRDefault="00F0420B" w:rsidP="00F0420B">
      <w:pPr>
        <w:rPr>
          <w:sz w:val="32"/>
          <w:szCs w:val="32"/>
        </w:rPr>
      </w:pPr>
    </w:p>
    <w:p w:rsidR="00F0420B" w:rsidRDefault="00F0420B">
      <w:pPr>
        <w:widowControl/>
      </w:pPr>
      <w:r>
        <w:br w:type="page"/>
      </w:r>
    </w:p>
    <w:p w:rsidR="00F0420B" w:rsidRDefault="00F0420B" w:rsidP="00F0420B">
      <w:pPr>
        <w:rPr>
          <w:caps/>
          <w:noProof/>
        </w:rPr>
      </w:pPr>
    </w:p>
    <w:sdt>
      <w:sdtPr>
        <w:rPr>
          <w:rFonts w:ascii="Times New Roman" w:eastAsia="Times New Roman" w:hAnsi="Times New Roman" w:cs="Times New Roman"/>
          <w:b w:val="0"/>
          <w:bCs w:val="0"/>
          <w:snapToGrid w:val="0"/>
          <w:color w:val="auto"/>
          <w:sz w:val="20"/>
          <w:szCs w:val="20"/>
        </w:rPr>
        <w:id w:val="34760985"/>
        <w:docPartObj>
          <w:docPartGallery w:val="Table of Contents"/>
          <w:docPartUnique/>
        </w:docPartObj>
      </w:sdtPr>
      <w:sdtContent>
        <w:p w:rsidR="00D37944" w:rsidRPr="00200A60" w:rsidRDefault="00D37944">
          <w:pPr>
            <w:pStyle w:val="TOCHeading"/>
            <w:rPr>
              <w:sz w:val="20"/>
            </w:rPr>
          </w:pPr>
          <w:r w:rsidRPr="00200A60">
            <w:rPr>
              <w:sz w:val="20"/>
            </w:rPr>
            <w:t>Contents</w:t>
          </w:r>
        </w:p>
        <w:p w:rsidR="00F2455C" w:rsidRDefault="00D468FE">
          <w:pPr>
            <w:pStyle w:val="TOC1"/>
            <w:rPr>
              <w:rFonts w:asciiTheme="minorHAnsi" w:eastAsiaTheme="minorEastAsia" w:hAnsiTheme="minorHAnsi" w:cstheme="minorBidi"/>
              <w:b w:val="0"/>
              <w:caps w:val="0"/>
              <w:sz w:val="22"/>
              <w:szCs w:val="22"/>
            </w:rPr>
          </w:pPr>
          <w:r w:rsidRPr="00D468FE">
            <w:rPr>
              <w:sz w:val="18"/>
            </w:rPr>
            <w:fldChar w:fldCharType="begin"/>
          </w:r>
          <w:r w:rsidR="00D37944" w:rsidRPr="00200A60">
            <w:rPr>
              <w:sz w:val="18"/>
            </w:rPr>
            <w:instrText xml:space="preserve"> TOC \o "1-3" \h \z \u </w:instrText>
          </w:r>
          <w:r w:rsidRPr="00D468FE">
            <w:rPr>
              <w:sz w:val="18"/>
            </w:rPr>
            <w:fldChar w:fldCharType="separate"/>
          </w:r>
          <w:hyperlink w:anchor="_Toc284584890" w:history="1">
            <w:r w:rsidR="00F2455C" w:rsidRPr="00365426">
              <w:rPr>
                <w:rStyle w:val="Hyperlink"/>
              </w:rPr>
              <w:t>A.1. Circumstances Making the Collection of Information Necessary</w:t>
            </w:r>
            <w:r w:rsidR="00F2455C">
              <w:rPr>
                <w:webHidden/>
              </w:rPr>
              <w:tab/>
            </w:r>
            <w:r>
              <w:rPr>
                <w:webHidden/>
              </w:rPr>
              <w:fldChar w:fldCharType="begin"/>
            </w:r>
            <w:r w:rsidR="00F2455C">
              <w:rPr>
                <w:webHidden/>
              </w:rPr>
              <w:instrText xml:space="preserve"> PAGEREF _Toc284584890 \h </w:instrText>
            </w:r>
            <w:r>
              <w:rPr>
                <w:webHidden/>
              </w:rPr>
            </w:r>
            <w:r>
              <w:rPr>
                <w:webHidden/>
              </w:rPr>
              <w:fldChar w:fldCharType="separate"/>
            </w:r>
            <w:r w:rsidR="00F2455C">
              <w:rPr>
                <w:webHidden/>
              </w:rPr>
              <w:t>5</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1" w:history="1">
            <w:r w:rsidR="00F2455C" w:rsidRPr="00365426">
              <w:rPr>
                <w:rStyle w:val="Hyperlink"/>
              </w:rPr>
              <w:t>A.2. Purpose and Use of the Information</w:t>
            </w:r>
            <w:r w:rsidR="00F2455C">
              <w:rPr>
                <w:webHidden/>
              </w:rPr>
              <w:tab/>
            </w:r>
            <w:r>
              <w:rPr>
                <w:webHidden/>
              </w:rPr>
              <w:fldChar w:fldCharType="begin"/>
            </w:r>
            <w:r w:rsidR="00F2455C">
              <w:rPr>
                <w:webHidden/>
              </w:rPr>
              <w:instrText xml:space="preserve"> PAGEREF _Toc284584891 \h </w:instrText>
            </w:r>
            <w:r>
              <w:rPr>
                <w:webHidden/>
              </w:rPr>
            </w:r>
            <w:r>
              <w:rPr>
                <w:webHidden/>
              </w:rPr>
              <w:fldChar w:fldCharType="separate"/>
            </w:r>
            <w:r w:rsidR="00F2455C">
              <w:rPr>
                <w:webHidden/>
              </w:rPr>
              <w:t>5</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2" w:history="1">
            <w:r w:rsidR="00F2455C" w:rsidRPr="00365426">
              <w:rPr>
                <w:rStyle w:val="Hyperlink"/>
              </w:rPr>
              <w:t>A.3. Use of Information Technology and Burden Reduction</w:t>
            </w:r>
            <w:r w:rsidR="00F2455C">
              <w:rPr>
                <w:webHidden/>
              </w:rPr>
              <w:tab/>
            </w:r>
            <w:r>
              <w:rPr>
                <w:webHidden/>
              </w:rPr>
              <w:fldChar w:fldCharType="begin"/>
            </w:r>
            <w:r w:rsidR="00F2455C">
              <w:rPr>
                <w:webHidden/>
              </w:rPr>
              <w:instrText xml:space="preserve"> PAGEREF _Toc284584892 \h </w:instrText>
            </w:r>
            <w:r>
              <w:rPr>
                <w:webHidden/>
              </w:rPr>
            </w:r>
            <w:r>
              <w:rPr>
                <w:webHidden/>
              </w:rPr>
              <w:fldChar w:fldCharType="separate"/>
            </w:r>
            <w:r w:rsidR="00F2455C">
              <w:rPr>
                <w:webHidden/>
              </w:rPr>
              <w:t>6</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3" w:history="1">
            <w:r w:rsidR="00F2455C" w:rsidRPr="00365426">
              <w:rPr>
                <w:rStyle w:val="Hyperlink"/>
              </w:rPr>
              <w:t>A.4. Efforts to Identify Duplication and Use of Similar Information</w:t>
            </w:r>
            <w:r w:rsidR="00F2455C">
              <w:rPr>
                <w:webHidden/>
              </w:rPr>
              <w:tab/>
            </w:r>
            <w:r>
              <w:rPr>
                <w:webHidden/>
              </w:rPr>
              <w:fldChar w:fldCharType="begin"/>
            </w:r>
            <w:r w:rsidR="00F2455C">
              <w:rPr>
                <w:webHidden/>
              </w:rPr>
              <w:instrText xml:space="preserve"> PAGEREF _Toc284584893 \h </w:instrText>
            </w:r>
            <w:r>
              <w:rPr>
                <w:webHidden/>
              </w:rPr>
            </w:r>
            <w:r>
              <w:rPr>
                <w:webHidden/>
              </w:rPr>
              <w:fldChar w:fldCharType="separate"/>
            </w:r>
            <w:r w:rsidR="00F2455C">
              <w:rPr>
                <w:webHidden/>
              </w:rPr>
              <w:t>6</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4" w:history="1">
            <w:r w:rsidR="00F2455C" w:rsidRPr="00365426">
              <w:rPr>
                <w:rStyle w:val="Hyperlink"/>
              </w:rPr>
              <w:t>A.5. Impact on Small Businesses or Other Small Entities</w:t>
            </w:r>
            <w:r w:rsidR="00F2455C">
              <w:rPr>
                <w:webHidden/>
              </w:rPr>
              <w:tab/>
            </w:r>
            <w:r>
              <w:rPr>
                <w:webHidden/>
              </w:rPr>
              <w:fldChar w:fldCharType="begin"/>
            </w:r>
            <w:r w:rsidR="00F2455C">
              <w:rPr>
                <w:webHidden/>
              </w:rPr>
              <w:instrText xml:space="preserve"> PAGEREF _Toc284584894 \h </w:instrText>
            </w:r>
            <w:r>
              <w:rPr>
                <w:webHidden/>
              </w:rPr>
            </w:r>
            <w:r>
              <w:rPr>
                <w:webHidden/>
              </w:rPr>
              <w:fldChar w:fldCharType="separate"/>
            </w:r>
            <w:r w:rsidR="00F2455C">
              <w:rPr>
                <w:webHidden/>
              </w:rPr>
              <w:t>7</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5" w:history="1">
            <w:r w:rsidR="00F2455C" w:rsidRPr="00365426">
              <w:rPr>
                <w:rStyle w:val="Hyperlink"/>
              </w:rPr>
              <w:t>A.6. Consequences of Collecting the Information Less Frequently</w:t>
            </w:r>
            <w:r w:rsidR="00F2455C">
              <w:rPr>
                <w:webHidden/>
              </w:rPr>
              <w:tab/>
            </w:r>
            <w:r>
              <w:rPr>
                <w:webHidden/>
              </w:rPr>
              <w:fldChar w:fldCharType="begin"/>
            </w:r>
            <w:r w:rsidR="00F2455C">
              <w:rPr>
                <w:webHidden/>
              </w:rPr>
              <w:instrText xml:space="preserve"> PAGEREF _Toc284584895 \h </w:instrText>
            </w:r>
            <w:r>
              <w:rPr>
                <w:webHidden/>
              </w:rPr>
            </w:r>
            <w:r>
              <w:rPr>
                <w:webHidden/>
              </w:rPr>
              <w:fldChar w:fldCharType="separate"/>
            </w:r>
            <w:r w:rsidR="00F2455C">
              <w:rPr>
                <w:webHidden/>
              </w:rPr>
              <w:t>7</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6" w:history="1">
            <w:r w:rsidR="00F2455C" w:rsidRPr="00365426">
              <w:rPr>
                <w:rStyle w:val="Hyperlink"/>
              </w:rPr>
              <w:t>A.7. Special Circumstances Relating to the Guidelines of 5 CFR 1320.5</w:t>
            </w:r>
            <w:r w:rsidR="00F2455C">
              <w:rPr>
                <w:webHidden/>
              </w:rPr>
              <w:tab/>
            </w:r>
            <w:r>
              <w:rPr>
                <w:webHidden/>
              </w:rPr>
              <w:fldChar w:fldCharType="begin"/>
            </w:r>
            <w:r w:rsidR="00F2455C">
              <w:rPr>
                <w:webHidden/>
              </w:rPr>
              <w:instrText xml:space="preserve"> PAGEREF _Toc284584896 \h </w:instrText>
            </w:r>
            <w:r>
              <w:rPr>
                <w:webHidden/>
              </w:rPr>
            </w:r>
            <w:r>
              <w:rPr>
                <w:webHidden/>
              </w:rPr>
              <w:fldChar w:fldCharType="separate"/>
            </w:r>
            <w:r w:rsidR="00F2455C">
              <w:rPr>
                <w:webHidden/>
              </w:rPr>
              <w:t>7</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7" w:history="1">
            <w:r w:rsidR="00F2455C" w:rsidRPr="00365426">
              <w:rPr>
                <w:rStyle w:val="Hyperlink"/>
              </w:rPr>
              <w:t>A.8. Comments in Response to the Federal Register Notice and Efforts to Consult Outside Agency</w:t>
            </w:r>
            <w:r w:rsidR="00F2455C">
              <w:rPr>
                <w:webHidden/>
              </w:rPr>
              <w:tab/>
            </w:r>
            <w:r>
              <w:rPr>
                <w:webHidden/>
              </w:rPr>
              <w:fldChar w:fldCharType="begin"/>
            </w:r>
            <w:r w:rsidR="00F2455C">
              <w:rPr>
                <w:webHidden/>
              </w:rPr>
              <w:instrText xml:space="preserve"> PAGEREF _Toc284584897 \h </w:instrText>
            </w:r>
            <w:r>
              <w:rPr>
                <w:webHidden/>
              </w:rPr>
            </w:r>
            <w:r>
              <w:rPr>
                <w:webHidden/>
              </w:rPr>
              <w:fldChar w:fldCharType="separate"/>
            </w:r>
            <w:r w:rsidR="00F2455C">
              <w:rPr>
                <w:webHidden/>
              </w:rPr>
              <w:t>7</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8" w:history="1">
            <w:r w:rsidR="00F2455C" w:rsidRPr="00365426">
              <w:rPr>
                <w:rStyle w:val="Hyperlink"/>
              </w:rPr>
              <w:t>A.9. Explanation of Any Payment or Gift to Respondents</w:t>
            </w:r>
            <w:r w:rsidR="00F2455C">
              <w:rPr>
                <w:webHidden/>
              </w:rPr>
              <w:tab/>
            </w:r>
            <w:r>
              <w:rPr>
                <w:webHidden/>
              </w:rPr>
              <w:fldChar w:fldCharType="begin"/>
            </w:r>
            <w:r w:rsidR="00F2455C">
              <w:rPr>
                <w:webHidden/>
              </w:rPr>
              <w:instrText xml:space="preserve"> PAGEREF _Toc284584898 \h </w:instrText>
            </w:r>
            <w:r>
              <w:rPr>
                <w:webHidden/>
              </w:rPr>
            </w:r>
            <w:r>
              <w:rPr>
                <w:webHidden/>
              </w:rPr>
              <w:fldChar w:fldCharType="separate"/>
            </w:r>
            <w:r w:rsidR="00F2455C">
              <w:rPr>
                <w:webHidden/>
              </w:rPr>
              <w:t>8</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899" w:history="1">
            <w:r w:rsidR="00F2455C" w:rsidRPr="00365426">
              <w:rPr>
                <w:rStyle w:val="Hyperlink"/>
              </w:rPr>
              <w:t>A.10. Assurance of Confidentiality Provided to Respondents</w:t>
            </w:r>
            <w:r w:rsidR="00F2455C">
              <w:rPr>
                <w:webHidden/>
              </w:rPr>
              <w:tab/>
            </w:r>
            <w:r>
              <w:rPr>
                <w:webHidden/>
              </w:rPr>
              <w:fldChar w:fldCharType="begin"/>
            </w:r>
            <w:r w:rsidR="00F2455C">
              <w:rPr>
                <w:webHidden/>
              </w:rPr>
              <w:instrText xml:space="preserve"> PAGEREF _Toc284584899 \h </w:instrText>
            </w:r>
            <w:r>
              <w:rPr>
                <w:webHidden/>
              </w:rPr>
            </w:r>
            <w:r>
              <w:rPr>
                <w:webHidden/>
              </w:rPr>
              <w:fldChar w:fldCharType="separate"/>
            </w:r>
            <w:r w:rsidR="00F2455C">
              <w:rPr>
                <w:webHidden/>
              </w:rPr>
              <w:t>8</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900" w:history="1">
            <w:r w:rsidR="00F2455C" w:rsidRPr="00365426">
              <w:rPr>
                <w:rStyle w:val="Hyperlink"/>
              </w:rPr>
              <w:t>A.11. Justification for Sensitive Questions</w:t>
            </w:r>
            <w:r w:rsidR="00F2455C">
              <w:rPr>
                <w:webHidden/>
              </w:rPr>
              <w:tab/>
            </w:r>
            <w:r>
              <w:rPr>
                <w:webHidden/>
              </w:rPr>
              <w:fldChar w:fldCharType="begin"/>
            </w:r>
            <w:r w:rsidR="00F2455C">
              <w:rPr>
                <w:webHidden/>
              </w:rPr>
              <w:instrText xml:space="preserve"> PAGEREF _Toc284584900 \h </w:instrText>
            </w:r>
            <w:r>
              <w:rPr>
                <w:webHidden/>
              </w:rPr>
            </w:r>
            <w:r>
              <w:rPr>
                <w:webHidden/>
              </w:rPr>
              <w:fldChar w:fldCharType="separate"/>
            </w:r>
            <w:r w:rsidR="00F2455C">
              <w:rPr>
                <w:webHidden/>
              </w:rPr>
              <w:t>8</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901" w:history="1">
            <w:r w:rsidR="00F2455C" w:rsidRPr="00365426">
              <w:rPr>
                <w:rStyle w:val="Hyperlink"/>
              </w:rPr>
              <w:t>A.12. Estimates of Hour Burden Including Annualized Hourly Costs</w:t>
            </w:r>
            <w:r w:rsidR="00F2455C">
              <w:rPr>
                <w:webHidden/>
              </w:rPr>
              <w:tab/>
            </w:r>
            <w:r>
              <w:rPr>
                <w:webHidden/>
              </w:rPr>
              <w:fldChar w:fldCharType="begin"/>
            </w:r>
            <w:r w:rsidR="00F2455C">
              <w:rPr>
                <w:webHidden/>
              </w:rPr>
              <w:instrText xml:space="preserve"> PAGEREF _Toc284584901 \h </w:instrText>
            </w:r>
            <w:r>
              <w:rPr>
                <w:webHidden/>
              </w:rPr>
            </w:r>
            <w:r>
              <w:rPr>
                <w:webHidden/>
              </w:rPr>
              <w:fldChar w:fldCharType="separate"/>
            </w:r>
            <w:r w:rsidR="00F2455C">
              <w:rPr>
                <w:webHidden/>
              </w:rPr>
              <w:t>9</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902" w:history="1">
            <w:r w:rsidR="00F2455C" w:rsidRPr="00365426">
              <w:rPr>
                <w:rStyle w:val="Hyperlink"/>
              </w:rPr>
              <w:t>A.13. Estimate of Other Total Annual Cost Burden to Respondents or Recordkeepers</w:t>
            </w:r>
            <w:r w:rsidR="00F2455C">
              <w:rPr>
                <w:webHidden/>
              </w:rPr>
              <w:tab/>
            </w:r>
            <w:r>
              <w:rPr>
                <w:webHidden/>
              </w:rPr>
              <w:fldChar w:fldCharType="begin"/>
            </w:r>
            <w:r w:rsidR="00F2455C">
              <w:rPr>
                <w:webHidden/>
              </w:rPr>
              <w:instrText xml:space="preserve"> PAGEREF _Toc284584902 \h </w:instrText>
            </w:r>
            <w:r>
              <w:rPr>
                <w:webHidden/>
              </w:rPr>
            </w:r>
            <w:r>
              <w:rPr>
                <w:webHidden/>
              </w:rPr>
              <w:fldChar w:fldCharType="separate"/>
            </w:r>
            <w:r w:rsidR="00F2455C">
              <w:rPr>
                <w:webHidden/>
              </w:rPr>
              <w:t>9</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903" w:history="1">
            <w:r w:rsidR="00F2455C" w:rsidRPr="00365426">
              <w:rPr>
                <w:rStyle w:val="Hyperlink"/>
              </w:rPr>
              <w:t>A.14. Annualized Cost to the Federal Government</w:t>
            </w:r>
            <w:r w:rsidR="00F2455C">
              <w:rPr>
                <w:webHidden/>
              </w:rPr>
              <w:tab/>
            </w:r>
            <w:r>
              <w:rPr>
                <w:webHidden/>
              </w:rPr>
              <w:fldChar w:fldCharType="begin"/>
            </w:r>
            <w:r w:rsidR="00F2455C">
              <w:rPr>
                <w:webHidden/>
              </w:rPr>
              <w:instrText xml:space="preserve"> PAGEREF _Toc284584903 \h </w:instrText>
            </w:r>
            <w:r>
              <w:rPr>
                <w:webHidden/>
              </w:rPr>
            </w:r>
            <w:r>
              <w:rPr>
                <w:webHidden/>
              </w:rPr>
              <w:fldChar w:fldCharType="separate"/>
            </w:r>
            <w:r w:rsidR="00F2455C">
              <w:rPr>
                <w:webHidden/>
              </w:rPr>
              <w:t>10</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904" w:history="1">
            <w:r w:rsidR="00F2455C" w:rsidRPr="00365426">
              <w:rPr>
                <w:rStyle w:val="Hyperlink"/>
              </w:rPr>
              <w:t>A.15. Explanation for Program Changes or Adjustments</w:t>
            </w:r>
            <w:r w:rsidR="00F2455C">
              <w:rPr>
                <w:webHidden/>
              </w:rPr>
              <w:tab/>
            </w:r>
            <w:r>
              <w:rPr>
                <w:webHidden/>
              </w:rPr>
              <w:fldChar w:fldCharType="begin"/>
            </w:r>
            <w:r w:rsidR="00F2455C">
              <w:rPr>
                <w:webHidden/>
              </w:rPr>
              <w:instrText xml:space="preserve"> PAGEREF _Toc284584904 \h </w:instrText>
            </w:r>
            <w:r>
              <w:rPr>
                <w:webHidden/>
              </w:rPr>
            </w:r>
            <w:r>
              <w:rPr>
                <w:webHidden/>
              </w:rPr>
              <w:fldChar w:fldCharType="separate"/>
            </w:r>
            <w:r w:rsidR="00F2455C">
              <w:rPr>
                <w:webHidden/>
              </w:rPr>
              <w:t>10</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905" w:history="1">
            <w:r w:rsidR="00F2455C" w:rsidRPr="00365426">
              <w:rPr>
                <w:rStyle w:val="Hyperlink"/>
              </w:rPr>
              <w:t>A.16. Plans for Tabulation and Publication and Project Time Schedule</w:t>
            </w:r>
            <w:r w:rsidR="00F2455C">
              <w:rPr>
                <w:webHidden/>
              </w:rPr>
              <w:tab/>
            </w:r>
            <w:r>
              <w:rPr>
                <w:webHidden/>
              </w:rPr>
              <w:fldChar w:fldCharType="begin"/>
            </w:r>
            <w:r w:rsidR="00F2455C">
              <w:rPr>
                <w:webHidden/>
              </w:rPr>
              <w:instrText xml:space="preserve"> PAGEREF _Toc284584905 \h </w:instrText>
            </w:r>
            <w:r>
              <w:rPr>
                <w:webHidden/>
              </w:rPr>
            </w:r>
            <w:r>
              <w:rPr>
                <w:webHidden/>
              </w:rPr>
              <w:fldChar w:fldCharType="separate"/>
            </w:r>
            <w:r w:rsidR="00F2455C">
              <w:rPr>
                <w:webHidden/>
              </w:rPr>
              <w:t>10</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906" w:history="1">
            <w:r w:rsidR="00F2455C" w:rsidRPr="00365426">
              <w:rPr>
                <w:rStyle w:val="Hyperlink"/>
              </w:rPr>
              <w:t>A.17. Reason(s) Display of OMB Expiration Date is Inappropriate</w:t>
            </w:r>
            <w:r w:rsidR="00F2455C">
              <w:rPr>
                <w:webHidden/>
              </w:rPr>
              <w:tab/>
            </w:r>
            <w:r>
              <w:rPr>
                <w:webHidden/>
              </w:rPr>
              <w:fldChar w:fldCharType="begin"/>
            </w:r>
            <w:r w:rsidR="00F2455C">
              <w:rPr>
                <w:webHidden/>
              </w:rPr>
              <w:instrText xml:space="preserve"> PAGEREF _Toc284584906 \h </w:instrText>
            </w:r>
            <w:r>
              <w:rPr>
                <w:webHidden/>
              </w:rPr>
            </w:r>
            <w:r>
              <w:rPr>
                <w:webHidden/>
              </w:rPr>
              <w:fldChar w:fldCharType="separate"/>
            </w:r>
            <w:r w:rsidR="00F2455C">
              <w:rPr>
                <w:webHidden/>
              </w:rPr>
              <w:t>11</w:t>
            </w:r>
            <w:r>
              <w:rPr>
                <w:webHidden/>
              </w:rPr>
              <w:fldChar w:fldCharType="end"/>
            </w:r>
          </w:hyperlink>
        </w:p>
        <w:p w:rsidR="00F2455C" w:rsidRDefault="00D468FE">
          <w:pPr>
            <w:pStyle w:val="TOC1"/>
            <w:rPr>
              <w:rFonts w:asciiTheme="minorHAnsi" w:eastAsiaTheme="minorEastAsia" w:hAnsiTheme="minorHAnsi" w:cstheme="minorBidi"/>
              <w:b w:val="0"/>
              <w:caps w:val="0"/>
              <w:sz w:val="22"/>
              <w:szCs w:val="22"/>
            </w:rPr>
          </w:pPr>
          <w:hyperlink w:anchor="_Toc284584907" w:history="1">
            <w:r w:rsidR="00F2455C" w:rsidRPr="00365426">
              <w:rPr>
                <w:rStyle w:val="Hyperlink"/>
              </w:rPr>
              <w:t>A.18. Exceptions to Certification for Paperwork Reduction Act Submissions</w:t>
            </w:r>
            <w:r w:rsidR="00F2455C">
              <w:rPr>
                <w:webHidden/>
              </w:rPr>
              <w:tab/>
            </w:r>
            <w:r>
              <w:rPr>
                <w:webHidden/>
              </w:rPr>
              <w:fldChar w:fldCharType="begin"/>
            </w:r>
            <w:r w:rsidR="00F2455C">
              <w:rPr>
                <w:webHidden/>
              </w:rPr>
              <w:instrText xml:space="preserve"> PAGEREF _Toc284584907 \h </w:instrText>
            </w:r>
            <w:r>
              <w:rPr>
                <w:webHidden/>
              </w:rPr>
            </w:r>
            <w:r>
              <w:rPr>
                <w:webHidden/>
              </w:rPr>
              <w:fldChar w:fldCharType="separate"/>
            </w:r>
            <w:r w:rsidR="00F2455C">
              <w:rPr>
                <w:webHidden/>
              </w:rPr>
              <w:t>11</w:t>
            </w:r>
            <w:r>
              <w:rPr>
                <w:webHidden/>
              </w:rPr>
              <w:fldChar w:fldCharType="end"/>
            </w:r>
          </w:hyperlink>
        </w:p>
        <w:p w:rsidR="00D37944" w:rsidRDefault="00D468FE">
          <w:r w:rsidRPr="00200A60">
            <w:rPr>
              <w:sz w:val="14"/>
            </w:rPr>
            <w:fldChar w:fldCharType="end"/>
          </w:r>
        </w:p>
      </w:sdtContent>
    </w:sdt>
    <w:p w:rsidR="00D37944" w:rsidRDefault="00D37944">
      <w:pPr>
        <w:widowControl/>
        <w:rPr>
          <w:caps/>
          <w:noProof/>
        </w:rPr>
      </w:pPr>
      <w:r>
        <w:rPr>
          <w:caps/>
          <w:noProof/>
        </w:rPr>
        <w:br w:type="page"/>
      </w:r>
    </w:p>
    <w:p w:rsidR="00F0420B" w:rsidRPr="000B3AD1" w:rsidRDefault="00D37944" w:rsidP="00F0420B">
      <w:pPr>
        <w:rPr>
          <w:rFonts w:asciiTheme="majorHAnsi" w:hAnsiTheme="majorHAnsi"/>
          <w:b/>
          <w:caps/>
          <w:noProof/>
          <w:color w:val="4F81BD" w:themeColor="accent1"/>
          <w:sz w:val="24"/>
          <w:szCs w:val="24"/>
        </w:rPr>
      </w:pPr>
      <w:r w:rsidRPr="000B3AD1">
        <w:rPr>
          <w:rFonts w:asciiTheme="majorHAnsi" w:hAnsiTheme="majorHAnsi"/>
          <w:b/>
          <w:noProof/>
          <w:color w:val="4F81BD" w:themeColor="accent1"/>
          <w:sz w:val="24"/>
          <w:szCs w:val="24"/>
        </w:rPr>
        <w:lastRenderedPageBreak/>
        <w:t>List of attachments</w:t>
      </w:r>
    </w:p>
    <w:p w:rsidR="00D37944" w:rsidRDefault="00D37944" w:rsidP="00F0420B">
      <w:pPr>
        <w:rPr>
          <w:caps/>
          <w:noProof/>
        </w:rPr>
      </w:pPr>
    </w:p>
    <w:p w:rsidR="002A1EF0" w:rsidRPr="004126B6" w:rsidRDefault="002A1EF0" w:rsidP="002A1EF0">
      <w:pPr>
        <w:rPr>
          <w:noProof/>
          <w:sz w:val="24"/>
          <w:szCs w:val="24"/>
          <w:highlight w:val="yellow"/>
        </w:rPr>
      </w:pPr>
      <w:r w:rsidRPr="004126B6">
        <w:rPr>
          <w:noProof/>
          <w:sz w:val="24"/>
          <w:szCs w:val="24"/>
          <w:highlight w:val="yellow"/>
        </w:rPr>
        <w:t xml:space="preserve">Attachment 1: </w:t>
      </w:r>
      <w:r w:rsidRPr="004126B6">
        <w:rPr>
          <w:color w:val="000000"/>
          <w:sz w:val="24"/>
          <w:szCs w:val="24"/>
          <w:highlight w:val="yellow"/>
        </w:rPr>
        <w:t>Earthquake Engineering Award PI Survey</w:t>
      </w:r>
    </w:p>
    <w:p w:rsidR="002A1EF0" w:rsidRPr="004126B6" w:rsidRDefault="002A1EF0" w:rsidP="002A1EF0">
      <w:pPr>
        <w:rPr>
          <w:color w:val="000000"/>
          <w:sz w:val="24"/>
          <w:szCs w:val="24"/>
          <w:highlight w:val="yellow"/>
        </w:rPr>
      </w:pPr>
      <w:r w:rsidRPr="004126B6">
        <w:rPr>
          <w:color w:val="000000"/>
          <w:sz w:val="24"/>
          <w:szCs w:val="24"/>
          <w:highlight w:val="yellow"/>
        </w:rPr>
        <w:t>Attachment 2: Introductory Email from NSF</w:t>
      </w:r>
    </w:p>
    <w:p w:rsidR="002A1EF0" w:rsidRPr="004126B6" w:rsidRDefault="002A1EF0" w:rsidP="002A1EF0">
      <w:pPr>
        <w:rPr>
          <w:color w:val="000000"/>
          <w:sz w:val="24"/>
          <w:szCs w:val="24"/>
          <w:highlight w:val="yellow"/>
        </w:rPr>
      </w:pPr>
      <w:r w:rsidRPr="004126B6">
        <w:rPr>
          <w:color w:val="000000"/>
          <w:sz w:val="24"/>
          <w:szCs w:val="24"/>
          <w:highlight w:val="yellow"/>
        </w:rPr>
        <w:t>Attachment 3: Introductory Email from Contractor</w:t>
      </w:r>
    </w:p>
    <w:p w:rsidR="002A1EF0" w:rsidRPr="004126B6" w:rsidRDefault="002A1EF0" w:rsidP="002A1EF0">
      <w:pPr>
        <w:rPr>
          <w:color w:val="000000"/>
          <w:sz w:val="24"/>
          <w:szCs w:val="24"/>
          <w:highlight w:val="yellow"/>
        </w:rPr>
      </w:pPr>
      <w:r w:rsidRPr="004126B6">
        <w:rPr>
          <w:color w:val="000000"/>
          <w:sz w:val="24"/>
          <w:szCs w:val="24"/>
          <w:highlight w:val="yellow"/>
        </w:rPr>
        <w:t>Attachment 4: Reminder Email</w:t>
      </w:r>
    </w:p>
    <w:p w:rsidR="002A1EF0" w:rsidRPr="00F90773" w:rsidRDefault="002A1EF0" w:rsidP="002A1EF0">
      <w:pPr>
        <w:rPr>
          <w:color w:val="000000"/>
          <w:sz w:val="24"/>
          <w:szCs w:val="24"/>
        </w:rPr>
      </w:pPr>
      <w:r w:rsidRPr="004126B6">
        <w:rPr>
          <w:color w:val="000000"/>
          <w:sz w:val="24"/>
          <w:szCs w:val="24"/>
          <w:highlight w:val="yellow"/>
        </w:rPr>
        <w:t>Attachment 5: Thank You Email</w:t>
      </w:r>
    </w:p>
    <w:p w:rsidR="004330C8" w:rsidRPr="004330C8" w:rsidRDefault="004330C8" w:rsidP="004330C8">
      <w:pPr>
        <w:rPr>
          <w:color w:val="000000"/>
          <w:sz w:val="24"/>
          <w:szCs w:val="24"/>
        </w:rPr>
      </w:pPr>
    </w:p>
    <w:bookmarkEnd w:id="0"/>
    <w:bookmarkEnd w:id="1"/>
    <w:p w:rsidR="00A536C7" w:rsidRPr="00853AC0" w:rsidRDefault="00A536C7" w:rsidP="00853AC0">
      <w:pPr>
        <w:spacing w:line="480" w:lineRule="auto"/>
        <w:jc w:val="center"/>
        <w:rPr>
          <w:b/>
          <w:sz w:val="24"/>
          <w:szCs w:val="24"/>
        </w:rPr>
      </w:pPr>
    </w:p>
    <w:p w:rsidR="00F0420B" w:rsidRDefault="00F0420B" w:rsidP="00853AC0">
      <w:pPr>
        <w:spacing w:line="480" w:lineRule="auto"/>
        <w:rPr>
          <w:b/>
          <w:sz w:val="24"/>
          <w:szCs w:val="24"/>
          <w:u w:val="single"/>
        </w:rPr>
        <w:sectPr w:rsidR="00F0420B" w:rsidSect="00F84374">
          <w:footerReference w:type="even" r:id="rId8"/>
          <w:footerReference w:type="default" r:id="rId9"/>
          <w:footnotePr>
            <w:numRestart w:val="eachSect"/>
          </w:footnotePr>
          <w:endnotePr>
            <w:numFmt w:val="decimal"/>
          </w:endnotePr>
          <w:pgSz w:w="12240" w:h="15840"/>
          <w:pgMar w:top="1260" w:right="1152" w:bottom="1440" w:left="1152" w:header="720" w:footer="720" w:gutter="0"/>
          <w:cols w:space="720"/>
          <w:noEndnote/>
          <w:docGrid w:linePitch="360"/>
        </w:sectPr>
      </w:pPr>
    </w:p>
    <w:p w:rsidR="00A536C7" w:rsidRPr="00131FB9" w:rsidRDefault="008F082E" w:rsidP="0081376E">
      <w:pPr>
        <w:pStyle w:val="Heading1"/>
        <w:spacing w:line="480" w:lineRule="auto"/>
      </w:pPr>
      <w:bookmarkStart w:id="2" w:name="_Toc284584890"/>
      <w:r w:rsidRPr="00131FB9">
        <w:lastRenderedPageBreak/>
        <w:t>A.</w:t>
      </w:r>
      <w:r w:rsidR="00A536C7" w:rsidRPr="00131FB9">
        <w:t>1. Circumstances Making the Collection of Information Necessary</w:t>
      </w:r>
      <w:bookmarkEnd w:id="2"/>
      <w:r w:rsidR="00A536C7" w:rsidRPr="00131FB9">
        <w:t xml:space="preserve"> </w:t>
      </w:r>
    </w:p>
    <w:p w:rsidR="005419FF" w:rsidRPr="000A63CC" w:rsidRDefault="00BE319A" w:rsidP="005419FF">
      <w:pPr>
        <w:widowControl/>
        <w:spacing w:line="480" w:lineRule="auto"/>
        <w:ind w:firstLine="720"/>
        <w:rPr>
          <w:snapToGrid/>
          <w:sz w:val="24"/>
          <w:szCs w:val="24"/>
        </w:rPr>
      </w:pPr>
      <w:r w:rsidRPr="001671F4">
        <w:rPr>
          <w:sz w:val="24"/>
          <w:szCs w:val="24"/>
        </w:rPr>
        <w:t>The Congressionally-mandated George E. Brown, Jr. Network for Earthquake Engineering Simulation (NEES)</w:t>
      </w:r>
      <w:r w:rsidR="00E671BD" w:rsidRPr="001671F4">
        <w:rPr>
          <w:sz w:val="24"/>
          <w:szCs w:val="24"/>
        </w:rPr>
        <w:t> </w:t>
      </w:r>
      <w:r w:rsidRPr="001671F4">
        <w:rPr>
          <w:sz w:val="24"/>
          <w:szCs w:val="24"/>
        </w:rPr>
        <w:t xml:space="preserve">was established by the National Science Foundation (NSF) in </w:t>
      </w:r>
      <w:r w:rsidR="00A64CD6">
        <w:rPr>
          <w:sz w:val="24"/>
          <w:szCs w:val="24"/>
        </w:rPr>
        <w:t>200</w:t>
      </w:r>
      <w:r w:rsidR="005C2D2D">
        <w:rPr>
          <w:sz w:val="24"/>
          <w:szCs w:val="24"/>
        </w:rPr>
        <w:t>4</w:t>
      </w:r>
      <w:r w:rsidR="00A64CD6">
        <w:rPr>
          <w:sz w:val="24"/>
          <w:szCs w:val="24"/>
        </w:rPr>
        <w:t xml:space="preserve"> </w:t>
      </w:r>
      <w:r w:rsidRPr="001671F4">
        <w:rPr>
          <w:sz w:val="24"/>
          <w:szCs w:val="24"/>
        </w:rPr>
        <w:t xml:space="preserve">to </w:t>
      </w:r>
      <w:r w:rsidRPr="00BE319A">
        <w:rPr>
          <w:snapToGrid/>
          <w:sz w:val="24"/>
          <w:szCs w:val="24"/>
        </w:rPr>
        <w:t>upgrade, link, and</w:t>
      </w:r>
      <w:r w:rsidRPr="001671F4">
        <w:rPr>
          <w:snapToGrid/>
          <w:sz w:val="24"/>
          <w:szCs w:val="24"/>
        </w:rPr>
        <w:t xml:space="preserve"> </w:t>
      </w:r>
      <w:r w:rsidRPr="00BE319A">
        <w:rPr>
          <w:snapToGrid/>
          <w:sz w:val="24"/>
          <w:szCs w:val="24"/>
        </w:rPr>
        <w:t>integrate a system of geographically distributed experimental facilities</w:t>
      </w:r>
      <w:r w:rsidRPr="001671F4">
        <w:rPr>
          <w:snapToGrid/>
          <w:sz w:val="24"/>
          <w:szCs w:val="24"/>
        </w:rPr>
        <w:t xml:space="preserve"> </w:t>
      </w:r>
      <w:r w:rsidRPr="00BE319A">
        <w:rPr>
          <w:snapToGrid/>
          <w:sz w:val="24"/>
          <w:szCs w:val="24"/>
        </w:rPr>
        <w:t>for earthquake engineering testing of full-sized structures and</w:t>
      </w:r>
      <w:r w:rsidRPr="001671F4">
        <w:rPr>
          <w:snapToGrid/>
          <w:sz w:val="24"/>
          <w:szCs w:val="24"/>
        </w:rPr>
        <w:t xml:space="preserve"> </w:t>
      </w:r>
      <w:r w:rsidRPr="00BE319A">
        <w:rPr>
          <w:snapToGrid/>
          <w:sz w:val="24"/>
          <w:szCs w:val="24"/>
        </w:rPr>
        <w:t>their components and partial-scale physical models.</w:t>
      </w:r>
      <w:r w:rsidR="001671F4">
        <w:rPr>
          <w:snapToGrid/>
          <w:sz w:val="24"/>
          <w:szCs w:val="24"/>
        </w:rPr>
        <w:t xml:space="preserve"> </w:t>
      </w:r>
      <w:r w:rsidR="00A64CD6">
        <w:rPr>
          <w:snapToGrid/>
          <w:sz w:val="24"/>
          <w:szCs w:val="24"/>
        </w:rPr>
        <w:t xml:space="preserve">Total NSF </w:t>
      </w:r>
      <w:r w:rsidR="00A64CD6" w:rsidRPr="00DB4CD9">
        <w:rPr>
          <w:snapToGrid/>
          <w:sz w:val="24"/>
          <w:szCs w:val="24"/>
        </w:rPr>
        <w:t xml:space="preserve">investment in </w:t>
      </w:r>
      <w:r w:rsidR="00A64CD6" w:rsidRPr="000A63CC">
        <w:rPr>
          <w:snapToGrid/>
          <w:sz w:val="24"/>
          <w:szCs w:val="24"/>
        </w:rPr>
        <w:t xml:space="preserve">NEES network </w:t>
      </w:r>
      <w:r w:rsidR="005C2D2D" w:rsidRPr="000A63CC">
        <w:rPr>
          <w:snapToGrid/>
          <w:sz w:val="24"/>
          <w:szCs w:val="24"/>
        </w:rPr>
        <w:t xml:space="preserve">operations </w:t>
      </w:r>
      <w:r w:rsidR="00A64CD6" w:rsidRPr="000A63CC">
        <w:rPr>
          <w:snapToGrid/>
          <w:sz w:val="24"/>
          <w:szCs w:val="24"/>
        </w:rPr>
        <w:t xml:space="preserve">through </w:t>
      </w:r>
      <w:r w:rsidR="00D90E7C" w:rsidRPr="000A63CC">
        <w:rPr>
          <w:snapToGrid/>
          <w:sz w:val="24"/>
          <w:szCs w:val="24"/>
        </w:rPr>
        <w:t xml:space="preserve">June </w:t>
      </w:r>
      <w:r w:rsidR="005C2D2D" w:rsidRPr="000A63CC">
        <w:rPr>
          <w:snapToGrid/>
          <w:sz w:val="24"/>
          <w:szCs w:val="24"/>
        </w:rPr>
        <w:t>2010</w:t>
      </w:r>
      <w:r w:rsidR="00A64CD6" w:rsidRPr="000A63CC">
        <w:rPr>
          <w:snapToGrid/>
          <w:sz w:val="24"/>
          <w:szCs w:val="24"/>
        </w:rPr>
        <w:t xml:space="preserve"> has totaled approximately $</w:t>
      </w:r>
      <w:r w:rsidR="005C2D2D" w:rsidRPr="000A63CC">
        <w:rPr>
          <w:snapToGrid/>
          <w:sz w:val="24"/>
          <w:szCs w:val="24"/>
        </w:rPr>
        <w:t>119</w:t>
      </w:r>
      <w:r w:rsidR="00A64CD6" w:rsidRPr="000A63CC">
        <w:rPr>
          <w:snapToGrid/>
          <w:sz w:val="24"/>
          <w:szCs w:val="24"/>
        </w:rPr>
        <w:t xml:space="preserve"> million. </w:t>
      </w:r>
      <w:r w:rsidR="00C70C89" w:rsidRPr="000A63CC">
        <w:rPr>
          <w:sz w:val="24"/>
          <w:szCs w:val="24"/>
        </w:rPr>
        <w:t>At the end of fiscal year 2014, NSF will have completed ten years of support for NEES operations and research. The purpose of the proposed information collection is to inform decision making about the need for multi-user earthquake engineering research infrastructure beyond 2014.</w:t>
      </w:r>
      <w:r w:rsidR="0099474E" w:rsidRPr="000A63CC">
        <w:rPr>
          <w:snapToGrid/>
          <w:sz w:val="24"/>
          <w:szCs w:val="24"/>
        </w:rPr>
        <w:t xml:space="preserve"> </w:t>
      </w:r>
    </w:p>
    <w:p w:rsidR="00E671BD" w:rsidRPr="001671F4" w:rsidRDefault="00A64CD6" w:rsidP="005419FF">
      <w:pPr>
        <w:widowControl/>
        <w:spacing w:line="480" w:lineRule="auto"/>
        <w:ind w:firstLine="720"/>
        <w:rPr>
          <w:sz w:val="24"/>
          <w:szCs w:val="24"/>
        </w:rPr>
      </w:pPr>
      <w:r w:rsidRPr="000A63CC">
        <w:rPr>
          <w:snapToGrid/>
          <w:sz w:val="24"/>
          <w:szCs w:val="24"/>
        </w:rPr>
        <w:t>As is standard practice at the NSF for investments of this size, t</w:t>
      </w:r>
      <w:r w:rsidR="000E74BA" w:rsidRPr="000A63CC">
        <w:rPr>
          <w:snapToGrid/>
          <w:sz w:val="24"/>
          <w:szCs w:val="24"/>
        </w:rPr>
        <w:t>eams of site visitors</w:t>
      </w:r>
      <w:r w:rsidR="000E74BA">
        <w:rPr>
          <w:snapToGrid/>
          <w:sz w:val="24"/>
          <w:szCs w:val="24"/>
        </w:rPr>
        <w:t xml:space="preserve"> have periodically been invited to assess NEES network operations</w:t>
      </w:r>
      <w:r w:rsidR="00670FF3">
        <w:rPr>
          <w:snapToGrid/>
          <w:sz w:val="24"/>
          <w:szCs w:val="24"/>
        </w:rPr>
        <w:t>. T</w:t>
      </w:r>
      <w:r>
        <w:rPr>
          <w:snapToGrid/>
          <w:sz w:val="24"/>
          <w:szCs w:val="24"/>
        </w:rPr>
        <w:t xml:space="preserve">he </w:t>
      </w:r>
      <w:r w:rsidR="000E74BA">
        <w:rPr>
          <w:snapToGrid/>
          <w:sz w:val="24"/>
          <w:szCs w:val="24"/>
        </w:rPr>
        <w:t xml:space="preserve">most recent </w:t>
      </w:r>
      <w:r>
        <w:rPr>
          <w:snapToGrid/>
          <w:sz w:val="24"/>
          <w:szCs w:val="24"/>
        </w:rPr>
        <w:t xml:space="preserve">NEES site visit occurred </w:t>
      </w:r>
      <w:r w:rsidR="000E74BA">
        <w:rPr>
          <w:snapToGrid/>
          <w:sz w:val="24"/>
          <w:szCs w:val="24"/>
        </w:rPr>
        <w:t>in 20</w:t>
      </w:r>
      <w:r w:rsidR="00C70C89">
        <w:rPr>
          <w:snapToGrid/>
          <w:sz w:val="24"/>
          <w:szCs w:val="24"/>
        </w:rPr>
        <w:t>10</w:t>
      </w:r>
      <w:r>
        <w:rPr>
          <w:snapToGrid/>
          <w:sz w:val="24"/>
          <w:szCs w:val="24"/>
        </w:rPr>
        <w:t>. However</w:t>
      </w:r>
      <w:r w:rsidR="000E74BA">
        <w:rPr>
          <w:snapToGrid/>
          <w:sz w:val="24"/>
          <w:szCs w:val="24"/>
        </w:rPr>
        <w:t>, n</w:t>
      </w:r>
      <w:r w:rsidR="0099474E">
        <w:rPr>
          <w:snapToGrid/>
          <w:sz w:val="24"/>
          <w:szCs w:val="24"/>
        </w:rPr>
        <w:t xml:space="preserve">o </w:t>
      </w:r>
      <w:r w:rsidR="000E74BA">
        <w:rPr>
          <w:snapToGrid/>
          <w:sz w:val="24"/>
          <w:szCs w:val="24"/>
        </w:rPr>
        <w:t>systematic</w:t>
      </w:r>
      <w:r w:rsidR="0099474E">
        <w:rPr>
          <w:snapToGrid/>
          <w:sz w:val="24"/>
          <w:szCs w:val="24"/>
        </w:rPr>
        <w:t xml:space="preserve"> </w:t>
      </w:r>
      <w:r w:rsidR="003864A3">
        <w:rPr>
          <w:snapToGrid/>
          <w:sz w:val="24"/>
          <w:szCs w:val="24"/>
        </w:rPr>
        <w:t xml:space="preserve">assessment </w:t>
      </w:r>
      <w:r w:rsidR="0099474E">
        <w:rPr>
          <w:snapToGrid/>
          <w:sz w:val="24"/>
          <w:szCs w:val="24"/>
        </w:rPr>
        <w:t xml:space="preserve">of NEES </w:t>
      </w:r>
      <w:r w:rsidR="00C70C89">
        <w:rPr>
          <w:snapToGrid/>
          <w:sz w:val="24"/>
          <w:szCs w:val="24"/>
        </w:rPr>
        <w:t>network (including both operations and research)</w:t>
      </w:r>
      <w:r w:rsidR="00DB4CD9">
        <w:rPr>
          <w:snapToGrid/>
          <w:sz w:val="24"/>
          <w:szCs w:val="24"/>
        </w:rPr>
        <w:t xml:space="preserve"> </w:t>
      </w:r>
      <w:r w:rsidR="00C70C89">
        <w:rPr>
          <w:snapToGrid/>
          <w:sz w:val="24"/>
          <w:szCs w:val="24"/>
        </w:rPr>
        <w:t>or</w:t>
      </w:r>
      <w:r w:rsidR="00DB4CD9">
        <w:rPr>
          <w:snapToGrid/>
          <w:sz w:val="24"/>
          <w:szCs w:val="24"/>
        </w:rPr>
        <w:t xml:space="preserve"> its value as part of the NSF earthquake engineering portfolio </w:t>
      </w:r>
      <w:r w:rsidR="00096C45">
        <w:rPr>
          <w:snapToGrid/>
          <w:sz w:val="24"/>
          <w:szCs w:val="24"/>
        </w:rPr>
        <w:t>has previously been conducted.</w:t>
      </w:r>
    </w:p>
    <w:p w:rsidR="0081376E" w:rsidRPr="001671F4" w:rsidRDefault="00461066" w:rsidP="005419FF">
      <w:pPr>
        <w:spacing w:line="480" w:lineRule="auto"/>
        <w:ind w:firstLine="720"/>
        <w:rPr>
          <w:sz w:val="24"/>
          <w:szCs w:val="24"/>
        </w:rPr>
      </w:pPr>
      <w:r w:rsidRPr="001671F4">
        <w:rPr>
          <w:sz w:val="24"/>
          <w:szCs w:val="24"/>
        </w:rPr>
        <w:t>The NEES program is authorized under 42 USC 7708</w:t>
      </w:r>
      <w:r w:rsidR="00DB4CD9">
        <w:rPr>
          <w:sz w:val="24"/>
          <w:szCs w:val="24"/>
        </w:rPr>
        <w:t>. T</w:t>
      </w:r>
      <w:r w:rsidRPr="001671F4">
        <w:rPr>
          <w:sz w:val="24"/>
          <w:szCs w:val="24"/>
        </w:rPr>
        <w:t>he proposed data collection supports management of this program.</w:t>
      </w:r>
    </w:p>
    <w:p w:rsidR="00A536C7" w:rsidRDefault="00A536C7" w:rsidP="0081376E">
      <w:pPr>
        <w:pStyle w:val="Heading1"/>
        <w:spacing w:line="480" w:lineRule="auto"/>
      </w:pPr>
      <w:bookmarkStart w:id="3" w:name="_Toc284584891"/>
      <w:r w:rsidRPr="00D60DB5">
        <w:t>A.2. Purpose and Use of the Information</w:t>
      </w:r>
      <w:bookmarkEnd w:id="3"/>
      <w:r w:rsidRPr="00D60DB5">
        <w:t xml:space="preserve"> </w:t>
      </w:r>
    </w:p>
    <w:p w:rsidR="00AE5DCD" w:rsidRPr="00AE5DCD" w:rsidRDefault="00C70C89" w:rsidP="00AE5DCD">
      <w:pPr>
        <w:spacing w:line="480" w:lineRule="auto"/>
        <w:ind w:firstLine="720"/>
        <w:rPr>
          <w:sz w:val="24"/>
          <w:szCs w:val="24"/>
        </w:rPr>
      </w:pPr>
      <w:r w:rsidRPr="00AE5DCD">
        <w:rPr>
          <w:sz w:val="24"/>
          <w:szCs w:val="24"/>
        </w:rPr>
        <w:t>The purpose of the proposed information collection is to inform decision making about the need for multi-user earthquake engineering research infrastructure beyond 2014.</w:t>
      </w:r>
      <w:r w:rsidRPr="00AE5DCD">
        <w:rPr>
          <w:snapToGrid/>
          <w:sz w:val="24"/>
          <w:szCs w:val="24"/>
        </w:rPr>
        <w:t xml:space="preserve"> </w:t>
      </w:r>
      <w:r w:rsidR="00AE5DCD" w:rsidRPr="00AE5DCD">
        <w:rPr>
          <w:sz w:val="24"/>
          <w:szCs w:val="24"/>
          <w:highlight w:val="yellow"/>
        </w:rPr>
        <w:t>The policy question NSF faces is whether a continued investment beyond 2014 in large multi-user research infrastructure (experimental facilities and cyberinfrastructure) and the associated research that utilizes these facilities is valuable</w:t>
      </w:r>
      <w:proofErr w:type="gramStart"/>
      <w:r w:rsidR="00AE5DCD" w:rsidRPr="00AE5DCD">
        <w:rPr>
          <w:sz w:val="24"/>
          <w:szCs w:val="24"/>
          <w:highlight w:val="yellow"/>
        </w:rPr>
        <w:t>,  or</w:t>
      </w:r>
      <w:proofErr w:type="gramEnd"/>
      <w:r w:rsidR="00AE5DCD" w:rsidRPr="00AE5DCD">
        <w:rPr>
          <w:sz w:val="24"/>
          <w:szCs w:val="24"/>
          <w:highlight w:val="yellow"/>
        </w:rPr>
        <w:t xml:space="preserve"> whether instead NSF should solely fund earthquake engineering research without a direct investment in large experimental and cyber facilities.  This survey is one of several activities </w:t>
      </w:r>
      <w:r w:rsidR="00AE5DCD" w:rsidRPr="00AE5DCD">
        <w:rPr>
          <w:sz w:val="24"/>
          <w:szCs w:val="24"/>
          <w:highlight w:val="yellow"/>
        </w:rPr>
        <w:lastRenderedPageBreak/>
        <w:t>being undertaken by NSF in order to address this question.  Where the survey will provide invaluable information is that it will allow for collection of information, in a common format, across both NEES-funded investigators and those funded through other NSF-related disciplinary programs.  While information is being abstracted from administrative materials such as applications and progress reports, concerns exist regarding the extent to which these sources can provide comparable information.</w:t>
      </w:r>
    </w:p>
    <w:p w:rsidR="00AE5DCD" w:rsidRDefault="00AE5DCD" w:rsidP="00AE5DCD">
      <w:pPr>
        <w:spacing w:line="480" w:lineRule="auto"/>
        <w:ind w:firstLine="720"/>
        <w:rPr>
          <w:sz w:val="24"/>
          <w:szCs w:val="24"/>
        </w:rPr>
      </w:pPr>
      <w:r w:rsidRPr="00AE5DCD">
        <w:rPr>
          <w:sz w:val="24"/>
          <w:szCs w:val="24"/>
          <w:highlight w:val="yellow"/>
        </w:rPr>
        <w:t>A specific rationale for the survey is to assess whether the research that is being done through NEES funding utilizing the NEES experimental infrastructure is different from what is done in the rest of the earthquake engineering portfolio supported by NSF (through related disciplinary programs).  If the survey identifies results suggesting that NEES-funded research is successful/having an impact and different in character from what is funded through the rest of the portfolio, then it would argue in favor of continuing to support a networked research infrastructure – especially if other assessments (such as a forthcoming report from the National Academies) identify a set of grand challenges that would continue to require a networked research infrastructure.</w:t>
      </w:r>
    </w:p>
    <w:p w:rsidR="00A64CD6" w:rsidRDefault="00DB4CD9" w:rsidP="00A64CD6">
      <w:pPr>
        <w:spacing w:line="480" w:lineRule="auto"/>
        <w:ind w:firstLine="720"/>
        <w:rPr>
          <w:sz w:val="24"/>
          <w:szCs w:val="24"/>
        </w:rPr>
      </w:pPr>
      <w:r w:rsidRPr="000A63CC">
        <w:rPr>
          <w:sz w:val="24"/>
          <w:szCs w:val="24"/>
        </w:rPr>
        <w:t>The results</w:t>
      </w:r>
      <w:r>
        <w:rPr>
          <w:sz w:val="24"/>
          <w:szCs w:val="24"/>
        </w:rPr>
        <w:t xml:space="preserve"> of the proposed data collection will be reviewed by </w:t>
      </w:r>
      <w:r w:rsidR="00C70C89">
        <w:rPr>
          <w:sz w:val="24"/>
          <w:szCs w:val="24"/>
        </w:rPr>
        <w:t xml:space="preserve">a panel of distinguished experts in earthquake engineering and related fields convened by NSF to make recommendations for the future. </w:t>
      </w:r>
      <w:r w:rsidR="00670FF3">
        <w:rPr>
          <w:sz w:val="24"/>
          <w:szCs w:val="24"/>
        </w:rPr>
        <w:t>Survey r</w:t>
      </w:r>
      <w:r>
        <w:rPr>
          <w:sz w:val="24"/>
          <w:szCs w:val="24"/>
        </w:rPr>
        <w:t>esults will also be reviewed by the NSF staff members</w:t>
      </w:r>
      <w:r w:rsidR="007D775B">
        <w:rPr>
          <w:sz w:val="24"/>
          <w:szCs w:val="24"/>
        </w:rPr>
        <w:t xml:space="preserve"> who manage the program</w:t>
      </w:r>
      <w:r w:rsidR="008A0238">
        <w:rPr>
          <w:sz w:val="24"/>
          <w:szCs w:val="24"/>
        </w:rPr>
        <w:t>.</w:t>
      </w:r>
    </w:p>
    <w:p w:rsidR="004A20D2" w:rsidRDefault="00D35DE4" w:rsidP="00A64CD6">
      <w:pPr>
        <w:spacing w:line="480" w:lineRule="auto"/>
        <w:ind w:firstLine="720"/>
        <w:rPr>
          <w:snapToGrid/>
          <w:color w:val="000000"/>
          <w:sz w:val="24"/>
          <w:szCs w:val="24"/>
        </w:rPr>
      </w:pPr>
      <w:r>
        <w:rPr>
          <w:sz w:val="24"/>
          <w:szCs w:val="24"/>
        </w:rPr>
        <w:t xml:space="preserve">The proposed data collection will consist of a survey of Principal Investigators on NSF earthquake engineering research awards, including but not limited to research awards made by the NEES program </w:t>
      </w:r>
      <w:r w:rsidR="00BA7961">
        <w:rPr>
          <w:sz w:val="24"/>
          <w:szCs w:val="24"/>
        </w:rPr>
        <w:t>to facilitate use of the NEES</w:t>
      </w:r>
      <w:r>
        <w:rPr>
          <w:sz w:val="24"/>
          <w:szCs w:val="24"/>
        </w:rPr>
        <w:t xml:space="preserve"> network</w:t>
      </w:r>
      <w:r w:rsidR="00BA7961">
        <w:rPr>
          <w:sz w:val="24"/>
          <w:szCs w:val="24"/>
        </w:rPr>
        <w:t xml:space="preserve"> and infrastructure</w:t>
      </w:r>
      <w:r>
        <w:rPr>
          <w:sz w:val="24"/>
          <w:szCs w:val="24"/>
        </w:rPr>
        <w:t xml:space="preserve">. </w:t>
      </w:r>
      <w:r w:rsidR="00BA7961">
        <w:rPr>
          <w:sz w:val="24"/>
          <w:szCs w:val="24"/>
        </w:rPr>
        <w:t>Categories of i</w:t>
      </w:r>
      <w:r w:rsidR="000171D7" w:rsidRPr="003B7595">
        <w:rPr>
          <w:sz w:val="24"/>
          <w:szCs w:val="24"/>
        </w:rPr>
        <w:t xml:space="preserve">nformation </w:t>
      </w:r>
      <w:r>
        <w:rPr>
          <w:sz w:val="24"/>
          <w:szCs w:val="24"/>
        </w:rPr>
        <w:t>to</w:t>
      </w:r>
      <w:r w:rsidR="000171D7" w:rsidRPr="003B7595">
        <w:rPr>
          <w:sz w:val="24"/>
          <w:szCs w:val="24"/>
        </w:rPr>
        <w:t xml:space="preserve"> be collected </w:t>
      </w:r>
      <w:r>
        <w:rPr>
          <w:sz w:val="24"/>
          <w:szCs w:val="24"/>
        </w:rPr>
        <w:t>from these individuals include</w:t>
      </w:r>
      <w:r w:rsidR="000171D7" w:rsidRPr="003B7595">
        <w:rPr>
          <w:sz w:val="24"/>
          <w:szCs w:val="24"/>
        </w:rPr>
        <w:t>:</w:t>
      </w:r>
      <w:r w:rsidR="004A20D2" w:rsidRPr="003B7595">
        <w:rPr>
          <w:sz w:val="24"/>
          <w:szCs w:val="24"/>
        </w:rPr>
        <w:t xml:space="preserve"> 1</w:t>
      </w:r>
      <w:r w:rsidR="000171D7" w:rsidRPr="003B7595">
        <w:rPr>
          <w:sz w:val="24"/>
          <w:szCs w:val="24"/>
        </w:rPr>
        <w:t>)</w:t>
      </w:r>
      <w:r>
        <w:rPr>
          <w:sz w:val="24"/>
          <w:szCs w:val="24"/>
        </w:rPr>
        <w:t xml:space="preserve"> novelty of research questions and approach; 2) access to and use of specific types of research infrastructure</w:t>
      </w:r>
      <w:r w:rsidR="00481F95">
        <w:rPr>
          <w:sz w:val="24"/>
          <w:szCs w:val="24"/>
        </w:rPr>
        <w:t xml:space="preserve"> (including those provided by the NEES network)</w:t>
      </w:r>
      <w:r>
        <w:rPr>
          <w:sz w:val="24"/>
          <w:szCs w:val="24"/>
        </w:rPr>
        <w:t>; 3) incorporation of education, outreach, and training activities; 4) number and diversity of participants in funded research activities; and 5) outputs and outcomes of funded research activities</w:t>
      </w:r>
      <w:r w:rsidR="000171D7" w:rsidRPr="003B7595">
        <w:rPr>
          <w:snapToGrid/>
          <w:color w:val="000000"/>
          <w:sz w:val="24"/>
          <w:szCs w:val="24"/>
        </w:rPr>
        <w:t>.</w:t>
      </w:r>
      <w:r w:rsidR="003B7595">
        <w:rPr>
          <w:snapToGrid/>
          <w:color w:val="000000"/>
          <w:sz w:val="24"/>
          <w:szCs w:val="24"/>
        </w:rPr>
        <w:t xml:space="preserve"> </w:t>
      </w:r>
    </w:p>
    <w:p w:rsidR="00184C67" w:rsidRPr="00990735" w:rsidRDefault="00A536C7" w:rsidP="0081376E">
      <w:pPr>
        <w:pStyle w:val="Heading1"/>
      </w:pPr>
      <w:bookmarkStart w:id="4" w:name="_Toc284584892"/>
      <w:r w:rsidRPr="00990735">
        <w:lastRenderedPageBreak/>
        <w:t>A.3. Use of Information Technology and Burden Reduction</w:t>
      </w:r>
      <w:bookmarkEnd w:id="4"/>
    </w:p>
    <w:p w:rsidR="00BA7961" w:rsidRDefault="00BA7961" w:rsidP="00BA7961">
      <w:pPr>
        <w:rPr>
          <w:iCs/>
          <w:sz w:val="24"/>
          <w:szCs w:val="24"/>
        </w:rPr>
      </w:pPr>
    </w:p>
    <w:p w:rsidR="00DE26D8" w:rsidRDefault="003B7595" w:rsidP="00BA7961">
      <w:pPr>
        <w:spacing w:line="480" w:lineRule="auto"/>
        <w:ind w:firstLine="720"/>
        <w:rPr>
          <w:iCs/>
          <w:sz w:val="24"/>
          <w:szCs w:val="24"/>
        </w:rPr>
      </w:pPr>
      <w:r>
        <w:rPr>
          <w:iCs/>
          <w:sz w:val="24"/>
          <w:szCs w:val="24"/>
        </w:rPr>
        <w:t xml:space="preserve">New data collection for the purpose of the evaluation will consist of a census survey of </w:t>
      </w:r>
      <w:r w:rsidR="00BA7961" w:rsidRPr="002D3F29">
        <w:rPr>
          <w:iCs/>
          <w:sz w:val="24"/>
          <w:szCs w:val="24"/>
        </w:rPr>
        <w:t xml:space="preserve">Principal Investigators on NSF </w:t>
      </w:r>
      <w:r w:rsidR="00970404">
        <w:rPr>
          <w:iCs/>
          <w:sz w:val="24"/>
          <w:szCs w:val="24"/>
        </w:rPr>
        <w:t xml:space="preserve">recent </w:t>
      </w:r>
      <w:r w:rsidR="00BA7961" w:rsidRPr="002D3F29">
        <w:rPr>
          <w:iCs/>
          <w:sz w:val="24"/>
          <w:szCs w:val="24"/>
        </w:rPr>
        <w:t>earthquake engineering research</w:t>
      </w:r>
      <w:r w:rsidR="00970404">
        <w:rPr>
          <w:iCs/>
          <w:sz w:val="24"/>
          <w:szCs w:val="24"/>
        </w:rPr>
        <w:t xml:space="preserve">, </w:t>
      </w:r>
      <w:r w:rsidR="00970404">
        <w:rPr>
          <w:sz w:val="24"/>
          <w:szCs w:val="24"/>
        </w:rPr>
        <w:t xml:space="preserve">including but not limited to research awards made by the NEES program to facilitate use of the NEES network and infrastructure. </w:t>
      </w:r>
      <w:r>
        <w:rPr>
          <w:iCs/>
          <w:sz w:val="24"/>
          <w:szCs w:val="24"/>
        </w:rPr>
        <w:t>The survey will be administered online using appropriate information technology.</w:t>
      </w:r>
      <w:r w:rsidR="00BA7961">
        <w:rPr>
          <w:iCs/>
          <w:sz w:val="24"/>
          <w:szCs w:val="24"/>
        </w:rPr>
        <w:t xml:space="preserve"> In particular, the survey software will be programmed to skip questions that are not relevant to a particular respondent based on previous responses.</w:t>
      </w:r>
    </w:p>
    <w:p w:rsidR="00A536C7" w:rsidRDefault="00A536C7" w:rsidP="0081376E">
      <w:pPr>
        <w:pStyle w:val="Heading1"/>
      </w:pPr>
      <w:bookmarkStart w:id="5" w:name="_Toc284584893"/>
      <w:r w:rsidRPr="00131FB9">
        <w:t>A.4</w:t>
      </w:r>
      <w:r w:rsidR="009D2146" w:rsidRPr="00131FB9">
        <w:t>. Efforts</w:t>
      </w:r>
      <w:r w:rsidRPr="00131FB9">
        <w:t xml:space="preserve"> to Identify Duplication and Use of Similar Information</w:t>
      </w:r>
      <w:bookmarkEnd w:id="5"/>
    </w:p>
    <w:p w:rsidR="003B7595" w:rsidRPr="003B7595" w:rsidRDefault="003B7595" w:rsidP="003B7595"/>
    <w:p w:rsidR="00A536C7" w:rsidRPr="00853AC0" w:rsidRDefault="00651131" w:rsidP="00BA7961">
      <w:pPr>
        <w:spacing w:line="480" w:lineRule="auto"/>
        <w:ind w:firstLine="720"/>
        <w:rPr>
          <w:sz w:val="24"/>
          <w:szCs w:val="24"/>
        </w:rPr>
      </w:pPr>
      <w:r w:rsidRPr="00990735">
        <w:rPr>
          <w:sz w:val="24"/>
          <w:szCs w:val="24"/>
        </w:rPr>
        <w:t xml:space="preserve">Every effort has been made to identify information </w:t>
      </w:r>
      <w:r w:rsidR="0081376E">
        <w:rPr>
          <w:sz w:val="24"/>
          <w:szCs w:val="24"/>
        </w:rPr>
        <w:t xml:space="preserve">relevant to the program </w:t>
      </w:r>
      <w:r w:rsidRPr="00990735">
        <w:rPr>
          <w:sz w:val="24"/>
          <w:szCs w:val="24"/>
        </w:rPr>
        <w:t xml:space="preserve">that can be collected </w:t>
      </w:r>
      <w:r w:rsidR="0081376E">
        <w:rPr>
          <w:sz w:val="24"/>
          <w:szCs w:val="24"/>
        </w:rPr>
        <w:t xml:space="preserve">from existing sources </w:t>
      </w:r>
      <w:r w:rsidRPr="00990735">
        <w:rPr>
          <w:sz w:val="24"/>
          <w:szCs w:val="24"/>
        </w:rPr>
        <w:t xml:space="preserve">rather than from the survey. </w:t>
      </w:r>
      <w:r w:rsidR="00925D5A">
        <w:rPr>
          <w:sz w:val="24"/>
          <w:szCs w:val="24"/>
        </w:rPr>
        <w:t xml:space="preserve">Existing sources of information to be tapped for relevant information as part of the </w:t>
      </w:r>
      <w:r w:rsidR="00BA7961">
        <w:rPr>
          <w:sz w:val="24"/>
          <w:szCs w:val="24"/>
        </w:rPr>
        <w:t>larger study</w:t>
      </w:r>
      <w:r w:rsidR="00925D5A">
        <w:rPr>
          <w:sz w:val="24"/>
          <w:szCs w:val="24"/>
        </w:rPr>
        <w:t xml:space="preserve"> include: 1) </w:t>
      </w:r>
      <w:r w:rsidR="00BA7961">
        <w:rPr>
          <w:sz w:val="24"/>
          <w:szCs w:val="24"/>
        </w:rPr>
        <w:t xml:space="preserve">NEES </w:t>
      </w:r>
      <w:r w:rsidR="00925D5A">
        <w:rPr>
          <w:sz w:val="24"/>
          <w:szCs w:val="24"/>
        </w:rPr>
        <w:t xml:space="preserve">program solicitations and other </w:t>
      </w:r>
      <w:r w:rsidR="003423E2">
        <w:rPr>
          <w:sz w:val="24"/>
          <w:szCs w:val="24"/>
        </w:rPr>
        <w:t>publicly-available</w:t>
      </w:r>
      <w:r w:rsidR="00925D5A">
        <w:rPr>
          <w:sz w:val="24"/>
          <w:szCs w:val="24"/>
        </w:rPr>
        <w:t xml:space="preserve"> documents</w:t>
      </w:r>
      <w:r w:rsidR="003423E2">
        <w:rPr>
          <w:sz w:val="24"/>
          <w:szCs w:val="24"/>
        </w:rPr>
        <w:t xml:space="preserve"> that describe the NEES program and other earthquake engineering resources</w:t>
      </w:r>
      <w:r w:rsidR="00925D5A">
        <w:rPr>
          <w:sz w:val="24"/>
          <w:szCs w:val="24"/>
        </w:rPr>
        <w:t xml:space="preserve">; </w:t>
      </w:r>
      <w:r w:rsidR="003423E2">
        <w:rPr>
          <w:sz w:val="24"/>
          <w:szCs w:val="24"/>
        </w:rPr>
        <w:t xml:space="preserve">2) applications for funding submitted to NSF by investigators in the field of earthquake engineering; </w:t>
      </w:r>
      <w:r w:rsidR="00925D5A">
        <w:rPr>
          <w:sz w:val="24"/>
          <w:szCs w:val="24"/>
        </w:rPr>
        <w:t xml:space="preserve">3) </w:t>
      </w:r>
      <w:r w:rsidR="003423E2">
        <w:rPr>
          <w:sz w:val="24"/>
          <w:szCs w:val="24"/>
        </w:rPr>
        <w:t xml:space="preserve">previous </w:t>
      </w:r>
      <w:r w:rsidR="00925D5A">
        <w:rPr>
          <w:sz w:val="24"/>
          <w:szCs w:val="24"/>
        </w:rPr>
        <w:t xml:space="preserve">surveys </w:t>
      </w:r>
      <w:r w:rsidR="00952483">
        <w:rPr>
          <w:sz w:val="24"/>
          <w:szCs w:val="24"/>
        </w:rPr>
        <w:t xml:space="preserve">of NEES participants </w:t>
      </w:r>
      <w:r w:rsidR="00925D5A">
        <w:rPr>
          <w:sz w:val="24"/>
          <w:szCs w:val="24"/>
        </w:rPr>
        <w:t xml:space="preserve">conducted at the annual NEES conference </w:t>
      </w:r>
      <w:r w:rsidR="00952483">
        <w:rPr>
          <w:sz w:val="24"/>
          <w:szCs w:val="24"/>
        </w:rPr>
        <w:t xml:space="preserve">and by an </w:t>
      </w:r>
      <w:r w:rsidR="003423E2">
        <w:rPr>
          <w:sz w:val="24"/>
          <w:szCs w:val="24"/>
        </w:rPr>
        <w:t xml:space="preserve">SGER </w:t>
      </w:r>
      <w:proofErr w:type="spellStart"/>
      <w:r w:rsidR="00952483">
        <w:rPr>
          <w:sz w:val="24"/>
          <w:szCs w:val="24"/>
        </w:rPr>
        <w:t>awardee</w:t>
      </w:r>
      <w:proofErr w:type="spellEnd"/>
      <w:r w:rsidR="00952483">
        <w:rPr>
          <w:sz w:val="24"/>
          <w:szCs w:val="24"/>
        </w:rPr>
        <w:t xml:space="preserve"> in February 2009</w:t>
      </w:r>
      <w:r w:rsidR="00952483">
        <w:rPr>
          <w:rStyle w:val="FootnoteReference"/>
          <w:sz w:val="24"/>
          <w:szCs w:val="24"/>
        </w:rPr>
        <w:footnoteReference w:id="1"/>
      </w:r>
      <w:r w:rsidR="00952483">
        <w:rPr>
          <w:sz w:val="24"/>
          <w:szCs w:val="24"/>
        </w:rPr>
        <w:t xml:space="preserve">; 4) records </w:t>
      </w:r>
      <w:r w:rsidR="00360255">
        <w:rPr>
          <w:sz w:val="24"/>
          <w:szCs w:val="24"/>
        </w:rPr>
        <w:t xml:space="preserve">of use </w:t>
      </w:r>
      <w:r w:rsidR="00952483">
        <w:rPr>
          <w:sz w:val="24"/>
          <w:szCs w:val="24"/>
        </w:rPr>
        <w:t xml:space="preserve">maintained by the </w:t>
      </w:r>
      <w:r w:rsidR="003423E2">
        <w:rPr>
          <w:sz w:val="24"/>
          <w:szCs w:val="24"/>
        </w:rPr>
        <w:t>NEES network</w:t>
      </w:r>
      <w:r w:rsidR="00952483">
        <w:rPr>
          <w:sz w:val="24"/>
          <w:szCs w:val="24"/>
        </w:rPr>
        <w:t xml:space="preserve"> and by the individual facilities; </w:t>
      </w:r>
      <w:r w:rsidR="003423E2">
        <w:rPr>
          <w:sz w:val="24"/>
          <w:szCs w:val="24"/>
        </w:rPr>
        <w:t>5</w:t>
      </w:r>
      <w:r w:rsidR="00952483">
        <w:rPr>
          <w:sz w:val="24"/>
          <w:szCs w:val="24"/>
        </w:rPr>
        <w:t xml:space="preserve">) NSF administrative databases; </w:t>
      </w:r>
      <w:r w:rsidR="00360255">
        <w:rPr>
          <w:sz w:val="24"/>
          <w:szCs w:val="24"/>
        </w:rPr>
        <w:t xml:space="preserve">and </w:t>
      </w:r>
      <w:r w:rsidR="003423E2">
        <w:rPr>
          <w:sz w:val="24"/>
          <w:szCs w:val="24"/>
        </w:rPr>
        <w:t>6</w:t>
      </w:r>
      <w:r w:rsidR="00952483">
        <w:rPr>
          <w:sz w:val="24"/>
          <w:szCs w:val="24"/>
        </w:rPr>
        <w:t xml:space="preserve">) </w:t>
      </w:r>
      <w:r w:rsidR="00360255">
        <w:rPr>
          <w:sz w:val="24"/>
          <w:szCs w:val="24"/>
        </w:rPr>
        <w:t>public</w:t>
      </w:r>
      <w:r w:rsidR="003423E2">
        <w:rPr>
          <w:sz w:val="24"/>
          <w:szCs w:val="24"/>
        </w:rPr>
        <w:t xml:space="preserve"> and commercial</w:t>
      </w:r>
      <w:r w:rsidR="00360255">
        <w:rPr>
          <w:sz w:val="24"/>
          <w:szCs w:val="24"/>
        </w:rPr>
        <w:t xml:space="preserve"> databases for </w:t>
      </w:r>
      <w:r w:rsidR="003423E2">
        <w:rPr>
          <w:sz w:val="24"/>
          <w:szCs w:val="24"/>
        </w:rPr>
        <w:t xml:space="preserve">information on research outputs such as </w:t>
      </w:r>
      <w:r w:rsidR="00360255">
        <w:rPr>
          <w:sz w:val="24"/>
          <w:szCs w:val="24"/>
        </w:rPr>
        <w:t>publication</w:t>
      </w:r>
      <w:r w:rsidR="003423E2">
        <w:rPr>
          <w:sz w:val="24"/>
          <w:szCs w:val="24"/>
        </w:rPr>
        <w:t>s</w:t>
      </w:r>
      <w:r w:rsidR="00360255">
        <w:rPr>
          <w:sz w:val="24"/>
          <w:szCs w:val="24"/>
        </w:rPr>
        <w:t xml:space="preserve"> and patent</w:t>
      </w:r>
      <w:r w:rsidR="003423E2">
        <w:rPr>
          <w:sz w:val="24"/>
          <w:szCs w:val="24"/>
        </w:rPr>
        <w:t>s</w:t>
      </w:r>
      <w:r w:rsidRPr="00990735">
        <w:rPr>
          <w:sz w:val="24"/>
          <w:szCs w:val="24"/>
        </w:rPr>
        <w:t>.</w:t>
      </w:r>
    </w:p>
    <w:p w:rsidR="000E74BA" w:rsidRDefault="009D2146" w:rsidP="000E74BA">
      <w:pPr>
        <w:pStyle w:val="Heading1"/>
      </w:pPr>
      <w:bookmarkStart w:id="6" w:name="_Toc284584894"/>
      <w:r w:rsidRPr="00131FB9">
        <w:t>A.5</w:t>
      </w:r>
      <w:r w:rsidR="002D3F29">
        <w:t>.</w:t>
      </w:r>
      <w:r w:rsidRPr="00131FB9">
        <w:t xml:space="preserve"> Impact</w:t>
      </w:r>
      <w:r w:rsidR="00A536C7" w:rsidRPr="00131FB9">
        <w:t xml:space="preserve"> on Small Businesses or Other Small Entities</w:t>
      </w:r>
      <w:bookmarkEnd w:id="6"/>
    </w:p>
    <w:p w:rsidR="000E74BA" w:rsidRPr="000E74BA" w:rsidRDefault="000E74BA" w:rsidP="000E74BA"/>
    <w:p w:rsidR="00CA7A44" w:rsidRPr="00853AC0" w:rsidRDefault="00CA7A44" w:rsidP="003423E2">
      <w:pPr>
        <w:spacing w:line="480" w:lineRule="auto"/>
        <w:ind w:firstLine="720"/>
        <w:rPr>
          <w:sz w:val="24"/>
          <w:szCs w:val="24"/>
        </w:rPr>
      </w:pPr>
      <w:r w:rsidRPr="00853AC0">
        <w:rPr>
          <w:sz w:val="24"/>
          <w:szCs w:val="24"/>
        </w:rPr>
        <w:t>No small businesses will be involved in this study.</w:t>
      </w:r>
    </w:p>
    <w:p w:rsidR="00A536C7" w:rsidRPr="00131FB9" w:rsidRDefault="00A536C7" w:rsidP="00DA4831">
      <w:pPr>
        <w:pStyle w:val="Heading1"/>
        <w:spacing w:line="480" w:lineRule="auto"/>
      </w:pPr>
      <w:bookmarkStart w:id="7" w:name="_Toc284584895"/>
      <w:r w:rsidRPr="00131FB9">
        <w:t>A.6</w:t>
      </w:r>
      <w:r w:rsidR="009D2146" w:rsidRPr="00131FB9">
        <w:t>. Consequences</w:t>
      </w:r>
      <w:r w:rsidRPr="00131FB9">
        <w:t xml:space="preserve"> of Collecting the Information Less Frequently</w:t>
      </w:r>
      <w:bookmarkEnd w:id="7"/>
      <w:r w:rsidRPr="00131FB9">
        <w:t xml:space="preserve"> </w:t>
      </w:r>
    </w:p>
    <w:p w:rsidR="00DA4831" w:rsidRDefault="00DA4831" w:rsidP="003423E2">
      <w:pPr>
        <w:spacing w:line="480" w:lineRule="auto"/>
        <w:ind w:firstLine="720"/>
        <w:rPr>
          <w:sz w:val="24"/>
          <w:szCs w:val="24"/>
        </w:rPr>
      </w:pPr>
      <w:r>
        <w:rPr>
          <w:sz w:val="24"/>
          <w:szCs w:val="24"/>
        </w:rPr>
        <w:t xml:space="preserve">This will be a one-time only data collection. </w:t>
      </w:r>
    </w:p>
    <w:p w:rsidR="00A536C7" w:rsidRPr="00131FB9" w:rsidRDefault="00A536C7" w:rsidP="00DA4831">
      <w:pPr>
        <w:pStyle w:val="Heading1"/>
        <w:spacing w:line="480" w:lineRule="auto"/>
      </w:pPr>
      <w:bookmarkStart w:id="8" w:name="_Toc284584896"/>
      <w:r w:rsidRPr="00131FB9">
        <w:lastRenderedPageBreak/>
        <w:t>A.7</w:t>
      </w:r>
      <w:r w:rsidR="009D2146" w:rsidRPr="00131FB9">
        <w:t>. Special</w:t>
      </w:r>
      <w:r w:rsidRPr="00131FB9">
        <w:t xml:space="preserve"> Circumstances Relating to the Guidelines of 5 CFR 1320.5</w:t>
      </w:r>
      <w:bookmarkEnd w:id="8"/>
      <w:r w:rsidRPr="00131FB9">
        <w:t xml:space="preserve"> </w:t>
      </w:r>
    </w:p>
    <w:p w:rsidR="00CA7A44" w:rsidRPr="00853AC0" w:rsidRDefault="008B7581" w:rsidP="003423E2">
      <w:pPr>
        <w:spacing w:line="480" w:lineRule="auto"/>
        <w:ind w:firstLine="720"/>
        <w:rPr>
          <w:position w:val="-7"/>
          <w:sz w:val="24"/>
          <w:szCs w:val="24"/>
        </w:rPr>
      </w:pPr>
      <w:r>
        <w:rPr>
          <w:sz w:val="24"/>
          <w:szCs w:val="24"/>
        </w:rPr>
        <w:t xml:space="preserve">The proposed data collection </w:t>
      </w:r>
      <w:r w:rsidR="00CA7A44" w:rsidRPr="00853AC0">
        <w:rPr>
          <w:sz w:val="24"/>
          <w:szCs w:val="24"/>
        </w:rPr>
        <w:t>fully complies with all guidelines of 5 CFR 1320.5.</w:t>
      </w:r>
    </w:p>
    <w:p w:rsidR="00A536C7" w:rsidRPr="00853AC0" w:rsidRDefault="00A536C7" w:rsidP="00DA4831">
      <w:pPr>
        <w:pStyle w:val="Heading1"/>
        <w:spacing w:line="480" w:lineRule="auto"/>
      </w:pPr>
      <w:bookmarkStart w:id="9" w:name="_Toc284584897"/>
      <w:r w:rsidRPr="00131FB9">
        <w:t>A.8</w:t>
      </w:r>
      <w:r w:rsidR="009D2146" w:rsidRPr="00131FB9">
        <w:t>. Comments</w:t>
      </w:r>
      <w:r w:rsidRPr="00131FB9">
        <w:t xml:space="preserve"> in Response to the </w:t>
      </w:r>
      <w:r w:rsidR="009D2146" w:rsidRPr="00131FB9">
        <w:t>Federal Register</w:t>
      </w:r>
      <w:r w:rsidRPr="00131FB9">
        <w:t xml:space="preserve"> Notice and Efforts to Consult Outside</w:t>
      </w:r>
      <w:r w:rsidRPr="00853AC0">
        <w:t xml:space="preserve"> Agency</w:t>
      </w:r>
      <w:bookmarkEnd w:id="9"/>
      <w:r w:rsidRPr="00853AC0">
        <w:t xml:space="preserve"> </w:t>
      </w:r>
    </w:p>
    <w:p w:rsidR="00DA4831" w:rsidRDefault="00777C4E" w:rsidP="003423E2">
      <w:pPr>
        <w:spacing w:line="480" w:lineRule="auto"/>
        <w:ind w:firstLine="720"/>
        <w:rPr>
          <w:sz w:val="24"/>
          <w:szCs w:val="24"/>
        </w:rPr>
      </w:pPr>
      <w:r w:rsidRPr="00835E75">
        <w:rPr>
          <w:sz w:val="24"/>
          <w:szCs w:val="24"/>
        </w:rPr>
        <w:t>As required by 5 CFR 1320.8(d), comments on the information colle</w:t>
      </w:r>
      <w:r w:rsidR="00F7745B" w:rsidRPr="00835E75">
        <w:rPr>
          <w:sz w:val="24"/>
          <w:szCs w:val="24"/>
        </w:rPr>
        <w:t xml:space="preserve">ction activities as part of this study </w:t>
      </w:r>
      <w:r w:rsidRPr="00835E75">
        <w:rPr>
          <w:sz w:val="24"/>
          <w:szCs w:val="24"/>
        </w:rPr>
        <w:t xml:space="preserve">were solicited through publication of </w:t>
      </w:r>
      <w:r w:rsidR="00F7745B" w:rsidRPr="00835E75">
        <w:rPr>
          <w:sz w:val="24"/>
          <w:szCs w:val="24"/>
        </w:rPr>
        <w:t>a</w:t>
      </w:r>
      <w:r w:rsidRPr="00835E75">
        <w:rPr>
          <w:sz w:val="24"/>
          <w:szCs w:val="24"/>
        </w:rPr>
        <w:t xml:space="preserve"> 60 Day Notice in the </w:t>
      </w:r>
      <w:r w:rsidRPr="006C3615">
        <w:rPr>
          <w:sz w:val="24"/>
          <w:szCs w:val="24"/>
        </w:rPr>
        <w:t xml:space="preserve">Federal Register </w:t>
      </w:r>
      <w:r w:rsidRPr="00C70C89">
        <w:rPr>
          <w:sz w:val="24"/>
          <w:szCs w:val="24"/>
        </w:rPr>
        <w:t xml:space="preserve">on </w:t>
      </w:r>
      <w:r w:rsidR="00C70C89" w:rsidRPr="00C70C89">
        <w:rPr>
          <w:sz w:val="24"/>
        </w:rPr>
        <w:t xml:space="preserve">October 22, 2010 (volume 75, number 204, page </w:t>
      </w:r>
      <w:r w:rsidR="00C70C89" w:rsidRPr="00C70C89">
        <w:rPr>
          <w:bCs/>
          <w:sz w:val="24"/>
        </w:rPr>
        <w:t>65385)</w:t>
      </w:r>
      <w:r w:rsidRPr="00C70C89">
        <w:rPr>
          <w:sz w:val="24"/>
          <w:szCs w:val="24"/>
        </w:rPr>
        <w:t>.</w:t>
      </w:r>
      <w:r w:rsidR="00835E75" w:rsidRPr="00C70C89">
        <w:rPr>
          <w:sz w:val="24"/>
          <w:szCs w:val="24"/>
        </w:rPr>
        <w:t xml:space="preserve"> </w:t>
      </w:r>
      <w:r w:rsidR="00A52A29" w:rsidRPr="00C70C89">
        <w:rPr>
          <w:sz w:val="24"/>
          <w:szCs w:val="24"/>
        </w:rPr>
        <w:t>N</w:t>
      </w:r>
      <w:r w:rsidR="00A52A29">
        <w:rPr>
          <w:sz w:val="24"/>
          <w:szCs w:val="24"/>
        </w:rPr>
        <w:t>o comments were received from members of the public.</w:t>
      </w:r>
    </w:p>
    <w:p w:rsidR="003906F0" w:rsidRPr="00505F1D" w:rsidRDefault="003906F0" w:rsidP="003423E2">
      <w:pPr>
        <w:spacing w:line="480" w:lineRule="auto"/>
        <w:ind w:firstLine="720"/>
        <w:rPr>
          <w:sz w:val="24"/>
          <w:szCs w:val="24"/>
        </w:rPr>
      </w:pPr>
      <w:r>
        <w:rPr>
          <w:sz w:val="24"/>
          <w:szCs w:val="24"/>
        </w:rPr>
        <w:t>For outside technical expertise, NSF has consulted with the Science and Technology Policy Institute (STPI) at the Institute for Defense Analyses</w:t>
      </w:r>
      <w:r w:rsidR="00505F1D">
        <w:rPr>
          <w:sz w:val="24"/>
          <w:szCs w:val="24"/>
        </w:rPr>
        <w:t xml:space="preserve"> (IDA)</w:t>
      </w:r>
      <w:r w:rsidR="003423E2">
        <w:rPr>
          <w:sz w:val="24"/>
          <w:szCs w:val="24"/>
        </w:rPr>
        <w:t>, a f</w:t>
      </w:r>
      <w:r>
        <w:rPr>
          <w:sz w:val="24"/>
          <w:szCs w:val="24"/>
        </w:rPr>
        <w:t>ederally-</w:t>
      </w:r>
      <w:r w:rsidR="003423E2">
        <w:rPr>
          <w:sz w:val="24"/>
          <w:szCs w:val="24"/>
        </w:rPr>
        <w:t>f</w:t>
      </w:r>
      <w:r>
        <w:rPr>
          <w:sz w:val="24"/>
          <w:szCs w:val="24"/>
        </w:rPr>
        <w:t xml:space="preserve">unded </w:t>
      </w:r>
      <w:r w:rsidR="003423E2">
        <w:rPr>
          <w:sz w:val="24"/>
          <w:szCs w:val="24"/>
        </w:rPr>
        <w:t>research and d</w:t>
      </w:r>
      <w:r>
        <w:rPr>
          <w:sz w:val="24"/>
          <w:szCs w:val="24"/>
        </w:rPr>
        <w:t xml:space="preserve">evelopment </w:t>
      </w:r>
      <w:r w:rsidR="003423E2">
        <w:rPr>
          <w:sz w:val="24"/>
          <w:szCs w:val="24"/>
        </w:rPr>
        <w:t>c</w:t>
      </w:r>
      <w:r w:rsidRPr="00505F1D">
        <w:rPr>
          <w:sz w:val="24"/>
          <w:szCs w:val="24"/>
        </w:rPr>
        <w:t xml:space="preserve">enter that will </w:t>
      </w:r>
      <w:r w:rsidR="003423E2">
        <w:rPr>
          <w:sz w:val="24"/>
          <w:szCs w:val="24"/>
        </w:rPr>
        <w:t>support the data collection as well as the expert panel process for which the data collection will be an input</w:t>
      </w:r>
      <w:r w:rsidRPr="00505F1D">
        <w:rPr>
          <w:sz w:val="24"/>
          <w:szCs w:val="24"/>
        </w:rPr>
        <w:t xml:space="preserve">. </w:t>
      </w:r>
      <w:r w:rsidR="00505F1D" w:rsidRPr="00505F1D">
        <w:rPr>
          <w:sz w:val="24"/>
          <w:szCs w:val="24"/>
        </w:rPr>
        <w:t>The staff at STPI/IDA includes experts in evaluation of federal research and development programs as well as geophysical engineering. Staff members consulted regarding data collection instruments</w:t>
      </w:r>
      <w:r w:rsidR="004C4458">
        <w:rPr>
          <w:sz w:val="24"/>
          <w:szCs w:val="24"/>
        </w:rPr>
        <w:t>, survey methodology,</w:t>
      </w:r>
      <w:r w:rsidR="00505F1D" w:rsidRPr="00505F1D">
        <w:rPr>
          <w:sz w:val="24"/>
          <w:szCs w:val="24"/>
        </w:rPr>
        <w:t xml:space="preserve"> and study design </w:t>
      </w:r>
      <w:proofErr w:type="gramStart"/>
      <w:r w:rsidR="00505F1D" w:rsidRPr="00505F1D">
        <w:rPr>
          <w:sz w:val="24"/>
          <w:szCs w:val="24"/>
        </w:rPr>
        <w:t>include</w:t>
      </w:r>
      <w:proofErr w:type="gramEnd"/>
      <w:r w:rsidR="00505F1D" w:rsidRPr="00505F1D">
        <w:rPr>
          <w:sz w:val="24"/>
          <w:szCs w:val="24"/>
        </w:rPr>
        <w:t>:</w:t>
      </w:r>
    </w:p>
    <w:p w:rsidR="00505F1D" w:rsidRPr="00505F1D" w:rsidRDefault="00505F1D" w:rsidP="00505F1D">
      <w:pPr>
        <w:pStyle w:val="ListParagraph"/>
        <w:numPr>
          <w:ilvl w:val="0"/>
          <w:numId w:val="3"/>
        </w:numPr>
        <w:spacing w:line="480" w:lineRule="auto"/>
        <w:rPr>
          <w:rFonts w:ascii="Times New Roman" w:hAnsi="Times New Roman"/>
          <w:sz w:val="24"/>
          <w:szCs w:val="24"/>
        </w:rPr>
      </w:pPr>
      <w:r w:rsidRPr="00505F1D">
        <w:rPr>
          <w:rFonts w:ascii="Times New Roman" w:hAnsi="Times New Roman"/>
          <w:sz w:val="24"/>
          <w:szCs w:val="24"/>
        </w:rPr>
        <w:t>Dr. Marius Vassiliou, Research Staff Member, Institute for Defense Analyses (703-845-4385)</w:t>
      </w:r>
    </w:p>
    <w:p w:rsidR="008A0238" w:rsidRDefault="008A0238" w:rsidP="003423E2">
      <w:pPr>
        <w:pStyle w:val="ListParagraph"/>
        <w:numPr>
          <w:ilvl w:val="0"/>
          <w:numId w:val="3"/>
        </w:numPr>
        <w:spacing w:line="480" w:lineRule="auto"/>
        <w:rPr>
          <w:rFonts w:ascii="Times New Roman" w:hAnsi="Times New Roman"/>
          <w:sz w:val="24"/>
          <w:szCs w:val="24"/>
        </w:rPr>
      </w:pPr>
      <w:r>
        <w:rPr>
          <w:rFonts w:ascii="Times New Roman" w:hAnsi="Times New Roman"/>
          <w:sz w:val="24"/>
          <w:szCs w:val="24"/>
        </w:rPr>
        <w:t xml:space="preserve">Dr. Gina </w:t>
      </w:r>
      <w:proofErr w:type="spellStart"/>
      <w:r>
        <w:rPr>
          <w:rFonts w:ascii="Times New Roman" w:hAnsi="Times New Roman"/>
          <w:sz w:val="24"/>
          <w:szCs w:val="24"/>
        </w:rPr>
        <w:t>Walejko</w:t>
      </w:r>
      <w:proofErr w:type="spellEnd"/>
      <w:r>
        <w:rPr>
          <w:rFonts w:ascii="Times New Roman" w:hAnsi="Times New Roman"/>
          <w:sz w:val="24"/>
          <w:szCs w:val="24"/>
        </w:rPr>
        <w:t>, Research Staff Member, Science and Technology Policy Institute (202-419-5410)</w:t>
      </w:r>
    </w:p>
    <w:p w:rsidR="003423E2" w:rsidRPr="003423E2" w:rsidRDefault="00505F1D" w:rsidP="003423E2">
      <w:pPr>
        <w:pStyle w:val="ListParagraph"/>
        <w:numPr>
          <w:ilvl w:val="0"/>
          <w:numId w:val="3"/>
        </w:numPr>
        <w:spacing w:line="480" w:lineRule="auto"/>
        <w:rPr>
          <w:rFonts w:ascii="Times New Roman" w:hAnsi="Times New Roman"/>
          <w:sz w:val="24"/>
          <w:szCs w:val="24"/>
        </w:rPr>
      </w:pPr>
      <w:r w:rsidRPr="00505F1D">
        <w:rPr>
          <w:rFonts w:ascii="Times New Roman" w:hAnsi="Times New Roman"/>
          <w:sz w:val="24"/>
          <w:szCs w:val="24"/>
        </w:rPr>
        <w:t>Dr. Brian Zuckerman, Research Staff Member, Science and Technology Policy Institute (202-419-5485)</w:t>
      </w:r>
    </w:p>
    <w:p w:rsidR="00A536C7" w:rsidRPr="00131FB9" w:rsidRDefault="00A536C7" w:rsidP="00505F1D">
      <w:pPr>
        <w:pStyle w:val="Heading1"/>
        <w:spacing w:line="480" w:lineRule="auto"/>
      </w:pPr>
      <w:bookmarkStart w:id="10" w:name="_Toc284584898"/>
      <w:r w:rsidRPr="00131FB9">
        <w:t>A.9</w:t>
      </w:r>
      <w:r w:rsidR="009D2146" w:rsidRPr="00131FB9">
        <w:t>. Explanation</w:t>
      </w:r>
      <w:r w:rsidRPr="00131FB9">
        <w:t xml:space="preserve"> of Any Payment or Gift to Respondents</w:t>
      </w:r>
      <w:bookmarkEnd w:id="10"/>
      <w:r w:rsidRPr="00131FB9">
        <w:t xml:space="preserve"> </w:t>
      </w:r>
    </w:p>
    <w:p w:rsidR="00777C4E" w:rsidRPr="00853AC0" w:rsidRDefault="00777C4E" w:rsidP="003423E2">
      <w:pPr>
        <w:spacing w:line="480" w:lineRule="auto"/>
        <w:ind w:firstLine="720"/>
        <w:rPr>
          <w:sz w:val="24"/>
          <w:szCs w:val="24"/>
        </w:rPr>
      </w:pPr>
      <w:r w:rsidRPr="00853AC0">
        <w:rPr>
          <w:sz w:val="24"/>
          <w:szCs w:val="24"/>
        </w:rPr>
        <w:t>No payment or gift will be made to respondents as a part of this study.</w:t>
      </w:r>
      <w:r w:rsidRPr="00853AC0" w:rsidDel="00777C4E">
        <w:rPr>
          <w:sz w:val="24"/>
          <w:szCs w:val="24"/>
        </w:rPr>
        <w:t xml:space="preserve"> </w:t>
      </w:r>
    </w:p>
    <w:p w:rsidR="00A536C7" w:rsidRPr="008B7581" w:rsidRDefault="00A536C7" w:rsidP="00505F1D">
      <w:pPr>
        <w:pStyle w:val="Heading1"/>
        <w:spacing w:line="480" w:lineRule="auto"/>
      </w:pPr>
      <w:bookmarkStart w:id="11" w:name="_Toc284584899"/>
      <w:r w:rsidRPr="008B7581">
        <w:t xml:space="preserve">A.10. </w:t>
      </w:r>
      <w:r w:rsidR="00A02DBC" w:rsidRPr="008B7581">
        <w:t>Assurance of Confidentiality Provided to Respondents</w:t>
      </w:r>
      <w:bookmarkEnd w:id="11"/>
    </w:p>
    <w:p w:rsidR="00067870" w:rsidRPr="004F3C3C" w:rsidRDefault="00BB14E1" w:rsidP="003423E2">
      <w:pPr>
        <w:spacing w:line="480" w:lineRule="auto"/>
        <w:ind w:firstLine="720"/>
        <w:rPr>
          <w:i/>
          <w:sz w:val="24"/>
          <w:szCs w:val="24"/>
        </w:rPr>
      </w:pPr>
      <w:r w:rsidRPr="00442CC7">
        <w:rPr>
          <w:sz w:val="24"/>
          <w:szCs w:val="24"/>
        </w:rPr>
        <w:t>Data gathered as part of this survey will be identifiable</w:t>
      </w:r>
      <w:r w:rsidR="006108DD">
        <w:rPr>
          <w:sz w:val="24"/>
          <w:szCs w:val="24"/>
        </w:rPr>
        <w:t xml:space="preserve"> by the name of the respondent</w:t>
      </w:r>
      <w:r w:rsidR="00F41873">
        <w:rPr>
          <w:sz w:val="24"/>
          <w:szCs w:val="24"/>
        </w:rPr>
        <w:t xml:space="preserve">. </w:t>
      </w:r>
      <w:r w:rsidR="008B7581" w:rsidRPr="004F3C3C">
        <w:rPr>
          <w:sz w:val="24"/>
          <w:szCs w:val="24"/>
        </w:rPr>
        <w:t>Participants</w:t>
      </w:r>
      <w:r w:rsidRPr="004F3C3C">
        <w:rPr>
          <w:sz w:val="24"/>
          <w:szCs w:val="24"/>
        </w:rPr>
        <w:t xml:space="preserve"> will be informed </w:t>
      </w:r>
      <w:r w:rsidR="00F574FE">
        <w:rPr>
          <w:sz w:val="24"/>
          <w:szCs w:val="24"/>
        </w:rPr>
        <w:t xml:space="preserve">in the introductory letter (Attachment 3) </w:t>
      </w:r>
      <w:r w:rsidRPr="004F3C3C">
        <w:rPr>
          <w:sz w:val="24"/>
          <w:szCs w:val="24"/>
        </w:rPr>
        <w:t xml:space="preserve">that </w:t>
      </w:r>
      <w:r w:rsidR="00B92A68" w:rsidRPr="004F3C3C">
        <w:rPr>
          <w:sz w:val="24"/>
          <w:szCs w:val="24"/>
        </w:rPr>
        <w:t xml:space="preserve">the information they </w:t>
      </w:r>
      <w:r w:rsidR="00B92A68" w:rsidRPr="004F3C3C">
        <w:rPr>
          <w:sz w:val="24"/>
          <w:szCs w:val="24"/>
        </w:rPr>
        <w:lastRenderedPageBreak/>
        <w:t xml:space="preserve">provide will </w:t>
      </w:r>
      <w:r w:rsidR="00CF4BCF">
        <w:rPr>
          <w:sz w:val="24"/>
          <w:szCs w:val="24"/>
        </w:rPr>
        <w:t>be kept confidential</w:t>
      </w:r>
      <w:r w:rsidR="00B92A68" w:rsidRPr="004F3C3C">
        <w:rPr>
          <w:sz w:val="24"/>
          <w:szCs w:val="24"/>
        </w:rPr>
        <w:t xml:space="preserve"> except as required by law</w:t>
      </w:r>
      <w:r w:rsidR="00853AC0" w:rsidRPr="004F3C3C">
        <w:rPr>
          <w:sz w:val="24"/>
          <w:szCs w:val="24"/>
        </w:rPr>
        <w:t>, that data collected from them will only be reported by the contractor in an aggregate form,</w:t>
      </w:r>
      <w:r w:rsidR="00B92A68" w:rsidRPr="004F3C3C">
        <w:rPr>
          <w:sz w:val="24"/>
          <w:szCs w:val="24"/>
        </w:rPr>
        <w:t xml:space="preserve"> </w:t>
      </w:r>
      <w:r w:rsidRPr="004F3C3C">
        <w:rPr>
          <w:sz w:val="24"/>
          <w:szCs w:val="24"/>
        </w:rPr>
        <w:t xml:space="preserve">and that their participation is completely voluntary. </w:t>
      </w:r>
    </w:p>
    <w:p w:rsidR="00067870" w:rsidRPr="00853AC0" w:rsidRDefault="007D5C95" w:rsidP="003423E2">
      <w:pPr>
        <w:spacing w:line="480" w:lineRule="auto"/>
        <w:ind w:firstLine="720"/>
        <w:rPr>
          <w:sz w:val="24"/>
          <w:szCs w:val="24"/>
        </w:rPr>
      </w:pPr>
      <w:r w:rsidRPr="008B7581">
        <w:rPr>
          <w:sz w:val="24"/>
          <w:szCs w:val="24"/>
        </w:rPr>
        <w:t>This data collection activity is exempt from 45 CFR 46 Regulations for Protection of Human Subjects because</w:t>
      </w:r>
      <w:r w:rsidR="008B7581" w:rsidRPr="008B7581">
        <w:rPr>
          <w:sz w:val="24"/>
          <w:szCs w:val="24"/>
        </w:rPr>
        <w:t>:</w:t>
      </w:r>
      <w:r w:rsidRPr="008B7581">
        <w:rPr>
          <w:sz w:val="24"/>
          <w:szCs w:val="24"/>
        </w:rPr>
        <w:t xml:space="preserve"> </w:t>
      </w:r>
      <w:r w:rsidR="008B7581" w:rsidRPr="008B7581">
        <w:rPr>
          <w:sz w:val="24"/>
          <w:szCs w:val="24"/>
        </w:rPr>
        <w:t xml:space="preserve">a) </w:t>
      </w:r>
      <w:r w:rsidRPr="008B7581">
        <w:rPr>
          <w:sz w:val="24"/>
          <w:szCs w:val="24"/>
        </w:rPr>
        <w:t xml:space="preserve">the data will be reported in aggregate and therefore participants will not be identifiable directly or through identifiers linked to the subjects; and </w:t>
      </w:r>
      <w:r w:rsidR="008B7581" w:rsidRPr="008B7581">
        <w:rPr>
          <w:sz w:val="24"/>
          <w:szCs w:val="24"/>
        </w:rPr>
        <w:t xml:space="preserve">b) </w:t>
      </w:r>
      <w:r w:rsidRPr="008B7581">
        <w:rPr>
          <w:sz w:val="24"/>
          <w:szCs w:val="24"/>
        </w:rPr>
        <w:t>because any disclosure of the human subjects' responses outside the research would not place the subjects at risk of criminal or civil liability or be damaging to the subjects' financial standing, employability, or reputation.</w:t>
      </w:r>
      <w:r w:rsidR="00EE4A89">
        <w:rPr>
          <w:sz w:val="24"/>
          <w:szCs w:val="24"/>
        </w:rPr>
        <w:t xml:space="preserve"> Nevertheless, review and approval will be sought from the contractor’s Institutional Review Board.</w:t>
      </w:r>
    </w:p>
    <w:p w:rsidR="00A536C7" w:rsidRPr="00131FB9" w:rsidRDefault="00A536C7" w:rsidP="00C80D5D">
      <w:pPr>
        <w:pStyle w:val="Heading1"/>
        <w:spacing w:line="480" w:lineRule="auto"/>
      </w:pPr>
      <w:bookmarkStart w:id="12" w:name="_Toc284584900"/>
      <w:r w:rsidRPr="00131FB9">
        <w:t>A.11</w:t>
      </w:r>
      <w:r w:rsidR="009D2146" w:rsidRPr="00131FB9">
        <w:t>. Justification</w:t>
      </w:r>
      <w:r w:rsidRPr="00131FB9">
        <w:t xml:space="preserve"> for Sensitive Questions</w:t>
      </w:r>
      <w:bookmarkEnd w:id="12"/>
      <w:r w:rsidRPr="00131FB9">
        <w:t xml:space="preserve"> </w:t>
      </w:r>
    </w:p>
    <w:p w:rsidR="00C80D5D" w:rsidRDefault="00CB011B" w:rsidP="00CB011B">
      <w:pPr>
        <w:spacing w:line="480" w:lineRule="auto"/>
        <w:ind w:firstLine="720"/>
        <w:rPr>
          <w:sz w:val="24"/>
          <w:szCs w:val="24"/>
        </w:rPr>
      </w:pPr>
      <w:r>
        <w:rPr>
          <w:sz w:val="24"/>
          <w:szCs w:val="24"/>
        </w:rPr>
        <w:t>T</w:t>
      </w:r>
      <w:r w:rsidR="00937333">
        <w:rPr>
          <w:sz w:val="24"/>
          <w:szCs w:val="24"/>
        </w:rPr>
        <w:t xml:space="preserve">he </w:t>
      </w:r>
      <w:r>
        <w:rPr>
          <w:sz w:val="24"/>
          <w:szCs w:val="24"/>
        </w:rPr>
        <w:t xml:space="preserve">proposed </w:t>
      </w:r>
      <w:r w:rsidR="00937333">
        <w:rPr>
          <w:sz w:val="24"/>
          <w:szCs w:val="24"/>
        </w:rPr>
        <w:t xml:space="preserve">survey </w:t>
      </w:r>
      <w:r>
        <w:rPr>
          <w:sz w:val="24"/>
          <w:szCs w:val="24"/>
        </w:rPr>
        <w:t>will not</w:t>
      </w:r>
      <w:r w:rsidR="00937333">
        <w:rPr>
          <w:sz w:val="24"/>
          <w:szCs w:val="24"/>
        </w:rPr>
        <w:t xml:space="preserve"> contain</w:t>
      </w:r>
      <w:r w:rsidR="00B92A68" w:rsidRPr="00853AC0">
        <w:rPr>
          <w:sz w:val="24"/>
          <w:szCs w:val="24"/>
        </w:rPr>
        <w:t xml:space="preserve"> </w:t>
      </w:r>
      <w:r w:rsidR="00A536C7" w:rsidRPr="00853AC0">
        <w:rPr>
          <w:sz w:val="24"/>
          <w:szCs w:val="24"/>
        </w:rPr>
        <w:t xml:space="preserve">questions of a sensitive nature. </w:t>
      </w:r>
      <w:r w:rsidR="00D177B5">
        <w:rPr>
          <w:sz w:val="24"/>
          <w:szCs w:val="24"/>
        </w:rPr>
        <w:t xml:space="preserve">Personally Identifiable Information will be limited to the names of </w:t>
      </w:r>
      <w:r>
        <w:rPr>
          <w:sz w:val="24"/>
          <w:szCs w:val="24"/>
        </w:rPr>
        <w:t xml:space="preserve">the </w:t>
      </w:r>
      <w:r w:rsidR="00D177B5">
        <w:rPr>
          <w:sz w:val="24"/>
          <w:szCs w:val="24"/>
        </w:rPr>
        <w:t>respondents</w:t>
      </w:r>
      <w:r>
        <w:rPr>
          <w:sz w:val="24"/>
          <w:szCs w:val="24"/>
        </w:rPr>
        <w:t xml:space="preserve">. </w:t>
      </w:r>
      <w:r w:rsidR="002D3F29">
        <w:rPr>
          <w:sz w:val="24"/>
          <w:szCs w:val="24"/>
        </w:rPr>
        <w:t>T</w:t>
      </w:r>
      <w:r>
        <w:rPr>
          <w:sz w:val="24"/>
          <w:szCs w:val="24"/>
        </w:rPr>
        <w:t xml:space="preserve">o </w:t>
      </w:r>
      <w:r w:rsidR="002D3F29">
        <w:rPr>
          <w:sz w:val="24"/>
          <w:szCs w:val="24"/>
        </w:rPr>
        <w:t xml:space="preserve">further </w:t>
      </w:r>
      <w:r>
        <w:rPr>
          <w:sz w:val="24"/>
          <w:szCs w:val="24"/>
        </w:rPr>
        <w:t xml:space="preserve">minimize risk, </w:t>
      </w:r>
      <w:r w:rsidR="002D3F29">
        <w:rPr>
          <w:sz w:val="24"/>
          <w:szCs w:val="24"/>
        </w:rPr>
        <w:t xml:space="preserve">each survey respondent will be assigned a numeric identifier which will be associated </w:t>
      </w:r>
      <w:r w:rsidR="006B175C">
        <w:rPr>
          <w:sz w:val="24"/>
          <w:szCs w:val="24"/>
        </w:rPr>
        <w:t>his or her</w:t>
      </w:r>
      <w:r w:rsidR="002D3F29">
        <w:rPr>
          <w:sz w:val="24"/>
          <w:szCs w:val="24"/>
        </w:rPr>
        <w:t xml:space="preserve"> responses in the main database instead of his or her name. The list of names and </w:t>
      </w:r>
      <w:r w:rsidR="006B175C">
        <w:rPr>
          <w:sz w:val="24"/>
          <w:szCs w:val="24"/>
        </w:rPr>
        <w:t xml:space="preserve">identifiers will be stored separately from the response data. </w:t>
      </w:r>
      <w:r w:rsidR="005C3661">
        <w:rPr>
          <w:sz w:val="24"/>
          <w:szCs w:val="24"/>
        </w:rPr>
        <w:t>All records will be</w:t>
      </w:r>
      <w:r w:rsidR="00D177B5">
        <w:rPr>
          <w:sz w:val="24"/>
          <w:szCs w:val="24"/>
        </w:rPr>
        <w:t xml:space="preserve"> destroyed </w:t>
      </w:r>
      <w:r w:rsidR="00C80D5D">
        <w:rPr>
          <w:sz w:val="24"/>
          <w:szCs w:val="24"/>
        </w:rPr>
        <w:t>at the end of the study</w:t>
      </w:r>
      <w:r w:rsidR="00D177B5" w:rsidRPr="00442CC7">
        <w:rPr>
          <w:sz w:val="24"/>
          <w:szCs w:val="24"/>
        </w:rPr>
        <w:t>.</w:t>
      </w:r>
    </w:p>
    <w:p w:rsidR="00A536C7" w:rsidRPr="00131FB9" w:rsidRDefault="00A536C7" w:rsidP="005C3661">
      <w:pPr>
        <w:pStyle w:val="Heading1"/>
        <w:spacing w:line="480" w:lineRule="auto"/>
      </w:pPr>
      <w:bookmarkStart w:id="13" w:name="_Toc284584901"/>
      <w:r w:rsidRPr="00131FB9">
        <w:t>A.12</w:t>
      </w:r>
      <w:r w:rsidR="009D2146" w:rsidRPr="00131FB9">
        <w:t>. Estimates</w:t>
      </w:r>
      <w:r w:rsidRPr="00131FB9">
        <w:t xml:space="preserve"> of </w:t>
      </w:r>
      <w:proofErr w:type="spellStart"/>
      <w:r w:rsidRPr="00131FB9">
        <w:t>Hour</w:t>
      </w:r>
      <w:proofErr w:type="spellEnd"/>
      <w:r w:rsidRPr="00131FB9">
        <w:t xml:space="preserve"> Burden Including Annualized Hourly Costs</w:t>
      </w:r>
      <w:bookmarkEnd w:id="13"/>
    </w:p>
    <w:p w:rsidR="00D177B5" w:rsidRDefault="00A81373" w:rsidP="006B175C">
      <w:pPr>
        <w:spacing w:line="480" w:lineRule="auto"/>
        <w:ind w:firstLine="720"/>
        <w:rPr>
          <w:sz w:val="24"/>
          <w:szCs w:val="24"/>
        </w:rPr>
      </w:pPr>
      <w:r w:rsidRPr="007160ED">
        <w:rPr>
          <w:sz w:val="24"/>
          <w:szCs w:val="24"/>
        </w:rPr>
        <w:t xml:space="preserve">As summarized in Table </w:t>
      </w:r>
      <w:r w:rsidR="00226FC1" w:rsidRPr="007160ED">
        <w:rPr>
          <w:sz w:val="24"/>
          <w:szCs w:val="24"/>
        </w:rPr>
        <w:t>A.12</w:t>
      </w:r>
      <w:r w:rsidR="0021028E" w:rsidRPr="007160ED">
        <w:rPr>
          <w:sz w:val="24"/>
          <w:szCs w:val="24"/>
        </w:rPr>
        <w:t>, t</w:t>
      </w:r>
      <w:r w:rsidR="00E6199B" w:rsidRPr="007160ED">
        <w:rPr>
          <w:sz w:val="24"/>
          <w:szCs w:val="24"/>
        </w:rPr>
        <w:t xml:space="preserve">he </w:t>
      </w:r>
      <w:r w:rsidR="008D6023">
        <w:rPr>
          <w:sz w:val="24"/>
          <w:szCs w:val="24"/>
        </w:rPr>
        <w:t>survey will be distributed to</w:t>
      </w:r>
      <w:r w:rsidR="005C3661" w:rsidRPr="007160ED">
        <w:rPr>
          <w:sz w:val="24"/>
          <w:szCs w:val="24"/>
        </w:rPr>
        <w:t xml:space="preserve"> </w:t>
      </w:r>
      <w:r w:rsidR="006B175C" w:rsidRPr="007160ED">
        <w:rPr>
          <w:sz w:val="24"/>
          <w:szCs w:val="24"/>
        </w:rPr>
        <w:t>1</w:t>
      </w:r>
      <w:r w:rsidR="007160ED" w:rsidRPr="007160ED">
        <w:rPr>
          <w:sz w:val="24"/>
          <w:szCs w:val="24"/>
        </w:rPr>
        <w:t>94</w:t>
      </w:r>
      <w:r w:rsidR="008D6023">
        <w:rPr>
          <w:sz w:val="24"/>
          <w:szCs w:val="24"/>
        </w:rPr>
        <w:t xml:space="preserve"> potential respondents (the actual number of unique individuals </w:t>
      </w:r>
      <w:r w:rsidR="00E70CDB">
        <w:rPr>
          <w:sz w:val="24"/>
          <w:szCs w:val="24"/>
        </w:rPr>
        <w:t>invited to participate</w:t>
      </w:r>
      <w:r w:rsidR="008D6023">
        <w:rPr>
          <w:sz w:val="24"/>
          <w:szCs w:val="24"/>
        </w:rPr>
        <w:t xml:space="preserve"> </w:t>
      </w:r>
      <w:r w:rsidR="00E70CDB">
        <w:rPr>
          <w:sz w:val="24"/>
          <w:szCs w:val="24"/>
        </w:rPr>
        <w:t>will be</w:t>
      </w:r>
      <w:r w:rsidR="008D6023">
        <w:rPr>
          <w:sz w:val="24"/>
          <w:szCs w:val="24"/>
        </w:rPr>
        <w:t xml:space="preserve"> 172, but a small number of individuals with multiple funded awards will be asked to respond separately for each award)</w:t>
      </w:r>
      <w:r w:rsidR="007160ED" w:rsidRPr="007160ED">
        <w:rPr>
          <w:sz w:val="24"/>
          <w:szCs w:val="24"/>
        </w:rPr>
        <w:t xml:space="preserve">. </w:t>
      </w:r>
      <w:r w:rsidR="00E6199B" w:rsidRPr="00A81373">
        <w:rPr>
          <w:sz w:val="24"/>
          <w:szCs w:val="24"/>
        </w:rPr>
        <w:t xml:space="preserve">The </w:t>
      </w:r>
      <w:r>
        <w:rPr>
          <w:sz w:val="24"/>
          <w:szCs w:val="24"/>
        </w:rPr>
        <w:t>expected</w:t>
      </w:r>
      <w:r w:rsidR="00E6199B" w:rsidRPr="00A81373">
        <w:rPr>
          <w:sz w:val="24"/>
          <w:szCs w:val="24"/>
        </w:rPr>
        <w:t xml:space="preserve"> burden </w:t>
      </w:r>
      <w:r w:rsidR="005C3661">
        <w:rPr>
          <w:sz w:val="24"/>
          <w:szCs w:val="24"/>
        </w:rPr>
        <w:t xml:space="preserve">for </w:t>
      </w:r>
      <w:r w:rsidR="006B175C">
        <w:rPr>
          <w:sz w:val="24"/>
          <w:szCs w:val="24"/>
        </w:rPr>
        <w:t>survey</w:t>
      </w:r>
      <w:r w:rsidR="005C3661">
        <w:rPr>
          <w:sz w:val="24"/>
          <w:szCs w:val="24"/>
        </w:rPr>
        <w:t xml:space="preserve"> participants </w:t>
      </w:r>
      <w:r>
        <w:rPr>
          <w:sz w:val="24"/>
          <w:szCs w:val="24"/>
        </w:rPr>
        <w:t xml:space="preserve">will </w:t>
      </w:r>
      <w:r w:rsidR="005C3661">
        <w:rPr>
          <w:sz w:val="24"/>
          <w:szCs w:val="24"/>
        </w:rPr>
        <w:t xml:space="preserve">be </w:t>
      </w:r>
      <w:r w:rsidR="000F0369">
        <w:rPr>
          <w:sz w:val="24"/>
          <w:szCs w:val="24"/>
        </w:rPr>
        <w:t xml:space="preserve">approximately </w:t>
      </w:r>
      <w:r w:rsidR="007F1B16">
        <w:rPr>
          <w:sz w:val="24"/>
          <w:szCs w:val="24"/>
        </w:rPr>
        <w:t>30</w:t>
      </w:r>
      <w:r w:rsidR="005C3661">
        <w:rPr>
          <w:sz w:val="24"/>
          <w:szCs w:val="24"/>
        </w:rPr>
        <w:t xml:space="preserve"> minutes</w:t>
      </w:r>
      <w:r>
        <w:rPr>
          <w:sz w:val="24"/>
          <w:szCs w:val="24"/>
        </w:rPr>
        <w:t xml:space="preserve">. </w:t>
      </w:r>
      <w:r w:rsidR="005C3661">
        <w:rPr>
          <w:sz w:val="24"/>
          <w:szCs w:val="24"/>
        </w:rPr>
        <w:t xml:space="preserve">The anticipated </w:t>
      </w:r>
      <w:r>
        <w:rPr>
          <w:sz w:val="24"/>
          <w:szCs w:val="24"/>
        </w:rPr>
        <w:t xml:space="preserve">total annual burden to respondents </w:t>
      </w:r>
      <w:r w:rsidR="005C3661">
        <w:rPr>
          <w:sz w:val="24"/>
          <w:szCs w:val="24"/>
        </w:rPr>
        <w:t>is therefore</w:t>
      </w:r>
      <w:r>
        <w:rPr>
          <w:sz w:val="24"/>
          <w:szCs w:val="24"/>
        </w:rPr>
        <w:t xml:space="preserve"> </w:t>
      </w:r>
      <w:r w:rsidR="007F1B16">
        <w:rPr>
          <w:sz w:val="24"/>
          <w:szCs w:val="24"/>
        </w:rPr>
        <w:t>97</w:t>
      </w:r>
      <w:r w:rsidR="005C3661">
        <w:rPr>
          <w:sz w:val="24"/>
          <w:szCs w:val="24"/>
        </w:rPr>
        <w:t xml:space="preserve"> hours</w:t>
      </w:r>
      <w:r w:rsidR="00853AC0" w:rsidRPr="00A81373">
        <w:rPr>
          <w:sz w:val="24"/>
          <w:szCs w:val="24"/>
        </w:rPr>
        <w:t>.</w:t>
      </w:r>
      <w:r w:rsidR="0084230F">
        <w:rPr>
          <w:sz w:val="24"/>
          <w:szCs w:val="24"/>
        </w:rPr>
        <w:t xml:space="preserve"> Assuming an average hourly rate of </w:t>
      </w:r>
      <w:r w:rsidR="005F5DFA" w:rsidRPr="00EE0DAA">
        <w:rPr>
          <w:sz w:val="24"/>
          <w:szCs w:val="24"/>
        </w:rPr>
        <w:t xml:space="preserve">$38.94 (based on an average annual salary </w:t>
      </w:r>
      <w:r w:rsidR="0084230F">
        <w:rPr>
          <w:sz w:val="24"/>
          <w:szCs w:val="24"/>
        </w:rPr>
        <w:t xml:space="preserve">for US researchers </w:t>
      </w:r>
      <w:r w:rsidR="005F5DFA" w:rsidRPr="00EE0DAA">
        <w:rPr>
          <w:sz w:val="24"/>
          <w:szCs w:val="24"/>
        </w:rPr>
        <w:t>of $81,000)</w:t>
      </w:r>
      <w:proofErr w:type="gramStart"/>
      <w:r w:rsidR="0084230F">
        <w:rPr>
          <w:sz w:val="24"/>
          <w:szCs w:val="24"/>
        </w:rPr>
        <w:t>,</w:t>
      </w:r>
      <w:proofErr w:type="gramEnd"/>
      <w:r w:rsidR="0084230F">
        <w:rPr>
          <w:sz w:val="24"/>
          <w:szCs w:val="24"/>
        </w:rPr>
        <w:t xml:space="preserve"> </w:t>
      </w:r>
      <w:r w:rsidR="005F5DFA" w:rsidRPr="00EE0DAA">
        <w:rPr>
          <w:sz w:val="24"/>
          <w:szCs w:val="24"/>
        </w:rPr>
        <w:t>t</w:t>
      </w:r>
      <w:r w:rsidR="00E6199B" w:rsidRPr="00EE0DAA">
        <w:rPr>
          <w:sz w:val="24"/>
          <w:szCs w:val="24"/>
        </w:rPr>
        <w:t xml:space="preserve">he </w:t>
      </w:r>
      <w:r w:rsidR="0084230F">
        <w:rPr>
          <w:sz w:val="24"/>
          <w:szCs w:val="24"/>
        </w:rPr>
        <w:t xml:space="preserve">annual (and total) </w:t>
      </w:r>
      <w:r w:rsidR="00E6199B" w:rsidRPr="00EE0DAA">
        <w:rPr>
          <w:sz w:val="24"/>
          <w:szCs w:val="24"/>
        </w:rPr>
        <w:t xml:space="preserve">cost to respondents is </w:t>
      </w:r>
      <w:r w:rsidR="00E6199B" w:rsidRPr="0048014E">
        <w:rPr>
          <w:sz w:val="24"/>
          <w:szCs w:val="24"/>
        </w:rPr>
        <w:t xml:space="preserve">estimated at </w:t>
      </w:r>
      <w:r w:rsidR="00EE0DAA" w:rsidRPr="0048014E">
        <w:rPr>
          <w:snapToGrid/>
          <w:color w:val="000000"/>
          <w:sz w:val="24"/>
          <w:szCs w:val="24"/>
        </w:rPr>
        <w:t>$</w:t>
      </w:r>
      <w:r w:rsidR="007F1B16">
        <w:rPr>
          <w:snapToGrid/>
          <w:color w:val="000000"/>
          <w:sz w:val="24"/>
          <w:szCs w:val="24"/>
        </w:rPr>
        <w:t>3</w:t>
      </w:r>
      <w:r w:rsidR="0048014E">
        <w:rPr>
          <w:snapToGrid/>
          <w:color w:val="000000"/>
          <w:sz w:val="24"/>
          <w:szCs w:val="24"/>
        </w:rPr>
        <w:t>,</w:t>
      </w:r>
      <w:r w:rsidR="007F1B16">
        <w:rPr>
          <w:snapToGrid/>
          <w:color w:val="000000"/>
          <w:sz w:val="24"/>
          <w:szCs w:val="24"/>
        </w:rPr>
        <w:t>777</w:t>
      </w:r>
      <w:r w:rsidR="00E6199B" w:rsidRPr="0048014E">
        <w:rPr>
          <w:sz w:val="24"/>
          <w:szCs w:val="24"/>
        </w:rPr>
        <w:t xml:space="preserve">. </w:t>
      </w:r>
      <w:r w:rsidR="008D6023" w:rsidRPr="0048014E">
        <w:rPr>
          <w:sz w:val="24"/>
          <w:szCs w:val="24"/>
        </w:rPr>
        <w:t xml:space="preserve">This </w:t>
      </w:r>
      <w:r w:rsidR="006D0370" w:rsidRPr="0048014E">
        <w:rPr>
          <w:sz w:val="24"/>
          <w:szCs w:val="24"/>
        </w:rPr>
        <w:t xml:space="preserve">burden </w:t>
      </w:r>
      <w:r w:rsidR="008D6023" w:rsidRPr="0048014E">
        <w:rPr>
          <w:sz w:val="24"/>
          <w:szCs w:val="24"/>
        </w:rPr>
        <w:t>estimate conservatively assumes a 100% survey response rate; the</w:t>
      </w:r>
      <w:r w:rsidR="008D6023">
        <w:rPr>
          <w:sz w:val="24"/>
          <w:szCs w:val="24"/>
        </w:rPr>
        <w:t xml:space="preserve"> anticipated response rate is 80%. </w:t>
      </w:r>
      <w:r w:rsidR="00E6199B" w:rsidRPr="00EE0DAA">
        <w:rPr>
          <w:sz w:val="24"/>
          <w:szCs w:val="24"/>
        </w:rPr>
        <w:t>There a</w:t>
      </w:r>
      <w:r w:rsidR="007160ED">
        <w:rPr>
          <w:sz w:val="24"/>
          <w:szCs w:val="24"/>
        </w:rPr>
        <w:t>re no Capital Costs to report.</w:t>
      </w:r>
    </w:p>
    <w:p w:rsidR="00E6199B" w:rsidRDefault="0021028E" w:rsidP="00853AC0">
      <w:pPr>
        <w:rPr>
          <w:b/>
          <w:szCs w:val="24"/>
        </w:rPr>
      </w:pPr>
      <w:r w:rsidRPr="00EE4A89">
        <w:rPr>
          <w:b/>
          <w:szCs w:val="24"/>
        </w:rPr>
        <w:t>Table</w:t>
      </w:r>
      <w:r w:rsidR="005F5DFA" w:rsidRPr="00EE4A89">
        <w:rPr>
          <w:b/>
          <w:szCs w:val="24"/>
        </w:rPr>
        <w:t xml:space="preserve"> </w:t>
      </w:r>
      <w:r w:rsidR="00226FC1">
        <w:rPr>
          <w:b/>
          <w:szCs w:val="24"/>
        </w:rPr>
        <w:t>A.12.</w:t>
      </w:r>
      <w:r w:rsidR="0084230F">
        <w:rPr>
          <w:b/>
          <w:szCs w:val="24"/>
        </w:rPr>
        <w:t xml:space="preserve"> </w:t>
      </w:r>
      <w:r w:rsidR="00E6199B" w:rsidRPr="00EE4A89">
        <w:rPr>
          <w:b/>
          <w:szCs w:val="24"/>
        </w:rPr>
        <w:t>Annualized Estimate of Burden</w:t>
      </w:r>
    </w:p>
    <w:tbl>
      <w:tblPr>
        <w:tblW w:w="874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0"/>
        <w:gridCol w:w="1080"/>
        <w:gridCol w:w="1080"/>
        <w:gridCol w:w="900"/>
        <w:gridCol w:w="1080"/>
        <w:gridCol w:w="990"/>
        <w:gridCol w:w="1260"/>
      </w:tblGrid>
      <w:tr w:rsidR="0084230F" w:rsidRPr="0048014E" w:rsidTr="00BC05B3">
        <w:trPr>
          <w:trHeight w:val="525"/>
        </w:trPr>
        <w:tc>
          <w:tcPr>
            <w:tcW w:w="2350" w:type="dxa"/>
            <w:shd w:val="clear" w:color="auto" w:fill="auto"/>
            <w:hideMark/>
          </w:tcPr>
          <w:p w:rsidR="005C3661" w:rsidRPr="0048014E" w:rsidRDefault="005C3661" w:rsidP="005C3661">
            <w:pPr>
              <w:widowControl/>
              <w:rPr>
                <w:snapToGrid/>
                <w:color w:val="000000"/>
                <w:sz w:val="18"/>
              </w:rPr>
            </w:pPr>
            <w:r w:rsidRPr="0048014E">
              <w:rPr>
                <w:snapToGrid/>
                <w:color w:val="000000"/>
                <w:sz w:val="18"/>
              </w:rPr>
              <w:lastRenderedPageBreak/>
              <w:t>Category of Participant</w:t>
            </w:r>
          </w:p>
        </w:tc>
        <w:tc>
          <w:tcPr>
            <w:tcW w:w="1080" w:type="dxa"/>
            <w:shd w:val="clear" w:color="auto" w:fill="auto"/>
            <w:hideMark/>
          </w:tcPr>
          <w:p w:rsidR="005C3661" w:rsidRPr="0048014E" w:rsidRDefault="005C3661" w:rsidP="005C3661">
            <w:pPr>
              <w:widowControl/>
              <w:rPr>
                <w:snapToGrid/>
                <w:color w:val="000000"/>
                <w:sz w:val="18"/>
              </w:rPr>
            </w:pPr>
            <w:r w:rsidRPr="0048014E">
              <w:rPr>
                <w:snapToGrid/>
                <w:color w:val="000000"/>
                <w:sz w:val="18"/>
              </w:rPr>
              <w:t>Expected number of participants</w:t>
            </w:r>
          </w:p>
        </w:tc>
        <w:tc>
          <w:tcPr>
            <w:tcW w:w="1080" w:type="dxa"/>
            <w:shd w:val="clear" w:color="auto" w:fill="auto"/>
            <w:hideMark/>
          </w:tcPr>
          <w:p w:rsidR="005C3661" w:rsidRPr="0048014E" w:rsidRDefault="0084230F" w:rsidP="005C3661">
            <w:pPr>
              <w:widowControl/>
              <w:rPr>
                <w:snapToGrid/>
                <w:color w:val="000000"/>
                <w:sz w:val="18"/>
              </w:rPr>
            </w:pPr>
            <w:r w:rsidRPr="0048014E">
              <w:rPr>
                <w:snapToGrid/>
                <w:color w:val="000000"/>
                <w:sz w:val="18"/>
              </w:rPr>
              <w:t>R</w:t>
            </w:r>
            <w:r w:rsidR="005C3661" w:rsidRPr="0048014E">
              <w:rPr>
                <w:snapToGrid/>
                <w:color w:val="000000"/>
                <w:sz w:val="18"/>
              </w:rPr>
              <w:t>esponses per participant</w:t>
            </w:r>
          </w:p>
        </w:tc>
        <w:tc>
          <w:tcPr>
            <w:tcW w:w="900" w:type="dxa"/>
            <w:shd w:val="clear" w:color="auto" w:fill="auto"/>
            <w:hideMark/>
          </w:tcPr>
          <w:p w:rsidR="005C3661" w:rsidRPr="0048014E" w:rsidRDefault="005C3661" w:rsidP="005C3661">
            <w:pPr>
              <w:widowControl/>
              <w:rPr>
                <w:snapToGrid/>
                <w:color w:val="000000"/>
                <w:sz w:val="18"/>
              </w:rPr>
            </w:pPr>
            <w:r w:rsidRPr="0048014E">
              <w:rPr>
                <w:snapToGrid/>
                <w:color w:val="000000"/>
                <w:sz w:val="18"/>
              </w:rPr>
              <w:t>Average burden hours per response</w:t>
            </w:r>
          </w:p>
        </w:tc>
        <w:tc>
          <w:tcPr>
            <w:tcW w:w="1080" w:type="dxa"/>
            <w:shd w:val="clear" w:color="auto" w:fill="auto"/>
            <w:hideMark/>
          </w:tcPr>
          <w:p w:rsidR="005C3661" w:rsidRPr="0048014E" w:rsidRDefault="005C3661" w:rsidP="0084230F">
            <w:pPr>
              <w:widowControl/>
              <w:rPr>
                <w:snapToGrid/>
                <w:color w:val="000000"/>
                <w:sz w:val="18"/>
              </w:rPr>
            </w:pPr>
            <w:r w:rsidRPr="0048014E">
              <w:rPr>
                <w:snapToGrid/>
                <w:color w:val="000000"/>
                <w:sz w:val="18"/>
              </w:rPr>
              <w:t>Estimated annual burden hours</w:t>
            </w:r>
          </w:p>
        </w:tc>
        <w:tc>
          <w:tcPr>
            <w:tcW w:w="990" w:type="dxa"/>
            <w:shd w:val="clear" w:color="auto" w:fill="auto"/>
            <w:hideMark/>
          </w:tcPr>
          <w:p w:rsidR="005C3661" w:rsidRPr="0048014E" w:rsidRDefault="005C3661" w:rsidP="0084230F">
            <w:pPr>
              <w:widowControl/>
              <w:rPr>
                <w:snapToGrid/>
                <w:color w:val="000000"/>
                <w:sz w:val="18"/>
              </w:rPr>
            </w:pPr>
            <w:r w:rsidRPr="0048014E">
              <w:rPr>
                <w:snapToGrid/>
                <w:color w:val="000000"/>
                <w:sz w:val="18"/>
              </w:rPr>
              <w:t>Estimated hourly wage</w:t>
            </w:r>
          </w:p>
        </w:tc>
        <w:tc>
          <w:tcPr>
            <w:tcW w:w="1260" w:type="dxa"/>
            <w:shd w:val="clear" w:color="auto" w:fill="auto"/>
            <w:hideMark/>
          </w:tcPr>
          <w:p w:rsidR="005C3661" w:rsidRPr="0048014E" w:rsidRDefault="005C3661" w:rsidP="005C3661">
            <w:pPr>
              <w:widowControl/>
              <w:rPr>
                <w:snapToGrid/>
                <w:color w:val="000000"/>
                <w:sz w:val="18"/>
              </w:rPr>
            </w:pPr>
            <w:r w:rsidRPr="0048014E">
              <w:rPr>
                <w:snapToGrid/>
                <w:color w:val="000000"/>
                <w:sz w:val="18"/>
              </w:rPr>
              <w:t>Estimated annual cost to participants</w:t>
            </w:r>
          </w:p>
        </w:tc>
      </w:tr>
      <w:tr w:rsidR="0048014E" w:rsidRPr="0048014E" w:rsidTr="0048014E">
        <w:trPr>
          <w:trHeight w:val="300"/>
        </w:trPr>
        <w:tc>
          <w:tcPr>
            <w:tcW w:w="2350" w:type="dxa"/>
            <w:shd w:val="clear" w:color="auto" w:fill="auto"/>
            <w:noWrap/>
            <w:vAlign w:val="bottom"/>
            <w:hideMark/>
          </w:tcPr>
          <w:p w:rsidR="0048014E" w:rsidRPr="0048014E" w:rsidRDefault="0048014E" w:rsidP="007160ED">
            <w:pPr>
              <w:rPr>
                <w:color w:val="000000"/>
              </w:rPr>
            </w:pPr>
            <w:r w:rsidRPr="0048014E">
              <w:rPr>
                <w:color w:val="000000"/>
              </w:rPr>
              <w:t>NEES-R PIs</w:t>
            </w:r>
          </w:p>
        </w:tc>
        <w:tc>
          <w:tcPr>
            <w:tcW w:w="1080" w:type="dxa"/>
            <w:shd w:val="clear" w:color="auto" w:fill="auto"/>
            <w:noWrap/>
            <w:vAlign w:val="bottom"/>
            <w:hideMark/>
          </w:tcPr>
          <w:p w:rsidR="0048014E" w:rsidRPr="0048014E" w:rsidRDefault="0048014E" w:rsidP="007160ED">
            <w:pPr>
              <w:rPr>
                <w:color w:val="000000"/>
              </w:rPr>
            </w:pPr>
            <w:r w:rsidRPr="0048014E">
              <w:rPr>
                <w:color w:val="000000"/>
              </w:rPr>
              <w:t>98</w:t>
            </w:r>
          </w:p>
        </w:tc>
        <w:tc>
          <w:tcPr>
            <w:tcW w:w="1080" w:type="dxa"/>
            <w:shd w:val="clear" w:color="auto" w:fill="auto"/>
            <w:noWrap/>
            <w:vAlign w:val="bottom"/>
            <w:hideMark/>
          </w:tcPr>
          <w:p w:rsidR="0048014E" w:rsidRPr="0048014E" w:rsidRDefault="0048014E" w:rsidP="007160ED">
            <w:pPr>
              <w:rPr>
                <w:color w:val="000000"/>
              </w:rPr>
            </w:pPr>
            <w:r w:rsidRPr="0048014E">
              <w:rPr>
                <w:color w:val="000000"/>
              </w:rPr>
              <w:t>1</w:t>
            </w:r>
          </w:p>
        </w:tc>
        <w:tc>
          <w:tcPr>
            <w:tcW w:w="900" w:type="dxa"/>
            <w:shd w:val="clear" w:color="auto" w:fill="auto"/>
            <w:noWrap/>
            <w:vAlign w:val="bottom"/>
            <w:hideMark/>
          </w:tcPr>
          <w:p w:rsidR="0048014E" w:rsidRPr="0048014E" w:rsidRDefault="0048014E" w:rsidP="007F1B16">
            <w:pPr>
              <w:rPr>
                <w:color w:val="000000"/>
              </w:rPr>
            </w:pPr>
            <w:r w:rsidRPr="0048014E">
              <w:rPr>
                <w:color w:val="000000"/>
              </w:rPr>
              <w:t>0.5</w:t>
            </w:r>
          </w:p>
        </w:tc>
        <w:tc>
          <w:tcPr>
            <w:tcW w:w="1080" w:type="dxa"/>
            <w:shd w:val="clear" w:color="auto" w:fill="auto"/>
            <w:vAlign w:val="bottom"/>
            <w:hideMark/>
          </w:tcPr>
          <w:p w:rsidR="0048014E" w:rsidRPr="0048014E" w:rsidRDefault="007F1B16" w:rsidP="007160ED">
            <w:pPr>
              <w:rPr>
                <w:color w:val="000000"/>
              </w:rPr>
            </w:pPr>
            <w:r>
              <w:rPr>
                <w:color w:val="000000"/>
              </w:rPr>
              <w:t>49</w:t>
            </w:r>
          </w:p>
        </w:tc>
        <w:tc>
          <w:tcPr>
            <w:tcW w:w="990" w:type="dxa"/>
            <w:shd w:val="clear" w:color="auto" w:fill="auto"/>
            <w:noWrap/>
            <w:vAlign w:val="bottom"/>
            <w:hideMark/>
          </w:tcPr>
          <w:p w:rsidR="0048014E" w:rsidRPr="0048014E" w:rsidRDefault="0048014E" w:rsidP="007160ED">
            <w:pPr>
              <w:rPr>
                <w:color w:val="000000"/>
              </w:rPr>
            </w:pPr>
            <w:r w:rsidRPr="0048014E">
              <w:rPr>
                <w:color w:val="000000"/>
              </w:rPr>
              <w:t xml:space="preserve">$38.94 </w:t>
            </w:r>
          </w:p>
        </w:tc>
        <w:tc>
          <w:tcPr>
            <w:tcW w:w="1260" w:type="dxa"/>
            <w:shd w:val="clear" w:color="auto" w:fill="auto"/>
            <w:vAlign w:val="bottom"/>
            <w:hideMark/>
          </w:tcPr>
          <w:p w:rsidR="0048014E" w:rsidRPr="0048014E" w:rsidRDefault="0048014E" w:rsidP="007F1B16">
            <w:pPr>
              <w:jc w:val="center"/>
              <w:rPr>
                <w:color w:val="000000"/>
              </w:rPr>
            </w:pPr>
            <w:r w:rsidRPr="0048014E">
              <w:rPr>
                <w:color w:val="000000"/>
              </w:rPr>
              <w:t>$</w:t>
            </w:r>
            <w:r w:rsidR="007F1B16">
              <w:rPr>
                <w:color w:val="000000"/>
              </w:rPr>
              <w:t>1</w:t>
            </w:r>
            <w:r w:rsidRPr="0048014E">
              <w:rPr>
                <w:color w:val="000000"/>
              </w:rPr>
              <w:t>,</w:t>
            </w:r>
            <w:r w:rsidR="007F1B16">
              <w:rPr>
                <w:color w:val="000000"/>
              </w:rPr>
              <w:t>908</w:t>
            </w:r>
          </w:p>
        </w:tc>
      </w:tr>
      <w:tr w:rsidR="0048014E" w:rsidRPr="0048014E" w:rsidTr="0048014E">
        <w:trPr>
          <w:trHeight w:val="300"/>
        </w:trPr>
        <w:tc>
          <w:tcPr>
            <w:tcW w:w="2350" w:type="dxa"/>
            <w:shd w:val="clear" w:color="auto" w:fill="auto"/>
            <w:noWrap/>
            <w:vAlign w:val="bottom"/>
            <w:hideMark/>
          </w:tcPr>
          <w:p w:rsidR="0048014E" w:rsidRPr="0048014E" w:rsidRDefault="0048014E" w:rsidP="007160ED">
            <w:pPr>
              <w:rPr>
                <w:color w:val="000000"/>
              </w:rPr>
            </w:pPr>
            <w:r w:rsidRPr="0048014E">
              <w:rPr>
                <w:color w:val="000000"/>
              </w:rPr>
              <w:t>Other E</w:t>
            </w:r>
            <w:r>
              <w:rPr>
                <w:color w:val="000000"/>
              </w:rPr>
              <w:t xml:space="preserve">arthquake </w:t>
            </w:r>
            <w:r w:rsidRPr="0048014E">
              <w:rPr>
                <w:color w:val="000000"/>
              </w:rPr>
              <w:t>E</w:t>
            </w:r>
            <w:r>
              <w:rPr>
                <w:color w:val="000000"/>
              </w:rPr>
              <w:t>ngineering</w:t>
            </w:r>
            <w:r w:rsidRPr="0048014E">
              <w:rPr>
                <w:color w:val="000000"/>
              </w:rPr>
              <w:t xml:space="preserve"> PIs</w:t>
            </w:r>
          </w:p>
        </w:tc>
        <w:tc>
          <w:tcPr>
            <w:tcW w:w="1080" w:type="dxa"/>
            <w:shd w:val="clear" w:color="auto" w:fill="auto"/>
            <w:noWrap/>
            <w:vAlign w:val="bottom"/>
            <w:hideMark/>
          </w:tcPr>
          <w:p w:rsidR="0048014E" w:rsidRPr="0048014E" w:rsidRDefault="0048014E" w:rsidP="007160ED">
            <w:pPr>
              <w:rPr>
                <w:color w:val="000000"/>
              </w:rPr>
            </w:pPr>
            <w:r w:rsidRPr="0048014E">
              <w:rPr>
                <w:color w:val="000000"/>
              </w:rPr>
              <w:t>96</w:t>
            </w:r>
          </w:p>
        </w:tc>
        <w:tc>
          <w:tcPr>
            <w:tcW w:w="1080" w:type="dxa"/>
            <w:shd w:val="clear" w:color="auto" w:fill="auto"/>
            <w:vAlign w:val="bottom"/>
            <w:hideMark/>
          </w:tcPr>
          <w:p w:rsidR="0048014E" w:rsidRPr="0048014E" w:rsidRDefault="0048014E" w:rsidP="007160ED">
            <w:pPr>
              <w:rPr>
                <w:color w:val="000000"/>
              </w:rPr>
            </w:pPr>
            <w:r w:rsidRPr="0048014E">
              <w:rPr>
                <w:color w:val="000000"/>
              </w:rPr>
              <w:t>1</w:t>
            </w:r>
          </w:p>
        </w:tc>
        <w:tc>
          <w:tcPr>
            <w:tcW w:w="900" w:type="dxa"/>
            <w:shd w:val="clear" w:color="auto" w:fill="auto"/>
            <w:noWrap/>
            <w:vAlign w:val="bottom"/>
            <w:hideMark/>
          </w:tcPr>
          <w:p w:rsidR="0048014E" w:rsidRPr="0048014E" w:rsidRDefault="0048014E" w:rsidP="007F1B16">
            <w:pPr>
              <w:rPr>
                <w:color w:val="000000"/>
              </w:rPr>
            </w:pPr>
            <w:r w:rsidRPr="0048014E">
              <w:rPr>
                <w:color w:val="000000"/>
              </w:rPr>
              <w:t>0.5</w:t>
            </w:r>
          </w:p>
        </w:tc>
        <w:tc>
          <w:tcPr>
            <w:tcW w:w="1080" w:type="dxa"/>
            <w:shd w:val="clear" w:color="auto" w:fill="auto"/>
            <w:vAlign w:val="bottom"/>
            <w:hideMark/>
          </w:tcPr>
          <w:p w:rsidR="0048014E" w:rsidRPr="0048014E" w:rsidRDefault="007F1B16" w:rsidP="007160ED">
            <w:pPr>
              <w:rPr>
                <w:color w:val="000000"/>
              </w:rPr>
            </w:pPr>
            <w:r>
              <w:rPr>
                <w:color w:val="000000"/>
              </w:rPr>
              <w:t>48</w:t>
            </w:r>
          </w:p>
        </w:tc>
        <w:tc>
          <w:tcPr>
            <w:tcW w:w="990" w:type="dxa"/>
            <w:shd w:val="clear" w:color="auto" w:fill="auto"/>
            <w:noWrap/>
            <w:vAlign w:val="bottom"/>
            <w:hideMark/>
          </w:tcPr>
          <w:p w:rsidR="0048014E" w:rsidRPr="0048014E" w:rsidRDefault="0048014E" w:rsidP="007160ED">
            <w:pPr>
              <w:rPr>
                <w:color w:val="000000"/>
              </w:rPr>
            </w:pPr>
            <w:r w:rsidRPr="0048014E">
              <w:rPr>
                <w:color w:val="000000"/>
              </w:rPr>
              <w:t xml:space="preserve">$38.94 </w:t>
            </w:r>
          </w:p>
        </w:tc>
        <w:tc>
          <w:tcPr>
            <w:tcW w:w="1260" w:type="dxa"/>
            <w:shd w:val="clear" w:color="auto" w:fill="auto"/>
            <w:vAlign w:val="bottom"/>
            <w:hideMark/>
          </w:tcPr>
          <w:p w:rsidR="0048014E" w:rsidRPr="0048014E" w:rsidRDefault="0048014E" w:rsidP="007F1B16">
            <w:pPr>
              <w:jc w:val="center"/>
              <w:rPr>
                <w:color w:val="000000"/>
              </w:rPr>
            </w:pPr>
            <w:r w:rsidRPr="0048014E">
              <w:rPr>
                <w:color w:val="000000"/>
              </w:rPr>
              <w:t>$</w:t>
            </w:r>
            <w:r w:rsidR="007F1B16">
              <w:rPr>
                <w:color w:val="000000"/>
              </w:rPr>
              <w:t>1</w:t>
            </w:r>
            <w:r w:rsidRPr="0048014E">
              <w:rPr>
                <w:color w:val="000000"/>
              </w:rPr>
              <w:t>,</w:t>
            </w:r>
            <w:r w:rsidR="007F1B16">
              <w:rPr>
                <w:color w:val="000000"/>
              </w:rPr>
              <w:t>869</w:t>
            </w:r>
          </w:p>
        </w:tc>
      </w:tr>
      <w:tr w:rsidR="0048014E" w:rsidRPr="0048014E" w:rsidTr="0048014E">
        <w:trPr>
          <w:trHeight w:val="300"/>
        </w:trPr>
        <w:tc>
          <w:tcPr>
            <w:tcW w:w="2350" w:type="dxa"/>
            <w:shd w:val="clear" w:color="auto" w:fill="auto"/>
            <w:vAlign w:val="bottom"/>
            <w:hideMark/>
          </w:tcPr>
          <w:p w:rsidR="0048014E" w:rsidRPr="0048014E" w:rsidRDefault="0048014E" w:rsidP="007160ED">
            <w:pPr>
              <w:rPr>
                <w:color w:val="000000"/>
              </w:rPr>
            </w:pPr>
            <w:r w:rsidRPr="0048014E">
              <w:rPr>
                <w:color w:val="000000"/>
              </w:rPr>
              <w:t>Total</w:t>
            </w:r>
          </w:p>
        </w:tc>
        <w:tc>
          <w:tcPr>
            <w:tcW w:w="1080" w:type="dxa"/>
            <w:shd w:val="clear" w:color="auto" w:fill="auto"/>
            <w:noWrap/>
            <w:vAlign w:val="bottom"/>
            <w:hideMark/>
          </w:tcPr>
          <w:p w:rsidR="0048014E" w:rsidRPr="0048014E" w:rsidRDefault="0048014E" w:rsidP="007160ED">
            <w:pPr>
              <w:rPr>
                <w:color w:val="000000"/>
              </w:rPr>
            </w:pPr>
            <w:r w:rsidRPr="0048014E">
              <w:rPr>
                <w:color w:val="000000"/>
              </w:rPr>
              <w:t>194</w:t>
            </w:r>
          </w:p>
        </w:tc>
        <w:tc>
          <w:tcPr>
            <w:tcW w:w="1080" w:type="dxa"/>
            <w:shd w:val="clear" w:color="auto" w:fill="auto"/>
            <w:noWrap/>
            <w:vAlign w:val="bottom"/>
            <w:hideMark/>
          </w:tcPr>
          <w:p w:rsidR="0048014E" w:rsidRPr="0048014E" w:rsidRDefault="0048014E" w:rsidP="007160ED">
            <w:pPr>
              <w:rPr>
                <w:color w:val="000000"/>
              </w:rPr>
            </w:pPr>
            <w:r w:rsidRPr="0048014E">
              <w:rPr>
                <w:color w:val="000000"/>
              </w:rPr>
              <w:t>-</w:t>
            </w:r>
          </w:p>
        </w:tc>
        <w:tc>
          <w:tcPr>
            <w:tcW w:w="900" w:type="dxa"/>
            <w:shd w:val="clear" w:color="auto" w:fill="auto"/>
            <w:noWrap/>
            <w:vAlign w:val="bottom"/>
            <w:hideMark/>
          </w:tcPr>
          <w:p w:rsidR="0048014E" w:rsidRPr="0048014E" w:rsidRDefault="0048014E" w:rsidP="007160ED">
            <w:pPr>
              <w:rPr>
                <w:color w:val="000000"/>
              </w:rPr>
            </w:pPr>
            <w:r w:rsidRPr="0048014E">
              <w:rPr>
                <w:color w:val="000000"/>
              </w:rPr>
              <w:t>-</w:t>
            </w:r>
          </w:p>
        </w:tc>
        <w:tc>
          <w:tcPr>
            <w:tcW w:w="1080" w:type="dxa"/>
            <w:shd w:val="clear" w:color="auto" w:fill="auto"/>
            <w:vAlign w:val="bottom"/>
            <w:hideMark/>
          </w:tcPr>
          <w:p w:rsidR="0048014E" w:rsidRPr="0048014E" w:rsidRDefault="007F1B16" w:rsidP="007160ED">
            <w:pPr>
              <w:rPr>
                <w:color w:val="000000"/>
              </w:rPr>
            </w:pPr>
            <w:r>
              <w:rPr>
                <w:color w:val="000000"/>
              </w:rPr>
              <w:t>97</w:t>
            </w:r>
          </w:p>
        </w:tc>
        <w:tc>
          <w:tcPr>
            <w:tcW w:w="990" w:type="dxa"/>
            <w:shd w:val="clear" w:color="auto" w:fill="auto"/>
            <w:noWrap/>
            <w:vAlign w:val="bottom"/>
            <w:hideMark/>
          </w:tcPr>
          <w:p w:rsidR="0048014E" w:rsidRPr="0048014E" w:rsidRDefault="0048014E" w:rsidP="007160ED">
            <w:pPr>
              <w:rPr>
                <w:color w:val="000000"/>
              </w:rPr>
            </w:pPr>
            <w:r w:rsidRPr="0048014E">
              <w:rPr>
                <w:color w:val="000000"/>
              </w:rPr>
              <w:t>-</w:t>
            </w:r>
          </w:p>
        </w:tc>
        <w:tc>
          <w:tcPr>
            <w:tcW w:w="1260" w:type="dxa"/>
            <w:shd w:val="clear" w:color="auto" w:fill="auto"/>
            <w:noWrap/>
            <w:vAlign w:val="bottom"/>
            <w:hideMark/>
          </w:tcPr>
          <w:p w:rsidR="0048014E" w:rsidRPr="0048014E" w:rsidRDefault="0048014E" w:rsidP="007F1B16">
            <w:pPr>
              <w:jc w:val="center"/>
              <w:rPr>
                <w:color w:val="000000"/>
              </w:rPr>
            </w:pPr>
            <w:r w:rsidRPr="0048014E">
              <w:rPr>
                <w:color w:val="000000"/>
              </w:rPr>
              <w:t>$</w:t>
            </w:r>
            <w:r w:rsidR="007F1B16">
              <w:rPr>
                <w:color w:val="000000"/>
              </w:rPr>
              <w:t>3</w:t>
            </w:r>
            <w:r w:rsidRPr="0048014E">
              <w:rPr>
                <w:color w:val="000000"/>
              </w:rPr>
              <w:t>,</w:t>
            </w:r>
            <w:r w:rsidR="007F1B16">
              <w:rPr>
                <w:color w:val="000000"/>
              </w:rPr>
              <w:t>777</w:t>
            </w:r>
          </w:p>
        </w:tc>
      </w:tr>
    </w:tbl>
    <w:p w:rsidR="005C3661" w:rsidRPr="00EE4A89" w:rsidRDefault="005C3661" w:rsidP="00853AC0">
      <w:pPr>
        <w:rPr>
          <w:b/>
          <w:szCs w:val="24"/>
        </w:rPr>
      </w:pPr>
    </w:p>
    <w:p w:rsidR="00A536C7" w:rsidRPr="00131FB9" w:rsidRDefault="00A536C7" w:rsidP="005C3661">
      <w:pPr>
        <w:pStyle w:val="Heading1"/>
        <w:spacing w:line="480" w:lineRule="auto"/>
      </w:pPr>
      <w:bookmarkStart w:id="14" w:name="_Toc284584902"/>
      <w:r w:rsidRPr="00131FB9">
        <w:t>A.13</w:t>
      </w:r>
      <w:r w:rsidR="009D2146" w:rsidRPr="00131FB9">
        <w:t>. Estimate</w:t>
      </w:r>
      <w:r w:rsidRPr="00131FB9">
        <w:t xml:space="preserve"> of Other Total Annual Cost Burden to Respondents or </w:t>
      </w:r>
      <w:proofErr w:type="spellStart"/>
      <w:r w:rsidRPr="00131FB9">
        <w:t>Recordkeepers</w:t>
      </w:r>
      <w:bookmarkEnd w:id="14"/>
      <w:proofErr w:type="spellEnd"/>
    </w:p>
    <w:p w:rsidR="00A536C7" w:rsidRPr="00853AC0" w:rsidRDefault="0098794F" w:rsidP="007160ED">
      <w:pPr>
        <w:spacing w:line="480" w:lineRule="auto"/>
        <w:ind w:firstLine="720"/>
        <w:rPr>
          <w:sz w:val="24"/>
          <w:szCs w:val="24"/>
        </w:rPr>
      </w:pPr>
      <w:r w:rsidRPr="00853AC0">
        <w:rPr>
          <w:sz w:val="24"/>
          <w:szCs w:val="24"/>
        </w:rPr>
        <w:t xml:space="preserve">There are no Operating or Maintenance Costs to report.  </w:t>
      </w:r>
    </w:p>
    <w:p w:rsidR="00A536C7" w:rsidRPr="00131FB9" w:rsidRDefault="00A536C7" w:rsidP="004E659C">
      <w:pPr>
        <w:pStyle w:val="Heading1"/>
        <w:spacing w:line="480" w:lineRule="auto"/>
      </w:pPr>
      <w:bookmarkStart w:id="15" w:name="_Toc284584903"/>
      <w:r w:rsidRPr="00131FB9">
        <w:t>A.14</w:t>
      </w:r>
      <w:r w:rsidR="009D2146" w:rsidRPr="00131FB9">
        <w:t>. Annualized</w:t>
      </w:r>
      <w:r w:rsidRPr="00131FB9">
        <w:t xml:space="preserve"> Cost to the Federal Government</w:t>
      </w:r>
      <w:bookmarkEnd w:id="15"/>
      <w:r w:rsidRPr="00131FB9">
        <w:t xml:space="preserve"> </w:t>
      </w:r>
    </w:p>
    <w:p w:rsidR="00EF7AF2" w:rsidRPr="00C33ADA" w:rsidRDefault="007160ED" w:rsidP="007160ED">
      <w:pPr>
        <w:pStyle w:val="BodyText2"/>
        <w:tabs>
          <w:tab w:val="left" w:pos="9990"/>
        </w:tabs>
        <w:ind w:firstLine="720"/>
        <w:rPr>
          <w:sz w:val="24"/>
          <w:szCs w:val="24"/>
        </w:rPr>
      </w:pPr>
      <w:r>
        <w:rPr>
          <w:sz w:val="24"/>
          <w:szCs w:val="24"/>
        </w:rPr>
        <w:t>In addition to the cost to respondents described in A.12, t</w:t>
      </w:r>
      <w:r w:rsidR="00EF7AF2">
        <w:rPr>
          <w:sz w:val="24"/>
          <w:szCs w:val="24"/>
        </w:rPr>
        <w:t>otal annual cost to the Federal Government for this data collection includes the services of a contractor to collect the data</w:t>
      </w:r>
      <w:r>
        <w:rPr>
          <w:sz w:val="24"/>
          <w:szCs w:val="24"/>
        </w:rPr>
        <w:t xml:space="preserve"> and</w:t>
      </w:r>
      <w:r w:rsidR="00EF7AF2">
        <w:rPr>
          <w:sz w:val="24"/>
          <w:szCs w:val="24"/>
        </w:rPr>
        <w:t xml:space="preserve"> government staff time to manage and support the contractor. </w:t>
      </w:r>
      <w:r w:rsidR="007D1F38" w:rsidRPr="00EE4A89">
        <w:rPr>
          <w:sz w:val="24"/>
          <w:szCs w:val="24"/>
        </w:rPr>
        <w:t xml:space="preserve">The </w:t>
      </w:r>
      <w:r w:rsidR="00EE4A89" w:rsidRPr="00EE4A89">
        <w:rPr>
          <w:sz w:val="24"/>
          <w:szCs w:val="24"/>
        </w:rPr>
        <w:t xml:space="preserve">annual cost </w:t>
      </w:r>
      <w:r w:rsidR="00EF7AF2">
        <w:rPr>
          <w:sz w:val="24"/>
          <w:szCs w:val="24"/>
        </w:rPr>
        <w:t>for the contractor</w:t>
      </w:r>
      <w:r w:rsidR="007D1F38" w:rsidRPr="00EE4A89">
        <w:rPr>
          <w:sz w:val="24"/>
          <w:szCs w:val="24"/>
        </w:rPr>
        <w:t xml:space="preserve">, </w:t>
      </w:r>
      <w:r w:rsidR="008A0238">
        <w:rPr>
          <w:sz w:val="24"/>
          <w:szCs w:val="24"/>
        </w:rPr>
        <w:t>excluding data analysis and report preparation</w:t>
      </w:r>
      <w:r w:rsidR="00EE4A89">
        <w:rPr>
          <w:sz w:val="24"/>
          <w:szCs w:val="24"/>
        </w:rPr>
        <w:t>,</w:t>
      </w:r>
      <w:r w:rsidR="007D1F38" w:rsidRPr="00EE4A89">
        <w:rPr>
          <w:sz w:val="24"/>
          <w:szCs w:val="24"/>
        </w:rPr>
        <w:t xml:space="preserve"> </w:t>
      </w:r>
      <w:r>
        <w:rPr>
          <w:sz w:val="24"/>
          <w:szCs w:val="24"/>
        </w:rPr>
        <w:t>is estimated at</w:t>
      </w:r>
      <w:r w:rsidR="007D1F38" w:rsidRPr="00EE4A89">
        <w:rPr>
          <w:sz w:val="24"/>
          <w:szCs w:val="24"/>
        </w:rPr>
        <w:t xml:space="preserve"> </w:t>
      </w:r>
      <w:r w:rsidR="007D1F38" w:rsidRPr="00DC406C">
        <w:rPr>
          <w:sz w:val="24"/>
          <w:szCs w:val="24"/>
        </w:rPr>
        <w:t>$</w:t>
      </w:r>
      <w:r w:rsidR="00C33ADA">
        <w:rPr>
          <w:sz w:val="24"/>
          <w:szCs w:val="24"/>
        </w:rPr>
        <w:t>50,000</w:t>
      </w:r>
      <w:r w:rsidR="007D1F38" w:rsidRPr="00DC406C">
        <w:rPr>
          <w:sz w:val="24"/>
          <w:szCs w:val="24"/>
        </w:rPr>
        <w:t xml:space="preserve">. </w:t>
      </w:r>
      <w:r w:rsidR="00426B71" w:rsidRPr="00C33ADA">
        <w:rPr>
          <w:sz w:val="24"/>
          <w:szCs w:val="24"/>
        </w:rPr>
        <w:t xml:space="preserve">It is </w:t>
      </w:r>
      <w:r w:rsidR="007D1F38" w:rsidRPr="00C33ADA">
        <w:rPr>
          <w:sz w:val="24"/>
          <w:szCs w:val="24"/>
        </w:rPr>
        <w:t xml:space="preserve">estimated that approximately </w:t>
      </w:r>
      <w:r w:rsidR="008A0238">
        <w:rPr>
          <w:sz w:val="24"/>
          <w:szCs w:val="24"/>
        </w:rPr>
        <w:t>two</w:t>
      </w:r>
      <w:r w:rsidR="00F35801" w:rsidRPr="00C33ADA">
        <w:rPr>
          <w:sz w:val="24"/>
          <w:szCs w:val="24"/>
        </w:rPr>
        <w:t xml:space="preserve"> weeks </w:t>
      </w:r>
      <w:r w:rsidR="00426B71" w:rsidRPr="00C33ADA">
        <w:rPr>
          <w:sz w:val="24"/>
          <w:szCs w:val="24"/>
        </w:rPr>
        <w:t xml:space="preserve">of </w:t>
      </w:r>
      <w:r w:rsidR="004E659C" w:rsidRPr="00C33ADA">
        <w:rPr>
          <w:sz w:val="24"/>
          <w:szCs w:val="24"/>
        </w:rPr>
        <w:t>NSF</w:t>
      </w:r>
      <w:r w:rsidR="00EF7AF2" w:rsidRPr="00C33ADA">
        <w:rPr>
          <w:sz w:val="24"/>
          <w:szCs w:val="24"/>
        </w:rPr>
        <w:t xml:space="preserve"> </w:t>
      </w:r>
      <w:r w:rsidR="00426B71" w:rsidRPr="00C33ADA">
        <w:rPr>
          <w:sz w:val="24"/>
          <w:szCs w:val="24"/>
        </w:rPr>
        <w:t xml:space="preserve">staff time will be </w:t>
      </w:r>
      <w:r w:rsidR="007D1F38" w:rsidRPr="00C33ADA">
        <w:rPr>
          <w:sz w:val="24"/>
          <w:szCs w:val="24"/>
        </w:rPr>
        <w:t>associat</w:t>
      </w:r>
      <w:r w:rsidR="00426B71" w:rsidRPr="00C33ADA">
        <w:rPr>
          <w:sz w:val="24"/>
          <w:szCs w:val="24"/>
        </w:rPr>
        <w:t>ed</w:t>
      </w:r>
      <w:r w:rsidR="007D1F38" w:rsidRPr="00C33ADA">
        <w:rPr>
          <w:sz w:val="24"/>
          <w:szCs w:val="24"/>
        </w:rPr>
        <w:t xml:space="preserve"> w</w:t>
      </w:r>
      <w:r w:rsidR="00F35801" w:rsidRPr="00C33ADA">
        <w:rPr>
          <w:sz w:val="24"/>
          <w:szCs w:val="24"/>
        </w:rPr>
        <w:t xml:space="preserve">ith the conduct of this study. </w:t>
      </w:r>
      <w:r w:rsidR="00226FC1" w:rsidRPr="00C33ADA">
        <w:rPr>
          <w:sz w:val="24"/>
          <w:szCs w:val="24"/>
        </w:rPr>
        <w:t>Using</w:t>
      </w:r>
      <w:r w:rsidR="007D1F38" w:rsidRPr="00C33ADA">
        <w:rPr>
          <w:sz w:val="24"/>
          <w:szCs w:val="24"/>
        </w:rPr>
        <w:t xml:space="preserve"> an average salary of $80,000</w:t>
      </w:r>
      <w:r w:rsidR="00226FC1" w:rsidRPr="00C33ADA">
        <w:rPr>
          <w:sz w:val="24"/>
          <w:szCs w:val="24"/>
        </w:rPr>
        <w:t xml:space="preserve"> for </w:t>
      </w:r>
      <w:r w:rsidR="00C33ADA">
        <w:rPr>
          <w:sz w:val="24"/>
          <w:szCs w:val="24"/>
        </w:rPr>
        <w:t>NSF</w:t>
      </w:r>
      <w:r w:rsidR="00226FC1" w:rsidRPr="00C33ADA">
        <w:rPr>
          <w:sz w:val="24"/>
          <w:szCs w:val="24"/>
        </w:rPr>
        <w:t xml:space="preserve"> staff</w:t>
      </w:r>
      <w:r w:rsidR="007D1F38" w:rsidRPr="00C33ADA">
        <w:rPr>
          <w:sz w:val="24"/>
          <w:szCs w:val="24"/>
        </w:rPr>
        <w:t>, this adds $</w:t>
      </w:r>
      <w:r w:rsidR="008A0238">
        <w:rPr>
          <w:sz w:val="24"/>
          <w:szCs w:val="24"/>
        </w:rPr>
        <w:t>3,077</w:t>
      </w:r>
      <w:r>
        <w:rPr>
          <w:sz w:val="24"/>
          <w:szCs w:val="24"/>
        </w:rPr>
        <w:t xml:space="preserve"> in costs.</w:t>
      </w:r>
    </w:p>
    <w:p w:rsidR="007D1F38" w:rsidRPr="00C33ADA" w:rsidRDefault="007D1F38" w:rsidP="007160ED">
      <w:pPr>
        <w:pStyle w:val="BodyText2"/>
        <w:tabs>
          <w:tab w:val="left" w:pos="9990"/>
        </w:tabs>
        <w:ind w:firstLine="720"/>
        <w:rPr>
          <w:sz w:val="24"/>
          <w:szCs w:val="24"/>
          <w:u w:val="single"/>
        </w:rPr>
      </w:pPr>
      <w:r w:rsidRPr="00C33ADA">
        <w:rPr>
          <w:sz w:val="24"/>
          <w:szCs w:val="24"/>
        </w:rPr>
        <w:t xml:space="preserve">Thus, total </w:t>
      </w:r>
      <w:r w:rsidR="00226FC1" w:rsidRPr="00C33ADA">
        <w:rPr>
          <w:sz w:val="24"/>
          <w:szCs w:val="24"/>
        </w:rPr>
        <w:t xml:space="preserve">annual </w:t>
      </w:r>
      <w:r w:rsidRPr="00C33ADA">
        <w:rPr>
          <w:sz w:val="24"/>
          <w:szCs w:val="24"/>
        </w:rPr>
        <w:t xml:space="preserve">cost </w:t>
      </w:r>
      <w:r w:rsidR="00DC406C" w:rsidRPr="00C33ADA">
        <w:rPr>
          <w:sz w:val="24"/>
          <w:szCs w:val="24"/>
        </w:rPr>
        <w:t xml:space="preserve">to the Federal Government </w:t>
      </w:r>
      <w:r w:rsidRPr="00C33ADA">
        <w:rPr>
          <w:sz w:val="24"/>
          <w:szCs w:val="24"/>
        </w:rPr>
        <w:t>is</w:t>
      </w:r>
      <w:r w:rsidR="00EF7AF2" w:rsidRPr="00C33ADA">
        <w:rPr>
          <w:sz w:val="24"/>
          <w:szCs w:val="24"/>
        </w:rPr>
        <w:t xml:space="preserve"> estimated at</w:t>
      </w:r>
      <w:r w:rsidRPr="00C33ADA">
        <w:rPr>
          <w:sz w:val="24"/>
          <w:szCs w:val="24"/>
        </w:rPr>
        <w:t xml:space="preserve"> </w:t>
      </w:r>
      <w:r w:rsidRPr="00C33ADA">
        <w:rPr>
          <w:bCs/>
          <w:sz w:val="24"/>
          <w:szCs w:val="24"/>
        </w:rPr>
        <w:t>$</w:t>
      </w:r>
      <w:r w:rsidR="00C33ADA" w:rsidRPr="00C33ADA">
        <w:rPr>
          <w:bCs/>
          <w:sz w:val="24"/>
          <w:szCs w:val="24"/>
        </w:rPr>
        <w:t>5</w:t>
      </w:r>
      <w:r w:rsidR="009777C7">
        <w:rPr>
          <w:bCs/>
          <w:sz w:val="24"/>
          <w:szCs w:val="24"/>
        </w:rPr>
        <w:t>6</w:t>
      </w:r>
      <w:r w:rsidR="00C33ADA" w:rsidRPr="00C33ADA">
        <w:rPr>
          <w:bCs/>
          <w:sz w:val="24"/>
          <w:szCs w:val="24"/>
        </w:rPr>
        <w:t>,</w:t>
      </w:r>
      <w:r w:rsidR="009777C7">
        <w:rPr>
          <w:bCs/>
          <w:sz w:val="24"/>
          <w:szCs w:val="24"/>
        </w:rPr>
        <w:t>854</w:t>
      </w:r>
      <w:r w:rsidR="00226FC1" w:rsidRPr="00C33ADA">
        <w:rPr>
          <w:sz w:val="24"/>
          <w:szCs w:val="24"/>
        </w:rPr>
        <w:t xml:space="preserve"> </w:t>
      </w:r>
      <w:r w:rsidRPr="00C33ADA">
        <w:rPr>
          <w:sz w:val="24"/>
          <w:szCs w:val="24"/>
        </w:rPr>
        <w:t xml:space="preserve">(Table </w:t>
      </w:r>
      <w:r w:rsidR="00226FC1" w:rsidRPr="00C33ADA">
        <w:rPr>
          <w:sz w:val="24"/>
          <w:szCs w:val="24"/>
        </w:rPr>
        <w:t>A.</w:t>
      </w:r>
      <w:r w:rsidR="00DC406C" w:rsidRPr="00C33ADA">
        <w:rPr>
          <w:sz w:val="24"/>
          <w:szCs w:val="24"/>
        </w:rPr>
        <w:t>14</w:t>
      </w:r>
      <w:r w:rsidRPr="00C33ADA">
        <w:rPr>
          <w:sz w:val="24"/>
          <w:szCs w:val="24"/>
        </w:rPr>
        <w:t>).</w:t>
      </w:r>
      <w:r w:rsidR="00556D31" w:rsidRPr="00C33ADA">
        <w:rPr>
          <w:sz w:val="24"/>
          <w:szCs w:val="24"/>
        </w:rPr>
        <w:t xml:space="preserve"> Since data collection will be completed in one year, the annual and total anticipated costs are the same.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710"/>
      </w:tblGrid>
      <w:tr w:rsidR="007D1F38" w:rsidRPr="00C33ADA">
        <w:trPr>
          <w:cantSplit/>
        </w:trPr>
        <w:tc>
          <w:tcPr>
            <w:tcW w:w="6318" w:type="dxa"/>
            <w:gridSpan w:val="2"/>
            <w:tcBorders>
              <w:top w:val="nil"/>
              <w:left w:val="nil"/>
              <w:bottom w:val="single" w:sz="4" w:space="0" w:color="auto"/>
              <w:right w:val="nil"/>
            </w:tcBorders>
          </w:tcPr>
          <w:p w:rsidR="007D1F38" w:rsidRPr="00C33ADA" w:rsidRDefault="00F35801" w:rsidP="007160ED">
            <w:pPr>
              <w:pStyle w:val="BodyText2"/>
              <w:tabs>
                <w:tab w:val="left" w:pos="9990"/>
              </w:tabs>
              <w:spacing w:line="240" w:lineRule="auto"/>
              <w:rPr>
                <w:b/>
              </w:rPr>
            </w:pPr>
            <w:r w:rsidRPr="00C33ADA">
              <w:rPr>
                <w:b/>
              </w:rPr>
              <w:t xml:space="preserve">Table </w:t>
            </w:r>
            <w:r w:rsidR="00226FC1" w:rsidRPr="00C33ADA">
              <w:rPr>
                <w:b/>
              </w:rPr>
              <w:t>A.</w:t>
            </w:r>
            <w:r w:rsidR="00DC406C" w:rsidRPr="00C33ADA">
              <w:rPr>
                <w:b/>
              </w:rPr>
              <w:t>14</w:t>
            </w:r>
            <w:r w:rsidR="00226FC1" w:rsidRPr="00C33ADA">
              <w:rPr>
                <w:b/>
              </w:rPr>
              <w:t>.</w:t>
            </w:r>
            <w:r w:rsidR="007D1F38" w:rsidRPr="00C33ADA">
              <w:rPr>
                <w:b/>
              </w:rPr>
              <w:t xml:space="preserve"> Total Cost Burden of Information Collection</w:t>
            </w:r>
          </w:p>
        </w:tc>
      </w:tr>
      <w:tr w:rsidR="007160ED" w:rsidRPr="0048014E" w:rsidTr="00BA701A">
        <w:tc>
          <w:tcPr>
            <w:tcW w:w="4608" w:type="dxa"/>
            <w:tcBorders>
              <w:top w:val="single" w:sz="4" w:space="0" w:color="auto"/>
            </w:tcBorders>
            <w:vAlign w:val="center"/>
          </w:tcPr>
          <w:p w:rsidR="007160ED" w:rsidRPr="0048014E" w:rsidRDefault="007160ED" w:rsidP="007160ED">
            <w:pPr>
              <w:pStyle w:val="BodyText2"/>
              <w:tabs>
                <w:tab w:val="left" w:pos="9990"/>
              </w:tabs>
              <w:spacing w:line="240" w:lineRule="auto"/>
            </w:pPr>
            <w:r w:rsidRPr="0048014E">
              <w:t>Annualized Cost to Respondents (from A.12)</w:t>
            </w:r>
          </w:p>
        </w:tc>
        <w:tc>
          <w:tcPr>
            <w:tcW w:w="1710" w:type="dxa"/>
            <w:tcBorders>
              <w:top w:val="single" w:sz="4" w:space="0" w:color="auto"/>
            </w:tcBorders>
            <w:vAlign w:val="bottom"/>
          </w:tcPr>
          <w:p w:rsidR="007160ED" w:rsidRPr="0048014E" w:rsidRDefault="0048014E" w:rsidP="009777C7">
            <w:pPr>
              <w:jc w:val="right"/>
              <w:rPr>
                <w:color w:val="000000"/>
              </w:rPr>
            </w:pPr>
            <w:r w:rsidRPr="0048014E">
              <w:rPr>
                <w:snapToGrid/>
                <w:color w:val="000000"/>
              </w:rPr>
              <w:t>$</w:t>
            </w:r>
            <w:r w:rsidR="009777C7">
              <w:rPr>
                <w:snapToGrid/>
                <w:color w:val="000000"/>
              </w:rPr>
              <w:t>3</w:t>
            </w:r>
            <w:r w:rsidRPr="0048014E">
              <w:rPr>
                <w:snapToGrid/>
                <w:color w:val="000000"/>
              </w:rPr>
              <w:t>,</w:t>
            </w:r>
            <w:r w:rsidR="009777C7">
              <w:rPr>
                <w:snapToGrid/>
                <w:color w:val="000000"/>
              </w:rPr>
              <w:t>777</w:t>
            </w:r>
          </w:p>
        </w:tc>
      </w:tr>
      <w:tr w:rsidR="007160ED" w:rsidRPr="00C33ADA" w:rsidTr="00BA701A">
        <w:tc>
          <w:tcPr>
            <w:tcW w:w="4608" w:type="dxa"/>
            <w:vAlign w:val="center"/>
          </w:tcPr>
          <w:p w:rsidR="007160ED" w:rsidRPr="00C33ADA" w:rsidRDefault="007160ED" w:rsidP="00DC406C">
            <w:pPr>
              <w:pStyle w:val="BodyText2"/>
              <w:tabs>
                <w:tab w:val="left" w:pos="9990"/>
              </w:tabs>
              <w:spacing w:line="240" w:lineRule="auto"/>
            </w:pPr>
            <w:r w:rsidRPr="00C33ADA">
              <w:t>Annual Cost of Contractor’s Services</w:t>
            </w:r>
          </w:p>
        </w:tc>
        <w:tc>
          <w:tcPr>
            <w:tcW w:w="1710" w:type="dxa"/>
            <w:vAlign w:val="bottom"/>
          </w:tcPr>
          <w:p w:rsidR="007160ED" w:rsidRDefault="007160ED">
            <w:pPr>
              <w:jc w:val="right"/>
              <w:rPr>
                <w:color w:val="000000"/>
              </w:rPr>
            </w:pPr>
            <w:r>
              <w:rPr>
                <w:color w:val="000000"/>
              </w:rPr>
              <w:t xml:space="preserve">$50,000 </w:t>
            </w:r>
          </w:p>
        </w:tc>
      </w:tr>
      <w:tr w:rsidR="007160ED" w:rsidRPr="00C33ADA" w:rsidTr="00BA701A">
        <w:tc>
          <w:tcPr>
            <w:tcW w:w="4608" w:type="dxa"/>
            <w:vAlign w:val="center"/>
          </w:tcPr>
          <w:p w:rsidR="007160ED" w:rsidRPr="00C33ADA" w:rsidRDefault="007160ED" w:rsidP="00426B71">
            <w:pPr>
              <w:pStyle w:val="BodyText2"/>
              <w:tabs>
                <w:tab w:val="left" w:pos="9990"/>
              </w:tabs>
              <w:spacing w:line="240" w:lineRule="auto"/>
            </w:pPr>
            <w:r w:rsidRPr="00C33ADA">
              <w:t>NSF Staff Time</w:t>
            </w:r>
          </w:p>
        </w:tc>
        <w:tc>
          <w:tcPr>
            <w:tcW w:w="1710" w:type="dxa"/>
            <w:vAlign w:val="bottom"/>
          </w:tcPr>
          <w:p w:rsidR="007160ED" w:rsidRDefault="007160ED" w:rsidP="008A0238">
            <w:pPr>
              <w:jc w:val="right"/>
              <w:rPr>
                <w:color w:val="000000"/>
              </w:rPr>
            </w:pPr>
            <w:r>
              <w:rPr>
                <w:color w:val="000000"/>
              </w:rPr>
              <w:t>$</w:t>
            </w:r>
            <w:r w:rsidR="008A0238">
              <w:rPr>
                <w:color w:val="000000"/>
              </w:rPr>
              <w:t>3,077</w:t>
            </w:r>
            <w:r>
              <w:rPr>
                <w:color w:val="000000"/>
              </w:rPr>
              <w:t xml:space="preserve"> </w:t>
            </w:r>
          </w:p>
        </w:tc>
      </w:tr>
      <w:tr w:rsidR="007160ED" w:rsidRPr="00C33ADA" w:rsidTr="00BA701A">
        <w:tc>
          <w:tcPr>
            <w:tcW w:w="4608" w:type="dxa"/>
            <w:vAlign w:val="center"/>
          </w:tcPr>
          <w:p w:rsidR="007160ED" w:rsidRPr="00C33ADA" w:rsidRDefault="007160ED" w:rsidP="00F35801">
            <w:pPr>
              <w:pStyle w:val="BodyText2"/>
              <w:tabs>
                <w:tab w:val="left" w:pos="9990"/>
              </w:tabs>
              <w:spacing w:line="240" w:lineRule="auto"/>
              <w:rPr>
                <w:bCs/>
              </w:rPr>
            </w:pPr>
            <w:r w:rsidRPr="00C33ADA">
              <w:rPr>
                <w:bCs/>
              </w:rPr>
              <w:t>Total</w:t>
            </w:r>
          </w:p>
        </w:tc>
        <w:tc>
          <w:tcPr>
            <w:tcW w:w="1710" w:type="dxa"/>
            <w:vAlign w:val="bottom"/>
          </w:tcPr>
          <w:p w:rsidR="007160ED" w:rsidRDefault="007160ED" w:rsidP="009777C7">
            <w:pPr>
              <w:jc w:val="right"/>
              <w:rPr>
                <w:color w:val="000000"/>
              </w:rPr>
            </w:pPr>
            <w:r>
              <w:rPr>
                <w:bCs/>
                <w:color w:val="000000"/>
              </w:rPr>
              <w:t>$</w:t>
            </w:r>
            <w:r w:rsidR="008A0238">
              <w:rPr>
                <w:bCs/>
                <w:color w:val="000000"/>
              </w:rPr>
              <w:t>5</w:t>
            </w:r>
            <w:r w:rsidR="009777C7">
              <w:rPr>
                <w:bCs/>
                <w:color w:val="000000"/>
              </w:rPr>
              <w:t>6</w:t>
            </w:r>
            <w:r w:rsidR="008A0238">
              <w:rPr>
                <w:bCs/>
                <w:color w:val="000000"/>
              </w:rPr>
              <w:t>,</w:t>
            </w:r>
            <w:r w:rsidR="009777C7">
              <w:rPr>
                <w:bCs/>
                <w:color w:val="000000"/>
              </w:rPr>
              <w:t>854</w:t>
            </w:r>
            <w:r>
              <w:rPr>
                <w:bCs/>
                <w:color w:val="000000"/>
              </w:rPr>
              <w:t xml:space="preserve"> </w:t>
            </w:r>
          </w:p>
        </w:tc>
      </w:tr>
    </w:tbl>
    <w:p w:rsidR="004E659C" w:rsidRDefault="004E659C" w:rsidP="006D0370"/>
    <w:p w:rsidR="00A536C7" w:rsidRPr="00131FB9" w:rsidRDefault="00A536C7" w:rsidP="004E659C">
      <w:pPr>
        <w:pStyle w:val="Heading1"/>
        <w:spacing w:line="480" w:lineRule="auto"/>
      </w:pPr>
      <w:bookmarkStart w:id="16" w:name="_Toc284584904"/>
      <w:r w:rsidRPr="00131FB9">
        <w:t>A.15</w:t>
      </w:r>
      <w:r w:rsidR="009D2146" w:rsidRPr="00131FB9">
        <w:t>. Explanation</w:t>
      </w:r>
      <w:r w:rsidRPr="00131FB9">
        <w:t xml:space="preserve"> for Program Changes or Adjustments</w:t>
      </w:r>
      <w:bookmarkEnd w:id="16"/>
      <w:r w:rsidRPr="00131FB9">
        <w:t xml:space="preserve"> </w:t>
      </w:r>
    </w:p>
    <w:p w:rsidR="00A536C7" w:rsidRPr="00853AC0" w:rsidRDefault="0098794F" w:rsidP="007160ED">
      <w:pPr>
        <w:spacing w:line="480" w:lineRule="auto"/>
        <w:ind w:firstLine="720"/>
        <w:rPr>
          <w:b/>
          <w:sz w:val="24"/>
          <w:szCs w:val="24"/>
        </w:rPr>
      </w:pPr>
      <w:r w:rsidRPr="00853AC0">
        <w:rPr>
          <w:sz w:val="24"/>
          <w:szCs w:val="24"/>
        </w:rPr>
        <w:t>This is a new collection of information.</w:t>
      </w:r>
    </w:p>
    <w:p w:rsidR="00A536C7" w:rsidRPr="00131FB9" w:rsidRDefault="00A536C7" w:rsidP="004E659C">
      <w:pPr>
        <w:pStyle w:val="Heading1"/>
        <w:spacing w:line="480" w:lineRule="auto"/>
      </w:pPr>
      <w:bookmarkStart w:id="17" w:name="_Toc284584905"/>
      <w:r w:rsidRPr="00131FB9">
        <w:lastRenderedPageBreak/>
        <w:t>A.16</w:t>
      </w:r>
      <w:r w:rsidR="009D2146" w:rsidRPr="00131FB9">
        <w:t>. Plans</w:t>
      </w:r>
      <w:r w:rsidRPr="00131FB9">
        <w:t xml:space="preserve"> for Tabulation and Publication and Project Time Schedule</w:t>
      </w:r>
      <w:bookmarkEnd w:id="17"/>
      <w:r w:rsidRPr="00131FB9">
        <w:t xml:space="preserve"> </w:t>
      </w:r>
    </w:p>
    <w:p w:rsidR="00994FE6" w:rsidRDefault="00EE0DAA" w:rsidP="008D6023">
      <w:pPr>
        <w:spacing w:line="480" w:lineRule="auto"/>
        <w:ind w:firstLine="720"/>
        <w:rPr>
          <w:sz w:val="24"/>
          <w:szCs w:val="24"/>
        </w:rPr>
      </w:pPr>
      <w:r w:rsidRPr="003D447E">
        <w:rPr>
          <w:sz w:val="24"/>
          <w:szCs w:val="24"/>
        </w:rPr>
        <w:t>Planning for this</w:t>
      </w:r>
      <w:r w:rsidR="009B04FE" w:rsidRPr="003D447E">
        <w:rPr>
          <w:sz w:val="24"/>
          <w:szCs w:val="24"/>
        </w:rPr>
        <w:t xml:space="preserve"> </w:t>
      </w:r>
      <w:r w:rsidRPr="003D447E">
        <w:rPr>
          <w:sz w:val="24"/>
          <w:szCs w:val="24"/>
        </w:rPr>
        <w:t>study</w:t>
      </w:r>
      <w:r w:rsidR="006D0370">
        <w:rPr>
          <w:sz w:val="24"/>
          <w:szCs w:val="24"/>
        </w:rPr>
        <w:t>, including recruiting the expert panel,</w:t>
      </w:r>
      <w:r w:rsidR="009B04FE" w:rsidRPr="003D447E">
        <w:rPr>
          <w:sz w:val="24"/>
          <w:szCs w:val="24"/>
        </w:rPr>
        <w:t xml:space="preserve"> beg</w:t>
      </w:r>
      <w:r w:rsidR="00934ECE" w:rsidRPr="003D447E">
        <w:rPr>
          <w:sz w:val="24"/>
          <w:szCs w:val="24"/>
        </w:rPr>
        <w:t>a</w:t>
      </w:r>
      <w:r w:rsidR="009B04FE" w:rsidRPr="003D447E">
        <w:rPr>
          <w:sz w:val="24"/>
          <w:szCs w:val="24"/>
        </w:rPr>
        <w:t xml:space="preserve">n in </w:t>
      </w:r>
      <w:r w:rsidR="00C33ADA">
        <w:rPr>
          <w:sz w:val="24"/>
          <w:szCs w:val="24"/>
        </w:rPr>
        <w:t>September</w:t>
      </w:r>
      <w:r w:rsidR="00556D31">
        <w:rPr>
          <w:sz w:val="24"/>
          <w:szCs w:val="24"/>
        </w:rPr>
        <w:t xml:space="preserve"> 2010</w:t>
      </w:r>
      <w:r w:rsidRPr="003D447E">
        <w:rPr>
          <w:sz w:val="24"/>
          <w:szCs w:val="24"/>
        </w:rPr>
        <w:t xml:space="preserve">. </w:t>
      </w:r>
      <w:r w:rsidR="00671D31">
        <w:rPr>
          <w:sz w:val="24"/>
          <w:szCs w:val="24"/>
        </w:rPr>
        <w:t xml:space="preserve">Assuming that clearance is granted in </w:t>
      </w:r>
      <w:r w:rsidR="007160ED">
        <w:rPr>
          <w:sz w:val="24"/>
          <w:szCs w:val="24"/>
        </w:rPr>
        <w:t>March</w:t>
      </w:r>
      <w:r w:rsidR="00671D31">
        <w:rPr>
          <w:sz w:val="24"/>
          <w:szCs w:val="24"/>
        </w:rPr>
        <w:t xml:space="preserve"> 2011, </w:t>
      </w:r>
      <w:r w:rsidR="007160ED">
        <w:rPr>
          <w:sz w:val="24"/>
          <w:szCs w:val="24"/>
        </w:rPr>
        <w:t xml:space="preserve">the proposed survey will be fielded </w:t>
      </w:r>
      <w:r w:rsidR="008D6023">
        <w:rPr>
          <w:sz w:val="24"/>
          <w:szCs w:val="24"/>
        </w:rPr>
        <w:t>in</w:t>
      </w:r>
      <w:r w:rsidR="007160ED">
        <w:rPr>
          <w:sz w:val="24"/>
          <w:szCs w:val="24"/>
        </w:rPr>
        <w:t xml:space="preserve"> April</w:t>
      </w:r>
      <w:r w:rsidR="00671D31">
        <w:rPr>
          <w:sz w:val="24"/>
          <w:szCs w:val="24"/>
        </w:rPr>
        <w:t xml:space="preserve"> 2011. </w:t>
      </w:r>
      <w:r w:rsidR="006D0370">
        <w:rPr>
          <w:sz w:val="24"/>
          <w:szCs w:val="24"/>
        </w:rPr>
        <w:t xml:space="preserve">Results will be tabulated, </w:t>
      </w:r>
      <w:r w:rsidR="007160ED">
        <w:rPr>
          <w:sz w:val="24"/>
          <w:szCs w:val="24"/>
        </w:rPr>
        <w:t>and descriptive statistics will be calculated. G</w:t>
      </w:r>
      <w:r w:rsidR="00947A46">
        <w:rPr>
          <w:sz w:val="24"/>
          <w:szCs w:val="24"/>
        </w:rPr>
        <w:t xml:space="preserve">iven the nature of the information to be collected, </w:t>
      </w:r>
      <w:r w:rsidR="008D6023">
        <w:rPr>
          <w:sz w:val="24"/>
          <w:szCs w:val="24"/>
        </w:rPr>
        <w:t xml:space="preserve">analytical </w:t>
      </w:r>
      <w:r w:rsidR="00527F9D">
        <w:rPr>
          <w:sz w:val="24"/>
          <w:szCs w:val="24"/>
        </w:rPr>
        <w:t>statistic</w:t>
      </w:r>
      <w:r w:rsidR="008D6023">
        <w:rPr>
          <w:sz w:val="24"/>
          <w:szCs w:val="24"/>
        </w:rPr>
        <w:t>s</w:t>
      </w:r>
      <w:r w:rsidR="00527F9D">
        <w:rPr>
          <w:sz w:val="24"/>
          <w:szCs w:val="24"/>
        </w:rPr>
        <w:t xml:space="preserve"> will be neither feasible nor desirabl</w:t>
      </w:r>
      <w:r w:rsidR="00947A46">
        <w:rPr>
          <w:sz w:val="24"/>
          <w:szCs w:val="24"/>
        </w:rPr>
        <w:t xml:space="preserve">e. </w:t>
      </w:r>
      <w:r w:rsidR="001C6158">
        <w:rPr>
          <w:sz w:val="24"/>
          <w:szCs w:val="24"/>
        </w:rPr>
        <w:t>A</w:t>
      </w:r>
      <w:r w:rsidR="006D0370">
        <w:rPr>
          <w:sz w:val="24"/>
          <w:szCs w:val="24"/>
        </w:rPr>
        <w:t xml:space="preserve"> draft report </w:t>
      </w:r>
      <w:r w:rsidR="001C6158">
        <w:rPr>
          <w:sz w:val="24"/>
          <w:szCs w:val="24"/>
        </w:rPr>
        <w:t xml:space="preserve">on the survey findings </w:t>
      </w:r>
      <w:r w:rsidR="006D0370">
        <w:rPr>
          <w:sz w:val="24"/>
          <w:szCs w:val="24"/>
        </w:rPr>
        <w:t xml:space="preserve">will be developed for the expert panel by May 2011. </w:t>
      </w:r>
      <w:r w:rsidR="001C6158">
        <w:rPr>
          <w:sz w:val="24"/>
          <w:szCs w:val="24"/>
        </w:rPr>
        <w:t xml:space="preserve">The survey results will likely be incorporated into a broader report summarizing the expert panel’s findings and recommendations, which will be delivered to NSF </w:t>
      </w:r>
      <w:r w:rsidR="00671D31">
        <w:rPr>
          <w:sz w:val="24"/>
          <w:szCs w:val="24"/>
        </w:rPr>
        <w:t>by December 2011</w:t>
      </w:r>
      <w:r w:rsidR="00994FE6">
        <w:rPr>
          <w:sz w:val="24"/>
          <w:szCs w:val="24"/>
        </w:rPr>
        <w:t xml:space="preserve">. </w:t>
      </w:r>
      <w:r w:rsidR="008D6023">
        <w:rPr>
          <w:sz w:val="24"/>
          <w:szCs w:val="24"/>
        </w:rPr>
        <w:t>The estimated project schedule is summarized in Table A.16.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5400"/>
      </w:tblGrid>
      <w:tr w:rsidR="009B04FE" w:rsidRPr="00994FE6">
        <w:trPr>
          <w:cantSplit/>
        </w:trPr>
        <w:tc>
          <w:tcPr>
            <w:tcW w:w="8568" w:type="dxa"/>
            <w:gridSpan w:val="2"/>
            <w:tcBorders>
              <w:top w:val="nil"/>
              <w:left w:val="nil"/>
              <w:bottom w:val="single" w:sz="4" w:space="0" w:color="auto"/>
              <w:right w:val="nil"/>
            </w:tcBorders>
          </w:tcPr>
          <w:p w:rsidR="009B04FE" w:rsidRPr="00994FE6" w:rsidRDefault="00F35801" w:rsidP="00556D31">
            <w:pPr>
              <w:pStyle w:val="BodyText2"/>
              <w:tabs>
                <w:tab w:val="left" w:pos="9990"/>
              </w:tabs>
              <w:spacing w:line="240" w:lineRule="auto"/>
              <w:rPr>
                <w:b/>
              </w:rPr>
            </w:pPr>
            <w:r w:rsidRPr="00994FE6">
              <w:rPr>
                <w:b/>
              </w:rPr>
              <w:t xml:space="preserve">Table </w:t>
            </w:r>
            <w:r w:rsidR="00556D31">
              <w:rPr>
                <w:b/>
              </w:rPr>
              <w:t>A.16.</w:t>
            </w:r>
            <w:r w:rsidR="009B04FE" w:rsidRPr="00994FE6">
              <w:rPr>
                <w:b/>
              </w:rPr>
              <w:t xml:space="preserve"> Estimated Project Schedule</w:t>
            </w:r>
          </w:p>
        </w:tc>
      </w:tr>
      <w:tr w:rsidR="009B04FE" w:rsidRPr="00C33ADA">
        <w:tc>
          <w:tcPr>
            <w:tcW w:w="3168" w:type="dxa"/>
            <w:tcBorders>
              <w:top w:val="single" w:sz="4" w:space="0" w:color="auto"/>
            </w:tcBorders>
            <w:vAlign w:val="center"/>
          </w:tcPr>
          <w:p w:rsidR="009B04FE" w:rsidRPr="00C33ADA" w:rsidRDefault="009B04FE" w:rsidP="00C33ADA">
            <w:pPr>
              <w:pStyle w:val="BodyText2"/>
              <w:tabs>
                <w:tab w:val="left" w:pos="9990"/>
              </w:tabs>
              <w:spacing w:line="240" w:lineRule="auto"/>
              <w:jc w:val="center"/>
              <w:rPr>
                <w:bCs/>
              </w:rPr>
            </w:pPr>
            <w:r w:rsidRPr="00C33ADA">
              <w:rPr>
                <w:bCs/>
              </w:rPr>
              <w:t>Activity</w:t>
            </w:r>
          </w:p>
        </w:tc>
        <w:tc>
          <w:tcPr>
            <w:tcW w:w="5400" w:type="dxa"/>
            <w:tcBorders>
              <w:top w:val="single" w:sz="4" w:space="0" w:color="auto"/>
            </w:tcBorders>
            <w:vAlign w:val="center"/>
          </w:tcPr>
          <w:p w:rsidR="009B04FE" w:rsidRPr="00C33ADA" w:rsidRDefault="008D6023" w:rsidP="008D6023">
            <w:pPr>
              <w:pStyle w:val="BodyText2"/>
              <w:tabs>
                <w:tab w:val="left" w:pos="9990"/>
              </w:tabs>
              <w:spacing w:line="240" w:lineRule="auto"/>
              <w:jc w:val="center"/>
              <w:rPr>
                <w:bCs/>
              </w:rPr>
            </w:pPr>
            <w:r>
              <w:rPr>
                <w:bCs/>
              </w:rPr>
              <w:t xml:space="preserve">Anticipated </w:t>
            </w:r>
            <w:r w:rsidR="009B04FE" w:rsidRPr="00C33ADA">
              <w:rPr>
                <w:bCs/>
              </w:rPr>
              <w:t xml:space="preserve">Time </w:t>
            </w:r>
            <w:r>
              <w:rPr>
                <w:bCs/>
              </w:rPr>
              <w:t>Period</w:t>
            </w:r>
          </w:p>
        </w:tc>
      </w:tr>
      <w:tr w:rsidR="00C33ADA" w:rsidRPr="00C33ADA">
        <w:tc>
          <w:tcPr>
            <w:tcW w:w="3168" w:type="dxa"/>
            <w:tcBorders>
              <w:top w:val="single" w:sz="4" w:space="0" w:color="auto"/>
            </w:tcBorders>
            <w:vAlign w:val="center"/>
          </w:tcPr>
          <w:p w:rsidR="00C33ADA" w:rsidRPr="00C33ADA" w:rsidRDefault="00C33ADA" w:rsidP="008D6023">
            <w:pPr>
              <w:pStyle w:val="BodyText2"/>
              <w:tabs>
                <w:tab w:val="left" w:pos="9990"/>
              </w:tabs>
              <w:spacing w:line="240" w:lineRule="auto"/>
              <w:rPr>
                <w:bCs/>
              </w:rPr>
            </w:pPr>
            <w:r w:rsidRPr="00C33ADA">
              <w:rPr>
                <w:bCs/>
              </w:rPr>
              <w:t>Collect and analyze data from existing sources</w:t>
            </w:r>
          </w:p>
        </w:tc>
        <w:tc>
          <w:tcPr>
            <w:tcW w:w="5400" w:type="dxa"/>
            <w:tcBorders>
              <w:top w:val="single" w:sz="4" w:space="0" w:color="auto"/>
            </w:tcBorders>
            <w:vAlign w:val="center"/>
          </w:tcPr>
          <w:p w:rsidR="00C33ADA" w:rsidRPr="00C33ADA" w:rsidRDefault="00C33ADA" w:rsidP="00F84374">
            <w:pPr>
              <w:pStyle w:val="BodyText2"/>
              <w:tabs>
                <w:tab w:val="left" w:pos="9990"/>
              </w:tabs>
              <w:spacing w:line="240" w:lineRule="auto"/>
              <w:rPr>
                <w:bCs/>
              </w:rPr>
            </w:pPr>
            <w:r w:rsidRPr="00C33ADA">
              <w:rPr>
                <w:bCs/>
              </w:rPr>
              <w:t>October 2010-January 2011</w:t>
            </w:r>
          </w:p>
        </w:tc>
      </w:tr>
      <w:tr w:rsidR="009B04FE" w:rsidRPr="00C33ADA">
        <w:tc>
          <w:tcPr>
            <w:tcW w:w="3168" w:type="dxa"/>
            <w:vAlign w:val="center"/>
          </w:tcPr>
          <w:p w:rsidR="009B04FE" w:rsidRPr="00C33ADA" w:rsidRDefault="00C33ADA" w:rsidP="008D6023">
            <w:pPr>
              <w:pStyle w:val="BodyText2"/>
              <w:tabs>
                <w:tab w:val="left" w:pos="9990"/>
              </w:tabs>
              <w:spacing w:line="240" w:lineRule="auto"/>
            </w:pPr>
            <w:r w:rsidRPr="00C33ADA">
              <w:t>Field</w:t>
            </w:r>
            <w:r w:rsidR="00EE4A89" w:rsidRPr="00C33ADA">
              <w:t xml:space="preserve"> </w:t>
            </w:r>
            <w:r w:rsidRPr="00C33ADA">
              <w:t>survey</w:t>
            </w:r>
          </w:p>
        </w:tc>
        <w:tc>
          <w:tcPr>
            <w:tcW w:w="5400" w:type="dxa"/>
            <w:vAlign w:val="center"/>
          </w:tcPr>
          <w:p w:rsidR="009B04FE" w:rsidRPr="00C33ADA" w:rsidRDefault="003D447E" w:rsidP="008D6023">
            <w:pPr>
              <w:pStyle w:val="BodyText2"/>
              <w:tabs>
                <w:tab w:val="left" w:pos="9990"/>
              </w:tabs>
              <w:spacing w:line="240" w:lineRule="auto"/>
            </w:pPr>
            <w:r w:rsidRPr="00C33ADA">
              <w:t>Immediately</w:t>
            </w:r>
            <w:r w:rsidR="009B04FE" w:rsidRPr="00C33ADA">
              <w:t xml:space="preserve"> after OMB approval (</w:t>
            </w:r>
            <w:r w:rsidR="008D6023">
              <w:t>April</w:t>
            </w:r>
            <w:r w:rsidR="00C33ADA" w:rsidRPr="00C33ADA">
              <w:t xml:space="preserve"> 2011</w:t>
            </w:r>
            <w:r w:rsidR="009B04FE" w:rsidRPr="00C33ADA">
              <w:t>)</w:t>
            </w:r>
          </w:p>
        </w:tc>
      </w:tr>
      <w:tr w:rsidR="00C33ADA" w:rsidRPr="00C33ADA" w:rsidTr="00BA701A">
        <w:tc>
          <w:tcPr>
            <w:tcW w:w="3168" w:type="dxa"/>
          </w:tcPr>
          <w:p w:rsidR="00C33ADA" w:rsidRPr="00C33ADA" w:rsidRDefault="00C33ADA" w:rsidP="008D6023">
            <w:pPr>
              <w:rPr>
                <w:rFonts w:eastAsia="Times"/>
                <w:color w:val="000000"/>
              </w:rPr>
            </w:pPr>
            <w:r w:rsidRPr="00C33ADA">
              <w:rPr>
                <w:rFonts w:eastAsia="Times"/>
                <w:color w:val="000000"/>
              </w:rPr>
              <w:t>Analyze data and develop draft report</w:t>
            </w:r>
            <w:r w:rsidR="008D6023">
              <w:rPr>
                <w:rFonts w:eastAsia="Times"/>
                <w:color w:val="000000"/>
              </w:rPr>
              <w:t xml:space="preserve"> for expert panel</w:t>
            </w:r>
          </w:p>
        </w:tc>
        <w:tc>
          <w:tcPr>
            <w:tcW w:w="5400" w:type="dxa"/>
          </w:tcPr>
          <w:p w:rsidR="00C33ADA" w:rsidRPr="00C33ADA" w:rsidRDefault="008D6023" w:rsidP="00BA701A">
            <w:pPr>
              <w:rPr>
                <w:rFonts w:eastAsia="Times"/>
                <w:color w:val="000000"/>
              </w:rPr>
            </w:pPr>
            <w:r>
              <w:rPr>
                <w:rFonts w:eastAsia="Times"/>
                <w:color w:val="000000"/>
              </w:rPr>
              <w:t>May</w:t>
            </w:r>
            <w:r w:rsidR="00C33ADA" w:rsidRPr="00C33ADA">
              <w:rPr>
                <w:rFonts w:eastAsia="Times"/>
                <w:color w:val="000000"/>
              </w:rPr>
              <w:t xml:space="preserve"> 2011</w:t>
            </w:r>
          </w:p>
        </w:tc>
      </w:tr>
      <w:tr w:rsidR="00C33ADA" w:rsidRPr="00C33ADA" w:rsidTr="00BA701A">
        <w:tc>
          <w:tcPr>
            <w:tcW w:w="3168" w:type="dxa"/>
          </w:tcPr>
          <w:p w:rsidR="00C33ADA" w:rsidRPr="00C33ADA" w:rsidRDefault="001C6158" w:rsidP="00BA701A">
            <w:pPr>
              <w:rPr>
                <w:rFonts w:eastAsia="Times"/>
                <w:color w:val="000000"/>
              </w:rPr>
            </w:pPr>
            <w:r>
              <w:rPr>
                <w:rFonts w:eastAsia="Times"/>
                <w:color w:val="000000"/>
              </w:rPr>
              <w:t>Final panel report to NSF</w:t>
            </w:r>
          </w:p>
        </w:tc>
        <w:tc>
          <w:tcPr>
            <w:tcW w:w="5400" w:type="dxa"/>
          </w:tcPr>
          <w:p w:rsidR="00C33ADA" w:rsidRPr="00C33ADA" w:rsidRDefault="00C33ADA" w:rsidP="00BA701A">
            <w:pPr>
              <w:rPr>
                <w:rFonts w:eastAsia="Times"/>
                <w:color w:val="000000"/>
              </w:rPr>
            </w:pPr>
            <w:r w:rsidRPr="00C33ADA">
              <w:rPr>
                <w:rFonts w:eastAsia="Times"/>
                <w:color w:val="000000"/>
              </w:rPr>
              <w:t>December 2011</w:t>
            </w:r>
          </w:p>
        </w:tc>
      </w:tr>
    </w:tbl>
    <w:p w:rsidR="007400AC" w:rsidRDefault="007400AC" w:rsidP="00853AC0">
      <w:pPr>
        <w:spacing w:line="480" w:lineRule="auto"/>
        <w:rPr>
          <w:b/>
          <w:sz w:val="24"/>
          <w:szCs w:val="24"/>
        </w:rPr>
      </w:pPr>
    </w:p>
    <w:p w:rsidR="00A536C7" w:rsidRPr="00131FB9" w:rsidRDefault="00A536C7" w:rsidP="004E659C">
      <w:pPr>
        <w:pStyle w:val="Heading1"/>
        <w:spacing w:line="480" w:lineRule="auto"/>
      </w:pPr>
      <w:bookmarkStart w:id="18" w:name="_Toc284584906"/>
      <w:r w:rsidRPr="00131FB9">
        <w:t>A.17</w:t>
      </w:r>
      <w:r w:rsidR="009D2146" w:rsidRPr="00131FB9">
        <w:t>. Reason</w:t>
      </w:r>
      <w:r w:rsidRPr="00131FB9">
        <w:t>(s) Display of OMB Expiration Date is Inappropriate</w:t>
      </w:r>
      <w:bookmarkEnd w:id="18"/>
    </w:p>
    <w:p w:rsidR="00934ECE" w:rsidRPr="00853AC0" w:rsidRDefault="00934ECE" w:rsidP="001C6158">
      <w:pPr>
        <w:pStyle w:val="BodyText2"/>
        <w:tabs>
          <w:tab w:val="left" w:pos="9990"/>
        </w:tabs>
        <w:ind w:firstLine="720"/>
        <w:rPr>
          <w:sz w:val="24"/>
          <w:szCs w:val="24"/>
        </w:rPr>
      </w:pPr>
      <w:r w:rsidRPr="00853AC0">
        <w:rPr>
          <w:sz w:val="24"/>
          <w:szCs w:val="24"/>
        </w:rPr>
        <w:t xml:space="preserve">No exceptions are sought; the OMB Expiration Date will be displayed on the survey instruments. </w:t>
      </w:r>
    </w:p>
    <w:p w:rsidR="00A536C7" w:rsidRPr="00A81373" w:rsidRDefault="00A536C7" w:rsidP="004E659C">
      <w:pPr>
        <w:pStyle w:val="Heading1"/>
        <w:spacing w:line="480" w:lineRule="auto"/>
      </w:pPr>
      <w:bookmarkStart w:id="19" w:name="_Toc284584907"/>
      <w:r w:rsidRPr="00A81373">
        <w:t>A.18</w:t>
      </w:r>
      <w:r w:rsidR="009D2146" w:rsidRPr="00A81373">
        <w:t>. Exceptions</w:t>
      </w:r>
      <w:r w:rsidRPr="00A81373">
        <w:t xml:space="preserve"> to Certification for Paperwork Reduction Act Submissions</w:t>
      </w:r>
      <w:bookmarkEnd w:id="19"/>
    </w:p>
    <w:p w:rsidR="00A536C7" w:rsidRPr="00A81373" w:rsidRDefault="00934ECE" w:rsidP="001C6158">
      <w:pPr>
        <w:pStyle w:val="BodyText2"/>
        <w:tabs>
          <w:tab w:val="left" w:pos="9990"/>
        </w:tabs>
        <w:ind w:firstLine="720"/>
        <w:rPr>
          <w:sz w:val="24"/>
          <w:szCs w:val="24"/>
        </w:rPr>
      </w:pPr>
      <w:r w:rsidRPr="00853AC0">
        <w:rPr>
          <w:sz w:val="24"/>
          <w:szCs w:val="24"/>
        </w:rPr>
        <w:t>No exceptions are sought from the Paperwork Reduction Act or from form 83-I.</w:t>
      </w:r>
    </w:p>
    <w:sectPr w:rsidR="00A536C7" w:rsidRPr="00A81373" w:rsidSect="00F84374">
      <w:footnotePr>
        <w:numRestart w:val="eachSect"/>
      </w:footnotePr>
      <w:endnotePr>
        <w:numFmt w:val="decimal"/>
      </w:endnotePr>
      <w:pgSz w:w="12240" w:h="15840"/>
      <w:pgMar w:top="1260" w:right="1152" w:bottom="1440" w:left="1152"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A2F" w:rsidRDefault="00936A2F">
      <w:r>
        <w:separator/>
      </w:r>
    </w:p>
  </w:endnote>
  <w:endnote w:type="continuationSeparator" w:id="0">
    <w:p w:rsidR="00936A2F" w:rsidRDefault="00936A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1A" w:rsidRDefault="00D468FE">
    <w:pPr>
      <w:pStyle w:val="Footer"/>
      <w:framePr w:w="576" w:wrap="around" w:vAnchor="page" w:hAnchor="page" w:x="10945" w:y="15121"/>
      <w:jc w:val="right"/>
      <w:rPr>
        <w:rStyle w:val="PageNumber"/>
      </w:rPr>
    </w:pPr>
    <w:r>
      <w:rPr>
        <w:rStyle w:val="PageNumber"/>
      </w:rPr>
      <w:fldChar w:fldCharType="begin"/>
    </w:r>
    <w:r w:rsidR="00BA701A">
      <w:rPr>
        <w:rStyle w:val="PageNumber"/>
      </w:rPr>
      <w:instrText xml:space="preserve">PAGE  </w:instrText>
    </w:r>
    <w:r>
      <w:rPr>
        <w:rStyle w:val="PageNumber"/>
      </w:rPr>
      <w:fldChar w:fldCharType="separate"/>
    </w:r>
    <w:r w:rsidR="00BA701A">
      <w:rPr>
        <w:rStyle w:val="PageNumber"/>
        <w:noProof/>
      </w:rPr>
      <w:t>20</w:t>
    </w:r>
    <w:r>
      <w:rPr>
        <w:rStyle w:val="PageNumber"/>
      </w:rPr>
      <w:fldChar w:fldCharType="end"/>
    </w:r>
  </w:p>
  <w:p w:rsidR="00BA701A" w:rsidRDefault="00BA70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01A" w:rsidRDefault="00D468FE">
    <w:pPr>
      <w:pStyle w:val="Footer"/>
      <w:framePr w:w="576" w:wrap="around" w:vAnchor="page" w:hAnchor="page" w:x="10945" w:y="15121"/>
      <w:jc w:val="right"/>
      <w:rPr>
        <w:rStyle w:val="PageNumber"/>
      </w:rPr>
    </w:pPr>
    <w:r>
      <w:rPr>
        <w:rStyle w:val="PageNumber"/>
      </w:rPr>
      <w:fldChar w:fldCharType="begin"/>
    </w:r>
    <w:r w:rsidR="00BA701A">
      <w:rPr>
        <w:rStyle w:val="PageNumber"/>
      </w:rPr>
      <w:instrText xml:space="preserve">PAGE  </w:instrText>
    </w:r>
    <w:r>
      <w:rPr>
        <w:rStyle w:val="PageNumber"/>
      </w:rPr>
      <w:fldChar w:fldCharType="separate"/>
    </w:r>
    <w:r w:rsidR="00AE5DCD">
      <w:rPr>
        <w:rStyle w:val="PageNumber"/>
        <w:noProof/>
      </w:rPr>
      <w:t>1</w:t>
    </w:r>
    <w:r>
      <w:rPr>
        <w:rStyle w:val="PageNumber"/>
      </w:rPr>
      <w:fldChar w:fldCharType="end"/>
    </w:r>
  </w:p>
  <w:p w:rsidR="00BA701A" w:rsidRDefault="00BA7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A2F" w:rsidRDefault="00936A2F">
      <w:r>
        <w:separator/>
      </w:r>
    </w:p>
  </w:footnote>
  <w:footnote w:type="continuationSeparator" w:id="0">
    <w:p w:rsidR="00936A2F" w:rsidRDefault="00936A2F">
      <w:r>
        <w:continuationSeparator/>
      </w:r>
    </w:p>
  </w:footnote>
  <w:footnote w:id="1">
    <w:p w:rsidR="00BA701A" w:rsidRPr="00952483" w:rsidRDefault="00BA701A" w:rsidP="00952483">
      <w:r w:rsidRPr="00952483">
        <w:rPr>
          <w:rStyle w:val="FootnoteReference"/>
        </w:rPr>
        <w:footnoteRef/>
      </w:r>
      <w:r w:rsidRPr="00952483">
        <w:t xml:space="preserve"> </w:t>
      </w:r>
      <w:proofErr w:type="spellStart"/>
      <w:r w:rsidRPr="00952483">
        <w:rPr>
          <w:snapToGrid/>
        </w:rPr>
        <w:t>Ixchel</w:t>
      </w:r>
      <w:proofErr w:type="spellEnd"/>
      <w:r w:rsidRPr="00952483">
        <w:rPr>
          <w:snapToGrid/>
        </w:rPr>
        <w:t xml:space="preserve"> M. </w:t>
      </w:r>
      <w:proofErr w:type="spellStart"/>
      <w:r w:rsidRPr="00952483">
        <w:rPr>
          <w:snapToGrid/>
        </w:rPr>
        <w:t>Faniel</w:t>
      </w:r>
      <w:proofErr w:type="spellEnd"/>
      <w:r w:rsidRPr="00952483">
        <w:t xml:space="preserve">, February 2009. </w:t>
      </w:r>
      <w:r w:rsidRPr="00952483">
        <w:rPr>
          <w:snapToGrid/>
        </w:rPr>
        <w:t>Unrealized Potential: The Socio-Technical Challenges of a Large Scale Cyberinfrastructure Initiative</w:t>
      </w:r>
      <w:r>
        <w:rPr>
          <w:snapToGrid/>
        </w:rPr>
        <w:t xml:space="preserve">. </w:t>
      </w:r>
      <w:proofErr w:type="gramStart"/>
      <w:r>
        <w:rPr>
          <w:snapToGrid/>
        </w:rPr>
        <w:t>University of Michigan School of Information.</w:t>
      </w:r>
      <w:proofErr w:type="gramEnd"/>
      <w:r>
        <w:rPr>
          <w:snapToGrid/>
        </w:rPr>
        <w:t xml:space="preserve"> Available online at: </w:t>
      </w:r>
      <w:hyperlink r:id="rId1" w:history="1">
        <w:r w:rsidRPr="00AB438A">
          <w:rPr>
            <w:rStyle w:val="Hyperlink"/>
            <w:snapToGrid/>
          </w:rPr>
          <w:t>http://deepblue.lib.umich.edu/handle/2027.42/61845</w:t>
        </w:r>
      </w:hyperlink>
      <w:r>
        <w:rPr>
          <w:snapToGrid/>
        </w:rPr>
        <w:t>; accessed 9/28/10.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67AAC"/>
    <w:multiLevelType w:val="hybridMultilevel"/>
    <w:tmpl w:val="F63C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
    <w:nsid w:val="65BC189D"/>
    <w:multiLevelType w:val="multilevel"/>
    <w:tmpl w:val="63F882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rsids>
    <w:rsidRoot w:val="00A536C7"/>
    <w:rsid w:val="00003BB2"/>
    <w:rsid w:val="00005C6F"/>
    <w:rsid w:val="000065FB"/>
    <w:rsid w:val="000171D7"/>
    <w:rsid w:val="00027B66"/>
    <w:rsid w:val="000371CC"/>
    <w:rsid w:val="00042DC7"/>
    <w:rsid w:val="00054F6A"/>
    <w:rsid w:val="00055E93"/>
    <w:rsid w:val="000656D7"/>
    <w:rsid w:val="00067870"/>
    <w:rsid w:val="00095101"/>
    <w:rsid w:val="00096C45"/>
    <w:rsid w:val="000A63CC"/>
    <w:rsid w:val="000B3AD1"/>
    <w:rsid w:val="000B6EB5"/>
    <w:rsid w:val="000D682C"/>
    <w:rsid w:val="000E74BA"/>
    <w:rsid w:val="000F0369"/>
    <w:rsid w:val="000F053E"/>
    <w:rsid w:val="000F5B86"/>
    <w:rsid w:val="00103B3E"/>
    <w:rsid w:val="00131FB9"/>
    <w:rsid w:val="001631DE"/>
    <w:rsid w:val="001671F4"/>
    <w:rsid w:val="001809AB"/>
    <w:rsid w:val="00184C67"/>
    <w:rsid w:val="00190FDB"/>
    <w:rsid w:val="001B0FFC"/>
    <w:rsid w:val="001B72A7"/>
    <w:rsid w:val="001C2607"/>
    <w:rsid w:val="001C6158"/>
    <w:rsid w:val="001F0FF6"/>
    <w:rsid w:val="00200A60"/>
    <w:rsid w:val="0021028E"/>
    <w:rsid w:val="00226FC1"/>
    <w:rsid w:val="002305B7"/>
    <w:rsid w:val="002469D3"/>
    <w:rsid w:val="002550DD"/>
    <w:rsid w:val="00293C59"/>
    <w:rsid w:val="002A1EF0"/>
    <w:rsid w:val="002A62AB"/>
    <w:rsid w:val="002A78D7"/>
    <w:rsid w:val="002B39B3"/>
    <w:rsid w:val="002B4105"/>
    <w:rsid w:val="002D233F"/>
    <w:rsid w:val="002D3F29"/>
    <w:rsid w:val="002D65FF"/>
    <w:rsid w:val="002E0CD8"/>
    <w:rsid w:val="002F29F6"/>
    <w:rsid w:val="002F6F4B"/>
    <w:rsid w:val="003013F5"/>
    <w:rsid w:val="00302B9B"/>
    <w:rsid w:val="00332BF5"/>
    <w:rsid w:val="003419E4"/>
    <w:rsid w:val="003423E2"/>
    <w:rsid w:val="00357A91"/>
    <w:rsid w:val="00360255"/>
    <w:rsid w:val="0036286A"/>
    <w:rsid w:val="003840E0"/>
    <w:rsid w:val="003864A3"/>
    <w:rsid w:val="003906F0"/>
    <w:rsid w:val="003B679B"/>
    <w:rsid w:val="003B7595"/>
    <w:rsid w:val="003D447E"/>
    <w:rsid w:val="00400FA2"/>
    <w:rsid w:val="00417311"/>
    <w:rsid w:val="00426B71"/>
    <w:rsid w:val="004330C8"/>
    <w:rsid w:val="00442CC7"/>
    <w:rsid w:val="00461066"/>
    <w:rsid w:val="00471BC3"/>
    <w:rsid w:val="0048014E"/>
    <w:rsid w:val="00481F95"/>
    <w:rsid w:val="00483E2B"/>
    <w:rsid w:val="004849AB"/>
    <w:rsid w:val="004A20D2"/>
    <w:rsid w:val="004B20C8"/>
    <w:rsid w:val="004C0649"/>
    <w:rsid w:val="004C1386"/>
    <w:rsid w:val="004C4458"/>
    <w:rsid w:val="004C5A74"/>
    <w:rsid w:val="004D5D10"/>
    <w:rsid w:val="004E659C"/>
    <w:rsid w:val="004F3C3C"/>
    <w:rsid w:val="00505F1D"/>
    <w:rsid w:val="005167FB"/>
    <w:rsid w:val="00527F9D"/>
    <w:rsid w:val="00531F23"/>
    <w:rsid w:val="005419FF"/>
    <w:rsid w:val="00556D31"/>
    <w:rsid w:val="005846F1"/>
    <w:rsid w:val="005879AE"/>
    <w:rsid w:val="005C2D2D"/>
    <w:rsid w:val="005C3661"/>
    <w:rsid w:val="005E4EB3"/>
    <w:rsid w:val="005E584A"/>
    <w:rsid w:val="005F5DFA"/>
    <w:rsid w:val="00600EF1"/>
    <w:rsid w:val="006108DD"/>
    <w:rsid w:val="00641A03"/>
    <w:rsid w:val="00651131"/>
    <w:rsid w:val="006533D4"/>
    <w:rsid w:val="00666B51"/>
    <w:rsid w:val="00670FF3"/>
    <w:rsid w:val="00671D31"/>
    <w:rsid w:val="00676B3C"/>
    <w:rsid w:val="006B175C"/>
    <w:rsid w:val="006C3615"/>
    <w:rsid w:val="006C59F2"/>
    <w:rsid w:val="006D0370"/>
    <w:rsid w:val="006D439C"/>
    <w:rsid w:val="007160ED"/>
    <w:rsid w:val="00723ED1"/>
    <w:rsid w:val="007400AC"/>
    <w:rsid w:val="007535C4"/>
    <w:rsid w:val="00757DF1"/>
    <w:rsid w:val="00777C4E"/>
    <w:rsid w:val="00781E46"/>
    <w:rsid w:val="007C36F7"/>
    <w:rsid w:val="007C6C3A"/>
    <w:rsid w:val="007C7F29"/>
    <w:rsid w:val="007D1F38"/>
    <w:rsid w:val="007D5C95"/>
    <w:rsid w:val="007D775B"/>
    <w:rsid w:val="007E0277"/>
    <w:rsid w:val="007F1B16"/>
    <w:rsid w:val="007F3998"/>
    <w:rsid w:val="0080308E"/>
    <w:rsid w:val="0081376E"/>
    <w:rsid w:val="00834B51"/>
    <w:rsid w:val="00835E75"/>
    <w:rsid w:val="00840B19"/>
    <w:rsid w:val="0084133B"/>
    <w:rsid w:val="0084230F"/>
    <w:rsid w:val="00843887"/>
    <w:rsid w:val="00853AC0"/>
    <w:rsid w:val="0085633B"/>
    <w:rsid w:val="008A0238"/>
    <w:rsid w:val="008A4197"/>
    <w:rsid w:val="008B0088"/>
    <w:rsid w:val="008B6E74"/>
    <w:rsid w:val="008B7581"/>
    <w:rsid w:val="008C1169"/>
    <w:rsid w:val="008C541A"/>
    <w:rsid w:val="008D10D5"/>
    <w:rsid w:val="008D6023"/>
    <w:rsid w:val="008F082E"/>
    <w:rsid w:val="0091132E"/>
    <w:rsid w:val="009138F3"/>
    <w:rsid w:val="00914FB5"/>
    <w:rsid w:val="00925D5A"/>
    <w:rsid w:val="00926C43"/>
    <w:rsid w:val="00927C8E"/>
    <w:rsid w:val="00934ECE"/>
    <w:rsid w:val="00936A2F"/>
    <w:rsid w:val="00937333"/>
    <w:rsid w:val="00940C02"/>
    <w:rsid w:val="00947A46"/>
    <w:rsid w:val="00952483"/>
    <w:rsid w:val="00970404"/>
    <w:rsid w:val="009714EE"/>
    <w:rsid w:val="00972045"/>
    <w:rsid w:val="009777C7"/>
    <w:rsid w:val="00977E8D"/>
    <w:rsid w:val="00981FD2"/>
    <w:rsid w:val="0098794F"/>
    <w:rsid w:val="00990735"/>
    <w:rsid w:val="0099474E"/>
    <w:rsid w:val="00994FE6"/>
    <w:rsid w:val="009A09C9"/>
    <w:rsid w:val="009B04FE"/>
    <w:rsid w:val="009C060F"/>
    <w:rsid w:val="009C0739"/>
    <w:rsid w:val="009C6A7A"/>
    <w:rsid w:val="009C6FEF"/>
    <w:rsid w:val="009D2146"/>
    <w:rsid w:val="009F0A9B"/>
    <w:rsid w:val="00A02DBC"/>
    <w:rsid w:val="00A16AF3"/>
    <w:rsid w:val="00A40B98"/>
    <w:rsid w:val="00A44C41"/>
    <w:rsid w:val="00A52A29"/>
    <w:rsid w:val="00A536C7"/>
    <w:rsid w:val="00A64CD6"/>
    <w:rsid w:val="00A7084A"/>
    <w:rsid w:val="00A71523"/>
    <w:rsid w:val="00A81373"/>
    <w:rsid w:val="00A83337"/>
    <w:rsid w:val="00AA598E"/>
    <w:rsid w:val="00AB012F"/>
    <w:rsid w:val="00AE3F6F"/>
    <w:rsid w:val="00AE5DCD"/>
    <w:rsid w:val="00AF1DA2"/>
    <w:rsid w:val="00B2247E"/>
    <w:rsid w:val="00B30283"/>
    <w:rsid w:val="00B442AF"/>
    <w:rsid w:val="00B8481E"/>
    <w:rsid w:val="00B92A68"/>
    <w:rsid w:val="00BA701A"/>
    <w:rsid w:val="00BA7961"/>
    <w:rsid w:val="00BA7A40"/>
    <w:rsid w:val="00BB14E1"/>
    <w:rsid w:val="00BB7F0F"/>
    <w:rsid w:val="00BC05B3"/>
    <w:rsid w:val="00BC7D9D"/>
    <w:rsid w:val="00BD3719"/>
    <w:rsid w:val="00BE319A"/>
    <w:rsid w:val="00BF15AF"/>
    <w:rsid w:val="00C0727E"/>
    <w:rsid w:val="00C33ADA"/>
    <w:rsid w:val="00C415C8"/>
    <w:rsid w:val="00C43BC1"/>
    <w:rsid w:val="00C622D3"/>
    <w:rsid w:val="00C70C89"/>
    <w:rsid w:val="00C80D5D"/>
    <w:rsid w:val="00C84975"/>
    <w:rsid w:val="00CA7A44"/>
    <w:rsid w:val="00CB011B"/>
    <w:rsid w:val="00CF4BCF"/>
    <w:rsid w:val="00D11ECD"/>
    <w:rsid w:val="00D177B5"/>
    <w:rsid w:val="00D32303"/>
    <w:rsid w:val="00D32AD4"/>
    <w:rsid w:val="00D35DE4"/>
    <w:rsid w:val="00D37944"/>
    <w:rsid w:val="00D468FE"/>
    <w:rsid w:val="00D60DB5"/>
    <w:rsid w:val="00D618AF"/>
    <w:rsid w:val="00D63310"/>
    <w:rsid w:val="00D703B5"/>
    <w:rsid w:val="00D90E7C"/>
    <w:rsid w:val="00DA180A"/>
    <w:rsid w:val="00DA4831"/>
    <w:rsid w:val="00DB1227"/>
    <w:rsid w:val="00DB4738"/>
    <w:rsid w:val="00DB4CD9"/>
    <w:rsid w:val="00DC406C"/>
    <w:rsid w:val="00DE26D8"/>
    <w:rsid w:val="00DE56CD"/>
    <w:rsid w:val="00DE66D7"/>
    <w:rsid w:val="00E01A42"/>
    <w:rsid w:val="00E044DA"/>
    <w:rsid w:val="00E05C62"/>
    <w:rsid w:val="00E15C01"/>
    <w:rsid w:val="00E15F1B"/>
    <w:rsid w:val="00E32C3A"/>
    <w:rsid w:val="00E3691D"/>
    <w:rsid w:val="00E52B71"/>
    <w:rsid w:val="00E6199B"/>
    <w:rsid w:val="00E647FA"/>
    <w:rsid w:val="00E66A5F"/>
    <w:rsid w:val="00E671BD"/>
    <w:rsid w:val="00E70CDB"/>
    <w:rsid w:val="00EC4F43"/>
    <w:rsid w:val="00ED0D67"/>
    <w:rsid w:val="00EE0DAA"/>
    <w:rsid w:val="00EE4A89"/>
    <w:rsid w:val="00EF21D7"/>
    <w:rsid w:val="00EF7AF2"/>
    <w:rsid w:val="00F01621"/>
    <w:rsid w:val="00F0420B"/>
    <w:rsid w:val="00F06745"/>
    <w:rsid w:val="00F2455C"/>
    <w:rsid w:val="00F313EE"/>
    <w:rsid w:val="00F31ED8"/>
    <w:rsid w:val="00F350EF"/>
    <w:rsid w:val="00F35801"/>
    <w:rsid w:val="00F41873"/>
    <w:rsid w:val="00F574FE"/>
    <w:rsid w:val="00F7745B"/>
    <w:rsid w:val="00F84374"/>
    <w:rsid w:val="00FB0D33"/>
    <w:rsid w:val="00FB1A77"/>
    <w:rsid w:val="00FC53D9"/>
    <w:rsid w:val="00FE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86"/>
    <w:pPr>
      <w:widowControl w:val="0"/>
    </w:pPr>
    <w:rPr>
      <w:snapToGrid w:val="0"/>
    </w:rPr>
  </w:style>
  <w:style w:type="paragraph" w:styleId="Heading1">
    <w:name w:val="heading 1"/>
    <w:basedOn w:val="Normal"/>
    <w:next w:val="Normal"/>
    <w:qFormat/>
    <w:rsid w:val="004C1386"/>
    <w:pPr>
      <w:keepNext/>
      <w:outlineLvl w:val="0"/>
    </w:pPr>
    <w:rPr>
      <w:b/>
      <w:sz w:val="28"/>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 w:val="24"/>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 w:val="24"/>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 w:val="24"/>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after="120"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 w:val="24"/>
      <w:szCs w:val="24"/>
    </w:rPr>
  </w:style>
  <w:style w:type="paragraph" w:styleId="FootnoteText">
    <w:name w:val="footnote text"/>
    <w:basedOn w:val="Normal"/>
    <w:link w:val="FootnoteTextChar"/>
    <w:uiPriority w:val="99"/>
    <w:semiHidden/>
    <w:rsid w:val="00E671BD"/>
    <w:pPr>
      <w:widowControl/>
    </w:pPr>
    <w:rPr>
      <w:snapToGrid/>
    </w:rPr>
  </w:style>
  <w:style w:type="character" w:customStyle="1" w:styleId="FootnoteTextChar">
    <w:name w:val="Footnote Text Char"/>
    <w:basedOn w:val="DefaultParagraphFont"/>
    <w:link w:val="FootnoteText"/>
    <w:uiPriority w:val="99"/>
    <w:semiHidden/>
    <w:rsid w:val="00E671BD"/>
  </w:style>
  <w:style w:type="character" w:styleId="FootnoteReference">
    <w:name w:val="footnote reference"/>
    <w:basedOn w:val="DefaultParagraphFont"/>
    <w:uiPriority w:val="99"/>
    <w:semiHidden/>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F0420B"/>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semiHidden/>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049766">
      <w:bodyDiv w:val="1"/>
      <w:marLeft w:val="0"/>
      <w:marRight w:val="0"/>
      <w:marTop w:val="0"/>
      <w:marBottom w:val="0"/>
      <w:divBdr>
        <w:top w:val="none" w:sz="0" w:space="0" w:color="auto"/>
        <w:left w:val="none" w:sz="0" w:space="0" w:color="auto"/>
        <w:bottom w:val="none" w:sz="0" w:space="0" w:color="auto"/>
        <w:right w:val="none" w:sz="0" w:space="0" w:color="auto"/>
      </w:divBdr>
    </w:div>
    <w:div w:id="186335701">
      <w:bodyDiv w:val="1"/>
      <w:marLeft w:val="0"/>
      <w:marRight w:val="0"/>
      <w:marTop w:val="0"/>
      <w:marBottom w:val="0"/>
      <w:divBdr>
        <w:top w:val="none" w:sz="0" w:space="0" w:color="auto"/>
        <w:left w:val="none" w:sz="0" w:space="0" w:color="auto"/>
        <w:bottom w:val="none" w:sz="0" w:space="0" w:color="auto"/>
        <w:right w:val="none" w:sz="0" w:space="0" w:color="auto"/>
      </w:divBdr>
    </w:div>
    <w:div w:id="297417747">
      <w:bodyDiv w:val="1"/>
      <w:marLeft w:val="0"/>
      <w:marRight w:val="0"/>
      <w:marTop w:val="0"/>
      <w:marBottom w:val="0"/>
      <w:divBdr>
        <w:top w:val="none" w:sz="0" w:space="0" w:color="auto"/>
        <w:left w:val="none" w:sz="0" w:space="0" w:color="auto"/>
        <w:bottom w:val="none" w:sz="0" w:space="0" w:color="auto"/>
        <w:right w:val="none" w:sz="0" w:space="0" w:color="auto"/>
      </w:divBdr>
    </w:div>
    <w:div w:id="1066102230">
      <w:bodyDiv w:val="1"/>
      <w:marLeft w:val="0"/>
      <w:marRight w:val="0"/>
      <w:marTop w:val="0"/>
      <w:marBottom w:val="0"/>
      <w:divBdr>
        <w:top w:val="none" w:sz="0" w:space="0" w:color="auto"/>
        <w:left w:val="none" w:sz="0" w:space="0" w:color="auto"/>
        <w:bottom w:val="none" w:sz="0" w:space="0" w:color="auto"/>
        <w:right w:val="none" w:sz="0" w:space="0" w:color="auto"/>
      </w:divBdr>
    </w:div>
    <w:div w:id="1563103935">
      <w:bodyDiv w:val="1"/>
      <w:marLeft w:val="0"/>
      <w:marRight w:val="0"/>
      <w:marTop w:val="0"/>
      <w:marBottom w:val="0"/>
      <w:divBdr>
        <w:top w:val="none" w:sz="0" w:space="0" w:color="auto"/>
        <w:left w:val="none" w:sz="0" w:space="0" w:color="auto"/>
        <w:bottom w:val="none" w:sz="0" w:space="0" w:color="auto"/>
        <w:right w:val="none" w:sz="0" w:space="0" w:color="auto"/>
      </w:divBdr>
    </w:div>
    <w:div w:id="17835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eepblue.lib.umich.edu/handle/2027.4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6BB2B-46DB-4108-B573-38731F69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How To Prepare a Request For OMB Review</vt:lpstr>
    </vt:vector>
  </TitlesOfParts>
  <Company>OIT/NIH</Company>
  <LinksUpToDate>false</LinksUpToDate>
  <CharactersWithSpaces>15767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 Request For OMB Review</dc:title>
  <dc:subject>How To Prepare a Request For OMB Review</dc:subject>
  <dc:creator>BrierlyE</dc:creator>
  <cp:keywords>How To Prepare a Request For OMB Review</cp:keywords>
  <cp:lastModifiedBy>jpauschk</cp:lastModifiedBy>
  <cp:revision>3</cp:revision>
  <cp:lastPrinted>2007-11-15T16:02:00Z</cp:lastPrinted>
  <dcterms:created xsi:type="dcterms:W3CDTF">2011-06-07T21:42:00Z</dcterms:created>
  <dcterms:modified xsi:type="dcterms:W3CDTF">2011-06-07T21:46:00Z</dcterms:modified>
</cp:coreProperties>
</file>