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A2" w:rsidRPr="005603F6" w:rsidRDefault="005603F6" w:rsidP="005603F6">
      <w:pPr>
        <w:pStyle w:val="Title"/>
        <w:spacing w:line="240" w:lineRule="auto"/>
      </w:pPr>
      <w:r>
        <w:t>SUPPORTING STATEMENT</w:t>
      </w:r>
    </w:p>
    <w:p w:rsidR="00BE69A2" w:rsidRDefault="005603F6" w:rsidP="005603F6">
      <w:pPr>
        <w:tabs>
          <w:tab w:val="center" w:pos="4680"/>
        </w:tabs>
        <w:suppressAutoHyphens/>
        <w:jc w:val="center"/>
        <w:rPr>
          <w:b/>
          <w:bCs/>
        </w:rPr>
      </w:pPr>
      <w:r>
        <w:rPr>
          <w:b/>
          <w:bCs/>
        </w:rPr>
        <w:t>Rule 30e-1</w:t>
      </w:r>
    </w:p>
    <w:p w:rsidR="00BE69A2" w:rsidRDefault="00BE69A2"/>
    <w:p w:rsidR="00BE69A2" w:rsidRDefault="00BE69A2">
      <w:pPr>
        <w:pStyle w:val="Heading6"/>
      </w:pPr>
      <w:r>
        <w:t xml:space="preserve">A. </w:t>
      </w:r>
      <w:r>
        <w:tab/>
        <w:t>JUSTIFICATION</w:t>
      </w:r>
    </w:p>
    <w:p w:rsidR="002E51FB" w:rsidRPr="00945E29" w:rsidRDefault="00BE69A2" w:rsidP="00945E29">
      <w:pPr>
        <w:tabs>
          <w:tab w:val="left" w:pos="-720"/>
        </w:tabs>
        <w:suppressAutoHyphens/>
        <w:spacing w:line="480" w:lineRule="auto"/>
        <w:rPr>
          <w:b/>
        </w:rPr>
      </w:pPr>
      <w:r>
        <w:tab/>
      </w:r>
      <w:r w:rsidRPr="005603F6">
        <w:rPr>
          <w:b/>
        </w:rPr>
        <w:t>1.</w:t>
      </w:r>
      <w:r w:rsidRPr="005603F6">
        <w:rPr>
          <w:b/>
        </w:rPr>
        <w:tab/>
        <w:t>Necessity for the Information Collection</w:t>
      </w:r>
    </w:p>
    <w:p w:rsidR="002E51FB" w:rsidRDefault="002E51FB" w:rsidP="002E51FB">
      <w:pPr>
        <w:tabs>
          <w:tab w:val="left" w:pos="-720"/>
          <w:tab w:val="left" w:pos="0"/>
          <w:tab w:val="left" w:pos="720"/>
        </w:tabs>
        <w:suppressAutoHyphens/>
        <w:spacing w:line="480" w:lineRule="auto"/>
      </w:pPr>
      <w:r>
        <w:tab/>
      </w:r>
      <w:r w:rsidR="00AF6030">
        <w:rPr>
          <w:bCs/>
          <w:color w:val="000000"/>
        </w:rPr>
        <w:t xml:space="preserve">Section 30(e) (15 U.S.C. 80a-29(e)) of the Investment Company Act of 1940 (“Investment Company Act”) (15 U.S.C. 80a-1 </w:t>
      </w:r>
      <w:r w:rsidR="00AF6030">
        <w:rPr>
          <w:bCs/>
          <w:color w:val="000000"/>
          <w:u w:val="single"/>
        </w:rPr>
        <w:t>et seq</w:t>
      </w:r>
      <w:r w:rsidR="00AF6030">
        <w:rPr>
          <w:bCs/>
          <w:color w:val="000000"/>
        </w:rPr>
        <w:t>.) requires a</w:t>
      </w:r>
      <w:r w:rsidR="00570480" w:rsidRPr="00570480">
        <w:t xml:space="preserve"> </w:t>
      </w:r>
      <w:r w:rsidR="00570480">
        <w:t xml:space="preserve">registered investment company </w:t>
      </w:r>
      <w:r w:rsidR="00AF6030">
        <w:rPr>
          <w:bCs/>
          <w:color w:val="000000"/>
        </w:rPr>
        <w:t xml:space="preserve">to transmit to its shareholders, at least semi-annually, reports containing financial statements and other financial information as the Commission may prescribe by rules and regulations.  In addition, Section 30(f) permits the Commission to require by rule that semi-annual reports include such other information as the Commission deems necessary or appropriate in the public interest or for the protection of investors.  </w:t>
      </w:r>
      <w:r w:rsidR="00AF6030">
        <w:t xml:space="preserve">Rule 30e-1 generally </w:t>
      </w:r>
      <w:r>
        <w:t xml:space="preserve">requires </w:t>
      </w:r>
      <w:r w:rsidR="004F26E9">
        <w:t>a</w:t>
      </w:r>
      <w:r w:rsidR="00570480">
        <w:t xml:space="preserve"> </w:t>
      </w:r>
      <w:r w:rsidR="00A559DB">
        <w:t xml:space="preserve">registered management investment company (“fund”) </w:t>
      </w:r>
      <w:r>
        <w:t>to transmit</w:t>
      </w:r>
      <w:r w:rsidR="00307ABF">
        <w:t xml:space="preserve"> to</w:t>
      </w:r>
      <w:r>
        <w:t xml:space="preserve"> </w:t>
      </w:r>
      <w:r w:rsidR="004F26E9">
        <w:t>its</w:t>
      </w:r>
      <w:r>
        <w:t xml:space="preserve"> shareholders, at least semi-annually, reports containing</w:t>
      </w:r>
      <w:r w:rsidR="00AF6030">
        <w:t xml:space="preserve"> the</w:t>
      </w:r>
      <w:r>
        <w:t xml:space="preserve"> information that is required</w:t>
      </w:r>
      <w:r w:rsidR="00AF6030">
        <w:t xml:space="preserve"> to be included in such reports</w:t>
      </w:r>
      <w:r>
        <w:t xml:space="preserve"> by the fund’s registration statement</w:t>
      </w:r>
      <w:r w:rsidR="00252D0C">
        <w:t xml:space="preserve"> form under the Investment Company Act</w:t>
      </w:r>
      <w:r>
        <w:t>.  Failure to</w:t>
      </w:r>
      <w:r w:rsidR="004F26E9">
        <w:t xml:space="preserve"> require the </w:t>
      </w:r>
      <w:r>
        <w:t>collect</w:t>
      </w:r>
      <w:r w:rsidR="004F26E9">
        <w:t>ion of</w:t>
      </w:r>
      <w:r>
        <w:t xml:space="preserve"> this information would seriously impede the</w:t>
      </w:r>
      <w:r w:rsidR="004F26E9">
        <w:t xml:space="preserve"> amount of current</w:t>
      </w:r>
      <w:r>
        <w:t xml:space="preserve"> </w:t>
      </w:r>
      <w:r w:rsidR="004F26E9">
        <w:t xml:space="preserve">information available to shareholders and the public about funds and would prevent the </w:t>
      </w:r>
      <w:r>
        <w:t>Commission</w:t>
      </w:r>
      <w:r w:rsidR="004F26E9">
        <w:t xml:space="preserve"> from implementing the </w:t>
      </w:r>
      <w:r>
        <w:t xml:space="preserve">regulatory program </w:t>
      </w:r>
      <w:r w:rsidR="004F26E9">
        <w:t xml:space="preserve">required by statute. </w:t>
      </w:r>
    </w:p>
    <w:p w:rsidR="00A31AF9" w:rsidRDefault="005E23F7" w:rsidP="002E51FB">
      <w:pPr>
        <w:tabs>
          <w:tab w:val="left" w:pos="-720"/>
          <w:tab w:val="left" w:pos="0"/>
          <w:tab w:val="left" w:pos="720"/>
        </w:tabs>
        <w:suppressAutoHyphens/>
        <w:spacing w:line="480" w:lineRule="auto"/>
      </w:pPr>
      <w:r>
        <w:tab/>
      </w:r>
      <w:r w:rsidR="00A31AF9">
        <w:t xml:space="preserve">On July 21, 2010, the Dodd-Frank </w:t>
      </w:r>
      <w:r w:rsidR="00F76216">
        <w:t xml:space="preserve">Wall Street Reform and Consumer Protection Act (“Dodd-Frank </w:t>
      </w:r>
      <w:r w:rsidR="00A31AF9">
        <w:t>Act</w:t>
      </w:r>
      <w:r w:rsidR="00F76216">
        <w:t xml:space="preserve">”) </w:t>
      </w:r>
      <w:r w:rsidR="00A31AF9">
        <w:t>was enacted.</w:t>
      </w:r>
      <w:r w:rsidR="00A31AF9">
        <w:rPr>
          <w:rStyle w:val="FootnoteReference"/>
        </w:rPr>
        <w:footnoteReference w:id="1"/>
      </w:r>
      <w:r w:rsidR="00A31AF9">
        <w:t xml:space="preserve">  Section 939A of the </w:t>
      </w:r>
      <w:r w:rsidR="00F76216">
        <w:t xml:space="preserve">Dodd-Frank </w:t>
      </w:r>
      <w:r w:rsidR="00A31AF9">
        <w:t xml:space="preserve">Act requires the Commission to review its regulations for any references to or requirements regarding credit ratings that require the use of an assessment of the credit-worthiness of a security or money market instrument, remove these references or requirements and substitute other appropriate standards of credit-worthiness in place of the credit ratings.  Section 939A further requires the </w:t>
      </w:r>
      <w:r w:rsidR="00A31AF9">
        <w:lastRenderedPageBreak/>
        <w:t>Commission to seek to make these standards, to the extent feasible, uniform, taking into account the entities regulated by the Commission and the purposes for which the regulated entities would rely on the standards.  As directed by section 939A of the Dodd-Frank Act, the Commission has reviewed its regulations for any references to or requirements regarding credit ratings in regulations that require the use of an assessment of the credit-worthiness of a secuirty or money market instrument.  In light of the Commission’s review, and as further directed by the Dodd-Frank Act, t</w:t>
      </w:r>
      <w:r>
        <w:t xml:space="preserve">he Commission is proposing amendments to Forms N-1A, N-2 and N-3 to remove the required use of credit ratings assigned by a nationally recognized statistical rating organization (“NRSRO”).  </w:t>
      </w:r>
    </w:p>
    <w:p w:rsidR="005E23F7" w:rsidRDefault="00A31AF9" w:rsidP="002E51FB">
      <w:pPr>
        <w:tabs>
          <w:tab w:val="left" w:pos="-720"/>
          <w:tab w:val="left" w:pos="0"/>
          <w:tab w:val="left" w:pos="720"/>
        </w:tabs>
        <w:suppressAutoHyphens/>
        <w:spacing w:line="480" w:lineRule="auto"/>
      </w:pPr>
      <w:r>
        <w:tab/>
      </w:r>
      <w:r w:rsidR="005E23F7">
        <w:t>Forms N-1A, N-2 and N-3, among other things, contain the requirements for sha</w:t>
      </w:r>
      <w:r>
        <w:t xml:space="preserve">reholder reports of funds.  </w:t>
      </w:r>
      <w:r w:rsidR="005E23F7">
        <w:t>Currently, Forms N-1A, N-2 and N-3 each require shareholder reports to include a table, chart or graph depicting portfolio holdings by reasonably identifiable categories (</w:t>
      </w:r>
      <w:r w:rsidR="005E23F7" w:rsidRPr="005E23F7">
        <w:rPr>
          <w:i/>
        </w:rPr>
        <w:t>e.g.</w:t>
      </w:r>
      <w:r w:rsidR="005E23F7">
        <w:t>, type of security, industry sector, geographic region, credit quality or maturity).</w:t>
      </w:r>
      <w:r w:rsidR="005E23F7">
        <w:rPr>
          <w:rStyle w:val="FootnoteReference"/>
        </w:rPr>
        <w:footnoteReference w:id="2"/>
      </w:r>
      <w:r w:rsidR="005E23F7">
        <w:t xml:space="preserve">  </w:t>
      </w:r>
      <w:r w:rsidR="005E23F7" w:rsidRPr="00F75E28">
        <w:t xml:space="preserve">The </w:t>
      </w:r>
      <w:r w:rsidR="005E23F7">
        <w:t xml:space="preserve">forms require the </w:t>
      </w:r>
      <w:r w:rsidR="005E23F7" w:rsidRPr="00F75E28">
        <w:t xml:space="preserve">categories </w:t>
      </w:r>
      <w:r w:rsidR="005E23F7">
        <w:t xml:space="preserve">to </w:t>
      </w:r>
      <w:r w:rsidR="005E23F7" w:rsidRPr="00F75E28">
        <w:t>be selected</w:t>
      </w:r>
      <w:r w:rsidR="005E23F7">
        <w:t xml:space="preserve"> </w:t>
      </w:r>
      <w:r w:rsidR="005E23F7" w:rsidRPr="00F75E28">
        <w:t>in a manner reasonably designed to depict clearly the typ</w:t>
      </w:r>
      <w:r w:rsidR="005E23F7">
        <w:t>es of investments made by the fund</w:t>
      </w:r>
      <w:r w:rsidR="005E23F7" w:rsidRPr="00F75E28">
        <w:t>, gi</w:t>
      </w:r>
      <w:r w:rsidR="005E23F7">
        <w:t xml:space="preserve">ven its investment objectives.  If credit quality is used to present portfolio holdings, the forms require that </w:t>
      </w:r>
      <w:r w:rsidR="005E23F7" w:rsidRPr="00F75E28">
        <w:t xml:space="preserve">credit quality </w:t>
      </w:r>
      <w:r w:rsidR="005E23F7">
        <w:t xml:space="preserve">be depicted using </w:t>
      </w:r>
      <w:r w:rsidR="005E23F7" w:rsidRPr="00F75E28">
        <w:t xml:space="preserve">the </w:t>
      </w:r>
      <w:r w:rsidR="005E23F7">
        <w:t xml:space="preserve">credit </w:t>
      </w:r>
      <w:r w:rsidR="005E23F7" w:rsidRPr="00F75E28">
        <w:t xml:space="preserve">ratings </w:t>
      </w:r>
      <w:r w:rsidR="005E23F7">
        <w:t>assigned by a single NRSRO</w:t>
      </w:r>
      <w:r w:rsidR="005E23F7" w:rsidRPr="00F75E28">
        <w:t>.</w:t>
      </w:r>
    </w:p>
    <w:p w:rsidR="005E23F7" w:rsidRDefault="005E23F7" w:rsidP="002E51FB">
      <w:pPr>
        <w:tabs>
          <w:tab w:val="left" w:pos="-720"/>
          <w:tab w:val="left" w:pos="0"/>
          <w:tab w:val="left" w:pos="720"/>
        </w:tabs>
        <w:suppressAutoHyphens/>
        <w:spacing w:line="480" w:lineRule="auto"/>
      </w:pPr>
      <w:r>
        <w:tab/>
        <w:t xml:space="preserve"> The Commission is proposing to amend Forms N-1A, N-2 and N-3 to eliminate the required use of NRSRO credit ratings by funds that choose to use credit quality categorizations in the required table, chart, or graph of portfolio holdings.  If a fund chooses to use NRSRO credit ratings to depict credit quality of portfolio holdings, the proposed amendments, like the current forms, generally would require the fund to use the credit ratings of a single NRSRO.  The </w:t>
      </w:r>
      <w:r>
        <w:lastRenderedPageBreak/>
        <w:t>proposed amendments would clarify that, if credit ratings of the NRSRO selected by a fund are not available for certain holdings, the fund must briefly discuss the methodology for determining credit quality for those holdings, including, if applicable, the use of credit ratings assigned by another NRSRO.</w:t>
      </w:r>
    </w:p>
    <w:p w:rsidR="005E23F7" w:rsidRDefault="005E23F7" w:rsidP="002E51FB">
      <w:pPr>
        <w:tabs>
          <w:tab w:val="left" w:pos="-720"/>
          <w:tab w:val="left" w:pos="0"/>
          <w:tab w:val="left" w:pos="720"/>
        </w:tabs>
        <w:suppressAutoHyphens/>
        <w:spacing w:line="480" w:lineRule="auto"/>
      </w:pPr>
      <w:r>
        <w:tab/>
        <w:t xml:space="preserve">Because the proposed amendments to Forms N-1A, N-2 and N-3 relate solely to the contents of fund shareholder reports, the collection of information requirements </w:t>
      </w:r>
      <w:r w:rsidR="00F76216">
        <w:t xml:space="preserve">is included in the burden associated with </w:t>
      </w:r>
      <w:r>
        <w:t xml:space="preserve">rule 30e-1 </w:t>
      </w:r>
      <w:r w:rsidR="00F76216">
        <w:t>rather than Forms N-1A, N-2 and N-3</w:t>
      </w:r>
      <w:r>
        <w:t>.</w:t>
      </w:r>
    </w:p>
    <w:p w:rsidR="00BE69A2" w:rsidRPr="005603F6" w:rsidRDefault="00BE69A2" w:rsidP="002E51FB">
      <w:pPr>
        <w:numPr>
          <w:ilvl w:val="0"/>
          <w:numId w:val="1"/>
        </w:numPr>
        <w:tabs>
          <w:tab w:val="left" w:pos="-720"/>
        </w:tabs>
        <w:suppressAutoHyphens/>
        <w:spacing w:line="480" w:lineRule="auto"/>
        <w:rPr>
          <w:b/>
        </w:rPr>
      </w:pPr>
      <w:r w:rsidRPr="005603F6">
        <w:rPr>
          <w:b/>
        </w:rPr>
        <w:t>Purpose of the Information Collection</w:t>
      </w:r>
    </w:p>
    <w:p w:rsidR="005603F6" w:rsidRPr="002E51FB" w:rsidRDefault="004F26E9" w:rsidP="002E51FB">
      <w:pPr>
        <w:tabs>
          <w:tab w:val="left" w:pos="-720"/>
        </w:tabs>
        <w:suppressAutoHyphens/>
        <w:spacing w:line="480" w:lineRule="auto"/>
      </w:pPr>
      <w:r>
        <w:tab/>
      </w:r>
      <w:r w:rsidR="00307ABF">
        <w:t xml:space="preserve">The purpose of the collection of information required by </w:t>
      </w:r>
      <w:r w:rsidR="00584F9C">
        <w:t>rule</w:t>
      </w:r>
      <w:r w:rsidR="00307ABF">
        <w:t xml:space="preserve"> 30e-1 is to provide fund shareholders with current information about the operation of their funds in accordance with Section 30 of the Investment Company</w:t>
      </w:r>
      <w:r w:rsidR="009008D1">
        <w:t xml:space="preserve"> Act</w:t>
      </w:r>
      <w:r w:rsidR="00307ABF">
        <w:t>.</w:t>
      </w:r>
      <w:r w:rsidR="005E23F7">
        <w:t xml:space="preserve">  If the proposed amendments are adopted, funds would remain obligated to provide a table, chart or graph of portfolio holdings by reasonably identifiable categories in their shareholder reports, and funds that choose to use credit quality categorizations would not be required to use NRSRO credit ratings.  If credit ratings of the NRSRO selected by a fund are not available for certain holdings, the fund would be required to briefly discuss the methodology for determining credit quality for those holdings, including, if applicable, the use of credit ratings assigned by another NRSRO.  </w:t>
      </w:r>
    </w:p>
    <w:p w:rsidR="00BE69A2" w:rsidRPr="005603F6" w:rsidRDefault="00BE69A2" w:rsidP="009008D1">
      <w:pPr>
        <w:widowControl w:val="0"/>
        <w:numPr>
          <w:ilvl w:val="0"/>
          <w:numId w:val="1"/>
        </w:numPr>
        <w:tabs>
          <w:tab w:val="left" w:pos="-720"/>
          <w:tab w:val="left" w:pos="0"/>
          <w:tab w:val="left" w:pos="720"/>
        </w:tabs>
        <w:suppressAutoHyphens/>
        <w:rPr>
          <w:b/>
        </w:rPr>
      </w:pPr>
      <w:r w:rsidRPr="005603F6">
        <w:rPr>
          <w:b/>
        </w:rPr>
        <w:t>Role of Improved Information Technology</w:t>
      </w:r>
    </w:p>
    <w:p w:rsidR="00BE69A2" w:rsidRDefault="00BE69A2" w:rsidP="009008D1">
      <w:pPr>
        <w:widowControl w:val="0"/>
        <w:tabs>
          <w:tab w:val="left" w:pos="-720"/>
          <w:tab w:val="left" w:pos="0"/>
          <w:tab w:val="left" w:pos="720"/>
        </w:tabs>
        <w:suppressAutoHyphens/>
        <w:ind w:left="720"/>
      </w:pPr>
    </w:p>
    <w:p w:rsidR="00BE69A2" w:rsidRDefault="00BE69A2" w:rsidP="009008D1">
      <w:pPr>
        <w:widowControl w:val="0"/>
        <w:spacing w:line="480" w:lineRule="auto"/>
      </w:pPr>
      <w:r>
        <w:tab/>
      </w:r>
      <w:r w:rsidR="00F04F9C">
        <w:t>Rule 30e-1 does not require filing of the shareholder report with the Commission</w:t>
      </w:r>
      <w:r w:rsidR="00C3186F">
        <w:t>, but instead the transmission of reports to shareholders.  Shareholder repo</w:t>
      </w:r>
      <w:r w:rsidR="00AA763C">
        <w:t>rts are typically sent in paper</w:t>
      </w:r>
      <w:r w:rsidR="005A7D73">
        <w:t>;</w:t>
      </w:r>
      <w:r w:rsidR="00C3186F">
        <w:t xml:space="preserve"> however, investors may consent to the de</w:t>
      </w:r>
      <w:r w:rsidR="005E23F7">
        <w:t>livery of electronic versions.  The proposed amendments would not affect the transmission of reports to shareholders.</w:t>
      </w:r>
    </w:p>
    <w:p w:rsidR="00BE69A2" w:rsidRPr="005603F6" w:rsidRDefault="00BE69A2" w:rsidP="009D3A8C">
      <w:pPr>
        <w:keepNext/>
        <w:suppressAutoHyphens/>
        <w:spacing w:line="480" w:lineRule="auto"/>
        <w:ind w:firstLine="720"/>
        <w:rPr>
          <w:b/>
        </w:rPr>
      </w:pPr>
      <w:r w:rsidRPr="005603F6">
        <w:rPr>
          <w:b/>
        </w:rPr>
        <w:lastRenderedPageBreak/>
        <w:t>4.</w:t>
      </w:r>
      <w:r w:rsidRPr="005603F6">
        <w:rPr>
          <w:b/>
        </w:rPr>
        <w:tab/>
        <w:t>Efforts to Identify Duplication</w:t>
      </w:r>
    </w:p>
    <w:p w:rsidR="005E23F7" w:rsidRDefault="00BE69A2" w:rsidP="009D3A8C">
      <w:pPr>
        <w:keepNext/>
        <w:tabs>
          <w:tab w:val="left" w:pos="-720"/>
        </w:tabs>
        <w:suppressAutoHyphens/>
        <w:spacing w:line="480" w:lineRule="auto"/>
      </w:pPr>
      <w:r>
        <w:tab/>
        <w:t xml:space="preserve">To ensure the relevance of the information filed by each </w:t>
      </w:r>
      <w:r w:rsidR="00E81E81">
        <w:t>fund</w:t>
      </w:r>
      <w:r>
        <w:t xml:space="preserve"> and to avoid unnecessary paperwork and duplicative reporting, the Commission has promulgated specific rules and designed specific forms or items of forms for each type of investment company.  The information required by </w:t>
      </w:r>
      <w:r w:rsidR="00584F9C">
        <w:t>rule</w:t>
      </w:r>
      <w:r>
        <w:t xml:space="preserve"> 30e-1 is not generally duplicated elsewhere.</w:t>
      </w:r>
      <w:r w:rsidR="005E23F7">
        <w:t xml:space="preserve">  </w:t>
      </w:r>
      <w:r w:rsidR="00A31AF9">
        <w:t>The Commission staff reviews the collection of information requirements on an ongoing basis to find and eliminate duplicative requirements.</w:t>
      </w:r>
    </w:p>
    <w:p w:rsidR="00BE69A2" w:rsidRPr="005603F6" w:rsidRDefault="00BE69A2">
      <w:pPr>
        <w:tabs>
          <w:tab w:val="left" w:pos="-720"/>
          <w:tab w:val="left" w:pos="0"/>
        </w:tabs>
        <w:suppressAutoHyphens/>
        <w:spacing w:line="480" w:lineRule="auto"/>
        <w:ind w:left="720" w:hanging="720"/>
        <w:rPr>
          <w:b/>
        </w:rPr>
      </w:pPr>
      <w:r w:rsidRPr="005603F6">
        <w:rPr>
          <w:b/>
        </w:rPr>
        <w:tab/>
        <w:t>5.</w:t>
      </w:r>
      <w:r w:rsidRPr="005603F6">
        <w:rPr>
          <w:b/>
        </w:rPr>
        <w:tab/>
        <w:t>Effect on Small Entities</w:t>
      </w:r>
    </w:p>
    <w:p w:rsidR="00BE69A2" w:rsidRDefault="00AF6030" w:rsidP="00AF6030">
      <w:pPr>
        <w:spacing w:line="480" w:lineRule="auto"/>
        <w:ind w:firstLine="720"/>
      </w:pPr>
      <w:r w:rsidRPr="00AF6030">
        <w:t xml:space="preserve">The current disclosure requirements for shareholder reports do not distinguish between small entities and other funds.  The burden on smaller funds may be greater than for larger funds.  This burden includes the cost of producing, printing, and </w:t>
      </w:r>
      <w:r w:rsidR="00570480">
        <w:t>transmitting</w:t>
      </w:r>
      <w:r w:rsidRPr="00AF6030">
        <w:t xml:space="preserve"> the shareholder reports.  The Commission believes, however, that imposing different requirements on smaller investment companies would not be consistent with investor protection and the purposes of shareholder reports.</w:t>
      </w:r>
      <w:r w:rsidR="00E81E81" w:rsidRPr="004B6E59">
        <w:t xml:space="preserve"> </w:t>
      </w:r>
      <w:r w:rsidR="00E81E81">
        <w:t xml:space="preserve"> The Commission reviews all rules periodically, as required by the Regulatory Flexibility Act, to identify methods to minimize recordkeeping or reporting requirements affecting small businesses.</w:t>
      </w:r>
    </w:p>
    <w:p w:rsidR="005E23F7" w:rsidRDefault="005E23F7" w:rsidP="00AF6030">
      <w:pPr>
        <w:spacing w:line="480" w:lineRule="auto"/>
        <w:ind w:firstLine="720"/>
      </w:pPr>
      <w:r>
        <w:t xml:space="preserve">The proposed form amendments, if adopted, would apply to all funds that use Forms N-1A, N-2 and N-3.  If the Commission excluded small entities from the proposed form amendments, small entities would be required to use NRSRO credit ratings if they choose to depict credit quality, while other entities would not be subject to that requirement.  </w:t>
      </w:r>
      <w:r w:rsidR="00F76216">
        <w:t xml:space="preserve">The Commission believes this outcome is inconsistent with Section 939A of the Dodd-Frank Act.  </w:t>
      </w:r>
      <w:r>
        <w:t xml:space="preserve">The Commission believes that special compliance or reporting requirements, or an exemption, for small entities with respect to the use of a single NRSRO </w:t>
      </w:r>
      <w:r w:rsidR="00F76216">
        <w:t xml:space="preserve">is not appropriate because the </w:t>
      </w:r>
      <w:r w:rsidR="00F76216">
        <w:lastRenderedPageBreak/>
        <w:t xml:space="preserve">proposed requirement is intended to eliminate the possibility that a fund of any size could </w:t>
      </w:r>
      <w:r>
        <w:t>select the most favorable ratings among credit ratings assigned by multiple NRSROs.</w:t>
      </w:r>
    </w:p>
    <w:p w:rsidR="00BE69A2" w:rsidRPr="005603F6" w:rsidRDefault="00BE69A2">
      <w:pPr>
        <w:keepNext/>
        <w:tabs>
          <w:tab w:val="left" w:pos="-720"/>
        </w:tabs>
        <w:suppressAutoHyphens/>
        <w:spacing w:line="480" w:lineRule="auto"/>
        <w:rPr>
          <w:b/>
        </w:rPr>
      </w:pPr>
      <w:r w:rsidRPr="005603F6">
        <w:rPr>
          <w:b/>
        </w:rPr>
        <w:tab/>
        <w:t>6.</w:t>
      </w:r>
      <w:r w:rsidRPr="005603F6">
        <w:rPr>
          <w:b/>
        </w:rPr>
        <w:tab/>
        <w:t>Consequences of Less Frequent Collection</w:t>
      </w:r>
    </w:p>
    <w:p w:rsidR="00BE69A2" w:rsidRDefault="00BE69A2">
      <w:pPr>
        <w:keepLines/>
        <w:tabs>
          <w:tab w:val="left" w:pos="-720"/>
        </w:tabs>
        <w:suppressAutoHyphens/>
        <w:spacing w:line="480" w:lineRule="auto"/>
      </w:pPr>
      <w:r>
        <w:tab/>
      </w:r>
      <w:r w:rsidR="00C3186F">
        <w:t>T</w:t>
      </w:r>
      <w:r>
        <w:t xml:space="preserve">he frequency with which information in compliance with </w:t>
      </w:r>
      <w:r w:rsidR="00584F9C">
        <w:t>rule</w:t>
      </w:r>
      <w:r>
        <w:t xml:space="preserve"> 30</w:t>
      </w:r>
      <w:r w:rsidR="00C3186F">
        <w:t>e-1 is collected is semi-annual, as set out Section 30(e) of the Investment Company Act</w:t>
      </w:r>
      <w:r w:rsidR="00AF6030">
        <w:t xml:space="preserve"> and rule 30e-1</w:t>
      </w:r>
      <w:r w:rsidR="00C3186F">
        <w:t>.  Less frequent collection of information would impede the amount of current information provided to shareholders about their funds.</w:t>
      </w:r>
    </w:p>
    <w:p w:rsidR="00BE69A2" w:rsidRPr="005603F6" w:rsidRDefault="00BE69A2">
      <w:pPr>
        <w:tabs>
          <w:tab w:val="left" w:pos="-720"/>
          <w:tab w:val="left" w:pos="0"/>
        </w:tabs>
        <w:suppressAutoHyphens/>
        <w:spacing w:line="480" w:lineRule="auto"/>
        <w:ind w:left="720" w:hanging="720"/>
        <w:rPr>
          <w:b/>
        </w:rPr>
      </w:pPr>
      <w:r w:rsidRPr="005603F6">
        <w:rPr>
          <w:b/>
        </w:rPr>
        <w:tab/>
        <w:t>7.</w:t>
      </w:r>
      <w:r w:rsidRPr="005603F6">
        <w:rPr>
          <w:b/>
        </w:rPr>
        <w:tab/>
        <w:t>Inconsistencies With Guidelines in 5 CFR 1320.5(d)(2)</w:t>
      </w:r>
    </w:p>
    <w:p w:rsidR="00BE69A2" w:rsidRDefault="00BE69A2">
      <w:pPr>
        <w:tabs>
          <w:tab w:val="left" w:pos="-720"/>
        </w:tabs>
        <w:suppressAutoHyphens/>
        <w:spacing w:line="480" w:lineRule="auto"/>
      </w:pPr>
      <w:r>
        <w:tab/>
      </w:r>
      <w:r w:rsidR="00C013BF">
        <w:t>The information collection is not conducted in any of the manners set out under 5 CFR 1320.5(d)(2)</w:t>
      </w:r>
      <w:r>
        <w:t>.</w:t>
      </w:r>
    </w:p>
    <w:p w:rsidR="00BE69A2" w:rsidRPr="005603F6" w:rsidRDefault="00BE69A2">
      <w:pPr>
        <w:keepNext/>
        <w:tabs>
          <w:tab w:val="left" w:pos="-720"/>
        </w:tabs>
        <w:suppressAutoHyphens/>
        <w:spacing w:line="480" w:lineRule="auto"/>
        <w:rPr>
          <w:b/>
        </w:rPr>
      </w:pPr>
      <w:r w:rsidRPr="005603F6">
        <w:rPr>
          <w:b/>
        </w:rPr>
        <w:tab/>
        <w:t xml:space="preserve">8. </w:t>
      </w:r>
      <w:r w:rsidRPr="005603F6">
        <w:rPr>
          <w:b/>
        </w:rPr>
        <w:tab/>
        <w:t>Consultation Outside the Agency</w:t>
      </w:r>
    </w:p>
    <w:p w:rsidR="00BE69A2" w:rsidRDefault="00BE69A2" w:rsidP="00F97F6E">
      <w:pPr>
        <w:keepLines/>
        <w:tabs>
          <w:tab w:val="left" w:pos="-720"/>
        </w:tabs>
        <w:suppressAutoHyphens/>
        <w:spacing w:line="480" w:lineRule="auto"/>
      </w:pPr>
      <w:r>
        <w:tab/>
        <w:t xml:space="preserve">The Commission and the staff of the Division of Investment Management participate in </w:t>
      </w:r>
      <w:r w:rsidR="00FE1FCB">
        <w:t>an ongoing dialogue with representatives of the investment company industry and through</w:t>
      </w:r>
      <w:r>
        <w:t xml:space="preserve"> public conferences, m</w:t>
      </w:r>
      <w:r w:rsidR="00FE1FCB">
        <w:t xml:space="preserve">eetings, and informal exchanges.  These various forums </w:t>
      </w:r>
      <w:r>
        <w:t xml:space="preserve">provide the Commission and the staff with </w:t>
      </w:r>
      <w:r w:rsidR="00FE1FCB">
        <w:t>a means of</w:t>
      </w:r>
      <w:r>
        <w:t xml:space="preserve"> ascertaining and acting upon paperwork burdens confronting the industry.  </w:t>
      </w:r>
      <w:r w:rsidR="00A559DB">
        <w:t xml:space="preserve">The Commission </w:t>
      </w:r>
      <w:r w:rsidR="00F97F6E">
        <w:t>has solicited and will consider comment on the proposed amendments, and on the collection of information that would be imposed by the amendments.</w:t>
      </w:r>
    </w:p>
    <w:p w:rsidR="00BE69A2" w:rsidRPr="005603F6" w:rsidRDefault="00BE69A2">
      <w:pPr>
        <w:tabs>
          <w:tab w:val="left" w:pos="-720"/>
        </w:tabs>
        <w:suppressAutoHyphens/>
        <w:spacing w:line="480" w:lineRule="auto"/>
        <w:rPr>
          <w:b/>
        </w:rPr>
      </w:pPr>
      <w:r w:rsidRPr="005603F6">
        <w:rPr>
          <w:b/>
        </w:rPr>
        <w:tab/>
        <w:t>9.</w:t>
      </w:r>
      <w:r w:rsidRPr="005603F6">
        <w:rPr>
          <w:b/>
        </w:rPr>
        <w:tab/>
        <w:t>Payment or Gift to Respondents</w:t>
      </w:r>
    </w:p>
    <w:p w:rsidR="00BE69A2" w:rsidRDefault="00BE69A2">
      <w:pPr>
        <w:tabs>
          <w:tab w:val="left" w:pos="-720"/>
        </w:tabs>
        <w:suppressAutoHyphens/>
        <w:spacing w:line="480" w:lineRule="auto"/>
      </w:pPr>
      <w:r>
        <w:tab/>
      </w:r>
      <w:r w:rsidR="00C013BF">
        <w:t>No payment or gift to respondents was provided.</w:t>
      </w:r>
    </w:p>
    <w:p w:rsidR="00BE69A2" w:rsidRPr="005603F6" w:rsidRDefault="00BE69A2">
      <w:pPr>
        <w:tabs>
          <w:tab w:val="left" w:pos="-720"/>
        </w:tabs>
        <w:suppressAutoHyphens/>
        <w:spacing w:line="480" w:lineRule="auto"/>
        <w:rPr>
          <w:b/>
        </w:rPr>
      </w:pPr>
      <w:r w:rsidRPr="005603F6">
        <w:rPr>
          <w:b/>
        </w:rPr>
        <w:tab/>
        <w:t xml:space="preserve">10. </w:t>
      </w:r>
      <w:r w:rsidRPr="005603F6">
        <w:rPr>
          <w:b/>
        </w:rPr>
        <w:tab/>
        <w:t>Assurance of Confidentiality</w:t>
      </w:r>
    </w:p>
    <w:p w:rsidR="00BE69A2" w:rsidRDefault="00BE69A2">
      <w:pPr>
        <w:spacing w:line="480" w:lineRule="auto"/>
      </w:pPr>
      <w:r>
        <w:tab/>
        <w:t>No</w:t>
      </w:r>
      <w:r w:rsidR="00C013BF">
        <w:t xml:space="preserve"> assurance of confidentiality was provided.  </w:t>
      </w:r>
    </w:p>
    <w:p w:rsidR="00BE69A2" w:rsidRPr="00011E0A" w:rsidRDefault="00BE69A2">
      <w:pPr>
        <w:spacing w:line="480" w:lineRule="auto"/>
        <w:ind w:firstLine="720"/>
        <w:rPr>
          <w:b/>
        </w:rPr>
      </w:pPr>
      <w:r w:rsidRPr="00011E0A">
        <w:rPr>
          <w:b/>
        </w:rPr>
        <w:t>11.</w:t>
      </w:r>
      <w:r w:rsidRPr="00011E0A">
        <w:rPr>
          <w:b/>
        </w:rPr>
        <w:tab/>
        <w:t>Sensitive Questions</w:t>
      </w:r>
    </w:p>
    <w:p w:rsidR="00BE69A2" w:rsidRDefault="00BE69A2">
      <w:pPr>
        <w:spacing w:line="480" w:lineRule="auto"/>
      </w:pPr>
      <w:r>
        <w:tab/>
        <w:t>No</w:t>
      </w:r>
      <w:r w:rsidR="00C013BF">
        <w:t xml:space="preserve"> questions of a sensitive nature are involved.</w:t>
      </w:r>
    </w:p>
    <w:p w:rsidR="00BE69A2" w:rsidRPr="00011E0A" w:rsidRDefault="00BE69A2" w:rsidP="00D15F61">
      <w:pPr>
        <w:keepNext/>
        <w:keepLines/>
        <w:numPr>
          <w:ilvl w:val="0"/>
          <w:numId w:val="7"/>
        </w:numPr>
        <w:tabs>
          <w:tab w:val="left" w:pos="-720"/>
        </w:tabs>
        <w:suppressAutoHyphens/>
        <w:spacing w:line="480" w:lineRule="auto"/>
        <w:ind w:hanging="720"/>
        <w:rPr>
          <w:b/>
          <w:bCs/>
        </w:rPr>
      </w:pPr>
      <w:r w:rsidRPr="00011E0A">
        <w:rPr>
          <w:b/>
        </w:rPr>
        <w:lastRenderedPageBreak/>
        <w:t xml:space="preserve">Estimate of Hour Burden </w:t>
      </w:r>
      <w:r w:rsidRPr="00011E0A">
        <w:rPr>
          <w:b/>
          <w:bCs/>
        </w:rPr>
        <w:t xml:space="preserve"> </w:t>
      </w:r>
    </w:p>
    <w:p w:rsidR="00BE69A2" w:rsidRDefault="00252D0C">
      <w:pPr>
        <w:spacing w:line="480" w:lineRule="auto"/>
      </w:pPr>
      <w:r>
        <w:tab/>
        <w:t>Rule 30e-1</w:t>
      </w:r>
      <w:r w:rsidR="00BE69A2">
        <w:t xml:space="preserve"> under the Investment Company Act of 1940 requires </w:t>
      </w:r>
      <w:r w:rsidR="00E81E81">
        <w:t xml:space="preserve">each </w:t>
      </w:r>
      <w:r w:rsidR="00BE69A2">
        <w:t>fund</w:t>
      </w:r>
      <w:r w:rsidR="00E81E81">
        <w:t xml:space="preserve"> to include in its</w:t>
      </w:r>
      <w:r w:rsidR="00BE69A2">
        <w:t xml:space="preserve"> shareholder reports the information that is required by the fund’s registration statement form.  Compliance with the disclosure requirements of </w:t>
      </w:r>
      <w:r w:rsidR="00584F9C">
        <w:t>rule</w:t>
      </w:r>
      <w:r w:rsidR="00BE69A2">
        <w:t xml:space="preserve"> 30e-1 is mandatory.  Responses to the disclosure requirements will not be kept confidential.</w:t>
      </w:r>
    </w:p>
    <w:p w:rsidR="00D0318D" w:rsidRDefault="00D0318D">
      <w:pPr>
        <w:spacing w:line="480" w:lineRule="auto"/>
      </w:pPr>
      <w:r>
        <w:tab/>
        <w:t>The Commission believes that the propose</w:t>
      </w:r>
      <w:r w:rsidR="00F76216">
        <w:t>d amendments to Forms N-1A, N-2</w:t>
      </w:r>
      <w:r>
        <w:t xml:space="preserve"> and N-3 would not affect the current approved internal hour burden under rule 30e-1, because funds would remain obligated to provide a table, chart, or graph of portfolio holdings by reasonably identifiable categories.  The proposed amendments only eliminate the required use of NRSRO credit ratings by funds that choose to use credit quality categorizations.  The Commission further believes that the proposed clarification for cases when credit ratings of the NRSRO selected by a fund are not available for certain holdings would not impose any additional hour burden because funds typically provide this disclosure in their shareholder reports today.</w:t>
      </w:r>
      <w:r>
        <w:rPr>
          <w:rStyle w:val="FootnoteReference"/>
        </w:rPr>
        <w:footnoteReference w:id="3"/>
      </w:r>
    </w:p>
    <w:p w:rsidR="00BE69A2" w:rsidRDefault="00FE5E7F">
      <w:pPr>
        <w:pStyle w:val="BodyTextIndent"/>
      </w:pPr>
      <w:r>
        <w:t>The current approved</w:t>
      </w:r>
      <w:r w:rsidR="00C43F12">
        <w:t xml:space="preserve"> internal</w:t>
      </w:r>
      <w:r>
        <w:t xml:space="preserve"> hour burden for preparing and filing semi</w:t>
      </w:r>
      <w:r>
        <w:noBreakHyphen/>
        <w:t xml:space="preserve">annual or annual shareholder reports in compliance with </w:t>
      </w:r>
      <w:r w:rsidR="00584F9C">
        <w:t>rule</w:t>
      </w:r>
      <w:r w:rsidR="00C013BF">
        <w:t xml:space="preserve"> 30e-1 is 1,194,532</w:t>
      </w:r>
      <w:r w:rsidR="00D0318D">
        <w:t xml:space="preserve"> hours</w:t>
      </w:r>
      <w:r>
        <w:t xml:space="preserve">.  </w:t>
      </w:r>
      <w:r w:rsidR="005B4BBE">
        <w:t>We</w:t>
      </w:r>
      <w:r>
        <w:t xml:space="preserve"> now</w:t>
      </w:r>
      <w:r w:rsidR="00BE69A2">
        <w:t xml:space="preserve"> estimate that</w:t>
      </w:r>
      <w:r w:rsidR="00C013BF">
        <w:t xml:space="preserve"> 2,600 </w:t>
      </w:r>
      <w:r w:rsidR="00A559DB">
        <w:t>funds</w:t>
      </w:r>
      <w:r w:rsidR="001D6CBE">
        <w:t>, with a total of a</w:t>
      </w:r>
      <w:r w:rsidR="00C013BF">
        <w:t>pproximately 10,0</w:t>
      </w:r>
      <w:r w:rsidR="00812CD1">
        <w:t xml:space="preserve">60 portfolios, </w:t>
      </w:r>
      <w:r w:rsidR="00A37C50">
        <w:t xml:space="preserve">respond to </w:t>
      </w:r>
      <w:r w:rsidR="00584F9C">
        <w:t>rule</w:t>
      </w:r>
      <w:r w:rsidR="00A37C50">
        <w:t xml:space="preserve"> 30e-1 annually</w:t>
      </w:r>
      <w:r w:rsidR="003F3859">
        <w:t>.</w:t>
      </w:r>
      <w:r w:rsidR="00F97F6E">
        <w:t xml:space="preserve">  </w:t>
      </w:r>
      <w:r w:rsidR="00C43F12">
        <w:t xml:space="preserve">Using </w:t>
      </w:r>
      <w:r w:rsidR="00982DCF">
        <w:t>an estimate</w:t>
      </w:r>
      <w:r w:rsidR="002A77AA">
        <w:t xml:space="preserve"> of</w:t>
      </w:r>
      <w:r w:rsidR="00982DCF">
        <w:t xml:space="preserve"> 114.2 hours per portfolio</w:t>
      </w:r>
      <w:r w:rsidR="00C43F12">
        <w:t xml:space="preserve">, </w:t>
      </w:r>
      <w:r w:rsidR="003F3859">
        <w:t xml:space="preserve">we </w:t>
      </w:r>
      <w:r w:rsidR="005B4BBE">
        <w:t xml:space="preserve">calculate the </w:t>
      </w:r>
      <w:r>
        <w:t>total</w:t>
      </w:r>
      <w:r w:rsidR="005B4BBE">
        <w:t xml:space="preserve"> estimated</w:t>
      </w:r>
      <w:r>
        <w:t xml:space="preserve"> annual internal burden</w:t>
      </w:r>
      <w:r w:rsidR="00982DCF">
        <w:t xml:space="preserve"> of responding to rule 30e-1</w:t>
      </w:r>
      <w:r>
        <w:t xml:space="preserve"> </w:t>
      </w:r>
      <w:r w:rsidR="005B4BBE">
        <w:t>to be</w:t>
      </w:r>
      <w:r w:rsidR="001E73C7">
        <w:t xml:space="preserve"> appr</w:t>
      </w:r>
      <w:r w:rsidR="00C43F12">
        <w:t>oximately 1,</w:t>
      </w:r>
      <w:r w:rsidR="00C013BF">
        <w:t>148,852</w:t>
      </w:r>
      <w:r w:rsidR="00C43F12">
        <w:t xml:space="preserve"> hours (114.2 </w:t>
      </w:r>
      <w:r w:rsidR="00BE69A2">
        <w:t xml:space="preserve">hours x </w:t>
      </w:r>
      <w:r w:rsidR="00C013BF">
        <w:t>10,0</w:t>
      </w:r>
      <w:r w:rsidR="001E73C7">
        <w:t>60 portfolios</w:t>
      </w:r>
      <w:r w:rsidR="00BE69A2">
        <w:t xml:space="preserve">).  </w:t>
      </w:r>
      <w:r w:rsidR="00581E66">
        <w:t xml:space="preserve">This </w:t>
      </w:r>
      <w:r w:rsidR="001E73C7">
        <w:t>rep</w:t>
      </w:r>
      <w:r w:rsidR="002E5944">
        <w:t>res</w:t>
      </w:r>
      <w:r w:rsidR="00C43F12">
        <w:t>ents a</w:t>
      </w:r>
      <w:r w:rsidR="00C013BF">
        <w:t xml:space="preserve"> decrease of 45,680</w:t>
      </w:r>
      <w:r w:rsidR="00581E66">
        <w:t xml:space="preserve"> hours per year</w:t>
      </w:r>
      <w:r w:rsidR="00C013BF">
        <w:t xml:space="preserve"> under</w:t>
      </w:r>
      <w:r w:rsidR="00C43F12">
        <w:t xml:space="preserve"> the current approved burden</w:t>
      </w:r>
      <w:r w:rsidR="00581E66">
        <w:t>.</w:t>
      </w:r>
    </w:p>
    <w:p w:rsidR="00D03B99" w:rsidRDefault="00B735B9" w:rsidP="00D03B99">
      <w:pPr>
        <w:tabs>
          <w:tab w:val="left" w:pos="-720"/>
        </w:tabs>
        <w:suppressAutoHyphens/>
        <w:spacing w:line="480" w:lineRule="auto"/>
        <w:rPr>
          <w:bCs/>
        </w:rPr>
      </w:pPr>
      <w:r>
        <w:rPr>
          <w:bCs/>
        </w:rPr>
        <w:tab/>
        <w:t xml:space="preserve">Of the </w:t>
      </w:r>
      <w:r w:rsidR="00C013BF">
        <w:t xml:space="preserve">1,148,852 hours </w:t>
      </w:r>
      <w:r w:rsidR="00D03B99">
        <w:rPr>
          <w:bCs/>
        </w:rPr>
        <w:t xml:space="preserve">spent annually to comply with </w:t>
      </w:r>
      <w:r w:rsidR="00584F9C">
        <w:rPr>
          <w:bCs/>
        </w:rPr>
        <w:t>rule</w:t>
      </w:r>
      <w:r w:rsidR="00D03B99">
        <w:rPr>
          <w:bCs/>
        </w:rPr>
        <w:t xml:space="preserve"> 30e-1, the Commission estimates that:</w:t>
      </w:r>
    </w:p>
    <w:p w:rsidR="00D03B99" w:rsidRDefault="00D03B99" w:rsidP="00D03B99">
      <w:pPr>
        <w:numPr>
          <w:ilvl w:val="0"/>
          <w:numId w:val="10"/>
        </w:numPr>
        <w:tabs>
          <w:tab w:val="left" w:pos="-720"/>
        </w:tabs>
        <w:suppressAutoHyphens/>
        <w:overflowPunct w:val="0"/>
        <w:autoSpaceDE w:val="0"/>
        <w:autoSpaceDN w:val="0"/>
        <w:adjustRightInd w:val="0"/>
        <w:spacing w:line="480" w:lineRule="auto"/>
        <w:textAlignment w:val="baseline"/>
        <w:rPr>
          <w:bCs/>
        </w:rPr>
      </w:pPr>
      <w:r>
        <w:rPr>
          <w:bCs/>
        </w:rPr>
        <w:lastRenderedPageBreak/>
        <w:t xml:space="preserve">Fifty percent </w:t>
      </w:r>
      <w:r w:rsidR="00A559DB">
        <w:rPr>
          <w:bCs/>
        </w:rPr>
        <w:t xml:space="preserve">(574,426 hours) </w:t>
      </w:r>
      <w:r>
        <w:rPr>
          <w:bCs/>
        </w:rPr>
        <w:t xml:space="preserve">are spent by in-house legal counsel at </w:t>
      </w:r>
      <w:r w:rsidR="00C013BF">
        <w:rPr>
          <w:bCs/>
        </w:rPr>
        <w:t>an estimated hourly wage of $354</w:t>
      </w:r>
      <w:r>
        <w:rPr>
          <w:bCs/>
        </w:rPr>
        <w:t>, for</w:t>
      </w:r>
      <w:r w:rsidR="00C43F12">
        <w:rPr>
          <w:bCs/>
        </w:rPr>
        <w:t xml:space="preserve"> a total of </w:t>
      </w:r>
      <w:r w:rsidR="00E065C9">
        <w:rPr>
          <w:bCs/>
        </w:rPr>
        <w:t>approximately $</w:t>
      </w:r>
      <w:r w:rsidR="00C013BF">
        <w:rPr>
          <w:bCs/>
        </w:rPr>
        <w:t>203,3</w:t>
      </w:r>
      <w:r w:rsidR="00D0318D">
        <w:rPr>
          <w:bCs/>
        </w:rPr>
        <w:t>00,000 per year;</w:t>
      </w:r>
      <w:r w:rsidR="00D0318D">
        <w:rPr>
          <w:rStyle w:val="FootnoteReference"/>
          <w:bCs/>
        </w:rPr>
        <w:footnoteReference w:id="4"/>
      </w:r>
      <w:r w:rsidR="00C013BF">
        <w:rPr>
          <w:bCs/>
        </w:rPr>
        <w:t xml:space="preserve"> </w:t>
      </w:r>
      <w:r>
        <w:rPr>
          <w:bCs/>
        </w:rPr>
        <w:t>and</w:t>
      </w:r>
    </w:p>
    <w:p w:rsidR="00D03B99" w:rsidRDefault="00D03B99" w:rsidP="00D03B99">
      <w:pPr>
        <w:numPr>
          <w:ilvl w:val="0"/>
          <w:numId w:val="10"/>
        </w:numPr>
        <w:tabs>
          <w:tab w:val="left" w:pos="-720"/>
        </w:tabs>
        <w:suppressAutoHyphens/>
        <w:overflowPunct w:val="0"/>
        <w:autoSpaceDE w:val="0"/>
        <w:autoSpaceDN w:val="0"/>
        <w:adjustRightInd w:val="0"/>
        <w:spacing w:line="480" w:lineRule="auto"/>
        <w:textAlignment w:val="baseline"/>
        <w:rPr>
          <w:bCs/>
        </w:rPr>
      </w:pPr>
      <w:r>
        <w:rPr>
          <w:bCs/>
        </w:rPr>
        <w:t xml:space="preserve">Fifty percent </w:t>
      </w:r>
      <w:r w:rsidR="00A559DB">
        <w:rPr>
          <w:bCs/>
        </w:rPr>
        <w:t xml:space="preserve">(574,426 hours) </w:t>
      </w:r>
      <w:r>
        <w:rPr>
          <w:bCs/>
        </w:rPr>
        <w:t xml:space="preserve">are spent by internal fund accountants at an estimated hourly wage of </w:t>
      </w:r>
      <w:r w:rsidR="00E55F24">
        <w:rPr>
          <w:bCs/>
        </w:rPr>
        <w:t>$</w:t>
      </w:r>
      <w:r w:rsidR="00C013BF">
        <w:rPr>
          <w:bCs/>
        </w:rPr>
        <w:t>165</w:t>
      </w:r>
      <w:r w:rsidR="00B735B9">
        <w:rPr>
          <w:bCs/>
        </w:rPr>
        <w:t>, for a</w:t>
      </w:r>
      <w:r w:rsidR="00C013BF">
        <w:rPr>
          <w:bCs/>
        </w:rPr>
        <w:t xml:space="preserve"> total of $94,</w:t>
      </w:r>
      <w:r w:rsidR="00D0318D">
        <w:rPr>
          <w:bCs/>
        </w:rPr>
        <w:t xml:space="preserve">800,000 </w:t>
      </w:r>
      <w:r>
        <w:rPr>
          <w:bCs/>
        </w:rPr>
        <w:t>per year.</w:t>
      </w:r>
      <w:r w:rsidR="00D0318D">
        <w:rPr>
          <w:rStyle w:val="FootnoteReference"/>
          <w:bCs/>
        </w:rPr>
        <w:footnoteReference w:id="5"/>
      </w:r>
    </w:p>
    <w:p w:rsidR="00D0318D" w:rsidRDefault="00D03B99" w:rsidP="00D0318D">
      <w:pPr>
        <w:tabs>
          <w:tab w:val="left" w:pos="-720"/>
        </w:tabs>
        <w:suppressAutoHyphens/>
        <w:spacing w:line="480" w:lineRule="auto"/>
      </w:pPr>
      <w:r>
        <w:tab/>
        <w:t>Based on these estimated wage rates,</w:t>
      </w:r>
      <w:r>
        <w:rPr>
          <w:rStyle w:val="FootnoteReference"/>
          <w:bCs/>
        </w:rPr>
        <w:footnoteReference w:id="6"/>
      </w:r>
      <w:r w:rsidR="00D0318D">
        <w:t xml:space="preserve"> </w:t>
      </w:r>
      <w:r>
        <w:t xml:space="preserve">the total cost to the industry of the hour burden for complying with the annual and semi-annual shareholder report requirements of </w:t>
      </w:r>
      <w:r w:rsidR="00584F9C">
        <w:t>rule</w:t>
      </w:r>
      <w:r>
        <w:t xml:space="preserve"> 30e</w:t>
      </w:r>
      <w:r w:rsidR="00E065C9">
        <w:t>-1 is approximately $2</w:t>
      </w:r>
      <w:r w:rsidR="00C013BF">
        <w:t>98,1</w:t>
      </w:r>
      <w:r w:rsidR="00D0318D">
        <w:t>00,000.</w:t>
      </w:r>
      <w:r w:rsidR="00D0318D">
        <w:rPr>
          <w:rStyle w:val="FootnoteReference"/>
        </w:rPr>
        <w:footnoteReference w:id="7"/>
      </w:r>
    </w:p>
    <w:p w:rsidR="00D0318D" w:rsidRDefault="00D0318D" w:rsidP="00D0318D">
      <w:pPr>
        <w:tabs>
          <w:tab w:val="left" w:pos="-720"/>
        </w:tabs>
        <w:suppressAutoHyphens/>
        <w:spacing w:line="480" w:lineRule="auto"/>
        <w:rPr>
          <w:b/>
        </w:rPr>
      </w:pPr>
      <w:r>
        <w:tab/>
      </w:r>
      <w:r w:rsidR="00BE69A2" w:rsidRPr="009427EB">
        <w:rPr>
          <w:b/>
        </w:rPr>
        <w:t>13.</w:t>
      </w:r>
      <w:r w:rsidR="00BE69A2" w:rsidRPr="009427EB">
        <w:rPr>
          <w:b/>
        </w:rPr>
        <w:tab/>
        <w:t>Estimate of Total Annual Cost Burden</w:t>
      </w:r>
    </w:p>
    <w:p w:rsidR="00D0318D" w:rsidRDefault="00D0318D" w:rsidP="00D0318D">
      <w:pPr>
        <w:tabs>
          <w:tab w:val="left" w:pos="-720"/>
        </w:tabs>
        <w:suppressAutoHyphens/>
        <w:spacing w:line="480" w:lineRule="auto"/>
      </w:pPr>
      <w:r>
        <w:rPr>
          <w:b/>
        </w:rPr>
        <w:tab/>
      </w:r>
      <w:r>
        <w:t xml:space="preserve">The Commission believes that the proposed amendments to Forms N-1A, N-2 and N-3 would not affect the current cost burden of rule 30e-1 because funds would remain obligated to provide a table, chart or graph of portfolio holdings by reasonably identifiable categories.  The proposed amendments only eliminate the required use of NRSRO credit ratings by funds that choose to use credit quality categorizations.  The Commission further believes that the proposed clarification for cases when credit ratings of the NRSRO selected by a fund are not available for </w:t>
      </w:r>
      <w:r>
        <w:lastRenderedPageBreak/>
        <w:t>certain holdings would not impose any additional cost burden because funds typically provide this disclosure in their shareholder reports today.</w:t>
      </w:r>
      <w:r>
        <w:rPr>
          <w:rStyle w:val="FootnoteReference"/>
        </w:rPr>
        <w:footnoteReference w:id="8"/>
      </w:r>
    </w:p>
    <w:p w:rsidR="00F97F6E" w:rsidRPr="00D0318D" w:rsidRDefault="00D0318D" w:rsidP="00D0318D">
      <w:pPr>
        <w:tabs>
          <w:tab w:val="left" w:pos="-720"/>
        </w:tabs>
        <w:suppressAutoHyphens/>
        <w:spacing w:line="480" w:lineRule="auto"/>
        <w:rPr>
          <w:bCs/>
        </w:rPr>
      </w:pPr>
      <w:r>
        <w:tab/>
      </w:r>
      <w:r w:rsidR="00FC36A0">
        <w:t xml:space="preserve">The current cost burden of </w:t>
      </w:r>
      <w:r w:rsidR="00584F9C">
        <w:t>rule</w:t>
      </w:r>
      <w:r w:rsidR="00FC36A0">
        <w:t xml:space="preserve"> 30e-1 is </w:t>
      </w:r>
      <w:r w:rsidR="00C013BF">
        <w:t>$328,444,000</w:t>
      </w:r>
      <w:r w:rsidR="00982DCF">
        <w:t>.</w:t>
      </w:r>
      <w:r w:rsidR="00982DCF">
        <w:rPr>
          <w:rStyle w:val="FootnoteReference"/>
        </w:rPr>
        <w:footnoteReference w:id="9"/>
      </w:r>
      <w:r w:rsidR="00E065C9">
        <w:t xml:space="preserve">  Adjusting</w:t>
      </w:r>
      <w:r w:rsidR="00982DCF">
        <w:t xml:space="preserve"> for</w:t>
      </w:r>
      <w:r w:rsidR="00E065C9">
        <w:t xml:space="preserve"> the effects of</w:t>
      </w:r>
      <w:r w:rsidR="00982DCF">
        <w:t xml:space="preserve"> inflation</w:t>
      </w:r>
      <w:r w:rsidR="00C013BF">
        <w:t xml:space="preserve"> since 2009</w:t>
      </w:r>
      <w:r w:rsidR="00982DCF">
        <w:t xml:space="preserve">, we </w:t>
      </w:r>
      <w:r w:rsidR="003F3859">
        <w:t>now estimate that the</w:t>
      </w:r>
      <w:r w:rsidR="00982DCF">
        <w:t xml:space="preserve"> total cost burden is approximately</w:t>
      </w:r>
      <w:r w:rsidR="003F3859">
        <w:t xml:space="preserve"> </w:t>
      </w:r>
      <w:r w:rsidR="001D2F95">
        <w:t>$</w:t>
      </w:r>
      <w:r w:rsidR="00F76216">
        <w:t>31,900</w:t>
      </w:r>
      <w:r w:rsidR="00C013BF" w:rsidRPr="00C013BF">
        <w:t xml:space="preserve"> </w:t>
      </w:r>
      <w:r w:rsidR="003F3859">
        <w:t>per portfolio.</w:t>
      </w:r>
      <w:r w:rsidR="00A559DB">
        <w:rPr>
          <w:rStyle w:val="FootnoteReference"/>
        </w:rPr>
        <w:footnoteReference w:id="10"/>
      </w:r>
      <w:r w:rsidR="00C013BF">
        <w:t xml:space="preserve">  </w:t>
      </w:r>
      <w:r w:rsidR="003F3859">
        <w:t>B</w:t>
      </w:r>
      <w:r w:rsidR="009C0A4A">
        <w:t xml:space="preserve">asing our calculation on </w:t>
      </w:r>
      <w:r w:rsidR="00C013BF">
        <w:t>the approximately 10,0</w:t>
      </w:r>
      <w:r w:rsidR="001C3DA7">
        <w:t>60 portfolios</w:t>
      </w:r>
      <w:r w:rsidR="002A77AA">
        <w:t xml:space="preserve"> now</w:t>
      </w:r>
      <w:r w:rsidR="001C3DA7">
        <w:t xml:space="preserve"> subject to rule 30e-1</w:t>
      </w:r>
      <w:r w:rsidR="003F3859">
        <w:t>,</w:t>
      </w:r>
      <w:r w:rsidR="00581E66">
        <w:t xml:space="preserve"> </w:t>
      </w:r>
      <w:r w:rsidR="003F3859">
        <w:t>we estimate the</w:t>
      </w:r>
      <w:r w:rsidR="00581E66">
        <w:t xml:space="preserve"> annual external </w:t>
      </w:r>
      <w:r w:rsidR="00EA5EC7">
        <w:t>cost</w:t>
      </w:r>
      <w:r w:rsidR="003F3859">
        <w:t xml:space="preserve"> burden </w:t>
      </w:r>
      <w:r w:rsidR="001C3DA7">
        <w:t xml:space="preserve">associated with </w:t>
      </w:r>
      <w:r w:rsidR="00584F9C">
        <w:t>rule</w:t>
      </w:r>
      <w:r w:rsidR="001C3DA7">
        <w:t xml:space="preserve"> 30e-1 to be</w:t>
      </w:r>
      <w:r w:rsidR="002A77AA">
        <w:t xml:space="preserve"> approximately</w:t>
      </w:r>
      <w:r w:rsidR="00C013BF">
        <w:t xml:space="preserve"> $321,</w:t>
      </w:r>
      <w:r w:rsidR="00F76216">
        <w:t>0</w:t>
      </w:r>
      <w:r>
        <w:t>00,000.</w:t>
      </w:r>
      <w:r>
        <w:rPr>
          <w:rStyle w:val="FootnoteReference"/>
        </w:rPr>
        <w:footnoteReference w:id="11"/>
      </w:r>
      <w:r w:rsidR="00F76216">
        <w:t xml:space="preserve">  </w:t>
      </w:r>
      <w:r w:rsidR="00581E66">
        <w:t>T</w:t>
      </w:r>
      <w:r w:rsidR="003F3859">
        <w:t xml:space="preserve">his represents </w:t>
      </w:r>
      <w:r w:rsidR="00F76216">
        <w:t xml:space="preserve">a decrease of </w:t>
      </w:r>
      <w:r w:rsidR="00DB553F">
        <w:t xml:space="preserve">approximately </w:t>
      </w:r>
      <w:r w:rsidR="00F76216">
        <w:t>$7,4</w:t>
      </w:r>
      <w:r>
        <w:t>44,000</w:t>
      </w:r>
      <w:r w:rsidR="00581E66">
        <w:t xml:space="preserve"> per year.</w:t>
      </w:r>
      <w:r w:rsidR="00F97F6E">
        <w:t xml:space="preserve">  </w:t>
      </w:r>
    </w:p>
    <w:p w:rsidR="00BE69A2" w:rsidRPr="009427EB" w:rsidRDefault="00BE69A2">
      <w:pPr>
        <w:pStyle w:val="BodyText"/>
        <w:numPr>
          <w:ilvl w:val="0"/>
          <w:numId w:val="6"/>
        </w:numPr>
        <w:tabs>
          <w:tab w:val="clear" w:pos="1080"/>
          <w:tab w:val="num" w:pos="1440"/>
        </w:tabs>
        <w:spacing w:line="480" w:lineRule="auto"/>
        <w:rPr>
          <w:bCs w:val="0"/>
        </w:rPr>
      </w:pPr>
      <w:r w:rsidRPr="009427EB">
        <w:rPr>
          <w:bCs w:val="0"/>
        </w:rPr>
        <w:t>Estimate of Cost to the Federal Government</w:t>
      </w:r>
    </w:p>
    <w:p w:rsidR="00581E66" w:rsidRPr="0005672A" w:rsidRDefault="00581E66" w:rsidP="00581E66">
      <w:pPr>
        <w:spacing w:line="480" w:lineRule="auto"/>
      </w:pPr>
      <w:r>
        <w:tab/>
      </w:r>
      <w:r w:rsidRPr="0005672A">
        <w:t>The annual cost of reviewing and processing registration statements, post</w:t>
      </w:r>
      <w:r w:rsidRPr="0005672A">
        <w:noBreakHyphen/>
        <w:t>effective amendments</w:t>
      </w:r>
      <w:r>
        <w:t>, proxy statements, shareholder reports</w:t>
      </w:r>
      <w:r w:rsidR="00D15F61">
        <w:t>,</w:t>
      </w:r>
      <w:r>
        <w:t xml:space="preserve"> and other filings</w:t>
      </w:r>
      <w:r w:rsidRPr="0005672A">
        <w:t xml:space="preserve"> of investment companies</w:t>
      </w:r>
      <w:r w:rsidR="004C0875">
        <w:t xml:space="preserve"> amounted to approximately $21.3</w:t>
      </w:r>
      <w:r w:rsidR="00C013BF">
        <w:t xml:space="preserve"> million in </w:t>
      </w:r>
      <w:r w:rsidR="004C0875">
        <w:t>fiscal year 2010</w:t>
      </w:r>
      <w:r w:rsidRPr="0005672A">
        <w:t>, based on the Commission’s computation of the value of staff time devoted to this activity and related overhead.</w:t>
      </w:r>
      <w:r>
        <w:t xml:space="preserve">  </w:t>
      </w:r>
      <w:r w:rsidR="00D15F61">
        <w:t>We note, h</w:t>
      </w:r>
      <w:r>
        <w:t>owever,</w:t>
      </w:r>
      <w:r w:rsidR="00D15F61">
        <w:t xml:space="preserve"> that</w:t>
      </w:r>
      <w:r>
        <w:t xml:space="preserve"> </w:t>
      </w:r>
      <w:r w:rsidR="00D15F61">
        <w:t>shareholder reports are filed with the Commission to comply with</w:t>
      </w:r>
      <w:r w:rsidR="00E81E81">
        <w:t xml:space="preserve"> the requirements of </w:t>
      </w:r>
      <w:r w:rsidR="00D15F61">
        <w:t>Form N-CSR</w:t>
      </w:r>
      <w:r w:rsidR="00252D0C">
        <w:t>, and</w:t>
      </w:r>
      <w:r w:rsidR="00D15F61">
        <w:t xml:space="preserve"> </w:t>
      </w:r>
      <w:r w:rsidR="00E81E81">
        <w:t xml:space="preserve">not </w:t>
      </w:r>
      <w:r w:rsidR="00584F9C">
        <w:t>rule</w:t>
      </w:r>
      <w:r>
        <w:t xml:space="preserve"> 30e-1</w:t>
      </w:r>
      <w:r w:rsidR="00E81E81">
        <w:t>, which</w:t>
      </w:r>
      <w:r>
        <w:t xml:space="preserve"> require</w:t>
      </w:r>
      <w:r w:rsidR="00E81E81">
        <w:t>s the transmission of the reports to</w:t>
      </w:r>
      <w:r>
        <w:t xml:space="preserve"> shareholder</w:t>
      </w:r>
      <w:r w:rsidR="00E81E81">
        <w:t>s.</w:t>
      </w:r>
    </w:p>
    <w:p w:rsidR="00BE69A2" w:rsidRPr="009427EB" w:rsidRDefault="00BE69A2" w:rsidP="00581E66">
      <w:pPr>
        <w:pStyle w:val="BodyText"/>
        <w:keepNext/>
        <w:keepLines/>
        <w:spacing w:line="480" w:lineRule="auto"/>
        <w:ind w:firstLine="720"/>
        <w:rPr>
          <w:bCs w:val="0"/>
        </w:rPr>
      </w:pPr>
      <w:r w:rsidRPr="009427EB">
        <w:rPr>
          <w:bCs w:val="0"/>
        </w:rPr>
        <w:lastRenderedPageBreak/>
        <w:t xml:space="preserve">15. </w:t>
      </w:r>
      <w:r w:rsidRPr="009427EB">
        <w:rPr>
          <w:bCs w:val="0"/>
        </w:rPr>
        <w:tab/>
        <w:t xml:space="preserve">Explanation of Changes in Burden </w:t>
      </w:r>
    </w:p>
    <w:p w:rsidR="00D0318D" w:rsidRDefault="00581E66" w:rsidP="00D0318D">
      <w:pPr>
        <w:pStyle w:val="BodyTextIndent"/>
      </w:pPr>
      <w:r>
        <w:t xml:space="preserve">As noted in sections </w:t>
      </w:r>
      <w:r w:rsidR="00D0318D">
        <w:t>A.</w:t>
      </w:r>
      <w:r>
        <w:t>12</w:t>
      </w:r>
      <w:r w:rsidR="00594725">
        <w:t xml:space="preserve"> and </w:t>
      </w:r>
      <w:r w:rsidR="00D0318D">
        <w:t>A.</w:t>
      </w:r>
      <w:r w:rsidR="00594725">
        <w:t>13</w:t>
      </w:r>
      <w:r>
        <w:t xml:space="preserve"> ab</w:t>
      </w:r>
      <w:r w:rsidR="000837E4">
        <w:t xml:space="preserve">ove, the </w:t>
      </w:r>
      <w:r w:rsidR="002E5944">
        <w:t>new estimate</w:t>
      </w:r>
      <w:r w:rsidR="00594725">
        <w:t>s</w:t>
      </w:r>
      <w:r w:rsidR="002A7A4E">
        <w:t xml:space="preserve"> represent </w:t>
      </w:r>
      <w:r w:rsidR="00C013BF">
        <w:t xml:space="preserve">decreases </w:t>
      </w:r>
      <w:r w:rsidR="000837E4">
        <w:t xml:space="preserve">of </w:t>
      </w:r>
      <w:r w:rsidR="00C013BF">
        <w:t xml:space="preserve">45,680 hours </w:t>
      </w:r>
      <w:r>
        <w:t xml:space="preserve">in internal burden and </w:t>
      </w:r>
      <w:r w:rsidR="00DB553F">
        <w:t xml:space="preserve">approximately </w:t>
      </w:r>
      <w:r w:rsidR="001D2F95">
        <w:t>$</w:t>
      </w:r>
      <w:r w:rsidR="00F76216">
        <w:t>7,4</w:t>
      </w:r>
      <w:r w:rsidR="00D0318D">
        <w:t xml:space="preserve">44,000 </w:t>
      </w:r>
      <w:r>
        <w:t xml:space="preserve">in external costs per year.  </w:t>
      </w:r>
      <w:r w:rsidR="002E5944">
        <w:t xml:space="preserve">These </w:t>
      </w:r>
      <w:r w:rsidR="00D0318D">
        <w:t xml:space="preserve">net </w:t>
      </w:r>
      <w:r w:rsidR="00C013BF">
        <w:t xml:space="preserve">decreases </w:t>
      </w:r>
      <w:r w:rsidR="002E5944">
        <w:t xml:space="preserve">are due to the </w:t>
      </w:r>
      <w:r w:rsidR="00C013BF">
        <w:t xml:space="preserve">decrease </w:t>
      </w:r>
      <w:r w:rsidR="002A7A4E">
        <w:t>in the number of portfolios responding to rule 30e-1</w:t>
      </w:r>
      <w:r w:rsidR="00D0318D">
        <w:t>, and with respect to the external cost burden, an increase in the estimated cost burden per portfolio to account for the effect of inflation since 2009</w:t>
      </w:r>
      <w:r w:rsidR="00C013BF">
        <w:t>.</w:t>
      </w:r>
    </w:p>
    <w:p w:rsidR="00BE69A2" w:rsidRDefault="00D0318D" w:rsidP="00D0318D">
      <w:pPr>
        <w:pStyle w:val="BodyTextIndent"/>
      </w:pPr>
      <w:r>
        <w:t>The Commission believes that the propose</w:t>
      </w:r>
      <w:r w:rsidR="00F76216">
        <w:t>d amendments to Forms N-1A, N-2</w:t>
      </w:r>
      <w:r>
        <w:t xml:space="preserve"> and N-3 would not affect the current burdens under rule 30e-1 because funds would remain obligated to provide a table, chart, or graph of portfolio holdings by reasonably identifiable categories.  The Commission further believes that the proposed clarification for cases when credit ratings of the NRSRO selected by a fund are not available for certain holdings would not impose any additional burdens because funds typically provide this disclosure in their shareholder reports today.</w:t>
      </w:r>
      <w:r w:rsidR="00335122">
        <w:t xml:space="preserve"> </w:t>
      </w:r>
    </w:p>
    <w:p w:rsidR="00BE69A2" w:rsidRPr="009427EB" w:rsidRDefault="00BE69A2" w:rsidP="00AF6030">
      <w:pPr>
        <w:keepNext/>
        <w:tabs>
          <w:tab w:val="left" w:pos="-720"/>
          <w:tab w:val="left" w:pos="0"/>
        </w:tabs>
        <w:suppressAutoHyphens/>
        <w:spacing w:line="480" w:lineRule="auto"/>
        <w:ind w:left="720" w:hanging="720"/>
        <w:rPr>
          <w:b/>
        </w:rPr>
      </w:pPr>
      <w:r w:rsidRPr="009427EB">
        <w:rPr>
          <w:b/>
        </w:rPr>
        <w:tab/>
        <w:t>16.</w:t>
      </w:r>
      <w:r w:rsidRPr="009427EB">
        <w:rPr>
          <w:b/>
        </w:rPr>
        <w:tab/>
        <w:t>Information Collection Planned for Statistical Purposes</w:t>
      </w:r>
    </w:p>
    <w:p w:rsidR="00BE69A2" w:rsidRDefault="00BE69A2" w:rsidP="00AF6030">
      <w:pPr>
        <w:keepNext/>
        <w:tabs>
          <w:tab w:val="left" w:pos="-720"/>
        </w:tabs>
        <w:suppressAutoHyphens/>
        <w:spacing w:line="480" w:lineRule="auto"/>
      </w:pPr>
      <w:r>
        <w:tab/>
      </w:r>
      <w:r w:rsidR="00C013BF">
        <w:t>The results of any information collected will not be published.</w:t>
      </w:r>
    </w:p>
    <w:p w:rsidR="00BE69A2" w:rsidRPr="009427EB" w:rsidRDefault="00BE69A2">
      <w:pPr>
        <w:tabs>
          <w:tab w:val="left" w:pos="-720"/>
        </w:tabs>
        <w:suppressAutoHyphens/>
        <w:spacing w:line="480" w:lineRule="auto"/>
        <w:rPr>
          <w:b/>
        </w:rPr>
      </w:pPr>
      <w:r w:rsidRPr="009427EB">
        <w:rPr>
          <w:b/>
        </w:rPr>
        <w:tab/>
        <w:t xml:space="preserve">17. </w:t>
      </w:r>
      <w:r w:rsidRPr="009427EB">
        <w:rPr>
          <w:b/>
        </w:rPr>
        <w:tab/>
      </w:r>
      <w:r w:rsidR="009427EB">
        <w:rPr>
          <w:b/>
        </w:rPr>
        <w:t>Approval to n</w:t>
      </w:r>
      <w:r w:rsidRPr="009427EB">
        <w:rPr>
          <w:b/>
        </w:rPr>
        <w:t>ot Display Expiration Date</w:t>
      </w:r>
    </w:p>
    <w:p w:rsidR="00BE69A2" w:rsidRDefault="00BE69A2">
      <w:pPr>
        <w:tabs>
          <w:tab w:val="left" w:pos="-720"/>
        </w:tabs>
        <w:suppressAutoHyphens/>
        <w:spacing w:line="480" w:lineRule="auto"/>
      </w:pPr>
      <w:r>
        <w:tab/>
      </w:r>
      <w:r w:rsidR="00C013BF">
        <w:t>The Commission is not seeking approval to not display the expiration date for OMB approval.</w:t>
      </w:r>
    </w:p>
    <w:p w:rsidR="00BE69A2" w:rsidRPr="009427EB" w:rsidRDefault="00BE69A2">
      <w:pPr>
        <w:tabs>
          <w:tab w:val="left" w:pos="-720"/>
        </w:tabs>
        <w:suppressAutoHyphens/>
        <w:spacing w:line="480" w:lineRule="auto"/>
        <w:rPr>
          <w:b/>
        </w:rPr>
      </w:pPr>
      <w:r w:rsidRPr="009427EB">
        <w:rPr>
          <w:b/>
        </w:rPr>
        <w:tab/>
        <w:t xml:space="preserve">18. </w:t>
      </w:r>
      <w:r w:rsidRPr="009427EB">
        <w:rPr>
          <w:b/>
        </w:rPr>
        <w:tab/>
        <w:t>Exceptions to Certification Statement</w:t>
      </w:r>
    </w:p>
    <w:p w:rsidR="00BE69A2" w:rsidRDefault="00BE69A2">
      <w:pPr>
        <w:tabs>
          <w:tab w:val="left" w:pos="-720"/>
        </w:tabs>
        <w:suppressAutoHyphens/>
        <w:spacing w:line="480" w:lineRule="auto"/>
        <w:rPr>
          <w:b/>
        </w:rPr>
      </w:pPr>
      <w:r>
        <w:tab/>
      </w:r>
      <w:r w:rsidR="00C013BF">
        <w:t>The Commission is not seeking an exception to the certification statement.</w:t>
      </w:r>
    </w:p>
    <w:p w:rsidR="00BE69A2" w:rsidRDefault="00BE69A2">
      <w:pPr>
        <w:tabs>
          <w:tab w:val="left" w:pos="-720"/>
        </w:tabs>
        <w:suppressAutoHyphens/>
        <w:spacing w:line="480" w:lineRule="auto"/>
      </w:pPr>
      <w:r>
        <w:rPr>
          <w:b/>
        </w:rPr>
        <w:t>B.</w:t>
      </w:r>
      <w:r>
        <w:rPr>
          <w:b/>
        </w:rPr>
        <w:tab/>
        <w:t>COLLECTION OF INFORMATION EMPLOYING STATISTICAL METHODS</w:t>
      </w:r>
    </w:p>
    <w:p w:rsidR="00BE69A2" w:rsidRDefault="00BE69A2">
      <w:pPr>
        <w:tabs>
          <w:tab w:val="left" w:pos="-720"/>
        </w:tabs>
        <w:suppressAutoHyphens/>
        <w:spacing w:line="480" w:lineRule="auto"/>
      </w:pPr>
      <w:r>
        <w:tab/>
      </w:r>
      <w:r w:rsidR="00C013BF">
        <w:t>The collection of information will not employ statistical methods.</w:t>
      </w:r>
    </w:p>
    <w:p w:rsidR="00BE69A2" w:rsidRDefault="00BE69A2">
      <w:pPr>
        <w:spacing w:line="480" w:lineRule="auto"/>
      </w:pPr>
    </w:p>
    <w:sectPr w:rsidR="00BE69A2" w:rsidSect="00D031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5E7" w:rsidRDefault="009A35E7">
      <w:r>
        <w:separator/>
      </w:r>
    </w:p>
  </w:endnote>
  <w:endnote w:type="continuationSeparator" w:id="0">
    <w:p w:rsidR="009A35E7" w:rsidRDefault="009A35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2F" w:rsidRDefault="00AB4075">
    <w:pPr>
      <w:pStyle w:val="Footer"/>
      <w:framePr w:wrap="around" w:vAnchor="text" w:hAnchor="margin" w:xAlign="center" w:y="1"/>
      <w:rPr>
        <w:rStyle w:val="PageNumber"/>
      </w:rPr>
    </w:pPr>
    <w:r>
      <w:rPr>
        <w:rStyle w:val="PageNumber"/>
      </w:rPr>
      <w:fldChar w:fldCharType="begin"/>
    </w:r>
    <w:r w:rsidR="003B422F">
      <w:rPr>
        <w:rStyle w:val="PageNumber"/>
      </w:rPr>
      <w:instrText xml:space="preserve">PAGE  </w:instrText>
    </w:r>
    <w:r>
      <w:rPr>
        <w:rStyle w:val="PageNumber"/>
      </w:rPr>
      <w:fldChar w:fldCharType="end"/>
    </w:r>
  </w:p>
  <w:p w:rsidR="003B422F" w:rsidRDefault="003B4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2F" w:rsidRDefault="00AB4075">
    <w:pPr>
      <w:pStyle w:val="Footer"/>
      <w:framePr w:wrap="around" w:vAnchor="text" w:hAnchor="margin" w:xAlign="center" w:y="1"/>
      <w:rPr>
        <w:rStyle w:val="PageNumber"/>
      </w:rPr>
    </w:pPr>
    <w:r>
      <w:rPr>
        <w:rStyle w:val="PageNumber"/>
      </w:rPr>
      <w:fldChar w:fldCharType="begin"/>
    </w:r>
    <w:r w:rsidR="003B422F">
      <w:rPr>
        <w:rStyle w:val="PageNumber"/>
      </w:rPr>
      <w:instrText xml:space="preserve">PAGE  </w:instrText>
    </w:r>
    <w:r>
      <w:rPr>
        <w:rStyle w:val="PageNumber"/>
      </w:rPr>
      <w:fldChar w:fldCharType="separate"/>
    </w:r>
    <w:r w:rsidR="001533AC">
      <w:rPr>
        <w:rStyle w:val="PageNumber"/>
        <w:noProof/>
      </w:rPr>
      <w:t>2</w:t>
    </w:r>
    <w:r>
      <w:rPr>
        <w:rStyle w:val="PageNumber"/>
      </w:rPr>
      <w:fldChar w:fldCharType="end"/>
    </w:r>
  </w:p>
  <w:p w:rsidR="003B422F" w:rsidRDefault="003B42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AC" w:rsidRDefault="00153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5E7" w:rsidRDefault="009A35E7">
      <w:r>
        <w:separator/>
      </w:r>
    </w:p>
  </w:footnote>
  <w:footnote w:type="continuationSeparator" w:id="0">
    <w:p w:rsidR="009A35E7" w:rsidRDefault="009A35E7">
      <w:r>
        <w:continuationSeparator/>
      </w:r>
    </w:p>
  </w:footnote>
  <w:footnote w:id="1">
    <w:p w:rsidR="00A31AF9" w:rsidRPr="00D0318D" w:rsidRDefault="00A31AF9">
      <w:pPr>
        <w:pStyle w:val="FootnoteText"/>
        <w:rPr>
          <w:sz w:val="22"/>
          <w:szCs w:val="22"/>
        </w:rPr>
      </w:pPr>
      <w:r>
        <w:rPr>
          <w:rStyle w:val="FootnoteReference"/>
        </w:rPr>
        <w:footnoteRef/>
      </w:r>
      <w:r>
        <w:t xml:space="preserve"> </w:t>
      </w:r>
      <w:r>
        <w:tab/>
      </w:r>
      <w:r w:rsidRPr="00D0318D">
        <w:rPr>
          <w:sz w:val="22"/>
          <w:szCs w:val="22"/>
        </w:rPr>
        <w:t>Pub. L. No. 111-203, 124 Stat. 1376 (2010).</w:t>
      </w:r>
    </w:p>
  </w:footnote>
  <w:footnote w:id="2">
    <w:p w:rsidR="005E23F7" w:rsidRPr="00880E51" w:rsidRDefault="005E23F7" w:rsidP="00D0318D">
      <w:pPr>
        <w:pStyle w:val="FootnoteText"/>
        <w:keepNext/>
        <w:keepLines/>
        <w:ind w:left="720" w:hanging="720"/>
        <w:rPr>
          <w:szCs w:val="22"/>
        </w:rPr>
      </w:pPr>
      <w:r>
        <w:rPr>
          <w:rStyle w:val="FootnoteReference"/>
        </w:rPr>
        <w:footnoteRef/>
      </w:r>
      <w:r>
        <w:t xml:space="preserve"> </w:t>
      </w:r>
      <w:r>
        <w:tab/>
      </w:r>
      <w:r w:rsidRPr="00D0318D">
        <w:rPr>
          <w:sz w:val="22"/>
          <w:szCs w:val="22"/>
        </w:rPr>
        <w:t>Item 27(d)(2) of Form N-1A; Instruction 6(a) to Item 24 of Form N-2; Instruction 6(i) to Item 28 of Form N-3.</w:t>
      </w:r>
    </w:p>
  </w:footnote>
  <w:footnote w:id="3">
    <w:p w:rsidR="00D0318D" w:rsidRPr="00D0318D" w:rsidRDefault="00D0318D" w:rsidP="00D0318D">
      <w:pPr>
        <w:pStyle w:val="FootnoteText"/>
        <w:ind w:left="720" w:hanging="720"/>
        <w:rPr>
          <w:sz w:val="22"/>
          <w:szCs w:val="22"/>
        </w:rPr>
      </w:pPr>
      <w:r>
        <w:rPr>
          <w:rStyle w:val="FootnoteReference"/>
        </w:rPr>
        <w:footnoteRef/>
      </w:r>
      <w:r>
        <w:t xml:space="preserve"> </w:t>
      </w:r>
      <w:r>
        <w:tab/>
      </w:r>
      <w:r w:rsidRPr="00D0318D">
        <w:rPr>
          <w:sz w:val="22"/>
          <w:szCs w:val="22"/>
        </w:rPr>
        <w:t>This assessment is based on a staff review of a sample of fund shareholder reports filed with the Commission.</w:t>
      </w:r>
    </w:p>
  </w:footnote>
  <w:footnote w:id="4">
    <w:p w:rsidR="00D0318D" w:rsidRPr="00D0318D" w:rsidRDefault="00D0318D">
      <w:pPr>
        <w:pStyle w:val="FootnoteText"/>
        <w:rPr>
          <w:sz w:val="22"/>
          <w:szCs w:val="22"/>
        </w:rPr>
      </w:pPr>
      <w:r w:rsidRPr="00D0318D">
        <w:rPr>
          <w:rStyle w:val="FootnoteReference"/>
          <w:sz w:val="22"/>
          <w:szCs w:val="22"/>
        </w:rPr>
        <w:footnoteRef/>
      </w:r>
      <w:r w:rsidRPr="00D0318D">
        <w:rPr>
          <w:sz w:val="22"/>
          <w:szCs w:val="22"/>
        </w:rPr>
        <w:t xml:space="preserve"> </w:t>
      </w:r>
      <w:r w:rsidRPr="00D0318D">
        <w:rPr>
          <w:sz w:val="22"/>
          <w:szCs w:val="22"/>
        </w:rPr>
        <w:tab/>
      </w:r>
      <w:r w:rsidRPr="00D0318D">
        <w:rPr>
          <w:bCs/>
          <w:sz w:val="22"/>
          <w:szCs w:val="22"/>
        </w:rPr>
        <w:t>574,426 hours x $354 per hour = $203,346,804.</w:t>
      </w:r>
    </w:p>
  </w:footnote>
  <w:footnote w:id="5">
    <w:p w:rsidR="00D0318D" w:rsidRPr="00D0318D" w:rsidRDefault="00D0318D">
      <w:pPr>
        <w:pStyle w:val="FootnoteText"/>
        <w:rPr>
          <w:sz w:val="22"/>
          <w:szCs w:val="22"/>
        </w:rPr>
      </w:pPr>
      <w:r w:rsidRPr="00D0318D">
        <w:rPr>
          <w:rStyle w:val="FootnoteReference"/>
          <w:sz w:val="22"/>
          <w:szCs w:val="22"/>
        </w:rPr>
        <w:footnoteRef/>
      </w:r>
      <w:r w:rsidRPr="00D0318D">
        <w:rPr>
          <w:sz w:val="22"/>
          <w:szCs w:val="22"/>
        </w:rPr>
        <w:t xml:space="preserve"> </w:t>
      </w:r>
      <w:r w:rsidRPr="00D0318D">
        <w:rPr>
          <w:sz w:val="22"/>
          <w:szCs w:val="22"/>
        </w:rPr>
        <w:tab/>
      </w:r>
      <w:r w:rsidRPr="00D0318D">
        <w:rPr>
          <w:bCs/>
          <w:sz w:val="22"/>
          <w:szCs w:val="22"/>
        </w:rPr>
        <w:t>574,426 hours x $165 per hour = $94,780,290.</w:t>
      </w:r>
    </w:p>
  </w:footnote>
  <w:footnote w:id="6">
    <w:p w:rsidR="003B422F" w:rsidRPr="00D0318D" w:rsidRDefault="003B422F" w:rsidP="00D03B99">
      <w:pPr>
        <w:pStyle w:val="FootnoteText"/>
        <w:ind w:left="720" w:hanging="720"/>
        <w:rPr>
          <w:sz w:val="22"/>
          <w:szCs w:val="22"/>
        </w:rPr>
      </w:pPr>
      <w:r w:rsidRPr="00D0318D">
        <w:rPr>
          <w:rStyle w:val="FootnoteReference"/>
          <w:sz w:val="22"/>
          <w:szCs w:val="22"/>
        </w:rPr>
        <w:footnoteRef/>
      </w:r>
      <w:r w:rsidRPr="00D0318D">
        <w:rPr>
          <w:sz w:val="22"/>
          <w:szCs w:val="22"/>
        </w:rPr>
        <w:tab/>
        <w:t>The Commission’s estimates concerning the allocation of burden hours and the relevant wage rates are based on consultations with industry representatives and on salary information for the securities industry compiled by the Securities Industry and Financial Markets Association.  The estimated wage figures are also based on published rates for compliance attorneys and internal accountants, modified to account for an 1800-hour work-year and multiplied by 5.35 to account for bonuses, firm size, employee benefits and overhead, yielding e</w:t>
      </w:r>
      <w:r w:rsidR="00C013BF" w:rsidRPr="00D0318D">
        <w:rPr>
          <w:sz w:val="22"/>
          <w:szCs w:val="22"/>
        </w:rPr>
        <w:t>ffective hourly rates of $354 and $165</w:t>
      </w:r>
      <w:r w:rsidRPr="00D0318D">
        <w:rPr>
          <w:sz w:val="22"/>
          <w:szCs w:val="22"/>
        </w:rPr>
        <w:t xml:space="preserve">, respectively.  </w:t>
      </w:r>
      <w:r w:rsidRPr="00D0318D">
        <w:rPr>
          <w:iCs/>
          <w:sz w:val="22"/>
          <w:szCs w:val="22"/>
          <w:u w:val="single"/>
        </w:rPr>
        <w:t>See</w:t>
      </w:r>
      <w:r w:rsidRPr="00D0318D">
        <w:rPr>
          <w:sz w:val="22"/>
          <w:szCs w:val="22"/>
        </w:rPr>
        <w:t xml:space="preserve"> Securities Industry and Financial Markets Association, Report on Management &amp; Professional Earnings</w:t>
      </w:r>
      <w:r w:rsidR="00D612F6" w:rsidRPr="00D0318D">
        <w:rPr>
          <w:sz w:val="22"/>
          <w:szCs w:val="22"/>
        </w:rPr>
        <w:t xml:space="preserve"> in the Securities Industry 2010</w:t>
      </w:r>
      <w:r w:rsidRPr="00D0318D">
        <w:rPr>
          <w:sz w:val="22"/>
          <w:szCs w:val="22"/>
        </w:rPr>
        <w:t xml:space="preserve">. </w:t>
      </w:r>
    </w:p>
  </w:footnote>
  <w:footnote w:id="7">
    <w:p w:rsidR="00D0318D" w:rsidRPr="00D0318D" w:rsidRDefault="00D0318D" w:rsidP="00D0318D">
      <w:pPr>
        <w:pStyle w:val="FootnoteText"/>
        <w:ind w:left="720" w:hanging="720"/>
        <w:rPr>
          <w:sz w:val="22"/>
          <w:szCs w:val="22"/>
        </w:rPr>
      </w:pPr>
      <w:r w:rsidRPr="00D0318D">
        <w:rPr>
          <w:rStyle w:val="FootnoteReference"/>
          <w:sz w:val="22"/>
          <w:szCs w:val="22"/>
        </w:rPr>
        <w:footnoteRef/>
      </w:r>
      <w:r w:rsidRPr="00D0318D">
        <w:rPr>
          <w:sz w:val="22"/>
          <w:szCs w:val="22"/>
        </w:rPr>
        <w:t xml:space="preserve"> </w:t>
      </w:r>
      <w:r w:rsidRPr="00D0318D">
        <w:rPr>
          <w:sz w:val="22"/>
          <w:szCs w:val="22"/>
        </w:rPr>
        <w:tab/>
      </w:r>
      <w:r w:rsidRPr="00D0318D">
        <w:rPr>
          <w:bCs/>
          <w:sz w:val="22"/>
          <w:szCs w:val="22"/>
        </w:rPr>
        <w:t xml:space="preserve">$203,300,000 + $94,800,000 = $298,100,000.  </w:t>
      </w:r>
      <w:r w:rsidRPr="00D0318D">
        <w:rPr>
          <w:sz w:val="22"/>
          <w:szCs w:val="22"/>
        </w:rPr>
        <w:t>The cost to the industry is calculated by multiplying the total annual hour burden by the estimated hourly wage rate.</w:t>
      </w:r>
    </w:p>
  </w:footnote>
  <w:footnote w:id="8">
    <w:p w:rsidR="00D0318D" w:rsidRPr="00D0318D" w:rsidRDefault="00D0318D" w:rsidP="00D0318D">
      <w:pPr>
        <w:pStyle w:val="FootnoteText"/>
        <w:ind w:left="720" w:hanging="720"/>
        <w:rPr>
          <w:sz w:val="22"/>
          <w:szCs w:val="22"/>
        </w:rPr>
      </w:pPr>
      <w:r w:rsidRPr="006E0131">
        <w:rPr>
          <w:rStyle w:val="FootnoteReference"/>
          <w:sz w:val="22"/>
          <w:szCs w:val="22"/>
        </w:rPr>
        <w:footnoteRef/>
      </w:r>
      <w:r w:rsidRPr="006E0131">
        <w:rPr>
          <w:szCs w:val="22"/>
        </w:rPr>
        <w:t xml:space="preserve"> </w:t>
      </w:r>
      <w:r w:rsidRPr="006E0131">
        <w:rPr>
          <w:szCs w:val="22"/>
        </w:rPr>
        <w:tab/>
      </w:r>
      <w:r w:rsidRPr="00D0318D">
        <w:rPr>
          <w:sz w:val="22"/>
          <w:szCs w:val="22"/>
        </w:rPr>
        <w:t xml:space="preserve">This assessment is based on a staff review of a sample of fund shareholder reports filed with the Commission. </w:t>
      </w:r>
    </w:p>
  </w:footnote>
  <w:footnote w:id="9">
    <w:p w:rsidR="003B422F" w:rsidRPr="00D0318D" w:rsidRDefault="003B422F" w:rsidP="00982DCF">
      <w:pPr>
        <w:pStyle w:val="FootnoteText"/>
        <w:ind w:left="720" w:hanging="720"/>
        <w:rPr>
          <w:sz w:val="22"/>
          <w:szCs w:val="22"/>
        </w:rPr>
      </w:pPr>
      <w:r w:rsidRPr="00D0318D">
        <w:rPr>
          <w:rStyle w:val="FootnoteReference"/>
          <w:sz w:val="22"/>
          <w:szCs w:val="22"/>
        </w:rPr>
        <w:footnoteRef/>
      </w:r>
      <w:r w:rsidRPr="00D0318D">
        <w:rPr>
          <w:sz w:val="22"/>
          <w:szCs w:val="22"/>
        </w:rPr>
        <w:t xml:space="preserve"> </w:t>
      </w:r>
      <w:r w:rsidRPr="00D0318D">
        <w:rPr>
          <w:sz w:val="22"/>
          <w:szCs w:val="22"/>
        </w:rPr>
        <w:tab/>
        <w:t>In</w:t>
      </w:r>
      <w:r w:rsidR="00C013BF" w:rsidRPr="00D0318D">
        <w:rPr>
          <w:sz w:val="22"/>
          <w:szCs w:val="22"/>
        </w:rPr>
        <w:t xml:space="preserve"> 2009</w:t>
      </w:r>
      <w:r w:rsidRPr="00D0318D">
        <w:rPr>
          <w:sz w:val="22"/>
          <w:szCs w:val="22"/>
        </w:rPr>
        <w:t>, we estimated the total cost burden</w:t>
      </w:r>
      <w:r w:rsidR="00C013BF" w:rsidRPr="00D0318D">
        <w:rPr>
          <w:sz w:val="22"/>
          <w:szCs w:val="22"/>
        </w:rPr>
        <w:t xml:space="preserve"> for the 2</w:t>
      </w:r>
      <w:r w:rsidRPr="00D0318D">
        <w:rPr>
          <w:sz w:val="22"/>
          <w:szCs w:val="22"/>
        </w:rPr>
        <w:t xml:space="preserve">,800 </w:t>
      </w:r>
      <w:r w:rsidR="00A559DB" w:rsidRPr="00D0318D">
        <w:rPr>
          <w:sz w:val="22"/>
          <w:szCs w:val="22"/>
        </w:rPr>
        <w:t>funds</w:t>
      </w:r>
      <w:r w:rsidRPr="00D0318D">
        <w:rPr>
          <w:sz w:val="22"/>
          <w:szCs w:val="22"/>
        </w:rPr>
        <w:t xml:space="preserve"> with </w:t>
      </w:r>
      <w:r w:rsidR="00C013BF" w:rsidRPr="00D0318D">
        <w:rPr>
          <w:sz w:val="22"/>
          <w:szCs w:val="22"/>
        </w:rPr>
        <w:t>10,460</w:t>
      </w:r>
      <w:r w:rsidRPr="00D0318D">
        <w:rPr>
          <w:sz w:val="22"/>
          <w:szCs w:val="22"/>
        </w:rPr>
        <w:t xml:space="preserve"> portfolios then subject to rule 30e-1 </w:t>
      </w:r>
      <w:r w:rsidR="00C013BF" w:rsidRPr="00D0318D">
        <w:rPr>
          <w:sz w:val="22"/>
          <w:szCs w:val="22"/>
        </w:rPr>
        <w:t>to be approximately $328,444,000</w:t>
      </w:r>
      <w:r w:rsidRPr="00D0318D">
        <w:rPr>
          <w:sz w:val="22"/>
          <w:szCs w:val="22"/>
        </w:rPr>
        <w:t>, or an average of</w:t>
      </w:r>
      <w:r w:rsidR="00CD5C11" w:rsidRPr="00D0318D">
        <w:rPr>
          <w:sz w:val="22"/>
          <w:szCs w:val="22"/>
        </w:rPr>
        <w:t xml:space="preserve"> approximately $</w:t>
      </w:r>
      <w:r w:rsidR="00C013BF" w:rsidRPr="00D0318D">
        <w:rPr>
          <w:sz w:val="22"/>
          <w:szCs w:val="22"/>
        </w:rPr>
        <w:t>31,400</w:t>
      </w:r>
      <w:r w:rsidRPr="00D0318D">
        <w:rPr>
          <w:sz w:val="22"/>
          <w:szCs w:val="22"/>
        </w:rPr>
        <w:t xml:space="preserve"> per portfolio (</w:t>
      </w:r>
      <w:r w:rsidR="00CD5C11" w:rsidRPr="00D0318D">
        <w:rPr>
          <w:sz w:val="22"/>
          <w:szCs w:val="22"/>
        </w:rPr>
        <w:t>$</w:t>
      </w:r>
      <w:r w:rsidR="00C013BF" w:rsidRPr="00D0318D">
        <w:rPr>
          <w:sz w:val="22"/>
          <w:szCs w:val="22"/>
        </w:rPr>
        <w:t>328,444,000 ÷ 10,460</w:t>
      </w:r>
      <w:r w:rsidRPr="00D0318D">
        <w:rPr>
          <w:sz w:val="22"/>
          <w:szCs w:val="22"/>
        </w:rPr>
        <w:t xml:space="preserve"> portfolios).  </w:t>
      </w:r>
    </w:p>
  </w:footnote>
  <w:footnote w:id="10">
    <w:p w:rsidR="00A559DB" w:rsidRPr="00D0318D" w:rsidRDefault="00A559DB" w:rsidP="00A559DB">
      <w:pPr>
        <w:pStyle w:val="FootnoteText"/>
        <w:ind w:left="720" w:hanging="720"/>
        <w:rPr>
          <w:sz w:val="22"/>
          <w:szCs w:val="22"/>
        </w:rPr>
      </w:pPr>
      <w:r w:rsidRPr="00D0318D">
        <w:rPr>
          <w:rStyle w:val="FootnoteReference"/>
          <w:sz w:val="22"/>
          <w:szCs w:val="22"/>
        </w:rPr>
        <w:footnoteRef/>
      </w:r>
      <w:r w:rsidRPr="00D0318D">
        <w:rPr>
          <w:sz w:val="22"/>
          <w:szCs w:val="22"/>
        </w:rPr>
        <w:t xml:space="preserve"> </w:t>
      </w:r>
      <w:r w:rsidRPr="00D0318D">
        <w:rPr>
          <w:sz w:val="22"/>
          <w:szCs w:val="22"/>
        </w:rPr>
        <w:tab/>
        <w:t>Thi</w:t>
      </w:r>
      <w:r w:rsidR="00F97F6E" w:rsidRPr="00D0318D">
        <w:rPr>
          <w:sz w:val="22"/>
          <w:szCs w:val="22"/>
        </w:rPr>
        <w:t>s estimate is based on the $31,4</w:t>
      </w:r>
      <w:r w:rsidRPr="00D0318D">
        <w:rPr>
          <w:sz w:val="22"/>
          <w:szCs w:val="22"/>
        </w:rPr>
        <w:t xml:space="preserve">00 estimate </w:t>
      </w:r>
      <w:r w:rsidR="00D0318D" w:rsidRPr="00D0318D">
        <w:rPr>
          <w:sz w:val="22"/>
          <w:szCs w:val="22"/>
        </w:rPr>
        <w:t>in 2009 (discussed in footnote 9</w:t>
      </w:r>
      <w:r w:rsidRPr="00D0318D">
        <w:rPr>
          <w:sz w:val="22"/>
          <w:szCs w:val="22"/>
        </w:rPr>
        <w:t>) and the Consumer Price Index inflationary adjustment for 2010.</w:t>
      </w:r>
    </w:p>
  </w:footnote>
  <w:footnote w:id="11">
    <w:p w:rsidR="00D0318D" w:rsidRDefault="00D0318D">
      <w:pPr>
        <w:pStyle w:val="FootnoteText"/>
      </w:pPr>
      <w:r>
        <w:rPr>
          <w:rStyle w:val="FootnoteReference"/>
        </w:rPr>
        <w:footnoteRef/>
      </w:r>
      <w:r>
        <w:t xml:space="preserve"> </w:t>
      </w:r>
      <w:r>
        <w:tab/>
      </w:r>
      <w:r w:rsidR="00F76216">
        <w:rPr>
          <w:sz w:val="22"/>
          <w:szCs w:val="22"/>
        </w:rPr>
        <w:t>$31,900</w:t>
      </w:r>
      <w:r w:rsidRPr="00D0318D">
        <w:rPr>
          <w:sz w:val="22"/>
          <w:szCs w:val="22"/>
        </w:rPr>
        <w:t xml:space="preserve"> per portfoli</w:t>
      </w:r>
      <w:r w:rsidR="00DB553F">
        <w:rPr>
          <w:sz w:val="22"/>
          <w:szCs w:val="22"/>
        </w:rPr>
        <w:t>o x 10,060 portfolios = $320,914</w:t>
      </w:r>
      <w:r w:rsidR="00F76216">
        <w:rPr>
          <w:sz w:val="22"/>
          <w:szCs w:val="22"/>
        </w:rPr>
        <w:t>,0</w:t>
      </w:r>
      <w:r w:rsidRPr="00D0318D">
        <w:rPr>
          <w:sz w:val="22"/>
          <w:szCs w:val="22"/>
        </w:rPr>
        <w:t>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AC" w:rsidRDefault="001533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2F" w:rsidRDefault="003B422F">
    <w:pPr>
      <w:pStyle w:val="Header"/>
      <w:rPr>
        <w:b/>
        <w:bCs/>
      </w:rPr>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2F" w:rsidRDefault="0079716E" w:rsidP="00C013BF">
    <w:pPr>
      <w:pStyle w:val="Header"/>
      <w:jc w:val="right"/>
      <w:rPr>
        <w:b/>
        <w:bCs/>
      </w:rPr>
    </w:pPr>
    <w:r>
      <w:tab/>
    </w:r>
    <w:r>
      <w:tab/>
    </w:r>
    <w:r w:rsidR="003B422F">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320F4A"/>
    <w:lvl w:ilvl="0">
      <w:numFmt w:val="decimal"/>
      <w:lvlText w:val="*"/>
      <w:lvlJc w:val="left"/>
    </w:lvl>
  </w:abstractNum>
  <w:abstractNum w:abstractNumId="1">
    <w:nsid w:val="0B574AC3"/>
    <w:multiLevelType w:val="hybridMultilevel"/>
    <w:tmpl w:val="E39EA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3D5464"/>
    <w:multiLevelType w:val="hybridMultilevel"/>
    <w:tmpl w:val="772C6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5AA27D6"/>
    <w:multiLevelType w:val="hybridMultilevel"/>
    <w:tmpl w:val="11F89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335E4A"/>
    <w:multiLevelType w:val="hybridMultilevel"/>
    <w:tmpl w:val="3F2E2D34"/>
    <w:lvl w:ilvl="0" w:tplc="FD962F7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ECB2EE0"/>
    <w:multiLevelType w:val="hybridMultilevel"/>
    <w:tmpl w:val="E5629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A119BD"/>
    <w:multiLevelType w:val="hybridMultilevel"/>
    <w:tmpl w:val="1E920DFC"/>
    <w:lvl w:ilvl="0" w:tplc="BF269F2E">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7251BF0"/>
    <w:multiLevelType w:val="hybridMultilevel"/>
    <w:tmpl w:val="EC948F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B1A5B64"/>
    <w:multiLevelType w:val="hybridMultilevel"/>
    <w:tmpl w:val="021AF876"/>
    <w:lvl w:ilvl="0" w:tplc="77D230D6">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E184041"/>
    <w:multiLevelType w:val="hybridMultilevel"/>
    <w:tmpl w:val="679083A2"/>
    <w:lvl w:ilvl="0" w:tplc="49AA6D96">
      <w:start w:val="12"/>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4"/>
  </w:num>
  <w:num w:numId="3">
    <w:abstractNumId w:val="5"/>
  </w:num>
  <w:num w:numId="4">
    <w:abstractNumId w:val="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6"/>
  </w:num>
  <w:num w:numId="7">
    <w:abstractNumId w:val="9"/>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51FB"/>
    <w:rsid w:val="00011E0A"/>
    <w:rsid w:val="0002461E"/>
    <w:rsid w:val="00034DC9"/>
    <w:rsid w:val="000659DF"/>
    <w:rsid w:val="000837E4"/>
    <w:rsid w:val="000D445D"/>
    <w:rsid w:val="00137EDE"/>
    <w:rsid w:val="001533AC"/>
    <w:rsid w:val="00172C47"/>
    <w:rsid w:val="001C3DA7"/>
    <w:rsid w:val="001D2F95"/>
    <w:rsid w:val="001D6CBE"/>
    <w:rsid w:val="001E2933"/>
    <w:rsid w:val="001E73C7"/>
    <w:rsid w:val="00203968"/>
    <w:rsid w:val="00220C15"/>
    <w:rsid w:val="00237348"/>
    <w:rsid w:val="00252D0C"/>
    <w:rsid w:val="002A77AA"/>
    <w:rsid w:val="002A7A4E"/>
    <w:rsid w:val="002E51FB"/>
    <w:rsid w:val="002E5944"/>
    <w:rsid w:val="002E7F76"/>
    <w:rsid w:val="00307ABF"/>
    <w:rsid w:val="0032567F"/>
    <w:rsid w:val="00335122"/>
    <w:rsid w:val="0034557C"/>
    <w:rsid w:val="00377084"/>
    <w:rsid w:val="003B422F"/>
    <w:rsid w:val="003D20C8"/>
    <w:rsid w:val="003F22AE"/>
    <w:rsid w:val="003F3859"/>
    <w:rsid w:val="00444DA6"/>
    <w:rsid w:val="00456C76"/>
    <w:rsid w:val="00460559"/>
    <w:rsid w:val="00484E7A"/>
    <w:rsid w:val="004C0875"/>
    <w:rsid w:val="004F26E9"/>
    <w:rsid w:val="005603F6"/>
    <w:rsid w:val="00570480"/>
    <w:rsid w:val="00581E66"/>
    <w:rsid w:val="00584F9C"/>
    <w:rsid w:val="0058787E"/>
    <w:rsid w:val="00594725"/>
    <w:rsid w:val="005A3C19"/>
    <w:rsid w:val="005A7D73"/>
    <w:rsid w:val="005B45BA"/>
    <w:rsid w:val="005B4BBE"/>
    <w:rsid w:val="005C6F7E"/>
    <w:rsid w:val="005E23F7"/>
    <w:rsid w:val="005F526B"/>
    <w:rsid w:val="00686D47"/>
    <w:rsid w:val="006F1917"/>
    <w:rsid w:val="00700D6C"/>
    <w:rsid w:val="00754BC3"/>
    <w:rsid w:val="00756279"/>
    <w:rsid w:val="007576DE"/>
    <w:rsid w:val="007677E1"/>
    <w:rsid w:val="00791452"/>
    <w:rsid w:val="007921C5"/>
    <w:rsid w:val="0079716E"/>
    <w:rsid w:val="00812CD1"/>
    <w:rsid w:val="008359A0"/>
    <w:rsid w:val="00835CD7"/>
    <w:rsid w:val="008375AB"/>
    <w:rsid w:val="00853222"/>
    <w:rsid w:val="008D0EC3"/>
    <w:rsid w:val="008E0C18"/>
    <w:rsid w:val="009008D1"/>
    <w:rsid w:val="009427EB"/>
    <w:rsid w:val="00945E29"/>
    <w:rsid w:val="00947380"/>
    <w:rsid w:val="00982DCF"/>
    <w:rsid w:val="009A26BF"/>
    <w:rsid w:val="009A35E7"/>
    <w:rsid w:val="009B5519"/>
    <w:rsid w:val="009C0A4A"/>
    <w:rsid w:val="009C32DC"/>
    <w:rsid w:val="009D3A8C"/>
    <w:rsid w:val="009D58D3"/>
    <w:rsid w:val="009F6FED"/>
    <w:rsid w:val="009F7649"/>
    <w:rsid w:val="00A00C07"/>
    <w:rsid w:val="00A26243"/>
    <w:rsid w:val="00A31AF9"/>
    <w:rsid w:val="00A37C50"/>
    <w:rsid w:val="00A559DB"/>
    <w:rsid w:val="00A62E30"/>
    <w:rsid w:val="00A97F46"/>
    <w:rsid w:val="00AA763C"/>
    <w:rsid w:val="00AB4075"/>
    <w:rsid w:val="00AF587F"/>
    <w:rsid w:val="00AF6030"/>
    <w:rsid w:val="00B51DAE"/>
    <w:rsid w:val="00B60D0D"/>
    <w:rsid w:val="00B735B9"/>
    <w:rsid w:val="00BB5092"/>
    <w:rsid w:val="00BD5A5D"/>
    <w:rsid w:val="00BE69A2"/>
    <w:rsid w:val="00C013BF"/>
    <w:rsid w:val="00C25D6F"/>
    <w:rsid w:val="00C3186F"/>
    <w:rsid w:val="00C43F12"/>
    <w:rsid w:val="00CB62E1"/>
    <w:rsid w:val="00CD5C11"/>
    <w:rsid w:val="00CE6CD1"/>
    <w:rsid w:val="00CF7FF5"/>
    <w:rsid w:val="00D0318D"/>
    <w:rsid w:val="00D03B99"/>
    <w:rsid w:val="00D15F61"/>
    <w:rsid w:val="00D612F6"/>
    <w:rsid w:val="00DA20D5"/>
    <w:rsid w:val="00DB553F"/>
    <w:rsid w:val="00DE773D"/>
    <w:rsid w:val="00DF44E6"/>
    <w:rsid w:val="00E065C9"/>
    <w:rsid w:val="00E075C5"/>
    <w:rsid w:val="00E24D07"/>
    <w:rsid w:val="00E55F24"/>
    <w:rsid w:val="00E81E81"/>
    <w:rsid w:val="00EA5EC7"/>
    <w:rsid w:val="00EA7F60"/>
    <w:rsid w:val="00F04F9C"/>
    <w:rsid w:val="00F25E04"/>
    <w:rsid w:val="00F44E07"/>
    <w:rsid w:val="00F76216"/>
    <w:rsid w:val="00F929F0"/>
    <w:rsid w:val="00F97F6E"/>
    <w:rsid w:val="00FA18E3"/>
    <w:rsid w:val="00FC36A0"/>
    <w:rsid w:val="00FE1FCB"/>
    <w:rsid w:val="00FE5E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6BF"/>
    <w:rPr>
      <w:sz w:val="24"/>
    </w:rPr>
  </w:style>
  <w:style w:type="paragraph" w:styleId="Heading1">
    <w:name w:val="heading 1"/>
    <w:basedOn w:val="Normal"/>
    <w:next w:val="Normal"/>
    <w:qFormat/>
    <w:rsid w:val="009A26BF"/>
    <w:pPr>
      <w:keepNext/>
      <w:tabs>
        <w:tab w:val="left" w:pos="-720"/>
      </w:tabs>
      <w:suppressAutoHyphens/>
      <w:spacing w:line="480" w:lineRule="auto"/>
      <w:outlineLvl w:val="0"/>
    </w:pPr>
    <w:rPr>
      <w:i/>
      <w:iCs/>
    </w:rPr>
  </w:style>
  <w:style w:type="paragraph" w:styleId="Heading2">
    <w:name w:val="heading 2"/>
    <w:basedOn w:val="Normal"/>
    <w:qFormat/>
    <w:rsid w:val="009A26BF"/>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rsid w:val="009A26BF"/>
    <w:pPr>
      <w:keepNext/>
      <w:overflowPunct w:val="0"/>
      <w:autoSpaceDE w:val="0"/>
      <w:autoSpaceDN w:val="0"/>
      <w:adjustRightInd w:val="0"/>
      <w:spacing w:line="480" w:lineRule="auto"/>
      <w:jc w:val="center"/>
      <w:textAlignment w:val="baseline"/>
      <w:outlineLvl w:val="2"/>
    </w:pPr>
    <w:rPr>
      <w:u w:val="single"/>
    </w:rPr>
  </w:style>
  <w:style w:type="paragraph" w:styleId="Heading4">
    <w:name w:val="heading 4"/>
    <w:basedOn w:val="Normal"/>
    <w:next w:val="Normal"/>
    <w:qFormat/>
    <w:rsid w:val="009A26BF"/>
    <w:pPr>
      <w:keepNext/>
      <w:spacing w:line="480" w:lineRule="auto"/>
      <w:ind w:firstLine="720"/>
      <w:outlineLvl w:val="3"/>
    </w:pPr>
    <w:rPr>
      <w:u w:val="single"/>
    </w:rPr>
  </w:style>
  <w:style w:type="paragraph" w:styleId="Heading5">
    <w:name w:val="heading 5"/>
    <w:basedOn w:val="Normal"/>
    <w:next w:val="Normal"/>
    <w:qFormat/>
    <w:rsid w:val="009A26BF"/>
    <w:pPr>
      <w:keepNext/>
      <w:spacing w:line="480" w:lineRule="auto"/>
      <w:outlineLvl w:val="4"/>
    </w:pPr>
    <w:rPr>
      <w:i/>
      <w:iCs/>
      <w:szCs w:val="24"/>
    </w:rPr>
  </w:style>
  <w:style w:type="paragraph" w:styleId="Heading6">
    <w:name w:val="heading 6"/>
    <w:basedOn w:val="Normal"/>
    <w:next w:val="Normal"/>
    <w:qFormat/>
    <w:rsid w:val="009A26BF"/>
    <w:pPr>
      <w:keepNext/>
      <w:tabs>
        <w:tab w:val="left" w:pos="-720"/>
      </w:tabs>
      <w:suppressAutoHyphens/>
      <w:spacing w:line="480" w:lineRule="auto"/>
      <w:outlineLvl w:val="5"/>
    </w:pPr>
    <w:rPr>
      <w:b/>
    </w:rPr>
  </w:style>
  <w:style w:type="paragraph" w:styleId="Heading7">
    <w:name w:val="heading 7"/>
    <w:basedOn w:val="Normal"/>
    <w:next w:val="Normal"/>
    <w:qFormat/>
    <w:rsid w:val="009A26BF"/>
    <w:pPr>
      <w:keepNext/>
      <w:keepLines/>
      <w:spacing w:line="480" w:lineRule="auto"/>
      <w:outlineLvl w:val="6"/>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
    <w:basedOn w:val="Normal"/>
    <w:link w:val="FootnoteTextChar"/>
    <w:uiPriority w:val="99"/>
    <w:qFormat/>
    <w:rsid w:val="009A26BF"/>
    <w:pPr>
      <w:overflowPunct w:val="0"/>
      <w:autoSpaceDE w:val="0"/>
      <w:autoSpaceDN w:val="0"/>
      <w:adjustRightInd w:val="0"/>
      <w:spacing w:before="100" w:beforeAutospacing="1" w:after="100" w:afterAutospacing="1"/>
      <w:textAlignment w:val="baseline"/>
    </w:pPr>
  </w:style>
  <w:style w:type="character" w:styleId="FootnoteReference">
    <w:name w:val="footnote reference"/>
    <w:aliases w:val="fr"/>
    <w:basedOn w:val="DefaultParagraphFont"/>
    <w:uiPriority w:val="99"/>
    <w:rsid w:val="009A26BF"/>
    <w:rPr>
      <w:vertAlign w:val="superscript"/>
    </w:rPr>
  </w:style>
  <w:style w:type="paragraph" w:styleId="Title">
    <w:name w:val="Title"/>
    <w:basedOn w:val="Normal"/>
    <w:qFormat/>
    <w:rsid w:val="009A26BF"/>
    <w:pPr>
      <w:tabs>
        <w:tab w:val="center" w:pos="4680"/>
      </w:tabs>
      <w:suppressAutoHyphens/>
      <w:spacing w:line="480" w:lineRule="auto"/>
      <w:jc w:val="center"/>
    </w:pPr>
    <w:rPr>
      <w:b/>
    </w:rPr>
  </w:style>
  <w:style w:type="paragraph" w:styleId="BodyTextIndent">
    <w:name w:val="Body Text Indent"/>
    <w:basedOn w:val="Normal"/>
    <w:rsid w:val="009A26BF"/>
    <w:pPr>
      <w:spacing w:line="480" w:lineRule="auto"/>
      <w:ind w:firstLine="720"/>
    </w:pPr>
  </w:style>
  <w:style w:type="paragraph" w:styleId="Footer">
    <w:name w:val="footer"/>
    <w:basedOn w:val="Normal"/>
    <w:rsid w:val="009A26BF"/>
    <w:pPr>
      <w:tabs>
        <w:tab w:val="center" w:pos="4320"/>
        <w:tab w:val="right" w:pos="8640"/>
      </w:tabs>
    </w:pPr>
  </w:style>
  <w:style w:type="character" w:styleId="PageNumber">
    <w:name w:val="page number"/>
    <w:basedOn w:val="DefaultParagraphFont"/>
    <w:rsid w:val="009A26BF"/>
  </w:style>
  <w:style w:type="paragraph" w:styleId="BodyTextIndent3">
    <w:name w:val="Body Text Indent 3"/>
    <w:basedOn w:val="Normal"/>
    <w:rsid w:val="009A26BF"/>
    <w:pPr>
      <w:spacing w:line="480" w:lineRule="auto"/>
      <w:ind w:firstLine="720"/>
    </w:pPr>
    <w:rPr>
      <w:szCs w:val="24"/>
    </w:rPr>
  </w:style>
  <w:style w:type="paragraph" w:styleId="BodyText">
    <w:name w:val="Body Text"/>
    <w:basedOn w:val="Normal"/>
    <w:rsid w:val="009A26BF"/>
    <w:rPr>
      <w:b/>
      <w:bCs/>
      <w:szCs w:val="24"/>
    </w:rPr>
  </w:style>
  <w:style w:type="paragraph" w:styleId="BodyTextIndent2">
    <w:name w:val="Body Text Indent 2"/>
    <w:basedOn w:val="Normal"/>
    <w:rsid w:val="009A26BF"/>
    <w:pPr>
      <w:spacing w:line="480" w:lineRule="auto"/>
      <w:ind w:firstLine="720"/>
    </w:pPr>
    <w:rPr>
      <w:szCs w:val="24"/>
    </w:rPr>
  </w:style>
  <w:style w:type="character" w:styleId="Hyperlink">
    <w:name w:val="Hyperlink"/>
    <w:basedOn w:val="DefaultParagraphFont"/>
    <w:rsid w:val="009A26BF"/>
    <w:rPr>
      <w:color w:val="0000FF"/>
      <w:u w:val="single"/>
    </w:rPr>
  </w:style>
  <w:style w:type="paragraph" w:styleId="Header">
    <w:name w:val="header"/>
    <w:basedOn w:val="Normal"/>
    <w:rsid w:val="009A26BF"/>
    <w:pPr>
      <w:tabs>
        <w:tab w:val="center" w:pos="4320"/>
        <w:tab w:val="right" w:pos="8640"/>
      </w:tabs>
    </w:pPr>
  </w:style>
  <w:style w:type="paragraph" w:styleId="BalloonText">
    <w:name w:val="Balloon Text"/>
    <w:basedOn w:val="Normal"/>
    <w:semiHidden/>
    <w:rsid w:val="00AA763C"/>
    <w:rPr>
      <w:rFonts w:ascii="Tahoma" w:hAnsi="Tahoma" w:cs="Tahoma"/>
      <w:sz w:val="16"/>
      <w:szCs w:val="16"/>
    </w:rPr>
  </w:style>
  <w:style w:type="character" w:customStyle="1" w:styleId="FootnoteTextChar">
    <w:name w:val="Footnote Text Char"/>
    <w:aliases w:val="fn Char,ft Char"/>
    <w:basedOn w:val="DefaultParagraphFont"/>
    <w:link w:val="FootnoteText"/>
    <w:rsid w:val="005E23F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C81B-0247-418C-99CD-E785D882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c:creator>
  <cp:keywords/>
  <dc:description/>
  <cp:lastModifiedBy>kimJH</cp:lastModifiedBy>
  <cp:revision>2</cp:revision>
  <cp:lastPrinted>2009-09-22T18:54:00Z</cp:lastPrinted>
  <dcterms:created xsi:type="dcterms:W3CDTF">2011-02-28T16:35:00Z</dcterms:created>
  <dcterms:modified xsi:type="dcterms:W3CDTF">2011-02-28T16:35:00Z</dcterms:modified>
</cp:coreProperties>
</file>