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568" w:rsidRDefault="009C32D9">
      <w:pPr>
        <w:rPr>
          <w:b/>
          <w:sz w:val="24"/>
          <w:szCs w:val="24"/>
        </w:rPr>
      </w:pPr>
      <w:r>
        <w:rPr>
          <w:b/>
          <w:sz w:val="24"/>
          <w:szCs w:val="24"/>
        </w:rPr>
        <w:t xml:space="preserve">   </w:t>
      </w:r>
    </w:p>
    <w:p w:rsidR="00EE0568" w:rsidRPr="00EE0568" w:rsidRDefault="00EE0568" w:rsidP="00EE0568">
      <w:pPr>
        <w:jc w:val="center"/>
        <w:rPr>
          <w:b/>
          <w:sz w:val="28"/>
          <w:szCs w:val="28"/>
        </w:rPr>
      </w:pPr>
      <w:r w:rsidRPr="00EE0568">
        <w:rPr>
          <w:b/>
          <w:sz w:val="28"/>
          <w:szCs w:val="28"/>
        </w:rPr>
        <w:t>Evaluation of the Summer Food Service Program Enhancement Demonstrations</w:t>
      </w:r>
    </w:p>
    <w:p w:rsidR="00EE0568" w:rsidRDefault="00EE0568" w:rsidP="00EE0568">
      <w:pPr>
        <w:jc w:val="center"/>
        <w:rPr>
          <w:b/>
          <w:sz w:val="24"/>
          <w:szCs w:val="24"/>
        </w:rPr>
      </w:pPr>
      <w:r>
        <w:rPr>
          <w:b/>
          <w:sz w:val="24"/>
          <w:szCs w:val="24"/>
        </w:rPr>
        <w:t xml:space="preserve">Supporting Statement </w:t>
      </w:r>
      <w:r w:rsidR="00C5782B">
        <w:rPr>
          <w:b/>
          <w:sz w:val="24"/>
          <w:szCs w:val="24"/>
        </w:rPr>
        <w:t>and Tables</w:t>
      </w:r>
    </w:p>
    <w:p w:rsidR="00EE0568" w:rsidRDefault="00EE0568" w:rsidP="00EE0568">
      <w:pPr>
        <w:jc w:val="center"/>
        <w:rPr>
          <w:b/>
          <w:sz w:val="24"/>
          <w:szCs w:val="24"/>
        </w:rPr>
      </w:pPr>
      <w:r>
        <w:rPr>
          <w:b/>
          <w:sz w:val="24"/>
          <w:szCs w:val="24"/>
        </w:rPr>
        <w:t xml:space="preserve">OMB Submission </w:t>
      </w:r>
      <w:r w:rsidR="00A26163">
        <w:rPr>
          <w:b/>
          <w:sz w:val="24"/>
          <w:szCs w:val="24"/>
        </w:rPr>
        <w:t>Part A</w:t>
      </w:r>
      <w:r>
        <w:rPr>
          <w:b/>
          <w:sz w:val="24"/>
          <w:szCs w:val="24"/>
        </w:rPr>
        <w:t>–</w:t>
      </w:r>
      <w:r w:rsidR="00102C2A">
        <w:rPr>
          <w:b/>
          <w:sz w:val="24"/>
          <w:szCs w:val="24"/>
        </w:rPr>
        <w:t>May 4,</w:t>
      </w:r>
      <w:r>
        <w:rPr>
          <w:b/>
          <w:sz w:val="24"/>
          <w:szCs w:val="24"/>
        </w:rPr>
        <w:t xml:space="preserve"> 2011</w:t>
      </w:r>
      <w:r w:rsidR="008B1F4D">
        <w:rPr>
          <w:b/>
          <w:sz w:val="24"/>
          <w:szCs w:val="24"/>
        </w:rPr>
        <w:t xml:space="preserve"> </w:t>
      </w:r>
    </w:p>
    <w:p w:rsidR="00AC4E81" w:rsidRDefault="00AC4E81" w:rsidP="00EE0568">
      <w:pPr>
        <w:jc w:val="center"/>
        <w:rPr>
          <w:b/>
          <w:sz w:val="24"/>
          <w:szCs w:val="24"/>
        </w:rPr>
      </w:pPr>
    </w:p>
    <w:p w:rsidR="00AC4E81" w:rsidRDefault="002028A0" w:rsidP="00EE0568">
      <w:pPr>
        <w:jc w:val="center"/>
        <w:rPr>
          <w:b/>
          <w:sz w:val="24"/>
          <w:szCs w:val="24"/>
        </w:rPr>
      </w:pPr>
      <w:r>
        <w:rPr>
          <w:b/>
          <w:sz w:val="24"/>
          <w:szCs w:val="24"/>
        </w:rPr>
        <w:t>OMB Control # 0584-NEW</w:t>
      </w:r>
    </w:p>
    <w:p w:rsidR="00EE0568" w:rsidRDefault="00EE0568" w:rsidP="00EE0568">
      <w:pPr>
        <w:jc w:val="center"/>
        <w:rPr>
          <w:b/>
          <w:sz w:val="24"/>
          <w:szCs w:val="24"/>
        </w:rPr>
      </w:pPr>
    </w:p>
    <w:p w:rsidR="00EE0568" w:rsidRDefault="00EE0568" w:rsidP="00EE0568">
      <w:pPr>
        <w:rPr>
          <w:b/>
          <w:sz w:val="24"/>
          <w:szCs w:val="24"/>
        </w:rPr>
      </w:pPr>
    </w:p>
    <w:p w:rsidR="00E83515" w:rsidRDefault="00E83515" w:rsidP="00EE0568">
      <w:pPr>
        <w:rPr>
          <w:b/>
          <w:sz w:val="24"/>
          <w:szCs w:val="24"/>
        </w:rPr>
      </w:pPr>
    </w:p>
    <w:p w:rsidR="00E83515" w:rsidRDefault="00E83515" w:rsidP="00EE0568">
      <w:pPr>
        <w:rPr>
          <w:b/>
          <w:sz w:val="24"/>
          <w:szCs w:val="24"/>
        </w:rPr>
      </w:pPr>
    </w:p>
    <w:p w:rsidR="00E83515" w:rsidRDefault="00E83515" w:rsidP="00EE0568">
      <w:pPr>
        <w:rPr>
          <w:b/>
          <w:sz w:val="24"/>
          <w:szCs w:val="24"/>
        </w:rPr>
      </w:pPr>
    </w:p>
    <w:p w:rsidR="00E83515" w:rsidRDefault="00E83515" w:rsidP="00EE0568">
      <w:pPr>
        <w:rPr>
          <w:b/>
          <w:sz w:val="24"/>
          <w:szCs w:val="24"/>
        </w:rPr>
      </w:pPr>
    </w:p>
    <w:p w:rsidR="00E83515" w:rsidRDefault="00E83515" w:rsidP="00EE0568">
      <w:pPr>
        <w:rPr>
          <w:b/>
          <w:sz w:val="24"/>
          <w:szCs w:val="24"/>
        </w:rPr>
      </w:pPr>
    </w:p>
    <w:p w:rsidR="00E83515" w:rsidRDefault="00E83515" w:rsidP="00EE0568">
      <w:pPr>
        <w:rPr>
          <w:b/>
          <w:sz w:val="24"/>
          <w:szCs w:val="24"/>
        </w:rPr>
      </w:pPr>
    </w:p>
    <w:p w:rsidR="00030E9D" w:rsidRDefault="00030E9D" w:rsidP="00EE0568">
      <w:pPr>
        <w:rPr>
          <w:b/>
          <w:sz w:val="24"/>
          <w:szCs w:val="24"/>
        </w:rPr>
      </w:pPr>
    </w:p>
    <w:p w:rsidR="00030E9D" w:rsidRDefault="00030E9D" w:rsidP="00EE0568">
      <w:pPr>
        <w:rPr>
          <w:b/>
          <w:sz w:val="24"/>
          <w:szCs w:val="24"/>
        </w:rPr>
      </w:pPr>
    </w:p>
    <w:p w:rsidR="00C85DBC" w:rsidRDefault="00C85DBC" w:rsidP="00EE0568">
      <w:pPr>
        <w:rPr>
          <w:b/>
          <w:sz w:val="24"/>
          <w:szCs w:val="24"/>
        </w:rPr>
      </w:pPr>
    </w:p>
    <w:p w:rsidR="00030E9D" w:rsidRDefault="00030E9D" w:rsidP="00EE0568">
      <w:pPr>
        <w:rPr>
          <w:b/>
          <w:sz w:val="24"/>
          <w:szCs w:val="24"/>
        </w:rPr>
      </w:pPr>
    </w:p>
    <w:p w:rsidR="00EE0568" w:rsidRDefault="00EE0568" w:rsidP="00EE0568">
      <w:pPr>
        <w:rPr>
          <w:b/>
          <w:sz w:val="24"/>
          <w:szCs w:val="24"/>
        </w:rPr>
      </w:pPr>
      <w:r>
        <w:rPr>
          <w:b/>
          <w:sz w:val="24"/>
          <w:szCs w:val="24"/>
        </w:rPr>
        <w:t>Contact Information:</w:t>
      </w:r>
    </w:p>
    <w:p w:rsidR="00EE0568" w:rsidRPr="00EE0568" w:rsidRDefault="009C32D9" w:rsidP="00A51541">
      <w:pPr>
        <w:spacing w:after="0" w:line="240" w:lineRule="auto"/>
        <w:rPr>
          <w:sz w:val="24"/>
          <w:szCs w:val="24"/>
        </w:rPr>
      </w:pPr>
      <w:r>
        <w:rPr>
          <w:sz w:val="24"/>
          <w:szCs w:val="24"/>
        </w:rPr>
        <w:t>Chan Chanhatasilpa, Ph.D.</w:t>
      </w:r>
    </w:p>
    <w:p w:rsidR="00EE0568" w:rsidRPr="00EE0568" w:rsidRDefault="00EE0568" w:rsidP="00A51541">
      <w:pPr>
        <w:spacing w:after="0" w:line="240" w:lineRule="auto"/>
        <w:rPr>
          <w:sz w:val="24"/>
          <w:szCs w:val="24"/>
        </w:rPr>
      </w:pPr>
      <w:r w:rsidRPr="00EE0568">
        <w:rPr>
          <w:sz w:val="24"/>
          <w:szCs w:val="24"/>
        </w:rPr>
        <w:t>FNS Project Manager</w:t>
      </w:r>
    </w:p>
    <w:p w:rsidR="00EE0568" w:rsidRPr="00EE0568" w:rsidRDefault="00EE0568" w:rsidP="00A51541">
      <w:pPr>
        <w:spacing w:after="0" w:line="240" w:lineRule="auto"/>
        <w:rPr>
          <w:sz w:val="24"/>
          <w:szCs w:val="24"/>
        </w:rPr>
      </w:pPr>
      <w:r w:rsidRPr="00EE0568">
        <w:rPr>
          <w:sz w:val="24"/>
          <w:szCs w:val="24"/>
        </w:rPr>
        <w:t>USDA, Food and Nutrition Service</w:t>
      </w:r>
    </w:p>
    <w:p w:rsidR="00EE0568" w:rsidRPr="00EE0568" w:rsidRDefault="00EE0568" w:rsidP="00A51541">
      <w:pPr>
        <w:spacing w:after="0" w:line="240" w:lineRule="auto"/>
        <w:rPr>
          <w:sz w:val="24"/>
          <w:szCs w:val="24"/>
        </w:rPr>
      </w:pPr>
      <w:r w:rsidRPr="00EE0568">
        <w:rPr>
          <w:sz w:val="24"/>
          <w:szCs w:val="24"/>
        </w:rPr>
        <w:t>3101 Park Center Drive</w:t>
      </w:r>
      <w:r w:rsidR="009C32D9">
        <w:rPr>
          <w:sz w:val="24"/>
          <w:szCs w:val="24"/>
        </w:rPr>
        <w:t>, 10</w:t>
      </w:r>
      <w:r w:rsidR="009C32D9" w:rsidRPr="009C32D9">
        <w:rPr>
          <w:sz w:val="24"/>
          <w:szCs w:val="24"/>
          <w:vertAlign w:val="superscript"/>
        </w:rPr>
        <w:t>th</w:t>
      </w:r>
      <w:r w:rsidR="009C32D9">
        <w:rPr>
          <w:sz w:val="24"/>
          <w:szCs w:val="24"/>
        </w:rPr>
        <w:t xml:space="preserve"> floor</w:t>
      </w:r>
    </w:p>
    <w:p w:rsidR="00EE0568" w:rsidRDefault="00EE0568" w:rsidP="00A51541">
      <w:pPr>
        <w:spacing w:after="0" w:line="240" w:lineRule="auto"/>
        <w:rPr>
          <w:sz w:val="24"/>
          <w:szCs w:val="24"/>
        </w:rPr>
      </w:pPr>
      <w:r w:rsidRPr="00EE0568">
        <w:rPr>
          <w:sz w:val="24"/>
          <w:szCs w:val="24"/>
        </w:rPr>
        <w:t>Alexandria, VA 22302</w:t>
      </w:r>
    </w:p>
    <w:p w:rsidR="009C32D9" w:rsidRDefault="00C06A09" w:rsidP="009C32D9">
      <w:pPr>
        <w:pStyle w:val="PlainText"/>
        <w:rPr>
          <w:rFonts w:asciiTheme="minorHAnsi" w:hAnsiTheme="minorHAnsi"/>
          <w:sz w:val="24"/>
          <w:szCs w:val="24"/>
        </w:rPr>
      </w:pPr>
      <w:r w:rsidRPr="00C06A09">
        <w:rPr>
          <w:rFonts w:asciiTheme="minorHAnsi" w:hAnsiTheme="minorHAnsi"/>
          <w:sz w:val="24"/>
          <w:szCs w:val="24"/>
        </w:rPr>
        <w:t>703-305-2115</w:t>
      </w:r>
    </w:p>
    <w:p w:rsidR="006A4DAB" w:rsidRPr="009C32D9" w:rsidRDefault="001C38E5" w:rsidP="006A4DAB">
      <w:pPr>
        <w:pStyle w:val="PlainText"/>
        <w:rPr>
          <w:rFonts w:asciiTheme="minorHAnsi" w:hAnsiTheme="minorHAnsi"/>
          <w:sz w:val="24"/>
          <w:szCs w:val="24"/>
        </w:rPr>
      </w:pPr>
      <w:hyperlink r:id="rId8" w:history="1">
        <w:r w:rsidR="006A4DAB" w:rsidRPr="00C06A09">
          <w:rPr>
            <w:rFonts w:asciiTheme="minorHAnsi" w:hAnsiTheme="minorHAnsi"/>
            <w:sz w:val="24"/>
            <w:szCs w:val="24"/>
          </w:rPr>
          <w:t>Chanchalat.Chanhatasilpa@fns.usda.gov</w:t>
        </w:r>
      </w:hyperlink>
      <w:r w:rsidR="006A4DAB">
        <w:t xml:space="preserve"> </w:t>
      </w:r>
    </w:p>
    <w:p w:rsidR="006A4DAB" w:rsidRPr="009C32D9" w:rsidRDefault="006A4DAB" w:rsidP="006A4DAB">
      <w:pPr>
        <w:pStyle w:val="PlainText"/>
        <w:rPr>
          <w:rFonts w:asciiTheme="minorHAnsi" w:hAnsiTheme="minorHAnsi"/>
          <w:sz w:val="24"/>
          <w:szCs w:val="24"/>
        </w:rPr>
      </w:pPr>
    </w:p>
    <w:p w:rsidR="00D01998" w:rsidRDefault="006A4DAB" w:rsidP="009C32D9">
      <w:pPr>
        <w:pStyle w:val="PlainText"/>
        <w:rPr>
          <w:rFonts w:asciiTheme="minorHAnsi" w:hAnsiTheme="minorHAnsi"/>
          <w:sz w:val="24"/>
          <w:szCs w:val="24"/>
        </w:rPr>
      </w:pPr>
      <w:r>
        <w:rPr>
          <w:rFonts w:asciiTheme="minorHAnsi" w:hAnsiTheme="minorHAnsi"/>
          <w:sz w:val="24"/>
          <w:szCs w:val="24"/>
        </w:rPr>
        <w:t xml:space="preserve"> </w:t>
      </w:r>
    </w:p>
    <w:p w:rsidR="00D01998" w:rsidRPr="00970102" w:rsidRDefault="00D01998" w:rsidP="00D01998">
      <w:pPr>
        <w:jc w:val="center"/>
        <w:rPr>
          <w:rFonts w:cs="Arial"/>
          <w:sz w:val="24"/>
        </w:rPr>
      </w:pPr>
      <w:r>
        <w:rPr>
          <w:sz w:val="24"/>
          <w:szCs w:val="24"/>
        </w:rPr>
        <w:lastRenderedPageBreak/>
        <w:br w:type="page"/>
      </w:r>
    </w:p>
    <w:p w:rsidR="00D01998" w:rsidRPr="000C7F33" w:rsidRDefault="00D01998" w:rsidP="00D01998">
      <w:pPr>
        <w:rPr>
          <w:rStyle w:val="Hyperlink"/>
          <w:b/>
          <w:noProof/>
          <w:sz w:val="24"/>
          <w:szCs w:val="24"/>
          <w:lang w:bidi="he-IL"/>
        </w:rPr>
        <w:sectPr w:rsidR="00D01998" w:rsidRPr="000C7F33" w:rsidSect="002028A0">
          <w:footerReference w:type="default" r:id="rId9"/>
          <w:footerReference w:type="first" r:id="rId10"/>
          <w:pgSz w:w="12240" w:h="15840"/>
          <w:pgMar w:top="1440" w:right="1440" w:bottom="1440" w:left="1440" w:header="720" w:footer="576" w:gutter="0"/>
          <w:pgNumType w:fmt="lowerRoman" w:start="2"/>
          <w:cols w:space="720"/>
          <w:vAlign w:val="center"/>
          <w:docGrid w:linePitch="299"/>
        </w:sectPr>
      </w:pPr>
    </w:p>
    <w:p w:rsidR="006A4DAB" w:rsidRPr="00AC4E81" w:rsidRDefault="006A4DAB" w:rsidP="006A4DAB">
      <w:pPr>
        <w:pStyle w:val="TOC1"/>
        <w:tabs>
          <w:tab w:val="left" w:pos="1320"/>
          <w:tab w:val="right" w:leader="dot" w:pos="9796"/>
        </w:tabs>
        <w:rPr>
          <w:rStyle w:val="Hyperlink"/>
          <w:rFonts w:asciiTheme="minorHAnsi" w:hAnsiTheme="minorHAnsi"/>
          <w:b/>
          <w:noProof/>
          <w:color w:val="auto"/>
          <w:u w:val="none"/>
        </w:rPr>
      </w:pPr>
      <w:r w:rsidRPr="00AC4E81">
        <w:rPr>
          <w:rStyle w:val="Hyperlink"/>
          <w:rFonts w:asciiTheme="minorHAnsi" w:hAnsiTheme="minorHAnsi"/>
          <w:b/>
          <w:noProof/>
          <w:color w:val="auto"/>
          <w:u w:val="none"/>
        </w:rPr>
        <w:lastRenderedPageBreak/>
        <w:t>Table of Contents</w:t>
      </w:r>
    </w:p>
    <w:p w:rsidR="006A4DAB" w:rsidRPr="006A4DAB" w:rsidRDefault="006A4DAB" w:rsidP="006A4DAB">
      <w:pPr>
        <w:pStyle w:val="Default"/>
        <w:rPr>
          <w:rFonts w:asciiTheme="minorHAnsi" w:hAnsiTheme="minorHAnsi"/>
          <w:color w:val="auto"/>
          <w:lang w:bidi="he-IL"/>
        </w:rPr>
      </w:pPr>
    </w:p>
    <w:p w:rsidR="006A4DAB" w:rsidRPr="00AC4E81" w:rsidRDefault="00AC4E81" w:rsidP="009A365F">
      <w:pPr>
        <w:pStyle w:val="Default"/>
        <w:tabs>
          <w:tab w:val="left" w:pos="1440"/>
          <w:tab w:val="right" w:pos="9360"/>
        </w:tabs>
        <w:rPr>
          <w:rFonts w:asciiTheme="minorHAnsi" w:hAnsiTheme="minorHAnsi"/>
          <w:b/>
          <w:color w:val="auto"/>
          <w:u w:val="single"/>
          <w:lang w:bidi="he-IL"/>
        </w:rPr>
      </w:pPr>
      <w:r w:rsidRPr="00AC4E81">
        <w:rPr>
          <w:rFonts w:asciiTheme="minorHAnsi" w:hAnsiTheme="minorHAnsi"/>
          <w:b/>
          <w:color w:val="auto"/>
          <w:u w:val="single"/>
          <w:lang w:bidi="he-IL"/>
        </w:rPr>
        <w:t>PART A.</w:t>
      </w:r>
      <w:r w:rsidR="009A365F">
        <w:rPr>
          <w:rFonts w:asciiTheme="minorHAnsi" w:hAnsiTheme="minorHAnsi"/>
          <w:b/>
          <w:color w:val="auto"/>
          <w:lang w:bidi="he-IL"/>
        </w:rPr>
        <w:tab/>
      </w:r>
      <w:r w:rsidRPr="00AC4E81">
        <w:rPr>
          <w:rFonts w:asciiTheme="minorHAnsi" w:hAnsiTheme="minorHAnsi"/>
          <w:b/>
          <w:color w:val="auto"/>
          <w:u w:val="single"/>
          <w:lang w:bidi="he-IL"/>
        </w:rPr>
        <w:t>Justification</w:t>
      </w:r>
      <w:r w:rsidR="009A365F">
        <w:rPr>
          <w:rFonts w:asciiTheme="minorHAnsi" w:hAnsiTheme="minorHAnsi"/>
          <w:b/>
          <w:color w:val="auto"/>
          <w:lang w:bidi="he-IL"/>
        </w:rPr>
        <w:tab/>
      </w:r>
      <w:r>
        <w:rPr>
          <w:rFonts w:asciiTheme="minorHAnsi" w:hAnsiTheme="minorHAnsi"/>
          <w:b/>
          <w:color w:val="auto"/>
          <w:u w:val="single"/>
          <w:lang w:bidi="he-IL"/>
        </w:rPr>
        <w:t>Page</w:t>
      </w:r>
    </w:p>
    <w:p w:rsidR="00AC4E81" w:rsidRDefault="00AC4E81" w:rsidP="009A365F">
      <w:pPr>
        <w:pStyle w:val="Default"/>
        <w:tabs>
          <w:tab w:val="left" w:pos="1440"/>
          <w:tab w:val="right" w:leader="dot" w:pos="9360"/>
        </w:tabs>
        <w:rPr>
          <w:rFonts w:asciiTheme="minorHAnsi" w:hAnsiTheme="minorHAnsi"/>
          <w:color w:val="auto"/>
          <w:lang w:bidi="he-IL"/>
        </w:rPr>
      </w:pPr>
      <w:r>
        <w:rPr>
          <w:rFonts w:asciiTheme="minorHAnsi" w:hAnsiTheme="minorHAnsi"/>
          <w:color w:val="auto"/>
          <w:lang w:bidi="he-IL"/>
        </w:rPr>
        <w:t>A</w:t>
      </w:r>
      <w:r w:rsidR="00756323">
        <w:rPr>
          <w:rFonts w:asciiTheme="minorHAnsi" w:hAnsiTheme="minorHAnsi"/>
          <w:color w:val="auto"/>
          <w:lang w:bidi="he-IL"/>
        </w:rPr>
        <w:t>.1</w:t>
      </w:r>
      <w:r w:rsidR="009A365F">
        <w:rPr>
          <w:rFonts w:asciiTheme="minorHAnsi" w:hAnsiTheme="minorHAnsi"/>
          <w:color w:val="auto"/>
          <w:lang w:bidi="he-IL"/>
        </w:rPr>
        <w:tab/>
      </w:r>
      <w:r>
        <w:rPr>
          <w:rFonts w:asciiTheme="minorHAnsi" w:hAnsiTheme="minorHAnsi"/>
          <w:color w:val="auto"/>
          <w:lang w:bidi="he-IL"/>
        </w:rPr>
        <w:t>Circumstances Making the Collection of Info</w:t>
      </w:r>
      <w:r w:rsidR="009A365F">
        <w:rPr>
          <w:rFonts w:asciiTheme="minorHAnsi" w:hAnsiTheme="minorHAnsi"/>
          <w:color w:val="auto"/>
          <w:lang w:bidi="he-IL"/>
        </w:rPr>
        <w:t>rmation Necessary</w:t>
      </w:r>
      <w:r w:rsidR="009A365F">
        <w:rPr>
          <w:rFonts w:asciiTheme="minorHAnsi" w:hAnsiTheme="minorHAnsi"/>
          <w:color w:val="auto"/>
          <w:lang w:bidi="he-IL"/>
        </w:rPr>
        <w:tab/>
      </w:r>
      <w:r>
        <w:rPr>
          <w:rFonts w:asciiTheme="minorHAnsi" w:hAnsiTheme="minorHAnsi"/>
          <w:color w:val="auto"/>
          <w:lang w:bidi="he-IL"/>
        </w:rPr>
        <w:t>1</w:t>
      </w:r>
    </w:p>
    <w:p w:rsidR="00AC4E81" w:rsidRDefault="00AC4E81" w:rsidP="009A365F">
      <w:pPr>
        <w:pStyle w:val="Default"/>
        <w:tabs>
          <w:tab w:val="left" w:pos="1440"/>
          <w:tab w:val="right" w:leader="dot" w:pos="9360"/>
        </w:tabs>
        <w:rPr>
          <w:rFonts w:asciiTheme="minorHAnsi" w:hAnsiTheme="minorHAnsi"/>
          <w:color w:val="auto"/>
          <w:lang w:bidi="he-IL"/>
        </w:rPr>
      </w:pPr>
      <w:r>
        <w:rPr>
          <w:rFonts w:asciiTheme="minorHAnsi" w:hAnsiTheme="minorHAnsi"/>
          <w:color w:val="auto"/>
          <w:lang w:bidi="he-IL"/>
        </w:rPr>
        <w:t>A</w:t>
      </w:r>
      <w:r w:rsidR="00756323">
        <w:rPr>
          <w:rFonts w:asciiTheme="minorHAnsi" w:hAnsiTheme="minorHAnsi"/>
          <w:color w:val="auto"/>
          <w:lang w:bidi="he-IL"/>
        </w:rPr>
        <w:t>.</w:t>
      </w:r>
      <w:r w:rsidR="009A365F">
        <w:rPr>
          <w:rFonts w:asciiTheme="minorHAnsi" w:hAnsiTheme="minorHAnsi"/>
          <w:color w:val="auto"/>
          <w:lang w:bidi="he-IL"/>
        </w:rPr>
        <w:t>2</w:t>
      </w:r>
      <w:r w:rsidR="009A365F">
        <w:rPr>
          <w:rFonts w:asciiTheme="minorHAnsi" w:hAnsiTheme="minorHAnsi"/>
          <w:color w:val="auto"/>
          <w:lang w:bidi="he-IL"/>
        </w:rPr>
        <w:tab/>
      </w:r>
      <w:r w:rsidR="008A3B0A">
        <w:rPr>
          <w:rFonts w:asciiTheme="minorHAnsi" w:hAnsiTheme="minorHAnsi"/>
          <w:color w:val="auto"/>
          <w:lang w:bidi="he-IL"/>
        </w:rPr>
        <w:t>Purpose and Use of Informati</w:t>
      </w:r>
      <w:r w:rsidR="009A365F">
        <w:rPr>
          <w:rFonts w:asciiTheme="minorHAnsi" w:hAnsiTheme="minorHAnsi"/>
          <w:color w:val="auto"/>
          <w:lang w:bidi="he-IL"/>
        </w:rPr>
        <w:t>on Collection</w:t>
      </w:r>
      <w:r w:rsidR="009A365F">
        <w:rPr>
          <w:rFonts w:asciiTheme="minorHAnsi" w:hAnsiTheme="minorHAnsi"/>
          <w:color w:val="auto"/>
          <w:lang w:bidi="he-IL"/>
        </w:rPr>
        <w:tab/>
      </w:r>
      <w:r w:rsidR="00CE6453">
        <w:rPr>
          <w:rFonts w:asciiTheme="minorHAnsi" w:hAnsiTheme="minorHAnsi"/>
          <w:color w:val="auto"/>
          <w:lang w:bidi="he-IL"/>
        </w:rPr>
        <w:t>5</w:t>
      </w:r>
    </w:p>
    <w:p w:rsidR="00AC4E81" w:rsidRDefault="00AC4E81" w:rsidP="009A365F">
      <w:pPr>
        <w:pStyle w:val="Default"/>
        <w:tabs>
          <w:tab w:val="left" w:pos="1440"/>
          <w:tab w:val="right" w:leader="dot" w:pos="9360"/>
        </w:tabs>
        <w:rPr>
          <w:rFonts w:asciiTheme="minorHAnsi" w:hAnsiTheme="minorHAnsi"/>
          <w:color w:val="auto"/>
          <w:lang w:bidi="he-IL"/>
        </w:rPr>
      </w:pPr>
      <w:r>
        <w:rPr>
          <w:rFonts w:asciiTheme="minorHAnsi" w:hAnsiTheme="minorHAnsi"/>
          <w:color w:val="auto"/>
          <w:lang w:bidi="he-IL"/>
        </w:rPr>
        <w:t>A</w:t>
      </w:r>
      <w:r w:rsidR="00756323">
        <w:rPr>
          <w:rFonts w:asciiTheme="minorHAnsi" w:hAnsiTheme="minorHAnsi"/>
          <w:color w:val="auto"/>
          <w:lang w:bidi="he-IL"/>
        </w:rPr>
        <w:t>.</w:t>
      </w:r>
      <w:r>
        <w:rPr>
          <w:rFonts w:asciiTheme="minorHAnsi" w:hAnsiTheme="minorHAnsi"/>
          <w:color w:val="auto"/>
          <w:lang w:bidi="he-IL"/>
        </w:rPr>
        <w:t>3</w:t>
      </w:r>
      <w:r w:rsidR="009A365F">
        <w:rPr>
          <w:rFonts w:asciiTheme="minorHAnsi" w:hAnsiTheme="minorHAnsi"/>
          <w:color w:val="auto"/>
          <w:lang w:bidi="he-IL"/>
        </w:rPr>
        <w:tab/>
      </w:r>
      <w:r w:rsidR="008A3B0A">
        <w:rPr>
          <w:rFonts w:asciiTheme="minorHAnsi" w:hAnsiTheme="minorHAnsi"/>
          <w:color w:val="auto"/>
          <w:lang w:bidi="he-IL"/>
        </w:rPr>
        <w:t>Use of Information T</w:t>
      </w:r>
      <w:r w:rsidR="009A365F">
        <w:rPr>
          <w:rFonts w:asciiTheme="minorHAnsi" w:hAnsiTheme="minorHAnsi"/>
          <w:color w:val="auto"/>
          <w:lang w:bidi="he-IL"/>
        </w:rPr>
        <w:t>echnology and Burden Reduction</w:t>
      </w:r>
      <w:r w:rsidR="009A365F">
        <w:rPr>
          <w:rFonts w:asciiTheme="minorHAnsi" w:hAnsiTheme="minorHAnsi"/>
          <w:color w:val="auto"/>
          <w:lang w:bidi="he-IL"/>
        </w:rPr>
        <w:tab/>
      </w:r>
      <w:r w:rsidR="00C451A2">
        <w:rPr>
          <w:rFonts w:asciiTheme="minorHAnsi" w:hAnsiTheme="minorHAnsi"/>
          <w:color w:val="auto"/>
          <w:lang w:bidi="he-IL"/>
        </w:rPr>
        <w:t>10</w:t>
      </w:r>
    </w:p>
    <w:p w:rsidR="00AC4E81" w:rsidRDefault="00AC4E81" w:rsidP="009A365F">
      <w:pPr>
        <w:pStyle w:val="Default"/>
        <w:tabs>
          <w:tab w:val="left" w:pos="1440"/>
          <w:tab w:val="right" w:leader="dot" w:pos="9360"/>
        </w:tabs>
        <w:rPr>
          <w:rFonts w:asciiTheme="minorHAnsi" w:hAnsiTheme="minorHAnsi"/>
          <w:color w:val="auto"/>
          <w:lang w:bidi="he-IL"/>
        </w:rPr>
      </w:pPr>
      <w:r>
        <w:rPr>
          <w:rFonts w:asciiTheme="minorHAnsi" w:hAnsiTheme="minorHAnsi"/>
          <w:color w:val="auto"/>
          <w:lang w:bidi="he-IL"/>
        </w:rPr>
        <w:t>A</w:t>
      </w:r>
      <w:r w:rsidR="00756323">
        <w:rPr>
          <w:rFonts w:asciiTheme="minorHAnsi" w:hAnsiTheme="minorHAnsi"/>
          <w:color w:val="auto"/>
          <w:lang w:bidi="he-IL"/>
        </w:rPr>
        <w:t>.</w:t>
      </w:r>
      <w:r>
        <w:rPr>
          <w:rFonts w:asciiTheme="minorHAnsi" w:hAnsiTheme="minorHAnsi"/>
          <w:color w:val="auto"/>
          <w:lang w:bidi="he-IL"/>
        </w:rPr>
        <w:t>4</w:t>
      </w:r>
      <w:r w:rsidR="009A365F">
        <w:rPr>
          <w:rFonts w:asciiTheme="minorHAnsi" w:hAnsiTheme="minorHAnsi"/>
          <w:color w:val="auto"/>
          <w:lang w:bidi="he-IL"/>
        </w:rPr>
        <w:tab/>
      </w:r>
      <w:r w:rsidR="008A3B0A">
        <w:rPr>
          <w:rFonts w:asciiTheme="minorHAnsi" w:hAnsiTheme="minorHAnsi"/>
          <w:color w:val="auto"/>
          <w:lang w:bidi="he-IL"/>
        </w:rPr>
        <w:t>Efforts to Identify Duplication and Use of Similar In</w:t>
      </w:r>
      <w:r w:rsidR="009A365F">
        <w:rPr>
          <w:rFonts w:asciiTheme="minorHAnsi" w:hAnsiTheme="minorHAnsi"/>
          <w:color w:val="auto"/>
          <w:lang w:bidi="he-IL"/>
        </w:rPr>
        <w:t>formation</w:t>
      </w:r>
      <w:r w:rsidR="009A365F">
        <w:rPr>
          <w:rFonts w:asciiTheme="minorHAnsi" w:hAnsiTheme="minorHAnsi"/>
          <w:color w:val="auto"/>
          <w:lang w:bidi="he-IL"/>
        </w:rPr>
        <w:tab/>
      </w:r>
      <w:r w:rsidR="00C451A2">
        <w:rPr>
          <w:rFonts w:asciiTheme="minorHAnsi" w:hAnsiTheme="minorHAnsi"/>
          <w:color w:val="auto"/>
          <w:lang w:bidi="he-IL"/>
        </w:rPr>
        <w:t>10</w:t>
      </w:r>
    </w:p>
    <w:p w:rsidR="00AC4E81" w:rsidRDefault="00AC4E81" w:rsidP="009A365F">
      <w:pPr>
        <w:pStyle w:val="Default"/>
        <w:tabs>
          <w:tab w:val="left" w:pos="1440"/>
          <w:tab w:val="right" w:leader="dot" w:pos="9360"/>
        </w:tabs>
        <w:rPr>
          <w:rFonts w:asciiTheme="minorHAnsi" w:hAnsiTheme="minorHAnsi"/>
          <w:color w:val="auto"/>
          <w:lang w:bidi="he-IL"/>
        </w:rPr>
      </w:pPr>
      <w:r>
        <w:rPr>
          <w:rFonts w:asciiTheme="minorHAnsi" w:hAnsiTheme="minorHAnsi"/>
          <w:color w:val="auto"/>
          <w:lang w:bidi="he-IL"/>
        </w:rPr>
        <w:t>A</w:t>
      </w:r>
      <w:r w:rsidR="00756323">
        <w:rPr>
          <w:rFonts w:asciiTheme="minorHAnsi" w:hAnsiTheme="minorHAnsi"/>
          <w:color w:val="auto"/>
          <w:lang w:bidi="he-IL"/>
        </w:rPr>
        <w:t>.</w:t>
      </w:r>
      <w:r>
        <w:rPr>
          <w:rFonts w:asciiTheme="minorHAnsi" w:hAnsiTheme="minorHAnsi"/>
          <w:color w:val="auto"/>
          <w:lang w:bidi="he-IL"/>
        </w:rPr>
        <w:t>5</w:t>
      </w:r>
      <w:r w:rsidR="009A365F">
        <w:rPr>
          <w:rFonts w:asciiTheme="minorHAnsi" w:hAnsiTheme="minorHAnsi"/>
          <w:color w:val="auto"/>
          <w:lang w:bidi="he-IL"/>
        </w:rPr>
        <w:tab/>
      </w:r>
      <w:r w:rsidR="008A3B0A">
        <w:rPr>
          <w:rFonts w:asciiTheme="minorHAnsi" w:hAnsiTheme="minorHAnsi"/>
          <w:color w:val="auto"/>
          <w:lang w:bidi="he-IL"/>
        </w:rPr>
        <w:t>Impact on Small Businesses or O</w:t>
      </w:r>
      <w:r w:rsidR="009A365F">
        <w:rPr>
          <w:rFonts w:asciiTheme="minorHAnsi" w:hAnsiTheme="minorHAnsi"/>
          <w:color w:val="auto"/>
          <w:lang w:bidi="he-IL"/>
        </w:rPr>
        <w:t>ther Small Entities</w:t>
      </w:r>
      <w:r w:rsidR="009A365F">
        <w:rPr>
          <w:rFonts w:asciiTheme="minorHAnsi" w:hAnsiTheme="minorHAnsi"/>
          <w:color w:val="auto"/>
          <w:lang w:bidi="he-IL"/>
        </w:rPr>
        <w:tab/>
      </w:r>
      <w:r w:rsidR="00C451A2">
        <w:rPr>
          <w:rFonts w:asciiTheme="minorHAnsi" w:hAnsiTheme="minorHAnsi"/>
          <w:color w:val="auto"/>
          <w:lang w:bidi="he-IL"/>
        </w:rPr>
        <w:t>12</w:t>
      </w:r>
    </w:p>
    <w:p w:rsidR="008A3B0A" w:rsidRDefault="008A3B0A" w:rsidP="009A365F">
      <w:pPr>
        <w:pStyle w:val="Default"/>
        <w:tabs>
          <w:tab w:val="left" w:pos="1440"/>
          <w:tab w:val="right" w:leader="dot" w:pos="9360"/>
        </w:tabs>
        <w:rPr>
          <w:rFonts w:asciiTheme="minorHAnsi" w:hAnsiTheme="minorHAnsi"/>
          <w:color w:val="auto"/>
          <w:lang w:bidi="he-IL"/>
        </w:rPr>
      </w:pPr>
      <w:r>
        <w:rPr>
          <w:rFonts w:asciiTheme="minorHAnsi" w:hAnsiTheme="minorHAnsi"/>
          <w:color w:val="auto"/>
          <w:lang w:bidi="he-IL"/>
        </w:rPr>
        <w:t>A</w:t>
      </w:r>
      <w:r w:rsidR="00756323">
        <w:rPr>
          <w:rFonts w:asciiTheme="minorHAnsi" w:hAnsiTheme="minorHAnsi"/>
          <w:color w:val="auto"/>
          <w:lang w:bidi="he-IL"/>
        </w:rPr>
        <w:t>.</w:t>
      </w:r>
      <w:r w:rsidR="009A365F">
        <w:rPr>
          <w:rFonts w:asciiTheme="minorHAnsi" w:hAnsiTheme="minorHAnsi"/>
          <w:color w:val="auto"/>
          <w:lang w:bidi="he-IL"/>
        </w:rPr>
        <w:t>6</w:t>
      </w:r>
      <w:r w:rsidR="009A365F">
        <w:rPr>
          <w:rFonts w:asciiTheme="minorHAnsi" w:hAnsiTheme="minorHAnsi"/>
          <w:color w:val="auto"/>
          <w:lang w:bidi="he-IL"/>
        </w:rPr>
        <w:tab/>
      </w:r>
      <w:r>
        <w:rPr>
          <w:rFonts w:asciiTheme="minorHAnsi" w:hAnsiTheme="minorHAnsi"/>
          <w:color w:val="auto"/>
          <w:lang w:bidi="he-IL"/>
        </w:rPr>
        <w:t>Consequences of Collecting Information Less Fre</w:t>
      </w:r>
      <w:r w:rsidR="009A365F">
        <w:rPr>
          <w:rFonts w:asciiTheme="minorHAnsi" w:hAnsiTheme="minorHAnsi"/>
          <w:color w:val="auto"/>
          <w:lang w:bidi="he-IL"/>
        </w:rPr>
        <w:t>quently</w:t>
      </w:r>
      <w:r w:rsidR="009A365F">
        <w:rPr>
          <w:rFonts w:asciiTheme="minorHAnsi" w:hAnsiTheme="minorHAnsi"/>
          <w:color w:val="auto"/>
          <w:lang w:bidi="he-IL"/>
        </w:rPr>
        <w:tab/>
      </w:r>
      <w:r w:rsidR="00C451A2">
        <w:rPr>
          <w:rFonts w:asciiTheme="minorHAnsi" w:hAnsiTheme="minorHAnsi"/>
          <w:color w:val="auto"/>
          <w:lang w:bidi="he-IL"/>
        </w:rPr>
        <w:t>12</w:t>
      </w:r>
    </w:p>
    <w:p w:rsidR="008A3B0A" w:rsidRDefault="008A3B0A" w:rsidP="009A365F">
      <w:pPr>
        <w:pStyle w:val="Default"/>
        <w:tabs>
          <w:tab w:val="left" w:pos="1440"/>
          <w:tab w:val="right" w:leader="dot" w:pos="9360"/>
        </w:tabs>
        <w:rPr>
          <w:rFonts w:asciiTheme="minorHAnsi" w:hAnsiTheme="minorHAnsi"/>
          <w:color w:val="auto"/>
          <w:lang w:bidi="he-IL"/>
        </w:rPr>
      </w:pPr>
      <w:r>
        <w:rPr>
          <w:rFonts w:asciiTheme="minorHAnsi" w:hAnsiTheme="minorHAnsi"/>
          <w:color w:val="auto"/>
          <w:lang w:bidi="he-IL"/>
        </w:rPr>
        <w:t>A</w:t>
      </w:r>
      <w:r w:rsidR="00756323">
        <w:rPr>
          <w:rFonts w:asciiTheme="minorHAnsi" w:hAnsiTheme="minorHAnsi"/>
          <w:color w:val="auto"/>
          <w:lang w:bidi="he-IL"/>
        </w:rPr>
        <w:t>.</w:t>
      </w:r>
      <w:r w:rsidR="009A365F">
        <w:rPr>
          <w:rFonts w:asciiTheme="minorHAnsi" w:hAnsiTheme="minorHAnsi"/>
          <w:color w:val="auto"/>
          <w:lang w:bidi="he-IL"/>
        </w:rPr>
        <w:t>7</w:t>
      </w:r>
      <w:r w:rsidR="009A365F">
        <w:rPr>
          <w:rFonts w:asciiTheme="minorHAnsi" w:hAnsiTheme="minorHAnsi"/>
          <w:color w:val="auto"/>
          <w:lang w:bidi="he-IL"/>
        </w:rPr>
        <w:tab/>
      </w:r>
      <w:r>
        <w:rPr>
          <w:rFonts w:asciiTheme="minorHAnsi" w:hAnsiTheme="minorHAnsi"/>
          <w:color w:val="auto"/>
          <w:lang w:bidi="he-IL"/>
        </w:rPr>
        <w:t>Special Circumstances Relating to the Guid</w:t>
      </w:r>
      <w:r w:rsidR="009A365F">
        <w:rPr>
          <w:rFonts w:asciiTheme="minorHAnsi" w:hAnsiTheme="minorHAnsi"/>
          <w:color w:val="auto"/>
          <w:lang w:bidi="he-IL"/>
        </w:rPr>
        <w:t>elines of 5 CFR 1320.5</w:t>
      </w:r>
      <w:r w:rsidR="009A365F">
        <w:rPr>
          <w:rFonts w:asciiTheme="minorHAnsi" w:hAnsiTheme="minorHAnsi"/>
          <w:color w:val="auto"/>
          <w:lang w:bidi="he-IL"/>
        </w:rPr>
        <w:tab/>
      </w:r>
      <w:r w:rsidR="00C451A2">
        <w:rPr>
          <w:rFonts w:asciiTheme="minorHAnsi" w:hAnsiTheme="minorHAnsi"/>
          <w:color w:val="auto"/>
          <w:lang w:bidi="he-IL"/>
        </w:rPr>
        <w:t>13</w:t>
      </w:r>
    </w:p>
    <w:p w:rsidR="008A3B0A" w:rsidRDefault="008A3B0A" w:rsidP="009A365F">
      <w:pPr>
        <w:pStyle w:val="Default"/>
        <w:tabs>
          <w:tab w:val="left" w:pos="1440"/>
          <w:tab w:val="right" w:leader="dot" w:pos="9360"/>
        </w:tabs>
        <w:rPr>
          <w:rFonts w:asciiTheme="minorHAnsi" w:hAnsiTheme="minorHAnsi"/>
          <w:color w:val="auto"/>
          <w:lang w:bidi="he-IL"/>
        </w:rPr>
      </w:pPr>
      <w:r>
        <w:rPr>
          <w:rFonts w:asciiTheme="minorHAnsi" w:hAnsiTheme="minorHAnsi"/>
          <w:color w:val="auto"/>
          <w:lang w:bidi="he-IL"/>
        </w:rPr>
        <w:t>A</w:t>
      </w:r>
      <w:r w:rsidR="00756323">
        <w:rPr>
          <w:rFonts w:asciiTheme="minorHAnsi" w:hAnsiTheme="minorHAnsi"/>
          <w:color w:val="auto"/>
          <w:lang w:bidi="he-IL"/>
        </w:rPr>
        <w:t>.</w:t>
      </w:r>
      <w:r w:rsidR="009A365F">
        <w:rPr>
          <w:rFonts w:asciiTheme="minorHAnsi" w:hAnsiTheme="minorHAnsi"/>
          <w:color w:val="auto"/>
          <w:lang w:bidi="he-IL"/>
        </w:rPr>
        <w:t>8</w:t>
      </w:r>
      <w:r w:rsidR="009A365F">
        <w:rPr>
          <w:rFonts w:asciiTheme="minorHAnsi" w:hAnsiTheme="minorHAnsi"/>
          <w:color w:val="auto"/>
          <w:lang w:bidi="he-IL"/>
        </w:rPr>
        <w:tab/>
      </w:r>
      <w:r>
        <w:rPr>
          <w:rFonts w:asciiTheme="minorHAnsi" w:hAnsiTheme="minorHAnsi"/>
          <w:color w:val="auto"/>
          <w:lang w:bidi="he-IL"/>
        </w:rPr>
        <w:t xml:space="preserve">Comments in Response to Federal Register Notice and Efforts to Consult </w:t>
      </w:r>
    </w:p>
    <w:p w:rsidR="008A3B0A" w:rsidRDefault="009A365F" w:rsidP="009A365F">
      <w:pPr>
        <w:pStyle w:val="Default"/>
        <w:tabs>
          <w:tab w:val="left" w:pos="1440"/>
          <w:tab w:val="right" w:leader="dot" w:pos="9360"/>
        </w:tabs>
        <w:rPr>
          <w:rFonts w:asciiTheme="minorHAnsi" w:hAnsiTheme="minorHAnsi"/>
          <w:color w:val="auto"/>
          <w:lang w:bidi="he-IL"/>
        </w:rPr>
      </w:pPr>
      <w:r>
        <w:rPr>
          <w:rFonts w:asciiTheme="minorHAnsi" w:hAnsiTheme="minorHAnsi"/>
          <w:color w:val="auto"/>
          <w:lang w:bidi="he-IL"/>
        </w:rPr>
        <w:tab/>
      </w:r>
      <w:r w:rsidR="008A3B0A">
        <w:rPr>
          <w:rFonts w:asciiTheme="minorHAnsi" w:hAnsiTheme="minorHAnsi"/>
          <w:color w:val="auto"/>
          <w:lang w:bidi="he-IL"/>
        </w:rPr>
        <w:t xml:space="preserve">Outside </w:t>
      </w:r>
      <w:r>
        <w:rPr>
          <w:rFonts w:asciiTheme="minorHAnsi" w:hAnsiTheme="minorHAnsi"/>
          <w:color w:val="auto"/>
          <w:lang w:bidi="he-IL"/>
        </w:rPr>
        <w:t>the Agency</w:t>
      </w:r>
      <w:r>
        <w:rPr>
          <w:rFonts w:asciiTheme="minorHAnsi" w:hAnsiTheme="minorHAnsi"/>
          <w:color w:val="auto"/>
          <w:lang w:bidi="he-IL"/>
        </w:rPr>
        <w:tab/>
      </w:r>
      <w:r w:rsidR="00C451A2">
        <w:rPr>
          <w:rFonts w:asciiTheme="minorHAnsi" w:hAnsiTheme="minorHAnsi"/>
          <w:color w:val="auto"/>
          <w:lang w:bidi="he-IL"/>
        </w:rPr>
        <w:t>14</w:t>
      </w:r>
    </w:p>
    <w:p w:rsidR="008A3B0A" w:rsidRDefault="008A3B0A" w:rsidP="009A365F">
      <w:pPr>
        <w:pStyle w:val="Default"/>
        <w:tabs>
          <w:tab w:val="left" w:pos="1440"/>
          <w:tab w:val="right" w:leader="dot" w:pos="9360"/>
        </w:tabs>
        <w:rPr>
          <w:rFonts w:asciiTheme="minorHAnsi" w:hAnsiTheme="minorHAnsi"/>
          <w:color w:val="auto"/>
          <w:lang w:bidi="he-IL"/>
        </w:rPr>
      </w:pPr>
      <w:r>
        <w:rPr>
          <w:rFonts w:asciiTheme="minorHAnsi" w:hAnsiTheme="minorHAnsi"/>
          <w:color w:val="auto"/>
          <w:lang w:bidi="he-IL"/>
        </w:rPr>
        <w:t>A</w:t>
      </w:r>
      <w:r w:rsidR="00756323">
        <w:rPr>
          <w:rFonts w:asciiTheme="minorHAnsi" w:hAnsiTheme="minorHAnsi"/>
          <w:color w:val="auto"/>
          <w:lang w:bidi="he-IL"/>
        </w:rPr>
        <w:t>.</w:t>
      </w:r>
      <w:r w:rsidR="009A365F">
        <w:rPr>
          <w:rFonts w:asciiTheme="minorHAnsi" w:hAnsiTheme="minorHAnsi"/>
          <w:color w:val="auto"/>
          <w:lang w:bidi="he-IL"/>
        </w:rPr>
        <w:t>9</w:t>
      </w:r>
      <w:r w:rsidR="009A365F">
        <w:rPr>
          <w:rFonts w:asciiTheme="minorHAnsi" w:hAnsiTheme="minorHAnsi"/>
          <w:color w:val="auto"/>
          <w:lang w:bidi="he-IL"/>
        </w:rPr>
        <w:tab/>
      </w:r>
      <w:r>
        <w:rPr>
          <w:rFonts w:asciiTheme="minorHAnsi" w:hAnsiTheme="minorHAnsi"/>
          <w:color w:val="auto"/>
          <w:lang w:bidi="he-IL"/>
        </w:rPr>
        <w:t>Explanation of Any Payments of Gifts to Respondents</w:t>
      </w:r>
      <w:r w:rsidR="009A365F">
        <w:rPr>
          <w:rFonts w:asciiTheme="minorHAnsi" w:hAnsiTheme="minorHAnsi"/>
          <w:color w:val="auto"/>
          <w:lang w:bidi="he-IL"/>
        </w:rPr>
        <w:tab/>
      </w:r>
      <w:r w:rsidR="00C451A2">
        <w:rPr>
          <w:rFonts w:asciiTheme="minorHAnsi" w:hAnsiTheme="minorHAnsi"/>
          <w:color w:val="auto"/>
          <w:lang w:bidi="he-IL"/>
        </w:rPr>
        <w:t>15</w:t>
      </w:r>
    </w:p>
    <w:p w:rsidR="008A3B0A" w:rsidRDefault="008A3B0A" w:rsidP="009A365F">
      <w:pPr>
        <w:pStyle w:val="Default"/>
        <w:tabs>
          <w:tab w:val="left" w:pos="1440"/>
          <w:tab w:val="right" w:leader="dot" w:pos="9360"/>
        </w:tabs>
        <w:rPr>
          <w:rFonts w:asciiTheme="minorHAnsi" w:hAnsiTheme="minorHAnsi"/>
          <w:color w:val="auto"/>
          <w:lang w:bidi="he-IL"/>
        </w:rPr>
      </w:pPr>
      <w:r>
        <w:rPr>
          <w:rFonts w:asciiTheme="minorHAnsi" w:hAnsiTheme="minorHAnsi"/>
          <w:color w:val="auto"/>
          <w:lang w:bidi="he-IL"/>
        </w:rPr>
        <w:t>A</w:t>
      </w:r>
      <w:r w:rsidR="00756323">
        <w:rPr>
          <w:rFonts w:asciiTheme="minorHAnsi" w:hAnsiTheme="minorHAnsi"/>
          <w:color w:val="auto"/>
          <w:lang w:bidi="he-IL"/>
        </w:rPr>
        <w:t>.</w:t>
      </w:r>
      <w:r w:rsidR="009A365F">
        <w:rPr>
          <w:rFonts w:asciiTheme="minorHAnsi" w:hAnsiTheme="minorHAnsi"/>
          <w:color w:val="auto"/>
          <w:lang w:bidi="he-IL"/>
        </w:rPr>
        <w:t>10</w:t>
      </w:r>
      <w:r w:rsidR="009A365F">
        <w:rPr>
          <w:rFonts w:asciiTheme="minorHAnsi" w:hAnsiTheme="minorHAnsi"/>
          <w:color w:val="auto"/>
          <w:lang w:bidi="he-IL"/>
        </w:rPr>
        <w:tab/>
      </w:r>
      <w:r>
        <w:rPr>
          <w:rFonts w:asciiTheme="minorHAnsi" w:hAnsiTheme="minorHAnsi"/>
          <w:color w:val="auto"/>
          <w:lang w:bidi="he-IL"/>
        </w:rPr>
        <w:t>Assurance of Confidentiality Provided to Participants</w:t>
      </w:r>
      <w:r w:rsidR="009A365F">
        <w:rPr>
          <w:rFonts w:asciiTheme="minorHAnsi" w:hAnsiTheme="minorHAnsi"/>
          <w:color w:val="auto"/>
          <w:lang w:bidi="he-IL"/>
        </w:rPr>
        <w:tab/>
      </w:r>
      <w:r w:rsidR="00C451A2">
        <w:rPr>
          <w:rFonts w:asciiTheme="minorHAnsi" w:hAnsiTheme="minorHAnsi"/>
          <w:color w:val="auto"/>
          <w:lang w:bidi="he-IL"/>
        </w:rPr>
        <w:t>16</w:t>
      </w:r>
    </w:p>
    <w:p w:rsidR="008A3B0A" w:rsidRDefault="008A3B0A" w:rsidP="009A365F">
      <w:pPr>
        <w:pStyle w:val="Default"/>
        <w:tabs>
          <w:tab w:val="left" w:pos="1440"/>
          <w:tab w:val="right" w:leader="dot" w:pos="9360"/>
        </w:tabs>
        <w:rPr>
          <w:rFonts w:asciiTheme="minorHAnsi" w:hAnsiTheme="minorHAnsi"/>
          <w:color w:val="auto"/>
          <w:lang w:bidi="he-IL"/>
        </w:rPr>
      </w:pPr>
      <w:r>
        <w:rPr>
          <w:rFonts w:asciiTheme="minorHAnsi" w:hAnsiTheme="minorHAnsi"/>
          <w:color w:val="auto"/>
          <w:lang w:bidi="he-IL"/>
        </w:rPr>
        <w:t>A</w:t>
      </w:r>
      <w:r w:rsidR="00756323">
        <w:rPr>
          <w:rFonts w:asciiTheme="minorHAnsi" w:hAnsiTheme="minorHAnsi"/>
          <w:color w:val="auto"/>
          <w:lang w:bidi="he-IL"/>
        </w:rPr>
        <w:t>.11</w:t>
      </w:r>
      <w:r w:rsidR="009A365F">
        <w:rPr>
          <w:rFonts w:asciiTheme="minorHAnsi" w:hAnsiTheme="minorHAnsi"/>
          <w:color w:val="auto"/>
          <w:lang w:bidi="he-IL"/>
        </w:rPr>
        <w:tab/>
      </w:r>
      <w:r>
        <w:rPr>
          <w:rFonts w:asciiTheme="minorHAnsi" w:hAnsiTheme="minorHAnsi"/>
          <w:color w:val="auto"/>
          <w:lang w:bidi="he-IL"/>
        </w:rPr>
        <w:t>Justification for Sensitive Questions</w:t>
      </w:r>
      <w:r w:rsidR="009A365F">
        <w:rPr>
          <w:rFonts w:asciiTheme="minorHAnsi" w:hAnsiTheme="minorHAnsi"/>
          <w:color w:val="auto"/>
          <w:lang w:bidi="he-IL"/>
        </w:rPr>
        <w:tab/>
      </w:r>
      <w:r w:rsidR="00C451A2">
        <w:rPr>
          <w:rFonts w:asciiTheme="minorHAnsi" w:hAnsiTheme="minorHAnsi"/>
          <w:color w:val="auto"/>
          <w:lang w:bidi="he-IL"/>
        </w:rPr>
        <w:t>18</w:t>
      </w:r>
    </w:p>
    <w:p w:rsidR="008A3B0A" w:rsidRDefault="008A3B0A" w:rsidP="009A365F">
      <w:pPr>
        <w:pStyle w:val="Default"/>
        <w:tabs>
          <w:tab w:val="left" w:pos="1440"/>
          <w:tab w:val="right" w:leader="dot" w:pos="9360"/>
        </w:tabs>
        <w:rPr>
          <w:rFonts w:asciiTheme="minorHAnsi" w:hAnsiTheme="minorHAnsi"/>
          <w:color w:val="auto"/>
          <w:lang w:bidi="he-IL"/>
        </w:rPr>
      </w:pPr>
      <w:r>
        <w:rPr>
          <w:rFonts w:asciiTheme="minorHAnsi" w:hAnsiTheme="minorHAnsi"/>
          <w:color w:val="auto"/>
          <w:lang w:bidi="he-IL"/>
        </w:rPr>
        <w:t>A</w:t>
      </w:r>
      <w:r w:rsidR="00756323">
        <w:rPr>
          <w:rFonts w:asciiTheme="minorHAnsi" w:hAnsiTheme="minorHAnsi"/>
          <w:color w:val="auto"/>
          <w:lang w:bidi="he-IL"/>
        </w:rPr>
        <w:t>.</w:t>
      </w:r>
      <w:r w:rsidR="009A365F">
        <w:rPr>
          <w:rFonts w:asciiTheme="minorHAnsi" w:hAnsiTheme="minorHAnsi"/>
          <w:color w:val="auto"/>
          <w:lang w:bidi="he-IL"/>
        </w:rPr>
        <w:t>12</w:t>
      </w:r>
      <w:r w:rsidR="009A365F">
        <w:rPr>
          <w:rFonts w:asciiTheme="minorHAnsi" w:hAnsiTheme="minorHAnsi"/>
          <w:color w:val="auto"/>
          <w:lang w:bidi="he-IL"/>
        </w:rPr>
        <w:tab/>
      </w:r>
      <w:r>
        <w:rPr>
          <w:rFonts w:asciiTheme="minorHAnsi" w:hAnsiTheme="minorHAnsi"/>
          <w:color w:val="auto"/>
          <w:lang w:bidi="he-IL"/>
        </w:rPr>
        <w:t>Estimates of Annualized Burden Hours and Costs</w:t>
      </w:r>
      <w:r w:rsidR="009A365F">
        <w:rPr>
          <w:rFonts w:asciiTheme="minorHAnsi" w:hAnsiTheme="minorHAnsi"/>
          <w:color w:val="auto"/>
          <w:lang w:bidi="he-IL"/>
        </w:rPr>
        <w:tab/>
      </w:r>
      <w:r w:rsidR="00C451A2">
        <w:rPr>
          <w:rFonts w:asciiTheme="minorHAnsi" w:hAnsiTheme="minorHAnsi"/>
          <w:color w:val="auto"/>
          <w:lang w:bidi="he-IL"/>
        </w:rPr>
        <w:t>18</w:t>
      </w:r>
    </w:p>
    <w:p w:rsidR="008A3B0A" w:rsidRDefault="008A3B0A" w:rsidP="009A365F">
      <w:pPr>
        <w:pStyle w:val="Default"/>
        <w:tabs>
          <w:tab w:val="left" w:pos="1440"/>
          <w:tab w:val="right" w:leader="dot" w:pos="9360"/>
        </w:tabs>
        <w:rPr>
          <w:rFonts w:asciiTheme="minorHAnsi" w:hAnsiTheme="minorHAnsi"/>
          <w:color w:val="auto"/>
          <w:lang w:bidi="he-IL"/>
        </w:rPr>
      </w:pPr>
      <w:r>
        <w:rPr>
          <w:rFonts w:asciiTheme="minorHAnsi" w:hAnsiTheme="minorHAnsi"/>
          <w:color w:val="auto"/>
          <w:lang w:bidi="he-IL"/>
        </w:rPr>
        <w:t>A</w:t>
      </w:r>
      <w:r w:rsidR="00756323">
        <w:rPr>
          <w:rFonts w:asciiTheme="minorHAnsi" w:hAnsiTheme="minorHAnsi"/>
          <w:color w:val="auto"/>
          <w:lang w:bidi="he-IL"/>
        </w:rPr>
        <w:t>.</w:t>
      </w:r>
      <w:r w:rsidR="009A365F">
        <w:rPr>
          <w:rFonts w:asciiTheme="minorHAnsi" w:hAnsiTheme="minorHAnsi"/>
          <w:color w:val="auto"/>
          <w:lang w:bidi="he-IL"/>
        </w:rPr>
        <w:t>13</w:t>
      </w:r>
      <w:r w:rsidR="009A365F">
        <w:rPr>
          <w:rFonts w:asciiTheme="minorHAnsi" w:hAnsiTheme="minorHAnsi"/>
          <w:color w:val="auto"/>
          <w:lang w:bidi="he-IL"/>
        </w:rPr>
        <w:tab/>
      </w:r>
      <w:r>
        <w:rPr>
          <w:rFonts w:asciiTheme="minorHAnsi" w:hAnsiTheme="minorHAnsi"/>
          <w:color w:val="auto"/>
          <w:lang w:bidi="he-IL"/>
        </w:rPr>
        <w:t xml:space="preserve">Estimates of Other Total Annual Cost Burden to Respondents or </w:t>
      </w:r>
    </w:p>
    <w:p w:rsidR="008A3B0A" w:rsidRDefault="009A365F" w:rsidP="009A365F">
      <w:pPr>
        <w:pStyle w:val="Default"/>
        <w:tabs>
          <w:tab w:val="left" w:pos="1440"/>
          <w:tab w:val="right" w:leader="dot" w:pos="9360"/>
        </w:tabs>
        <w:rPr>
          <w:rFonts w:asciiTheme="minorHAnsi" w:hAnsiTheme="minorHAnsi"/>
          <w:color w:val="auto"/>
          <w:lang w:bidi="he-IL"/>
        </w:rPr>
      </w:pPr>
      <w:r>
        <w:rPr>
          <w:rFonts w:asciiTheme="minorHAnsi" w:hAnsiTheme="minorHAnsi"/>
          <w:color w:val="auto"/>
          <w:lang w:bidi="he-IL"/>
        </w:rPr>
        <w:tab/>
      </w:r>
      <w:r w:rsidR="008A3B0A">
        <w:rPr>
          <w:rFonts w:asciiTheme="minorHAnsi" w:hAnsiTheme="minorHAnsi"/>
          <w:color w:val="auto"/>
          <w:lang w:bidi="he-IL"/>
        </w:rPr>
        <w:t>Recordkeepers</w:t>
      </w:r>
      <w:r>
        <w:rPr>
          <w:rFonts w:asciiTheme="minorHAnsi" w:hAnsiTheme="minorHAnsi"/>
          <w:color w:val="auto"/>
          <w:lang w:bidi="he-IL"/>
        </w:rPr>
        <w:tab/>
      </w:r>
      <w:r w:rsidR="00C451A2">
        <w:rPr>
          <w:rFonts w:asciiTheme="minorHAnsi" w:hAnsiTheme="minorHAnsi"/>
          <w:color w:val="auto"/>
          <w:lang w:bidi="he-IL"/>
        </w:rPr>
        <w:t>24</w:t>
      </w:r>
    </w:p>
    <w:p w:rsidR="008A3B0A" w:rsidRDefault="008A3B0A" w:rsidP="009A365F">
      <w:pPr>
        <w:pStyle w:val="Default"/>
        <w:tabs>
          <w:tab w:val="left" w:pos="1440"/>
          <w:tab w:val="right" w:leader="dot" w:pos="9360"/>
        </w:tabs>
        <w:rPr>
          <w:rFonts w:asciiTheme="minorHAnsi" w:hAnsiTheme="minorHAnsi"/>
          <w:color w:val="auto"/>
          <w:lang w:bidi="he-IL"/>
        </w:rPr>
      </w:pPr>
      <w:r>
        <w:rPr>
          <w:rFonts w:asciiTheme="minorHAnsi" w:hAnsiTheme="minorHAnsi"/>
          <w:color w:val="auto"/>
          <w:lang w:bidi="he-IL"/>
        </w:rPr>
        <w:t>A</w:t>
      </w:r>
      <w:r w:rsidR="00756323">
        <w:rPr>
          <w:rFonts w:asciiTheme="minorHAnsi" w:hAnsiTheme="minorHAnsi"/>
          <w:color w:val="auto"/>
          <w:lang w:bidi="he-IL"/>
        </w:rPr>
        <w:t>.</w:t>
      </w:r>
      <w:r w:rsidR="009A365F">
        <w:rPr>
          <w:rFonts w:asciiTheme="minorHAnsi" w:hAnsiTheme="minorHAnsi"/>
          <w:color w:val="auto"/>
          <w:lang w:bidi="he-IL"/>
        </w:rPr>
        <w:t>14</w:t>
      </w:r>
      <w:r w:rsidR="009A365F">
        <w:rPr>
          <w:rFonts w:asciiTheme="minorHAnsi" w:hAnsiTheme="minorHAnsi"/>
          <w:color w:val="auto"/>
          <w:lang w:bidi="he-IL"/>
        </w:rPr>
        <w:tab/>
      </w:r>
      <w:r>
        <w:rPr>
          <w:rFonts w:asciiTheme="minorHAnsi" w:hAnsiTheme="minorHAnsi"/>
          <w:color w:val="auto"/>
          <w:lang w:bidi="he-IL"/>
        </w:rPr>
        <w:t>Estimates of Annualized Costs to the Federal Government</w:t>
      </w:r>
      <w:r w:rsidR="009A365F">
        <w:rPr>
          <w:rFonts w:asciiTheme="minorHAnsi" w:hAnsiTheme="minorHAnsi"/>
          <w:color w:val="auto"/>
          <w:lang w:bidi="he-IL"/>
        </w:rPr>
        <w:tab/>
      </w:r>
      <w:r w:rsidR="00C451A2">
        <w:rPr>
          <w:rFonts w:asciiTheme="minorHAnsi" w:hAnsiTheme="minorHAnsi"/>
          <w:color w:val="auto"/>
          <w:lang w:bidi="he-IL"/>
        </w:rPr>
        <w:t>24</w:t>
      </w:r>
    </w:p>
    <w:p w:rsidR="008A3B0A" w:rsidRDefault="008A3B0A" w:rsidP="009A365F">
      <w:pPr>
        <w:pStyle w:val="Default"/>
        <w:tabs>
          <w:tab w:val="left" w:pos="1440"/>
          <w:tab w:val="right" w:leader="dot" w:pos="9360"/>
        </w:tabs>
        <w:rPr>
          <w:rFonts w:asciiTheme="minorHAnsi" w:hAnsiTheme="minorHAnsi"/>
          <w:color w:val="auto"/>
          <w:lang w:bidi="he-IL"/>
        </w:rPr>
      </w:pPr>
      <w:r>
        <w:rPr>
          <w:rFonts w:asciiTheme="minorHAnsi" w:hAnsiTheme="minorHAnsi"/>
          <w:color w:val="auto"/>
          <w:lang w:bidi="he-IL"/>
        </w:rPr>
        <w:t>A</w:t>
      </w:r>
      <w:r w:rsidR="00756323">
        <w:rPr>
          <w:rFonts w:asciiTheme="minorHAnsi" w:hAnsiTheme="minorHAnsi"/>
          <w:color w:val="auto"/>
          <w:lang w:bidi="he-IL"/>
        </w:rPr>
        <w:t>.</w:t>
      </w:r>
      <w:r w:rsidR="009A365F">
        <w:rPr>
          <w:rFonts w:asciiTheme="minorHAnsi" w:hAnsiTheme="minorHAnsi"/>
          <w:color w:val="auto"/>
          <w:lang w:bidi="he-IL"/>
        </w:rPr>
        <w:t>15</w:t>
      </w:r>
      <w:r w:rsidR="009A365F">
        <w:rPr>
          <w:rFonts w:asciiTheme="minorHAnsi" w:hAnsiTheme="minorHAnsi"/>
          <w:color w:val="auto"/>
          <w:lang w:bidi="he-IL"/>
        </w:rPr>
        <w:tab/>
      </w:r>
      <w:r>
        <w:rPr>
          <w:rFonts w:asciiTheme="minorHAnsi" w:hAnsiTheme="minorHAnsi"/>
          <w:color w:val="auto"/>
          <w:lang w:bidi="he-IL"/>
        </w:rPr>
        <w:t>Explanation for Program Changes</w:t>
      </w:r>
      <w:r w:rsidR="009A365F">
        <w:rPr>
          <w:rFonts w:asciiTheme="minorHAnsi" w:hAnsiTheme="minorHAnsi"/>
          <w:color w:val="auto"/>
          <w:lang w:bidi="he-IL"/>
        </w:rPr>
        <w:tab/>
      </w:r>
      <w:r w:rsidR="00C451A2">
        <w:rPr>
          <w:rFonts w:asciiTheme="minorHAnsi" w:hAnsiTheme="minorHAnsi"/>
          <w:color w:val="auto"/>
          <w:lang w:bidi="he-IL"/>
        </w:rPr>
        <w:t>25</w:t>
      </w:r>
    </w:p>
    <w:p w:rsidR="008A3B0A" w:rsidRDefault="008A3B0A" w:rsidP="009A365F">
      <w:pPr>
        <w:pStyle w:val="Default"/>
        <w:tabs>
          <w:tab w:val="left" w:pos="1440"/>
          <w:tab w:val="right" w:leader="dot" w:pos="9360"/>
        </w:tabs>
        <w:rPr>
          <w:rFonts w:asciiTheme="minorHAnsi" w:hAnsiTheme="minorHAnsi"/>
          <w:color w:val="auto"/>
          <w:lang w:bidi="he-IL"/>
        </w:rPr>
      </w:pPr>
      <w:r>
        <w:rPr>
          <w:rFonts w:asciiTheme="minorHAnsi" w:hAnsiTheme="minorHAnsi"/>
          <w:color w:val="auto"/>
          <w:lang w:bidi="he-IL"/>
        </w:rPr>
        <w:t>A</w:t>
      </w:r>
      <w:r w:rsidR="00756323">
        <w:rPr>
          <w:rFonts w:asciiTheme="minorHAnsi" w:hAnsiTheme="minorHAnsi"/>
          <w:color w:val="auto"/>
          <w:lang w:bidi="he-IL"/>
        </w:rPr>
        <w:t>.</w:t>
      </w:r>
      <w:r w:rsidR="009A365F">
        <w:rPr>
          <w:rFonts w:asciiTheme="minorHAnsi" w:hAnsiTheme="minorHAnsi"/>
          <w:color w:val="auto"/>
          <w:lang w:bidi="he-IL"/>
        </w:rPr>
        <w:t>16</w:t>
      </w:r>
      <w:r w:rsidR="009A365F">
        <w:rPr>
          <w:rFonts w:asciiTheme="minorHAnsi" w:hAnsiTheme="minorHAnsi"/>
          <w:color w:val="auto"/>
          <w:lang w:bidi="he-IL"/>
        </w:rPr>
        <w:tab/>
      </w:r>
      <w:r>
        <w:rPr>
          <w:rFonts w:asciiTheme="minorHAnsi" w:hAnsiTheme="minorHAnsi"/>
          <w:color w:val="auto"/>
          <w:lang w:bidi="he-IL"/>
        </w:rPr>
        <w:t>Plans for Tabulation of, Publication, and Project Time Schedule</w:t>
      </w:r>
      <w:r w:rsidR="009A365F">
        <w:rPr>
          <w:rFonts w:asciiTheme="minorHAnsi" w:hAnsiTheme="minorHAnsi"/>
          <w:color w:val="auto"/>
          <w:lang w:bidi="he-IL"/>
        </w:rPr>
        <w:tab/>
      </w:r>
      <w:r w:rsidR="00C451A2">
        <w:rPr>
          <w:rFonts w:asciiTheme="minorHAnsi" w:hAnsiTheme="minorHAnsi"/>
          <w:color w:val="auto"/>
          <w:lang w:bidi="he-IL"/>
        </w:rPr>
        <w:t>25</w:t>
      </w:r>
    </w:p>
    <w:p w:rsidR="00812785" w:rsidRDefault="00812785" w:rsidP="009A365F">
      <w:pPr>
        <w:pStyle w:val="Default"/>
        <w:tabs>
          <w:tab w:val="left" w:pos="1440"/>
          <w:tab w:val="right" w:leader="dot" w:pos="9360"/>
        </w:tabs>
        <w:rPr>
          <w:rFonts w:asciiTheme="minorHAnsi" w:hAnsiTheme="minorHAnsi"/>
          <w:color w:val="auto"/>
          <w:lang w:bidi="he-IL"/>
        </w:rPr>
      </w:pPr>
      <w:r>
        <w:rPr>
          <w:rFonts w:asciiTheme="minorHAnsi" w:hAnsiTheme="minorHAnsi"/>
          <w:color w:val="auto"/>
          <w:lang w:bidi="he-IL"/>
        </w:rPr>
        <w:t>A</w:t>
      </w:r>
      <w:r w:rsidR="00756323">
        <w:rPr>
          <w:rFonts w:asciiTheme="minorHAnsi" w:hAnsiTheme="minorHAnsi"/>
          <w:color w:val="auto"/>
          <w:lang w:bidi="he-IL"/>
        </w:rPr>
        <w:t>.</w:t>
      </w:r>
      <w:r w:rsidR="009A365F">
        <w:rPr>
          <w:rFonts w:asciiTheme="minorHAnsi" w:hAnsiTheme="minorHAnsi"/>
          <w:color w:val="auto"/>
          <w:lang w:bidi="he-IL"/>
        </w:rPr>
        <w:t>17</w:t>
      </w:r>
      <w:r w:rsidR="009A365F">
        <w:rPr>
          <w:rFonts w:asciiTheme="minorHAnsi" w:hAnsiTheme="minorHAnsi"/>
          <w:color w:val="auto"/>
          <w:lang w:bidi="he-IL"/>
        </w:rPr>
        <w:tab/>
      </w:r>
      <w:r>
        <w:rPr>
          <w:rFonts w:asciiTheme="minorHAnsi" w:hAnsiTheme="minorHAnsi"/>
          <w:color w:val="auto"/>
          <w:lang w:bidi="he-IL"/>
        </w:rPr>
        <w:t>Reasons Display of OMB Expiration Date is Inappropriate</w:t>
      </w:r>
      <w:r w:rsidR="009A365F">
        <w:rPr>
          <w:rFonts w:asciiTheme="minorHAnsi" w:hAnsiTheme="minorHAnsi"/>
          <w:color w:val="auto"/>
          <w:lang w:bidi="he-IL"/>
        </w:rPr>
        <w:tab/>
      </w:r>
      <w:r w:rsidR="00C451A2">
        <w:rPr>
          <w:rFonts w:asciiTheme="minorHAnsi" w:hAnsiTheme="minorHAnsi"/>
          <w:color w:val="auto"/>
          <w:lang w:bidi="he-IL"/>
        </w:rPr>
        <w:t>34</w:t>
      </w:r>
    </w:p>
    <w:p w:rsidR="00812785" w:rsidRDefault="00812785" w:rsidP="009A365F">
      <w:pPr>
        <w:pStyle w:val="Default"/>
        <w:tabs>
          <w:tab w:val="left" w:pos="1440"/>
          <w:tab w:val="right" w:leader="dot" w:pos="9360"/>
        </w:tabs>
        <w:rPr>
          <w:rFonts w:asciiTheme="minorHAnsi" w:hAnsiTheme="minorHAnsi"/>
          <w:color w:val="auto"/>
          <w:lang w:bidi="he-IL"/>
        </w:rPr>
      </w:pPr>
      <w:r>
        <w:rPr>
          <w:rFonts w:asciiTheme="minorHAnsi" w:hAnsiTheme="minorHAnsi"/>
          <w:color w:val="auto"/>
          <w:lang w:bidi="he-IL"/>
        </w:rPr>
        <w:t>A</w:t>
      </w:r>
      <w:r w:rsidR="00756323">
        <w:rPr>
          <w:rFonts w:asciiTheme="minorHAnsi" w:hAnsiTheme="minorHAnsi"/>
          <w:color w:val="auto"/>
          <w:lang w:bidi="he-IL"/>
        </w:rPr>
        <w:t>.</w:t>
      </w:r>
      <w:r w:rsidR="009A365F">
        <w:rPr>
          <w:rFonts w:asciiTheme="minorHAnsi" w:hAnsiTheme="minorHAnsi"/>
          <w:color w:val="auto"/>
          <w:lang w:bidi="he-IL"/>
        </w:rPr>
        <w:t>18</w:t>
      </w:r>
      <w:r w:rsidR="009A365F">
        <w:rPr>
          <w:rFonts w:asciiTheme="minorHAnsi" w:hAnsiTheme="minorHAnsi"/>
          <w:color w:val="auto"/>
          <w:lang w:bidi="he-IL"/>
        </w:rPr>
        <w:tab/>
      </w:r>
      <w:r>
        <w:rPr>
          <w:rFonts w:asciiTheme="minorHAnsi" w:hAnsiTheme="minorHAnsi"/>
          <w:color w:val="auto"/>
          <w:lang w:bidi="he-IL"/>
        </w:rPr>
        <w:t>Exemptions to Certification for Pape</w:t>
      </w:r>
      <w:r w:rsidR="009A365F">
        <w:rPr>
          <w:rFonts w:asciiTheme="minorHAnsi" w:hAnsiTheme="minorHAnsi"/>
          <w:color w:val="auto"/>
          <w:lang w:bidi="he-IL"/>
        </w:rPr>
        <w:t>rwork Reduction Act Submissions</w:t>
      </w:r>
      <w:r w:rsidR="009A365F">
        <w:rPr>
          <w:rFonts w:asciiTheme="minorHAnsi" w:hAnsiTheme="minorHAnsi"/>
          <w:color w:val="auto"/>
          <w:lang w:bidi="he-IL"/>
        </w:rPr>
        <w:tab/>
      </w:r>
      <w:r w:rsidR="00C451A2">
        <w:rPr>
          <w:rFonts w:asciiTheme="minorHAnsi" w:hAnsiTheme="minorHAnsi"/>
          <w:color w:val="auto"/>
          <w:lang w:bidi="he-IL"/>
        </w:rPr>
        <w:t>34</w:t>
      </w:r>
    </w:p>
    <w:p w:rsidR="00756323" w:rsidRDefault="00756323" w:rsidP="009A365F">
      <w:pPr>
        <w:pStyle w:val="Default"/>
        <w:tabs>
          <w:tab w:val="left" w:pos="1440"/>
          <w:tab w:val="right" w:leader="dot" w:pos="9360"/>
        </w:tabs>
        <w:rPr>
          <w:rFonts w:asciiTheme="minorHAnsi" w:hAnsiTheme="minorHAnsi"/>
          <w:color w:val="auto"/>
          <w:lang w:bidi="he-IL"/>
        </w:rPr>
      </w:pPr>
    </w:p>
    <w:p w:rsidR="006A4DAB" w:rsidRPr="009A365F" w:rsidRDefault="006A4DAB" w:rsidP="009A365F">
      <w:pPr>
        <w:pStyle w:val="Default"/>
        <w:tabs>
          <w:tab w:val="left" w:pos="1440"/>
          <w:tab w:val="right" w:leader="dot" w:pos="9360"/>
        </w:tabs>
        <w:rPr>
          <w:rFonts w:asciiTheme="minorHAnsi" w:hAnsiTheme="minorHAnsi"/>
          <w:color w:val="auto"/>
          <w:lang w:bidi="he-IL"/>
        </w:rPr>
      </w:pPr>
      <w:r>
        <w:rPr>
          <w:rFonts w:asciiTheme="minorHAnsi" w:hAnsiTheme="minorHAnsi"/>
          <w:color w:val="auto"/>
          <w:lang w:bidi="he-IL"/>
        </w:rPr>
        <w:t>References</w:t>
      </w:r>
      <w:r w:rsidR="009A365F">
        <w:rPr>
          <w:rFonts w:asciiTheme="minorHAnsi" w:hAnsiTheme="minorHAnsi"/>
          <w:color w:val="auto"/>
          <w:lang w:bidi="he-IL"/>
        </w:rPr>
        <w:tab/>
      </w:r>
      <w:r w:rsidR="009A365F">
        <w:rPr>
          <w:rFonts w:asciiTheme="minorHAnsi" w:hAnsiTheme="minorHAnsi"/>
          <w:color w:val="auto"/>
          <w:lang w:bidi="he-IL"/>
        </w:rPr>
        <w:tab/>
      </w:r>
      <w:r w:rsidR="00C451A2">
        <w:rPr>
          <w:rFonts w:asciiTheme="minorHAnsi" w:hAnsiTheme="minorHAnsi"/>
          <w:color w:val="auto"/>
          <w:lang w:bidi="he-IL"/>
        </w:rPr>
        <w:t>35</w:t>
      </w:r>
    </w:p>
    <w:p w:rsidR="00146CBB" w:rsidRDefault="00146CBB" w:rsidP="00146CBB">
      <w:pPr>
        <w:rPr>
          <w:b/>
          <w:sz w:val="24"/>
          <w:szCs w:val="24"/>
        </w:rPr>
      </w:pPr>
    </w:p>
    <w:p w:rsidR="00A51F2D" w:rsidRPr="00CF12A8" w:rsidRDefault="009B7693" w:rsidP="00146CBB">
      <w:pPr>
        <w:rPr>
          <w:b/>
          <w:sz w:val="24"/>
          <w:szCs w:val="24"/>
        </w:rPr>
      </w:pPr>
      <w:r w:rsidRPr="00CF12A8">
        <w:rPr>
          <w:b/>
          <w:sz w:val="24"/>
          <w:szCs w:val="24"/>
        </w:rPr>
        <w:t>Tables</w:t>
      </w:r>
    </w:p>
    <w:p w:rsidR="009B7693" w:rsidRDefault="009B7693" w:rsidP="009C32D9">
      <w:pPr>
        <w:pStyle w:val="PlainText"/>
        <w:rPr>
          <w:rFonts w:asciiTheme="minorHAnsi" w:hAnsiTheme="minorHAnsi"/>
          <w:sz w:val="24"/>
          <w:szCs w:val="24"/>
        </w:rPr>
      </w:pPr>
    </w:p>
    <w:p w:rsidR="009B7693" w:rsidRPr="00816A10" w:rsidRDefault="00816A10" w:rsidP="00816A10">
      <w:pPr>
        <w:pStyle w:val="Default"/>
        <w:tabs>
          <w:tab w:val="left" w:pos="1440"/>
          <w:tab w:val="right" w:leader="dot" w:pos="9360"/>
        </w:tabs>
        <w:rPr>
          <w:rFonts w:asciiTheme="minorHAnsi" w:hAnsiTheme="minorHAnsi"/>
          <w:color w:val="auto"/>
          <w:lang w:bidi="he-IL"/>
        </w:rPr>
      </w:pPr>
      <w:r w:rsidRPr="00816A10">
        <w:rPr>
          <w:rFonts w:asciiTheme="minorHAnsi" w:hAnsiTheme="minorHAnsi"/>
          <w:color w:val="auto"/>
          <w:lang w:bidi="he-IL"/>
        </w:rPr>
        <w:t>A.8.1</w:t>
      </w:r>
      <w:r>
        <w:rPr>
          <w:rFonts w:asciiTheme="minorHAnsi" w:hAnsiTheme="minorHAnsi"/>
          <w:color w:val="auto"/>
          <w:lang w:bidi="he-IL"/>
        </w:rPr>
        <w:tab/>
      </w:r>
      <w:r w:rsidR="00FB33F4" w:rsidRPr="00816A10">
        <w:rPr>
          <w:rFonts w:asciiTheme="minorHAnsi" w:hAnsiTheme="minorHAnsi"/>
          <w:color w:val="auto"/>
          <w:lang w:bidi="he-IL"/>
        </w:rPr>
        <w:t>Consultants from outside the a</w:t>
      </w:r>
      <w:r w:rsidR="009B7693" w:rsidRPr="00816A10">
        <w:rPr>
          <w:rFonts w:asciiTheme="minorHAnsi" w:hAnsiTheme="minorHAnsi"/>
          <w:color w:val="auto"/>
          <w:lang w:bidi="he-IL"/>
        </w:rPr>
        <w:t>gency and FNS</w:t>
      </w:r>
      <w:r>
        <w:rPr>
          <w:rFonts w:asciiTheme="minorHAnsi" w:hAnsiTheme="minorHAnsi"/>
          <w:color w:val="auto"/>
          <w:lang w:bidi="he-IL"/>
        </w:rPr>
        <w:tab/>
      </w:r>
      <w:r w:rsidR="00C451A2">
        <w:rPr>
          <w:rFonts w:asciiTheme="minorHAnsi" w:hAnsiTheme="minorHAnsi"/>
          <w:color w:val="auto"/>
          <w:lang w:bidi="he-IL"/>
        </w:rPr>
        <w:t>15</w:t>
      </w:r>
    </w:p>
    <w:p w:rsidR="009B7693" w:rsidRDefault="00816A10" w:rsidP="00567F1A">
      <w:pPr>
        <w:pStyle w:val="Default"/>
        <w:tabs>
          <w:tab w:val="left" w:pos="1440"/>
          <w:tab w:val="right" w:leader="dot" w:pos="9360"/>
        </w:tabs>
        <w:ind w:left="1440" w:hanging="1440"/>
        <w:rPr>
          <w:rFonts w:asciiTheme="minorHAnsi" w:hAnsiTheme="minorHAnsi"/>
          <w:color w:val="auto"/>
          <w:lang w:bidi="he-IL"/>
        </w:rPr>
      </w:pPr>
      <w:r w:rsidRPr="00816A10">
        <w:rPr>
          <w:rFonts w:asciiTheme="minorHAnsi" w:hAnsiTheme="minorHAnsi"/>
          <w:color w:val="auto"/>
          <w:lang w:bidi="he-IL"/>
        </w:rPr>
        <w:t>A.12.1</w:t>
      </w:r>
      <w:r w:rsidR="00EB24A1">
        <w:rPr>
          <w:rFonts w:asciiTheme="minorHAnsi" w:hAnsiTheme="minorHAnsi"/>
          <w:color w:val="auto"/>
          <w:lang w:bidi="he-IL"/>
        </w:rPr>
        <w:t>a</w:t>
      </w:r>
      <w:r>
        <w:rPr>
          <w:rFonts w:asciiTheme="minorHAnsi" w:hAnsiTheme="minorHAnsi"/>
          <w:color w:val="auto"/>
          <w:lang w:bidi="he-IL"/>
        </w:rPr>
        <w:tab/>
      </w:r>
      <w:r w:rsidR="009B7693" w:rsidRPr="00816A10">
        <w:rPr>
          <w:rFonts w:asciiTheme="minorHAnsi" w:hAnsiTheme="minorHAnsi"/>
          <w:color w:val="auto"/>
          <w:lang w:bidi="he-IL"/>
        </w:rPr>
        <w:t xml:space="preserve">Estimated </w:t>
      </w:r>
      <w:r w:rsidR="00567F1A">
        <w:rPr>
          <w:rFonts w:asciiTheme="minorHAnsi" w:hAnsiTheme="minorHAnsi"/>
          <w:color w:val="auto"/>
          <w:lang w:bidi="he-IL"/>
        </w:rPr>
        <w:t>annualized respondent hour burden and annualized cost to respondents</w:t>
      </w:r>
      <w:r w:rsidR="00EB24A1">
        <w:rPr>
          <w:rFonts w:asciiTheme="minorHAnsi" w:hAnsiTheme="minorHAnsi"/>
          <w:color w:val="auto"/>
          <w:lang w:bidi="he-IL"/>
        </w:rPr>
        <w:t xml:space="preserve"> – individuals/households reporting</w:t>
      </w:r>
      <w:r>
        <w:rPr>
          <w:rFonts w:asciiTheme="minorHAnsi" w:hAnsiTheme="minorHAnsi"/>
          <w:color w:val="auto"/>
          <w:lang w:bidi="he-IL"/>
        </w:rPr>
        <w:tab/>
      </w:r>
      <w:r w:rsidR="00C451A2">
        <w:rPr>
          <w:rFonts w:asciiTheme="minorHAnsi" w:hAnsiTheme="minorHAnsi"/>
          <w:color w:val="auto"/>
          <w:lang w:bidi="he-IL"/>
        </w:rPr>
        <w:t>20</w:t>
      </w:r>
    </w:p>
    <w:p w:rsidR="00EB24A1" w:rsidRDefault="00EB24A1" w:rsidP="00567F1A">
      <w:pPr>
        <w:pStyle w:val="Default"/>
        <w:tabs>
          <w:tab w:val="left" w:pos="1440"/>
          <w:tab w:val="right" w:leader="dot" w:pos="9360"/>
        </w:tabs>
        <w:ind w:left="1440" w:hanging="1440"/>
        <w:rPr>
          <w:rFonts w:asciiTheme="minorHAnsi" w:hAnsiTheme="minorHAnsi"/>
          <w:color w:val="auto"/>
          <w:lang w:bidi="he-IL"/>
        </w:rPr>
      </w:pPr>
      <w:r>
        <w:rPr>
          <w:rFonts w:asciiTheme="minorHAnsi" w:hAnsiTheme="minorHAnsi"/>
          <w:color w:val="auto"/>
          <w:lang w:bidi="he-IL"/>
        </w:rPr>
        <w:t>A.12.1b</w:t>
      </w:r>
      <w:r>
        <w:rPr>
          <w:rFonts w:asciiTheme="minorHAnsi" w:hAnsiTheme="minorHAnsi"/>
          <w:color w:val="auto"/>
          <w:lang w:bidi="he-IL"/>
        </w:rPr>
        <w:tab/>
        <w:t>Estimated annualized respondent hour burden and annualized cost to</w:t>
      </w:r>
    </w:p>
    <w:p w:rsidR="00EB24A1" w:rsidRDefault="00EB24A1" w:rsidP="00567F1A">
      <w:pPr>
        <w:pStyle w:val="Default"/>
        <w:tabs>
          <w:tab w:val="left" w:pos="1440"/>
          <w:tab w:val="right" w:leader="dot" w:pos="9360"/>
        </w:tabs>
        <w:ind w:left="1440" w:hanging="1440"/>
        <w:rPr>
          <w:rFonts w:asciiTheme="minorHAnsi" w:hAnsiTheme="minorHAnsi"/>
          <w:color w:val="auto"/>
          <w:lang w:bidi="he-IL"/>
        </w:rPr>
      </w:pPr>
      <w:r>
        <w:rPr>
          <w:rFonts w:asciiTheme="minorHAnsi" w:hAnsiTheme="minorHAnsi"/>
          <w:color w:val="auto"/>
          <w:lang w:bidi="he-IL"/>
        </w:rPr>
        <w:tab/>
        <w:t>respondents – state agencies reporting</w:t>
      </w:r>
      <w:r>
        <w:rPr>
          <w:rFonts w:asciiTheme="minorHAnsi" w:hAnsiTheme="minorHAnsi"/>
          <w:color w:val="auto"/>
          <w:lang w:bidi="he-IL"/>
        </w:rPr>
        <w:tab/>
      </w:r>
      <w:r w:rsidR="00C451A2">
        <w:rPr>
          <w:rFonts w:asciiTheme="minorHAnsi" w:hAnsiTheme="minorHAnsi"/>
          <w:color w:val="auto"/>
          <w:lang w:bidi="he-IL"/>
        </w:rPr>
        <w:t>21</w:t>
      </w:r>
    </w:p>
    <w:p w:rsidR="00EB24A1" w:rsidRDefault="00EB24A1" w:rsidP="00567F1A">
      <w:pPr>
        <w:pStyle w:val="Default"/>
        <w:tabs>
          <w:tab w:val="left" w:pos="1440"/>
          <w:tab w:val="right" w:leader="dot" w:pos="9360"/>
        </w:tabs>
        <w:ind w:left="1440" w:hanging="1440"/>
        <w:rPr>
          <w:rFonts w:asciiTheme="minorHAnsi" w:hAnsiTheme="minorHAnsi"/>
          <w:color w:val="auto"/>
          <w:lang w:bidi="he-IL"/>
        </w:rPr>
      </w:pPr>
      <w:r>
        <w:rPr>
          <w:rFonts w:asciiTheme="minorHAnsi" w:hAnsiTheme="minorHAnsi"/>
          <w:color w:val="auto"/>
          <w:lang w:bidi="he-IL"/>
        </w:rPr>
        <w:t>A.12.1c</w:t>
      </w:r>
      <w:r>
        <w:rPr>
          <w:rFonts w:asciiTheme="minorHAnsi" w:hAnsiTheme="minorHAnsi"/>
          <w:color w:val="auto"/>
          <w:lang w:bidi="he-IL"/>
        </w:rPr>
        <w:tab/>
        <w:t>Estimated annualized respondent hour burden and annualized cost to</w:t>
      </w:r>
    </w:p>
    <w:p w:rsidR="00EB24A1" w:rsidRDefault="00EB24A1" w:rsidP="00567F1A">
      <w:pPr>
        <w:pStyle w:val="Default"/>
        <w:tabs>
          <w:tab w:val="left" w:pos="1440"/>
          <w:tab w:val="right" w:leader="dot" w:pos="9360"/>
        </w:tabs>
        <w:ind w:left="1440" w:hanging="1440"/>
        <w:rPr>
          <w:rFonts w:asciiTheme="minorHAnsi" w:hAnsiTheme="minorHAnsi"/>
          <w:color w:val="auto"/>
          <w:lang w:bidi="he-IL"/>
        </w:rPr>
      </w:pPr>
      <w:r>
        <w:rPr>
          <w:rFonts w:asciiTheme="minorHAnsi" w:hAnsiTheme="minorHAnsi"/>
          <w:color w:val="auto"/>
          <w:lang w:bidi="he-IL"/>
        </w:rPr>
        <w:tab/>
        <w:t>Respondents – business (not-for-profit) (sponsors) reporting</w:t>
      </w:r>
      <w:r>
        <w:rPr>
          <w:rFonts w:asciiTheme="minorHAnsi" w:hAnsiTheme="minorHAnsi"/>
          <w:color w:val="auto"/>
          <w:lang w:bidi="he-IL"/>
        </w:rPr>
        <w:tab/>
      </w:r>
      <w:r w:rsidR="00C451A2">
        <w:rPr>
          <w:rFonts w:asciiTheme="minorHAnsi" w:hAnsiTheme="minorHAnsi"/>
          <w:color w:val="auto"/>
          <w:lang w:bidi="he-IL"/>
        </w:rPr>
        <w:t>22</w:t>
      </w:r>
    </w:p>
    <w:p w:rsidR="00EB24A1" w:rsidRPr="00816A10" w:rsidRDefault="00EB24A1" w:rsidP="00567F1A">
      <w:pPr>
        <w:pStyle w:val="Default"/>
        <w:tabs>
          <w:tab w:val="left" w:pos="1440"/>
          <w:tab w:val="right" w:leader="dot" w:pos="9360"/>
        </w:tabs>
        <w:ind w:left="1440" w:hanging="1440"/>
        <w:rPr>
          <w:rFonts w:asciiTheme="minorHAnsi" w:hAnsiTheme="minorHAnsi"/>
          <w:color w:val="auto"/>
          <w:lang w:bidi="he-IL"/>
        </w:rPr>
      </w:pPr>
      <w:r>
        <w:rPr>
          <w:rFonts w:asciiTheme="minorHAnsi" w:hAnsiTheme="minorHAnsi"/>
          <w:color w:val="auto"/>
          <w:lang w:bidi="he-IL"/>
        </w:rPr>
        <w:t>A.12.1d</w:t>
      </w:r>
      <w:r>
        <w:rPr>
          <w:rFonts w:asciiTheme="minorHAnsi" w:hAnsiTheme="minorHAnsi"/>
          <w:color w:val="auto"/>
          <w:lang w:bidi="he-IL"/>
        </w:rPr>
        <w:tab/>
        <w:t>Summary of annualized burden and cost to respondents</w:t>
      </w:r>
      <w:r>
        <w:rPr>
          <w:rFonts w:asciiTheme="minorHAnsi" w:hAnsiTheme="minorHAnsi"/>
          <w:color w:val="auto"/>
          <w:lang w:bidi="he-IL"/>
        </w:rPr>
        <w:tab/>
      </w:r>
      <w:r w:rsidR="00C451A2">
        <w:rPr>
          <w:rFonts w:asciiTheme="minorHAnsi" w:hAnsiTheme="minorHAnsi"/>
          <w:color w:val="auto"/>
          <w:lang w:bidi="he-IL"/>
        </w:rPr>
        <w:t>23</w:t>
      </w:r>
    </w:p>
    <w:p w:rsidR="009B7693" w:rsidRPr="00816A10" w:rsidRDefault="00816A10" w:rsidP="00816A10">
      <w:pPr>
        <w:pStyle w:val="Default"/>
        <w:tabs>
          <w:tab w:val="left" w:pos="1440"/>
          <w:tab w:val="right" w:leader="dot" w:pos="9360"/>
        </w:tabs>
        <w:rPr>
          <w:rFonts w:asciiTheme="minorHAnsi" w:hAnsiTheme="minorHAnsi"/>
          <w:color w:val="auto"/>
          <w:lang w:bidi="he-IL"/>
        </w:rPr>
      </w:pPr>
      <w:r w:rsidRPr="00816A10">
        <w:rPr>
          <w:rFonts w:asciiTheme="minorHAnsi" w:hAnsiTheme="minorHAnsi"/>
          <w:color w:val="auto"/>
          <w:lang w:bidi="he-IL"/>
        </w:rPr>
        <w:t>A.14.1</w:t>
      </w:r>
      <w:r>
        <w:rPr>
          <w:rFonts w:asciiTheme="minorHAnsi" w:hAnsiTheme="minorHAnsi"/>
          <w:color w:val="auto"/>
          <w:lang w:bidi="he-IL"/>
        </w:rPr>
        <w:tab/>
      </w:r>
      <w:r w:rsidR="009B7693" w:rsidRPr="00816A10">
        <w:rPr>
          <w:rFonts w:asciiTheme="minorHAnsi" w:hAnsiTheme="minorHAnsi"/>
          <w:color w:val="auto"/>
          <w:lang w:bidi="he-IL"/>
        </w:rPr>
        <w:t>Estimated annualized cost to the Federal government</w:t>
      </w:r>
      <w:r>
        <w:rPr>
          <w:rFonts w:asciiTheme="minorHAnsi" w:hAnsiTheme="minorHAnsi"/>
          <w:color w:val="auto"/>
          <w:lang w:bidi="he-IL"/>
        </w:rPr>
        <w:tab/>
      </w:r>
      <w:r w:rsidR="00C451A2">
        <w:rPr>
          <w:rFonts w:asciiTheme="minorHAnsi" w:hAnsiTheme="minorHAnsi"/>
          <w:color w:val="auto"/>
          <w:lang w:bidi="he-IL"/>
        </w:rPr>
        <w:t>25</w:t>
      </w:r>
    </w:p>
    <w:p w:rsidR="00A51F2D" w:rsidRPr="00816A10" w:rsidRDefault="00816A10" w:rsidP="00816A10">
      <w:pPr>
        <w:pStyle w:val="Default"/>
        <w:tabs>
          <w:tab w:val="left" w:pos="1440"/>
          <w:tab w:val="right" w:leader="dot" w:pos="9360"/>
        </w:tabs>
        <w:rPr>
          <w:rFonts w:asciiTheme="minorHAnsi" w:hAnsiTheme="minorHAnsi"/>
          <w:color w:val="auto"/>
          <w:lang w:bidi="he-IL"/>
        </w:rPr>
      </w:pPr>
      <w:r w:rsidRPr="00816A10">
        <w:rPr>
          <w:rFonts w:asciiTheme="minorHAnsi" w:hAnsiTheme="minorHAnsi"/>
          <w:color w:val="auto"/>
          <w:lang w:bidi="he-IL"/>
        </w:rPr>
        <w:t>A.16.1</w:t>
      </w:r>
      <w:r>
        <w:rPr>
          <w:rFonts w:asciiTheme="minorHAnsi" w:hAnsiTheme="minorHAnsi"/>
          <w:color w:val="auto"/>
          <w:lang w:bidi="he-IL"/>
        </w:rPr>
        <w:tab/>
      </w:r>
      <w:r w:rsidR="009B7693" w:rsidRPr="00816A10">
        <w:rPr>
          <w:rFonts w:asciiTheme="minorHAnsi" w:hAnsiTheme="minorHAnsi"/>
          <w:color w:val="auto"/>
          <w:lang w:bidi="he-IL"/>
        </w:rPr>
        <w:t>Proje</w:t>
      </w:r>
      <w:r w:rsidR="00575C6F" w:rsidRPr="00816A10">
        <w:rPr>
          <w:rFonts w:asciiTheme="minorHAnsi" w:hAnsiTheme="minorHAnsi"/>
          <w:color w:val="auto"/>
          <w:lang w:bidi="he-IL"/>
        </w:rPr>
        <w:t>c</w:t>
      </w:r>
      <w:r w:rsidR="009B7693" w:rsidRPr="00816A10">
        <w:rPr>
          <w:rFonts w:asciiTheme="minorHAnsi" w:hAnsiTheme="minorHAnsi"/>
          <w:color w:val="auto"/>
          <w:lang w:bidi="he-IL"/>
        </w:rPr>
        <w:t>t data collection and reporting schedule</w:t>
      </w:r>
      <w:r>
        <w:rPr>
          <w:rFonts w:asciiTheme="minorHAnsi" w:hAnsiTheme="minorHAnsi"/>
          <w:color w:val="auto"/>
          <w:lang w:bidi="he-IL"/>
        </w:rPr>
        <w:tab/>
      </w:r>
      <w:r w:rsidR="00C451A2">
        <w:rPr>
          <w:rFonts w:asciiTheme="minorHAnsi" w:hAnsiTheme="minorHAnsi"/>
          <w:color w:val="auto"/>
          <w:lang w:bidi="he-IL"/>
        </w:rPr>
        <w:t>26</w:t>
      </w:r>
    </w:p>
    <w:p w:rsidR="00816A10" w:rsidRDefault="00816A10" w:rsidP="009C32D9">
      <w:pPr>
        <w:pStyle w:val="PlainText"/>
        <w:rPr>
          <w:rFonts w:asciiTheme="minorHAnsi" w:hAnsiTheme="minorHAnsi"/>
          <w:sz w:val="24"/>
          <w:szCs w:val="24"/>
        </w:rPr>
      </w:pPr>
    </w:p>
    <w:p w:rsidR="00146CBB" w:rsidRDefault="00146CBB" w:rsidP="009C32D9">
      <w:pPr>
        <w:pStyle w:val="PlainText"/>
        <w:rPr>
          <w:rFonts w:asciiTheme="minorHAnsi" w:hAnsiTheme="minorHAnsi"/>
          <w:sz w:val="24"/>
          <w:szCs w:val="24"/>
        </w:rPr>
        <w:sectPr w:rsidR="00146CBB" w:rsidSect="00146CBB">
          <w:footerReference w:type="default" r:id="rId11"/>
          <w:pgSz w:w="12240" w:h="15840"/>
          <w:pgMar w:top="1440" w:right="1440" w:bottom="1440" w:left="1440" w:header="720" w:footer="720" w:gutter="0"/>
          <w:pgNumType w:fmt="lowerRoman" w:start="3"/>
          <w:cols w:space="720"/>
          <w:docGrid w:linePitch="360"/>
        </w:sectPr>
      </w:pPr>
    </w:p>
    <w:p w:rsidR="00146CBB" w:rsidRPr="00970102" w:rsidRDefault="00146CBB" w:rsidP="00146CBB">
      <w:pPr>
        <w:jc w:val="center"/>
        <w:rPr>
          <w:rFonts w:cs="Arial"/>
          <w:sz w:val="24"/>
        </w:rPr>
      </w:pPr>
      <w:r w:rsidRPr="00970102">
        <w:rPr>
          <w:rFonts w:cs="Arial"/>
          <w:sz w:val="24"/>
        </w:rPr>
        <w:lastRenderedPageBreak/>
        <w:t>Page Left Intentionally Blank</w:t>
      </w:r>
    </w:p>
    <w:p w:rsidR="00A51F2D" w:rsidRDefault="00A51F2D" w:rsidP="009C32D9">
      <w:pPr>
        <w:pStyle w:val="PlainText"/>
        <w:rPr>
          <w:rFonts w:asciiTheme="minorHAnsi" w:hAnsiTheme="minorHAnsi"/>
          <w:sz w:val="24"/>
          <w:szCs w:val="24"/>
        </w:rPr>
        <w:sectPr w:rsidR="00A51F2D" w:rsidSect="00146CBB">
          <w:footerReference w:type="default" r:id="rId12"/>
          <w:pgSz w:w="12240" w:h="15840" w:code="1"/>
          <w:pgMar w:top="1440" w:right="1440" w:bottom="1440" w:left="1440" w:header="720" w:footer="720" w:gutter="0"/>
          <w:pgNumType w:fmt="lowerRoman" w:start="3"/>
          <w:cols w:space="720"/>
          <w:vAlign w:val="center"/>
          <w:docGrid w:linePitch="360"/>
        </w:sectPr>
      </w:pPr>
    </w:p>
    <w:p w:rsidR="00EE0568" w:rsidRDefault="00EE0568">
      <w:pPr>
        <w:rPr>
          <w:b/>
          <w:sz w:val="24"/>
          <w:szCs w:val="24"/>
        </w:rPr>
      </w:pPr>
      <w:r>
        <w:rPr>
          <w:b/>
          <w:sz w:val="24"/>
          <w:szCs w:val="24"/>
        </w:rPr>
        <w:lastRenderedPageBreak/>
        <w:t>A.</w:t>
      </w:r>
      <w:r>
        <w:rPr>
          <w:b/>
          <w:sz w:val="24"/>
          <w:szCs w:val="24"/>
        </w:rPr>
        <w:tab/>
        <w:t>Justification</w:t>
      </w:r>
    </w:p>
    <w:p w:rsidR="007C3F36" w:rsidRPr="007C3F36" w:rsidRDefault="00E266A4" w:rsidP="007C3F36">
      <w:pPr>
        <w:pStyle w:val="Default"/>
        <w:ind w:left="720" w:hanging="720"/>
        <w:rPr>
          <w:rFonts w:asciiTheme="minorHAnsi" w:hAnsiTheme="minorHAnsi" w:cstheme="minorBidi"/>
          <w:b/>
          <w:color w:val="auto"/>
        </w:rPr>
      </w:pPr>
      <w:r w:rsidRPr="007C3F36">
        <w:rPr>
          <w:rFonts w:asciiTheme="minorHAnsi" w:hAnsiTheme="minorHAnsi" w:cstheme="minorBidi"/>
          <w:b/>
          <w:color w:val="auto"/>
        </w:rPr>
        <w:t>A.1</w:t>
      </w:r>
      <w:r w:rsidRPr="007C3F36">
        <w:rPr>
          <w:rFonts w:asciiTheme="minorHAnsi" w:hAnsiTheme="minorHAnsi" w:cstheme="minorBidi"/>
          <w:b/>
          <w:color w:val="auto"/>
        </w:rPr>
        <w:tab/>
      </w:r>
      <w:r w:rsidR="007C3F36" w:rsidRPr="007C3F36">
        <w:rPr>
          <w:rFonts w:asciiTheme="minorHAnsi" w:hAnsiTheme="minorHAnsi" w:cstheme="minorBidi"/>
          <w:b/>
          <w:color w:val="auto"/>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266A4" w:rsidRDefault="00E266A4" w:rsidP="00CB6E92">
      <w:pPr>
        <w:rPr>
          <w:b/>
          <w:sz w:val="24"/>
          <w:szCs w:val="24"/>
        </w:rPr>
      </w:pPr>
    </w:p>
    <w:p w:rsidR="002E3967" w:rsidRDefault="002028A0">
      <w:pPr>
        <w:pStyle w:val="L1-FlLSp12"/>
        <w:spacing w:line="480" w:lineRule="auto"/>
        <w:rPr>
          <w:rFonts w:asciiTheme="minorHAnsi" w:hAnsiTheme="minorHAnsi"/>
        </w:rPr>
      </w:pPr>
      <w:r>
        <w:rPr>
          <w:rFonts w:asciiTheme="minorHAnsi" w:hAnsiTheme="minorHAnsi"/>
        </w:rPr>
        <w:t xml:space="preserve">This is a new information collection request.  </w:t>
      </w:r>
      <w:r w:rsidR="006E21A4" w:rsidRPr="006E21A4">
        <w:rPr>
          <w:rFonts w:asciiTheme="minorHAnsi" w:hAnsiTheme="minorHAnsi"/>
        </w:rPr>
        <w:t>The mission of the Food and Nutrition Service (FNS) within the US</w:t>
      </w:r>
      <w:r w:rsidR="002A191D">
        <w:rPr>
          <w:rFonts w:asciiTheme="minorHAnsi" w:hAnsiTheme="minorHAnsi"/>
        </w:rPr>
        <w:t xml:space="preserve"> Department of Agriculture (US</w:t>
      </w:r>
      <w:r w:rsidR="006E21A4" w:rsidRPr="006E21A4">
        <w:rPr>
          <w:rFonts w:asciiTheme="minorHAnsi" w:hAnsiTheme="minorHAnsi"/>
        </w:rPr>
        <w:t>DA</w:t>
      </w:r>
      <w:r w:rsidR="002A191D">
        <w:rPr>
          <w:rFonts w:asciiTheme="minorHAnsi" w:hAnsiTheme="minorHAnsi"/>
        </w:rPr>
        <w:t>)</w:t>
      </w:r>
      <w:r w:rsidR="006E21A4" w:rsidRPr="006E21A4">
        <w:rPr>
          <w:rFonts w:asciiTheme="minorHAnsi" w:hAnsiTheme="minorHAnsi"/>
        </w:rPr>
        <w:t xml:space="preserve"> is to ensure that children and low-income families have access to food and a more healthful diet. Thus, the FNS administers nutrition assistance programs for children and needy families. Examples of FNS nutrition programs</w:t>
      </w:r>
      <w:r w:rsidR="00676278">
        <w:rPr>
          <w:rFonts w:asciiTheme="minorHAnsi" w:hAnsiTheme="minorHAnsi"/>
        </w:rPr>
        <w:t xml:space="preserve"> </w:t>
      </w:r>
      <w:r w:rsidR="006E21A4" w:rsidRPr="006E21A4">
        <w:rPr>
          <w:rFonts w:asciiTheme="minorHAnsi" w:hAnsiTheme="minorHAnsi"/>
        </w:rPr>
        <w:t>are the Women, Infants and Children (WIC) program</w:t>
      </w:r>
      <w:r w:rsidR="002A191D">
        <w:rPr>
          <w:rFonts w:asciiTheme="minorHAnsi" w:hAnsiTheme="minorHAnsi"/>
        </w:rPr>
        <w:t>;</w:t>
      </w:r>
      <w:r w:rsidR="006E21A4" w:rsidRPr="006E21A4">
        <w:rPr>
          <w:rFonts w:asciiTheme="minorHAnsi" w:hAnsiTheme="minorHAnsi"/>
        </w:rPr>
        <w:t xml:space="preserve"> the National School Lunch Program (NSLP)</w:t>
      </w:r>
      <w:r w:rsidR="002A191D">
        <w:rPr>
          <w:rFonts w:asciiTheme="minorHAnsi" w:hAnsiTheme="minorHAnsi"/>
        </w:rPr>
        <w:t>;</w:t>
      </w:r>
      <w:r w:rsidR="006E21A4" w:rsidRPr="006E21A4">
        <w:rPr>
          <w:rFonts w:asciiTheme="minorHAnsi" w:hAnsiTheme="minorHAnsi"/>
        </w:rPr>
        <w:t xml:space="preserve"> the School Breakfast Program (SBP</w:t>
      </w:r>
      <w:r w:rsidR="002A191D" w:rsidRPr="006E21A4">
        <w:rPr>
          <w:rFonts w:asciiTheme="minorHAnsi" w:hAnsiTheme="minorHAnsi"/>
        </w:rPr>
        <w:t>)</w:t>
      </w:r>
      <w:r w:rsidR="002A191D">
        <w:rPr>
          <w:rFonts w:asciiTheme="minorHAnsi" w:hAnsiTheme="minorHAnsi"/>
        </w:rPr>
        <w:t xml:space="preserve">; </w:t>
      </w:r>
      <w:r w:rsidR="006E21A4" w:rsidRPr="006E21A4">
        <w:rPr>
          <w:rFonts w:asciiTheme="minorHAnsi" w:hAnsiTheme="minorHAnsi"/>
        </w:rPr>
        <w:t>and the Summer Food Service Program (SFSP).</w:t>
      </w:r>
    </w:p>
    <w:p w:rsidR="002E3967" w:rsidRDefault="002E3967">
      <w:pPr>
        <w:pStyle w:val="L1-FlLSp12"/>
        <w:spacing w:line="480" w:lineRule="auto"/>
        <w:rPr>
          <w:rFonts w:asciiTheme="minorHAnsi" w:hAnsiTheme="minorHAnsi" w:cs="Calibri"/>
          <w:szCs w:val="24"/>
        </w:rPr>
      </w:pPr>
    </w:p>
    <w:p w:rsidR="00A66859" w:rsidRDefault="006E21A4">
      <w:pPr>
        <w:pStyle w:val="L1-FlLSp12"/>
        <w:spacing w:line="480" w:lineRule="auto"/>
        <w:rPr>
          <w:rFonts w:asciiTheme="minorHAnsi" w:hAnsiTheme="minorHAnsi"/>
          <w:szCs w:val="24"/>
        </w:rPr>
        <w:sectPr w:rsidR="00A66859" w:rsidSect="00A66859">
          <w:footerReference w:type="default" r:id="rId13"/>
          <w:pgSz w:w="12240" w:h="15840"/>
          <w:pgMar w:top="1350" w:right="1440" w:bottom="1440" w:left="1440" w:header="720" w:footer="720" w:gutter="0"/>
          <w:pgNumType w:start="1"/>
          <w:cols w:space="720"/>
          <w:docGrid w:linePitch="360"/>
        </w:sectPr>
      </w:pPr>
      <w:r w:rsidRPr="006E21A4">
        <w:rPr>
          <w:rFonts w:asciiTheme="minorHAnsi" w:hAnsiTheme="minorHAnsi" w:cs="Calibri"/>
          <w:szCs w:val="24"/>
        </w:rPr>
        <w:t xml:space="preserve">The NSLP and SBP offer balanced meals at no cost or reduced cost to children living in households with limited resources. However, school-age children are more susceptible to food insecurity during the summer when they do not have access to meals provided at school (Nord </w:t>
      </w:r>
      <w:r w:rsidR="00057817">
        <w:rPr>
          <w:rFonts w:asciiTheme="minorHAnsi" w:hAnsiTheme="minorHAnsi" w:cs="Calibri"/>
          <w:szCs w:val="24"/>
        </w:rPr>
        <w:t>&amp; Romig</w:t>
      </w:r>
      <w:r w:rsidRPr="006E21A4">
        <w:rPr>
          <w:rFonts w:asciiTheme="minorHAnsi" w:hAnsiTheme="minorHAnsi" w:cs="Calibri"/>
          <w:szCs w:val="24"/>
        </w:rPr>
        <w:t xml:space="preserve">., 2006). To fill this gap, the </w:t>
      </w:r>
      <w:r w:rsidRPr="006E21A4">
        <w:rPr>
          <w:rFonts w:asciiTheme="minorHAnsi" w:hAnsiTheme="minorHAnsi"/>
          <w:szCs w:val="24"/>
        </w:rPr>
        <w:t>SFSP, established by the National School Lunch Act of 1968 as the Special Food Service Program for Children (P.L. 90-302), was created to ensure that low-income children continue to receive nutritious meals when school is not in session.</w:t>
      </w:r>
      <w:r w:rsidRPr="006E21A4">
        <w:rPr>
          <w:rStyle w:val="FootnoteReference"/>
          <w:rFonts w:asciiTheme="minorHAnsi" w:hAnsiTheme="minorHAnsi"/>
          <w:szCs w:val="24"/>
        </w:rPr>
        <w:footnoteReference w:id="1"/>
      </w:r>
      <w:r w:rsidRPr="006E21A4">
        <w:rPr>
          <w:rFonts w:asciiTheme="minorHAnsi" w:hAnsiTheme="minorHAnsi"/>
          <w:szCs w:val="24"/>
        </w:rPr>
        <w:t xml:space="preserve"> Through the program, approved sponsors provide free meals to children in areas with significant concentrations of low-income households. Eligible sponsoring organizations include schools</w:t>
      </w:r>
      <w:r w:rsidR="009C32D9">
        <w:rPr>
          <w:rFonts w:asciiTheme="minorHAnsi" w:hAnsiTheme="minorHAnsi"/>
          <w:szCs w:val="24"/>
        </w:rPr>
        <w:t>;</w:t>
      </w:r>
      <w:r w:rsidRPr="006E21A4">
        <w:rPr>
          <w:rFonts w:asciiTheme="minorHAnsi" w:hAnsiTheme="minorHAnsi"/>
          <w:szCs w:val="24"/>
        </w:rPr>
        <w:t xml:space="preserve"> camps</w:t>
      </w:r>
      <w:r w:rsidR="009C32D9">
        <w:rPr>
          <w:rFonts w:asciiTheme="minorHAnsi" w:hAnsiTheme="minorHAnsi"/>
          <w:szCs w:val="24"/>
        </w:rPr>
        <w:t>;</w:t>
      </w:r>
      <w:r w:rsidRPr="006E21A4">
        <w:rPr>
          <w:rFonts w:asciiTheme="minorHAnsi" w:hAnsiTheme="minorHAnsi"/>
          <w:szCs w:val="24"/>
        </w:rPr>
        <w:t xml:space="preserve"> colleges and universities participating in the National Youth Sports Program (NYSP); </w:t>
      </w:r>
    </w:p>
    <w:p w:rsidR="002E3967" w:rsidRDefault="006E21A4">
      <w:pPr>
        <w:pStyle w:val="L1-FlLSp12"/>
        <w:spacing w:line="480" w:lineRule="auto"/>
        <w:rPr>
          <w:rFonts w:cs="Calibri"/>
          <w:szCs w:val="24"/>
        </w:rPr>
      </w:pPr>
      <w:r w:rsidRPr="006E21A4">
        <w:rPr>
          <w:rFonts w:asciiTheme="minorHAnsi" w:hAnsiTheme="minorHAnsi"/>
          <w:szCs w:val="24"/>
        </w:rPr>
        <w:lastRenderedPageBreak/>
        <w:t>units of Federal, state, or local government; and other community- or faith-based organizations. Sponsors receive Federal reimbursement from the USDA through their state administering agency to assist with the costs of preparing and serving meals at feeding sites.</w:t>
      </w:r>
      <w:r w:rsidR="006A7A93">
        <w:rPr>
          <w:rFonts w:asciiTheme="minorHAnsi" w:hAnsiTheme="minorHAnsi"/>
          <w:szCs w:val="24"/>
        </w:rPr>
        <w:t xml:space="preserve">  </w:t>
      </w:r>
    </w:p>
    <w:p w:rsidR="002E3967" w:rsidRDefault="006E21A4">
      <w:pPr>
        <w:pStyle w:val="L1-FlLSp12"/>
        <w:spacing w:line="480" w:lineRule="auto"/>
        <w:rPr>
          <w:rFonts w:asciiTheme="minorHAnsi" w:hAnsiTheme="minorHAnsi"/>
          <w:szCs w:val="24"/>
        </w:rPr>
      </w:pPr>
      <w:r w:rsidRPr="00CB6E92">
        <w:rPr>
          <w:rFonts w:asciiTheme="minorHAnsi" w:hAnsiTheme="minorHAnsi"/>
          <w:szCs w:val="24"/>
        </w:rPr>
        <w:t xml:space="preserve">Children who are eligible to receive meals at these sites are eligible for the four </w:t>
      </w:r>
      <w:r w:rsidR="006A7A93">
        <w:rPr>
          <w:rFonts w:asciiTheme="minorHAnsi" w:hAnsiTheme="minorHAnsi"/>
          <w:szCs w:val="24"/>
        </w:rPr>
        <w:t xml:space="preserve">different types of </w:t>
      </w:r>
      <w:r w:rsidRPr="00CB6E92">
        <w:rPr>
          <w:rFonts w:asciiTheme="minorHAnsi" w:hAnsiTheme="minorHAnsi"/>
          <w:szCs w:val="24"/>
        </w:rPr>
        <w:t xml:space="preserve">demonstration projects that will be evaluated under this </w:t>
      </w:r>
      <w:r w:rsidR="006A7A93">
        <w:rPr>
          <w:rFonts w:asciiTheme="minorHAnsi" w:hAnsiTheme="minorHAnsi"/>
          <w:szCs w:val="24"/>
        </w:rPr>
        <w:t>information collection.</w:t>
      </w:r>
    </w:p>
    <w:p w:rsidR="002E3967" w:rsidRDefault="002E3967">
      <w:pPr>
        <w:pStyle w:val="L1-FlLSp12"/>
        <w:spacing w:line="480" w:lineRule="auto"/>
        <w:rPr>
          <w:rFonts w:asciiTheme="minorHAnsi" w:hAnsiTheme="minorHAnsi"/>
          <w:szCs w:val="24"/>
        </w:rPr>
      </w:pPr>
    </w:p>
    <w:p w:rsidR="002E3967" w:rsidRDefault="006E21A4">
      <w:pPr>
        <w:pStyle w:val="L1-FlLSp12"/>
        <w:spacing w:line="480" w:lineRule="auto"/>
        <w:rPr>
          <w:rFonts w:asciiTheme="minorHAnsi" w:hAnsiTheme="minorHAnsi"/>
          <w:szCs w:val="24"/>
        </w:rPr>
      </w:pPr>
      <w:r w:rsidRPr="00CB6E92">
        <w:rPr>
          <w:rFonts w:asciiTheme="minorHAnsi" w:hAnsiTheme="minorHAnsi"/>
          <w:szCs w:val="24"/>
        </w:rPr>
        <w:t xml:space="preserve">Recent data indicate that about 19.4 million children receive free or reduced price meals through the NSLP (USDA, 2010). However, only about 3.2 million children receive meals during the summer – about 16 percent. Moreover, rates of </w:t>
      </w:r>
      <w:r w:rsidRPr="00CB6E92">
        <w:rPr>
          <w:rFonts w:asciiTheme="minorHAnsi" w:hAnsiTheme="minorHAnsi" w:cs="MinionPro-Regular"/>
          <w:szCs w:val="24"/>
        </w:rPr>
        <w:t xml:space="preserve">poverty and food insecurity are among the highest in the country </w:t>
      </w:r>
      <w:r w:rsidRPr="00CB6E92">
        <w:rPr>
          <w:rFonts w:asciiTheme="minorHAnsi" w:hAnsiTheme="minorHAnsi"/>
          <w:szCs w:val="24"/>
        </w:rPr>
        <w:t>among families living in rural America</w:t>
      </w:r>
      <w:r w:rsidRPr="00CB6E92">
        <w:rPr>
          <w:rFonts w:asciiTheme="minorHAnsi" w:hAnsiTheme="minorHAnsi" w:cs="MinionPro-Regular"/>
          <w:szCs w:val="24"/>
        </w:rPr>
        <w:t xml:space="preserve"> (US Bureau of the Census, 200</w:t>
      </w:r>
      <w:r w:rsidR="0015383F">
        <w:rPr>
          <w:rFonts w:asciiTheme="minorHAnsi" w:hAnsiTheme="minorHAnsi" w:cs="MinionPro-Regular"/>
          <w:szCs w:val="24"/>
        </w:rPr>
        <w:t>7</w:t>
      </w:r>
      <w:r w:rsidRPr="00CB6E92">
        <w:rPr>
          <w:rFonts w:asciiTheme="minorHAnsi" w:hAnsiTheme="minorHAnsi" w:cs="MinionPro-Regular"/>
          <w:szCs w:val="24"/>
        </w:rPr>
        <w:t>). Yet, of all the SFSP sites, less than one-third are located in rural communities (US Bureau of Census, 200</w:t>
      </w:r>
      <w:r w:rsidR="0015383F">
        <w:rPr>
          <w:rFonts w:asciiTheme="minorHAnsi" w:hAnsiTheme="minorHAnsi" w:cs="MinionPro-Regular"/>
          <w:szCs w:val="24"/>
        </w:rPr>
        <w:t>7</w:t>
      </w:r>
      <w:r w:rsidRPr="00CB6E92">
        <w:rPr>
          <w:rFonts w:asciiTheme="minorHAnsi" w:hAnsiTheme="minorHAnsi" w:cs="MinionPro-Regular"/>
          <w:szCs w:val="24"/>
        </w:rPr>
        <w:t xml:space="preserve">). </w:t>
      </w:r>
    </w:p>
    <w:p w:rsidR="002E3967" w:rsidRDefault="002E3967">
      <w:pPr>
        <w:pStyle w:val="L1-FlLSp12"/>
        <w:spacing w:line="480" w:lineRule="auto"/>
        <w:rPr>
          <w:rFonts w:asciiTheme="minorHAnsi" w:hAnsiTheme="minorHAnsi"/>
          <w:szCs w:val="24"/>
        </w:rPr>
      </w:pPr>
    </w:p>
    <w:p w:rsidR="002E3967" w:rsidRDefault="006E21A4">
      <w:pPr>
        <w:pStyle w:val="L1-FlLSp12"/>
        <w:spacing w:line="480" w:lineRule="auto"/>
        <w:rPr>
          <w:rFonts w:asciiTheme="minorHAnsi" w:hAnsiTheme="minorHAnsi"/>
          <w:szCs w:val="24"/>
        </w:rPr>
      </w:pPr>
      <w:r w:rsidRPr="00CB6E92">
        <w:rPr>
          <w:rFonts w:asciiTheme="minorHAnsi" w:hAnsiTheme="minorHAnsi"/>
          <w:szCs w:val="24"/>
        </w:rPr>
        <w:t xml:space="preserve">Several factors are thought to account for the differences in participation rates in the NSLP and SFSP. While the NSLP is available nationwide, the SFSP is available only in areas with high concentrations of low-income children. Moreover, </w:t>
      </w:r>
      <w:r w:rsidR="006A4DAB">
        <w:rPr>
          <w:rFonts w:asciiTheme="minorHAnsi" w:hAnsiTheme="minorHAnsi"/>
          <w:szCs w:val="24"/>
        </w:rPr>
        <w:t xml:space="preserve">it is </w:t>
      </w:r>
      <w:r w:rsidRPr="00CB6E92">
        <w:rPr>
          <w:rFonts w:asciiTheme="minorHAnsi" w:hAnsiTheme="minorHAnsi"/>
          <w:szCs w:val="24"/>
        </w:rPr>
        <w:t xml:space="preserve">mandatory </w:t>
      </w:r>
      <w:r w:rsidR="006A4DAB">
        <w:rPr>
          <w:rFonts w:asciiTheme="minorHAnsi" w:hAnsiTheme="minorHAnsi"/>
          <w:szCs w:val="24"/>
        </w:rPr>
        <w:t xml:space="preserve">for </w:t>
      </w:r>
      <w:r w:rsidRPr="00CB6E92">
        <w:rPr>
          <w:rFonts w:asciiTheme="minorHAnsi" w:hAnsiTheme="minorHAnsi"/>
          <w:szCs w:val="24"/>
        </w:rPr>
        <w:t>children</w:t>
      </w:r>
      <w:r w:rsidR="006A4DAB">
        <w:rPr>
          <w:rFonts w:asciiTheme="minorHAnsi" w:hAnsiTheme="minorHAnsi"/>
          <w:szCs w:val="24"/>
        </w:rPr>
        <w:t xml:space="preserve"> to attend school, so </w:t>
      </w:r>
      <w:r w:rsidRPr="00CB6E92">
        <w:rPr>
          <w:rFonts w:asciiTheme="minorHAnsi" w:hAnsiTheme="minorHAnsi"/>
          <w:szCs w:val="24"/>
        </w:rPr>
        <w:t xml:space="preserve">access to free and reduced priced meals is well within their proximity. While transportation to school is provided to those who need it, this is not the case for </w:t>
      </w:r>
      <w:r w:rsidR="00A51541">
        <w:rPr>
          <w:rFonts w:asciiTheme="minorHAnsi" w:hAnsiTheme="minorHAnsi"/>
          <w:szCs w:val="24"/>
        </w:rPr>
        <w:t xml:space="preserve">the </w:t>
      </w:r>
      <w:r w:rsidRPr="00CB6E92">
        <w:rPr>
          <w:rFonts w:asciiTheme="minorHAnsi" w:hAnsiTheme="minorHAnsi"/>
          <w:szCs w:val="24"/>
        </w:rPr>
        <w:t xml:space="preserve">SFSP (USDA, 2006). In a FNS sponsored study on </w:t>
      </w:r>
      <w:r w:rsidR="00A51541">
        <w:rPr>
          <w:rFonts w:asciiTheme="minorHAnsi" w:hAnsiTheme="minorHAnsi"/>
          <w:szCs w:val="24"/>
        </w:rPr>
        <w:t xml:space="preserve">the </w:t>
      </w:r>
      <w:r w:rsidRPr="00CB6E92">
        <w:rPr>
          <w:rFonts w:asciiTheme="minorHAnsi" w:hAnsiTheme="minorHAnsi"/>
          <w:szCs w:val="24"/>
        </w:rPr>
        <w:t>SFSP and the needs of nonparticipating children, it was noted that more than half of parents whose children were eligible did not participate because of lack of awareness of the site locations in their area and transportation issues (USDA, 2006).</w:t>
      </w:r>
    </w:p>
    <w:p w:rsidR="002E3967" w:rsidRDefault="002E3967">
      <w:pPr>
        <w:pStyle w:val="L1-FlLSp12"/>
        <w:spacing w:line="480" w:lineRule="auto"/>
        <w:rPr>
          <w:rFonts w:asciiTheme="minorHAnsi" w:hAnsiTheme="minorHAnsi"/>
          <w:szCs w:val="24"/>
        </w:rPr>
      </w:pPr>
    </w:p>
    <w:p w:rsidR="002E3967" w:rsidRDefault="006E21A4">
      <w:pPr>
        <w:pStyle w:val="L1-FlLSp12"/>
        <w:spacing w:line="480" w:lineRule="auto"/>
        <w:rPr>
          <w:rFonts w:asciiTheme="minorHAnsi" w:hAnsiTheme="minorHAnsi"/>
          <w:szCs w:val="24"/>
        </w:rPr>
      </w:pPr>
      <w:r w:rsidRPr="00CB6E92">
        <w:rPr>
          <w:rFonts w:asciiTheme="minorHAnsi" w:hAnsiTheme="minorHAnsi"/>
          <w:szCs w:val="24"/>
        </w:rPr>
        <w:lastRenderedPageBreak/>
        <w:t>Another explanation of the dramatic differences between program participation during the school year and summer programs is the shortage of SFSP sites. In a 2003 study on the SFSP, about 8 percent of the sponsoring organizations did not offer the SFSP the following summer (USDA, 2003). In 2010, there were 34 summer food sites for every 100 school lunch programs (Boteach &amp; Milam, 2010). To maintain a large number of sites, it is important for sponsors to continue offering the program and expanding the number of sites and new sponsors. Households with nonparticipating SFSP-eligible children were more likely to be severely or moderately hungry. Moreover, a majority of parents of participating SFSP eligible children reported that they relied on the program to provide breakfast (79 percent) and lunch (91 percent) for their children (USDA, 2006). This study also noted that all households with nonparticipating SFSP-eligible children would like their children to have access to a summer program that provides breakfast and lunch.</w:t>
      </w:r>
    </w:p>
    <w:p w:rsidR="002E3967" w:rsidRDefault="002E3967">
      <w:pPr>
        <w:pStyle w:val="L1-FlLSp12"/>
        <w:spacing w:line="480" w:lineRule="auto"/>
        <w:rPr>
          <w:rFonts w:asciiTheme="minorHAnsi" w:hAnsiTheme="minorHAnsi"/>
          <w:szCs w:val="24"/>
        </w:rPr>
      </w:pPr>
    </w:p>
    <w:p w:rsidR="002E3967" w:rsidRDefault="006E21A4">
      <w:pPr>
        <w:pStyle w:val="L1-FlLSp12"/>
        <w:spacing w:line="480" w:lineRule="auto"/>
        <w:rPr>
          <w:rFonts w:asciiTheme="minorHAnsi" w:hAnsiTheme="minorHAnsi"/>
          <w:szCs w:val="24"/>
        </w:rPr>
      </w:pPr>
      <w:r w:rsidRPr="00CB6E92">
        <w:rPr>
          <w:rFonts w:asciiTheme="minorHAnsi" w:hAnsiTheme="minorHAnsi"/>
          <w:szCs w:val="24"/>
        </w:rPr>
        <w:t xml:space="preserve">In its efforts to identify ways to reach a greater number of SFSP eligible children and facilitate food security in the summer, the USDA has developed and begun to implement four </w:t>
      </w:r>
      <w:r w:rsidR="006A7A93">
        <w:rPr>
          <w:rFonts w:asciiTheme="minorHAnsi" w:hAnsiTheme="minorHAnsi"/>
          <w:szCs w:val="24"/>
        </w:rPr>
        <w:t xml:space="preserve">types of </w:t>
      </w:r>
      <w:r w:rsidRPr="00CB6E92">
        <w:rPr>
          <w:rFonts w:asciiTheme="minorHAnsi" w:hAnsiTheme="minorHAnsi"/>
          <w:szCs w:val="24"/>
        </w:rPr>
        <w:t>SFSP demonstrations. In Arkansas (Demonstration 1, Extended Operations), 88 sponsors</w:t>
      </w:r>
      <w:r w:rsidR="00130E31">
        <w:rPr>
          <w:rFonts w:asciiTheme="minorHAnsi" w:hAnsiTheme="minorHAnsi"/>
          <w:szCs w:val="24"/>
        </w:rPr>
        <w:t xml:space="preserve"> operated</w:t>
      </w:r>
      <w:r w:rsidRPr="00CB6E92">
        <w:rPr>
          <w:rFonts w:asciiTheme="minorHAnsi" w:hAnsiTheme="minorHAnsi"/>
          <w:szCs w:val="24"/>
        </w:rPr>
        <w:t xml:space="preserve"> the SFSP in 196 sites for 40 or more days than they usually operate their programs. In Mississippi (Demonstration 2, Enrichment Activity), </w:t>
      </w:r>
      <w:r w:rsidRPr="009367C9">
        <w:rPr>
          <w:rFonts w:asciiTheme="minorHAnsi" w:hAnsiTheme="minorHAnsi"/>
          <w:szCs w:val="24"/>
        </w:rPr>
        <w:t>30 sites were selected to support enhancement activities to increase attendance at summer programs.</w:t>
      </w:r>
      <w:r w:rsidRPr="00CB6E92">
        <w:rPr>
          <w:rFonts w:asciiTheme="minorHAnsi" w:hAnsiTheme="minorHAnsi"/>
          <w:szCs w:val="24"/>
        </w:rPr>
        <w:t xml:space="preserve"> </w:t>
      </w:r>
      <w:r w:rsidR="00B36AD2">
        <w:rPr>
          <w:rFonts w:asciiTheme="minorHAnsi" w:hAnsiTheme="minorHAnsi"/>
          <w:szCs w:val="24"/>
        </w:rPr>
        <w:t xml:space="preserve">These </w:t>
      </w:r>
      <w:r w:rsidR="002561DC">
        <w:rPr>
          <w:rFonts w:asciiTheme="minorHAnsi" w:hAnsiTheme="minorHAnsi"/>
          <w:szCs w:val="24"/>
        </w:rPr>
        <w:t xml:space="preserve">two </w:t>
      </w:r>
      <w:r w:rsidR="00B36AD2">
        <w:rPr>
          <w:rFonts w:asciiTheme="minorHAnsi" w:hAnsiTheme="minorHAnsi"/>
          <w:szCs w:val="24"/>
        </w:rPr>
        <w:t xml:space="preserve">demonstrations began in the summer 2010 </w:t>
      </w:r>
      <w:r w:rsidR="009367C9">
        <w:rPr>
          <w:rFonts w:asciiTheme="minorHAnsi" w:hAnsiTheme="minorHAnsi"/>
          <w:szCs w:val="24"/>
        </w:rPr>
        <w:t>and will continue operations during</w:t>
      </w:r>
      <w:r w:rsidR="00B36AD2">
        <w:rPr>
          <w:rFonts w:asciiTheme="minorHAnsi" w:hAnsiTheme="minorHAnsi"/>
          <w:szCs w:val="24"/>
        </w:rPr>
        <w:t xml:space="preserve"> the summer 2011. </w:t>
      </w:r>
    </w:p>
    <w:p w:rsidR="002E3967" w:rsidRDefault="002E3967">
      <w:pPr>
        <w:pStyle w:val="L1-FlLSp12"/>
        <w:spacing w:line="480" w:lineRule="auto"/>
        <w:rPr>
          <w:rFonts w:asciiTheme="minorHAnsi" w:hAnsiTheme="minorHAnsi"/>
          <w:szCs w:val="24"/>
        </w:rPr>
      </w:pPr>
    </w:p>
    <w:p w:rsidR="002E3967" w:rsidRDefault="00B36AD2">
      <w:pPr>
        <w:pStyle w:val="L1-FlLSp12"/>
        <w:spacing w:line="480" w:lineRule="auto"/>
        <w:rPr>
          <w:rFonts w:asciiTheme="minorHAnsi" w:hAnsiTheme="minorHAnsi"/>
          <w:szCs w:val="24"/>
        </w:rPr>
      </w:pPr>
      <w:r>
        <w:rPr>
          <w:rFonts w:asciiTheme="minorHAnsi" w:hAnsiTheme="minorHAnsi"/>
          <w:szCs w:val="24"/>
        </w:rPr>
        <w:lastRenderedPageBreak/>
        <w:t xml:space="preserve">In </w:t>
      </w:r>
      <w:r w:rsidR="00E25488">
        <w:rPr>
          <w:rFonts w:asciiTheme="minorHAnsi" w:hAnsiTheme="minorHAnsi"/>
          <w:szCs w:val="24"/>
        </w:rPr>
        <w:t>March</w:t>
      </w:r>
      <w:r>
        <w:rPr>
          <w:rFonts w:asciiTheme="minorHAnsi" w:hAnsiTheme="minorHAnsi"/>
          <w:szCs w:val="24"/>
        </w:rPr>
        <w:t xml:space="preserve"> 2011, FNS selected grantees to implement t</w:t>
      </w:r>
      <w:r w:rsidR="006E21A4" w:rsidRPr="00CB6E92">
        <w:rPr>
          <w:rFonts w:asciiTheme="minorHAnsi" w:hAnsiTheme="minorHAnsi"/>
          <w:szCs w:val="24"/>
        </w:rPr>
        <w:t xml:space="preserve">wo </w:t>
      </w:r>
      <w:r>
        <w:rPr>
          <w:rFonts w:asciiTheme="minorHAnsi" w:hAnsiTheme="minorHAnsi"/>
          <w:szCs w:val="24"/>
        </w:rPr>
        <w:t xml:space="preserve">additional types of </w:t>
      </w:r>
      <w:r w:rsidR="006E21A4" w:rsidRPr="00CB6E92">
        <w:rPr>
          <w:rFonts w:asciiTheme="minorHAnsi" w:hAnsiTheme="minorHAnsi"/>
          <w:szCs w:val="24"/>
        </w:rPr>
        <w:t xml:space="preserve">enhancement demonstrations </w:t>
      </w:r>
      <w:r>
        <w:rPr>
          <w:rFonts w:asciiTheme="minorHAnsi" w:hAnsiTheme="minorHAnsi"/>
          <w:szCs w:val="24"/>
        </w:rPr>
        <w:t>–</w:t>
      </w:r>
      <w:r w:rsidR="00681BF0">
        <w:rPr>
          <w:rFonts w:asciiTheme="minorHAnsi" w:hAnsiTheme="minorHAnsi"/>
          <w:szCs w:val="24"/>
        </w:rPr>
        <w:t xml:space="preserve">3 </w:t>
      </w:r>
      <w:r>
        <w:rPr>
          <w:rFonts w:asciiTheme="minorHAnsi" w:hAnsiTheme="minorHAnsi"/>
          <w:szCs w:val="24"/>
        </w:rPr>
        <w:t xml:space="preserve">grantees in </w:t>
      </w:r>
      <w:r w:rsidR="006E21A4" w:rsidRPr="00CB6E92">
        <w:rPr>
          <w:rFonts w:asciiTheme="minorHAnsi" w:hAnsiTheme="minorHAnsi"/>
          <w:szCs w:val="24"/>
        </w:rPr>
        <w:t xml:space="preserve">the Home Delivery </w:t>
      </w:r>
      <w:r>
        <w:rPr>
          <w:rFonts w:asciiTheme="minorHAnsi" w:hAnsiTheme="minorHAnsi"/>
          <w:szCs w:val="24"/>
        </w:rPr>
        <w:t xml:space="preserve">demonstration and </w:t>
      </w:r>
      <w:r w:rsidR="00681BF0">
        <w:rPr>
          <w:rFonts w:asciiTheme="minorHAnsi" w:hAnsiTheme="minorHAnsi"/>
          <w:szCs w:val="24"/>
        </w:rPr>
        <w:t xml:space="preserve">3 </w:t>
      </w:r>
      <w:r>
        <w:rPr>
          <w:rFonts w:asciiTheme="minorHAnsi" w:hAnsiTheme="minorHAnsi"/>
          <w:szCs w:val="24"/>
        </w:rPr>
        <w:t xml:space="preserve">grantees in the </w:t>
      </w:r>
      <w:r w:rsidR="006E21A4" w:rsidRPr="00CB6E92">
        <w:rPr>
          <w:rFonts w:asciiTheme="minorHAnsi" w:hAnsiTheme="minorHAnsi"/>
          <w:szCs w:val="24"/>
        </w:rPr>
        <w:t xml:space="preserve">“Backpack” </w:t>
      </w:r>
      <w:r>
        <w:rPr>
          <w:rFonts w:asciiTheme="minorHAnsi" w:hAnsiTheme="minorHAnsi"/>
          <w:szCs w:val="24"/>
        </w:rPr>
        <w:t>demonstration</w:t>
      </w:r>
      <w:r w:rsidR="006E21A4" w:rsidRPr="00CB6E92">
        <w:rPr>
          <w:rFonts w:asciiTheme="minorHAnsi" w:hAnsiTheme="minorHAnsi"/>
          <w:szCs w:val="24"/>
        </w:rPr>
        <w:t xml:space="preserve">. </w:t>
      </w:r>
      <w:r>
        <w:rPr>
          <w:rFonts w:asciiTheme="minorHAnsi" w:hAnsiTheme="minorHAnsi"/>
          <w:szCs w:val="24"/>
        </w:rPr>
        <w:t xml:space="preserve">Both types of demonstrations </w:t>
      </w:r>
      <w:r w:rsidR="009367C9">
        <w:rPr>
          <w:rFonts w:asciiTheme="minorHAnsi" w:hAnsiTheme="minorHAnsi"/>
          <w:szCs w:val="24"/>
        </w:rPr>
        <w:t>(</w:t>
      </w:r>
      <w:r w:rsidR="002561DC">
        <w:rPr>
          <w:rFonts w:asciiTheme="minorHAnsi" w:hAnsiTheme="minorHAnsi"/>
          <w:szCs w:val="24"/>
        </w:rPr>
        <w:t xml:space="preserve">consisting of a total of </w:t>
      </w:r>
      <w:r w:rsidR="00681BF0">
        <w:rPr>
          <w:rFonts w:asciiTheme="minorHAnsi" w:hAnsiTheme="minorHAnsi"/>
          <w:szCs w:val="24"/>
        </w:rPr>
        <w:t xml:space="preserve">6 </w:t>
      </w:r>
      <w:r w:rsidR="009367C9">
        <w:rPr>
          <w:rFonts w:asciiTheme="minorHAnsi" w:hAnsiTheme="minorHAnsi"/>
          <w:szCs w:val="24"/>
        </w:rPr>
        <w:t xml:space="preserve">grantees) </w:t>
      </w:r>
      <w:r>
        <w:rPr>
          <w:rFonts w:asciiTheme="minorHAnsi" w:hAnsiTheme="minorHAnsi"/>
          <w:szCs w:val="24"/>
        </w:rPr>
        <w:t xml:space="preserve">will begin operations </w:t>
      </w:r>
      <w:r w:rsidRPr="00CB6E92">
        <w:rPr>
          <w:rFonts w:asciiTheme="minorHAnsi" w:hAnsiTheme="minorHAnsi"/>
          <w:szCs w:val="24"/>
        </w:rPr>
        <w:t xml:space="preserve">in summer 2011 </w:t>
      </w:r>
      <w:r>
        <w:rPr>
          <w:rFonts w:asciiTheme="minorHAnsi" w:hAnsiTheme="minorHAnsi"/>
          <w:szCs w:val="24"/>
        </w:rPr>
        <w:t xml:space="preserve">and will continue </w:t>
      </w:r>
      <w:r w:rsidR="002561DC">
        <w:rPr>
          <w:rFonts w:asciiTheme="minorHAnsi" w:hAnsiTheme="minorHAnsi"/>
          <w:szCs w:val="24"/>
        </w:rPr>
        <w:t xml:space="preserve">in </w:t>
      </w:r>
      <w:r>
        <w:rPr>
          <w:rFonts w:asciiTheme="minorHAnsi" w:hAnsiTheme="minorHAnsi"/>
          <w:szCs w:val="24"/>
        </w:rPr>
        <w:t xml:space="preserve">summer 2012. </w:t>
      </w:r>
      <w:r w:rsidR="006E21A4" w:rsidRPr="00CB6E92">
        <w:rPr>
          <w:rFonts w:asciiTheme="minorHAnsi" w:hAnsiTheme="minorHAnsi"/>
          <w:szCs w:val="24"/>
        </w:rPr>
        <w:t>The Home Delivery Demonstration (Demonstration 3) will offer</w:t>
      </w:r>
      <w:r w:rsidR="000D7E26">
        <w:rPr>
          <w:rFonts w:asciiTheme="minorHAnsi" w:hAnsiTheme="minorHAnsi"/>
          <w:szCs w:val="24"/>
        </w:rPr>
        <w:t xml:space="preserve"> </w:t>
      </w:r>
      <w:r w:rsidR="006E21A4" w:rsidRPr="00CB6E92">
        <w:rPr>
          <w:rFonts w:asciiTheme="minorHAnsi" w:hAnsiTheme="minorHAnsi"/>
          <w:szCs w:val="24"/>
        </w:rPr>
        <w:t xml:space="preserve">delivery </w:t>
      </w:r>
      <w:r w:rsidR="00681BF0">
        <w:rPr>
          <w:rFonts w:asciiTheme="minorHAnsi" w:hAnsiTheme="minorHAnsi"/>
          <w:szCs w:val="24"/>
        </w:rPr>
        <w:t xml:space="preserve">of up to two meals per day </w:t>
      </w:r>
      <w:r w:rsidR="006E21A4" w:rsidRPr="00CB6E92">
        <w:rPr>
          <w:rFonts w:asciiTheme="minorHAnsi" w:hAnsiTheme="minorHAnsi"/>
          <w:szCs w:val="24"/>
        </w:rPr>
        <w:t>to the homes of eligible children in rural areas. This demonstration will only operate in rural areas, and only children identified by school di</w:t>
      </w:r>
      <w:r w:rsidR="00E25488">
        <w:rPr>
          <w:rFonts w:asciiTheme="minorHAnsi" w:hAnsiTheme="minorHAnsi"/>
          <w:szCs w:val="24"/>
        </w:rPr>
        <w:t>stricts as eligible for free or</w:t>
      </w:r>
      <w:r w:rsidR="006E21A4" w:rsidRPr="00CB6E92">
        <w:rPr>
          <w:rFonts w:asciiTheme="minorHAnsi" w:hAnsiTheme="minorHAnsi"/>
          <w:szCs w:val="24"/>
        </w:rPr>
        <w:t xml:space="preserve"> reduced-price school meals will be eligible to receive delivered meals. The Food Backpack Demonstration (Demonstration 4) will provide weekend and holiday meals to eligible children who are already participating in the SFSP. Children</w:t>
      </w:r>
      <w:r w:rsidR="000236C1">
        <w:rPr>
          <w:rFonts w:asciiTheme="minorHAnsi" w:hAnsiTheme="minorHAnsi"/>
          <w:szCs w:val="24"/>
        </w:rPr>
        <w:t xml:space="preserve"> </w:t>
      </w:r>
      <w:r w:rsidR="006E21A4" w:rsidRPr="00CB6E92">
        <w:rPr>
          <w:rFonts w:asciiTheme="minorHAnsi" w:hAnsiTheme="minorHAnsi"/>
          <w:szCs w:val="24"/>
        </w:rPr>
        <w:t>normally eligible to receive meals at SFSP sites</w:t>
      </w:r>
      <w:r w:rsidR="002E5FE4">
        <w:rPr>
          <w:rFonts w:asciiTheme="minorHAnsi" w:hAnsiTheme="minorHAnsi"/>
          <w:szCs w:val="24"/>
        </w:rPr>
        <w:t xml:space="preserve"> (i.e., those </w:t>
      </w:r>
      <w:r w:rsidR="002E5FE4" w:rsidRPr="00CB6E92">
        <w:rPr>
          <w:rFonts w:asciiTheme="minorHAnsi" w:hAnsiTheme="minorHAnsi"/>
          <w:szCs w:val="24"/>
        </w:rPr>
        <w:t>age 18 and younge</w:t>
      </w:r>
      <w:r w:rsidR="002E5FE4">
        <w:rPr>
          <w:rFonts w:asciiTheme="minorHAnsi" w:hAnsiTheme="minorHAnsi"/>
          <w:szCs w:val="24"/>
        </w:rPr>
        <w:t>r, graduated seniors over age 18, or those who have been determined by the state to have a mental or physical disability and who participate in a public or nonprofit school program established for people with disabilities)</w:t>
      </w:r>
      <w:r w:rsidR="00130E31">
        <w:rPr>
          <w:rFonts w:asciiTheme="minorHAnsi" w:hAnsiTheme="minorHAnsi"/>
          <w:szCs w:val="24"/>
        </w:rPr>
        <w:t xml:space="preserve"> </w:t>
      </w:r>
      <w:r w:rsidR="006E21A4" w:rsidRPr="00CB6E92">
        <w:rPr>
          <w:rFonts w:asciiTheme="minorHAnsi" w:hAnsiTheme="minorHAnsi"/>
          <w:szCs w:val="24"/>
        </w:rPr>
        <w:t xml:space="preserve">will be eligible to receive meals under the Food Backpack Demonstration Project. Each site can operate the </w:t>
      </w:r>
      <w:r w:rsidR="00AE1678">
        <w:rPr>
          <w:rFonts w:asciiTheme="minorHAnsi" w:hAnsiTheme="minorHAnsi"/>
          <w:szCs w:val="24"/>
        </w:rPr>
        <w:t>Backpack demonstration</w:t>
      </w:r>
      <w:r w:rsidR="006E21A4" w:rsidRPr="00CB6E92">
        <w:rPr>
          <w:rFonts w:asciiTheme="minorHAnsi" w:hAnsiTheme="minorHAnsi"/>
          <w:szCs w:val="24"/>
        </w:rPr>
        <w:t xml:space="preserve"> for varying lengths of time and have varying start and end dates. Similarly, eligible children can choose to participate for the entire duration or a part of the duration the SFSP is offered.</w:t>
      </w:r>
      <w:r w:rsidR="00CB6E92">
        <w:rPr>
          <w:rFonts w:asciiTheme="minorHAnsi" w:hAnsiTheme="minorHAnsi"/>
          <w:szCs w:val="24"/>
        </w:rPr>
        <w:t xml:space="preserve"> </w:t>
      </w:r>
    </w:p>
    <w:p w:rsidR="002E3967" w:rsidRDefault="002E3967">
      <w:pPr>
        <w:pStyle w:val="L1-FlLSp12"/>
        <w:spacing w:line="480" w:lineRule="auto"/>
        <w:rPr>
          <w:rFonts w:asciiTheme="minorHAnsi" w:hAnsiTheme="minorHAnsi"/>
          <w:szCs w:val="24"/>
        </w:rPr>
      </w:pPr>
    </w:p>
    <w:p w:rsidR="002E3967" w:rsidRDefault="002561DC">
      <w:pPr>
        <w:spacing w:line="480" w:lineRule="auto"/>
        <w:rPr>
          <w:sz w:val="24"/>
          <w:szCs w:val="24"/>
        </w:rPr>
      </w:pPr>
      <w:r>
        <w:rPr>
          <w:sz w:val="24"/>
          <w:szCs w:val="24"/>
        </w:rPr>
        <w:t>The</w:t>
      </w:r>
      <w:r w:rsidR="00AE1678">
        <w:rPr>
          <w:sz w:val="24"/>
          <w:szCs w:val="24"/>
        </w:rPr>
        <w:t>se demonstrations are authorized under the</w:t>
      </w:r>
      <w:r>
        <w:rPr>
          <w:sz w:val="24"/>
          <w:szCs w:val="24"/>
        </w:rPr>
        <w:t xml:space="preserve"> </w:t>
      </w:r>
      <w:r w:rsidRPr="00CB6E92">
        <w:rPr>
          <w:sz w:val="24"/>
          <w:szCs w:val="24"/>
        </w:rPr>
        <w:t>Agriculture, Rural Development, Food and Drug Administration and Related Agencies Appropriations Act of 2010 (Pub. L. 111-80, Sec. 749(g)</w:t>
      </w:r>
      <w:r w:rsidR="00A51541">
        <w:rPr>
          <w:sz w:val="24"/>
          <w:szCs w:val="24"/>
        </w:rPr>
        <w:t xml:space="preserve">. The Act </w:t>
      </w:r>
      <w:r w:rsidR="00AE1678">
        <w:rPr>
          <w:sz w:val="24"/>
          <w:szCs w:val="24"/>
        </w:rPr>
        <w:t xml:space="preserve">authorizes the USDA </w:t>
      </w:r>
      <w:r w:rsidR="00A51541">
        <w:rPr>
          <w:sz w:val="24"/>
          <w:szCs w:val="24"/>
        </w:rPr>
        <w:t>to carry out demonstration projects to develop and test methods of providing access to f</w:t>
      </w:r>
      <w:r w:rsidR="00E56089" w:rsidRPr="00CB6E92">
        <w:rPr>
          <w:sz w:val="24"/>
          <w:szCs w:val="24"/>
        </w:rPr>
        <w:t xml:space="preserve">ood for children in urban and rural areas in the summer </w:t>
      </w:r>
      <w:r w:rsidR="00A51541">
        <w:rPr>
          <w:sz w:val="24"/>
          <w:szCs w:val="24"/>
        </w:rPr>
        <w:t xml:space="preserve">when school is not in session </w:t>
      </w:r>
      <w:r w:rsidR="00E56089" w:rsidRPr="00CB6E92">
        <w:rPr>
          <w:sz w:val="24"/>
          <w:szCs w:val="24"/>
        </w:rPr>
        <w:t>and for the independent eva</w:t>
      </w:r>
      <w:r w:rsidR="00E25488">
        <w:rPr>
          <w:sz w:val="24"/>
          <w:szCs w:val="24"/>
        </w:rPr>
        <w:t>luation of these demonstrations.</w:t>
      </w:r>
    </w:p>
    <w:p w:rsidR="00157AFC" w:rsidRDefault="00157AFC">
      <w:pPr>
        <w:spacing w:line="480" w:lineRule="auto"/>
        <w:rPr>
          <w:sz w:val="24"/>
          <w:szCs w:val="24"/>
        </w:rPr>
      </w:pPr>
    </w:p>
    <w:p w:rsidR="00E25488" w:rsidRDefault="00E266A4" w:rsidP="00E25488">
      <w:pPr>
        <w:pStyle w:val="Default"/>
        <w:ind w:left="720" w:hanging="720"/>
        <w:rPr>
          <w:rFonts w:asciiTheme="minorHAnsi" w:hAnsiTheme="minorHAnsi" w:cs="Arial Narrow"/>
          <w:b/>
        </w:rPr>
      </w:pPr>
      <w:r w:rsidRPr="007C3F36">
        <w:rPr>
          <w:rFonts w:asciiTheme="minorHAnsi" w:hAnsiTheme="minorHAnsi"/>
          <w:b/>
        </w:rPr>
        <w:t>A. 2</w:t>
      </w:r>
      <w:r w:rsidRPr="007C3F36">
        <w:rPr>
          <w:rFonts w:asciiTheme="minorHAnsi" w:hAnsiTheme="minorHAnsi"/>
          <w:b/>
        </w:rPr>
        <w:tab/>
      </w:r>
      <w:r w:rsidR="00E25488" w:rsidRPr="007C3F36">
        <w:rPr>
          <w:rFonts w:asciiTheme="minorHAnsi" w:hAnsiTheme="minorHAnsi" w:cs="Arial Narrow"/>
          <w:b/>
        </w:rPr>
        <w:t xml:space="preserve">Indicate how, by whom, and for what purpose the information is to be used. Except for a new collection, indicate the actual use the agency has made of the information received from the current collection. </w:t>
      </w:r>
    </w:p>
    <w:p w:rsidR="00E25488" w:rsidRDefault="00E25488">
      <w:pPr>
        <w:pStyle w:val="Level2"/>
        <w:tabs>
          <w:tab w:val="left" w:pos="900"/>
        </w:tabs>
        <w:spacing w:before="120" w:after="120"/>
        <w:ind w:left="900" w:hanging="900"/>
        <w:jc w:val="both"/>
        <w:rPr>
          <w:rFonts w:asciiTheme="minorHAnsi" w:hAnsiTheme="minorHAnsi"/>
          <w:b/>
        </w:rPr>
      </w:pPr>
    </w:p>
    <w:p w:rsidR="002E3967" w:rsidRDefault="00AB087A">
      <w:pPr>
        <w:spacing w:line="480" w:lineRule="auto"/>
        <w:rPr>
          <w:sz w:val="24"/>
          <w:szCs w:val="24"/>
        </w:rPr>
      </w:pPr>
      <w:r>
        <w:rPr>
          <w:sz w:val="24"/>
          <w:szCs w:val="24"/>
        </w:rPr>
        <w:t xml:space="preserve">This is a one-time study.  </w:t>
      </w:r>
      <w:r w:rsidR="004F3C43">
        <w:rPr>
          <w:sz w:val="24"/>
          <w:szCs w:val="24"/>
        </w:rPr>
        <w:t xml:space="preserve">The </w:t>
      </w:r>
      <w:r w:rsidR="0080286C">
        <w:rPr>
          <w:sz w:val="24"/>
          <w:szCs w:val="24"/>
        </w:rPr>
        <w:t xml:space="preserve">data </w:t>
      </w:r>
      <w:r w:rsidR="004F3C43">
        <w:rPr>
          <w:sz w:val="24"/>
          <w:szCs w:val="24"/>
        </w:rPr>
        <w:t xml:space="preserve">collected in this evaluation will be used by FNS to provide policymakers with information to make decisions about potential changes in Federal summer food nutrition programs for children.  </w:t>
      </w:r>
      <w:r w:rsidR="006A7A93">
        <w:rPr>
          <w:sz w:val="24"/>
          <w:szCs w:val="24"/>
        </w:rPr>
        <w:t xml:space="preserve">The </w:t>
      </w:r>
      <w:r w:rsidR="005A0276">
        <w:rPr>
          <w:sz w:val="24"/>
          <w:szCs w:val="24"/>
        </w:rPr>
        <w:t xml:space="preserve">specific goals </w:t>
      </w:r>
      <w:r w:rsidR="004F3C43">
        <w:rPr>
          <w:sz w:val="24"/>
          <w:szCs w:val="24"/>
        </w:rPr>
        <w:t xml:space="preserve">of </w:t>
      </w:r>
      <w:r w:rsidR="005A0276">
        <w:rPr>
          <w:sz w:val="24"/>
          <w:szCs w:val="24"/>
        </w:rPr>
        <w:t xml:space="preserve">the evaluation are to </w:t>
      </w:r>
      <w:r w:rsidR="006A7A93">
        <w:rPr>
          <w:sz w:val="24"/>
          <w:szCs w:val="24"/>
        </w:rPr>
        <w:t xml:space="preserve">assess </w:t>
      </w:r>
      <w:r w:rsidR="004F3C43">
        <w:rPr>
          <w:sz w:val="24"/>
          <w:szCs w:val="24"/>
        </w:rPr>
        <w:t>the following:</w:t>
      </w:r>
    </w:p>
    <w:p w:rsidR="004F3C43" w:rsidRPr="00E25488" w:rsidRDefault="005A0276" w:rsidP="00E25488">
      <w:pPr>
        <w:pStyle w:val="ListParagraph"/>
        <w:numPr>
          <w:ilvl w:val="0"/>
          <w:numId w:val="3"/>
        </w:numPr>
        <w:rPr>
          <w:sz w:val="24"/>
          <w:szCs w:val="24"/>
        </w:rPr>
      </w:pPr>
      <w:r w:rsidRPr="00E25488">
        <w:rPr>
          <w:sz w:val="24"/>
          <w:szCs w:val="24"/>
        </w:rPr>
        <w:t>T</w:t>
      </w:r>
      <w:r w:rsidR="004F3C43" w:rsidRPr="00E25488">
        <w:rPr>
          <w:sz w:val="24"/>
          <w:szCs w:val="24"/>
        </w:rPr>
        <w:t xml:space="preserve">he impact of </w:t>
      </w:r>
      <w:r w:rsidRPr="00E25488">
        <w:rPr>
          <w:sz w:val="24"/>
          <w:szCs w:val="24"/>
        </w:rPr>
        <w:t>each</w:t>
      </w:r>
      <w:r w:rsidR="004F3C43" w:rsidRPr="00E25488">
        <w:rPr>
          <w:sz w:val="24"/>
          <w:szCs w:val="24"/>
        </w:rPr>
        <w:t xml:space="preserve"> SFSP enhancement demonstration model on participation and meal service</w:t>
      </w:r>
      <w:r w:rsidRPr="00E25488">
        <w:rPr>
          <w:sz w:val="24"/>
          <w:szCs w:val="24"/>
        </w:rPr>
        <w:t>;</w:t>
      </w:r>
    </w:p>
    <w:p w:rsidR="004F3C43" w:rsidRPr="00E25488" w:rsidRDefault="005A0276" w:rsidP="00E25488">
      <w:pPr>
        <w:pStyle w:val="ListParagraph"/>
        <w:numPr>
          <w:ilvl w:val="0"/>
          <w:numId w:val="3"/>
        </w:numPr>
        <w:rPr>
          <w:sz w:val="24"/>
          <w:szCs w:val="24"/>
        </w:rPr>
      </w:pPr>
      <w:r w:rsidRPr="00E25488">
        <w:rPr>
          <w:sz w:val="24"/>
          <w:szCs w:val="24"/>
        </w:rPr>
        <w:t>T</w:t>
      </w:r>
      <w:r w:rsidR="004F3C43" w:rsidRPr="00E25488">
        <w:rPr>
          <w:sz w:val="24"/>
          <w:szCs w:val="24"/>
        </w:rPr>
        <w:t xml:space="preserve">he food security status </w:t>
      </w:r>
      <w:r w:rsidRPr="00E25488">
        <w:rPr>
          <w:sz w:val="24"/>
          <w:szCs w:val="24"/>
        </w:rPr>
        <w:t xml:space="preserve">among </w:t>
      </w:r>
      <w:r w:rsidR="004F3C43" w:rsidRPr="00E25488">
        <w:rPr>
          <w:sz w:val="24"/>
          <w:szCs w:val="24"/>
        </w:rPr>
        <w:t xml:space="preserve">recipients of the </w:t>
      </w:r>
      <w:r w:rsidRPr="00E25488">
        <w:rPr>
          <w:sz w:val="24"/>
          <w:szCs w:val="24"/>
        </w:rPr>
        <w:t>home delivered m</w:t>
      </w:r>
      <w:r w:rsidR="004F3C43" w:rsidRPr="00E25488">
        <w:rPr>
          <w:sz w:val="24"/>
          <w:szCs w:val="24"/>
        </w:rPr>
        <w:t>eal</w:t>
      </w:r>
      <w:r w:rsidRPr="00E25488">
        <w:rPr>
          <w:sz w:val="24"/>
          <w:szCs w:val="24"/>
        </w:rPr>
        <w:t>s</w:t>
      </w:r>
      <w:r w:rsidR="004F3C43" w:rsidRPr="00E25488">
        <w:rPr>
          <w:sz w:val="24"/>
          <w:szCs w:val="24"/>
        </w:rPr>
        <w:t xml:space="preserve"> </w:t>
      </w:r>
      <w:r w:rsidRPr="00E25488">
        <w:rPr>
          <w:sz w:val="24"/>
          <w:szCs w:val="24"/>
        </w:rPr>
        <w:t>a</w:t>
      </w:r>
      <w:r w:rsidR="004F3C43" w:rsidRPr="00E25488">
        <w:rPr>
          <w:sz w:val="24"/>
          <w:szCs w:val="24"/>
        </w:rPr>
        <w:t xml:space="preserve">nd </w:t>
      </w:r>
      <w:r w:rsidRPr="00E25488">
        <w:rPr>
          <w:sz w:val="24"/>
          <w:szCs w:val="24"/>
        </w:rPr>
        <w:t>b</w:t>
      </w:r>
      <w:r w:rsidR="004F3C43" w:rsidRPr="00E25488">
        <w:rPr>
          <w:sz w:val="24"/>
          <w:szCs w:val="24"/>
        </w:rPr>
        <w:t>ackpack demonstration</w:t>
      </w:r>
      <w:r w:rsidRPr="00E25488">
        <w:rPr>
          <w:sz w:val="24"/>
          <w:szCs w:val="24"/>
        </w:rPr>
        <w:t xml:space="preserve">s; </w:t>
      </w:r>
    </w:p>
    <w:p w:rsidR="005A0276" w:rsidRPr="00E25488" w:rsidRDefault="005A0276" w:rsidP="00E25488">
      <w:pPr>
        <w:pStyle w:val="ListParagraph"/>
        <w:numPr>
          <w:ilvl w:val="0"/>
          <w:numId w:val="3"/>
        </w:numPr>
        <w:rPr>
          <w:sz w:val="24"/>
          <w:szCs w:val="24"/>
        </w:rPr>
      </w:pPr>
      <w:r w:rsidRPr="00E25488">
        <w:rPr>
          <w:sz w:val="24"/>
          <w:szCs w:val="24"/>
        </w:rPr>
        <w:t>The</w:t>
      </w:r>
      <w:r w:rsidR="0080286C" w:rsidRPr="00E25488">
        <w:rPr>
          <w:sz w:val="24"/>
          <w:szCs w:val="24"/>
        </w:rPr>
        <w:t xml:space="preserve"> “targeting accuracy” in the Meal Delivery and Backpack demonstrations</w:t>
      </w:r>
      <w:r w:rsidRPr="00E25488">
        <w:rPr>
          <w:sz w:val="24"/>
          <w:szCs w:val="24"/>
        </w:rPr>
        <w:t>;</w:t>
      </w:r>
    </w:p>
    <w:p w:rsidR="0080286C" w:rsidRPr="00E25488" w:rsidRDefault="005A0276" w:rsidP="00E25488">
      <w:pPr>
        <w:pStyle w:val="ListParagraph"/>
        <w:numPr>
          <w:ilvl w:val="0"/>
          <w:numId w:val="3"/>
        </w:numPr>
        <w:rPr>
          <w:sz w:val="24"/>
          <w:szCs w:val="24"/>
        </w:rPr>
      </w:pPr>
      <w:r w:rsidRPr="00E25488">
        <w:rPr>
          <w:sz w:val="24"/>
          <w:szCs w:val="24"/>
        </w:rPr>
        <w:t>T</w:t>
      </w:r>
      <w:r w:rsidR="0080286C" w:rsidRPr="00E25488">
        <w:rPr>
          <w:sz w:val="24"/>
          <w:szCs w:val="24"/>
        </w:rPr>
        <w:t xml:space="preserve">he process of project implementation in </w:t>
      </w:r>
      <w:r w:rsidRPr="00E25488">
        <w:rPr>
          <w:sz w:val="24"/>
          <w:szCs w:val="24"/>
        </w:rPr>
        <w:t>each SPSP enhancement demonstration; and</w:t>
      </w:r>
    </w:p>
    <w:p w:rsidR="00E266A4" w:rsidRPr="00E25488" w:rsidRDefault="005A0276" w:rsidP="00E25488">
      <w:pPr>
        <w:pStyle w:val="ListParagraph"/>
        <w:numPr>
          <w:ilvl w:val="0"/>
          <w:numId w:val="3"/>
        </w:numPr>
        <w:rPr>
          <w:sz w:val="24"/>
          <w:szCs w:val="24"/>
        </w:rPr>
      </w:pPr>
      <w:r w:rsidRPr="00E25488">
        <w:rPr>
          <w:sz w:val="24"/>
          <w:szCs w:val="24"/>
        </w:rPr>
        <w:t>T</w:t>
      </w:r>
      <w:r w:rsidR="0080286C" w:rsidRPr="00E25488">
        <w:rPr>
          <w:sz w:val="24"/>
          <w:szCs w:val="24"/>
        </w:rPr>
        <w:t>he total and component specific costs of implementing and operating SFSP demonstrations</w:t>
      </w:r>
      <w:r w:rsidRPr="00E25488">
        <w:rPr>
          <w:sz w:val="24"/>
          <w:szCs w:val="24"/>
        </w:rPr>
        <w:t>.</w:t>
      </w:r>
    </w:p>
    <w:p w:rsidR="00E25488" w:rsidRDefault="00E25488" w:rsidP="00E25488">
      <w:pPr>
        <w:spacing w:after="0" w:line="480" w:lineRule="auto"/>
        <w:rPr>
          <w:sz w:val="24"/>
          <w:szCs w:val="24"/>
        </w:rPr>
      </w:pPr>
    </w:p>
    <w:p w:rsidR="002E3967" w:rsidRDefault="005A0276" w:rsidP="00EF44AD">
      <w:pPr>
        <w:spacing w:line="480" w:lineRule="auto"/>
        <w:rPr>
          <w:sz w:val="24"/>
          <w:szCs w:val="24"/>
        </w:rPr>
      </w:pPr>
      <w:r>
        <w:rPr>
          <w:sz w:val="24"/>
          <w:szCs w:val="24"/>
        </w:rPr>
        <w:t xml:space="preserve">Evaluation data </w:t>
      </w:r>
      <w:r w:rsidR="0080286C">
        <w:rPr>
          <w:sz w:val="24"/>
          <w:szCs w:val="24"/>
        </w:rPr>
        <w:t>will provide Congress with rigorous and timely information to make decisions about possible program changes during the next Child Nutrition reauthorization cycle.  The evaluation will document the process and challenges of implementing the demonstrations and will provide valuable information should the demonstrations succeed.</w:t>
      </w:r>
    </w:p>
    <w:p w:rsidR="00E25488" w:rsidRDefault="00E25488" w:rsidP="00EF44AD">
      <w:pPr>
        <w:spacing w:after="0" w:line="480" w:lineRule="auto"/>
        <w:rPr>
          <w:sz w:val="24"/>
          <w:szCs w:val="24"/>
        </w:rPr>
      </w:pPr>
      <w:r>
        <w:rPr>
          <w:sz w:val="24"/>
          <w:szCs w:val="24"/>
        </w:rPr>
        <w:t xml:space="preserve">This is a mixed mode evaluation, and data will be collected by telephone, face-to-face, electronically, and over the internet.  </w:t>
      </w:r>
    </w:p>
    <w:p w:rsidR="00EF44AD" w:rsidRDefault="00EF44AD" w:rsidP="00EF44AD">
      <w:pPr>
        <w:spacing w:line="480" w:lineRule="auto"/>
        <w:rPr>
          <w:sz w:val="24"/>
          <w:szCs w:val="24"/>
        </w:rPr>
      </w:pPr>
      <w:r w:rsidRPr="00926384">
        <w:rPr>
          <w:sz w:val="24"/>
          <w:szCs w:val="24"/>
        </w:rPr>
        <w:t xml:space="preserve">The primary objective of the </w:t>
      </w:r>
      <w:r>
        <w:rPr>
          <w:sz w:val="24"/>
          <w:szCs w:val="24"/>
        </w:rPr>
        <w:t xml:space="preserve">SFSP enhancement </w:t>
      </w:r>
      <w:r w:rsidRPr="00926384">
        <w:rPr>
          <w:sz w:val="24"/>
          <w:szCs w:val="24"/>
        </w:rPr>
        <w:t xml:space="preserve">demonstration projects is to increase participation in the SFSP and </w:t>
      </w:r>
      <w:r>
        <w:rPr>
          <w:sz w:val="24"/>
          <w:szCs w:val="24"/>
        </w:rPr>
        <w:t>facilitate</w:t>
      </w:r>
      <w:r w:rsidRPr="00926384">
        <w:rPr>
          <w:sz w:val="24"/>
          <w:szCs w:val="24"/>
        </w:rPr>
        <w:t xml:space="preserve"> food security.  Parents of participants </w:t>
      </w:r>
      <w:r>
        <w:rPr>
          <w:sz w:val="24"/>
          <w:szCs w:val="24"/>
        </w:rPr>
        <w:t xml:space="preserve">in the Backpack </w:t>
      </w:r>
      <w:r>
        <w:rPr>
          <w:sz w:val="24"/>
          <w:szCs w:val="24"/>
        </w:rPr>
        <w:lastRenderedPageBreak/>
        <w:t xml:space="preserve">and Meal Delivery demonstrations </w:t>
      </w:r>
      <w:r w:rsidRPr="00926384">
        <w:rPr>
          <w:sz w:val="24"/>
          <w:szCs w:val="24"/>
        </w:rPr>
        <w:t xml:space="preserve">will be asked to complete up to four interviews at the following points in time: summer 2011, fall 2011, and twice in summer 2012.  This frequency of data collection will allow </w:t>
      </w:r>
      <w:r>
        <w:rPr>
          <w:sz w:val="24"/>
          <w:szCs w:val="24"/>
        </w:rPr>
        <w:t>FNS</w:t>
      </w:r>
      <w:r w:rsidRPr="00926384">
        <w:rPr>
          <w:sz w:val="24"/>
          <w:szCs w:val="24"/>
        </w:rPr>
        <w:t xml:space="preserve"> to assess changes in food security over time and to evaluate differences in food security between the summer demonstrations and the National School Lunch Program</w:t>
      </w:r>
      <w:r>
        <w:rPr>
          <w:sz w:val="24"/>
          <w:szCs w:val="24"/>
        </w:rPr>
        <w:t xml:space="preserve"> and between the two demonstrations</w:t>
      </w:r>
      <w:r w:rsidRPr="00926384">
        <w:rPr>
          <w:sz w:val="24"/>
          <w:szCs w:val="24"/>
        </w:rPr>
        <w:t>.</w:t>
      </w:r>
    </w:p>
    <w:p w:rsidR="00EF44AD" w:rsidRDefault="00EF44AD" w:rsidP="00EF44AD">
      <w:pPr>
        <w:spacing w:line="480" w:lineRule="auto"/>
        <w:rPr>
          <w:sz w:val="24"/>
          <w:szCs w:val="24"/>
        </w:rPr>
      </w:pPr>
      <w:r>
        <w:rPr>
          <w:sz w:val="24"/>
          <w:szCs w:val="24"/>
        </w:rPr>
        <w:t>A</w:t>
      </w:r>
      <w:r w:rsidRPr="00926384">
        <w:rPr>
          <w:sz w:val="24"/>
          <w:szCs w:val="24"/>
        </w:rPr>
        <w:t xml:space="preserve">ll </w:t>
      </w:r>
      <w:r>
        <w:rPr>
          <w:sz w:val="24"/>
          <w:szCs w:val="24"/>
        </w:rPr>
        <w:t xml:space="preserve">8 </w:t>
      </w:r>
      <w:r w:rsidRPr="00926384">
        <w:rPr>
          <w:sz w:val="24"/>
          <w:szCs w:val="24"/>
        </w:rPr>
        <w:t>state grantees will be interviewed once during the first year of data collection</w:t>
      </w:r>
      <w:r>
        <w:rPr>
          <w:sz w:val="24"/>
          <w:szCs w:val="24"/>
        </w:rPr>
        <w:t xml:space="preserve"> as part of a process evaluation</w:t>
      </w:r>
      <w:r w:rsidRPr="00926384">
        <w:rPr>
          <w:sz w:val="24"/>
          <w:szCs w:val="24"/>
        </w:rPr>
        <w:t>.  The purpose of these interviews will be to</w:t>
      </w:r>
      <w:r>
        <w:rPr>
          <w:sz w:val="24"/>
          <w:szCs w:val="24"/>
        </w:rPr>
        <w:t xml:space="preserve"> obtain a high level overview of demonstration project operations from the grantee perspective</w:t>
      </w:r>
      <w:r w:rsidRPr="00926384">
        <w:rPr>
          <w:sz w:val="24"/>
          <w:szCs w:val="24"/>
        </w:rPr>
        <w:t xml:space="preserve">.  </w:t>
      </w:r>
      <w:r>
        <w:rPr>
          <w:sz w:val="24"/>
          <w:szCs w:val="24"/>
        </w:rPr>
        <w:t>In 2012, only two demonstrations will still be running (Meal Delivery and Backpack). Since operations are expected to change between 2011 and 2012, w</w:t>
      </w:r>
      <w:r w:rsidRPr="00926384">
        <w:rPr>
          <w:sz w:val="24"/>
          <w:szCs w:val="24"/>
        </w:rPr>
        <w:t xml:space="preserve">e will conduct </w:t>
      </w:r>
      <w:r>
        <w:rPr>
          <w:sz w:val="24"/>
          <w:szCs w:val="24"/>
        </w:rPr>
        <w:t xml:space="preserve">site visits and key informant </w:t>
      </w:r>
      <w:r w:rsidRPr="00926384">
        <w:rPr>
          <w:sz w:val="24"/>
          <w:szCs w:val="24"/>
        </w:rPr>
        <w:t>interview</w:t>
      </w:r>
      <w:r>
        <w:rPr>
          <w:sz w:val="24"/>
          <w:szCs w:val="24"/>
        </w:rPr>
        <w:t>s</w:t>
      </w:r>
      <w:r w:rsidRPr="00926384">
        <w:rPr>
          <w:sz w:val="24"/>
          <w:szCs w:val="24"/>
        </w:rPr>
        <w:t xml:space="preserve"> </w:t>
      </w:r>
      <w:r>
        <w:rPr>
          <w:sz w:val="24"/>
          <w:szCs w:val="24"/>
        </w:rPr>
        <w:t xml:space="preserve">for the 6 </w:t>
      </w:r>
      <w:r w:rsidRPr="00926384">
        <w:rPr>
          <w:sz w:val="24"/>
          <w:szCs w:val="24"/>
        </w:rPr>
        <w:t xml:space="preserve">state grantees </w:t>
      </w:r>
      <w:r>
        <w:rPr>
          <w:sz w:val="24"/>
          <w:szCs w:val="24"/>
        </w:rPr>
        <w:t xml:space="preserve">from the Meal Delivery and Backpack demonstrations in summer 2012. The 2012 interview will contain the same questions as in 2011. </w:t>
      </w:r>
    </w:p>
    <w:p w:rsidR="00EF44AD" w:rsidRDefault="00EF44AD" w:rsidP="00EF44AD">
      <w:pPr>
        <w:spacing w:line="480" w:lineRule="auto"/>
        <w:rPr>
          <w:sz w:val="24"/>
          <w:szCs w:val="24"/>
        </w:rPr>
      </w:pPr>
      <w:r w:rsidRPr="00926384">
        <w:rPr>
          <w:sz w:val="24"/>
          <w:szCs w:val="24"/>
        </w:rPr>
        <w:t xml:space="preserve">Interviews will </w:t>
      </w:r>
      <w:r>
        <w:rPr>
          <w:sz w:val="24"/>
          <w:szCs w:val="24"/>
        </w:rPr>
        <w:t xml:space="preserve">also </w:t>
      </w:r>
      <w:r w:rsidRPr="00926384">
        <w:rPr>
          <w:sz w:val="24"/>
          <w:szCs w:val="24"/>
        </w:rPr>
        <w:t>be conducted with key informants in sponsoring organizations</w:t>
      </w:r>
      <w:r>
        <w:rPr>
          <w:sz w:val="24"/>
          <w:szCs w:val="24"/>
        </w:rPr>
        <w:t xml:space="preserve"> and sites</w:t>
      </w:r>
      <w:r w:rsidRPr="00926384">
        <w:rPr>
          <w:sz w:val="24"/>
          <w:szCs w:val="24"/>
        </w:rPr>
        <w:t xml:space="preserve">.  </w:t>
      </w:r>
      <w:r>
        <w:rPr>
          <w:sz w:val="24"/>
          <w:szCs w:val="24"/>
        </w:rPr>
        <w:t>In 2011, sponsor and site staff/volunteers from Demonstrations 1, 2, and 4 and sponsors in Demonstration 3 will be interviewed.</w:t>
      </w:r>
      <w:r>
        <w:rPr>
          <w:rStyle w:val="FootnoteReference"/>
          <w:sz w:val="24"/>
          <w:szCs w:val="24"/>
        </w:rPr>
        <w:footnoteReference w:id="2"/>
      </w:r>
      <w:r>
        <w:rPr>
          <w:sz w:val="24"/>
          <w:szCs w:val="24"/>
        </w:rPr>
        <w:t xml:space="preserve"> In 2012, sponsors and site staff/volunteers in the Backpack demonstrations and sponsors in the Meal Delivery demonstrations will be interviewed.  The purpose of interviews with sponsors is to obtain an understanding of the implementation of demonstrations from the perspective of local agency officials. The purpose </w:t>
      </w:r>
      <w:r>
        <w:rPr>
          <w:sz w:val="24"/>
          <w:szCs w:val="24"/>
        </w:rPr>
        <w:lastRenderedPageBreak/>
        <w:t>of interviewing staff/volunteers at sites is to understand demonstration project operations at the ground level where food is provided to the children.</w:t>
      </w:r>
    </w:p>
    <w:p w:rsidR="00EF44AD" w:rsidRDefault="00EF44AD" w:rsidP="00EF44AD">
      <w:pPr>
        <w:spacing w:line="480" w:lineRule="auto"/>
        <w:rPr>
          <w:sz w:val="24"/>
          <w:szCs w:val="24"/>
        </w:rPr>
      </w:pPr>
      <w:r>
        <w:rPr>
          <w:sz w:val="24"/>
          <w:szCs w:val="24"/>
        </w:rPr>
        <w:t xml:space="preserve">In 2011, the 8 State grantees (including grantees from Demonstrations 1 and 2) will also be asked to complete a short cost instrument to collect information on start up operations and operations specific to their roles and responsibilities as a demonstration project grantee. The 6 state grantees for the Meal Delivery and Backpack demonstrations will be asked to complete the instrument again in the second year of the demonstration.  An extended cost instrument will be fielded to sponsors in all four types of demonstration projects in 2011 and sponsors in the Meal Delivery and Backpack demonstration projects in 2012. </w:t>
      </w:r>
      <w:r w:rsidR="008E224C">
        <w:rPr>
          <w:sz w:val="24"/>
          <w:szCs w:val="24"/>
        </w:rPr>
        <w:t xml:space="preserve"> </w:t>
      </w:r>
    </w:p>
    <w:p w:rsidR="00E23D8F" w:rsidRPr="002A2178" w:rsidRDefault="00E23D8F" w:rsidP="00E23D8F">
      <w:pPr>
        <w:spacing w:after="0" w:line="480" w:lineRule="auto"/>
        <w:rPr>
          <w:color w:val="000000" w:themeColor="text1"/>
          <w:sz w:val="24"/>
          <w:szCs w:val="24"/>
        </w:rPr>
      </w:pPr>
      <w:r w:rsidRPr="002A2178">
        <w:rPr>
          <w:sz w:val="24"/>
          <w:szCs w:val="24"/>
        </w:rPr>
        <w:t xml:space="preserve">The impact portion of the evaluation will collect data on household food security (using a 30-day reference period) at four points in time – summer 2011, fall 2011, and twice in summer 2012. </w:t>
      </w:r>
      <w:r>
        <w:rPr>
          <w:sz w:val="24"/>
          <w:szCs w:val="24"/>
        </w:rPr>
        <w:t xml:space="preserve"> </w:t>
      </w:r>
      <w:r w:rsidRPr="002A2178">
        <w:rPr>
          <w:sz w:val="24"/>
          <w:szCs w:val="24"/>
        </w:rPr>
        <w:t xml:space="preserve">Thus, we will be able to draw conclusions about food security in the households of the children who participate in the </w:t>
      </w:r>
      <w:r>
        <w:rPr>
          <w:sz w:val="24"/>
          <w:szCs w:val="24"/>
        </w:rPr>
        <w:t>B</w:t>
      </w:r>
      <w:r w:rsidRPr="002A2178">
        <w:rPr>
          <w:sz w:val="24"/>
          <w:szCs w:val="24"/>
        </w:rPr>
        <w:t xml:space="preserve">ackpack and </w:t>
      </w:r>
      <w:r>
        <w:rPr>
          <w:sz w:val="24"/>
          <w:szCs w:val="24"/>
        </w:rPr>
        <w:t>M</w:t>
      </w:r>
      <w:r w:rsidRPr="002A2178">
        <w:rPr>
          <w:sz w:val="24"/>
          <w:szCs w:val="24"/>
        </w:rPr>
        <w:t xml:space="preserve">eal </w:t>
      </w:r>
      <w:r>
        <w:rPr>
          <w:sz w:val="24"/>
          <w:szCs w:val="24"/>
        </w:rPr>
        <w:t>D</w:t>
      </w:r>
      <w:r w:rsidRPr="002A2178">
        <w:rPr>
          <w:sz w:val="24"/>
          <w:szCs w:val="24"/>
        </w:rPr>
        <w:t>elivery demonstrations in the summer compared to their household food security when they are back in school and the NSLP</w:t>
      </w:r>
      <w:r>
        <w:rPr>
          <w:sz w:val="24"/>
          <w:szCs w:val="24"/>
        </w:rPr>
        <w:t xml:space="preserve"> </w:t>
      </w:r>
      <w:r w:rsidRPr="002A2178">
        <w:rPr>
          <w:sz w:val="24"/>
          <w:szCs w:val="24"/>
        </w:rPr>
        <w:t>program in the fall.  Results indicat</w:t>
      </w:r>
      <w:r>
        <w:rPr>
          <w:sz w:val="24"/>
          <w:szCs w:val="24"/>
        </w:rPr>
        <w:t>ing</w:t>
      </w:r>
      <w:r w:rsidRPr="002A2178">
        <w:rPr>
          <w:sz w:val="24"/>
          <w:szCs w:val="24"/>
        </w:rPr>
        <w:t xml:space="preserve"> that househ</w:t>
      </w:r>
      <w:bookmarkStart w:id="0" w:name="_GoBack"/>
      <w:bookmarkEnd w:id="0"/>
      <w:r w:rsidRPr="002A2178">
        <w:rPr>
          <w:sz w:val="24"/>
          <w:szCs w:val="24"/>
        </w:rPr>
        <w:t>old food security in the summer was at least at the same level as in the fall would indicate a strong association with participation in the demonstrations. It would</w:t>
      </w:r>
      <w:r>
        <w:rPr>
          <w:sz w:val="24"/>
          <w:szCs w:val="24"/>
        </w:rPr>
        <w:t xml:space="preserve">, however, </w:t>
      </w:r>
      <w:r w:rsidRPr="002A2178">
        <w:rPr>
          <w:sz w:val="24"/>
          <w:szCs w:val="24"/>
        </w:rPr>
        <w:t xml:space="preserve">not be able to show what the household food security would have been like in the absence of the demonstrations. It will also not be able to compare household food security with the previous school </w:t>
      </w:r>
      <w:r w:rsidRPr="002A2178">
        <w:rPr>
          <w:color w:val="000000" w:themeColor="text1"/>
          <w:sz w:val="24"/>
          <w:szCs w:val="24"/>
        </w:rPr>
        <w:t>year</w:t>
      </w:r>
      <w:r>
        <w:rPr>
          <w:color w:val="000000" w:themeColor="text1"/>
          <w:sz w:val="24"/>
          <w:szCs w:val="24"/>
        </w:rPr>
        <w:t xml:space="preserve"> </w:t>
      </w:r>
      <w:r w:rsidRPr="002A2178">
        <w:rPr>
          <w:color w:val="000000" w:themeColor="text1"/>
          <w:sz w:val="24"/>
          <w:szCs w:val="24"/>
        </w:rPr>
        <w:t>(spring 2011)</w:t>
      </w:r>
    </w:p>
    <w:p w:rsidR="00E23D8F" w:rsidRPr="002A2178" w:rsidRDefault="00E23D8F" w:rsidP="00E23D8F">
      <w:pPr>
        <w:spacing w:after="0" w:line="480" w:lineRule="auto"/>
        <w:rPr>
          <w:sz w:val="24"/>
          <w:szCs w:val="24"/>
        </w:rPr>
      </w:pPr>
    </w:p>
    <w:p w:rsidR="00E23D8F" w:rsidRPr="002A2178" w:rsidRDefault="00E23D8F" w:rsidP="00E23D8F">
      <w:pPr>
        <w:spacing w:after="0" w:line="480" w:lineRule="auto"/>
        <w:rPr>
          <w:sz w:val="24"/>
          <w:szCs w:val="24"/>
        </w:rPr>
      </w:pPr>
      <w:r>
        <w:rPr>
          <w:sz w:val="24"/>
          <w:szCs w:val="24"/>
        </w:rPr>
        <w:t>I</w:t>
      </w:r>
      <w:r w:rsidRPr="002A2178">
        <w:rPr>
          <w:sz w:val="24"/>
          <w:szCs w:val="24"/>
        </w:rPr>
        <w:t xml:space="preserve">t was not possible to compare summer 2011 household food security with that in the 2010/2011 school year because identifying eligible children in the spring who would definitely </w:t>
      </w:r>
      <w:r w:rsidRPr="002A2178">
        <w:rPr>
          <w:sz w:val="24"/>
          <w:szCs w:val="24"/>
        </w:rPr>
        <w:lastRenderedPageBreak/>
        <w:t>participate in the demonstration projects in the summer was not possible. The fact that we measure these important outcomes at four points in time, however (including twice next summer), lends strength to our design and the ability to answer questions on</w:t>
      </w:r>
      <w:r>
        <w:rPr>
          <w:sz w:val="24"/>
          <w:szCs w:val="24"/>
        </w:rPr>
        <w:t xml:space="preserve"> </w:t>
      </w:r>
      <w:r w:rsidRPr="002A2178">
        <w:rPr>
          <w:sz w:val="24"/>
          <w:szCs w:val="24"/>
        </w:rPr>
        <w:t>comparisons of outcomes between demonstrations, over the two years of the demonstration (2011 and 2012), over time within the same demonstration period (summer 2012), relative to the NSLP during fall 2011, and relative to external benchmarks from the Current Population Survey (CPS) Supplement.</w:t>
      </w:r>
      <w:r>
        <w:rPr>
          <w:rStyle w:val="FootnoteReference"/>
          <w:sz w:val="24"/>
          <w:szCs w:val="24"/>
        </w:rPr>
        <w:footnoteReference w:id="3"/>
      </w:r>
      <w:r w:rsidRPr="002A2178">
        <w:rPr>
          <w:sz w:val="24"/>
          <w:szCs w:val="24"/>
        </w:rPr>
        <w:t xml:space="preserve">  </w:t>
      </w:r>
    </w:p>
    <w:p w:rsidR="00E23D8F" w:rsidRPr="002A2178" w:rsidRDefault="00E23D8F" w:rsidP="00E23D8F">
      <w:pPr>
        <w:spacing w:after="0" w:line="480" w:lineRule="auto"/>
        <w:rPr>
          <w:sz w:val="24"/>
          <w:szCs w:val="24"/>
        </w:rPr>
      </w:pPr>
    </w:p>
    <w:p w:rsidR="00E23D8F" w:rsidRPr="002A2178" w:rsidRDefault="00E23D8F" w:rsidP="00E23D8F">
      <w:pPr>
        <w:spacing w:after="0" w:line="480" w:lineRule="auto"/>
        <w:rPr>
          <w:sz w:val="24"/>
          <w:szCs w:val="24"/>
        </w:rPr>
      </w:pPr>
      <w:r w:rsidRPr="002A2178">
        <w:rPr>
          <w:sz w:val="24"/>
          <w:szCs w:val="24"/>
        </w:rPr>
        <w:t xml:space="preserve">Nevertheless, the issue of being able to attribute effects to these demonstrations is an important one and was seriously considered. </w:t>
      </w:r>
      <w:r>
        <w:rPr>
          <w:sz w:val="24"/>
          <w:szCs w:val="24"/>
        </w:rPr>
        <w:t>R</w:t>
      </w:r>
      <w:r w:rsidRPr="002A2178">
        <w:rPr>
          <w:sz w:val="24"/>
          <w:szCs w:val="24"/>
        </w:rPr>
        <w:t>andomly assign</w:t>
      </w:r>
      <w:r>
        <w:rPr>
          <w:sz w:val="24"/>
          <w:szCs w:val="24"/>
        </w:rPr>
        <w:t>ing</w:t>
      </w:r>
      <w:r w:rsidRPr="002A2178">
        <w:rPr>
          <w:sz w:val="24"/>
          <w:szCs w:val="24"/>
        </w:rPr>
        <w:t xml:space="preserve"> children to </w:t>
      </w:r>
      <w:r>
        <w:rPr>
          <w:sz w:val="24"/>
          <w:szCs w:val="24"/>
        </w:rPr>
        <w:t>treatment and control in the</w:t>
      </w:r>
      <w:r w:rsidRPr="002A2178">
        <w:rPr>
          <w:sz w:val="24"/>
          <w:szCs w:val="24"/>
        </w:rPr>
        <w:t xml:space="preserve"> </w:t>
      </w:r>
      <w:r>
        <w:rPr>
          <w:sz w:val="24"/>
          <w:szCs w:val="24"/>
        </w:rPr>
        <w:t>B</w:t>
      </w:r>
      <w:r w:rsidRPr="002A2178">
        <w:rPr>
          <w:sz w:val="24"/>
          <w:szCs w:val="24"/>
        </w:rPr>
        <w:t xml:space="preserve">ackpack or </w:t>
      </w:r>
      <w:r>
        <w:rPr>
          <w:sz w:val="24"/>
          <w:szCs w:val="24"/>
        </w:rPr>
        <w:t>M</w:t>
      </w:r>
      <w:r w:rsidRPr="002A2178">
        <w:rPr>
          <w:sz w:val="24"/>
          <w:szCs w:val="24"/>
        </w:rPr>
        <w:t xml:space="preserve">eal </w:t>
      </w:r>
      <w:r>
        <w:rPr>
          <w:sz w:val="24"/>
          <w:szCs w:val="24"/>
        </w:rPr>
        <w:t>D</w:t>
      </w:r>
      <w:r w:rsidRPr="002A2178">
        <w:rPr>
          <w:sz w:val="24"/>
          <w:szCs w:val="24"/>
        </w:rPr>
        <w:t>elivery demonstration</w:t>
      </w:r>
      <w:r>
        <w:rPr>
          <w:sz w:val="24"/>
          <w:szCs w:val="24"/>
        </w:rPr>
        <w:t>s</w:t>
      </w:r>
      <w:r w:rsidRPr="002A2178">
        <w:rPr>
          <w:sz w:val="24"/>
          <w:szCs w:val="24"/>
        </w:rPr>
        <w:t xml:space="preserve"> </w:t>
      </w:r>
      <w:r>
        <w:rPr>
          <w:sz w:val="24"/>
          <w:szCs w:val="24"/>
        </w:rPr>
        <w:t>was rejected because the sampling frame could not be assembled until the participants arrive at the food sites to pick up their backpacks or delivered meals.  The negative ramifications of providing backpacks or meals to some, but not all, of these children were thought to outweigh the benefits of randomization.    T</w:t>
      </w:r>
      <w:r w:rsidRPr="002A2178">
        <w:rPr>
          <w:sz w:val="24"/>
          <w:szCs w:val="24"/>
        </w:rPr>
        <w:t xml:space="preserve">he use of comparison </w:t>
      </w:r>
      <w:r>
        <w:rPr>
          <w:sz w:val="24"/>
          <w:szCs w:val="24"/>
        </w:rPr>
        <w:t xml:space="preserve">sites </w:t>
      </w:r>
      <w:r w:rsidRPr="002A2178">
        <w:rPr>
          <w:sz w:val="24"/>
          <w:szCs w:val="24"/>
        </w:rPr>
        <w:t>was considered</w:t>
      </w:r>
      <w:r>
        <w:rPr>
          <w:sz w:val="24"/>
          <w:szCs w:val="24"/>
        </w:rPr>
        <w:t xml:space="preserve"> but also rejected due to</w:t>
      </w:r>
      <w:r w:rsidRPr="002A2178">
        <w:rPr>
          <w:sz w:val="24"/>
          <w:szCs w:val="24"/>
        </w:rPr>
        <w:t xml:space="preserve"> the difficulty of identifying SFSP programs that would be </w:t>
      </w:r>
      <w:r>
        <w:rPr>
          <w:sz w:val="24"/>
          <w:szCs w:val="24"/>
        </w:rPr>
        <w:t xml:space="preserve">sufficiently </w:t>
      </w:r>
      <w:r w:rsidRPr="002A2178">
        <w:rPr>
          <w:sz w:val="24"/>
          <w:szCs w:val="24"/>
        </w:rPr>
        <w:t xml:space="preserve">similar to demonstration programs </w:t>
      </w:r>
      <w:r>
        <w:rPr>
          <w:sz w:val="24"/>
          <w:szCs w:val="24"/>
        </w:rPr>
        <w:t>absent</w:t>
      </w:r>
      <w:r w:rsidRPr="002A2178">
        <w:rPr>
          <w:sz w:val="24"/>
          <w:szCs w:val="24"/>
        </w:rPr>
        <w:t xml:space="preserve"> the demonstration</w:t>
      </w:r>
      <w:r>
        <w:rPr>
          <w:sz w:val="24"/>
          <w:szCs w:val="24"/>
        </w:rPr>
        <w:t>s.</w:t>
      </w:r>
      <w:r w:rsidRPr="002A2178">
        <w:rPr>
          <w:sz w:val="24"/>
          <w:szCs w:val="24"/>
        </w:rPr>
        <w:t xml:space="preserve">  </w:t>
      </w:r>
    </w:p>
    <w:p w:rsidR="00E23D8F" w:rsidRPr="002A2178" w:rsidRDefault="00E23D8F" w:rsidP="00E23D8F">
      <w:pPr>
        <w:spacing w:after="0" w:line="480" w:lineRule="auto"/>
        <w:rPr>
          <w:sz w:val="24"/>
          <w:szCs w:val="24"/>
        </w:rPr>
      </w:pPr>
    </w:p>
    <w:p w:rsidR="00E23D8F" w:rsidRPr="002A2178" w:rsidRDefault="00E23D8F" w:rsidP="00E23D8F">
      <w:pPr>
        <w:spacing w:after="0" w:line="480" w:lineRule="auto"/>
        <w:rPr>
          <w:sz w:val="24"/>
          <w:szCs w:val="24"/>
        </w:rPr>
      </w:pPr>
      <w:r>
        <w:rPr>
          <w:sz w:val="24"/>
          <w:szCs w:val="24"/>
        </w:rPr>
        <w:lastRenderedPageBreak/>
        <w:t>Based on comparison to the school year baseline, t</w:t>
      </w:r>
      <w:r w:rsidRPr="002A2178">
        <w:rPr>
          <w:sz w:val="24"/>
          <w:szCs w:val="24"/>
        </w:rPr>
        <w:t>his evaluation will be able to demonstrate the impact of the backpack and meal delivery demonstrations on household food security</w:t>
      </w:r>
      <w:r>
        <w:rPr>
          <w:sz w:val="24"/>
          <w:szCs w:val="24"/>
        </w:rPr>
        <w:t>.  I</w:t>
      </w:r>
      <w:r w:rsidRPr="002A2178">
        <w:rPr>
          <w:sz w:val="24"/>
          <w:szCs w:val="24"/>
        </w:rPr>
        <w:t>t will also be able to provide distinctions between and comparisons among funding sources, administrative start up costs, operational costs, and benefit costs as well as descriptive</w:t>
      </w:r>
      <w:r>
        <w:rPr>
          <w:sz w:val="24"/>
          <w:szCs w:val="24"/>
        </w:rPr>
        <w:t xml:space="preserve"> </w:t>
      </w:r>
      <w:r w:rsidRPr="002A2178">
        <w:rPr>
          <w:sz w:val="24"/>
          <w:szCs w:val="24"/>
        </w:rPr>
        <w:t xml:space="preserve">analyses of the key processes and outputs associated with the implementation of the demonstrations. </w:t>
      </w:r>
    </w:p>
    <w:p w:rsidR="00E23D8F" w:rsidRPr="002A2178" w:rsidRDefault="00E23D8F" w:rsidP="00E23D8F">
      <w:pPr>
        <w:spacing w:after="0" w:line="480" w:lineRule="auto"/>
        <w:rPr>
          <w:sz w:val="24"/>
          <w:szCs w:val="24"/>
        </w:rPr>
      </w:pPr>
    </w:p>
    <w:p w:rsidR="00E23D8F" w:rsidRDefault="00E23D8F" w:rsidP="00E23D8F">
      <w:pPr>
        <w:spacing w:after="0" w:line="480" w:lineRule="auto"/>
        <w:rPr>
          <w:sz w:val="24"/>
          <w:szCs w:val="24"/>
        </w:rPr>
      </w:pPr>
      <w:r w:rsidRPr="002A2178">
        <w:rPr>
          <w:sz w:val="24"/>
          <w:szCs w:val="24"/>
        </w:rPr>
        <w:t xml:space="preserve">Another </w:t>
      </w:r>
      <w:r>
        <w:rPr>
          <w:sz w:val="24"/>
          <w:szCs w:val="24"/>
        </w:rPr>
        <w:t xml:space="preserve">possible limitation is that use of </w:t>
      </w:r>
      <w:r w:rsidRPr="002A2178">
        <w:rPr>
          <w:sz w:val="24"/>
          <w:szCs w:val="24"/>
        </w:rPr>
        <w:t>the 30-day reference period, instead of a longer one, to measure household food security</w:t>
      </w:r>
      <w:r>
        <w:rPr>
          <w:sz w:val="24"/>
          <w:szCs w:val="24"/>
        </w:rPr>
        <w:t xml:space="preserve"> may </w:t>
      </w:r>
      <w:r w:rsidRPr="002A2178">
        <w:rPr>
          <w:sz w:val="24"/>
          <w:szCs w:val="24"/>
        </w:rPr>
        <w:t xml:space="preserve">result in lower incidence rates that in turn will require larger minimum detectable differences (MDD) between groups. </w:t>
      </w:r>
      <w:r>
        <w:rPr>
          <w:sz w:val="24"/>
          <w:szCs w:val="24"/>
        </w:rPr>
        <w:t xml:space="preserve"> The use of a longer reference period was rejected due to </w:t>
      </w:r>
      <w:r w:rsidRPr="002A2178">
        <w:rPr>
          <w:sz w:val="24"/>
          <w:szCs w:val="24"/>
        </w:rPr>
        <w:t xml:space="preserve">the short window of time in which to collect data during the summer.  Food sites operate at varying points in time over the summer – some beginning right after school ends in May and others beginning as late as early July.  Their end dates also vary, with some ending in June, July and August.  </w:t>
      </w:r>
      <w:r>
        <w:rPr>
          <w:sz w:val="24"/>
          <w:szCs w:val="24"/>
        </w:rPr>
        <w:t xml:space="preserve">Using a reference period longer than 30 days would risk confounding </w:t>
      </w:r>
      <w:r w:rsidRPr="002A2178">
        <w:rPr>
          <w:sz w:val="24"/>
          <w:szCs w:val="24"/>
        </w:rPr>
        <w:t xml:space="preserve">the effects of the demonstrations </w:t>
      </w:r>
      <w:r>
        <w:rPr>
          <w:sz w:val="24"/>
          <w:szCs w:val="24"/>
        </w:rPr>
        <w:t>with</w:t>
      </w:r>
      <w:r w:rsidRPr="002A2178">
        <w:rPr>
          <w:sz w:val="24"/>
          <w:szCs w:val="24"/>
        </w:rPr>
        <w:t xml:space="preserve"> other effects.  </w:t>
      </w:r>
      <w:r>
        <w:rPr>
          <w:sz w:val="24"/>
          <w:szCs w:val="24"/>
        </w:rPr>
        <w:t xml:space="preserve">Because </w:t>
      </w:r>
      <w:r w:rsidRPr="002A2178">
        <w:rPr>
          <w:sz w:val="24"/>
          <w:szCs w:val="24"/>
        </w:rPr>
        <w:t xml:space="preserve">the 30-day reference period is used in USDA’s yearly assessment of household food security using the CPS Supplement, we will be able to use these national data as benchmarks to </w:t>
      </w:r>
      <w:r>
        <w:rPr>
          <w:sz w:val="24"/>
          <w:szCs w:val="24"/>
        </w:rPr>
        <w:t xml:space="preserve">compare with </w:t>
      </w:r>
      <w:r w:rsidRPr="002A2178">
        <w:rPr>
          <w:sz w:val="24"/>
          <w:szCs w:val="24"/>
        </w:rPr>
        <w:t>the data we collect.</w:t>
      </w:r>
    </w:p>
    <w:p w:rsidR="00157AFC" w:rsidRPr="002A2178" w:rsidRDefault="00157AFC" w:rsidP="00E23D8F">
      <w:pPr>
        <w:spacing w:after="0" w:line="480" w:lineRule="auto"/>
        <w:rPr>
          <w:sz w:val="24"/>
          <w:szCs w:val="24"/>
        </w:rPr>
      </w:pPr>
    </w:p>
    <w:p w:rsidR="007C3F36" w:rsidRPr="007C3F36" w:rsidRDefault="00E266A4" w:rsidP="007C3F36">
      <w:pPr>
        <w:pStyle w:val="Default"/>
        <w:ind w:left="720" w:hanging="720"/>
        <w:rPr>
          <w:rFonts w:ascii="Calibri" w:hAnsi="Calibri"/>
          <w:b/>
        </w:rPr>
      </w:pPr>
      <w:r w:rsidRPr="007C3F36">
        <w:rPr>
          <w:rFonts w:asciiTheme="minorHAnsi" w:hAnsiTheme="minorHAnsi"/>
          <w:b/>
        </w:rPr>
        <w:t>A. 3</w:t>
      </w:r>
      <w:r w:rsidRPr="007C3F36">
        <w:rPr>
          <w:rFonts w:asciiTheme="minorHAnsi" w:hAnsiTheme="minorHAnsi"/>
          <w:b/>
        </w:rPr>
        <w:tab/>
      </w:r>
      <w:r w:rsidR="007C3F36" w:rsidRPr="007C3F36">
        <w:rPr>
          <w:rFonts w:asciiTheme="minorHAnsi" w:hAnsiTheme="minorHAnsi"/>
          <w:b/>
        </w:rPr>
        <w:t>Describe</w:t>
      </w:r>
      <w:r w:rsidR="007C3F36" w:rsidRPr="007C3F36">
        <w:rPr>
          <w:rFonts w:ascii="Calibri" w:hAnsi="Calibri"/>
          <w:b/>
        </w:rPr>
        <w:t xml:space="preserv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7C3F36" w:rsidRDefault="007C3F36">
      <w:pPr>
        <w:rPr>
          <w:sz w:val="24"/>
          <w:szCs w:val="24"/>
        </w:rPr>
      </w:pPr>
    </w:p>
    <w:p w:rsidR="002E3967" w:rsidRDefault="00AB087A">
      <w:pPr>
        <w:spacing w:line="480" w:lineRule="auto"/>
        <w:rPr>
          <w:sz w:val="24"/>
          <w:szCs w:val="24"/>
        </w:rPr>
      </w:pPr>
      <w:r>
        <w:rPr>
          <w:sz w:val="24"/>
          <w:szCs w:val="24"/>
        </w:rPr>
        <w:lastRenderedPageBreak/>
        <w:t xml:space="preserve">FNS is committed to complying with E-Government Act of 2002 to promote the use of technology.  </w:t>
      </w:r>
      <w:r w:rsidR="001503A6">
        <w:rPr>
          <w:sz w:val="24"/>
          <w:szCs w:val="24"/>
        </w:rPr>
        <w:t xml:space="preserve">In developing the data collection approach, the project team has taken into consideration </w:t>
      </w:r>
      <w:r w:rsidR="009720BE">
        <w:rPr>
          <w:sz w:val="24"/>
          <w:szCs w:val="24"/>
        </w:rPr>
        <w:t xml:space="preserve">opportunities for the </w:t>
      </w:r>
      <w:r w:rsidR="001503A6">
        <w:rPr>
          <w:sz w:val="24"/>
          <w:szCs w:val="24"/>
        </w:rPr>
        <w:t xml:space="preserve">use of information technology and automated data collection </w:t>
      </w:r>
      <w:r w:rsidR="009720BE">
        <w:rPr>
          <w:sz w:val="24"/>
          <w:szCs w:val="24"/>
        </w:rPr>
        <w:t xml:space="preserve">in an effort to reduce burden.  </w:t>
      </w:r>
      <w:r>
        <w:rPr>
          <w:sz w:val="24"/>
          <w:szCs w:val="24"/>
        </w:rPr>
        <w:t>On behalf of FNS, l</w:t>
      </w:r>
      <w:r w:rsidR="00667D8D">
        <w:rPr>
          <w:sz w:val="24"/>
          <w:szCs w:val="24"/>
        </w:rPr>
        <w:t>ocal field coordinators</w:t>
      </w:r>
      <w:r w:rsidR="009720BE">
        <w:rPr>
          <w:sz w:val="24"/>
          <w:szCs w:val="24"/>
        </w:rPr>
        <w:t xml:space="preserve"> </w:t>
      </w:r>
      <w:r w:rsidR="00960033">
        <w:rPr>
          <w:sz w:val="24"/>
          <w:szCs w:val="24"/>
        </w:rPr>
        <w:t xml:space="preserve">hired by </w:t>
      </w:r>
      <w:r w:rsidR="00AE1678">
        <w:rPr>
          <w:sz w:val="24"/>
          <w:szCs w:val="24"/>
        </w:rPr>
        <w:t>the contractor</w:t>
      </w:r>
      <w:r w:rsidR="00960033">
        <w:rPr>
          <w:sz w:val="24"/>
          <w:szCs w:val="24"/>
        </w:rPr>
        <w:t xml:space="preserve"> </w:t>
      </w:r>
      <w:r w:rsidR="009720BE">
        <w:rPr>
          <w:sz w:val="24"/>
          <w:szCs w:val="24"/>
        </w:rPr>
        <w:t>will make use of the sponsoring</w:t>
      </w:r>
      <w:r w:rsidR="00130E31">
        <w:rPr>
          <w:sz w:val="24"/>
          <w:szCs w:val="24"/>
        </w:rPr>
        <w:t xml:space="preserve"> and site</w:t>
      </w:r>
      <w:r w:rsidR="009720BE">
        <w:rPr>
          <w:sz w:val="24"/>
          <w:szCs w:val="24"/>
        </w:rPr>
        <w:t xml:space="preserve"> organizations</w:t>
      </w:r>
      <w:r w:rsidR="00960033">
        <w:rPr>
          <w:sz w:val="24"/>
          <w:szCs w:val="24"/>
        </w:rPr>
        <w:t>’</w:t>
      </w:r>
      <w:r w:rsidR="009720BE">
        <w:rPr>
          <w:sz w:val="24"/>
          <w:szCs w:val="24"/>
        </w:rPr>
        <w:t xml:space="preserve"> available technology</w:t>
      </w:r>
      <w:r w:rsidR="00B11948">
        <w:rPr>
          <w:sz w:val="24"/>
          <w:szCs w:val="24"/>
        </w:rPr>
        <w:t xml:space="preserve"> when preparing the lists of SFSP participants from which the sample will be selected.  </w:t>
      </w:r>
    </w:p>
    <w:p w:rsidR="002E3967" w:rsidRDefault="00AE1678" w:rsidP="00A13172">
      <w:pPr>
        <w:spacing w:after="0" w:line="480" w:lineRule="auto"/>
        <w:rPr>
          <w:sz w:val="24"/>
          <w:szCs w:val="24"/>
        </w:rPr>
      </w:pPr>
      <w:r>
        <w:rPr>
          <w:sz w:val="24"/>
          <w:szCs w:val="24"/>
        </w:rPr>
        <w:t xml:space="preserve">The research design also calls for the review and abstraction of data from demonstration project materials. </w:t>
      </w:r>
      <w:r w:rsidR="00AB087A">
        <w:rPr>
          <w:sz w:val="24"/>
          <w:szCs w:val="24"/>
        </w:rPr>
        <w:t>We</w:t>
      </w:r>
      <w:r>
        <w:rPr>
          <w:sz w:val="24"/>
          <w:szCs w:val="24"/>
        </w:rPr>
        <w:t xml:space="preserve"> will request that demonstration projects provide these materials electronically whenever possible. </w:t>
      </w:r>
      <w:r w:rsidR="00AB087A">
        <w:rPr>
          <w:sz w:val="24"/>
          <w:szCs w:val="24"/>
        </w:rPr>
        <w:t xml:space="preserve">FNS estimates approximately </w:t>
      </w:r>
      <w:r w:rsidR="00EF44AD">
        <w:rPr>
          <w:sz w:val="24"/>
          <w:szCs w:val="24"/>
        </w:rPr>
        <w:t>80</w:t>
      </w:r>
      <w:r w:rsidR="00AB087A">
        <w:rPr>
          <w:sz w:val="24"/>
          <w:szCs w:val="24"/>
        </w:rPr>
        <w:t xml:space="preserve"> percent of respondents will submit this information electronically.  </w:t>
      </w:r>
    </w:p>
    <w:p w:rsidR="00AE1678" w:rsidRDefault="00AE1678" w:rsidP="00A13172">
      <w:pPr>
        <w:spacing w:after="0"/>
        <w:rPr>
          <w:sz w:val="24"/>
          <w:szCs w:val="24"/>
        </w:rPr>
      </w:pPr>
    </w:p>
    <w:p w:rsidR="007C3F36" w:rsidRPr="007C3F36" w:rsidRDefault="00697ED1" w:rsidP="007C3F36">
      <w:pPr>
        <w:pStyle w:val="Default"/>
        <w:ind w:left="720" w:hanging="720"/>
        <w:rPr>
          <w:rFonts w:asciiTheme="minorHAnsi" w:hAnsiTheme="minorHAnsi"/>
          <w:b/>
        </w:rPr>
      </w:pPr>
      <w:r w:rsidRPr="007C3F36">
        <w:rPr>
          <w:rFonts w:asciiTheme="minorHAnsi" w:hAnsiTheme="minorHAnsi"/>
          <w:b/>
        </w:rPr>
        <w:t>A.4</w:t>
      </w:r>
      <w:r w:rsidRPr="007C3F36">
        <w:rPr>
          <w:rFonts w:asciiTheme="minorHAnsi" w:hAnsiTheme="minorHAnsi"/>
          <w:b/>
        </w:rPr>
        <w:tab/>
      </w:r>
      <w:r w:rsidR="007C3F36" w:rsidRPr="007C3F36">
        <w:rPr>
          <w:rFonts w:asciiTheme="minorHAnsi" w:hAnsiTheme="minorHAnsi"/>
          <w:b/>
        </w:rPr>
        <w:t xml:space="preserve">Describe efforts to identify duplication. Show specifically why any similar information already available cannot be used or modified for use for the purposes described in Item 2 above. </w:t>
      </w:r>
    </w:p>
    <w:p w:rsidR="007C3F36" w:rsidRDefault="007C3F36">
      <w:pPr>
        <w:rPr>
          <w:sz w:val="24"/>
          <w:szCs w:val="24"/>
        </w:rPr>
      </w:pPr>
    </w:p>
    <w:p w:rsidR="002E3967" w:rsidRDefault="00AB087A">
      <w:pPr>
        <w:pStyle w:val="BodyText"/>
        <w:spacing w:line="480" w:lineRule="auto"/>
        <w:rPr>
          <w:rFonts w:asciiTheme="minorHAnsi" w:hAnsiTheme="minorHAnsi" w:cs="Arial"/>
        </w:rPr>
      </w:pPr>
      <w:r w:rsidRPr="008E12AE">
        <w:rPr>
          <w:rFonts w:asciiTheme="minorHAnsi" w:hAnsiTheme="minorHAnsi"/>
        </w:rPr>
        <w:t xml:space="preserve">There are no similar data collection efforts available. Every effort has been made to avoid duplication.  </w:t>
      </w:r>
      <w:r w:rsidR="008E12AE" w:rsidRPr="008E12AE">
        <w:rPr>
          <w:rFonts w:asciiTheme="minorHAnsi" w:hAnsiTheme="minorHAnsi" w:cs="Arial"/>
          <w:szCs w:val="22"/>
        </w:rPr>
        <w:t xml:space="preserve">The data requirements for the evaluation </w:t>
      </w:r>
      <w:r w:rsidR="008E12AE" w:rsidRPr="008E12AE">
        <w:rPr>
          <w:rFonts w:asciiTheme="minorHAnsi" w:hAnsiTheme="minorHAnsi"/>
        </w:rPr>
        <w:t xml:space="preserve">of new demonstration projects </w:t>
      </w:r>
      <w:r w:rsidR="00EF44AD">
        <w:rPr>
          <w:rFonts w:asciiTheme="minorHAnsi" w:hAnsiTheme="minorHAnsi"/>
        </w:rPr>
        <w:t xml:space="preserve">are </w:t>
      </w:r>
      <w:r w:rsidR="008E12AE" w:rsidRPr="008E12AE">
        <w:rPr>
          <w:rFonts w:asciiTheme="minorHAnsi" w:hAnsiTheme="minorHAnsi"/>
        </w:rPr>
        <w:t xml:space="preserve">designed to test possible strategies for providing access to food for children who are not easily reached by the existing Summer Food Service Program.  The approaches that will be evaluated represent new initiatives. We </w:t>
      </w:r>
      <w:r w:rsidR="008E12AE" w:rsidRPr="008E12AE">
        <w:rPr>
          <w:rFonts w:asciiTheme="minorHAnsi" w:hAnsiTheme="minorHAnsi" w:cs="Arial"/>
          <w:szCs w:val="22"/>
        </w:rPr>
        <w:t>have carefully reviewed FNS reporting requirements, State administrative agency reporting requirements, and special studies by government and private agencies. It was concluded that no existing data sources can provide data needed to answer the study’s research questions</w:t>
      </w:r>
      <w:r w:rsidR="008E12AE" w:rsidRPr="008E12AE">
        <w:rPr>
          <w:rFonts w:asciiTheme="minorHAnsi" w:hAnsiTheme="minorHAnsi"/>
        </w:rPr>
        <w:t xml:space="preserve"> to determine the effectiveness, cost, or implementation of the demonstrations.</w:t>
      </w:r>
      <w:r w:rsidR="008E12AE" w:rsidRPr="00926384">
        <w:t xml:space="preserve">  </w:t>
      </w:r>
    </w:p>
    <w:p w:rsidR="00946BBF" w:rsidRPr="00926384" w:rsidRDefault="00946BBF">
      <w:pPr>
        <w:rPr>
          <w:sz w:val="24"/>
          <w:szCs w:val="24"/>
        </w:rPr>
      </w:pPr>
    </w:p>
    <w:p w:rsidR="006E55B7" w:rsidRDefault="006E55B7">
      <w:pPr>
        <w:rPr>
          <w:rFonts w:cs="Garamond"/>
          <w:b/>
          <w:color w:val="000000"/>
          <w:sz w:val="24"/>
          <w:szCs w:val="24"/>
        </w:rPr>
      </w:pPr>
      <w:r>
        <w:rPr>
          <w:b/>
        </w:rPr>
        <w:br w:type="page"/>
      </w:r>
    </w:p>
    <w:p w:rsidR="007C3F36" w:rsidRPr="007C3F36" w:rsidRDefault="007C3F36" w:rsidP="007C3F36">
      <w:pPr>
        <w:pStyle w:val="Default"/>
        <w:ind w:left="720" w:hanging="720"/>
        <w:rPr>
          <w:rFonts w:ascii="Calibri" w:hAnsi="Calibri"/>
          <w:b/>
        </w:rPr>
      </w:pPr>
      <w:r>
        <w:rPr>
          <w:rFonts w:ascii="Calibri" w:hAnsi="Calibri"/>
          <w:b/>
        </w:rPr>
        <w:lastRenderedPageBreak/>
        <w:t>A.5</w:t>
      </w:r>
      <w:r w:rsidRPr="007C3F36">
        <w:rPr>
          <w:rFonts w:ascii="Calibri" w:hAnsi="Calibri"/>
          <w:b/>
        </w:rPr>
        <w:t xml:space="preserve"> </w:t>
      </w:r>
      <w:r w:rsidRPr="007C3F36">
        <w:rPr>
          <w:rFonts w:ascii="Calibri" w:hAnsi="Calibri"/>
          <w:b/>
        </w:rPr>
        <w:tab/>
        <w:t xml:space="preserve">If the collection of information impacts small businesses or other small entities (Item 5 of OMB Form 83-I), describe any methods used to minimize burden. </w:t>
      </w:r>
    </w:p>
    <w:p w:rsidR="007C3F36" w:rsidRDefault="007C3F36">
      <w:pPr>
        <w:rPr>
          <w:sz w:val="24"/>
          <w:szCs w:val="24"/>
        </w:rPr>
      </w:pPr>
    </w:p>
    <w:p w:rsidR="002E3967" w:rsidRDefault="008F5DEC">
      <w:pPr>
        <w:spacing w:line="480" w:lineRule="auto"/>
        <w:rPr>
          <w:sz w:val="24"/>
          <w:szCs w:val="24"/>
        </w:rPr>
      </w:pPr>
      <w:r w:rsidRPr="00926384">
        <w:rPr>
          <w:sz w:val="24"/>
          <w:szCs w:val="24"/>
        </w:rPr>
        <w:t xml:space="preserve">The </w:t>
      </w:r>
      <w:r w:rsidR="00F31BC0" w:rsidRPr="00926384">
        <w:rPr>
          <w:sz w:val="24"/>
          <w:szCs w:val="24"/>
        </w:rPr>
        <w:t xml:space="preserve">information collection </w:t>
      </w:r>
      <w:r w:rsidRPr="00926384">
        <w:rPr>
          <w:sz w:val="24"/>
          <w:szCs w:val="24"/>
        </w:rPr>
        <w:t xml:space="preserve">will involve </w:t>
      </w:r>
      <w:r w:rsidR="00F31BC0" w:rsidRPr="00926384">
        <w:rPr>
          <w:sz w:val="24"/>
          <w:szCs w:val="24"/>
        </w:rPr>
        <w:t xml:space="preserve">SFSP </w:t>
      </w:r>
      <w:r w:rsidRPr="00926384">
        <w:rPr>
          <w:sz w:val="24"/>
          <w:szCs w:val="24"/>
        </w:rPr>
        <w:t xml:space="preserve">demonstration </w:t>
      </w:r>
      <w:r w:rsidR="00877CC5">
        <w:rPr>
          <w:sz w:val="24"/>
          <w:szCs w:val="24"/>
        </w:rPr>
        <w:t>site</w:t>
      </w:r>
      <w:r w:rsidR="004775C4">
        <w:rPr>
          <w:sz w:val="24"/>
          <w:szCs w:val="24"/>
        </w:rPr>
        <w:t>s</w:t>
      </w:r>
      <w:r w:rsidR="00877CC5">
        <w:rPr>
          <w:sz w:val="24"/>
          <w:szCs w:val="24"/>
        </w:rPr>
        <w:t xml:space="preserve"> that</w:t>
      </w:r>
      <w:r w:rsidRPr="00926384">
        <w:rPr>
          <w:sz w:val="24"/>
          <w:szCs w:val="24"/>
        </w:rPr>
        <w:t xml:space="preserve"> may represent small business or other sm</w:t>
      </w:r>
      <w:r w:rsidR="00743B3E" w:rsidRPr="00926384">
        <w:rPr>
          <w:sz w:val="24"/>
          <w:szCs w:val="24"/>
        </w:rPr>
        <w:t>all entities.  In order to minimize burden</w:t>
      </w:r>
      <w:r w:rsidR="00970D59" w:rsidRPr="00926384">
        <w:rPr>
          <w:sz w:val="24"/>
          <w:szCs w:val="24"/>
        </w:rPr>
        <w:t xml:space="preserve"> to demonstration</w:t>
      </w:r>
      <w:r w:rsidR="000D7E26">
        <w:rPr>
          <w:sz w:val="24"/>
          <w:szCs w:val="24"/>
        </w:rPr>
        <w:t xml:space="preserve"> </w:t>
      </w:r>
      <w:r w:rsidR="004775C4">
        <w:rPr>
          <w:sz w:val="24"/>
          <w:szCs w:val="24"/>
        </w:rPr>
        <w:t>sites</w:t>
      </w:r>
      <w:r w:rsidR="00743B3E" w:rsidRPr="00926384">
        <w:rPr>
          <w:sz w:val="24"/>
          <w:szCs w:val="24"/>
        </w:rPr>
        <w:t xml:space="preserve">, the evaluation approach involves the use of </w:t>
      </w:r>
      <w:r w:rsidR="00667D8D">
        <w:rPr>
          <w:sz w:val="24"/>
          <w:szCs w:val="24"/>
        </w:rPr>
        <w:t xml:space="preserve">local field coordinators </w:t>
      </w:r>
      <w:r w:rsidR="00743B3E" w:rsidRPr="00926384">
        <w:rPr>
          <w:sz w:val="24"/>
          <w:szCs w:val="24"/>
        </w:rPr>
        <w:t xml:space="preserve">to handle activities that are </w:t>
      </w:r>
      <w:r w:rsidR="00F31BC0" w:rsidRPr="00926384">
        <w:rPr>
          <w:sz w:val="24"/>
          <w:szCs w:val="24"/>
        </w:rPr>
        <w:t xml:space="preserve">not part of </w:t>
      </w:r>
      <w:r w:rsidR="00743B3E" w:rsidRPr="00926384">
        <w:rPr>
          <w:sz w:val="24"/>
          <w:szCs w:val="24"/>
        </w:rPr>
        <w:t>the normal day-to-day operations</w:t>
      </w:r>
      <w:r w:rsidR="00F31BC0" w:rsidRPr="00926384">
        <w:rPr>
          <w:sz w:val="24"/>
          <w:szCs w:val="24"/>
        </w:rPr>
        <w:t xml:space="preserve">.  </w:t>
      </w:r>
      <w:r w:rsidR="004775C4">
        <w:rPr>
          <w:sz w:val="24"/>
          <w:szCs w:val="24"/>
        </w:rPr>
        <w:t>Site</w:t>
      </w:r>
      <w:r w:rsidR="00970D59" w:rsidRPr="00926384">
        <w:rPr>
          <w:sz w:val="24"/>
          <w:szCs w:val="24"/>
        </w:rPr>
        <w:t xml:space="preserve">s will not incur any costs associated with the use of </w:t>
      </w:r>
      <w:r w:rsidR="00667D8D">
        <w:rPr>
          <w:sz w:val="24"/>
          <w:szCs w:val="24"/>
        </w:rPr>
        <w:t xml:space="preserve">field coordinators; the field coordinators </w:t>
      </w:r>
      <w:r w:rsidR="00F31BC0" w:rsidRPr="00926384">
        <w:rPr>
          <w:sz w:val="24"/>
          <w:szCs w:val="24"/>
        </w:rPr>
        <w:t xml:space="preserve">will be hired and paid by the contractor responsible for the data collection </w:t>
      </w:r>
      <w:r w:rsidR="00ED0BC5" w:rsidRPr="00926384">
        <w:rPr>
          <w:sz w:val="24"/>
          <w:szCs w:val="24"/>
        </w:rPr>
        <w:t>effort.</w:t>
      </w:r>
      <w:r w:rsidR="00970D59" w:rsidRPr="00926384">
        <w:rPr>
          <w:sz w:val="24"/>
          <w:szCs w:val="24"/>
        </w:rPr>
        <w:t xml:space="preserve">  </w:t>
      </w:r>
      <w:r w:rsidR="00ED0BC5" w:rsidRPr="00926384">
        <w:rPr>
          <w:sz w:val="24"/>
          <w:szCs w:val="24"/>
        </w:rPr>
        <w:t xml:space="preserve">  </w:t>
      </w:r>
    </w:p>
    <w:p w:rsidR="00057CAE" w:rsidRDefault="00962693" w:rsidP="00E25488">
      <w:pPr>
        <w:tabs>
          <w:tab w:val="left" w:pos="-720"/>
        </w:tabs>
        <w:suppressAutoHyphens/>
        <w:spacing w:line="480" w:lineRule="auto"/>
        <w:rPr>
          <w:sz w:val="24"/>
          <w:szCs w:val="24"/>
        </w:rPr>
      </w:pPr>
      <w:r w:rsidRPr="00926384">
        <w:rPr>
          <w:sz w:val="24"/>
          <w:szCs w:val="24"/>
        </w:rPr>
        <w:t xml:space="preserve">Although the </w:t>
      </w:r>
      <w:r w:rsidR="00667D8D">
        <w:rPr>
          <w:sz w:val="24"/>
          <w:szCs w:val="24"/>
        </w:rPr>
        <w:t>field coordinators</w:t>
      </w:r>
      <w:r w:rsidRPr="00926384">
        <w:rPr>
          <w:sz w:val="24"/>
          <w:szCs w:val="24"/>
        </w:rPr>
        <w:t xml:space="preserve"> will work closely with their assigned </w:t>
      </w:r>
      <w:r w:rsidR="004775C4">
        <w:rPr>
          <w:sz w:val="24"/>
          <w:szCs w:val="24"/>
        </w:rPr>
        <w:t xml:space="preserve">sites </w:t>
      </w:r>
      <w:r w:rsidRPr="00926384">
        <w:rPr>
          <w:sz w:val="24"/>
          <w:szCs w:val="24"/>
        </w:rPr>
        <w:t>to work out the details of their</w:t>
      </w:r>
      <w:r w:rsidR="00970D59" w:rsidRPr="00926384">
        <w:rPr>
          <w:sz w:val="24"/>
          <w:szCs w:val="24"/>
        </w:rPr>
        <w:t xml:space="preserve"> support</w:t>
      </w:r>
      <w:r w:rsidRPr="00926384">
        <w:rPr>
          <w:sz w:val="24"/>
          <w:szCs w:val="24"/>
        </w:rPr>
        <w:t xml:space="preserve">, </w:t>
      </w:r>
      <w:r w:rsidR="00667D8D">
        <w:rPr>
          <w:sz w:val="24"/>
          <w:szCs w:val="24"/>
        </w:rPr>
        <w:t>field coordinators</w:t>
      </w:r>
      <w:r w:rsidRPr="00926384">
        <w:rPr>
          <w:sz w:val="24"/>
          <w:szCs w:val="24"/>
        </w:rPr>
        <w:t xml:space="preserve"> will offer assistance in </w:t>
      </w:r>
      <w:r w:rsidR="001A72AE" w:rsidRPr="00926384">
        <w:rPr>
          <w:sz w:val="24"/>
          <w:szCs w:val="24"/>
        </w:rPr>
        <w:t>s</w:t>
      </w:r>
      <w:r w:rsidR="00543C3D" w:rsidRPr="00926384">
        <w:rPr>
          <w:sz w:val="24"/>
          <w:szCs w:val="24"/>
        </w:rPr>
        <w:t xml:space="preserve">everal </w:t>
      </w:r>
      <w:r w:rsidR="001A72AE" w:rsidRPr="00926384">
        <w:rPr>
          <w:sz w:val="24"/>
          <w:szCs w:val="24"/>
        </w:rPr>
        <w:t xml:space="preserve">key </w:t>
      </w:r>
      <w:r w:rsidRPr="00926384">
        <w:rPr>
          <w:sz w:val="24"/>
          <w:szCs w:val="24"/>
        </w:rPr>
        <w:t xml:space="preserve">ways.  They will prepare the lists of SFSP participants that will serve as the frame for the participant sample.  Once the sample has been selected, </w:t>
      </w:r>
      <w:r w:rsidR="007F25A5">
        <w:rPr>
          <w:sz w:val="24"/>
          <w:szCs w:val="24"/>
        </w:rPr>
        <w:t>field coordinators</w:t>
      </w:r>
      <w:r w:rsidRPr="00926384">
        <w:rPr>
          <w:sz w:val="24"/>
          <w:szCs w:val="24"/>
        </w:rPr>
        <w:t xml:space="preserve"> will facilitate data collection by preparing </w:t>
      </w:r>
      <w:r w:rsidR="00543C3D" w:rsidRPr="00926384">
        <w:rPr>
          <w:sz w:val="24"/>
          <w:szCs w:val="24"/>
        </w:rPr>
        <w:t xml:space="preserve">the </w:t>
      </w:r>
      <w:r w:rsidRPr="00926384">
        <w:rPr>
          <w:sz w:val="24"/>
          <w:szCs w:val="24"/>
        </w:rPr>
        <w:t>packages of study material</w:t>
      </w:r>
      <w:r w:rsidR="00543C3D" w:rsidRPr="00926384">
        <w:rPr>
          <w:sz w:val="24"/>
          <w:szCs w:val="24"/>
        </w:rPr>
        <w:t xml:space="preserve">s that will be provided </w:t>
      </w:r>
      <w:r w:rsidRPr="00926384">
        <w:rPr>
          <w:sz w:val="24"/>
          <w:szCs w:val="24"/>
        </w:rPr>
        <w:t xml:space="preserve">in </w:t>
      </w:r>
      <w:r w:rsidR="00543C3D" w:rsidRPr="00926384">
        <w:rPr>
          <w:sz w:val="24"/>
          <w:szCs w:val="24"/>
        </w:rPr>
        <w:t xml:space="preserve">the backpacks or accompany the </w:t>
      </w:r>
      <w:r w:rsidRPr="00926384">
        <w:rPr>
          <w:sz w:val="24"/>
          <w:szCs w:val="24"/>
        </w:rPr>
        <w:t>meal delivery</w:t>
      </w:r>
      <w:r w:rsidR="00E917E4">
        <w:rPr>
          <w:sz w:val="24"/>
          <w:szCs w:val="24"/>
        </w:rPr>
        <w:t xml:space="preserve"> (Attachment </w:t>
      </w:r>
      <w:r w:rsidR="00484D20">
        <w:rPr>
          <w:sz w:val="24"/>
          <w:szCs w:val="24"/>
        </w:rPr>
        <w:t>E</w:t>
      </w:r>
      <w:r w:rsidR="00E86B7D">
        <w:rPr>
          <w:sz w:val="24"/>
          <w:szCs w:val="24"/>
        </w:rPr>
        <w:t>)</w:t>
      </w:r>
      <w:r w:rsidR="00543C3D" w:rsidRPr="00926384">
        <w:rPr>
          <w:sz w:val="24"/>
          <w:szCs w:val="24"/>
        </w:rPr>
        <w:t xml:space="preserve">.  </w:t>
      </w:r>
      <w:r w:rsidR="00667D8D">
        <w:rPr>
          <w:sz w:val="24"/>
          <w:szCs w:val="24"/>
        </w:rPr>
        <w:t>Field coordinators</w:t>
      </w:r>
      <w:r w:rsidR="00543C3D" w:rsidRPr="00926384">
        <w:rPr>
          <w:sz w:val="24"/>
          <w:szCs w:val="24"/>
        </w:rPr>
        <w:t xml:space="preserve"> will also be responsible for conducting in-person followup with nonrespondent households</w:t>
      </w:r>
      <w:r w:rsidR="00F428EE">
        <w:rPr>
          <w:sz w:val="24"/>
          <w:szCs w:val="24"/>
        </w:rPr>
        <w:t xml:space="preserve"> (Attachment </w:t>
      </w:r>
      <w:r w:rsidR="00F4770A">
        <w:rPr>
          <w:sz w:val="24"/>
          <w:szCs w:val="24"/>
        </w:rPr>
        <w:t>C</w:t>
      </w:r>
      <w:r w:rsidR="00C83713">
        <w:rPr>
          <w:sz w:val="24"/>
          <w:szCs w:val="24"/>
        </w:rPr>
        <w:t>)</w:t>
      </w:r>
      <w:r w:rsidR="00543C3D" w:rsidRPr="00926384">
        <w:rPr>
          <w:sz w:val="24"/>
          <w:szCs w:val="24"/>
        </w:rPr>
        <w:t>.</w:t>
      </w:r>
      <w:r w:rsidRPr="00926384">
        <w:rPr>
          <w:sz w:val="24"/>
          <w:szCs w:val="24"/>
        </w:rPr>
        <w:t xml:space="preserve"> </w:t>
      </w:r>
      <w:r w:rsidR="0092467D" w:rsidRPr="00A13172">
        <w:rPr>
          <w:sz w:val="24"/>
          <w:szCs w:val="24"/>
        </w:rPr>
        <w:t xml:space="preserve">FNS estimates that </w:t>
      </w:r>
      <w:r w:rsidR="00844620" w:rsidRPr="00A13172">
        <w:rPr>
          <w:sz w:val="24"/>
          <w:szCs w:val="24"/>
        </w:rPr>
        <w:t>one</w:t>
      </w:r>
      <w:r w:rsidR="0092467D" w:rsidRPr="00A13172">
        <w:rPr>
          <w:sz w:val="24"/>
          <w:szCs w:val="24"/>
        </w:rPr>
        <w:t xml:space="preserve"> percent of our respondents are small entities</w:t>
      </w:r>
      <w:r w:rsidR="00EF44AD" w:rsidRPr="00A13172">
        <w:rPr>
          <w:sz w:val="24"/>
          <w:szCs w:val="24"/>
        </w:rPr>
        <w:t xml:space="preserve"> (i.e., fewer than 10)</w:t>
      </w:r>
      <w:r w:rsidR="0092467D" w:rsidRPr="00A13172">
        <w:rPr>
          <w:sz w:val="24"/>
          <w:szCs w:val="24"/>
        </w:rPr>
        <w:t xml:space="preserve">.  </w:t>
      </w:r>
    </w:p>
    <w:p w:rsidR="00157AFC" w:rsidRPr="00A13172" w:rsidRDefault="00157AFC" w:rsidP="00E25488">
      <w:pPr>
        <w:tabs>
          <w:tab w:val="left" w:pos="-720"/>
        </w:tabs>
        <w:suppressAutoHyphens/>
        <w:spacing w:line="480" w:lineRule="auto"/>
        <w:rPr>
          <w:sz w:val="24"/>
          <w:szCs w:val="24"/>
        </w:rPr>
      </w:pPr>
    </w:p>
    <w:p w:rsidR="007C3F36" w:rsidRPr="007C3F36" w:rsidRDefault="00057CAE" w:rsidP="007C3F36">
      <w:pPr>
        <w:pStyle w:val="Default"/>
        <w:ind w:left="720" w:hanging="720"/>
        <w:rPr>
          <w:rFonts w:asciiTheme="minorHAnsi" w:hAnsiTheme="minorHAnsi"/>
          <w:b/>
        </w:rPr>
      </w:pPr>
      <w:r w:rsidRPr="007C3F36">
        <w:rPr>
          <w:rFonts w:asciiTheme="minorHAnsi" w:hAnsiTheme="minorHAnsi"/>
          <w:b/>
        </w:rPr>
        <w:t>A.6</w:t>
      </w:r>
      <w:r w:rsidRPr="007C3F36">
        <w:rPr>
          <w:rFonts w:asciiTheme="minorHAnsi" w:hAnsiTheme="minorHAnsi"/>
          <w:b/>
        </w:rPr>
        <w:tab/>
      </w:r>
      <w:r w:rsidR="007C3F36" w:rsidRPr="007C3F36">
        <w:rPr>
          <w:rFonts w:asciiTheme="minorHAnsi" w:hAnsiTheme="minorHAnsi"/>
          <w:b/>
        </w:rPr>
        <w:t xml:space="preserve">Describe the consequence to Federal program or policy activities if the collection is not conducted or is conducted less frequently, as well as any technical or legal obstacles to reducing burden. </w:t>
      </w:r>
    </w:p>
    <w:p w:rsidR="00057CAE" w:rsidRPr="00926384" w:rsidRDefault="00057CAE">
      <w:pPr>
        <w:rPr>
          <w:b/>
          <w:sz w:val="24"/>
          <w:szCs w:val="24"/>
        </w:rPr>
      </w:pPr>
    </w:p>
    <w:p w:rsidR="002E3967" w:rsidRDefault="00237C70">
      <w:pPr>
        <w:spacing w:line="480" w:lineRule="auto"/>
        <w:rPr>
          <w:sz w:val="24"/>
          <w:szCs w:val="24"/>
        </w:rPr>
      </w:pPr>
      <w:r>
        <w:rPr>
          <w:sz w:val="24"/>
          <w:szCs w:val="24"/>
        </w:rPr>
        <w:t xml:space="preserve">Although respondents will answer more than once during this study, this is a single time data collection. </w:t>
      </w:r>
      <w:r w:rsidR="00DC0092" w:rsidRPr="00926384">
        <w:rPr>
          <w:sz w:val="24"/>
          <w:szCs w:val="24"/>
        </w:rPr>
        <w:t>The proposed frequency of data collection</w:t>
      </w:r>
      <w:r w:rsidR="00DC0092">
        <w:rPr>
          <w:sz w:val="24"/>
          <w:szCs w:val="24"/>
        </w:rPr>
        <w:t xml:space="preserve"> for each component</w:t>
      </w:r>
      <w:r w:rsidR="00DC0092" w:rsidRPr="00926384">
        <w:rPr>
          <w:sz w:val="24"/>
          <w:szCs w:val="24"/>
        </w:rPr>
        <w:t xml:space="preserve"> is the minimum </w:t>
      </w:r>
      <w:r w:rsidR="00DC0092" w:rsidRPr="00926384">
        <w:rPr>
          <w:sz w:val="24"/>
          <w:szCs w:val="24"/>
        </w:rPr>
        <w:lastRenderedPageBreak/>
        <w:t>frequency of data collection consistent with the evaluation objectives and</w:t>
      </w:r>
      <w:r w:rsidR="00DC0092">
        <w:rPr>
          <w:sz w:val="24"/>
          <w:szCs w:val="24"/>
        </w:rPr>
        <w:t xml:space="preserve"> which will allow the conduct of the proposed analyses</w:t>
      </w:r>
      <w:r w:rsidR="00DC0092" w:rsidRPr="00926384">
        <w:rPr>
          <w:sz w:val="24"/>
          <w:szCs w:val="24"/>
        </w:rPr>
        <w:t>.</w:t>
      </w:r>
      <w:r w:rsidR="00017942">
        <w:rPr>
          <w:sz w:val="24"/>
          <w:szCs w:val="24"/>
        </w:rPr>
        <w:t xml:space="preserve">  In addition, this data collection is authorized under the Agriculture, Rural Development, Food and Drug Administration and Related Agencies Appropriations Act of 2010 (Pub. L. 111-80, Sec. 749(g) which authorizes the conduct of these demonstration projects and their evaluation. </w:t>
      </w:r>
    </w:p>
    <w:p w:rsidR="00725594" w:rsidRDefault="00725594" w:rsidP="00E33728">
      <w:pPr>
        <w:rPr>
          <w:b/>
          <w:sz w:val="24"/>
          <w:szCs w:val="24"/>
        </w:rPr>
      </w:pPr>
    </w:p>
    <w:p w:rsidR="00A23107" w:rsidRPr="00A23107" w:rsidRDefault="004940D7" w:rsidP="00A23107">
      <w:pPr>
        <w:ind w:left="720" w:hanging="720"/>
        <w:rPr>
          <w:b/>
          <w:sz w:val="24"/>
          <w:szCs w:val="24"/>
        </w:rPr>
      </w:pPr>
      <w:r w:rsidRPr="004940D7">
        <w:rPr>
          <w:b/>
          <w:sz w:val="24"/>
          <w:szCs w:val="24"/>
        </w:rPr>
        <w:t>A.7</w:t>
      </w:r>
      <w:r w:rsidRPr="004940D7">
        <w:rPr>
          <w:b/>
          <w:sz w:val="24"/>
          <w:szCs w:val="24"/>
        </w:rPr>
        <w:tab/>
      </w:r>
      <w:r w:rsidR="00A23107" w:rsidRPr="00A23107">
        <w:rPr>
          <w:b/>
          <w:sz w:val="24"/>
          <w:szCs w:val="24"/>
        </w:rPr>
        <w:t xml:space="preserve">Explain any special circumstances that would cause an information collection to be conducted in a manner: </w:t>
      </w:r>
    </w:p>
    <w:p w:rsidR="00A23107" w:rsidRPr="00A23107" w:rsidRDefault="00A23107" w:rsidP="00A23107">
      <w:pPr>
        <w:pStyle w:val="Default"/>
        <w:ind w:left="1080" w:hanging="360"/>
        <w:rPr>
          <w:rFonts w:ascii="Calibri" w:hAnsi="Calibri"/>
          <w:b/>
        </w:rPr>
      </w:pPr>
      <w:r w:rsidRPr="00A23107">
        <w:rPr>
          <w:rFonts w:ascii="Calibri" w:hAnsi="Calibri"/>
          <w:b/>
        </w:rPr>
        <w:t xml:space="preserve">* </w:t>
      </w:r>
      <w:r w:rsidRPr="00A23107">
        <w:rPr>
          <w:rFonts w:ascii="Calibri" w:hAnsi="Calibri"/>
          <w:b/>
        </w:rPr>
        <w:tab/>
        <w:t xml:space="preserve">requiring respondents to report information to the agency more often than quarterly; </w:t>
      </w:r>
    </w:p>
    <w:p w:rsidR="00A23107" w:rsidRPr="00A23107" w:rsidRDefault="00A23107" w:rsidP="00A23107">
      <w:pPr>
        <w:pStyle w:val="Default"/>
        <w:ind w:left="1080" w:hanging="360"/>
        <w:rPr>
          <w:rFonts w:ascii="Calibri" w:hAnsi="Calibri"/>
          <w:b/>
        </w:rPr>
      </w:pPr>
      <w:r w:rsidRPr="00A23107">
        <w:rPr>
          <w:rFonts w:ascii="Calibri" w:hAnsi="Calibri"/>
          <w:b/>
        </w:rPr>
        <w:t xml:space="preserve">* </w:t>
      </w:r>
      <w:r w:rsidRPr="00A23107">
        <w:rPr>
          <w:rFonts w:ascii="Calibri" w:hAnsi="Calibri"/>
          <w:b/>
        </w:rPr>
        <w:tab/>
        <w:t xml:space="preserve">requiring respondents to prepare a written response to a collection of information in fewer than 30 days after receipt of it; </w:t>
      </w:r>
    </w:p>
    <w:p w:rsidR="00A23107" w:rsidRPr="00A23107" w:rsidRDefault="00A23107" w:rsidP="00A23107">
      <w:pPr>
        <w:pStyle w:val="Default"/>
        <w:ind w:left="1080" w:hanging="360"/>
        <w:rPr>
          <w:rFonts w:ascii="Calibri" w:hAnsi="Calibri"/>
          <w:b/>
        </w:rPr>
      </w:pPr>
      <w:r w:rsidRPr="00A23107">
        <w:rPr>
          <w:rFonts w:ascii="Calibri" w:hAnsi="Calibri"/>
          <w:b/>
        </w:rPr>
        <w:t xml:space="preserve">* </w:t>
      </w:r>
      <w:r w:rsidRPr="00A23107">
        <w:rPr>
          <w:rFonts w:ascii="Calibri" w:hAnsi="Calibri"/>
          <w:b/>
        </w:rPr>
        <w:tab/>
        <w:t xml:space="preserve">requiring respondents to submit more than an original and two copies of any document; * requiring respondents to retain records, other than health, medical, government contract, grant-in-aid, or tax records, for more than three years; </w:t>
      </w:r>
    </w:p>
    <w:p w:rsidR="00A23107" w:rsidRPr="00A23107" w:rsidRDefault="00A23107" w:rsidP="00A23107">
      <w:pPr>
        <w:pStyle w:val="Default"/>
        <w:ind w:left="1080" w:hanging="360"/>
        <w:rPr>
          <w:rFonts w:ascii="Calibri" w:hAnsi="Calibri"/>
          <w:b/>
        </w:rPr>
      </w:pPr>
      <w:r w:rsidRPr="00A23107">
        <w:rPr>
          <w:rFonts w:ascii="Calibri" w:hAnsi="Calibri"/>
          <w:b/>
        </w:rPr>
        <w:t xml:space="preserve">* </w:t>
      </w:r>
      <w:r w:rsidRPr="00A23107">
        <w:rPr>
          <w:rFonts w:ascii="Calibri" w:hAnsi="Calibri"/>
          <w:b/>
        </w:rPr>
        <w:tab/>
        <w:t xml:space="preserve">in connection with a statistical survey, that is not designed to produce valid and reliable results that can be generalized to the universe of study; </w:t>
      </w:r>
    </w:p>
    <w:p w:rsidR="00A23107" w:rsidRPr="00A23107" w:rsidRDefault="00A23107" w:rsidP="00A23107">
      <w:pPr>
        <w:pStyle w:val="Default"/>
        <w:ind w:left="1080" w:hanging="360"/>
        <w:rPr>
          <w:rFonts w:ascii="Calibri" w:hAnsi="Calibri"/>
          <w:b/>
        </w:rPr>
      </w:pPr>
      <w:r w:rsidRPr="00A23107">
        <w:rPr>
          <w:rFonts w:ascii="Calibri" w:hAnsi="Calibri"/>
          <w:b/>
        </w:rPr>
        <w:t xml:space="preserve">* </w:t>
      </w:r>
      <w:r w:rsidRPr="00A23107">
        <w:rPr>
          <w:rFonts w:ascii="Calibri" w:hAnsi="Calibri"/>
          <w:b/>
        </w:rPr>
        <w:tab/>
        <w:t xml:space="preserve">requiring the use of a statistical data classification that has not been reviewed and approved by OMB; </w:t>
      </w:r>
    </w:p>
    <w:p w:rsidR="00A23107" w:rsidRPr="00A23107" w:rsidRDefault="00A23107" w:rsidP="00A23107">
      <w:pPr>
        <w:pStyle w:val="Default"/>
        <w:ind w:left="1080" w:hanging="360"/>
        <w:rPr>
          <w:rFonts w:ascii="Calibri" w:hAnsi="Calibri"/>
          <w:b/>
        </w:rPr>
      </w:pPr>
      <w:r w:rsidRPr="00A23107">
        <w:rPr>
          <w:rFonts w:ascii="Calibri" w:hAnsi="Calibri"/>
          <w:b/>
        </w:rPr>
        <w:t xml:space="preserve">* </w:t>
      </w:r>
      <w:r w:rsidRPr="00A23107">
        <w:rPr>
          <w:rFonts w:ascii="Calibri" w:hAnsi="Calibri"/>
          <w:b/>
        </w:rPr>
        <w:tab/>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A23107" w:rsidRPr="00A23107" w:rsidRDefault="00A23107" w:rsidP="00A23107">
      <w:pPr>
        <w:pStyle w:val="Default"/>
        <w:ind w:left="1080" w:hanging="360"/>
        <w:rPr>
          <w:rFonts w:ascii="Calibri" w:hAnsi="Calibri"/>
          <w:b/>
        </w:rPr>
      </w:pPr>
      <w:r w:rsidRPr="00A23107">
        <w:rPr>
          <w:rFonts w:ascii="Calibri" w:hAnsi="Calibri"/>
          <w:b/>
        </w:rPr>
        <w:t xml:space="preserve">* </w:t>
      </w:r>
      <w:r w:rsidRPr="00A23107">
        <w:rPr>
          <w:rFonts w:ascii="Calibri" w:hAnsi="Calibri"/>
          <w:b/>
        </w:rPr>
        <w:tab/>
        <w:t xml:space="preserve">requiring respondents to submit proprietary trade secrets, or other confidential information unless the agency can demonstrate that it has instituted procedures to protect the information's confidentiality to the extent permitted by law. </w:t>
      </w:r>
    </w:p>
    <w:p w:rsidR="00A23107" w:rsidRDefault="00A23107" w:rsidP="00E33728">
      <w:pPr>
        <w:rPr>
          <w:sz w:val="24"/>
          <w:szCs w:val="24"/>
        </w:rPr>
      </w:pPr>
    </w:p>
    <w:p w:rsidR="002E3967" w:rsidRDefault="00E86B7D">
      <w:pPr>
        <w:spacing w:line="480" w:lineRule="auto"/>
        <w:rPr>
          <w:sz w:val="24"/>
          <w:szCs w:val="24"/>
        </w:rPr>
      </w:pPr>
      <w:r>
        <w:rPr>
          <w:sz w:val="24"/>
          <w:szCs w:val="24"/>
        </w:rPr>
        <w:t xml:space="preserve">There are no special circumstances. The collection of information is conducted in a manner consistent with guidelines in 5 CFR 1320.5. </w:t>
      </w:r>
    </w:p>
    <w:p w:rsidR="006E55B7" w:rsidRDefault="006E55B7">
      <w:pPr>
        <w:rPr>
          <w:rFonts w:cs="Garamond"/>
          <w:b/>
          <w:color w:val="000000"/>
          <w:sz w:val="24"/>
          <w:szCs w:val="24"/>
        </w:rPr>
      </w:pPr>
      <w:r>
        <w:rPr>
          <w:b/>
        </w:rPr>
        <w:br w:type="page"/>
      </w:r>
    </w:p>
    <w:p w:rsidR="00A23107" w:rsidRPr="00A23107" w:rsidRDefault="005B0760" w:rsidP="00A23107">
      <w:pPr>
        <w:pStyle w:val="Default"/>
        <w:ind w:left="720" w:hanging="720"/>
        <w:rPr>
          <w:rFonts w:asciiTheme="minorHAnsi" w:hAnsiTheme="minorHAnsi"/>
          <w:b/>
        </w:rPr>
      </w:pPr>
      <w:r w:rsidRPr="00A23107">
        <w:rPr>
          <w:rFonts w:asciiTheme="minorHAnsi" w:hAnsiTheme="minorHAnsi"/>
          <w:b/>
        </w:rPr>
        <w:lastRenderedPageBreak/>
        <w:t xml:space="preserve">A.8. </w:t>
      </w:r>
      <w:r w:rsidRPr="00A23107">
        <w:rPr>
          <w:rFonts w:asciiTheme="minorHAnsi" w:hAnsiTheme="minorHAnsi"/>
          <w:b/>
        </w:rPr>
        <w:tab/>
      </w:r>
      <w:r w:rsidR="00A23107" w:rsidRPr="00A23107">
        <w:rPr>
          <w:rFonts w:asciiTheme="minorHAnsi" w:hAnsiTheme="minorHAnsi"/>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 </w:t>
      </w:r>
    </w:p>
    <w:p w:rsidR="00A77F5B" w:rsidRDefault="00A77F5B">
      <w:pPr>
        <w:rPr>
          <w:b/>
          <w:sz w:val="24"/>
          <w:szCs w:val="24"/>
        </w:rPr>
      </w:pPr>
    </w:p>
    <w:p w:rsidR="007834DC" w:rsidRDefault="007834DC">
      <w:pPr>
        <w:rPr>
          <w:b/>
          <w:sz w:val="24"/>
          <w:szCs w:val="24"/>
        </w:rPr>
      </w:pPr>
      <w:r w:rsidRPr="007834DC">
        <w:rPr>
          <w:b/>
          <w:sz w:val="24"/>
          <w:szCs w:val="24"/>
        </w:rPr>
        <w:t>Federal Register Notice</w:t>
      </w:r>
    </w:p>
    <w:p w:rsidR="002E3967" w:rsidRDefault="007E19BF">
      <w:pPr>
        <w:spacing w:line="480" w:lineRule="auto"/>
        <w:rPr>
          <w:sz w:val="24"/>
          <w:szCs w:val="24"/>
        </w:rPr>
      </w:pPr>
      <w:r w:rsidRPr="00926384">
        <w:rPr>
          <w:sz w:val="24"/>
          <w:szCs w:val="24"/>
        </w:rPr>
        <w:t>A 60-day notice to solicit public comments</w:t>
      </w:r>
      <w:r w:rsidR="00865BA2" w:rsidRPr="00926384">
        <w:rPr>
          <w:sz w:val="24"/>
          <w:szCs w:val="24"/>
        </w:rPr>
        <w:t xml:space="preserve"> was published in the Federal Register (Volume 76, No. 5, pages 1129-1130) on January 7, 2011.  </w:t>
      </w:r>
      <w:r w:rsidR="007308DB">
        <w:rPr>
          <w:sz w:val="24"/>
          <w:szCs w:val="24"/>
        </w:rPr>
        <w:t xml:space="preserve">No </w:t>
      </w:r>
      <w:r w:rsidR="00865BA2" w:rsidRPr="00926384">
        <w:rPr>
          <w:sz w:val="24"/>
          <w:szCs w:val="24"/>
        </w:rPr>
        <w:t>public comments were received in response to this notice.</w:t>
      </w:r>
    </w:p>
    <w:p w:rsidR="007834DC" w:rsidRDefault="007834DC">
      <w:pPr>
        <w:rPr>
          <w:b/>
          <w:sz w:val="24"/>
          <w:szCs w:val="24"/>
        </w:rPr>
      </w:pPr>
      <w:r w:rsidRPr="007834DC">
        <w:rPr>
          <w:b/>
          <w:sz w:val="24"/>
          <w:szCs w:val="24"/>
        </w:rPr>
        <w:t xml:space="preserve">Outside </w:t>
      </w:r>
      <w:r w:rsidR="004C24FC">
        <w:rPr>
          <w:b/>
          <w:sz w:val="24"/>
          <w:szCs w:val="24"/>
        </w:rPr>
        <w:t>Consultants</w:t>
      </w:r>
    </w:p>
    <w:p w:rsidR="002E3967" w:rsidRDefault="004C24FC">
      <w:pPr>
        <w:spacing w:line="480" w:lineRule="auto"/>
        <w:rPr>
          <w:sz w:val="24"/>
          <w:szCs w:val="24"/>
        </w:rPr>
      </w:pPr>
      <w:r w:rsidRPr="004C24FC">
        <w:rPr>
          <w:sz w:val="24"/>
          <w:szCs w:val="24"/>
        </w:rPr>
        <w:t xml:space="preserve">For this </w:t>
      </w:r>
      <w:r>
        <w:rPr>
          <w:sz w:val="24"/>
          <w:szCs w:val="24"/>
        </w:rPr>
        <w:t>evaluation, the project team consulted with the key stakeholders and outside consultants listed in Table A.</w:t>
      </w:r>
      <w:r w:rsidR="00DE5630">
        <w:rPr>
          <w:sz w:val="24"/>
          <w:szCs w:val="24"/>
        </w:rPr>
        <w:t>8.1</w:t>
      </w:r>
      <w:r>
        <w:rPr>
          <w:sz w:val="24"/>
          <w:szCs w:val="24"/>
        </w:rPr>
        <w:t xml:space="preserve">.  These individuals have expertise in child food assistance </w:t>
      </w:r>
      <w:r w:rsidR="006E55B7">
        <w:rPr>
          <w:sz w:val="24"/>
          <w:szCs w:val="24"/>
        </w:rPr>
        <w:t>p</w:t>
      </w:r>
      <w:r>
        <w:rPr>
          <w:sz w:val="24"/>
          <w:szCs w:val="24"/>
        </w:rPr>
        <w:t xml:space="preserve">rograms, especially SFSP, and </w:t>
      </w:r>
      <w:r w:rsidR="00F72D7F">
        <w:rPr>
          <w:sz w:val="24"/>
          <w:szCs w:val="24"/>
        </w:rPr>
        <w:t xml:space="preserve">are providing </w:t>
      </w:r>
      <w:r>
        <w:rPr>
          <w:sz w:val="24"/>
          <w:szCs w:val="24"/>
        </w:rPr>
        <w:t xml:space="preserve">guidance and support to the project in understanding how to coordinate and communicate with federal, state, and local agencies and identify key informants. </w:t>
      </w:r>
      <w:r w:rsidR="00E77507">
        <w:rPr>
          <w:sz w:val="24"/>
          <w:szCs w:val="24"/>
        </w:rPr>
        <w:t xml:space="preserve">They will also be providing </w:t>
      </w:r>
      <w:r w:rsidR="00F72D7F">
        <w:rPr>
          <w:sz w:val="24"/>
          <w:szCs w:val="24"/>
        </w:rPr>
        <w:t xml:space="preserve">further </w:t>
      </w:r>
      <w:r w:rsidR="00E77507">
        <w:rPr>
          <w:sz w:val="24"/>
          <w:szCs w:val="24"/>
        </w:rPr>
        <w:t xml:space="preserve">feedback on research design and data collection materials. </w:t>
      </w:r>
      <w:r>
        <w:rPr>
          <w:sz w:val="24"/>
          <w:szCs w:val="24"/>
        </w:rPr>
        <w:t xml:space="preserve"> </w:t>
      </w:r>
      <w:r w:rsidR="004D6DCF">
        <w:rPr>
          <w:sz w:val="24"/>
          <w:szCs w:val="24"/>
        </w:rPr>
        <w:t xml:space="preserve">Mark Nord of the USDA was also consulted on the food security module of the parent questionnaire. </w:t>
      </w:r>
      <w:r w:rsidR="007308DB">
        <w:rPr>
          <w:sz w:val="24"/>
          <w:szCs w:val="24"/>
        </w:rPr>
        <w:t xml:space="preserve">National Agricultural Statistics Service (NASS) </w:t>
      </w:r>
      <w:r w:rsidR="00642084">
        <w:rPr>
          <w:sz w:val="24"/>
          <w:szCs w:val="24"/>
        </w:rPr>
        <w:t xml:space="preserve">has </w:t>
      </w:r>
      <w:r w:rsidR="007308DB">
        <w:rPr>
          <w:sz w:val="24"/>
          <w:szCs w:val="24"/>
        </w:rPr>
        <w:t>review</w:t>
      </w:r>
      <w:r w:rsidR="00642084">
        <w:rPr>
          <w:sz w:val="24"/>
          <w:szCs w:val="24"/>
        </w:rPr>
        <w:t>ed this information collection and we have taken their comments into consideration</w:t>
      </w:r>
      <w:r w:rsidR="007308DB">
        <w:rPr>
          <w:sz w:val="24"/>
          <w:szCs w:val="24"/>
        </w:rPr>
        <w:t xml:space="preserve">. </w:t>
      </w:r>
    </w:p>
    <w:p w:rsidR="002E3967" w:rsidRDefault="002E3967">
      <w:pPr>
        <w:spacing w:line="480" w:lineRule="auto"/>
        <w:rPr>
          <w:sz w:val="24"/>
          <w:szCs w:val="24"/>
        </w:rPr>
      </w:pPr>
    </w:p>
    <w:p w:rsidR="00E266A4" w:rsidRDefault="004C24FC">
      <w:pPr>
        <w:rPr>
          <w:sz w:val="24"/>
          <w:szCs w:val="24"/>
        </w:rPr>
      </w:pPr>
      <w:r w:rsidRPr="004C24FC">
        <w:rPr>
          <w:b/>
          <w:sz w:val="24"/>
          <w:szCs w:val="24"/>
        </w:rPr>
        <w:lastRenderedPageBreak/>
        <w:t>Table A.</w:t>
      </w:r>
      <w:r w:rsidR="00DE5630">
        <w:rPr>
          <w:b/>
          <w:sz w:val="24"/>
          <w:szCs w:val="24"/>
        </w:rPr>
        <w:t xml:space="preserve">8.1 </w:t>
      </w:r>
      <w:r w:rsidR="009B7693">
        <w:rPr>
          <w:b/>
          <w:sz w:val="24"/>
          <w:szCs w:val="24"/>
        </w:rPr>
        <w:t xml:space="preserve"> Consultants from outside the a</w:t>
      </w:r>
      <w:r w:rsidRPr="004C24FC">
        <w:rPr>
          <w:b/>
          <w:sz w:val="24"/>
          <w:szCs w:val="24"/>
        </w:rPr>
        <w:t>gency</w:t>
      </w:r>
      <w:r w:rsidR="00B629E1">
        <w:rPr>
          <w:b/>
          <w:sz w:val="24"/>
          <w:szCs w:val="24"/>
        </w:rPr>
        <w:t xml:space="preserve"> and FNS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4680"/>
      </w:tblGrid>
      <w:tr w:rsidR="00041FC8" w:rsidRPr="001C66C6" w:rsidTr="001C66C6">
        <w:tc>
          <w:tcPr>
            <w:tcW w:w="3348" w:type="dxa"/>
          </w:tcPr>
          <w:p w:rsidR="00405D75" w:rsidRPr="001C66C6" w:rsidRDefault="00644338" w:rsidP="001C66C6">
            <w:pPr>
              <w:spacing w:after="0" w:line="240" w:lineRule="auto"/>
              <w:jc w:val="center"/>
              <w:rPr>
                <w:rFonts w:asciiTheme="minorHAnsi" w:eastAsiaTheme="minorHAnsi" w:hAnsiTheme="minorHAnsi" w:cstheme="minorBidi"/>
                <w:b/>
                <w:sz w:val="20"/>
                <w:szCs w:val="20"/>
              </w:rPr>
            </w:pPr>
            <w:r w:rsidRPr="001C66C6">
              <w:rPr>
                <w:rFonts w:asciiTheme="minorHAnsi" w:eastAsiaTheme="minorHAnsi" w:hAnsiTheme="minorHAnsi" w:cstheme="minorBidi"/>
                <w:b/>
                <w:sz w:val="20"/>
                <w:szCs w:val="20"/>
              </w:rPr>
              <w:t>Name</w:t>
            </w:r>
          </w:p>
        </w:tc>
        <w:tc>
          <w:tcPr>
            <w:tcW w:w="4680" w:type="dxa"/>
          </w:tcPr>
          <w:p w:rsidR="00405D75" w:rsidRPr="001C66C6" w:rsidRDefault="00644338" w:rsidP="001C66C6">
            <w:pPr>
              <w:spacing w:after="0" w:line="240" w:lineRule="auto"/>
              <w:jc w:val="center"/>
              <w:rPr>
                <w:rFonts w:asciiTheme="minorHAnsi" w:eastAsiaTheme="minorHAnsi" w:hAnsiTheme="minorHAnsi" w:cstheme="minorBidi"/>
                <w:b/>
                <w:sz w:val="20"/>
                <w:szCs w:val="20"/>
              </w:rPr>
            </w:pPr>
            <w:r w:rsidRPr="001C66C6">
              <w:rPr>
                <w:rFonts w:asciiTheme="minorHAnsi" w:eastAsiaTheme="minorHAnsi" w:hAnsiTheme="minorHAnsi" w:cstheme="minorBidi"/>
                <w:b/>
                <w:sz w:val="20"/>
                <w:szCs w:val="20"/>
              </w:rPr>
              <w:t>Title and Affiliation</w:t>
            </w:r>
          </w:p>
        </w:tc>
      </w:tr>
      <w:tr w:rsidR="00041FC8" w:rsidRPr="001C66C6" w:rsidTr="001C66C6">
        <w:tc>
          <w:tcPr>
            <w:tcW w:w="3348" w:type="dxa"/>
          </w:tcPr>
          <w:p w:rsidR="00041FC8" w:rsidRPr="001C66C6" w:rsidRDefault="00644338">
            <w:pPr>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Jerry Cater, Ph.D., RD</w:t>
            </w:r>
          </w:p>
        </w:tc>
        <w:tc>
          <w:tcPr>
            <w:tcW w:w="4680" w:type="dxa"/>
          </w:tcPr>
          <w:p w:rsidR="00041FC8" w:rsidRPr="001C66C6" w:rsidRDefault="00644338">
            <w:pPr>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Consultant for school nutrition programs in Mississippi</w:t>
            </w:r>
          </w:p>
          <w:p w:rsidR="00825871" w:rsidRPr="001C66C6" w:rsidRDefault="00644338" w:rsidP="007F25A5">
            <w:pPr>
              <w:rPr>
                <w:rFonts w:asciiTheme="minorHAnsi" w:eastAsiaTheme="minorHAnsi" w:hAnsiTheme="minorHAnsi" w:cs="Arial"/>
                <w:bCs/>
                <w:sz w:val="20"/>
                <w:szCs w:val="20"/>
              </w:rPr>
            </w:pPr>
            <w:r w:rsidRPr="001C66C6">
              <w:rPr>
                <w:rFonts w:cs="Arial"/>
                <w:bCs/>
                <w:sz w:val="20"/>
                <w:szCs w:val="20"/>
              </w:rPr>
              <w:t>Research Scientist (retired)</w:t>
            </w:r>
            <w:r w:rsidRPr="001C66C6">
              <w:rPr>
                <w:rFonts w:cs="Arial"/>
                <w:bCs/>
                <w:sz w:val="20"/>
                <w:szCs w:val="20"/>
              </w:rPr>
              <w:br/>
              <w:t>Applied Research Division</w:t>
            </w:r>
            <w:r w:rsidRPr="001C66C6">
              <w:rPr>
                <w:rFonts w:cs="Arial"/>
                <w:bCs/>
                <w:sz w:val="20"/>
                <w:szCs w:val="20"/>
              </w:rPr>
              <w:br/>
              <w:t xml:space="preserve">National Food Service Management Institute Hattiesburg, </w:t>
            </w:r>
            <w:r w:rsidRPr="001C66C6">
              <w:rPr>
                <w:rFonts w:asciiTheme="minorHAnsi" w:eastAsiaTheme="minorHAnsi" w:hAnsiTheme="minorHAnsi" w:cs="Arial"/>
                <w:bCs/>
                <w:sz w:val="20"/>
                <w:szCs w:val="20"/>
              </w:rPr>
              <w:t xml:space="preserve">MS  </w:t>
            </w:r>
          </w:p>
          <w:p w:rsidR="00E86B7D" w:rsidRPr="001C66C6" w:rsidRDefault="00E86B7D" w:rsidP="007F25A5">
            <w:pPr>
              <w:rPr>
                <w:rFonts w:asciiTheme="minorHAnsi" w:eastAsiaTheme="minorHAnsi" w:hAnsiTheme="minorHAnsi" w:cs="Arial"/>
                <w:b/>
                <w:bCs/>
                <w:sz w:val="20"/>
                <w:szCs w:val="20"/>
              </w:rPr>
            </w:pPr>
            <w:r w:rsidRPr="001C66C6">
              <w:rPr>
                <w:rFonts w:asciiTheme="minorHAnsi" w:eastAsiaTheme="minorHAnsi" w:hAnsiTheme="minorHAnsi" w:cs="Arial"/>
                <w:bCs/>
                <w:sz w:val="20"/>
                <w:szCs w:val="20"/>
              </w:rPr>
              <w:t>(228) 860-9636</w:t>
            </w:r>
          </w:p>
        </w:tc>
      </w:tr>
      <w:tr w:rsidR="00041FC8" w:rsidRPr="001C66C6" w:rsidTr="001C66C6">
        <w:tc>
          <w:tcPr>
            <w:tcW w:w="3348" w:type="dxa"/>
          </w:tcPr>
          <w:p w:rsidR="00041FC8" w:rsidRPr="001C66C6" w:rsidRDefault="00644338" w:rsidP="009C7029">
            <w:pPr>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Katherine Yadrick, Ph.D., RD</w:t>
            </w:r>
          </w:p>
        </w:tc>
        <w:tc>
          <w:tcPr>
            <w:tcW w:w="4680" w:type="dxa"/>
          </w:tcPr>
          <w:p w:rsidR="009C7029" w:rsidRPr="001C66C6" w:rsidRDefault="00644338" w:rsidP="009C7029">
            <w:pPr>
              <w:pStyle w:val="Default"/>
              <w:rPr>
                <w:rFonts w:asciiTheme="minorHAnsi" w:eastAsiaTheme="minorHAnsi" w:hAnsiTheme="minorHAnsi"/>
                <w:sz w:val="20"/>
                <w:szCs w:val="20"/>
              </w:rPr>
            </w:pPr>
            <w:r w:rsidRPr="001C66C6">
              <w:rPr>
                <w:rFonts w:asciiTheme="minorHAnsi" w:eastAsiaTheme="minorHAnsi" w:hAnsiTheme="minorHAnsi"/>
                <w:sz w:val="20"/>
                <w:szCs w:val="20"/>
              </w:rPr>
              <w:t>Professor and Chair</w:t>
            </w:r>
          </w:p>
          <w:p w:rsidR="009C7029" w:rsidRPr="001C66C6" w:rsidRDefault="00644338" w:rsidP="009C7029">
            <w:pPr>
              <w:pStyle w:val="Default"/>
              <w:rPr>
                <w:rFonts w:asciiTheme="minorHAnsi" w:eastAsiaTheme="minorHAnsi" w:hAnsiTheme="minorHAnsi"/>
                <w:sz w:val="20"/>
                <w:szCs w:val="20"/>
              </w:rPr>
            </w:pPr>
            <w:r w:rsidRPr="001C66C6">
              <w:rPr>
                <w:rFonts w:asciiTheme="minorHAnsi" w:eastAsiaTheme="minorHAnsi" w:hAnsiTheme="minorHAnsi" w:cs="Times New Roman"/>
                <w:sz w:val="20"/>
                <w:szCs w:val="20"/>
              </w:rPr>
              <w:t>Department of Nutrition and Food Systems</w:t>
            </w:r>
            <w:r w:rsidRPr="001C66C6">
              <w:rPr>
                <w:rFonts w:asciiTheme="minorHAnsi" w:eastAsiaTheme="minorHAnsi" w:hAnsiTheme="minorHAnsi"/>
                <w:sz w:val="20"/>
                <w:szCs w:val="20"/>
              </w:rPr>
              <w:br/>
              <w:t xml:space="preserve">University of Southern Mississippi </w:t>
            </w:r>
          </w:p>
          <w:p w:rsidR="00041FC8" w:rsidRPr="001C66C6" w:rsidRDefault="00644338" w:rsidP="009C7029">
            <w:pPr>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Hattiesburg, MS</w:t>
            </w:r>
          </w:p>
          <w:p w:rsidR="00E86B7D" w:rsidRPr="001C66C6" w:rsidRDefault="00E86B7D" w:rsidP="009C7029">
            <w:pPr>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(601) 266-4479</w:t>
            </w:r>
          </w:p>
        </w:tc>
      </w:tr>
      <w:tr w:rsidR="007308DB" w:rsidRPr="001C66C6" w:rsidTr="001C66C6">
        <w:tc>
          <w:tcPr>
            <w:tcW w:w="3348" w:type="dxa"/>
          </w:tcPr>
          <w:p w:rsidR="007308DB" w:rsidRPr="001C66C6" w:rsidRDefault="00644338" w:rsidP="009C7029">
            <w:pPr>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Mark Nord, Ph.D.</w:t>
            </w:r>
          </w:p>
        </w:tc>
        <w:tc>
          <w:tcPr>
            <w:tcW w:w="4680" w:type="dxa"/>
          </w:tcPr>
          <w:p w:rsidR="000132AE" w:rsidRPr="001C66C6" w:rsidRDefault="00644338" w:rsidP="009C7029">
            <w:pPr>
              <w:pStyle w:val="Default"/>
              <w:rPr>
                <w:rFonts w:asciiTheme="minorHAnsi" w:eastAsiaTheme="minorHAnsi" w:hAnsiTheme="minorHAnsi"/>
                <w:sz w:val="20"/>
                <w:szCs w:val="20"/>
              </w:rPr>
            </w:pPr>
            <w:r w:rsidRPr="001C66C6">
              <w:rPr>
                <w:rFonts w:asciiTheme="minorHAnsi" w:eastAsiaTheme="minorHAnsi" w:hAnsiTheme="minorHAnsi"/>
                <w:sz w:val="20"/>
                <w:szCs w:val="20"/>
              </w:rPr>
              <w:t>Sociologist</w:t>
            </w:r>
          </w:p>
          <w:p w:rsidR="007308DB" w:rsidRPr="001C66C6" w:rsidRDefault="00644338" w:rsidP="009C7029">
            <w:pPr>
              <w:pStyle w:val="Default"/>
              <w:rPr>
                <w:rFonts w:asciiTheme="minorHAnsi" w:eastAsiaTheme="minorHAnsi" w:hAnsiTheme="minorHAnsi"/>
                <w:sz w:val="20"/>
                <w:szCs w:val="20"/>
              </w:rPr>
            </w:pPr>
            <w:r w:rsidRPr="001C66C6">
              <w:rPr>
                <w:rFonts w:asciiTheme="minorHAnsi" w:eastAsiaTheme="minorHAnsi" w:hAnsiTheme="minorHAnsi"/>
                <w:sz w:val="20"/>
                <w:szCs w:val="20"/>
              </w:rPr>
              <w:t>Economic Research Service</w:t>
            </w:r>
          </w:p>
          <w:p w:rsidR="000132AE" w:rsidRPr="001C66C6" w:rsidRDefault="00644338" w:rsidP="009C7029">
            <w:pPr>
              <w:pStyle w:val="Default"/>
              <w:rPr>
                <w:rFonts w:asciiTheme="minorHAnsi" w:eastAsiaTheme="minorHAnsi" w:hAnsiTheme="minorHAnsi"/>
                <w:sz w:val="20"/>
                <w:szCs w:val="20"/>
              </w:rPr>
            </w:pPr>
            <w:r w:rsidRPr="001C66C6">
              <w:rPr>
                <w:rFonts w:asciiTheme="minorHAnsi" w:eastAsiaTheme="minorHAnsi" w:hAnsiTheme="minorHAnsi"/>
                <w:sz w:val="20"/>
                <w:szCs w:val="20"/>
              </w:rPr>
              <w:t>USDA</w:t>
            </w:r>
          </w:p>
          <w:p w:rsidR="000132AE" w:rsidRPr="001C66C6" w:rsidRDefault="00644338" w:rsidP="009C7029">
            <w:pPr>
              <w:pStyle w:val="Default"/>
              <w:rPr>
                <w:rFonts w:asciiTheme="minorHAnsi" w:eastAsiaTheme="minorHAnsi" w:hAnsiTheme="minorHAnsi"/>
                <w:sz w:val="20"/>
                <w:szCs w:val="20"/>
              </w:rPr>
            </w:pPr>
            <w:r w:rsidRPr="001C66C6">
              <w:rPr>
                <w:rFonts w:asciiTheme="minorHAnsi" w:eastAsiaTheme="minorHAnsi" w:hAnsiTheme="minorHAnsi"/>
                <w:sz w:val="20"/>
                <w:szCs w:val="20"/>
              </w:rPr>
              <w:t>Washington, DC</w:t>
            </w:r>
          </w:p>
          <w:p w:rsidR="000132AE" w:rsidRPr="001C66C6" w:rsidRDefault="000132AE" w:rsidP="009C7029">
            <w:pPr>
              <w:pStyle w:val="Default"/>
              <w:rPr>
                <w:rFonts w:asciiTheme="minorHAnsi" w:eastAsiaTheme="minorHAnsi" w:hAnsiTheme="minorHAnsi"/>
                <w:sz w:val="20"/>
                <w:szCs w:val="20"/>
              </w:rPr>
            </w:pPr>
          </w:p>
          <w:p w:rsidR="00E86B7D" w:rsidRPr="001C66C6" w:rsidRDefault="00E86B7D" w:rsidP="009C7029">
            <w:pPr>
              <w:pStyle w:val="Default"/>
              <w:rPr>
                <w:rFonts w:asciiTheme="minorHAnsi" w:eastAsiaTheme="minorHAnsi" w:hAnsiTheme="minorHAnsi"/>
                <w:sz w:val="20"/>
                <w:szCs w:val="20"/>
              </w:rPr>
            </w:pPr>
            <w:r w:rsidRPr="001C66C6">
              <w:rPr>
                <w:rFonts w:asciiTheme="minorHAnsi" w:eastAsiaTheme="minorHAnsi" w:hAnsiTheme="minorHAnsi"/>
                <w:sz w:val="20"/>
                <w:szCs w:val="20"/>
              </w:rPr>
              <w:t>(202) 694-5433</w:t>
            </w:r>
          </w:p>
        </w:tc>
      </w:tr>
    </w:tbl>
    <w:p w:rsidR="004C24FC" w:rsidRDefault="004C24FC">
      <w:pPr>
        <w:rPr>
          <w:sz w:val="24"/>
          <w:szCs w:val="24"/>
        </w:rPr>
      </w:pPr>
    </w:p>
    <w:p w:rsidR="00157AFC" w:rsidRPr="004C24FC" w:rsidRDefault="00157AFC">
      <w:pPr>
        <w:rPr>
          <w:sz w:val="24"/>
          <w:szCs w:val="24"/>
        </w:rPr>
      </w:pPr>
    </w:p>
    <w:p w:rsidR="005C6B04" w:rsidRPr="005C6B04" w:rsidRDefault="0031078B" w:rsidP="005C6B04">
      <w:pPr>
        <w:pStyle w:val="Default"/>
        <w:ind w:left="630" w:hanging="630"/>
        <w:rPr>
          <w:rFonts w:ascii="Calibri" w:hAnsi="Calibri"/>
          <w:b/>
        </w:rPr>
      </w:pPr>
      <w:r w:rsidRPr="005C6B04">
        <w:rPr>
          <w:rFonts w:ascii="Calibri" w:hAnsi="Calibri"/>
          <w:b/>
        </w:rPr>
        <w:t>A.9.</w:t>
      </w:r>
      <w:r w:rsidRPr="005C6B04">
        <w:rPr>
          <w:rFonts w:ascii="Calibri" w:hAnsi="Calibri"/>
          <w:b/>
        </w:rPr>
        <w:tab/>
      </w:r>
      <w:r w:rsidR="005C6B04" w:rsidRPr="005C6B04">
        <w:rPr>
          <w:rFonts w:ascii="Calibri" w:hAnsi="Calibri"/>
          <w:b/>
        </w:rPr>
        <w:t xml:space="preserve">Explain any decision to provide any payment or gift to respondents, other than reenumeration of contractors or grantees. </w:t>
      </w:r>
    </w:p>
    <w:p w:rsidR="005C6B04" w:rsidRDefault="005C6B04" w:rsidP="005C6B04">
      <w:pPr>
        <w:rPr>
          <w:sz w:val="24"/>
          <w:szCs w:val="24"/>
        </w:rPr>
      </w:pPr>
    </w:p>
    <w:p w:rsidR="00511BCD" w:rsidRDefault="00E52B5A" w:rsidP="00405E91">
      <w:pPr>
        <w:spacing w:line="480" w:lineRule="auto"/>
        <w:rPr>
          <w:sz w:val="24"/>
          <w:szCs w:val="24"/>
        </w:rPr>
      </w:pPr>
      <w:r w:rsidRPr="00926384">
        <w:rPr>
          <w:sz w:val="24"/>
          <w:szCs w:val="24"/>
        </w:rPr>
        <w:t xml:space="preserve">In order to maximize response rates, many research studies offer compensation for participants.  Numerous empirical studies have shown that </w:t>
      </w:r>
      <w:r w:rsidR="00405E91">
        <w:rPr>
          <w:sz w:val="24"/>
          <w:szCs w:val="24"/>
        </w:rPr>
        <w:t>incentives</w:t>
      </w:r>
      <w:r w:rsidR="00405E91" w:rsidRPr="00926384">
        <w:rPr>
          <w:sz w:val="24"/>
          <w:szCs w:val="24"/>
        </w:rPr>
        <w:t xml:space="preserve"> </w:t>
      </w:r>
      <w:r w:rsidRPr="00926384">
        <w:rPr>
          <w:sz w:val="24"/>
          <w:szCs w:val="24"/>
        </w:rPr>
        <w:t xml:space="preserve">are effective in increasing response rates and that </w:t>
      </w:r>
      <w:r w:rsidR="00405E91">
        <w:rPr>
          <w:sz w:val="24"/>
          <w:szCs w:val="24"/>
        </w:rPr>
        <w:t>dollar amounts</w:t>
      </w:r>
      <w:r w:rsidR="00405E91" w:rsidRPr="00926384">
        <w:rPr>
          <w:sz w:val="24"/>
          <w:szCs w:val="24"/>
        </w:rPr>
        <w:t xml:space="preserve"> </w:t>
      </w:r>
      <w:r w:rsidR="00A50D0D" w:rsidRPr="00926384">
        <w:rPr>
          <w:sz w:val="24"/>
          <w:szCs w:val="24"/>
        </w:rPr>
        <w:t xml:space="preserve">in the $5 to $20 range can </w:t>
      </w:r>
      <w:r w:rsidR="00405E91">
        <w:rPr>
          <w:sz w:val="24"/>
          <w:szCs w:val="24"/>
        </w:rPr>
        <w:t>increase</w:t>
      </w:r>
      <w:r w:rsidR="00405E91" w:rsidRPr="00926384">
        <w:rPr>
          <w:sz w:val="24"/>
          <w:szCs w:val="24"/>
        </w:rPr>
        <w:t xml:space="preserve"> </w:t>
      </w:r>
      <w:r w:rsidR="00AE4A82" w:rsidRPr="00926384">
        <w:rPr>
          <w:sz w:val="24"/>
          <w:szCs w:val="24"/>
        </w:rPr>
        <w:t>participation in low</w:t>
      </w:r>
      <w:r w:rsidRPr="00926384">
        <w:rPr>
          <w:sz w:val="24"/>
          <w:szCs w:val="24"/>
        </w:rPr>
        <w:t>–income households</w:t>
      </w:r>
      <w:r w:rsidR="00D735F9" w:rsidRPr="00926384">
        <w:rPr>
          <w:sz w:val="24"/>
          <w:szCs w:val="24"/>
        </w:rPr>
        <w:t xml:space="preserve"> (Martinez-Ebers,</w:t>
      </w:r>
      <w:r w:rsidR="00511BCD">
        <w:rPr>
          <w:sz w:val="24"/>
          <w:szCs w:val="24"/>
        </w:rPr>
        <w:t xml:space="preserve"> </w:t>
      </w:r>
      <w:r w:rsidR="00D735F9" w:rsidRPr="00926384">
        <w:rPr>
          <w:sz w:val="24"/>
          <w:szCs w:val="24"/>
        </w:rPr>
        <w:t>1997</w:t>
      </w:r>
      <w:r w:rsidR="00B629E1">
        <w:rPr>
          <w:sz w:val="24"/>
          <w:szCs w:val="24"/>
        </w:rPr>
        <w:t>;</w:t>
      </w:r>
      <w:r w:rsidR="00D735F9" w:rsidRPr="00926384">
        <w:rPr>
          <w:sz w:val="24"/>
          <w:szCs w:val="24"/>
        </w:rPr>
        <w:t xml:space="preserve"> Singer </w:t>
      </w:r>
      <w:r w:rsidR="00A50D0D" w:rsidRPr="00926384">
        <w:rPr>
          <w:sz w:val="24"/>
          <w:szCs w:val="24"/>
        </w:rPr>
        <w:t xml:space="preserve">&amp; </w:t>
      </w:r>
      <w:r w:rsidR="00D735F9" w:rsidRPr="00926384">
        <w:rPr>
          <w:sz w:val="24"/>
          <w:szCs w:val="24"/>
        </w:rPr>
        <w:t>Bossarte, 2006</w:t>
      </w:r>
      <w:r w:rsidR="00B629E1">
        <w:rPr>
          <w:sz w:val="24"/>
          <w:szCs w:val="24"/>
        </w:rPr>
        <w:t>;</w:t>
      </w:r>
      <w:r w:rsidR="00D735F9" w:rsidRPr="00926384">
        <w:rPr>
          <w:sz w:val="24"/>
          <w:szCs w:val="24"/>
        </w:rPr>
        <w:t xml:space="preserve"> </w:t>
      </w:r>
      <w:r w:rsidR="00A50D0D" w:rsidRPr="00926384">
        <w:rPr>
          <w:sz w:val="24"/>
          <w:szCs w:val="24"/>
        </w:rPr>
        <w:t>Kulka, 1994</w:t>
      </w:r>
      <w:r w:rsidR="00B629E1">
        <w:rPr>
          <w:sz w:val="24"/>
          <w:szCs w:val="24"/>
        </w:rPr>
        <w:t>;</w:t>
      </w:r>
      <w:r w:rsidR="00A50D0D" w:rsidRPr="00926384">
        <w:rPr>
          <w:sz w:val="24"/>
          <w:szCs w:val="24"/>
        </w:rPr>
        <w:t xml:space="preserve"> </w:t>
      </w:r>
      <w:r w:rsidR="00D735F9" w:rsidRPr="00926384">
        <w:rPr>
          <w:sz w:val="24"/>
          <w:szCs w:val="24"/>
        </w:rPr>
        <w:t>Mack et. al., 1998)</w:t>
      </w:r>
      <w:r w:rsidRPr="00926384">
        <w:rPr>
          <w:sz w:val="24"/>
          <w:szCs w:val="24"/>
        </w:rPr>
        <w:t xml:space="preserve">.   </w:t>
      </w:r>
      <w:r w:rsidR="00A50D0D" w:rsidRPr="00926384">
        <w:rPr>
          <w:sz w:val="24"/>
          <w:szCs w:val="24"/>
        </w:rPr>
        <w:t xml:space="preserve">For these reasons, </w:t>
      </w:r>
      <w:r w:rsidR="000D7E26">
        <w:rPr>
          <w:sz w:val="24"/>
          <w:szCs w:val="24"/>
        </w:rPr>
        <w:t>parents with contact information who complete the interview will receive $20 for each interview as an incentive.  Those with</w:t>
      </w:r>
      <w:r w:rsidR="0047551D">
        <w:rPr>
          <w:sz w:val="24"/>
          <w:szCs w:val="24"/>
        </w:rPr>
        <w:t>out a telephone number</w:t>
      </w:r>
      <w:r w:rsidR="000D7E26">
        <w:rPr>
          <w:sz w:val="24"/>
          <w:szCs w:val="24"/>
        </w:rPr>
        <w:t xml:space="preserve"> (</w:t>
      </w:r>
      <w:r w:rsidR="0047551D">
        <w:rPr>
          <w:sz w:val="24"/>
          <w:szCs w:val="24"/>
        </w:rPr>
        <w:t xml:space="preserve">initially, </w:t>
      </w:r>
      <w:r w:rsidR="000D7E26">
        <w:rPr>
          <w:sz w:val="24"/>
          <w:szCs w:val="24"/>
        </w:rPr>
        <w:t xml:space="preserve">about </w:t>
      </w:r>
      <w:r w:rsidR="00B91C80">
        <w:rPr>
          <w:sz w:val="24"/>
          <w:szCs w:val="24"/>
        </w:rPr>
        <w:t>6</w:t>
      </w:r>
      <w:r w:rsidR="000D7E26">
        <w:rPr>
          <w:sz w:val="24"/>
          <w:szCs w:val="24"/>
        </w:rPr>
        <w:t xml:space="preserve">0 percent of the sample) will become part of the </w:t>
      </w:r>
      <w:r w:rsidR="000D7E26" w:rsidRPr="005722FF">
        <w:rPr>
          <w:i/>
          <w:sz w:val="24"/>
          <w:szCs w:val="24"/>
        </w:rPr>
        <w:t>Take Phone Home</w:t>
      </w:r>
      <w:r w:rsidR="000D7E26">
        <w:rPr>
          <w:sz w:val="24"/>
          <w:szCs w:val="24"/>
        </w:rPr>
        <w:t xml:space="preserve"> Program (described below in Part B) and be given </w:t>
      </w:r>
      <w:r w:rsidR="00511BCD">
        <w:rPr>
          <w:sz w:val="24"/>
          <w:szCs w:val="24"/>
        </w:rPr>
        <w:t xml:space="preserve">a cell phone with </w:t>
      </w:r>
      <w:r w:rsidR="000D7E26">
        <w:rPr>
          <w:sz w:val="24"/>
          <w:szCs w:val="24"/>
        </w:rPr>
        <w:t xml:space="preserve">30 prepaid minutes </w:t>
      </w:r>
      <w:r w:rsidR="001F2D0A" w:rsidRPr="002E3967">
        <w:rPr>
          <w:sz w:val="24"/>
          <w:szCs w:val="24"/>
        </w:rPr>
        <w:t xml:space="preserve">(valued at </w:t>
      </w:r>
      <w:r w:rsidR="00F428EE" w:rsidRPr="002E3967">
        <w:rPr>
          <w:sz w:val="24"/>
          <w:szCs w:val="24"/>
        </w:rPr>
        <w:lastRenderedPageBreak/>
        <w:t>between $20 and $30</w:t>
      </w:r>
      <w:r w:rsidR="00E80C03">
        <w:rPr>
          <w:sz w:val="24"/>
          <w:szCs w:val="24"/>
        </w:rPr>
        <w:t xml:space="preserve"> for the cell phone and minutes</w:t>
      </w:r>
      <w:r w:rsidR="001F2D0A" w:rsidRPr="002E3967">
        <w:rPr>
          <w:sz w:val="24"/>
          <w:szCs w:val="24"/>
        </w:rPr>
        <w:t>)</w:t>
      </w:r>
      <w:r w:rsidR="00405E91">
        <w:rPr>
          <w:sz w:val="24"/>
          <w:szCs w:val="24"/>
        </w:rPr>
        <w:t xml:space="preserve"> </w:t>
      </w:r>
      <w:r w:rsidR="000D7E26">
        <w:rPr>
          <w:sz w:val="24"/>
          <w:szCs w:val="24"/>
        </w:rPr>
        <w:t xml:space="preserve">for the interview and an additional 50 prepaid minutes for their own use. </w:t>
      </w:r>
      <w:r w:rsidR="00511BCD">
        <w:rPr>
          <w:sz w:val="24"/>
          <w:szCs w:val="24"/>
        </w:rPr>
        <w:t xml:space="preserve"> </w:t>
      </w:r>
      <w:r w:rsidR="006971DB">
        <w:rPr>
          <w:sz w:val="24"/>
          <w:szCs w:val="24"/>
        </w:rPr>
        <w:t xml:space="preserve">Participants in the </w:t>
      </w:r>
      <w:r w:rsidR="00D85566">
        <w:rPr>
          <w:sz w:val="24"/>
          <w:szCs w:val="24"/>
        </w:rPr>
        <w:t>demonstration</w:t>
      </w:r>
      <w:r w:rsidR="006971DB">
        <w:rPr>
          <w:sz w:val="24"/>
          <w:szCs w:val="24"/>
        </w:rPr>
        <w:t xml:space="preserve"> will be allowed to keep the cell phones after the interview</w:t>
      </w:r>
      <w:r w:rsidR="005217DE">
        <w:rPr>
          <w:sz w:val="24"/>
          <w:szCs w:val="24"/>
        </w:rPr>
        <w:t>s</w:t>
      </w:r>
      <w:r w:rsidR="006971DB">
        <w:rPr>
          <w:sz w:val="24"/>
          <w:szCs w:val="24"/>
        </w:rPr>
        <w:t xml:space="preserve"> </w:t>
      </w:r>
      <w:r w:rsidR="005217DE">
        <w:rPr>
          <w:sz w:val="24"/>
          <w:szCs w:val="24"/>
        </w:rPr>
        <w:t>are</w:t>
      </w:r>
      <w:r w:rsidR="006971DB">
        <w:rPr>
          <w:sz w:val="24"/>
          <w:szCs w:val="24"/>
        </w:rPr>
        <w:t xml:space="preserve"> complete.  </w:t>
      </w:r>
      <w:r w:rsidR="003C7396" w:rsidRPr="00926384">
        <w:rPr>
          <w:sz w:val="24"/>
          <w:szCs w:val="24"/>
        </w:rPr>
        <w:t>We believe th</w:t>
      </w:r>
      <w:r w:rsidR="006971DB">
        <w:rPr>
          <w:sz w:val="24"/>
          <w:szCs w:val="24"/>
        </w:rPr>
        <w:t>e</w:t>
      </w:r>
      <w:r w:rsidR="003C7396" w:rsidRPr="00926384">
        <w:rPr>
          <w:sz w:val="24"/>
          <w:szCs w:val="24"/>
        </w:rPr>
        <w:t>s</w:t>
      </w:r>
      <w:r w:rsidR="006971DB">
        <w:rPr>
          <w:sz w:val="24"/>
          <w:szCs w:val="24"/>
        </w:rPr>
        <w:t>e</w:t>
      </w:r>
      <w:r w:rsidR="003C7396" w:rsidRPr="00926384">
        <w:rPr>
          <w:sz w:val="24"/>
          <w:szCs w:val="24"/>
        </w:rPr>
        <w:t xml:space="preserve"> small incentive</w:t>
      </w:r>
      <w:r w:rsidR="006971DB">
        <w:rPr>
          <w:sz w:val="24"/>
          <w:szCs w:val="24"/>
        </w:rPr>
        <w:t>s</w:t>
      </w:r>
      <w:r w:rsidR="003C7396" w:rsidRPr="00926384">
        <w:rPr>
          <w:sz w:val="24"/>
          <w:szCs w:val="24"/>
        </w:rPr>
        <w:t xml:space="preserve"> may induce many parents to participate</w:t>
      </w:r>
      <w:r w:rsidR="00B629E1">
        <w:rPr>
          <w:sz w:val="24"/>
          <w:szCs w:val="24"/>
        </w:rPr>
        <w:t>. H</w:t>
      </w:r>
      <w:r w:rsidR="003C7396" w:rsidRPr="00926384">
        <w:rPr>
          <w:sz w:val="24"/>
          <w:szCs w:val="24"/>
        </w:rPr>
        <w:t xml:space="preserve">owever, </w:t>
      </w:r>
      <w:r w:rsidR="006971DB">
        <w:rPr>
          <w:sz w:val="24"/>
          <w:szCs w:val="24"/>
        </w:rPr>
        <w:t>they</w:t>
      </w:r>
      <w:r w:rsidR="003C7396" w:rsidRPr="00926384">
        <w:rPr>
          <w:sz w:val="24"/>
          <w:szCs w:val="24"/>
        </w:rPr>
        <w:t xml:space="preserve"> </w:t>
      </w:r>
      <w:r w:rsidR="006971DB">
        <w:rPr>
          <w:sz w:val="24"/>
          <w:szCs w:val="24"/>
        </w:rPr>
        <w:t>are</w:t>
      </w:r>
      <w:r w:rsidR="003C7396" w:rsidRPr="00926384">
        <w:rPr>
          <w:sz w:val="24"/>
          <w:szCs w:val="24"/>
        </w:rPr>
        <w:t xml:space="preserve"> not large enough to be coercive. </w:t>
      </w:r>
    </w:p>
    <w:p w:rsidR="00511BCD" w:rsidRDefault="00511BCD" w:rsidP="00405E91">
      <w:pPr>
        <w:spacing w:after="0" w:line="480" w:lineRule="auto"/>
        <w:rPr>
          <w:sz w:val="24"/>
          <w:szCs w:val="24"/>
        </w:rPr>
      </w:pPr>
    </w:p>
    <w:p w:rsidR="00511BCD" w:rsidRDefault="001971C7" w:rsidP="00405E91">
      <w:pPr>
        <w:spacing w:after="0" w:line="480" w:lineRule="auto"/>
        <w:rPr>
          <w:sz w:val="24"/>
          <w:szCs w:val="24"/>
        </w:rPr>
      </w:pPr>
      <w:r w:rsidRPr="00926384">
        <w:rPr>
          <w:sz w:val="24"/>
          <w:szCs w:val="24"/>
        </w:rPr>
        <w:t xml:space="preserve">No </w:t>
      </w:r>
      <w:r w:rsidR="00405E91">
        <w:rPr>
          <w:sz w:val="24"/>
          <w:szCs w:val="24"/>
        </w:rPr>
        <w:t xml:space="preserve">gifts or </w:t>
      </w:r>
      <w:r w:rsidRPr="00926384">
        <w:rPr>
          <w:sz w:val="24"/>
          <w:szCs w:val="24"/>
        </w:rPr>
        <w:t xml:space="preserve">payments will be made to </w:t>
      </w:r>
      <w:r w:rsidR="00B629E1">
        <w:rPr>
          <w:sz w:val="24"/>
          <w:szCs w:val="24"/>
        </w:rPr>
        <w:t xml:space="preserve">state grantees and </w:t>
      </w:r>
      <w:r w:rsidRPr="00926384">
        <w:rPr>
          <w:sz w:val="24"/>
          <w:szCs w:val="24"/>
        </w:rPr>
        <w:t>demonstration sponsors for completing the cost interview or to participants in the key informant interviews.</w:t>
      </w:r>
      <w:r w:rsidR="006E55B7">
        <w:rPr>
          <w:sz w:val="24"/>
          <w:szCs w:val="24"/>
        </w:rPr>
        <w:t xml:space="preserve"> </w:t>
      </w:r>
    </w:p>
    <w:p w:rsidR="009C54F0" w:rsidRPr="009C54F0" w:rsidRDefault="009C54F0">
      <w:pPr>
        <w:rPr>
          <w:b/>
          <w:sz w:val="24"/>
          <w:szCs w:val="24"/>
        </w:rPr>
      </w:pPr>
    </w:p>
    <w:p w:rsidR="005C6B04" w:rsidRPr="005C6B04" w:rsidRDefault="009C54F0" w:rsidP="005C6B04">
      <w:pPr>
        <w:pStyle w:val="Default"/>
        <w:ind w:left="720" w:hanging="720"/>
        <w:rPr>
          <w:rFonts w:asciiTheme="minorHAnsi" w:hAnsiTheme="minorHAnsi"/>
          <w:b/>
        </w:rPr>
      </w:pPr>
      <w:r w:rsidRPr="005C6B04">
        <w:rPr>
          <w:rFonts w:asciiTheme="minorHAnsi" w:hAnsiTheme="minorHAnsi"/>
          <w:b/>
        </w:rPr>
        <w:t>A.10</w:t>
      </w:r>
      <w:r w:rsidRPr="005C6B04">
        <w:rPr>
          <w:rFonts w:asciiTheme="minorHAnsi" w:hAnsiTheme="minorHAnsi"/>
          <w:b/>
        </w:rPr>
        <w:tab/>
      </w:r>
      <w:r w:rsidR="005C6B04" w:rsidRPr="005C6B04">
        <w:rPr>
          <w:rFonts w:asciiTheme="minorHAnsi" w:hAnsiTheme="minorHAnsi"/>
          <w:b/>
        </w:rPr>
        <w:t xml:space="preserve">Describe any assurance of confidentiality provided to respondents and the basis for the assurance in statute, regulation, or agency policy. </w:t>
      </w:r>
    </w:p>
    <w:p w:rsidR="0031078B" w:rsidRPr="009C54F0" w:rsidRDefault="0031078B">
      <w:pPr>
        <w:rPr>
          <w:b/>
          <w:sz w:val="24"/>
          <w:szCs w:val="24"/>
        </w:rPr>
      </w:pPr>
    </w:p>
    <w:p w:rsidR="00FC7363" w:rsidRPr="008D41B1" w:rsidRDefault="0020712A" w:rsidP="008D41B1">
      <w:pPr>
        <w:spacing w:line="480" w:lineRule="auto"/>
        <w:rPr>
          <w:sz w:val="24"/>
          <w:szCs w:val="24"/>
        </w:rPr>
      </w:pPr>
      <w:r w:rsidRPr="008D41B1">
        <w:rPr>
          <w:sz w:val="24"/>
          <w:szCs w:val="24"/>
        </w:rPr>
        <w:t>Participants in the evaluation are subject to the assurances and safeguards as provided by the Privacy Act of 1974 (5 USC 552a), which requires the safeguarding of individuals against invasion of privacy.</w:t>
      </w:r>
      <w:r w:rsidR="005822CB" w:rsidRPr="008D41B1">
        <w:rPr>
          <w:sz w:val="24"/>
          <w:szCs w:val="24"/>
        </w:rPr>
        <w:t xml:space="preserve">  The Privacy Act also provides for the confidential treatment of records maintained by a Federal agency according to either the individual’s name or some other identifier.</w:t>
      </w:r>
      <w:r w:rsidR="008D41B1" w:rsidRPr="008D41B1">
        <w:rPr>
          <w:sz w:val="24"/>
          <w:szCs w:val="24"/>
        </w:rPr>
        <w:t xml:space="preserve">  </w:t>
      </w:r>
    </w:p>
    <w:p w:rsidR="008D41B1" w:rsidRPr="008D41B1" w:rsidRDefault="008D41B1" w:rsidP="006F36B1">
      <w:pPr>
        <w:pStyle w:val="BodyTextIndent"/>
        <w:spacing w:line="480" w:lineRule="auto"/>
        <w:ind w:left="0"/>
      </w:pPr>
      <w:r w:rsidRPr="008D41B1">
        <w:rPr>
          <w:rFonts w:asciiTheme="minorHAnsi" w:hAnsiTheme="minorHAnsi" w:cs="Arial"/>
        </w:rPr>
        <w:t xml:space="preserve">The Privacy Act requires that before personal identifying information (such as SSN or EIN) may be shared with other entities, a Privacy Notice must first be published.  FNS published such a Privacy Act notice (System of Records) to specify the uses to be made of the information in this collection.  This Notice was published </w:t>
      </w:r>
      <w:r w:rsidR="00A61E45">
        <w:rPr>
          <w:rFonts w:asciiTheme="minorHAnsi" w:hAnsiTheme="minorHAnsi" w:cs="Arial"/>
        </w:rPr>
        <w:t xml:space="preserve">titled </w:t>
      </w:r>
      <w:r w:rsidR="00A61E45" w:rsidRPr="00DA3FB8">
        <w:rPr>
          <w:rFonts w:asciiTheme="minorHAnsi" w:hAnsiTheme="minorHAnsi" w:cs="Arial"/>
          <w:u w:val="single"/>
        </w:rPr>
        <w:t>FNS-8 USDA/FNS Studies and Reports</w:t>
      </w:r>
      <w:r w:rsidR="00A61E45">
        <w:rPr>
          <w:rFonts w:asciiTheme="minorHAnsi" w:hAnsiTheme="minorHAnsi" w:cs="Arial"/>
        </w:rPr>
        <w:t xml:space="preserve"> </w:t>
      </w:r>
      <w:r w:rsidRPr="008D41B1">
        <w:rPr>
          <w:rFonts w:asciiTheme="minorHAnsi" w:hAnsiTheme="minorHAnsi" w:cs="Arial"/>
        </w:rPr>
        <w:t xml:space="preserve">in the Federal Register on </w:t>
      </w:r>
      <w:r w:rsidR="00727E5F" w:rsidRPr="00DA3FB8">
        <w:rPr>
          <w:rFonts w:asciiTheme="minorHAnsi" w:hAnsiTheme="minorHAnsi" w:cs="Arial"/>
        </w:rPr>
        <w:t>March 31</w:t>
      </w:r>
      <w:r w:rsidR="006F36B1" w:rsidRPr="00DA3FB8">
        <w:rPr>
          <w:rFonts w:asciiTheme="minorHAnsi" w:hAnsiTheme="minorHAnsi" w:cs="Arial"/>
        </w:rPr>
        <w:t xml:space="preserve">, </w:t>
      </w:r>
      <w:r w:rsidR="00727E5F" w:rsidRPr="00DA3FB8">
        <w:rPr>
          <w:rFonts w:asciiTheme="minorHAnsi" w:hAnsiTheme="minorHAnsi" w:cs="Arial"/>
        </w:rPr>
        <w:t>2000, Volume 65, Number 63, and is located on pages 17251-17252</w:t>
      </w:r>
      <w:r w:rsidR="006F36B1" w:rsidRPr="00DA3FB8">
        <w:rPr>
          <w:rFonts w:asciiTheme="minorHAnsi" w:hAnsiTheme="minorHAnsi" w:cs="Arial"/>
        </w:rPr>
        <w:t>.</w:t>
      </w:r>
    </w:p>
    <w:p w:rsidR="00CE6453" w:rsidRDefault="00CE6453" w:rsidP="008D41B1">
      <w:pPr>
        <w:spacing w:line="480" w:lineRule="auto"/>
        <w:rPr>
          <w:sz w:val="24"/>
          <w:szCs w:val="24"/>
        </w:rPr>
      </w:pPr>
    </w:p>
    <w:p w:rsidR="005822CB" w:rsidRPr="008D41B1" w:rsidRDefault="00FC7363" w:rsidP="008D41B1">
      <w:pPr>
        <w:spacing w:line="480" w:lineRule="auto"/>
        <w:rPr>
          <w:sz w:val="24"/>
          <w:szCs w:val="24"/>
        </w:rPr>
      </w:pPr>
      <w:r w:rsidRPr="008D41B1">
        <w:rPr>
          <w:sz w:val="24"/>
          <w:szCs w:val="24"/>
        </w:rPr>
        <w:lastRenderedPageBreak/>
        <w:t>Privacy and confidentiality will be protected throughout the data collection and processing operations</w:t>
      </w:r>
      <w:r w:rsidR="004F476E">
        <w:rPr>
          <w:sz w:val="24"/>
          <w:szCs w:val="24"/>
        </w:rPr>
        <w:t xml:space="preserve"> and will not be shared with anyone outside this study, except as otherwise required by law</w:t>
      </w:r>
      <w:r w:rsidRPr="008D41B1">
        <w:rPr>
          <w:sz w:val="24"/>
          <w:szCs w:val="24"/>
        </w:rPr>
        <w:t xml:space="preserve">.  </w:t>
      </w:r>
      <w:r w:rsidR="004F476E">
        <w:rPr>
          <w:sz w:val="24"/>
          <w:szCs w:val="24"/>
        </w:rPr>
        <w:t>We</w:t>
      </w:r>
      <w:r w:rsidRPr="008D41B1">
        <w:rPr>
          <w:sz w:val="24"/>
          <w:szCs w:val="24"/>
        </w:rPr>
        <w:t xml:space="preserve"> will separate </w:t>
      </w:r>
      <w:r w:rsidR="00090ABB" w:rsidRPr="008D41B1">
        <w:rPr>
          <w:sz w:val="24"/>
          <w:szCs w:val="24"/>
        </w:rPr>
        <w:t xml:space="preserve">names and other </w:t>
      </w:r>
      <w:r w:rsidRPr="008D41B1">
        <w:rPr>
          <w:sz w:val="24"/>
          <w:szCs w:val="24"/>
        </w:rPr>
        <w:t>direct identifying information from electronic survey response data by storing them in separate files linked only by a nonmeaningful study ID.  Files with identifying information, which will not be needed for analysis, will be stored in directories separate from the response data.  H</w:t>
      </w:r>
      <w:r w:rsidR="00C8259C" w:rsidRPr="008D41B1">
        <w:rPr>
          <w:sz w:val="24"/>
          <w:szCs w:val="24"/>
        </w:rPr>
        <w:t xml:space="preserve">ardcopy </w:t>
      </w:r>
      <w:r w:rsidR="00780DEF" w:rsidRPr="008D41B1">
        <w:rPr>
          <w:sz w:val="24"/>
          <w:szCs w:val="24"/>
        </w:rPr>
        <w:t xml:space="preserve">study data </w:t>
      </w:r>
      <w:r w:rsidRPr="008D41B1">
        <w:rPr>
          <w:sz w:val="24"/>
          <w:szCs w:val="24"/>
        </w:rPr>
        <w:t xml:space="preserve">will be kept </w:t>
      </w:r>
      <w:r w:rsidR="00780DEF" w:rsidRPr="008D41B1">
        <w:rPr>
          <w:sz w:val="24"/>
          <w:szCs w:val="24"/>
        </w:rPr>
        <w:t>in locked files and locked rooms when not in use</w:t>
      </w:r>
      <w:r w:rsidR="00C8259C" w:rsidRPr="008D41B1">
        <w:rPr>
          <w:sz w:val="24"/>
          <w:szCs w:val="24"/>
        </w:rPr>
        <w:t>.</w:t>
      </w:r>
      <w:r w:rsidR="005822CB" w:rsidRPr="008D41B1">
        <w:rPr>
          <w:sz w:val="24"/>
          <w:szCs w:val="24"/>
        </w:rPr>
        <w:t xml:space="preserve">  Access to participants’ personal data, whether in hardcopy or electronic format, will be limited to persons authorized and needing to use the data.  </w:t>
      </w:r>
      <w:r w:rsidR="00090ABB" w:rsidRPr="008D41B1">
        <w:rPr>
          <w:sz w:val="24"/>
          <w:szCs w:val="24"/>
        </w:rPr>
        <w:t xml:space="preserve">All contractor </w:t>
      </w:r>
      <w:r w:rsidR="005822CB" w:rsidRPr="008D41B1">
        <w:rPr>
          <w:sz w:val="24"/>
          <w:szCs w:val="24"/>
        </w:rPr>
        <w:t>staff, including all field</w:t>
      </w:r>
      <w:r w:rsidR="0088184A" w:rsidRPr="008D41B1">
        <w:rPr>
          <w:sz w:val="24"/>
          <w:szCs w:val="24"/>
        </w:rPr>
        <w:t xml:space="preserve"> staff</w:t>
      </w:r>
      <w:r w:rsidR="005822CB" w:rsidRPr="008D41B1">
        <w:rPr>
          <w:sz w:val="24"/>
          <w:szCs w:val="24"/>
        </w:rPr>
        <w:t>, will be required to sign a confidentiality pledge</w:t>
      </w:r>
      <w:r w:rsidR="00E917E4">
        <w:rPr>
          <w:sz w:val="24"/>
          <w:szCs w:val="24"/>
        </w:rPr>
        <w:t xml:space="preserve"> (Attachment </w:t>
      </w:r>
      <w:r w:rsidR="00484D20">
        <w:rPr>
          <w:sz w:val="24"/>
          <w:szCs w:val="24"/>
        </w:rPr>
        <w:t>D</w:t>
      </w:r>
      <w:r w:rsidR="005E7F37">
        <w:rPr>
          <w:sz w:val="24"/>
          <w:szCs w:val="24"/>
        </w:rPr>
        <w:t>)</w:t>
      </w:r>
      <w:r w:rsidR="005822CB" w:rsidRPr="008D41B1">
        <w:rPr>
          <w:sz w:val="24"/>
          <w:szCs w:val="24"/>
        </w:rPr>
        <w:t>.</w:t>
      </w:r>
    </w:p>
    <w:p w:rsidR="008D3120" w:rsidRPr="008D41B1" w:rsidRDefault="008D3120" w:rsidP="008D41B1">
      <w:pPr>
        <w:spacing w:line="480" w:lineRule="auto"/>
        <w:rPr>
          <w:sz w:val="24"/>
          <w:szCs w:val="24"/>
        </w:rPr>
      </w:pPr>
      <w:r w:rsidRPr="008D41B1">
        <w:rPr>
          <w:sz w:val="24"/>
          <w:szCs w:val="24"/>
        </w:rPr>
        <w:t xml:space="preserve">Participants will be informed of the safeguards in place to protect their privacy and the extent to which confidentiality can be assured.  </w:t>
      </w:r>
      <w:r w:rsidR="007D4074" w:rsidRPr="008D41B1">
        <w:rPr>
          <w:sz w:val="24"/>
          <w:szCs w:val="24"/>
        </w:rPr>
        <w:t xml:space="preserve">Parents of SFSP participants will be provided with </w:t>
      </w:r>
      <w:r w:rsidR="004D6DCF" w:rsidRPr="008D41B1">
        <w:rPr>
          <w:sz w:val="24"/>
          <w:szCs w:val="24"/>
        </w:rPr>
        <w:t>a letter</w:t>
      </w:r>
      <w:r w:rsidR="007D4074" w:rsidRPr="008D41B1">
        <w:rPr>
          <w:sz w:val="24"/>
          <w:szCs w:val="24"/>
        </w:rPr>
        <w:t xml:space="preserve"> introducing</w:t>
      </w:r>
      <w:r w:rsidRPr="008D41B1">
        <w:rPr>
          <w:sz w:val="24"/>
          <w:szCs w:val="24"/>
        </w:rPr>
        <w:t xml:space="preserve"> </w:t>
      </w:r>
      <w:r w:rsidR="007D4074" w:rsidRPr="008D41B1">
        <w:rPr>
          <w:sz w:val="24"/>
          <w:szCs w:val="24"/>
        </w:rPr>
        <w:t>the evalu</w:t>
      </w:r>
      <w:r w:rsidR="00E17621" w:rsidRPr="008D41B1">
        <w:rPr>
          <w:sz w:val="24"/>
          <w:szCs w:val="24"/>
        </w:rPr>
        <w:t>ation</w:t>
      </w:r>
      <w:r w:rsidRPr="008D41B1">
        <w:rPr>
          <w:sz w:val="24"/>
          <w:szCs w:val="24"/>
        </w:rPr>
        <w:t xml:space="preserve"> and describing what participation entails</w:t>
      </w:r>
      <w:r w:rsidR="00047995" w:rsidRPr="008D41B1">
        <w:rPr>
          <w:sz w:val="24"/>
          <w:szCs w:val="24"/>
        </w:rPr>
        <w:t xml:space="preserve"> (Attachment </w:t>
      </w:r>
      <w:r w:rsidR="00484D20">
        <w:rPr>
          <w:sz w:val="24"/>
          <w:szCs w:val="24"/>
        </w:rPr>
        <w:t>E</w:t>
      </w:r>
      <w:r w:rsidR="00047995" w:rsidRPr="008D41B1">
        <w:rPr>
          <w:sz w:val="24"/>
          <w:szCs w:val="24"/>
        </w:rPr>
        <w:t>)</w:t>
      </w:r>
      <w:r w:rsidRPr="008D41B1">
        <w:rPr>
          <w:sz w:val="24"/>
          <w:szCs w:val="24"/>
        </w:rPr>
        <w:t>.  Both the letter</w:t>
      </w:r>
      <w:r w:rsidR="00426DBA" w:rsidRPr="008D41B1">
        <w:rPr>
          <w:sz w:val="24"/>
          <w:szCs w:val="24"/>
        </w:rPr>
        <w:t>s</w:t>
      </w:r>
      <w:r w:rsidRPr="008D41B1">
        <w:rPr>
          <w:sz w:val="24"/>
          <w:szCs w:val="24"/>
        </w:rPr>
        <w:t xml:space="preserve"> and </w:t>
      </w:r>
      <w:r w:rsidR="00817D7E" w:rsidRPr="008D41B1">
        <w:rPr>
          <w:sz w:val="24"/>
          <w:szCs w:val="24"/>
        </w:rPr>
        <w:t xml:space="preserve">a </w:t>
      </w:r>
      <w:r w:rsidRPr="008D41B1">
        <w:rPr>
          <w:sz w:val="24"/>
          <w:szCs w:val="24"/>
        </w:rPr>
        <w:t xml:space="preserve">verbal </w:t>
      </w:r>
      <w:r w:rsidR="00047995" w:rsidRPr="008D41B1">
        <w:rPr>
          <w:sz w:val="24"/>
          <w:szCs w:val="24"/>
        </w:rPr>
        <w:t xml:space="preserve">introductory </w:t>
      </w:r>
      <w:r w:rsidRPr="008D41B1">
        <w:rPr>
          <w:sz w:val="24"/>
          <w:szCs w:val="24"/>
        </w:rPr>
        <w:t>script</w:t>
      </w:r>
      <w:r w:rsidR="00817D7E" w:rsidRPr="008D41B1">
        <w:rPr>
          <w:sz w:val="24"/>
          <w:szCs w:val="24"/>
        </w:rPr>
        <w:t xml:space="preserve"> to the telephone parent survey </w:t>
      </w:r>
      <w:r w:rsidRPr="008D41B1">
        <w:rPr>
          <w:sz w:val="24"/>
          <w:szCs w:val="24"/>
        </w:rPr>
        <w:t xml:space="preserve">(Attachment </w:t>
      </w:r>
      <w:r w:rsidR="00484D20">
        <w:rPr>
          <w:sz w:val="24"/>
          <w:szCs w:val="24"/>
        </w:rPr>
        <w:t>F</w:t>
      </w:r>
      <w:r w:rsidRPr="008D41B1">
        <w:rPr>
          <w:sz w:val="24"/>
          <w:szCs w:val="24"/>
        </w:rPr>
        <w:t xml:space="preserve">) clearly inform the respondent that the information provided will </w:t>
      </w:r>
      <w:r w:rsidR="00817D7E" w:rsidRPr="008D41B1">
        <w:rPr>
          <w:sz w:val="24"/>
          <w:szCs w:val="24"/>
        </w:rPr>
        <w:t xml:space="preserve">remain </w:t>
      </w:r>
      <w:r w:rsidR="006971DB" w:rsidRPr="008D41B1">
        <w:rPr>
          <w:sz w:val="24"/>
          <w:szCs w:val="24"/>
        </w:rPr>
        <w:t>c</w:t>
      </w:r>
      <w:r w:rsidR="00817D7E" w:rsidRPr="008D41B1">
        <w:rPr>
          <w:sz w:val="24"/>
          <w:szCs w:val="24"/>
        </w:rPr>
        <w:t>onfidential</w:t>
      </w:r>
      <w:r w:rsidRPr="008D41B1">
        <w:rPr>
          <w:sz w:val="24"/>
          <w:szCs w:val="24"/>
        </w:rPr>
        <w:t xml:space="preserve">.  </w:t>
      </w:r>
    </w:p>
    <w:p w:rsidR="00090ABB" w:rsidRPr="008D41B1" w:rsidRDefault="00090ABB" w:rsidP="008D41B1">
      <w:pPr>
        <w:spacing w:line="480" w:lineRule="auto"/>
        <w:rPr>
          <w:sz w:val="24"/>
          <w:szCs w:val="24"/>
        </w:rPr>
      </w:pPr>
      <w:r w:rsidRPr="008D41B1">
        <w:rPr>
          <w:sz w:val="24"/>
          <w:szCs w:val="24"/>
        </w:rPr>
        <w:t xml:space="preserve">The evaluation </w:t>
      </w:r>
      <w:r w:rsidR="005822CB" w:rsidRPr="008D41B1">
        <w:rPr>
          <w:sz w:val="24"/>
          <w:szCs w:val="24"/>
        </w:rPr>
        <w:t xml:space="preserve">plan </w:t>
      </w:r>
      <w:r w:rsidR="00E77507" w:rsidRPr="008D41B1">
        <w:rPr>
          <w:sz w:val="24"/>
          <w:szCs w:val="24"/>
        </w:rPr>
        <w:t>was</w:t>
      </w:r>
      <w:r w:rsidRPr="008D41B1">
        <w:rPr>
          <w:sz w:val="24"/>
          <w:szCs w:val="24"/>
        </w:rPr>
        <w:t xml:space="preserve"> submitted to the Westat Institutional Review Board</w:t>
      </w:r>
      <w:r w:rsidR="00F72D7F" w:rsidRPr="008D41B1">
        <w:rPr>
          <w:sz w:val="24"/>
          <w:szCs w:val="24"/>
        </w:rPr>
        <w:t xml:space="preserve"> and approved on</w:t>
      </w:r>
      <w:r w:rsidR="000D7E26" w:rsidRPr="008D41B1">
        <w:rPr>
          <w:sz w:val="24"/>
          <w:szCs w:val="24"/>
        </w:rPr>
        <w:t xml:space="preserve"> </w:t>
      </w:r>
      <w:r w:rsidR="000132AE" w:rsidRPr="008D41B1">
        <w:rPr>
          <w:sz w:val="24"/>
          <w:szCs w:val="24"/>
        </w:rPr>
        <w:t>February 2, 2011</w:t>
      </w:r>
      <w:r w:rsidR="00E917E4">
        <w:rPr>
          <w:sz w:val="24"/>
          <w:szCs w:val="24"/>
        </w:rPr>
        <w:t xml:space="preserve"> (Attachment </w:t>
      </w:r>
      <w:r w:rsidR="00484D20">
        <w:rPr>
          <w:sz w:val="24"/>
          <w:szCs w:val="24"/>
        </w:rPr>
        <w:t>G</w:t>
      </w:r>
      <w:r w:rsidR="005E7F37">
        <w:rPr>
          <w:sz w:val="24"/>
          <w:szCs w:val="24"/>
        </w:rPr>
        <w:t>)</w:t>
      </w:r>
      <w:r w:rsidR="00F72D7F" w:rsidRPr="008D41B1">
        <w:rPr>
          <w:sz w:val="24"/>
          <w:szCs w:val="24"/>
        </w:rPr>
        <w:t xml:space="preserve">. </w:t>
      </w:r>
      <w:r w:rsidRPr="008D41B1">
        <w:rPr>
          <w:sz w:val="24"/>
          <w:szCs w:val="24"/>
        </w:rPr>
        <w:t xml:space="preserve">  The IRB review</w:t>
      </w:r>
      <w:r w:rsidR="00F72D7F" w:rsidRPr="008D41B1">
        <w:rPr>
          <w:sz w:val="24"/>
          <w:szCs w:val="24"/>
        </w:rPr>
        <w:t>ed</w:t>
      </w:r>
      <w:r w:rsidRPr="008D41B1">
        <w:rPr>
          <w:sz w:val="24"/>
          <w:szCs w:val="24"/>
        </w:rPr>
        <w:t xml:space="preserve"> all assurances of confidentiality provided and plans for document and data storage to ensure that the requirements of all assurances will be met.   </w:t>
      </w:r>
    </w:p>
    <w:p w:rsidR="006F36B1" w:rsidRDefault="006F36B1">
      <w:pPr>
        <w:rPr>
          <w:rFonts w:cs="Garamond"/>
          <w:b/>
          <w:color w:val="000000"/>
          <w:sz w:val="24"/>
          <w:szCs w:val="24"/>
        </w:rPr>
      </w:pPr>
      <w:r>
        <w:rPr>
          <w:b/>
        </w:rPr>
        <w:br w:type="page"/>
      </w:r>
    </w:p>
    <w:p w:rsidR="005C6B04" w:rsidRPr="005C6B04" w:rsidRDefault="00832816" w:rsidP="005C6B04">
      <w:pPr>
        <w:pStyle w:val="Default"/>
        <w:ind w:left="720" w:hanging="720"/>
        <w:rPr>
          <w:rFonts w:asciiTheme="minorHAnsi" w:hAnsiTheme="minorHAnsi"/>
          <w:b/>
        </w:rPr>
      </w:pPr>
      <w:r w:rsidRPr="005C6B04">
        <w:rPr>
          <w:rFonts w:asciiTheme="minorHAnsi" w:hAnsiTheme="minorHAnsi"/>
          <w:b/>
        </w:rPr>
        <w:lastRenderedPageBreak/>
        <w:t>A.11</w:t>
      </w:r>
      <w:r w:rsidRPr="005C6B04">
        <w:rPr>
          <w:rFonts w:asciiTheme="minorHAnsi" w:hAnsiTheme="minorHAnsi"/>
          <w:b/>
        </w:rPr>
        <w:tab/>
      </w:r>
      <w:r w:rsidR="005C6B04" w:rsidRPr="005C6B04">
        <w:rPr>
          <w:rFonts w:asciiTheme="minorHAnsi" w:hAnsiTheme="minorHAnsi"/>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C6B04" w:rsidRDefault="005C6B04">
      <w:pPr>
        <w:rPr>
          <w:sz w:val="24"/>
          <w:szCs w:val="24"/>
        </w:rPr>
      </w:pPr>
    </w:p>
    <w:p w:rsidR="002E3967" w:rsidRDefault="00A9338E">
      <w:pPr>
        <w:spacing w:line="480" w:lineRule="auto"/>
        <w:rPr>
          <w:sz w:val="24"/>
          <w:szCs w:val="24"/>
        </w:rPr>
      </w:pPr>
      <w:r w:rsidRPr="00A9338E">
        <w:rPr>
          <w:sz w:val="24"/>
          <w:szCs w:val="24"/>
        </w:rPr>
        <w:t xml:space="preserve">Some questions </w:t>
      </w:r>
      <w:r>
        <w:rPr>
          <w:sz w:val="24"/>
          <w:szCs w:val="24"/>
        </w:rPr>
        <w:t xml:space="preserve">contained </w:t>
      </w:r>
      <w:r w:rsidRPr="00A9338E">
        <w:rPr>
          <w:sz w:val="24"/>
          <w:szCs w:val="24"/>
        </w:rPr>
        <w:t>in the parent interview</w:t>
      </w:r>
      <w:r>
        <w:rPr>
          <w:sz w:val="24"/>
          <w:szCs w:val="24"/>
        </w:rPr>
        <w:t xml:space="preserve"> could be considered sensitive by some respondents.  These include </w:t>
      </w:r>
      <w:r w:rsidR="005F006B">
        <w:rPr>
          <w:sz w:val="24"/>
          <w:szCs w:val="24"/>
        </w:rPr>
        <w:t xml:space="preserve">a </w:t>
      </w:r>
      <w:r>
        <w:rPr>
          <w:sz w:val="24"/>
          <w:szCs w:val="24"/>
        </w:rPr>
        <w:t xml:space="preserve">question on household income, </w:t>
      </w:r>
      <w:r w:rsidR="005F006B">
        <w:rPr>
          <w:sz w:val="24"/>
          <w:szCs w:val="24"/>
        </w:rPr>
        <w:t>a series of items on food security, and several questions on whether the food given to children is being eaten by</w:t>
      </w:r>
      <w:r w:rsidR="00004AB1">
        <w:rPr>
          <w:sz w:val="24"/>
          <w:szCs w:val="24"/>
        </w:rPr>
        <w:t xml:space="preserve"> the intended recipients</w:t>
      </w:r>
      <w:r w:rsidR="005F006B">
        <w:rPr>
          <w:sz w:val="24"/>
          <w:szCs w:val="24"/>
        </w:rPr>
        <w:t>.  All potentially sensitive questions are directly related to the planned analys</w:t>
      </w:r>
      <w:r w:rsidR="006E49B6">
        <w:rPr>
          <w:sz w:val="24"/>
          <w:szCs w:val="24"/>
        </w:rPr>
        <w:t>e</w:t>
      </w:r>
      <w:r w:rsidR="005F006B">
        <w:rPr>
          <w:sz w:val="24"/>
          <w:szCs w:val="24"/>
        </w:rPr>
        <w:t>s of outcome data and are essential to evaluate the effectiveness of the demonstrations.</w:t>
      </w:r>
    </w:p>
    <w:p w:rsidR="002E3967" w:rsidRDefault="006E49B6">
      <w:pPr>
        <w:spacing w:line="480" w:lineRule="auto"/>
        <w:rPr>
          <w:sz w:val="24"/>
          <w:szCs w:val="24"/>
        </w:rPr>
      </w:pPr>
      <w:r>
        <w:rPr>
          <w:sz w:val="24"/>
          <w:szCs w:val="24"/>
        </w:rPr>
        <w:t>As part of the</w:t>
      </w:r>
      <w:r w:rsidR="006971DB">
        <w:rPr>
          <w:sz w:val="24"/>
          <w:szCs w:val="24"/>
        </w:rPr>
        <w:t xml:space="preserve"> introduct</w:t>
      </w:r>
      <w:r w:rsidR="005217DE">
        <w:rPr>
          <w:sz w:val="24"/>
          <w:szCs w:val="24"/>
        </w:rPr>
        <w:t>ory</w:t>
      </w:r>
      <w:r w:rsidR="006971DB">
        <w:rPr>
          <w:sz w:val="24"/>
          <w:szCs w:val="24"/>
        </w:rPr>
        <w:t xml:space="preserve"> phone </w:t>
      </w:r>
      <w:r w:rsidR="005217DE">
        <w:rPr>
          <w:sz w:val="24"/>
          <w:szCs w:val="24"/>
        </w:rPr>
        <w:t>script</w:t>
      </w:r>
      <w:r w:rsidR="004D6DCF">
        <w:rPr>
          <w:sz w:val="24"/>
          <w:szCs w:val="24"/>
        </w:rPr>
        <w:t xml:space="preserve"> (Attachment </w:t>
      </w:r>
      <w:r w:rsidR="00484D20">
        <w:rPr>
          <w:sz w:val="24"/>
          <w:szCs w:val="24"/>
        </w:rPr>
        <w:t>F</w:t>
      </w:r>
      <w:r w:rsidR="004D6DCF">
        <w:rPr>
          <w:sz w:val="24"/>
          <w:szCs w:val="24"/>
        </w:rPr>
        <w:t>)</w:t>
      </w:r>
      <w:r>
        <w:rPr>
          <w:sz w:val="24"/>
          <w:szCs w:val="24"/>
        </w:rPr>
        <w:t>, potential respondents will be informed that they may choose not to answer any question</w:t>
      </w:r>
      <w:r w:rsidR="00C2701A">
        <w:rPr>
          <w:sz w:val="24"/>
          <w:szCs w:val="24"/>
        </w:rPr>
        <w:t xml:space="preserve"> without penalty</w:t>
      </w:r>
      <w:r>
        <w:rPr>
          <w:sz w:val="24"/>
          <w:szCs w:val="24"/>
        </w:rPr>
        <w:t xml:space="preserve">.  The </w:t>
      </w:r>
      <w:r w:rsidR="00ED1F0C">
        <w:rPr>
          <w:sz w:val="24"/>
          <w:szCs w:val="24"/>
        </w:rPr>
        <w:t xml:space="preserve">questions in the </w:t>
      </w:r>
      <w:r>
        <w:rPr>
          <w:sz w:val="24"/>
          <w:szCs w:val="24"/>
        </w:rPr>
        <w:t xml:space="preserve">parent interview </w:t>
      </w:r>
      <w:r w:rsidR="0021686F">
        <w:rPr>
          <w:sz w:val="24"/>
          <w:szCs w:val="24"/>
        </w:rPr>
        <w:t>were</w:t>
      </w:r>
      <w:r>
        <w:rPr>
          <w:sz w:val="24"/>
          <w:szCs w:val="24"/>
        </w:rPr>
        <w:t xml:space="preserve"> reviewed by </w:t>
      </w:r>
      <w:r w:rsidR="00F72D7F">
        <w:rPr>
          <w:sz w:val="24"/>
          <w:szCs w:val="24"/>
        </w:rPr>
        <w:t xml:space="preserve">the contractor’s </w:t>
      </w:r>
      <w:r w:rsidR="0021686F">
        <w:rPr>
          <w:sz w:val="24"/>
          <w:szCs w:val="24"/>
        </w:rPr>
        <w:t>Institutional</w:t>
      </w:r>
      <w:r>
        <w:rPr>
          <w:sz w:val="24"/>
          <w:szCs w:val="24"/>
        </w:rPr>
        <w:t xml:space="preserve"> Review Board. </w:t>
      </w:r>
    </w:p>
    <w:p w:rsidR="00832816" w:rsidRPr="00A9338E" w:rsidRDefault="005F006B">
      <w:pPr>
        <w:rPr>
          <w:sz w:val="24"/>
          <w:szCs w:val="24"/>
        </w:rPr>
      </w:pPr>
      <w:r>
        <w:rPr>
          <w:sz w:val="24"/>
          <w:szCs w:val="24"/>
        </w:rPr>
        <w:t xml:space="preserve">   </w:t>
      </w:r>
    </w:p>
    <w:p w:rsidR="005C6B04" w:rsidRPr="005C6B04" w:rsidRDefault="008F3CCB" w:rsidP="005C6B04">
      <w:pPr>
        <w:pStyle w:val="Default"/>
        <w:ind w:left="720" w:hanging="720"/>
        <w:rPr>
          <w:rFonts w:asciiTheme="minorHAnsi" w:hAnsiTheme="minorHAnsi"/>
          <w:b/>
        </w:rPr>
      </w:pPr>
      <w:r w:rsidRPr="005C6B04">
        <w:rPr>
          <w:rFonts w:asciiTheme="minorHAnsi" w:hAnsiTheme="minorHAnsi"/>
          <w:b/>
        </w:rPr>
        <w:t>A. 12</w:t>
      </w:r>
      <w:r w:rsidRPr="005C6B04">
        <w:rPr>
          <w:rFonts w:asciiTheme="minorHAnsi" w:hAnsiTheme="minorHAnsi"/>
          <w:b/>
        </w:rPr>
        <w:tab/>
      </w:r>
      <w:r w:rsidR="005C6B04" w:rsidRPr="005C6B04">
        <w:rPr>
          <w:rFonts w:asciiTheme="minorHAnsi" w:hAnsiTheme="minorHAnsi"/>
          <w:b/>
        </w:rPr>
        <w:t xml:space="preserve">Provide estimates of the hour burden of the collection of information. The statement should: </w:t>
      </w:r>
    </w:p>
    <w:p w:rsidR="005C6B04" w:rsidRPr="005C6B04" w:rsidRDefault="005C6B04" w:rsidP="005C6B04">
      <w:pPr>
        <w:pStyle w:val="Default"/>
        <w:ind w:left="720" w:hanging="720"/>
        <w:rPr>
          <w:rFonts w:asciiTheme="minorHAnsi" w:hAnsiTheme="minorHAnsi"/>
          <w:b/>
        </w:rPr>
      </w:pPr>
    </w:p>
    <w:p w:rsidR="005C6B04" w:rsidRPr="005C6B04" w:rsidRDefault="005C6B04" w:rsidP="005C6B04">
      <w:pPr>
        <w:pStyle w:val="Default"/>
        <w:ind w:left="1080" w:hanging="360"/>
        <w:rPr>
          <w:rFonts w:asciiTheme="minorHAnsi" w:hAnsiTheme="minorHAnsi"/>
          <w:b/>
        </w:rPr>
      </w:pPr>
      <w:r w:rsidRPr="005C6B04">
        <w:rPr>
          <w:rFonts w:asciiTheme="minorHAnsi" w:hAnsiTheme="minorHAnsi"/>
          <w:b/>
        </w:rPr>
        <w:t>*</w:t>
      </w:r>
      <w:r w:rsidRPr="005C6B04">
        <w:rPr>
          <w:rFonts w:asciiTheme="minorHAnsi" w:hAnsiTheme="minorHAnsi"/>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5C6B04" w:rsidRPr="005C6B04" w:rsidRDefault="005C6B04" w:rsidP="005C6B04">
      <w:pPr>
        <w:pStyle w:val="Default"/>
        <w:ind w:left="1080" w:hanging="360"/>
        <w:rPr>
          <w:rFonts w:asciiTheme="minorHAnsi" w:hAnsiTheme="minorHAnsi"/>
          <w:b/>
        </w:rPr>
      </w:pPr>
      <w:r w:rsidRPr="005C6B04">
        <w:rPr>
          <w:rFonts w:asciiTheme="minorHAnsi" w:hAnsiTheme="minorHAnsi"/>
          <w:b/>
        </w:rPr>
        <w:t xml:space="preserve">* </w:t>
      </w:r>
      <w:r w:rsidRPr="005C6B04">
        <w:rPr>
          <w:rFonts w:asciiTheme="minorHAnsi" w:hAnsiTheme="minorHAnsi"/>
          <w:b/>
        </w:rPr>
        <w:tab/>
        <w:t xml:space="preserve">If this request for approval covers more than one form, provide separate hour burden estimates for each form and aggregate the hour burdens in Item 13 of OMB Form 83-I. </w:t>
      </w:r>
    </w:p>
    <w:p w:rsidR="005C6B04" w:rsidRPr="005C6B04" w:rsidRDefault="005C6B04" w:rsidP="005C6B04">
      <w:pPr>
        <w:pStyle w:val="Default"/>
        <w:ind w:left="1080" w:hanging="360"/>
        <w:rPr>
          <w:rFonts w:asciiTheme="minorHAnsi" w:hAnsiTheme="minorHAnsi"/>
          <w:b/>
        </w:rPr>
      </w:pPr>
      <w:r w:rsidRPr="005C6B04">
        <w:rPr>
          <w:rFonts w:asciiTheme="minorHAnsi" w:hAnsiTheme="minorHAnsi"/>
          <w:b/>
        </w:rPr>
        <w:lastRenderedPageBreak/>
        <w:t xml:space="preserve">* </w:t>
      </w:r>
      <w:r w:rsidRPr="005C6B04">
        <w:rPr>
          <w:rFonts w:asciiTheme="minorHAnsi" w:hAnsiTheme="minorHAnsi"/>
          <w:b/>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 </w:t>
      </w:r>
    </w:p>
    <w:p w:rsidR="005C6B04" w:rsidRDefault="005C6B04">
      <w:pPr>
        <w:rPr>
          <w:sz w:val="24"/>
          <w:szCs w:val="24"/>
        </w:rPr>
      </w:pPr>
    </w:p>
    <w:p w:rsidR="002E3967" w:rsidRDefault="00E97D1F" w:rsidP="006F36B1">
      <w:pPr>
        <w:spacing w:after="0" w:line="480" w:lineRule="auto"/>
        <w:rPr>
          <w:sz w:val="24"/>
          <w:szCs w:val="24"/>
        </w:rPr>
      </w:pPr>
      <w:r w:rsidRPr="00926384">
        <w:rPr>
          <w:sz w:val="24"/>
          <w:szCs w:val="24"/>
        </w:rPr>
        <w:t xml:space="preserve">The </w:t>
      </w:r>
      <w:r w:rsidR="00DE5630">
        <w:rPr>
          <w:sz w:val="24"/>
          <w:szCs w:val="24"/>
        </w:rPr>
        <w:t xml:space="preserve">FNS </w:t>
      </w:r>
      <w:r w:rsidRPr="00926384">
        <w:rPr>
          <w:sz w:val="24"/>
          <w:szCs w:val="24"/>
        </w:rPr>
        <w:t xml:space="preserve">is requesting approval for the evaluation of </w:t>
      </w:r>
      <w:r w:rsidR="00D9027F">
        <w:rPr>
          <w:sz w:val="24"/>
          <w:szCs w:val="24"/>
        </w:rPr>
        <w:t xml:space="preserve">four types of </w:t>
      </w:r>
      <w:r w:rsidRPr="00926384">
        <w:rPr>
          <w:sz w:val="24"/>
          <w:szCs w:val="24"/>
        </w:rPr>
        <w:t xml:space="preserve">Summer Food Service Program Enhancement demonstrations.  Data collection activities will include </w:t>
      </w:r>
      <w:r w:rsidR="00146B53">
        <w:rPr>
          <w:sz w:val="24"/>
          <w:szCs w:val="24"/>
        </w:rPr>
        <w:t xml:space="preserve">four separate </w:t>
      </w:r>
      <w:r w:rsidRPr="00926384">
        <w:rPr>
          <w:sz w:val="24"/>
          <w:szCs w:val="24"/>
        </w:rPr>
        <w:t>interviews with parents of demonstration project participants</w:t>
      </w:r>
      <w:r w:rsidR="002813C3">
        <w:rPr>
          <w:sz w:val="24"/>
          <w:szCs w:val="24"/>
        </w:rPr>
        <w:t xml:space="preserve"> in the Meal Delivery and Backpack demonstrations</w:t>
      </w:r>
      <w:r w:rsidR="00E917E4">
        <w:rPr>
          <w:sz w:val="24"/>
          <w:szCs w:val="24"/>
        </w:rPr>
        <w:t xml:space="preserve"> (Attachment </w:t>
      </w:r>
      <w:r w:rsidR="00484D20">
        <w:rPr>
          <w:sz w:val="24"/>
          <w:szCs w:val="24"/>
        </w:rPr>
        <w:t>H</w:t>
      </w:r>
      <w:r w:rsidR="005E7F37">
        <w:rPr>
          <w:sz w:val="24"/>
          <w:szCs w:val="24"/>
        </w:rPr>
        <w:t>)</w:t>
      </w:r>
      <w:r w:rsidRPr="00926384">
        <w:rPr>
          <w:sz w:val="24"/>
          <w:szCs w:val="24"/>
        </w:rPr>
        <w:t xml:space="preserve">; key informant interviews </w:t>
      </w:r>
      <w:r w:rsidR="00E917E4">
        <w:rPr>
          <w:sz w:val="24"/>
          <w:szCs w:val="24"/>
        </w:rPr>
        <w:t xml:space="preserve">(Attachment </w:t>
      </w:r>
      <w:r w:rsidR="00F4770A">
        <w:rPr>
          <w:sz w:val="24"/>
          <w:szCs w:val="24"/>
        </w:rPr>
        <w:t>J</w:t>
      </w:r>
      <w:r w:rsidR="001F4F15">
        <w:rPr>
          <w:sz w:val="24"/>
          <w:szCs w:val="24"/>
        </w:rPr>
        <w:t xml:space="preserve">) </w:t>
      </w:r>
      <w:r w:rsidRPr="00926384">
        <w:rPr>
          <w:sz w:val="24"/>
          <w:szCs w:val="24"/>
        </w:rPr>
        <w:t>with state officials</w:t>
      </w:r>
      <w:r w:rsidR="001F4F15">
        <w:rPr>
          <w:sz w:val="24"/>
          <w:szCs w:val="24"/>
        </w:rPr>
        <w:t xml:space="preserve"> (N=5)</w:t>
      </w:r>
      <w:r w:rsidRPr="00926384">
        <w:rPr>
          <w:sz w:val="24"/>
          <w:szCs w:val="24"/>
        </w:rPr>
        <w:t>, demonstration spo</w:t>
      </w:r>
      <w:r w:rsidR="00210842" w:rsidRPr="00926384">
        <w:rPr>
          <w:sz w:val="24"/>
          <w:szCs w:val="24"/>
        </w:rPr>
        <w:t>nsors</w:t>
      </w:r>
      <w:r w:rsidR="001F4F15">
        <w:rPr>
          <w:sz w:val="24"/>
          <w:szCs w:val="24"/>
        </w:rPr>
        <w:t xml:space="preserve"> (N=28)</w:t>
      </w:r>
      <w:r w:rsidR="00210842" w:rsidRPr="00926384">
        <w:rPr>
          <w:sz w:val="24"/>
          <w:szCs w:val="24"/>
        </w:rPr>
        <w:t xml:space="preserve">, and local </w:t>
      </w:r>
      <w:r w:rsidR="0021686F">
        <w:rPr>
          <w:sz w:val="24"/>
          <w:szCs w:val="24"/>
        </w:rPr>
        <w:t>site</w:t>
      </w:r>
      <w:r w:rsidR="0021686F" w:rsidRPr="00926384">
        <w:rPr>
          <w:sz w:val="24"/>
          <w:szCs w:val="24"/>
        </w:rPr>
        <w:t>s</w:t>
      </w:r>
      <w:r w:rsidR="001F4F15">
        <w:rPr>
          <w:sz w:val="24"/>
          <w:szCs w:val="24"/>
        </w:rPr>
        <w:t xml:space="preserve"> (N=48)</w:t>
      </w:r>
      <w:r w:rsidR="0021686F">
        <w:rPr>
          <w:sz w:val="24"/>
          <w:szCs w:val="24"/>
        </w:rPr>
        <w:t xml:space="preserve"> </w:t>
      </w:r>
      <w:r w:rsidR="002813C3">
        <w:rPr>
          <w:sz w:val="24"/>
          <w:szCs w:val="24"/>
        </w:rPr>
        <w:t xml:space="preserve">in </w:t>
      </w:r>
      <w:r w:rsidR="004D6DCF">
        <w:rPr>
          <w:sz w:val="24"/>
          <w:szCs w:val="24"/>
        </w:rPr>
        <w:t>Demonstrations 1, 2, and 4 and with state officials</w:t>
      </w:r>
      <w:r w:rsidR="001F4F15">
        <w:rPr>
          <w:sz w:val="24"/>
          <w:szCs w:val="24"/>
        </w:rPr>
        <w:t xml:space="preserve"> (N=3</w:t>
      </w:r>
      <w:r w:rsidR="00412D8C">
        <w:rPr>
          <w:sz w:val="24"/>
          <w:szCs w:val="24"/>
        </w:rPr>
        <w:t>)</w:t>
      </w:r>
      <w:r w:rsidR="004D6DCF">
        <w:rPr>
          <w:sz w:val="24"/>
          <w:szCs w:val="24"/>
        </w:rPr>
        <w:t xml:space="preserve"> and demonstration sponsors </w:t>
      </w:r>
      <w:r w:rsidR="001F4F15">
        <w:rPr>
          <w:sz w:val="24"/>
          <w:szCs w:val="24"/>
        </w:rPr>
        <w:t>(N=4)</w:t>
      </w:r>
      <w:r w:rsidR="006F36B1">
        <w:rPr>
          <w:sz w:val="24"/>
          <w:szCs w:val="24"/>
        </w:rPr>
        <w:t xml:space="preserve"> </w:t>
      </w:r>
      <w:r w:rsidR="004D6DCF">
        <w:rPr>
          <w:sz w:val="24"/>
          <w:szCs w:val="24"/>
        </w:rPr>
        <w:t>in Demonstration 3</w:t>
      </w:r>
      <w:r w:rsidR="00210842" w:rsidRPr="00926384">
        <w:rPr>
          <w:sz w:val="24"/>
          <w:szCs w:val="24"/>
        </w:rPr>
        <w:t xml:space="preserve">; and </w:t>
      </w:r>
      <w:r w:rsidR="004D6DCF">
        <w:rPr>
          <w:sz w:val="24"/>
          <w:szCs w:val="24"/>
        </w:rPr>
        <w:t xml:space="preserve">the use of </w:t>
      </w:r>
      <w:r w:rsidR="00210842" w:rsidRPr="00926384">
        <w:rPr>
          <w:sz w:val="24"/>
          <w:szCs w:val="24"/>
        </w:rPr>
        <w:t>separate</w:t>
      </w:r>
      <w:r w:rsidR="00824E9E" w:rsidRPr="00926384">
        <w:rPr>
          <w:sz w:val="24"/>
          <w:szCs w:val="24"/>
        </w:rPr>
        <w:t xml:space="preserve"> cost instrument</w:t>
      </w:r>
      <w:r w:rsidR="00A41001" w:rsidRPr="00926384">
        <w:rPr>
          <w:sz w:val="24"/>
          <w:szCs w:val="24"/>
        </w:rPr>
        <w:t>s</w:t>
      </w:r>
      <w:r w:rsidR="00824E9E" w:rsidRPr="00926384">
        <w:rPr>
          <w:sz w:val="24"/>
          <w:szCs w:val="24"/>
        </w:rPr>
        <w:t xml:space="preserve"> </w:t>
      </w:r>
      <w:r w:rsidR="00424CF1" w:rsidRPr="00926384">
        <w:rPr>
          <w:sz w:val="24"/>
          <w:szCs w:val="24"/>
        </w:rPr>
        <w:t>that will</w:t>
      </w:r>
      <w:r w:rsidR="00824E9E" w:rsidRPr="00926384">
        <w:rPr>
          <w:sz w:val="24"/>
          <w:szCs w:val="24"/>
        </w:rPr>
        <w:t xml:space="preserve"> be completed by d</w:t>
      </w:r>
      <w:r w:rsidR="00325C44" w:rsidRPr="00926384">
        <w:rPr>
          <w:sz w:val="24"/>
          <w:szCs w:val="24"/>
        </w:rPr>
        <w:t xml:space="preserve">emonstration </w:t>
      </w:r>
      <w:r w:rsidR="004D6DCF">
        <w:rPr>
          <w:sz w:val="24"/>
          <w:szCs w:val="24"/>
        </w:rPr>
        <w:t xml:space="preserve">state grantees and </w:t>
      </w:r>
      <w:r w:rsidR="00325C44" w:rsidRPr="00926384">
        <w:rPr>
          <w:sz w:val="24"/>
          <w:szCs w:val="24"/>
        </w:rPr>
        <w:t>sponsors</w:t>
      </w:r>
      <w:r w:rsidR="00210842" w:rsidRPr="00926384">
        <w:rPr>
          <w:sz w:val="24"/>
          <w:szCs w:val="24"/>
        </w:rPr>
        <w:t xml:space="preserve"> </w:t>
      </w:r>
      <w:r w:rsidR="002813C3">
        <w:rPr>
          <w:sz w:val="24"/>
          <w:szCs w:val="24"/>
        </w:rPr>
        <w:t>in all demonstrations</w:t>
      </w:r>
      <w:r w:rsidR="004F3B99" w:rsidRPr="004F3B99">
        <w:rPr>
          <w:sz w:val="24"/>
          <w:szCs w:val="24"/>
        </w:rPr>
        <w:t>.  In addition, once they are developed, contractor staff will obtain demonstration recruitment and other project materials and extract key information on a data abstraction form.</w:t>
      </w:r>
    </w:p>
    <w:p w:rsidR="006F36B1" w:rsidRDefault="006F36B1" w:rsidP="006F36B1">
      <w:pPr>
        <w:spacing w:after="0" w:line="480" w:lineRule="auto"/>
        <w:rPr>
          <w:sz w:val="24"/>
          <w:szCs w:val="24"/>
        </w:rPr>
      </w:pPr>
    </w:p>
    <w:p w:rsidR="006F36B1" w:rsidRDefault="00210842" w:rsidP="00CE6453">
      <w:pPr>
        <w:spacing w:line="480" w:lineRule="auto"/>
        <w:rPr>
          <w:sz w:val="24"/>
          <w:szCs w:val="24"/>
        </w:rPr>
      </w:pPr>
      <w:r w:rsidRPr="00926384">
        <w:rPr>
          <w:sz w:val="24"/>
          <w:szCs w:val="24"/>
        </w:rPr>
        <w:t>Information will be collected i</w:t>
      </w:r>
      <w:r w:rsidR="00442B7D" w:rsidRPr="00926384">
        <w:rPr>
          <w:sz w:val="24"/>
          <w:szCs w:val="24"/>
        </w:rPr>
        <w:t xml:space="preserve">n two consecutive years.  Tables </w:t>
      </w:r>
      <w:r w:rsidR="00EB24A1">
        <w:rPr>
          <w:sz w:val="24"/>
          <w:szCs w:val="24"/>
        </w:rPr>
        <w:t xml:space="preserve"> </w:t>
      </w:r>
      <w:r w:rsidR="00442B7D" w:rsidRPr="00926384">
        <w:rPr>
          <w:sz w:val="24"/>
          <w:szCs w:val="24"/>
        </w:rPr>
        <w:t>A</w:t>
      </w:r>
      <w:r w:rsidR="00DE5630">
        <w:rPr>
          <w:sz w:val="24"/>
          <w:szCs w:val="24"/>
        </w:rPr>
        <w:t>.12.</w:t>
      </w:r>
      <w:r w:rsidR="00442B7D" w:rsidRPr="00926384">
        <w:rPr>
          <w:sz w:val="24"/>
          <w:szCs w:val="24"/>
        </w:rPr>
        <w:t>1</w:t>
      </w:r>
      <w:r w:rsidR="00EB24A1">
        <w:rPr>
          <w:sz w:val="24"/>
          <w:szCs w:val="24"/>
        </w:rPr>
        <w:t>a-d</w:t>
      </w:r>
      <w:r w:rsidR="00442B7D" w:rsidRPr="00926384">
        <w:rPr>
          <w:sz w:val="24"/>
          <w:szCs w:val="24"/>
        </w:rPr>
        <w:t xml:space="preserve"> </w:t>
      </w:r>
      <w:r w:rsidR="00EB24A1">
        <w:rPr>
          <w:sz w:val="24"/>
          <w:szCs w:val="24"/>
        </w:rPr>
        <w:t xml:space="preserve">provide </w:t>
      </w:r>
      <w:r w:rsidR="006F36B1">
        <w:rPr>
          <w:sz w:val="24"/>
          <w:szCs w:val="24"/>
        </w:rPr>
        <w:t xml:space="preserve">a </w:t>
      </w:r>
      <w:r w:rsidR="00442B7D" w:rsidRPr="00926384">
        <w:rPr>
          <w:sz w:val="24"/>
          <w:szCs w:val="24"/>
        </w:rPr>
        <w:t xml:space="preserve">summary of </w:t>
      </w:r>
      <w:r w:rsidR="006F36B1">
        <w:rPr>
          <w:sz w:val="24"/>
          <w:szCs w:val="24"/>
        </w:rPr>
        <w:t xml:space="preserve">the annualized burden and cost to respondents. Cognitive testing on questions on the backpack questionnaire was conducted with five individuals who implement a backpack program in Texas. </w:t>
      </w:r>
      <w:r w:rsidR="00424CF1" w:rsidRPr="008C1D7A">
        <w:rPr>
          <w:sz w:val="24"/>
          <w:szCs w:val="24"/>
        </w:rPr>
        <w:t>The parent interview is expected to</w:t>
      </w:r>
      <w:r w:rsidR="008E5B8A" w:rsidRPr="008C1D7A">
        <w:rPr>
          <w:sz w:val="24"/>
          <w:szCs w:val="24"/>
        </w:rPr>
        <w:t xml:space="preserve"> take about half an hour to complete.  </w:t>
      </w:r>
      <w:r w:rsidR="00C06A09" w:rsidRPr="00C06A09">
        <w:rPr>
          <w:sz w:val="24"/>
          <w:szCs w:val="24"/>
        </w:rPr>
        <w:t>This estimate is based on simulated runs with evaluation project staff answering the questionnaire.</w:t>
      </w:r>
      <w:r w:rsidR="00424CF1" w:rsidRPr="008C1D7A">
        <w:rPr>
          <w:sz w:val="24"/>
          <w:szCs w:val="24"/>
        </w:rPr>
        <w:t xml:space="preserve">  </w:t>
      </w:r>
      <w:r w:rsidR="00EA2B74" w:rsidRPr="008C1D7A">
        <w:rPr>
          <w:sz w:val="24"/>
          <w:szCs w:val="24"/>
        </w:rPr>
        <w:t xml:space="preserve">The burden associated with the conduct of </w:t>
      </w:r>
      <w:r w:rsidR="00F0063F" w:rsidRPr="008C1D7A">
        <w:rPr>
          <w:sz w:val="24"/>
          <w:szCs w:val="24"/>
        </w:rPr>
        <w:t xml:space="preserve">key informant interviews and </w:t>
      </w:r>
      <w:r w:rsidR="00C06A09" w:rsidRPr="00C06A09">
        <w:rPr>
          <w:sz w:val="24"/>
          <w:szCs w:val="24"/>
        </w:rPr>
        <w:t xml:space="preserve">completion of the extended cost instrument is estimated to average one hour each.  The shorter cost instrument targeted to state grantees is expected to take about </w:t>
      </w:r>
      <w:r w:rsidR="005217DE">
        <w:rPr>
          <w:sz w:val="24"/>
          <w:szCs w:val="24"/>
        </w:rPr>
        <w:t>45</w:t>
      </w:r>
      <w:r w:rsidR="00C06A09" w:rsidRPr="00C06A09">
        <w:rPr>
          <w:sz w:val="24"/>
          <w:szCs w:val="24"/>
        </w:rPr>
        <w:t xml:space="preserve"> minutes to complete.  The burden </w:t>
      </w:r>
    </w:p>
    <w:p w:rsidR="00A42770" w:rsidRDefault="00A42770" w:rsidP="00E34FD8">
      <w:pPr>
        <w:spacing w:line="480" w:lineRule="auto"/>
        <w:rPr>
          <w:b/>
          <w:sz w:val="20"/>
          <w:szCs w:val="20"/>
        </w:rPr>
        <w:sectPr w:rsidR="00A42770" w:rsidSect="00A66859">
          <w:footerReference w:type="default" r:id="rId14"/>
          <w:pgSz w:w="12240" w:h="15840"/>
          <w:pgMar w:top="1350" w:right="1440" w:bottom="1440" w:left="1440" w:header="720" w:footer="720" w:gutter="0"/>
          <w:cols w:space="720"/>
          <w:docGrid w:linePitch="360"/>
        </w:sectPr>
      </w:pPr>
    </w:p>
    <w:p w:rsidR="00EB24A1" w:rsidRDefault="00EB24A1" w:rsidP="00075B11">
      <w:pPr>
        <w:spacing w:after="0" w:line="240" w:lineRule="auto"/>
        <w:rPr>
          <w:b/>
          <w:sz w:val="20"/>
          <w:szCs w:val="20"/>
        </w:rPr>
      </w:pPr>
      <w:r w:rsidRPr="000F3A73">
        <w:rPr>
          <w:b/>
          <w:sz w:val="20"/>
          <w:szCs w:val="20"/>
        </w:rPr>
        <w:lastRenderedPageBreak/>
        <w:t>Table A.12.1</w:t>
      </w:r>
      <w:r>
        <w:rPr>
          <w:b/>
          <w:sz w:val="20"/>
          <w:szCs w:val="20"/>
        </w:rPr>
        <w:t>a</w:t>
      </w:r>
      <w:r w:rsidRPr="000F3A73">
        <w:rPr>
          <w:b/>
          <w:sz w:val="20"/>
          <w:szCs w:val="20"/>
        </w:rPr>
        <w:t xml:space="preserve">  Estimated annualized respondent hour burden and annualized cost to respondents</w:t>
      </w:r>
      <w:r>
        <w:rPr>
          <w:b/>
          <w:sz w:val="20"/>
          <w:szCs w:val="20"/>
        </w:rPr>
        <w:t xml:space="preserve"> – individuals/households reporting</w:t>
      </w:r>
    </w:p>
    <w:p w:rsidR="00075B11" w:rsidRPr="000F3A73" w:rsidRDefault="00075B11" w:rsidP="00075B11">
      <w:pPr>
        <w:spacing w:after="0" w:line="240" w:lineRule="auto"/>
        <w:rPr>
          <w:b/>
          <w:sz w:val="20"/>
          <w:szCs w:val="20"/>
        </w:rPr>
      </w:pPr>
    </w:p>
    <w:tbl>
      <w:tblPr>
        <w:tblW w:w="0" w:type="auto"/>
        <w:tblInd w:w="103" w:type="dxa"/>
        <w:tblLayout w:type="fixed"/>
        <w:tblLook w:val="04A0"/>
      </w:tblPr>
      <w:tblGrid>
        <w:gridCol w:w="1445"/>
        <w:gridCol w:w="2880"/>
        <w:gridCol w:w="1260"/>
        <w:gridCol w:w="900"/>
        <w:gridCol w:w="6"/>
        <w:gridCol w:w="1254"/>
        <w:gridCol w:w="990"/>
        <w:gridCol w:w="990"/>
        <w:gridCol w:w="990"/>
        <w:gridCol w:w="990"/>
        <w:gridCol w:w="990"/>
        <w:gridCol w:w="1440"/>
      </w:tblGrid>
      <w:tr w:rsidR="00EB24A1" w:rsidRPr="000317FD" w:rsidTr="00075B11">
        <w:trPr>
          <w:trHeight w:val="1080"/>
        </w:trPr>
        <w:tc>
          <w:tcPr>
            <w:tcW w:w="144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4A1" w:rsidRPr="000F3A73" w:rsidRDefault="00EB24A1" w:rsidP="00075B11">
            <w:pPr>
              <w:spacing w:after="0" w:line="240" w:lineRule="auto"/>
              <w:jc w:val="center"/>
              <w:rPr>
                <w:rFonts w:eastAsia="Times New Roman" w:cs="Arial"/>
                <w:sz w:val="18"/>
                <w:szCs w:val="18"/>
              </w:rPr>
            </w:pPr>
            <w:r w:rsidRPr="000F3A73">
              <w:rPr>
                <w:rFonts w:eastAsia="Times New Roman" w:cs="Arial"/>
                <w:sz w:val="18"/>
                <w:szCs w:val="18"/>
              </w:rPr>
              <w:t>Affected Public</w:t>
            </w:r>
          </w:p>
        </w:tc>
        <w:tc>
          <w:tcPr>
            <w:tcW w:w="2880" w:type="dxa"/>
            <w:tcBorders>
              <w:top w:val="single" w:sz="4" w:space="0" w:color="auto"/>
              <w:left w:val="nil"/>
              <w:bottom w:val="single" w:sz="4" w:space="0" w:color="auto"/>
              <w:right w:val="single" w:sz="4" w:space="0" w:color="auto"/>
            </w:tcBorders>
            <w:shd w:val="clear" w:color="auto" w:fill="auto"/>
            <w:vAlign w:val="center"/>
            <w:hideMark/>
          </w:tcPr>
          <w:p w:rsidR="00EB24A1" w:rsidRPr="000F3A73" w:rsidRDefault="00EB24A1" w:rsidP="00075B11">
            <w:pPr>
              <w:spacing w:after="0" w:line="240" w:lineRule="auto"/>
              <w:jc w:val="center"/>
              <w:rPr>
                <w:rFonts w:eastAsia="Times New Roman" w:cs="Arial"/>
                <w:sz w:val="18"/>
                <w:szCs w:val="18"/>
              </w:rPr>
            </w:pPr>
            <w:r w:rsidRPr="000F3A73">
              <w:rPr>
                <w:rFonts w:eastAsia="Times New Roman" w:cs="Arial"/>
                <w:sz w:val="18"/>
                <w:szCs w:val="18"/>
              </w:rPr>
              <w:t xml:space="preserve">(a)                                                                                      Description of Collection Activity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B24A1" w:rsidRPr="000F3A73" w:rsidRDefault="00EB24A1" w:rsidP="00075B11">
            <w:pPr>
              <w:spacing w:after="0" w:line="240" w:lineRule="auto"/>
              <w:jc w:val="center"/>
              <w:rPr>
                <w:rFonts w:eastAsia="Times New Roman" w:cs="Arial"/>
                <w:sz w:val="18"/>
                <w:szCs w:val="18"/>
              </w:rPr>
            </w:pPr>
            <w:r w:rsidRPr="000F3A73">
              <w:rPr>
                <w:rFonts w:eastAsia="Times New Roman" w:cs="Arial"/>
                <w:sz w:val="18"/>
                <w:szCs w:val="18"/>
              </w:rPr>
              <w:t>(b)          Instrument Type</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EB24A1" w:rsidRPr="000F3A73" w:rsidRDefault="00EB24A1" w:rsidP="00075B11">
            <w:pPr>
              <w:spacing w:after="0" w:line="240" w:lineRule="auto"/>
              <w:jc w:val="center"/>
              <w:rPr>
                <w:rFonts w:eastAsia="Times New Roman" w:cs="Arial"/>
                <w:sz w:val="18"/>
                <w:szCs w:val="18"/>
              </w:rPr>
            </w:pPr>
            <w:r w:rsidRPr="000F3A73">
              <w:rPr>
                <w:rFonts w:eastAsia="Times New Roman" w:cs="Arial"/>
                <w:sz w:val="18"/>
                <w:szCs w:val="18"/>
              </w:rPr>
              <w:t>(c )                                         No. Respon-dents</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rsidR="00EB24A1" w:rsidRPr="000F3A73" w:rsidRDefault="00EB24A1" w:rsidP="00075B11">
            <w:pPr>
              <w:spacing w:after="0" w:line="240" w:lineRule="auto"/>
              <w:jc w:val="center"/>
              <w:rPr>
                <w:rFonts w:eastAsia="Times New Roman" w:cs="Arial"/>
                <w:sz w:val="18"/>
                <w:szCs w:val="18"/>
              </w:rPr>
            </w:pPr>
            <w:r w:rsidRPr="000F3A73">
              <w:rPr>
                <w:rFonts w:eastAsia="Times New Roman" w:cs="Arial"/>
                <w:sz w:val="18"/>
                <w:szCs w:val="18"/>
              </w:rPr>
              <w:t>(d)                                                    No. Responses Per Respondent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EB24A1" w:rsidRPr="000F3A73" w:rsidRDefault="00EB24A1" w:rsidP="00075B11">
            <w:pPr>
              <w:spacing w:after="0" w:line="240" w:lineRule="auto"/>
              <w:jc w:val="center"/>
              <w:rPr>
                <w:rFonts w:eastAsia="Times New Roman" w:cs="Arial"/>
                <w:sz w:val="18"/>
                <w:szCs w:val="18"/>
              </w:rPr>
            </w:pPr>
            <w:r w:rsidRPr="000F3A73">
              <w:rPr>
                <w:rFonts w:eastAsia="Times New Roman" w:cs="Arial"/>
                <w:sz w:val="18"/>
                <w:szCs w:val="18"/>
              </w:rPr>
              <w:t>(e)                                     Total Annual Responses                                         (cxd)</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EB24A1" w:rsidRPr="000F3A73" w:rsidRDefault="00EB24A1" w:rsidP="00075B11">
            <w:pPr>
              <w:spacing w:after="0" w:line="240" w:lineRule="auto"/>
              <w:jc w:val="center"/>
              <w:rPr>
                <w:rFonts w:eastAsia="Times New Roman" w:cs="Arial"/>
                <w:sz w:val="18"/>
                <w:szCs w:val="18"/>
              </w:rPr>
            </w:pPr>
            <w:r w:rsidRPr="000F3A73">
              <w:rPr>
                <w:rFonts w:eastAsia="Times New Roman" w:cs="Arial"/>
                <w:sz w:val="18"/>
                <w:szCs w:val="18"/>
              </w:rPr>
              <w:t>(f)                               Hours Per Response</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EB24A1" w:rsidRPr="000F3A73" w:rsidRDefault="00EB24A1" w:rsidP="00075B11">
            <w:pPr>
              <w:spacing w:after="0" w:line="240" w:lineRule="auto"/>
              <w:jc w:val="center"/>
              <w:rPr>
                <w:rFonts w:eastAsia="Times New Roman" w:cs="Arial"/>
                <w:sz w:val="18"/>
                <w:szCs w:val="18"/>
              </w:rPr>
            </w:pPr>
            <w:r w:rsidRPr="000F3A73">
              <w:rPr>
                <w:rFonts w:eastAsia="Times New Roman" w:cs="Arial"/>
                <w:sz w:val="18"/>
                <w:szCs w:val="18"/>
              </w:rPr>
              <w:t>(g)                              Total Burden                                        (exf)</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075B11" w:rsidRDefault="00075B11" w:rsidP="00075B11">
            <w:pPr>
              <w:spacing w:after="0" w:line="240" w:lineRule="auto"/>
              <w:jc w:val="center"/>
              <w:rPr>
                <w:rFonts w:eastAsia="Times New Roman" w:cs="Arial"/>
                <w:sz w:val="18"/>
                <w:szCs w:val="18"/>
              </w:rPr>
            </w:pPr>
            <w:r>
              <w:rPr>
                <w:rFonts w:eastAsia="Times New Roman" w:cs="Arial"/>
                <w:sz w:val="18"/>
                <w:szCs w:val="18"/>
              </w:rPr>
              <w:t>(h)</w:t>
            </w:r>
          </w:p>
          <w:p w:rsidR="00EB24A1" w:rsidRPr="000F3A73" w:rsidRDefault="00EB24A1" w:rsidP="00075B11">
            <w:pPr>
              <w:spacing w:after="0" w:line="240" w:lineRule="auto"/>
              <w:jc w:val="center"/>
              <w:rPr>
                <w:rFonts w:eastAsia="Times New Roman" w:cs="Arial"/>
                <w:sz w:val="18"/>
                <w:szCs w:val="18"/>
              </w:rPr>
            </w:pPr>
            <w:r w:rsidRPr="000F3A73">
              <w:rPr>
                <w:rFonts w:eastAsia="Times New Roman" w:cs="Arial"/>
                <w:sz w:val="18"/>
                <w:szCs w:val="18"/>
              </w:rPr>
              <w:t>Estimated Annual Burden hours (g/3years)</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075B11" w:rsidRDefault="00075B11" w:rsidP="00075B11">
            <w:pPr>
              <w:spacing w:after="0" w:line="240" w:lineRule="auto"/>
              <w:jc w:val="center"/>
              <w:rPr>
                <w:rFonts w:eastAsia="Times New Roman" w:cs="Arial"/>
                <w:sz w:val="18"/>
                <w:szCs w:val="18"/>
              </w:rPr>
            </w:pPr>
            <w:r>
              <w:rPr>
                <w:rFonts w:eastAsia="Times New Roman" w:cs="Arial"/>
                <w:sz w:val="18"/>
                <w:szCs w:val="18"/>
              </w:rPr>
              <w:t>(i)</w:t>
            </w:r>
          </w:p>
          <w:p w:rsidR="00EB24A1" w:rsidRPr="000F3A73" w:rsidRDefault="00EB24A1" w:rsidP="00075B11">
            <w:pPr>
              <w:spacing w:after="0" w:line="240" w:lineRule="auto"/>
              <w:jc w:val="center"/>
              <w:rPr>
                <w:rFonts w:eastAsia="Times New Roman" w:cs="Arial"/>
                <w:sz w:val="18"/>
                <w:szCs w:val="18"/>
              </w:rPr>
            </w:pPr>
            <w:r w:rsidRPr="000F3A73">
              <w:rPr>
                <w:rFonts w:eastAsia="Times New Roman" w:cs="Arial"/>
                <w:sz w:val="18"/>
                <w:szCs w:val="18"/>
              </w:rPr>
              <w:t>Hourly Wage Rate</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EB24A1" w:rsidRPr="000F3A73" w:rsidRDefault="00075B11" w:rsidP="00075B11">
            <w:pPr>
              <w:spacing w:after="0" w:line="240" w:lineRule="auto"/>
              <w:jc w:val="center"/>
              <w:rPr>
                <w:rFonts w:eastAsia="Times New Roman" w:cs="Arial"/>
                <w:sz w:val="18"/>
                <w:szCs w:val="18"/>
              </w:rPr>
            </w:pPr>
            <w:r>
              <w:rPr>
                <w:rFonts w:eastAsia="Times New Roman" w:cs="Arial"/>
                <w:sz w:val="18"/>
                <w:szCs w:val="18"/>
              </w:rPr>
              <w:t>Annual Cost to Respondent (hxi</w:t>
            </w:r>
            <w:r w:rsidR="00EB24A1" w:rsidRPr="000F3A73">
              <w:rPr>
                <w:rFonts w:eastAsia="Times New Roman" w:cs="Arial"/>
                <w:sz w:val="18"/>
                <w:szCs w:val="18"/>
              </w:rPr>
              <w:t>)</w:t>
            </w:r>
          </w:p>
        </w:tc>
      </w:tr>
      <w:tr w:rsidR="00EB24A1" w:rsidRPr="000317FD" w:rsidTr="00075B11">
        <w:trPr>
          <w:trHeight w:val="240"/>
        </w:trPr>
        <w:tc>
          <w:tcPr>
            <w:tcW w:w="14135" w:type="dxa"/>
            <w:gridSpan w:val="1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B24A1" w:rsidRPr="000F3A73" w:rsidRDefault="00EB24A1" w:rsidP="00075B11">
            <w:pPr>
              <w:spacing w:after="0" w:line="240" w:lineRule="auto"/>
              <w:jc w:val="center"/>
              <w:rPr>
                <w:rFonts w:eastAsia="Times New Roman" w:cs="Arial"/>
                <w:b/>
                <w:bCs/>
                <w:sz w:val="18"/>
                <w:szCs w:val="18"/>
              </w:rPr>
            </w:pPr>
            <w:r w:rsidRPr="000F3A73">
              <w:rPr>
                <w:rFonts w:eastAsia="Times New Roman" w:cs="Arial"/>
                <w:b/>
                <w:bCs/>
                <w:sz w:val="18"/>
                <w:szCs w:val="18"/>
              </w:rPr>
              <w:t>Individual/Household (Parents SFSP Participants) Reporting</w:t>
            </w:r>
          </w:p>
        </w:tc>
      </w:tr>
      <w:tr w:rsidR="00EB24A1" w:rsidRPr="000317FD" w:rsidTr="00075B11">
        <w:trPr>
          <w:trHeight w:val="319"/>
        </w:trPr>
        <w:tc>
          <w:tcPr>
            <w:tcW w:w="1445" w:type="dxa"/>
            <w:tcBorders>
              <w:top w:val="nil"/>
              <w:left w:val="single" w:sz="4" w:space="0" w:color="auto"/>
              <w:bottom w:val="nil"/>
              <w:right w:val="single" w:sz="4" w:space="0" w:color="auto"/>
            </w:tcBorders>
            <w:shd w:val="clear" w:color="auto" w:fill="FFD85B"/>
            <w:noWrap/>
            <w:vAlign w:val="bottom"/>
            <w:hideMark/>
          </w:tcPr>
          <w:p w:rsidR="00EB24A1" w:rsidRPr="000F3A73" w:rsidRDefault="00EB24A1" w:rsidP="00075B11">
            <w:pPr>
              <w:spacing w:after="0" w:line="240" w:lineRule="auto"/>
              <w:rPr>
                <w:rFonts w:eastAsia="Times New Roman" w:cs="Arial"/>
                <w:sz w:val="20"/>
                <w:szCs w:val="20"/>
              </w:rPr>
            </w:pPr>
          </w:p>
        </w:tc>
        <w:tc>
          <w:tcPr>
            <w:tcW w:w="288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Pretest (expert providers of backpack program)</w:t>
            </w:r>
          </w:p>
        </w:tc>
        <w:tc>
          <w:tcPr>
            <w:tcW w:w="126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Survey</w:t>
            </w:r>
          </w:p>
        </w:tc>
        <w:tc>
          <w:tcPr>
            <w:tcW w:w="906" w:type="dxa"/>
            <w:gridSpan w:val="2"/>
            <w:tcBorders>
              <w:top w:val="nil"/>
              <w:left w:val="nil"/>
              <w:bottom w:val="single" w:sz="4" w:space="0" w:color="auto"/>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5</w:t>
            </w:r>
          </w:p>
        </w:tc>
        <w:tc>
          <w:tcPr>
            <w:tcW w:w="1254" w:type="dxa"/>
            <w:tcBorders>
              <w:top w:val="nil"/>
              <w:left w:val="nil"/>
              <w:bottom w:val="single" w:sz="4" w:space="0" w:color="auto"/>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1.00</w:t>
            </w:r>
          </w:p>
        </w:tc>
        <w:tc>
          <w:tcPr>
            <w:tcW w:w="990" w:type="dxa"/>
            <w:tcBorders>
              <w:top w:val="nil"/>
              <w:left w:val="nil"/>
              <w:bottom w:val="single" w:sz="4" w:space="0" w:color="auto"/>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5.00</w:t>
            </w:r>
          </w:p>
        </w:tc>
        <w:tc>
          <w:tcPr>
            <w:tcW w:w="990" w:type="dxa"/>
            <w:tcBorders>
              <w:top w:val="nil"/>
              <w:left w:val="nil"/>
              <w:bottom w:val="single" w:sz="4" w:space="0" w:color="auto"/>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1.000</w:t>
            </w:r>
          </w:p>
        </w:tc>
        <w:tc>
          <w:tcPr>
            <w:tcW w:w="99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5.00</w:t>
            </w:r>
          </w:p>
        </w:tc>
        <w:tc>
          <w:tcPr>
            <w:tcW w:w="99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1.7</w:t>
            </w:r>
          </w:p>
        </w:tc>
        <w:tc>
          <w:tcPr>
            <w:tcW w:w="99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xml:space="preserve"> $   27.00 </w:t>
            </w:r>
          </w:p>
        </w:tc>
        <w:tc>
          <w:tcPr>
            <w:tcW w:w="144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 xml:space="preserve"> $   45.00 </w:t>
            </w:r>
          </w:p>
        </w:tc>
      </w:tr>
      <w:tr w:rsidR="00EB24A1" w:rsidRPr="000317FD" w:rsidTr="00075B11">
        <w:trPr>
          <w:trHeight w:val="510"/>
        </w:trPr>
        <w:tc>
          <w:tcPr>
            <w:tcW w:w="1445" w:type="dxa"/>
            <w:tcBorders>
              <w:top w:val="nil"/>
              <w:left w:val="single" w:sz="4" w:space="0" w:color="auto"/>
              <w:bottom w:val="nil"/>
              <w:right w:val="single" w:sz="4" w:space="0" w:color="auto"/>
            </w:tcBorders>
            <w:shd w:val="clear" w:color="auto" w:fill="FFD85B"/>
            <w:noWrap/>
            <w:vAlign w:val="bottom"/>
            <w:hideMark/>
          </w:tcPr>
          <w:p w:rsidR="00EB24A1" w:rsidRPr="000F3A73" w:rsidRDefault="00EB24A1" w:rsidP="00075B11">
            <w:pPr>
              <w:spacing w:after="0" w:line="240" w:lineRule="auto"/>
              <w:rPr>
                <w:rFonts w:eastAsia="Times New Roman" w:cs="Arial"/>
                <w:sz w:val="20"/>
                <w:szCs w:val="20"/>
              </w:rPr>
            </w:pPr>
            <w:r>
              <w:rPr>
                <w:rFonts w:eastAsia="Times New Roman" w:cs="Arial"/>
                <w:sz w:val="20"/>
                <w:szCs w:val="20"/>
              </w:rPr>
              <w:t xml:space="preserve">Individuals/ </w:t>
            </w:r>
            <w:r w:rsidRPr="000F3A73">
              <w:rPr>
                <w:rFonts w:eastAsia="Times New Roman" w:cs="Arial"/>
                <w:sz w:val="20"/>
                <w:szCs w:val="20"/>
              </w:rPr>
              <w:t>Households</w:t>
            </w:r>
          </w:p>
        </w:tc>
        <w:tc>
          <w:tcPr>
            <w:tcW w:w="2880" w:type="dxa"/>
            <w:tcBorders>
              <w:top w:val="nil"/>
              <w:left w:val="nil"/>
              <w:bottom w:val="single" w:sz="4" w:space="0" w:color="auto"/>
              <w:right w:val="single" w:sz="4" w:space="0" w:color="auto"/>
            </w:tcBorders>
            <w:shd w:val="clear" w:color="auto" w:fill="auto"/>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Initial recruitment for backpack and meal delivery</w:t>
            </w:r>
            <w:r w:rsidRPr="000F3A73">
              <w:rPr>
                <w:rFonts w:eastAsia="Times New Roman" w:cs="Arial"/>
                <w:sz w:val="20"/>
                <w:szCs w:val="20"/>
                <w:vertAlign w:val="superscript"/>
              </w:rPr>
              <w:t>a</w:t>
            </w:r>
          </w:p>
        </w:tc>
        <w:tc>
          <w:tcPr>
            <w:tcW w:w="1260" w:type="dxa"/>
            <w:tcBorders>
              <w:top w:val="nil"/>
              <w:left w:val="nil"/>
              <w:bottom w:val="single" w:sz="4" w:space="0" w:color="auto"/>
              <w:right w:val="single" w:sz="4" w:space="0" w:color="auto"/>
            </w:tcBorders>
            <w:shd w:val="clear" w:color="auto" w:fill="auto"/>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Initial turnout to pick up backpacks</w:t>
            </w:r>
          </w:p>
        </w:tc>
        <w:tc>
          <w:tcPr>
            <w:tcW w:w="906" w:type="dxa"/>
            <w:gridSpan w:val="2"/>
            <w:tcBorders>
              <w:top w:val="nil"/>
              <w:left w:val="nil"/>
              <w:bottom w:val="single" w:sz="4" w:space="0" w:color="auto"/>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1,000</w:t>
            </w:r>
          </w:p>
        </w:tc>
        <w:tc>
          <w:tcPr>
            <w:tcW w:w="1254" w:type="dxa"/>
            <w:tcBorders>
              <w:top w:val="nil"/>
              <w:left w:val="nil"/>
              <w:bottom w:val="single" w:sz="4" w:space="0" w:color="auto"/>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1.00</w:t>
            </w:r>
          </w:p>
        </w:tc>
        <w:tc>
          <w:tcPr>
            <w:tcW w:w="990" w:type="dxa"/>
            <w:tcBorders>
              <w:top w:val="nil"/>
              <w:left w:val="nil"/>
              <w:bottom w:val="single" w:sz="4" w:space="0" w:color="auto"/>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1,000.00</w:t>
            </w:r>
          </w:p>
        </w:tc>
        <w:tc>
          <w:tcPr>
            <w:tcW w:w="990" w:type="dxa"/>
            <w:tcBorders>
              <w:top w:val="nil"/>
              <w:left w:val="nil"/>
              <w:bottom w:val="single" w:sz="4" w:space="0" w:color="auto"/>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0.08</w:t>
            </w:r>
          </w:p>
        </w:tc>
        <w:tc>
          <w:tcPr>
            <w:tcW w:w="99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Pr>
                <w:rFonts w:eastAsia="Times New Roman" w:cs="Arial"/>
                <w:sz w:val="20"/>
                <w:szCs w:val="20"/>
              </w:rPr>
              <w:t>83.50</w:t>
            </w:r>
          </w:p>
        </w:tc>
        <w:tc>
          <w:tcPr>
            <w:tcW w:w="99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Pr>
                <w:rFonts w:eastAsia="Times New Roman" w:cs="Arial"/>
                <w:sz w:val="20"/>
                <w:szCs w:val="20"/>
              </w:rPr>
              <w:t>27.8</w:t>
            </w:r>
          </w:p>
        </w:tc>
        <w:tc>
          <w:tcPr>
            <w:tcW w:w="99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xml:space="preserve"> $     8.00 </w:t>
            </w:r>
          </w:p>
        </w:tc>
        <w:tc>
          <w:tcPr>
            <w:tcW w:w="144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 xml:space="preserve"> $ 222.67 </w:t>
            </w:r>
          </w:p>
        </w:tc>
      </w:tr>
      <w:tr w:rsidR="00EB24A1" w:rsidRPr="000317FD" w:rsidTr="00075B11">
        <w:trPr>
          <w:trHeight w:val="1140"/>
        </w:trPr>
        <w:tc>
          <w:tcPr>
            <w:tcW w:w="1445" w:type="dxa"/>
            <w:tcBorders>
              <w:top w:val="nil"/>
              <w:left w:val="single" w:sz="4" w:space="0" w:color="auto"/>
              <w:bottom w:val="nil"/>
              <w:right w:val="single" w:sz="4" w:space="0" w:color="auto"/>
            </w:tcBorders>
            <w:shd w:val="clear" w:color="auto" w:fill="FFD85B"/>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w:t>
            </w:r>
          </w:p>
        </w:tc>
        <w:tc>
          <w:tcPr>
            <w:tcW w:w="2880" w:type="dxa"/>
            <w:tcBorders>
              <w:top w:val="nil"/>
              <w:left w:val="nil"/>
              <w:bottom w:val="single" w:sz="4" w:space="0" w:color="auto"/>
              <w:right w:val="single" w:sz="4" w:space="0" w:color="auto"/>
            </w:tcBorders>
            <w:shd w:val="clear" w:color="auto" w:fill="auto"/>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Parents interviewed once in summer 2011 or parents from supplemental sample interviewed once in summer 2012</w:t>
            </w:r>
            <w:r w:rsidRPr="000F3A73">
              <w:rPr>
                <w:rFonts w:eastAsia="Times New Roman" w:cs="Arial"/>
                <w:sz w:val="20"/>
                <w:szCs w:val="20"/>
                <w:vertAlign w:val="superscript"/>
              </w:rPr>
              <w:t>b</w:t>
            </w:r>
          </w:p>
        </w:tc>
        <w:tc>
          <w:tcPr>
            <w:tcW w:w="1260" w:type="dxa"/>
            <w:tcBorders>
              <w:top w:val="nil"/>
              <w:left w:val="nil"/>
              <w:bottom w:val="nil"/>
              <w:right w:val="single" w:sz="4" w:space="0" w:color="auto"/>
            </w:tcBorders>
            <w:shd w:val="clear" w:color="auto" w:fill="auto"/>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telephone interview</w:t>
            </w:r>
          </w:p>
        </w:tc>
        <w:tc>
          <w:tcPr>
            <w:tcW w:w="906" w:type="dxa"/>
            <w:gridSpan w:val="2"/>
            <w:tcBorders>
              <w:top w:val="nil"/>
              <w:left w:val="nil"/>
              <w:bottom w:val="nil"/>
              <w:right w:val="nil"/>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213</w:t>
            </w:r>
          </w:p>
        </w:tc>
        <w:tc>
          <w:tcPr>
            <w:tcW w:w="1254" w:type="dxa"/>
            <w:tcBorders>
              <w:top w:val="nil"/>
              <w:left w:val="single" w:sz="4" w:space="0" w:color="auto"/>
              <w:bottom w:val="nil"/>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1.00</w:t>
            </w:r>
          </w:p>
        </w:tc>
        <w:tc>
          <w:tcPr>
            <w:tcW w:w="990" w:type="dxa"/>
            <w:tcBorders>
              <w:top w:val="nil"/>
              <w:left w:val="nil"/>
              <w:bottom w:val="single" w:sz="4" w:space="0" w:color="auto"/>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213.00</w:t>
            </w:r>
          </w:p>
        </w:tc>
        <w:tc>
          <w:tcPr>
            <w:tcW w:w="990" w:type="dxa"/>
            <w:tcBorders>
              <w:top w:val="nil"/>
              <w:left w:val="nil"/>
              <w:bottom w:val="nil"/>
              <w:right w:val="nil"/>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0.50</w:t>
            </w:r>
          </w:p>
        </w:tc>
        <w:tc>
          <w:tcPr>
            <w:tcW w:w="990" w:type="dxa"/>
            <w:tcBorders>
              <w:top w:val="nil"/>
              <w:left w:val="single" w:sz="4" w:space="0" w:color="auto"/>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106.50</w:t>
            </w:r>
          </w:p>
        </w:tc>
        <w:tc>
          <w:tcPr>
            <w:tcW w:w="99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35.5</w:t>
            </w:r>
          </w:p>
        </w:tc>
        <w:tc>
          <w:tcPr>
            <w:tcW w:w="99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xml:space="preserve"> $     8.00 </w:t>
            </w:r>
          </w:p>
        </w:tc>
        <w:tc>
          <w:tcPr>
            <w:tcW w:w="144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 xml:space="preserve"> $ 284.00 </w:t>
            </w:r>
          </w:p>
        </w:tc>
      </w:tr>
      <w:tr w:rsidR="00EB24A1" w:rsidRPr="000317FD" w:rsidTr="00075B11">
        <w:trPr>
          <w:trHeight w:val="720"/>
        </w:trPr>
        <w:tc>
          <w:tcPr>
            <w:tcW w:w="1445" w:type="dxa"/>
            <w:tcBorders>
              <w:top w:val="nil"/>
              <w:left w:val="single" w:sz="4" w:space="0" w:color="auto"/>
              <w:bottom w:val="nil"/>
              <w:right w:val="single" w:sz="4" w:space="0" w:color="auto"/>
            </w:tcBorders>
            <w:shd w:val="clear" w:color="auto" w:fill="FFD85B"/>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w:t>
            </w:r>
          </w:p>
        </w:tc>
        <w:tc>
          <w:tcPr>
            <w:tcW w:w="2880" w:type="dxa"/>
            <w:tcBorders>
              <w:top w:val="nil"/>
              <w:left w:val="nil"/>
              <w:bottom w:val="single" w:sz="4" w:space="0" w:color="auto"/>
              <w:right w:val="single" w:sz="4" w:space="0" w:color="auto"/>
            </w:tcBorders>
            <w:shd w:val="clear" w:color="auto" w:fill="auto"/>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Parents interviewed twice in 2011 only or parents from 2012 supplemental sample interviewed twice in 612</w:t>
            </w:r>
            <w:r w:rsidRPr="000F3A73">
              <w:rPr>
                <w:rFonts w:eastAsia="Times New Roman" w:cs="Arial"/>
                <w:sz w:val="20"/>
                <w:szCs w:val="20"/>
                <w:vertAlign w:val="superscript"/>
              </w:rPr>
              <w:t>b</w:t>
            </w:r>
          </w:p>
        </w:tc>
        <w:tc>
          <w:tcPr>
            <w:tcW w:w="1260" w:type="dxa"/>
            <w:tcBorders>
              <w:top w:val="single" w:sz="4" w:space="0" w:color="auto"/>
              <w:left w:val="nil"/>
              <w:bottom w:val="nil"/>
              <w:right w:val="single" w:sz="4" w:space="0" w:color="auto"/>
            </w:tcBorders>
            <w:shd w:val="clear" w:color="auto" w:fill="auto"/>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telephone interview</w:t>
            </w:r>
          </w:p>
        </w:tc>
        <w:tc>
          <w:tcPr>
            <w:tcW w:w="906" w:type="dxa"/>
            <w:gridSpan w:val="2"/>
            <w:tcBorders>
              <w:top w:val="single" w:sz="4" w:space="0" w:color="auto"/>
              <w:left w:val="nil"/>
              <w:bottom w:val="nil"/>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612</w:t>
            </w:r>
          </w:p>
        </w:tc>
        <w:tc>
          <w:tcPr>
            <w:tcW w:w="1254" w:type="dxa"/>
            <w:tcBorders>
              <w:top w:val="single" w:sz="4" w:space="0" w:color="auto"/>
              <w:left w:val="nil"/>
              <w:bottom w:val="nil"/>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2.00</w:t>
            </w:r>
          </w:p>
        </w:tc>
        <w:tc>
          <w:tcPr>
            <w:tcW w:w="990" w:type="dxa"/>
            <w:tcBorders>
              <w:top w:val="nil"/>
              <w:left w:val="nil"/>
              <w:bottom w:val="single" w:sz="4" w:space="0" w:color="auto"/>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1,224.00</w:t>
            </w:r>
          </w:p>
        </w:tc>
        <w:tc>
          <w:tcPr>
            <w:tcW w:w="990" w:type="dxa"/>
            <w:tcBorders>
              <w:top w:val="single" w:sz="4" w:space="0" w:color="auto"/>
              <w:left w:val="nil"/>
              <w:bottom w:val="nil"/>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0.50</w:t>
            </w:r>
          </w:p>
        </w:tc>
        <w:tc>
          <w:tcPr>
            <w:tcW w:w="99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612.00</w:t>
            </w:r>
          </w:p>
        </w:tc>
        <w:tc>
          <w:tcPr>
            <w:tcW w:w="99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204.0</w:t>
            </w:r>
          </w:p>
        </w:tc>
        <w:tc>
          <w:tcPr>
            <w:tcW w:w="99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xml:space="preserve"> $     8.00 </w:t>
            </w:r>
          </w:p>
        </w:tc>
        <w:tc>
          <w:tcPr>
            <w:tcW w:w="144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 xml:space="preserve"> $ 1,632.00 </w:t>
            </w:r>
          </w:p>
        </w:tc>
      </w:tr>
      <w:tr w:rsidR="00EB24A1" w:rsidRPr="000317FD" w:rsidTr="00075B11">
        <w:trPr>
          <w:trHeight w:val="480"/>
        </w:trPr>
        <w:tc>
          <w:tcPr>
            <w:tcW w:w="1445" w:type="dxa"/>
            <w:tcBorders>
              <w:top w:val="nil"/>
              <w:left w:val="single" w:sz="4" w:space="0" w:color="auto"/>
              <w:bottom w:val="nil"/>
              <w:right w:val="single" w:sz="4" w:space="0" w:color="auto"/>
            </w:tcBorders>
            <w:shd w:val="clear" w:color="auto" w:fill="FFD85B"/>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w:t>
            </w:r>
          </w:p>
        </w:tc>
        <w:tc>
          <w:tcPr>
            <w:tcW w:w="2880" w:type="dxa"/>
            <w:tcBorders>
              <w:top w:val="single" w:sz="4" w:space="0" w:color="auto"/>
              <w:left w:val="nil"/>
              <w:bottom w:val="single" w:sz="4" w:space="0" w:color="auto"/>
              <w:right w:val="nil"/>
            </w:tcBorders>
            <w:shd w:val="clear" w:color="auto" w:fill="auto"/>
            <w:vAlign w:val="bottom"/>
            <w:hideMark/>
          </w:tcPr>
          <w:p w:rsidR="00EB24A1" w:rsidRPr="000F3A73" w:rsidRDefault="00EB24A1" w:rsidP="00075B11">
            <w:pPr>
              <w:spacing w:after="0" w:line="240" w:lineRule="auto"/>
              <w:rPr>
                <w:rFonts w:eastAsia="Times New Roman" w:cs="Arial"/>
                <w:color w:val="000000"/>
                <w:sz w:val="20"/>
                <w:szCs w:val="20"/>
              </w:rPr>
            </w:pPr>
            <w:r w:rsidRPr="000F3A73">
              <w:rPr>
                <w:rFonts w:eastAsia="Times New Roman" w:cs="Arial"/>
                <w:color w:val="000000"/>
                <w:sz w:val="20"/>
                <w:szCs w:val="20"/>
              </w:rPr>
              <w:t>Parents interviewed twice in 2011 and the same parents interviewed once in 2012</w:t>
            </w:r>
            <w:r w:rsidRPr="000F3A73">
              <w:rPr>
                <w:rFonts w:eastAsia="Times New Roman" w:cs="Arial"/>
                <w:color w:val="000000"/>
                <w:sz w:val="20"/>
                <w:szCs w:val="20"/>
                <w:vertAlign w:val="superscript"/>
              </w:rPr>
              <w:t>b</w:t>
            </w:r>
          </w:p>
        </w:tc>
        <w:tc>
          <w:tcPr>
            <w:tcW w:w="1260" w:type="dxa"/>
            <w:tcBorders>
              <w:top w:val="single" w:sz="4" w:space="0" w:color="auto"/>
              <w:left w:val="single" w:sz="4" w:space="0" w:color="auto"/>
              <w:bottom w:val="nil"/>
              <w:right w:val="single" w:sz="4" w:space="0" w:color="auto"/>
            </w:tcBorders>
            <w:shd w:val="clear" w:color="auto" w:fill="auto"/>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telephone interview</w:t>
            </w:r>
          </w:p>
        </w:tc>
        <w:tc>
          <w:tcPr>
            <w:tcW w:w="906" w:type="dxa"/>
            <w:gridSpan w:val="2"/>
            <w:tcBorders>
              <w:top w:val="single" w:sz="4" w:space="0" w:color="auto"/>
              <w:left w:val="nil"/>
              <w:bottom w:val="nil"/>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20</w:t>
            </w:r>
          </w:p>
        </w:tc>
        <w:tc>
          <w:tcPr>
            <w:tcW w:w="1254" w:type="dxa"/>
            <w:tcBorders>
              <w:top w:val="single" w:sz="4" w:space="0" w:color="auto"/>
              <w:left w:val="nil"/>
              <w:bottom w:val="nil"/>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3.00</w:t>
            </w:r>
          </w:p>
        </w:tc>
        <w:tc>
          <w:tcPr>
            <w:tcW w:w="990" w:type="dxa"/>
            <w:tcBorders>
              <w:top w:val="nil"/>
              <w:left w:val="nil"/>
              <w:bottom w:val="single" w:sz="4" w:space="0" w:color="auto"/>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60.00</w:t>
            </w:r>
          </w:p>
        </w:tc>
        <w:tc>
          <w:tcPr>
            <w:tcW w:w="990" w:type="dxa"/>
            <w:tcBorders>
              <w:top w:val="single" w:sz="4" w:space="0" w:color="auto"/>
              <w:left w:val="nil"/>
              <w:bottom w:val="nil"/>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0.50</w:t>
            </w:r>
          </w:p>
        </w:tc>
        <w:tc>
          <w:tcPr>
            <w:tcW w:w="99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30.00</w:t>
            </w:r>
          </w:p>
        </w:tc>
        <w:tc>
          <w:tcPr>
            <w:tcW w:w="99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10.0</w:t>
            </w:r>
          </w:p>
        </w:tc>
        <w:tc>
          <w:tcPr>
            <w:tcW w:w="99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xml:space="preserve"> $     8.00 </w:t>
            </w:r>
          </w:p>
        </w:tc>
        <w:tc>
          <w:tcPr>
            <w:tcW w:w="144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 xml:space="preserve"> $       80.00 </w:t>
            </w:r>
          </w:p>
        </w:tc>
      </w:tr>
      <w:tr w:rsidR="00EB24A1" w:rsidRPr="000317FD" w:rsidTr="00075B11">
        <w:trPr>
          <w:trHeight w:val="480"/>
        </w:trPr>
        <w:tc>
          <w:tcPr>
            <w:tcW w:w="1445" w:type="dxa"/>
            <w:tcBorders>
              <w:top w:val="nil"/>
              <w:left w:val="single" w:sz="4" w:space="0" w:color="auto"/>
              <w:bottom w:val="nil"/>
              <w:right w:val="single" w:sz="4" w:space="0" w:color="auto"/>
            </w:tcBorders>
            <w:shd w:val="clear" w:color="auto" w:fill="FFD85B"/>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w:t>
            </w:r>
          </w:p>
        </w:tc>
        <w:tc>
          <w:tcPr>
            <w:tcW w:w="2880" w:type="dxa"/>
            <w:tcBorders>
              <w:top w:val="single" w:sz="4" w:space="0" w:color="auto"/>
              <w:left w:val="nil"/>
              <w:bottom w:val="nil"/>
              <w:right w:val="single" w:sz="4" w:space="0" w:color="auto"/>
            </w:tcBorders>
            <w:shd w:val="clear" w:color="auto" w:fill="auto"/>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Parents interviewed twice in 2011 and twice in 2012</w:t>
            </w:r>
            <w:r w:rsidRPr="000F3A73">
              <w:rPr>
                <w:rFonts w:eastAsia="Times New Roman" w:cs="Arial"/>
                <w:sz w:val="20"/>
                <w:szCs w:val="20"/>
                <w:vertAlign w:val="superscript"/>
              </w:rPr>
              <w:t>b</w:t>
            </w:r>
          </w:p>
        </w:tc>
        <w:tc>
          <w:tcPr>
            <w:tcW w:w="1260" w:type="dxa"/>
            <w:tcBorders>
              <w:top w:val="single" w:sz="4" w:space="0" w:color="auto"/>
              <w:left w:val="nil"/>
              <w:bottom w:val="nil"/>
              <w:right w:val="single" w:sz="4" w:space="0" w:color="auto"/>
            </w:tcBorders>
            <w:shd w:val="clear" w:color="auto" w:fill="auto"/>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telephone interview</w:t>
            </w:r>
          </w:p>
        </w:tc>
        <w:tc>
          <w:tcPr>
            <w:tcW w:w="906" w:type="dxa"/>
            <w:gridSpan w:val="2"/>
            <w:tcBorders>
              <w:top w:val="single" w:sz="4" w:space="0" w:color="auto"/>
              <w:left w:val="nil"/>
              <w:bottom w:val="nil"/>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371</w:t>
            </w:r>
          </w:p>
        </w:tc>
        <w:tc>
          <w:tcPr>
            <w:tcW w:w="1254" w:type="dxa"/>
            <w:tcBorders>
              <w:top w:val="single" w:sz="4" w:space="0" w:color="auto"/>
              <w:left w:val="nil"/>
              <w:bottom w:val="nil"/>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4.00</w:t>
            </w:r>
          </w:p>
        </w:tc>
        <w:tc>
          <w:tcPr>
            <w:tcW w:w="990" w:type="dxa"/>
            <w:tcBorders>
              <w:top w:val="nil"/>
              <w:left w:val="nil"/>
              <w:bottom w:val="nil"/>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1,484.00</w:t>
            </w:r>
          </w:p>
        </w:tc>
        <w:tc>
          <w:tcPr>
            <w:tcW w:w="990" w:type="dxa"/>
            <w:tcBorders>
              <w:top w:val="single" w:sz="4" w:space="0" w:color="auto"/>
              <w:left w:val="nil"/>
              <w:bottom w:val="nil"/>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0.50</w:t>
            </w:r>
          </w:p>
        </w:tc>
        <w:tc>
          <w:tcPr>
            <w:tcW w:w="990" w:type="dxa"/>
            <w:tcBorders>
              <w:top w:val="nil"/>
              <w:left w:val="nil"/>
              <w:bottom w:val="nil"/>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742.00</w:t>
            </w:r>
          </w:p>
        </w:tc>
        <w:tc>
          <w:tcPr>
            <w:tcW w:w="99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247.3</w:t>
            </w:r>
          </w:p>
        </w:tc>
        <w:tc>
          <w:tcPr>
            <w:tcW w:w="99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xml:space="preserve"> $     8.00 </w:t>
            </w:r>
          </w:p>
        </w:tc>
        <w:tc>
          <w:tcPr>
            <w:tcW w:w="1440" w:type="dxa"/>
            <w:tcBorders>
              <w:top w:val="nil"/>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 xml:space="preserve"> $  1,978.67 </w:t>
            </w:r>
          </w:p>
        </w:tc>
      </w:tr>
      <w:tr w:rsidR="00EB24A1" w:rsidRPr="000317FD" w:rsidTr="00075B11">
        <w:trPr>
          <w:trHeight w:val="319"/>
        </w:trPr>
        <w:tc>
          <w:tcPr>
            <w:tcW w:w="1445" w:type="dxa"/>
            <w:tcBorders>
              <w:top w:val="nil"/>
              <w:left w:val="single" w:sz="4" w:space="0" w:color="auto"/>
              <w:bottom w:val="nil"/>
              <w:right w:val="single" w:sz="4" w:space="0" w:color="auto"/>
            </w:tcBorders>
            <w:shd w:val="clear" w:color="auto" w:fill="FFD85B"/>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w:t>
            </w:r>
          </w:p>
        </w:tc>
        <w:tc>
          <w:tcPr>
            <w:tcW w:w="2880" w:type="dxa"/>
            <w:tcBorders>
              <w:top w:val="single" w:sz="4" w:space="0" w:color="auto"/>
              <w:left w:val="nil"/>
              <w:bottom w:val="single" w:sz="8"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Non-responders</w:t>
            </w:r>
          </w:p>
        </w:tc>
        <w:tc>
          <w:tcPr>
            <w:tcW w:w="1260" w:type="dxa"/>
            <w:tcBorders>
              <w:top w:val="single" w:sz="4" w:space="0" w:color="auto"/>
              <w:left w:val="nil"/>
              <w:bottom w:val="single" w:sz="8"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p>
        </w:tc>
        <w:tc>
          <w:tcPr>
            <w:tcW w:w="906" w:type="dxa"/>
            <w:gridSpan w:val="2"/>
            <w:tcBorders>
              <w:top w:val="single" w:sz="4" w:space="0" w:color="auto"/>
              <w:left w:val="nil"/>
              <w:bottom w:val="single" w:sz="8" w:space="0" w:color="auto"/>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175</w:t>
            </w:r>
          </w:p>
        </w:tc>
        <w:tc>
          <w:tcPr>
            <w:tcW w:w="1254" w:type="dxa"/>
            <w:tcBorders>
              <w:top w:val="single" w:sz="4" w:space="0" w:color="auto"/>
              <w:left w:val="nil"/>
              <w:bottom w:val="single" w:sz="8" w:space="0" w:color="auto"/>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1.00</w:t>
            </w:r>
          </w:p>
        </w:tc>
        <w:tc>
          <w:tcPr>
            <w:tcW w:w="990" w:type="dxa"/>
            <w:tcBorders>
              <w:top w:val="single" w:sz="4" w:space="0" w:color="auto"/>
              <w:left w:val="nil"/>
              <w:bottom w:val="single" w:sz="8" w:space="0" w:color="auto"/>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175.00</w:t>
            </w:r>
          </w:p>
        </w:tc>
        <w:tc>
          <w:tcPr>
            <w:tcW w:w="990" w:type="dxa"/>
            <w:tcBorders>
              <w:top w:val="single" w:sz="4" w:space="0" w:color="auto"/>
              <w:left w:val="nil"/>
              <w:bottom w:val="single" w:sz="8" w:space="0" w:color="auto"/>
              <w:right w:val="single" w:sz="4" w:space="0" w:color="auto"/>
            </w:tcBorders>
            <w:shd w:val="clear" w:color="auto" w:fill="auto"/>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0.05</w:t>
            </w:r>
          </w:p>
        </w:tc>
        <w:tc>
          <w:tcPr>
            <w:tcW w:w="990" w:type="dxa"/>
            <w:tcBorders>
              <w:top w:val="single" w:sz="4" w:space="0" w:color="auto"/>
              <w:left w:val="nil"/>
              <w:bottom w:val="single" w:sz="8"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8.77</w:t>
            </w:r>
          </w:p>
        </w:tc>
        <w:tc>
          <w:tcPr>
            <w:tcW w:w="990" w:type="dxa"/>
            <w:tcBorders>
              <w:top w:val="nil"/>
              <w:left w:val="nil"/>
              <w:bottom w:val="single" w:sz="8"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2.9</w:t>
            </w:r>
          </w:p>
        </w:tc>
        <w:tc>
          <w:tcPr>
            <w:tcW w:w="990" w:type="dxa"/>
            <w:tcBorders>
              <w:top w:val="nil"/>
              <w:left w:val="nil"/>
              <w:bottom w:val="single" w:sz="8"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xml:space="preserve"> $     9.00 </w:t>
            </w:r>
          </w:p>
        </w:tc>
        <w:tc>
          <w:tcPr>
            <w:tcW w:w="1440" w:type="dxa"/>
            <w:tcBorders>
              <w:top w:val="nil"/>
              <w:left w:val="nil"/>
              <w:bottom w:val="single" w:sz="8"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 xml:space="preserve"> $     26.30 </w:t>
            </w:r>
          </w:p>
        </w:tc>
      </w:tr>
      <w:tr w:rsidR="00EB24A1" w:rsidRPr="000317FD" w:rsidTr="00075B11">
        <w:trPr>
          <w:trHeight w:val="319"/>
        </w:trPr>
        <w:tc>
          <w:tcPr>
            <w:tcW w:w="1445" w:type="dxa"/>
            <w:tcBorders>
              <w:top w:val="nil"/>
              <w:left w:val="single" w:sz="4" w:space="0" w:color="auto"/>
              <w:bottom w:val="single" w:sz="4" w:space="0" w:color="auto"/>
              <w:right w:val="single" w:sz="4" w:space="0" w:color="auto"/>
            </w:tcBorders>
            <w:shd w:val="clear" w:color="auto" w:fill="FFD85B"/>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w:t>
            </w:r>
          </w:p>
        </w:tc>
        <w:tc>
          <w:tcPr>
            <w:tcW w:w="2880" w:type="dxa"/>
            <w:tcBorders>
              <w:top w:val="nil"/>
              <w:left w:val="nil"/>
              <w:bottom w:val="single" w:sz="4" w:space="0" w:color="auto"/>
              <w:right w:val="single" w:sz="4" w:space="0" w:color="auto"/>
            </w:tcBorders>
            <w:shd w:val="clear" w:color="auto" w:fill="FFD85B"/>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Total Individual/Household Burden</w:t>
            </w:r>
          </w:p>
        </w:tc>
        <w:tc>
          <w:tcPr>
            <w:tcW w:w="1260" w:type="dxa"/>
            <w:tcBorders>
              <w:top w:val="nil"/>
              <w:left w:val="nil"/>
              <w:bottom w:val="single" w:sz="4" w:space="0" w:color="auto"/>
              <w:right w:val="single" w:sz="4" w:space="0" w:color="auto"/>
            </w:tcBorders>
            <w:shd w:val="clear" w:color="auto" w:fill="FFD85B"/>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 </w:t>
            </w:r>
          </w:p>
        </w:tc>
        <w:tc>
          <w:tcPr>
            <w:tcW w:w="906" w:type="dxa"/>
            <w:gridSpan w:val="2"/>
            <w:tcBorders>
              <w:top w:val="nil"/>
              <w:left w:val="nil"/>
              <w:bottom w:val="single" w:sz="4" w:space="0" w:color="auto"/>
              <w:right w:val="single" w:sz="4" w:space="0" w:color="auto"/>
            </w:tcBorders>
            <w:shd w:val="clear" w:color="auto" w:fill="FFD85B"/>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1,005</w:t>
            </w:r>
          </w:p>
        </w:tc>
        <w:tc>
          <w:tcPr>
            <w:tcW w:w="1254" w:type="dxa"/>
            <w:tcBorders>
              <w:top w:val="nil"/>
              <w:left w:val="nil"/>
              <w:bottom w:val="single" w:sz="4" w:space="0" w:color="auto"/>
              <w:right w:val="single" w:sz="4" w:space="0" w:color="auto"/>
            </w:tcBorders>
            <w:shd w:val="clear" w:color="auto" w:fill="FFD85B"/>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4.14</w:t>
            </w:r>
          </w:p>
        </w:tc>
        <w:tc>
          <w:tcPr>
            <w:tcW w:w="990" w:type="dxa"/>
            <w:tcBorders>
              <w:top w:val="nil"/>
              <w:left w:val="nil"/>
              <w:bottom w:val="single" w:sz="4" w:space="0" w:color="auto"/>
              <w:right w:val="single" w:sz="4" w:space="0" w:color="auto"/>
            </w:tcBorders>
            <w:shd w:val="clear" w:color="auto" w:fill="FFD85B"/>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4,161.00</w:t>
            </w:r>
          </w:p>
        </w:tc>
        <w:tc>
          <w:tcPr>
            <w:tcW w:w="990" w:type="dxa"/>
            <w:tcBorders>
              <w:top w:val="nil"/>
              <w:left w:val="nil"/>
              <w:bottom w:val="single" w:sz="4" w:space="0" w:color="auto"/>
              <w:right w:val="single" w:sz="4" w:space="0" w:color="auto"/>
            </w:tcBorders>
            <w:shd w:val="clear" w:color="auto" w:fill="FFD85B"/>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0.38</w:t>
            </w:r>
          </w:p>
        </w:tc>
        <w:tc>
          <w:tcPr>
            <w:tcW w:w="990" w:type="dxa"/>
            <w:tcBorders>
              <w:top w:val="nil"/>
              <w:left w:val="nil"/>
              <w:bottom w:val="single" w:sz="4" w:space="0" w:color="auto"/>
              <w:right w:val="single" w:sz="4" w:space="0" w:color="auto"/>
            </w:tcBorders>
            <w:shd w:val="clear" w:color="auto" w:fill="FFD85B"/>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1,587.77</w:t>
            </w:r>
          </w:p>
        </w:tc>
        <w:tc>
          <w:tcPr>
            <w:tcW w:w="990" w:type="dxa"/>
            <w:tcBorders>
              <w:top w:val="nil"/>
              <w:left w:val="nil"/>
              <w:bottom w:val="single" w:sz="4" w:space="0" w:color="auto"/>
              <w:right w:val="single" w:sz="4" w:space="0" w:color="auto"/>
            </w:tcBorders>
            <w:shd w:val="clear" w:color="auto" w:fill="FFD85B"/>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529.3</w:t>
            </w:r>
          </w:p>
        </w:tc>
        <w:tc>
          <w:tcPr>
            <w:tcW w:w="990" w:type="dxa"/>
            <w:tcBorders>
              <w:top w:val="nil"/>
              <w:left w:val="nil"/>
              <w:bottom w:val="single" w:sz="4" w:space="0" w:color="auto"/>
              <w:right w:val="single" w:sz="4" w:space="0" w:color="auto"/>
            </w:tcBorders>
            <w:shd w:val="clear" w:color="auto" w:fill="FFD85B"/>
            <w:noWrap/>
            <w:vAlign w:val="bottom"/>
            <w:hideMark/>
          </w:tcPr>
          <w:p w:rsidR="00EB24A1" w:rsidRPr="000F3A73" w:rsidRDefault="00EB24A1" w:rsidP="00075B11">
            <w:pPr>
              <w:spacing w:after="0" w:line="240" w:lineRule="auto"/>
              <w:rPr>
                <w:rFonts w:eastAsia="Times New Roman" w:cs="Arial"/>
                <w:bCs/>
                <w:sz w:val="20"/>
                <w:szCs w:val="20"/>
              </w:rPr>
            </w:pPr>
            <w:r w:rsidRPr="000F3A73">
              <w:rPr>
                <w:rFonts w:eastAsia="Times New Roman" w:cs="Arial"/>
                <w:bCs/>
                <w:sz w:val="20"/>
                <w:szCs w:val="20"/>
              </w:rPr>
              <w:t xml:space="preserve"> $   10.00 </w:t>
            </w:r>
          </w:p>
        </w:tc>
        <w:tc>
          <w:tcPr>
            <w:tcW w:w="1440" w:type="dxa"/>
            <w:tcBorders>
              <w:top w:val="nil"/>
              <w:left w:val="nil"/>
              <w:bottom w:val="single" w:sz="4" w:space="0" w:color="auto"/>
              <w:right w:val="single" w:sz="4" w:space="0" w:color="auto"/>
            </w:tcBorders>
            <w:shd w:val="clear" w:color="auto" w:fill="FFD85B"/>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 xml:space="preserve">$ 4,268.64 </w:t>
            </w:r>
          </w:p>
        </w:tc>
      </w:tr>
    </w:tbl>
    <w:p w:rsidR="00EB24A1" w:rsidRDefault="00EB24A1" w:rsidP="00EB24A1">
      <w:pPr>
        <w:spacing w:after="0" w:line="240" w:lineRule="auto"/>
        <w:rPr>
          <w:sz w:val="18"/>
          <w:szCs w:val="18"/>
          <w:vertAlign w:val="superscript"/>
        </w:rPr>
      </w:pPr>
    </w:p>
    <w:p w:rsidR="00EB24A1" w:rsidRPr="000F3A73" w:rsidRDefault="00EB24A1" w:rsidP="00EB24A1">
      <w:pPr>
        <w:rPr>
          <w:sz w:val="18"/>
          <w:szCs w:val="18"/>
        </w:rPr>
      </w:pPr>
      <w:r w:rsidRPr="000F3A73">
        <w:rPr>
          <w:sz w:val="18"/>
          <w:szCs w:val="18"/>
          <w:vertAlign w:val="superscript"/>
        </w:rPr>
        <w:t>a</w:t>
      </w:r>
      <w:r w:rsidRPr="000F3A73">
        <w:rPr>
          <w:sz w:val="18"/>
          <w:szCs w:val="18"/>
        </w:rPr>
        <w:t>Accounts for initial contact with parents to describe study</w:t>
      </w:r>
      <w:r>
        <w:rPr>
          <w:sz w:val="18"/>
          <w:szCs w:val="18"/>
        </w:rPr>
        <w:t>.</w:t>
      </w:r>
    </w:p>
    <w:p w:rsidR="00EB24A1" w:rsidRPr="000F3A73" w:rsidRDefault="00EB24A1" w:rsidP="00EB24A1">
      <w:pPr>
        <w:spacing w:after="0" w:line="240" w:lineRule="auto"/>
        <w:rPr>
          <w:sz w:val="18"/>
          <w:szCs w:val="18"/>
        </w:rPr>
      </w:pPr>
      <w:r w:rsidRPr="000F3A73">
        <w:rPr>
          <w:sz w:val="18"/>
          <w:szCs w:val="18"/>
          <w:vertAlign w:val="superscript"/>
        </w:rPr>
        <w:t>b</w:t>
      </w:r>
      <w:r w:rsidRPr="000F3A73">
        <w:rPr>
          <w:sz w:val="18"/>
          <w:szCs w:val="18"/>
        </w:rPr>
        <w:t>Estimates are based on the sample size and response rate assumptions in Tables B.1.1 and B.1.2 of Part B and were derived as follows. Of the 804 responding parents in 2011, an expected 612 will also complete the second interview, leaving 192 who complete only one interview. Similarly, of the 412 responding parents in the 2012 supplemental sample, an expected 391 will complete the second interview, leaving 21 who complete only one interview. This brings the total number of parents completing just one interview to 213. Since only those parents who completed two interviews in 2011 are followed into 2012, the number of parents originally selected in 2012 who complete exactly two interviews are those who do not complete any interviews in 2012, (i.e., an expected 221). Since the number of parents in the 2012 supplemental sample that complete two interviews is expected to be 391, the total number or parents completing exactly two interviews is 612. Finally, note that only those parents originally selected in 2011 can complete three or four interviews. Based on the assumptions of Tables B.1.1 and B.1.2, the expected numbers are 20 and 371, respectively.</w:t>
      </w:r>
    </w:p>
    <w:p w:rsidR="00EB24A1" w:rsidRPr="000F3A73" w:rsidRDefault="00EB24A1" w:rsidP="00EB24A1">
      <w:pPr>
        <w:spacing w:line="480" w:lineRule="auto"/>
        <w:rPr>
          <w:b/>
          <w:sz w:val="20"/>
          <w:szCs w:val="20"/>
        </w:rPr>
      </w:pPr>
      <w:r w:rsidRPr="000F3A73">
        <w:rPr>
          <w:b/>
          <w:sz w:val="20"/>
          <w:szCs w:val="20"/>
        </w:rPr>
        <w:lastRenderedPageBreak/>
        <w:t>Table A.12.1</w:t>
      </w:r>
      <w:r>
        <w:rPr>
          <w:b/>
          <w:sz w:val="20"/>
          <w:szCs w:val="20"/>
        </w:rPr>
        <w:t>b</w:t>
      </w:r>
      <w:r w:rsidRPr="000F3A73">
        <w:rPr>
          <w:b/>
          <w:sz w:val="20"/>
          <w:szCs w:val="20"/>
        </w:rPr>
        <w:t xml:space="preserve">  Estimated annualized respondent hour burden and annualized cost to respondents</w:t>
      </w:r>
      <w:r>
        <w:rPr>
          <w:b/>
          <w:sz w:val="20"/>
          <w:szCs w:val="20"/>
        </w:rPr>
        <w:t xml:space="preserve"> – state agencies reporting </w:t>
      </w:r>
    </w:p>
    <w:tbl>
      <w:tblPr>
        <w:tblW w:w="0" w:type="auto"/>
        <w:tblInd w:w="-720" w:type="dxa"/>
        <w:tblLayout w:type="fixed"/>
        <w:tblLook w:val="0000"/>
      </w:tblPr>
      <w:tblGrid>
        <w:gridCol w:w="1380"/>
        <w:gridCol w:w="55"/>
        <w:gridCol w:w="2916"/>
        <w:gridCol w:w="1260"/>
        <w:gridCol w:w="900"/>
        <w:gridCol w:w="1169"/>
        <w:gridCol w:w="990"/>
        <w:gridCol w:w="991"/>
        <w:gridCol w:w="1170"/>
        <w:gridCol w:w="989"/>
        <w:gridCol w:w="991"/>
        <w:gridCol w:w="1260"/>
      </w:tblGrid>
      <w:tr w:rsidR="00075B11" w:rsidRPr="000F3A73" w:rsidTr="00075B11">
        <w:trPr>
          <w:trHeight w:val="732"/>
        </w:trPr>
        <w:tc>
          <w:tcPr>
            <w:tcW w:w="1435" w:type="dxa"/>
            <w:gridSpan w:val="2"/>
            <w:tcBorders>
              <w:top w:val="single" w:sz="6" w:space="0" w:color="auto"/>
              <w:left w:val="single" w:sz="6" w:space="0" w:color="auto"/>
              <w:bottom w:val="single" w:sz="6" w:space="0" w:color="auto"/>
              <w:right w:val="single" w:sz="6" w:space="0" w:color="auto"/>
            </w:tcBorders>
          </w:tcPr>
          <w:p w:rsidR="00075B11" w:rsidRPr="000F3A73" w:rsidRDefault="00075B11" w:rsidP="00075B11">
            <w:pPr>
              <w:autoSpaceDE w:val="0"/>
              <w:autoSpaceDN w:val="0"/>
              <w:adjustRightInd w:val="0"/>
              <w:spacing w:after="0" w:line="240" w:lineRule="auto"/>
              <w:jc w:val="center"/>
              <w:rPr>
                <w:rFonts w:cs="Arial Narrow"/>
                <w:color w:val="000000"/>
                <w:sz w:val="18"/>
                <w:szCs w:val="18"/>
              </w:rPr>
            </w:pPr>
            <w:r w:rsidRPr="000F3A73">
              <w:rPr>
                <w:rFonts w:cs="Arial Narrow"/>
                <w:color w:val="000000"/>
                <w:sz w:val="18"/>
                <w:szCs w:val="18"/>
              </w:rPr>
              <w:t>Affected Public</w:t>
            </w:r>
          </w:p>
        </w:tc>
        <w:tc>
          <w:tcPr>
            <w:tcW w:w="2916" w:type="dxa"/>
            <w:tcBorders>
              <w:top w:val="single" w:sz="6" w:space="0" w:color="auto"/>
              <w:left w:val="single" w:sz="6" w:space="0" w:color="auto"/>
              <w:bottom w:val="single" w:sz="6" w:space="0" w:color="auto"/>
              <w:right w:val="single" w:sz="6" w:space="0" w:color="auto"/>
            </w:tcBorders>
          </w:tcPr>
          <w:p w:rsidR="00075B11" w:rsidRPr="000F3A73" w:rsidRDefault="00075B11" w:rsidP="00075B11">
            <w:pPr>
              <w:autoSpaceDE w:val="0"/>
              <w:autoSpaceDN w:val="0"/>
              <w:adjustRightInd w:val="0"/>
              <w:spacing w:after="0" w:line="240" w:lineRule="auto"/>
              <w:jc w:val="center"/>
              <w:rPr>
                <w:rFonts w:cs="Arial Narrow"/>
                <w:color w:val="000000"/>
                <w:sz w:val="18"/>
                <w:szCs w:val="18"/>
              </w:rPr>
            </w:pPr>
            <w:r w:rsidRPr="000F3A73">
              <w:rPr>
                <w:rFonts w:cs="Arial Narrow"/>
                <w:color w:val="000000"/>
                <w:sz w:val="18"/>
                <w:szCs w:val="18"/>
              </w:rPr>
              <w:t xml:space="preserve">(a)  </w:t>
            </w:r>
          </w:p>
          <w:p w:rsidR="00075B11" w:rsidRPr="000F3A73" w:rsidRDefault="00075B11" w:rsidP="00075B11">
            <w:pPr>
              <w:autoSpaceDE w:val="0"/>
              <w:autoSpaceDN w:val="0"/>
              <w:adjustRightInd w:val="0"/>
              <w:spacing w:after="0" w:line="240" w:lineRule="auto"/>
              <w:jc w:val="center"/>
              <w:rPr>
                <w:rFonts w:cs="Arial Narrow"/>
                <w:color w:val="000000"/>
                <w:sz w:val="18"/>
                <w:szCs w:val="18"/>
              </w:rPr>
            </w:pPr>
            <w:r w:rsidRPr="000F3A73">
              <w:rPr>
                <w:rFonts w:cs="Arial Narrow"/>
                <w:color w:val="000000"/>
                <w:sz w:val="18"/>
                <w:szCs w:val="18"/>
              </w:rPr>
              <w:t xml:space="preserve">Description of Record keeping Activity </w:t>
            </w:r>
          </w:p>
        </w:tc>
        <w:tc>
          <w:tcPr>
            <w:tcW w:w="1260" w:type="dxa"/>
            <w:tcBorders>
              <w:top w:val="single" w:sz="6" w:space="0" w:color="auto"/>
              <w:left w:val="single" w:sz="6" w:space="0" w:color="auto"/>
              <w:bottom w:val="single" w:sz="6" w:space="0" w:color="auto"/>
              <w:right w:val="single" w:sz="6" w:space="0" w:color="auto"/>
            </w:tcBorders>
          </w:tcPr>
          <w:p w:rsidR="00075B11" w:rsidRPr="000F3A73" w:rsidRDefault="00075B11" w:rsidP="00075B11">
            <w:pPr>
              <w:autoSpaceDE w:val="0"/>
              <w:autoSpaceDN w:val="0"/>
              <w:adjustRightInd w:val="0"/>
              <w:spacing w:after="0" w:line="240" w:lineRule="auto"/>
              <w:jc w:val="center"/>
              <w:rPr>
                <w:rFonts w:cs="Arial Narrow"/>
                <w:color w:val="000000"/>
                <w:sz w:val="18"/>
                <w:szCs w:val="18"/>
              </w:rPr>
            </w:pPr>
            <w:r w:rsidRPr="000F3A73">
              <w:rPr>
                <w:rFonts w:cs="Arial Narrow"/>
                <w:color w:val="000000"/>
                <w:sz w:val="18"/>
                <w:szCs w:val="18"/>
              </w:rPr>
              <w:t>(b)          Instrument Type</w:t>
            </w:r>
          </w:p>
        </w:tc>
        <w:tc>
          <w:tcPr>
            <w:tcW w:w="900" w:type="dxa"/>
            <w:tcBorders>
              <w:top w:val="single" w:sz="6" w:space="0" w:color="auto"/>
              <w:left w:val="single" w:sz="6" w:space="0" w:color="auto"/>
              <w:bottom w:val="single" w:sz="6" w:space="0" w:color="auto"/>
              <w:right w:val="single" w:sz="6" w:space="0" w:color="auto"/>
            </w:tcBorders>
          </w:tcPr>
          <w:p w:rsidR="00075B11" w:rsidRPr="000F3A73" w:rsidRDefault="00075B11" w:rsidP="00075B11">
            <w:pPr>
              <w:autoSpaceDE w:val="0"/>
              <w:autoSpaceDN w:val="0"/>
              <w:adjustRightInd w:val="0"/>
              <w:spacing w:after="0" w:line="240" w:lineRule="auto"/>
              <w:jc w:val="center"/>
              <w:rPr>
                <w:rFonts w:cs="Arial Narrow"/>
                <w:color w:val="000000"/>
                <w:sz w:val="18"/>
                <w:szCs w:val="18"/>
              </w:rPr>
            </w:pPr>
            <w:r w:rsidRPr="000F3A73">
              <w:rPr>
                <w:rFonts w:cs="Arial Narrow"/>
                <w:color w:val="000000"/>
                <w:sz w:val="18"/>
                <w:szCs w:val="18"/>
              </w:rPr>
              <w:t>(c )                                         No. Respon-dents</w:t>
            </w:r>
          </w:p>
        </w:tc>
        <w:tc>
          <w:tcPr>
            <w:tcW w:w="1169" w:type="dxa"/>
            <w:tcBorders>
              <w:top w:val="single" w:sz="6" w:space="0" w:color="auto"/>
              <w:left w:val="single" w:sz="6" w:space="0" w:color="auto"/>
              <w:bottom w:val="single" w:sz="6" w:space="0" w:color="auto"/>
              <w:right w:val="single" w:sz="6" w:space="0" w:color="auto"/>
            </w:tcBorders>
          </w:tcPr>
          <w:p w:rsidR="00075B11" w:rsidRPr="000F3A73" w:rsidRDefault="00075B11" w:rsidP="00075B11">
            <w:pPr>
              <w:autoSpaceDE w:val="0"/>
              <w:autoSpaceDN w:val="0"/>
              <w:adjustRightInd w:val="0"/>
              <w:spacing w:after="0" w:line="240" w:lineRule="auto"/>
              <w:jc w:val="center"/>
              <w:rPr>
                <w:rFonts w:cs="Arial Narrow"/>
                <w:color w:val="000000"/>
                <w:sz w:val="18"/>
                <w:szCs w:val="18"/>
              </w:rPr>
            </w:pPr>
            <w:r w:rsidRPr="000F3A73">
              <w:rPr>
                <w:rFonts w:cs="Arial Narrow"/>
                <w:color w:val="000000"/>
                <w:sz w:val="18"/>
                <w:szCs w:val="18"/>
              </w:rPr>
              <w:t>(d)                                                    No. Responses Per Respondent</w:t>
            </w:r>
          </w:p>
        </w:tc>
        <w:tc>
          <w:tcPr>
            <w:tcW w:w="990" w:type="dxa"/>
            <w:tcBorders>
              <w:top w:val="single" w:sz="6" w:space="0" w:color="auto"/>
              <w:left w:val="single" w:sz="6" w:space="0" w:color="auto"/>
              <w:bottom w:val="single" w:sz="6" w:space="0" w:color="auto"/>
              <w:right w:val="single" w:sz="6" w:space="0" w:color="auto"/>
            </w:tcBorders>
          </w:tcPr>
          <w:p w:rsidR="00075B11" w:rsidRPr="000F3A73" w:rsidRDefault="00075B11" w:rsidP="00075B11">
            <w:pPr>
              <w:autoSpaceDE w:val="0"/>
              <w:autoSpaceDN w:val="0"/>
              <w:adjustRightInd w:val="0"/>
              <w:spacing w:after="0" w:line="240" w:lineRule="auto"/>
              <w:jc w:val="center"/>
              <w:rPr>
                <w:rFonts w:cs="Arial Narrow"/>
                <w:color w:val="000000"/>
                <w:sz w:val="18"/>
                <w:szCs w:val="18"/>
              </w:rPr>
            </w:pPr>
            <w:r w:rsidRPr="000F3A73">
              <w:rPr>
                <w:rFonts w:cs="Arial Narrow"/>
                <w:color w:val="000000"/>
                <w:sz w:val="18"/>
                <w:szCs w:val="18"/>
              </w:rPr>
              <w:t>(e)                                     Total Annual Responses                                         (cxd)</w:t>
            </w:r>
          </w:p>
        </w:tc>
        <w:tc>
          <w:tcPr>
            <w:tcW w:w="991" w:type="dxa"/>
            <w:tcBorders>
              <w:top w:val="single" w:sz="6" w:space="0" w:color="auto"/>
              <w:left w:val="single" w:sz="6" w:space="0" w:color="auto"/>
              <w:bottom w:val="single" w:sz="6" w:space="0" w:color="auto"/>
              <w:right w:val="single" w:sz="6" w:space="0" w:color="auto"/>
            </w:tcBorders>
          </w:tcPr>
          <w:p w:rsidR="00075B11" w:rsidRPr="000F3A73" w:rsidRDefault="00075B11" w:rsidP="00075B11">
            <w:pPr>
              <w:autoSpaceDE w:val="0"/>
              <w:autoSpaceDN w:val="0"/>
              <w:adjustRightInd w:val="0"/>
              <w:spacing w:after="0" w:line="240" w:lineRule="auto"/>
              <w:jc w:val="center"/>
              <w:rPr>
                <w:rFonts w:cs="Arial Narrow"/>
                <w:color w:val="000000"/>
                <w:sz w:val="18"/>
                <w:szCs w:val="18"/>
              </w:rPr>
            </w:pPr>
            <w:r w:rsidRPr="000F3A73">
              <w:rPr>
                <w:rFonts w:cs="Arial Narrow"/>
                <w:color w:val="000000"/>
                <w:sz w:val="18"/>
                <w:szCs w:val="18"/>
              </w:rPr>
              <w:t>(f)                               Hours Per Response</w:t>
            </w:r>
          </w:p>
        </w:tc>
        <w:tc>
          <w:tcPr>
            <w:tcW w:w="1170" w:type="dxa"/>
            <w:tcBorders>
              <w:top w:val="single" w:sz="6" w:space="0" w:color="auto"/>
              <w:left w:val="single" w:sz="6" w:space="0" w:color="auto"/>
              <w:bottom w:val="single" w:sz="6" w:space="0" w:color="auto"/>
              <w:right w:val="single" w:sz="6" w:space="0" w:color="auto"/>
            </w:tcBorders>
          </w:tcPr>
          <w:p w:rsidR="00075B11" w:rsidRPr="000F3A73" w:rsidRDefault="00075B11" w:rsidP="00075B11">
            <w:pPr>
              <w:autoSpaceDE w:val="0"/>
              <w:autoSpaceDN w:val="0"/>
              <w:adjustRightInd w:val="0"/>
              <w:spacing w:after="0" w:line="240" w:lineRule="auto"/>
              <w:jc w:val="center"/>
              <w:rPr>
                <w:rFonts w:cs="Arial Narrow"/>
                <w:color w:val="000000"/>
                <w:sz w:val="18"/>
                <w:szCs w:val="18"/>
              </w:rPr>
            </w:pPr>
            <w:r w:rsidRPr="000F3A73">
              <w:rPr>
                <w:rFonts w:cs="Arial Narrow"/>
                <w:color w:val="000000"/>
                <w:sz w:val="18"/>
                <w:szCs w:val="18"/>
              </w:rPr>
              <w:t>(g)                              Total Burden                                        (exf)</w:t>
            </w:r>
          </w:p>
        </w:tc>
        <w:tc>
          <w:tcPr>
            <w:tcW w:w="989" w:type="dxa"/>
            <w:tcBorders>
              <w:top w:val="single" w:sz="6" w:space="0" w:color="auto"/>
              <w:left w:val="single" w:sz="6" w:space="0" w:color="auto"/>
              <w:bottom w:val="single" w:sz="6" w:space="0" w:color="auto"/>
              <w:right w:val="single" w:sz="6" w:space="0" w:color="auto"/>
            </w:tcBorders>
            <w:vAlign w:val="center"/>
          </w:tcPr>
          <w:p w:rsidR="00075B11" w:rsidRDefault="00075B11" w:rsidP="00075B11">
            <w:pPr>
              <w:spacing w:after="0" w:line="240" w:lineRule="auto"/>
              <w:jc w:val="center"/>
              <w:rPr>
                <w:rFonts w:eastAsia="Times New Roman" w:cs="Arial"/>
                <w:sz w:val="18"/>
                <w:szCs w:val="18"/>
              </w:rPr>
            </w:pPr>
            <w:r>
              <w:rPr>
                <w:rFonts w:eastAsia="Times New Roman" w:cs="Arial"/>
                <w:sz w:val="18"/>
                <w:szCs w:val="18"/>
              </w:rPr>
              <w:t>(h)</w:t>
            </w:r>
          </w:p>
          <w:p w:rsidR="00075B11" w:rsidRPr="000F3A73" w:rsidRDefault="00075B11" w:rsidP="00075B11">
            <w:pPr>
              <w:spacing w:after="0" w:line="240" w:lineRule="auto"/>
              <w:jc w:val="center"/>
              <w:rPr>
                <w:rFonts w:eastAsia="Times New Roman" w:cs="Arial"/>
                <w:sz w:val="18"/>
                <w:szCs w:val="18"/>
              </w:rPr>
            </w:pPr>
            <w:r w:rsidRPr="000F3A73">
              <w:rPr>
                <w:rFonts w:eastAsia="Times New Roman" w:cs="Arial"/>
                <w:sz w:val="18"/>
                <w:szCs w:val="18"/>
              </w:rPr>
              <w:t>Estimated Annual Burden hours (g/3years)</w:t>
            </w:r>
          </w:p>
        </w:tc>
        <w:tc>
          <w:tcPr>
            <w:tcW w:w="991" w:type="dxa"/>
            <w:tcBorders>
              <w:top w:val="single" w:sz="6" w:space="0" w:color="auto"/>
              <w:left w:val="single" w:sz="6" w:space="0" w:color="auto"/>
              <w:bottom w:val="single" w:sz="6" w:space="0" w:color="auto"/>
              <w:right w:val="single" w:sz="6" w:space="0" w:color="auto"/>
            </w:tcBorders>
            <w:vAlign w:val="center"/>
          </w:tcPr>
          <w:p w:rsidR="00075B11" w:rsidRDefault="00075B11" w:rsidP="00075B11">
            <w:pPr>
              <w:spacing w:after="0" w:line="240" w:lineRule="auto"/>
              <w:jc w:val="center"/>
              <w:rPr>
                <w:rFonts w:eastAsia="Times New Roman" w:cs="Arial"/>
                <w:sz w:val="18"/>
                <w:szCs w:val="18"/>
              </w:rPr>
            </w:pPr>
            <w:r>
              <w:rPr>
                <w:rFonts w:eastAsia="Times New Roman" w:cs="Arial"/>
                <w:sz w:val="18"/>
                <w:szCs w:val="18"/>
              </w:rPr>
              <w:t>(i)</w:t>
            </w:r>
          </w:p>
          <w:p w:rsidR="00075B11" w:rsidRPr="000F3A73" w:rsidRDefault="00075B11" w:rsidP="00075B11">
            <w:pPr>
              <w:spacing w:after="0" w:line="240" w:lineRule="auto"/>
              <w:jc w:val="center"/>
              <w:rPr>
                <w:rFonts w:eastAsia="Times New Roman" w:cs="Arial"/>
                <w:sz w:val="18"/>
                <w:szCs w:val="18"/>
              </w:rPr>
            </w:pPr>
            <w:r w:rsidRPr="000F3A73">
              <w:rPr>
                <w:rFonts w:eastAsia="Times New Roman" w:cs="Arial"/>
                <w:sz w:val="18"/>
                <w:szCs w:val="18"/>
              </w:rPr>
              <w:t>Hourly Wage Rate</w:t>
            </w:r>
          </w:p>
        </w:tc>
        <w:tc>
          <w:tcPr>
            <w:tcW w:w="1260" w:type="dxa"/>
            <w:tcBorders>
              <w:top w:val="single" w:sz="6" w:space="0" w:color="auto"/>
              <w:left w:val="single" w:sz="6" w:space="0" w:color="auto"/>
              <w:bottom w:val="single" w:sz="6" w:space="0" w:color="auto"/>
              <w:right w:val="single" w:sz="6" w:space="0" w:color="auto"/>
            </w:tcBorders>
            <w:vAlign w:val="center"/>
          </w:tcPr>
          <w:p w:rsidR="00075B11" w:rsidRPr="000F3A73" w:rsidRDefault="00075B11" w:rsidP="00075B11">
            <w:pPr>
              <w:spacing w:after="0" w:line="240" w:lineRule="auto"/>
              <w:jc w:val="center"/>
              <w:rPr>
                <w:rFonts w:eastAsia="Times New Roman" w:cs="Arial"/>
                <w:sz w:val="18"/>
                <w:szCs w:val="18"/>
              </w:rPr>
            </w:pPr>
            <w:r>
              <w:rPr>
                <w:rFonts w:eastAsia="Times New Roman" w:cs="Arial"/>
                <w:sz w:val="18"/>
                <w:szCs w:val="18"/>
              </w:rPr>
              <w:t>Annual Cost to Respondent (hxi</w:t>
            </w:r>
            <w:r w:rsidRPr="000F3A73">
              <w:rPr>
                <w:rFonts w:eastAsia="Times New Roman" w:cs="Arial"/>
                <w:sz w:val="18"/>
                <w:szCs w:val="18"/>
              </w:rPr>
              <w:t>)</w:t>
            </w:r>
          </w:p>
        </w:tc>
      </w:tr>
      <w:tr w:rsidR="00EB24A1" w:rsidRPr="000F3A73" w:rsidTr="00075B11">
        <w:trPr>
          <w:trHeight w:val="228"/>
        </w:trPr>
        <w:tc>
          <w:tcPr>
            <w:tcW w:w="4351" w:type="dxa"/>
            <w:gridSpan w:val="3"/>
            <w:tcBorders>
              <w:top w:val="single" w:sz="6" w:space="0" w:color="auto"/>
              <w:left w:val="single" w:sz="6" w:space="0" w:color="auto"/>
              <w:bottom w:val="single" w:sz="6" w:space="0" w:color="auto"/>
              <w:right w:val="nil"/>
            </w:tcBorders>
          </w:tcPr>
          <w:p w:rsidR="00EB24A1" w:rsidRPr="000F3A73" w:rsidRDefault="00EB24A1" w:rsidP="00075B11">
            <w:pPr>
              <w:autoSpaceDE w:val="0"/>
              <w:autoSpaceDN w:val="0"/>
              <w:adjustRightInd w:val="0"/>
              <w:spacing w:after="0" w:line="240" w:lineRule="auto"/>
              <w:rPr>
                <w:rFonts w:cs="Arial"/>
                <w:b/>
                <w:bCs/>
                <w:color w:val="000000"/>
                <w:sz w:val="20"/>
                <w:szCs w:val="20"/>
              </w:rPr>
            </w:pPr>
          </w:p>
        </w:tc>
        <w:tc>
          <w:tcPr>
            <w:tcW w:w="1260" w:type="dxa"/>
            <w:tcBorders>
              <w:top w:val="single" w:sz="6" w:space="0" w:color="auto"/>
              <w:left w:val="nil"/>
              <w:bottom w:val="single" w:sz="6" w:space="0" w:color="auto"/>
              <w:right w:val="nil"/>
            </w:tcBorders>
          </w:tcPr>
          <w:p w:rsidR="00EB24A1" w:rsidRPr="000F3A73" w:rsidRDefault="00EB24A1" w:rsidP="00075B11">
            <w:pPr>
              <w:autoSpaceDE w:val="0"/>
              <w:autoSpaceDN w:val="0"/>
              <w:adjustRightInd w:val="0"/>
              <w:spacing w:after="0" w:line="240" w:lineRule="auto"/>
              <w:jc w:val="center"/>
              <w:rPr>
                <w:rFonts w:cs="Arial"/>
                <w:b/>
                <w:bCs/>
                <w:color w:val="000000"/>
                <w:sz w:val="20"/>
                <w:szCs w:val="20"/>
              </w:rPr>
            </w:pPr>
          </w:p>
        </w:tc>
        <w:tc>
          <w:tcPr>
            <w:tcW w:w="3059" w:type="dxa"/>
            <w:gridSpan w:val="3"/>
            <w:tcBorders>
              <w:top w:val="single" w:sz="6" w:space="0" w:color="auto"/>
              <w:left w:val="nil"/>
              <w:bottom w:val="single" w:sz="6" w:space="0" w:color="auto"/>
              <w:right w:val="nil"/>
            </w:tcBorders>
          </w:tcPr>
          <w:p w:rsidR="00EB24A1" w:rsidRPr="000F3A73" w:rsidRDefault="00EB24A1" w:rsidP="00075B11">
            <w:pPr>
              <w:autoSpaceDE w:val="0"/>
              <w:autoSpaceDN w:val="0"/>
              <w:adjustRightInd w:val="0"/>
              <w:spacing w:after="0" w:line="240" w:lineRule="auto"/>
              <w:jc w:val="center"/>
              <w:rPr>
                <w:rFonts w:cs="Arial"/>
                <w:b/>
                <w:bCs/>
                <w:color w:val="000000"/>
                <w:sz w:val="20"/>
                <w:szCs w:val="20"/>
              </w:rPr>
            </w:pPr>
            <w:r>
              <w:rPr>
                <w:rFonts w:cs="Arial"/>
                <w:b/>
                <w:bCs/>
                <w:color w:val="000000"/>
                <w:sz w:val="20"/>
                <w:szCs w:val="20"/>
              </w:rPr>
              <w:t>State Agencies Reporting</w:t>
            </w:r>
          </w:p>
        </w:tc>
        <w:tc>
          <w:tcPr>
            <w:tcW w:w="991" w:type="dxa"/>
            <w:tcBorders>
              <w:top w:val="single" w:sz="6" w:space="0" w:color="auto"/>
              <w:left w:val="nil"/>
              <w:bottom w:val="single" w:sz="6" w:space="0" w:color="auto"/>
              <w:right w:val="nil"/>
            </w:tcBorders>
          </w:tcPr>
          <w:p w:rsidR="00EB24A1" w:rsidRPr="000F3A73" w:rsidRDefault="00EB24A1" w:rsidP="00075B11">
            <w:pPr>
              <w:autoSpaceDE w:val="0"/>
              <w:autoSpaceDN w:val="0"/>
              <w:adjustRightInd w:val="0"/>
              <w:spacing w:after="0" w:line="240" w:lineRule="auto"/>
              <w:jc w:val="center"/>
              <w:rPr>
                <w:rFonts w:cs="Arial"/>
                <w:b/>
                <w:bCs/>
                <w:color w:val="000000"/>
                <w:sz w:val="20"/>
                <w:szCs w:val="20"/>
              </w:rPr>
            </w:pPr>
          </w:p>
        </w:tc>
        <w:tc>
          <w:tcPr>
            <w:tcW w:w="1170" w:type="dxa"/>
            <w:tcBorders>
              <w:top w:val="single" w:sz="6" w:space="0" w:color="auto"/>
              <w:left w:val="nil"/>
              <w:bottom w:val="single" w:sz="6" w:space="0" w:color="auto"/>
              <w:right w:val="nil"/>
            </w:tcBorders>
          </w:tcPr>
          <w:p w:rsidR="00EB24A1" w:rsidRPr="000F3A73" w:rsidRDefault="00EB24A1" w:rsidP="00075B11">
            <w:pPr>
              <w:autoSpaceDE w:val="0"/>
              <w:autoSpaceDN w:val="0"/>
              <w:adjustRightInd w:val="0"/>
              <w:spacing w:after="0" w:line="240" w:lineRule="auto"/>
              <w:jc w:val="center"/>
              <w:rPr>
                <w:rFonts w:cs="Arial"/>
                <w:b/>
                <w:bCs/>
                <w:color w:val="000000"/>
                <w:sz w:val="20"/>
                <w:szCs w:val="20"/>
              </w:rPr>
            </w:pPr>
          </w:p>
        </w:tc>
        <w:tc>
          <w:tcPr>
            <w:tcW w:w="989" w:type="dxa"/>
            <w:tcBorders>
              <w:top w:val="single" w:sz="6" w:space="0" w:color="auto"/>
              <w:left w:val="nil"/>
              <w:bottom w:val="single" w:sz="6" w:space="0" w:color="auto"/>
              <w:right w:val="nil"/>
            </w:tcBorders>
          </w:tcPr>
          <w:p w:rsidR="00EB24A1" w:rsidRPr="000F3A73" w:rsidRDefault="00EB24A1" w:rsidP="00075B11">
            <w:pPr>
              <w:autoSpaceDE w:val="0"/>
              <w:autoSpaceDN w:val="0"/>
              <w:adjustRightInd w:val="0"/>
              <w:spacing w:after="0" w:line="240" w:lineRule="auto"/>
              <w:jc w:val="center"/>
              <w:rPr>
                <w:rFonts w:cs="Arial"/>
                <w:b/>
                <w:bCs/>
                <w:color w:val="000000"/>
                <w:sz w:val="20"/>
                <w:szCs w:val="20"/>
              </w:rPr>
            </w:pPr>
          </w:p>
        </w:tc>
        <w:tc>
          <w:tcPr>
            <w:tcW w:w="991" w:type="dxa"/>
            <w:tcBorders>
              <w:top w:val="single" w:sz="6" w:space="0" w:color="auto"/>
              <w:left w:val="nil"/>
              <w:bottom w:val="single" w:sz="6" w:space="0" w:color="auto"/>
              <w:right w:val="nil"/>
            </w:tcBorders>
          </w:tcPr>
          <w:p w:rsidR="00EB24A1" w:rsidRPr="000F3A73" w:rsidRDefault="00EB24A1" w:rsidP="00075B11">
            <w:pPr>
              <w:autoSpaceDE w:val="0"/>
              <w:autoSpaceDN w:val="0"/>
              <w:adjustRightInd w:val="0"/>
              <w:spacing w:after="0" w:line="240" w:lineRule="auto"/>
              <w:jc w:val="center"/>
              <w:rPr>
                <w:rFonts w:cs="Arial"/>
                <w:b/>
                <w:bCs/>
                <w:color w:val="000000"/>
                <w:sz w:val="20"/>
                <w:szCs w:val="20"/>
              </w:rPr>
            </w:pPr>
          </w:p>
        </w:tc>
        <w:tc>
          <w:tcPr>
            <w:tcW w:w="1260" w:type="dxa"/>
            <w:tcBorders>
              <w:top w:val="single" w:sz="6" w:space="0" w:color="auto"/>
              <w:left w:val="nil"/>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center"/>
              <w:rPr>
                <w:rFonts w:cs="Arial"/>
                <w:b/>
                <w:bCs/>
                <w:color w:val="000000"/>
                <w:sz w:val="20"/>
                <w:szCs w:val="20"/>
              </w:rPr>
            </w:pPr>
          </w:p>
        </w:tc>
      </w:tr>
      <w:tr w:rsidR="00EB24A1" w:rsidRPr="000F3A73" w:rsidTr="00075B11">
        <w:trPr>
          <w:trHeight w:val="326"/>
        </w:trPr>
        <w:tc>
          <w:tcPr>
            <w:tcW w:w="1380" w:type="dxa"/>
            <w:tcBorders>
              <w:top w:val="single" w:sz="6" w:space="0" w:color="auto"/>
              <w:left w:val="single" w:sz="6" w:space="0" w:color="auto"/>
              <w:bottom w:val="single" w:sz="2" w:space="0" w:color="000000"/>
              <w:right w:val="single" w:sz="6" w:space="0" w:color="auto"/>
            </w:tcBorders>
            <w:shd w:val="clear" w:color="auto" w:fill="00FF99"/>
          </w:tcPr>
          <w:p w:rsidR="00EB24A1" w:rsidRPr="000F3A73" w:rsidRDefault="00EB24A1" w:rsidP="00075B11">
            <w:pPr>
              <w:autoSpaceDE w:val="0"/>
              <w:autoSpaceDN w:val="0"/>
              <w:adjustRightInd w:val="0"/>
              <w:spacing w:after="0" w:line="240" w:lineRule="auto"/>
              <w:rPr>
                <w:rFonts w:cs="Arial"/>
                <w:color w:val="000000"/>
                <w:sz w:val="20"/>
                <w:szCs w:val="20"/>
              </w:rPr>
            </w:pPr>
            <w:r w:rsidRPr="000F3A73">
              <w:rPr>
                <w:rFonts w:cs="Arial"/>
                <w:color w:val="000000"/>
                <w:sz w:val="20"/>
                <w:szCs w:val="20"/>
              </w:rPr>
              <w:t>State Agencies</w:t>
            </w:r>
          </w:p>
        </w:tc>
        <w:tc>
          <w:tcPr>
            <w:tcW w:w="2971" w:type="dxa"/>
            <w:gridSpan w:val="2"/>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rPr>
                <w:rFonts w:cs="Arial"/>
                <w:color w:val="000000"/>
                <w:sz w:val="20"/>
                <w:szCs w:val="20"/>
              </w:rPr>
            </w:pPr>
            <w:r w:rsidRPr="000F3A73">
              <w:rPr>
                <w:rFonts w:cs="Arial"/>
                <w:color w:val="000000"/>
                <w:sz w:val="20"/>
                <w:szCs w:val="20"/>
              </w:rPr>
              <w:t>Key informants - S</w:t>
            </w:r>
            <w:r>
              <w:rPr>
                <w:rFonts w:cs="Arial"/>
                <w:color w:val="000000"/>
                <w:sz w:val="20"/>
                <w:szCs w:val="20"/>
              </w:rPr>
              <w:t>tate grantees,  from demo 3 &amp; 4</w:t>
            </w:r>
            <w:r w:rsidRPr="00752EEF">
              <w:rPr>
                <w:rFonts w:eastAsia="Times New Roman" w:cs="Arial"/>
                <w:sz w:val="20"/>
                <w:szCs w:val="20"/>
                <w:vertAlign w:val="superscript"/>
              </w:rPr>
              <w:t>a</w:t>
            </w:r>
          </w:p>
        </w:tc>
        <w:tc>
          <w:tcPr>
            <w:tcW w:w="126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rPr>
                <w:rFonts w:cs="Arial"/>
                <w:color w:val="000000"/>
                <w:sz w:val="20"/>
                <w:szCs w:val="20"/>
              </w:rPr>
            </w:pPr>
            <w:r w:rsidRPr="000F3A73">
              <w:rPr>
                <w:rFonts w:cs="Arial"/>
                <w:color w:val="000000"/>
                <w:sz w:val="20"/>
                <w:szCs w:val="20"/>
              </w:rPr>
              <w:t>In person interview</w:t>
            </w:r>
          </w:p>
        </w:tc>
        <w:tc>
          <w:tcPr>
            <w:tcW w:w="90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6</w:t>
            </w:r>
          </w:p>
        </w:tc>
        <w:tc>
          <w:tcPr>
            <w:tcW w:w="1169"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2.00</w:t>
            </w:r>
          </w:p>
        </w:tc>
        <w:tc>
          <w:tcPr>
            <w:tcW w:w="99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12.00</w:t>
            </w:r>
          </w:p>
        </w:tc>
        <w:tc>
          <w:tcPr>
            <w:tcW w:w="991"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1.00</w:t>
            </w:r>
          </w:p>
        </w:tc>
        <w:tc>
          <w:tcPr>
            <w:tcW w:w="117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12.00</w:t>
            </w:r>
          </w:p>
        </w:tc>
        <w:tc>
          <w:tcPr>
            <w:tcW w:w="989"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bCs/>
                <w:color w:val="000000"/>
                <w:sz w:val="20"/>
                <w:szCs w:val="20"/>
              </w:rPr>
            </w:pPr>
            <w:r w:rsidRPr="000F3A73">
              <w:rPr>
                <w:rFonts w:cs="Arial"/>
                <w:bCs/>
                <w:color w:val="000000"/>
                <w:sz w:val="20"/>
                <w:szCs w:val="20"/>
              </w:rPr>
              <w:t>4</w:t>
            </w:r>
          </w:p>
        </w:tc>
        <w:tc>
          <w:tcPr>
            <w:tcW w:w="991"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rPr>
                <w:rFonts w:cs="Arial"/>
                <w:color w:val="000000"/>
                <w:sz w:val="20"/>
                <w:szCs w:val="20"/>
              </w:rPr>
            </w:pPr>
            <w:r>
              <w:rPr>
                <w:rFonts w:cs="Arial"/>
                <w:color w:val="000000"/>
                <w:sz w:val="20"/>
                <w:szCs w:val="20"/>
              </w:rPr>
              <w:t xml:space="preserve"> $      </w:t>
            </w:r>
            <w:r w:rsidRPr="000F3A73">
              <w:rPr>
                <w:rFonts w:cs="Arial"/>
                <w:color w:val="000000"/>
                <w:sz w:val="20"/>
                <w:szCs w:val="20"/>
              </w:rPr>
              <w:t xml:space="preserve">7.00 </w:t>
            </w:r>
          </w:p>
        </w:tc>
        <w:tc>
          <w:tcPr>
            <w:tcW w:w="126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bCs/>
                <w:color w:val="000000"/>
                <w:sz w:val="20"/>
                <w:szCs w:val="20"/>
              </w:rPr>
            </w:pPr>
            <w:r w:rsidRPr="000F3A73">
              <w:rPr>
                <w:rFonts w:cs="Arial"/>
                <w:bCs/>
                <w:color w:val="000000"/>
                <w:sz w:val="20"/>
                <w:szCs w:val="20"/>
              </w:rPr>
              <w:t xml:space="preserve"> $      108.00 </w:t>
            </w:r>
          </w:p>
        </w:tc>
      </w:tr>
      <w:tr w:rsidR="00EB24A1" w:rsidRPr="000F3A73" w:rsidTr="00075B11">
        <w:trPr>
          <w:trHeight w:val="326"/>
        </w:trPr>
        <w:tc>
          <w:tcPr>
            <w:tcW w:w="1380" w:type="dxa"/>
            <w:tcBorders>
              <w:top w:val="single" w:sz="2" w:space="0" w:color="000000"/>
              <w:left w:val="single" w:sz="6" w:space="0" w:color="auto"/>
              <w:bottom w:val="single" w:sz="2" w:space="0" w:color="000000"/>
              <w:right w:val="single" w:sz="6" w:space="0" w:color="auto"/>
            </w:tcBorders>
            <w:shd w:val="clear" w:color="auto" w:fill="00FF99"/>
          </w:tcPr>
          <w:p w:rsidR="00EB24A1" w:rsidRPr="000F3A73" w:rsidRDefault="00EB24A1" w:rsidP="00075B11">
            <w:pPr>
              <w:autoSpaceDE w:val="0"/>
              <w:autoSpaceDN w:val="0"/>
              <w:adjustRightInd w:val="0"/>
              <w:spacing w:after="0" w:line="240" w:lineRule="auto"/>
              <w:rPr>
                <w:rFonts w:cs="Arial"/>
                <w:color w:val="000000"/>
                <w:sz w:val="20"/>
                <w:szCs w:val="20"/>
              </w:rPr>
            </w:pPr>
            <w:r w:rsidRPr="000F3A73">
              <w:rPr>
                <w:rFonts w:cs="Arial"/>
                <w:color w:val="000000"/>
                <w:sz w:val="20"/>
                <w:szCs w:val="20"/>
              </w:rPr>
              <w:t xml:space="preserve"> </w:t>
            </w:r>
          </w:p>
        </w:tc>
        <w:tc>
          <w:tcPr>
            <w:tcW w:w="2971" w:type="dxa"/>
            <w:gridSpan w:val="2"/>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rPr>
                <w:rFonts w:cs="Arial"/>
                <w:color w:val="000000"/>
                <w:sz w:val="20"/>
                <w:szCs w:val="20"/>
              </w:rPr>
            </w:pPr>
            <w:r w:rsidRPr="000F3A73">
              <w:rPr>
                <w:rFonts w:cs="Arial"/>
                <w:color w:val="000000"/>
                <w:sz w:val="20"/>
                <w:szCs w:val="20"/>
              </w:rPr>
              <w:t>Key informants - State grantees,  from demo 1&amp; 2 interviewed in 2011</w:t>
            </w:r>
            <w:r w:rsidRPr="00752EEF">
              <w:rPr>
                <w:rFonts w:eastAsia="Times New Roman" w:cs="Arial"/>
                <w:sz w:val="20"/>
                <w:szCs w:val="20"/>
                <w:vertAlign w:val="superscript"/>
              </w:rPr>
              <w:t>a</w:t>
            </w:r>
          </w:p>
        </w:tc>
        <w:tc>
          <w:tcPr>
            <w:tcW w:w="126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rPr>
                <w:rFonts w:cs="Arial"/>
                <w:color w:val="000000"/>
                <w:sz w:val="20"/>
                <w:szCs w:val="20"/>
              </w:rPr>
            </w:pPr>
            <w:r w:rsidRPr="000F3A73">
              <w:rPr>
                <w:rFonts w:cs="Arial"/>
                <w:color w:val="000000"/>
                <w:sz w:val="20"/>
                <w:szCs w:val="20"/>
              </w:rPr>
              <w:t>In person interview</w:t>
            </w:r>
          </w:p>
        </w:tc>
        <w:tc>
          <w:tcPr>
            <w:tcW w:w="90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2</w:t>
            </w:r>
          </w:p>
        </w:tc>
        <w:tc>
          <w:tcPr>
            <w:tcW w:w="1169"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1.00</w:t>
            </w:r>
          </w:p>
        </w:tc>
        <w:tc>
          <w:tcPr>
            <w:tcW w:w="99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2.00</w:t>
            </w:r>
          </w:p>
        </w:tc>
        <w:tc>
          <w:tcPr>
            <w:tcW w:w="991"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1.00</w:t>
            </w:r>
          </w:p>
        </w:tc>
        <w:tc>
          <w:tcPr>
            <w:tcW w:w="117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2.00</w:t>
            </w:r>
          </w:p>
        </w:tc>
        <w:tc>
          <w:tcPr>
            <w:tcW w:w="989"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bCs/>
                <w:color w:val="000000"/>
                <w:sz w:val="20"/>
                <w:szCs w:val="20"/>
              </w:rPr>
            </w:pPr>
            <w:r w:rsidRPr="000F3A73">
              <w:rPr>
                <w:rFonts w:cs="Arial"/>
                <w:bCs/>
                <w:color w:val="000000"/>
                <w:sz w:val="20"/>
                <w:szCs w:val="20"/>
              </w:rPr>
              <w:t>0.7</w:t>
            </w:r>
          </w:p>
        </w:tc>
        <w:tc>
          <w:tcPr>
            <w:tcW w:w="991"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Pr>
                <w:rFonts w:cs="Arial"/>
                <w:color w:val="000000"/>
                <w:sz w:val="20"/>
                <w:szCs w:val="20"/>
              </w:rPr>
              <w:t xml:space="preserve"> $   </w:t>
            </w:r>
            <w:r w:rsidRPr="000F3A73">
              <w:rPr>
                <w:rFonts w:cs="Arial"/>
                <w:color w:val="000000"/>
                <w:sz w:val="20"/>
                <w:szCs w:val="20"/>
              </w:rPr>
              <w:t xml:space="preserve">27.00 </w:t>
            </w:r>
          </w:p>
        </w:tc>
        <w:tc>
          <w:tcPr>
            <w:tcW w:w="126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bCs/>
                <w:color w:val="000000"/>
                <w:sz w:val="20"/>
                <w:szCs w:val="20"/>
              </w:rPr>
            </w:pPr>
            <w:r w:rsidRPr="000F3A73">
              <w:rPr>
                <w:rFonts w:cs="Arial"/>
                <w:bCs/>
                <w:color w:val="000000"/>
                <w:sz w:val="20"/>
                <w:szCs w:val="20"/>
              </w:rPr>
              <w:t xml:space="preserve"> $        18.00 </w:t>
            </w:r>
          </w:p>
        </w:tc>
      </w:tr>
      <w:tr w:rsidR="00EB24A1" w:rsidRPr="000F3A73" w:rsidTr="00075B11">
        <w:trPr>
          <w:trHeight w:val="487"/>
        </w:trPr>
        <w:tc>
          <w:tcPr>
            <w:tcW w:w="1380" w:type="dxa"/>
            <w:tcBorders>
              <w:top w:val="single" w:sz="2" w:space="0" w:color="000000"/>
              <w:left w:val="single" w:sz="6" w:space="0" w:color="auto"/>
              <w:bottom w:val="single" w:sz="2" w:space="0" w:color="000000"/>
              <w:right w:val="single" w:sz="6" w:space="0" w:color="auto"/>
            </w:tcBorders>
            <w:shd w:val="clear" w:color="auto" w:fill="00FF99"/>
          </w:tcPr>
          <w:p w:rsidR="00EB24A1" w:rsidRPr="000F3A73" w:rsidRDefault="00EB24A1" w:rsidP="00075B11">
            <w:pPr>
              <w:autoSpaceDE w:val="0"/>
              <w:autoSpaceDN w:val="0"/>
              <w:adjustRightInd w:val="0"/>
              <w:spacing w:after="0" w:line="240" w:lineRule="auto"/>
              <w:jc w:val="right"/>
              <w:rPr>
                <w:rFonts w:cs="Arial"/>
                <w:color w:val="000000"/>
                <w:sz w:val="20"/>
                <w:szCs w:val="20"/>
              </w:rPr>
            </w:pPr>
          </w:p>
        </w:tc>
        <w:tc>
          <w:tcPr>
            <w:tcW w:w="2971" w:type="dxa"/>
            <w:gridSpan w:val="2"/>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rPr>
                <w:rFonts w:cs="Arial"/>
                <w:color w:val="000000"/>
                <w:sz w:val="20"/>
                <w:szCs w:val="20"/>
              </w:rPr>
            </w:pPr>
            <w:r w:rsidRPr="000F3A73">
              <w:rPr>
                <w:rFonts w:cs="Arial"/>
                <w:color w:val="000000"/>
                <w:sz w:val="20"/>
                <w:szCs w:val="20"/>
              </w:rPr>
              <w:t>State grantees (demo 3&amp;4)</w:t>
            </w:r>
            <w:r w:rsidRPr="00752EEF">
              <w:rPr>
                <w:rFonts w:eastAsia="Times New Roman" w:cs="Arial"/>
                <w:sz w:val="20"/>
                <w:szCs w:val="20"/>
                <w:vertAlign w:val="superscript"/>
              </w:rPr>
              <w:t xml:space="preserve"> a</w:t>
            </w:r>
          </w:p>
        </w:tc>
        <w:tc>
          <w:tcPr>
            <w:tcW w:w="126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rPr>
                <w:rFonts w:cs="Arial"/>
                <w:color w:val="000000"/>
                <w:sz w:val="20"/>
                <w:szCs w:val="20"/>
              </w:rPr>
            </w:pPr>
            <w:r w:rsidRPr="000F3A73">
              <w:rPr>
                <w:rFonts w:cs="Arial"/>
                <w:color w:val="000000"/>
                <w:sz w:val="20"/>
                <w:szCs w:val="20"/>
              </w:rPr>
              <w:t>Cost instrument - short</w:t>
            </w:r>
          </w:p>
        </w:tc>
        <w:tc>
          <w:tcPr>
            <w:tcW w:w="90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6</w:t>
            </w:r>
          </w:p>
        </w:tc>
        <w:tc>
          <w:tcPr>
            <w:tcW w:w="1169"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2.00</w:t>
            </w:r>
          </w:p>
        </w:tc>
        <w:tc>
          <w:tcPr>
            <w:tcW w:w="99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12.00</w:t>
            </w:r>
          </w:p>
        </w:tc>
        <w:tc>
          <w:tcPr>
            <w:tcW w:w="991"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0.7500</w:t>
            </w:r>
          </w:p>
        </w:tc>
        <w:tc>
          <w:tcPr>
            <w:tcW w:w="117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9.00</w:t>
            </w:r>
          </w:p>
        </w:tc>
        <w:tc>
          <w:tcPr>
            <w:tcW w:w="989"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bCs/>
                <w:color w:val="000000"/>
                <w:sz w:val="20"/>
                <w:szCs w:val="20"/>
              </w:rPr>
            </w:pPr>
            <w:r w:rsidRPr="000F3A73">
              <w:rPr>
                <w:rFonts w:cs="Arial"/>
                <w:bCs/>
                <w:color w:val="000000"/>
                <w:sz w:val="20"/>
                <w:szCs w:val="20"/>
              </w:rPr>
              <w:t>3</w:t>
            </w:r>
          </w:p>
        </w:tc>
        <w:tc>
          <w:tcPr>
            <w:tcW w:w="991"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Pr>
                <w:rFonts w:cs="Arial"/>
                <w:color w:val="000000"/>
                <w:sz w:val="20"/>
                <w:szCs w:val="20"/>
              </w:rPr>
              <w:t xml:space="preserve"> $   </w:t>
            </w:r>
            <w:r w:rsidRPr="000F3A73">
              <w:rPr>
                <w:rFonts w:cs="Arial"/>
                <w:color w:val="000000"/>
                <w:sz w:val="20"/>
                <w:szCs w:val="20"/>
              </w:rPr>
              <w:t xml:space="preserve">27.00 </w:t>
            </w:r>
          </w:p>
        </w:tc>
        <w:tc>
          <w:tcPr>
            <w:tcW w:w="126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bCs/>
                <w:color w:val="000000"/>
                <w:sz w:val="20"/>
                <w:szCs w:val="20"/>
              </w:rPr>
            </w:pPr>
            <w:r w:rsidRPr="000F3A73">
              <w:rPr>
                <w:rFonts w:cs="Arial"/>
                <w:bCs/>
                <w:color w:val="000000"/>
                <w:sz w:val="20"/>
                <w:szCs w:val="20"/>
              </w:rPr>
              <w:t xml:space="preserve"> $        81.00 </w:t>
            </w:r>
          </w:p>
        </w:tc>
      </w:tr>
      <w:tr w:rsidR="00EB24A1" w:rsidRPr="000F3A73" w:rsidTr="00075B11">
        <w:trPr>
          <w:trHeight w:val="487"/>
        </w:trPr>
        <w:tc>
          <w:tcPr>
            <w:tcW w:w="1380" w:type="dxa"/>
            <w:tcBorders>
              <w:top w:val="single" w:sz="2" w:space="0" w:color="000000"/>
              <w:left w:val="single" w:sz="6" w:space="0" w:color="auto"/>
              <w:bottom w:val="single" w:sz="2" w:space="0" w:color="000000"/>
              <w:right w:val="single" w:sz="6" w:space="0" w:color="auto"/>
            </w:tcBorders>
            <w:shd w:val="clear" w:color="auto" w:fill="00FF99"/>
          </w:tcPr>
          <w:p w:rsidR="00EB24A1" w:rsidRPr="000F3A73" w:rsidRDefault="00EB24A1" w:rsidP="00075B11">
            <w:pPr>
              <w:autoSpaceDE w:val="0"/>
              <w:autoSpaceDN w:val="0"/>
              <w:adjustRightInd w:val="0"/>
              <w:spacing w:after="0" w:line="240" w:lineRule="auto"/>
              <w:jc w:val="right"/>
              <w:rPr>
                <w:rFonts w:cs="Arial"/>
                <w:color w:val="000000"/>
                <w:sz w:val="20"/>
                <w:szCs w:val="20"/>
              </w:rPr>
            </w:pPr>
          </w:p>
        </w:tc>
        <w:tc>
          <w:tcPr>
            <w:tcW w:w="2971" w:type="dxa"/>
            <w:gridSpan w:val="2"/>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rPr>
                <w:rFonts w:cs="Arial"/>
                <w:color w:val="000000"/>
                <w:sz w:val="20"/>
                <w:szCs w:val="20"/>
              </w:rPr>
            </w:pPr>
            <w:r w:rsidRPr="000F3A73">
              <w:rPr>
                <w:rFonts w:cs="Arial"/>
                <w:color w:val="000000"/>
                <w:sz w:val="20"/>
                <w:szCs w:val="20"/>
              </w:rPr>
              <w:t>State grantees (demo 1&amp;2)</w:t>
            </w:r>
            <w:r w:rsidRPr="00752EEF">
              <w:rPr>
                <w:rFonts w:eastAsia="Times New Roman" w:cs="Arial"/>
                <w:sz w:val="20"/>
                <w:szCs w:val="20"/>
                <w:vertAlign w:val="superscript"/>
              </w:rPr>
              <w:t xml:space="preserve"> a</w:t>
            </w:r>
          </w:p>
        </w:tc>
        <w:tc>
          <w:tcPr>
            <w:tcW w:w="126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rPr>
                <w:rFonts w:cs="Arial"/>
                <w:color w:val="000000"/>
                <w:sz w:val="20"/>
                <w:szCs w:val="20"/>
              </w:rPr>
            </w:pPr>
            <w:r w:rsidRPr="000F3A73">
              <w:rPr>
                <w:rFonts w:cs="Arial"/>
                <w:color w:val="000000"/>
                <w:sz w:val="20"/>
                <w:szCs w:val="20"/>
              </w:rPr>
              <w:t>Cost instrument - short</w:t>
            </w:r>
          </w:p>
        </w:tc>
        <w:tc>
          <w:tcPr>
            <w:tcW w:w="90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2</w:t>
            </w:r>
          </w:p>
        </w:tc>
        <w:tc>
          <w:tcPr>
            <w:tcW w:w="1169"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1.00</w:t>
            </w:r>
          </w:p>
        </w:tc>
        <w:tc>
          <w:tcPr>
            <w:tcW w:w="99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2.00</w:t>
            </w:r>
          </w:p>
        </w:tc>
        <w:tc>
          <w:tcPr>
            <w:tcW w:w="991"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0.75</w:t>
            </w:r>
          </w:p>
        </w:tc>
        <w:tc>
          <w:tcPr>
            <w:tcW w:w="117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1.50</w:t>
            </w:r>
          </w:p>
        </w:tc>
        <w:tc>
          <w:tcPr>
            <w:tcW w:w="989"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bCs/>
                <w:color w:val="000000"/>
                <w:sz w:val="20"/>
                <w:szCs w:val="20"/>
              </w:rPr>
            </w:pPr>
            <w:r w:rsidRPr="000F3A73">
              <w:rPr>
                <w:rFonts w:cs="Arial"/>
                <w:bCs/>
                <w:color w:val="000000"/>
                <w:sz w:val="20"/>
                <w:szCs w:val="20"/>
              </w:rPr>
              <w:t>0.5</w:t>
            </w:r>
          </w:p>
        </w:tc>
        <w:tc>
          <w:tcPr>
            <w:tcW w:w="991"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Pr>
                <w:rFonts w:cs="Arial"/>
                <w:color w:val="000000"/>
                <w:sz w:val="20"/>
                <w:szCs w:val="20"/>
              </w:rPr>
              <w:t xml:space="preserve"> $   </w:t>
            </w:r>
            <w:r w:rsidRPr="000F3A73">
              <w:rPr>
                <w:rFonts w:cs="Arial"/>
                <w:color w:val="000000"/>
                <w:sz w:val="20"/>
                <w:szCs w:val="20"/>
              </w:rPr>
              <w:t xml:space="preserve">27.00 </w:t>
            </w:r>
          </w:p>
        </w:tc>
        <w:tc>
          <w:tcPr>
            <w:tcW w:w="126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bCs/>
                <w:color w:val="000000"/>
                <w:sz w:val="20"/>
                <w:szCs w:val="20"/>
              </w:rPr>
            </w:pPr>
            <w:r w:rsidRPr="000F3A73">
              <w:rPr>
                <w:rFonts w:cs="Arial"/>
                <w:bCs/>
                <w:color w:val="000000"/>
                <w:sz w:val="20"/>
                <w:szCs w:val="20"/>
              </w:rPr>
              <w:t xml:space="preserve"> $        13.50 </w:t>
            </w:r>
          </w:p>
        </w:tc>
      </w:tr>
      <w:tr w:rsidR="00EB24A1" w:rsidRPr="000F3A73" w:rsidTr="00075B11">
        <w:trPr>
          <w:trHeight w:val="326"/>
        </w:trPr>
        <w:tc>
          <w:tcPr>
            <w:tcW w:w="1380" w:type="dxa"/>
            <w:tcBorders>
              <w:top w:val="single" w:sz="2" w:space="0" w:color="000000"/>
              <w:left w:val="single" w:sz="6" w:space="0" w:color="auto"/>
              <w:bottom w:val="single" w:sz="2" w:space="0" w:color="000000"/>
              <w:right w:val="single" w:sz="6" w:space="0" w:color="auto"/>
            </w:tcBorders>
            <w:shd w:val="clear" w:color="auto" w:fill="00FF99"/>
          </w:tcPr>
          <w:p w:rsidR="00EB24A1" w:rsidRPr="000F3A73" w:rsidRDefault="00EB24A1" w:rsidP="00075B11">
            <w:pPr>
              <w:autoSpaceDE w:val="0"/>
              <w:autoSpaceDN w:val="0"/>
              <w:adjustRightInd w:val="0"/>
              <w:spacing w:after="0" w:line="240" w:lineRule="auto"/>
              <w:jc w:val="right"/>
              <w:rPr>
                <w:rFonts w:cs="Arial"/>
                <w:color w:val="000000"/>
                <w:sz w:val="20"/>
                <w:szCs w:val="20"/>
              </w:rPr>
            </w:pPr>
          </w:p>
        </w:tc>
        <w:tc>
          <w:tcPr>
            <w:tcW w:w="2971" w:type="dxa"/>
            <w:gridSpan w:val="2"/>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rPr>
                <w:rFonts w:cs="Arial"/>
                <w:color w:val="000000"/>
                <w:sz w:val="20"/>
                <w:szCs w:val="20"/>
              </w:rPr>
            </w:pPr>
            <w:r w:rsidRPr="000F3A73">
              <w:rPr>
                <w:rFonts w:cs="Arial"/>
                <w:color w:val="000000"/>
                <w:sz w:val="20"/>
                <w:szCs w:val="20"/>
              </w:rPr>
              <w:t>State grantees (demo 3&amp;4)</w:t>
            </w:r>
            <w:r>
              <w:rPr>
                <w:sz w:val="18"/>
                <w:szCs w:val="18"/>
                <w:vertAlign w:val="superscript"/>
              </w:rPr>
              <w:t xml:space="preserve"> b</w:t>
            </w:r>
          </w:p>
        </w:tc>
        <w:tc>
          <w:tcPr>
            <w:tcW w:w="126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rPr>
                <w:rFonts w:cs="Arial"/>
                <w:color w:val="000000"/>
                <w:sz w:val="20"/>
                <w:szCs w:val="20"/>
              </w:rPr>
            </w:pPr>
            <w:r w:rsidRPr="000F3A73">
              <w:rPr>
                <w:rFonts w:cs="Arial"/>
                <w:color w:val="000000"/>
                <w:sz w:val="20"/>
                <w:szCs w:val="20"/>
              </w:rPr>
              <w:t>Document Review</w:t>
            </w:r>
          </w:p>
        </w:tc>
        <w:tc>
          <w:tcPr>
            <w:tcW w:w="90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6</w:t>
            </w:r>
          </w:p>
        </w:tc>
        <w:tc>
          <w:tcPr>
            <w:tcW w:w="1169"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2.00</w:t>
            </w:r>
          </w:p>
        </w:tc>
        <w:tc>
          <w:tcPr>
            <w:tcW w:w="99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12.00</w:t>
            </w:r>
          </w:p>
        </w:tc>
        <w:tc>
          <w:tcPr>
            <w:tcW w:w="991"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0.08</w:t>
            </w:r>
          </w:p>
        </w:tc>
        <w:tc>
          <w:tcPr>
            <w:tcW w:w="117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0.96</w:t>
            </w:r>
          </w:p>
        </w:tc>
        <w:tc>
          <w:tcPr>
            <w:tcW w:w="989"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bCs/>
                <w:color w:val="000000"/>
                <w:sz w:val="20"/>
                <w:szCs w:val="20"/>
              </w:rPr>
            </w:pPr>
            <w:r w:rsidRPr="000F3A73">
              <w:rPr>
                <w:rFonts w:cs="Arial"/>
                <w:bCs/>
                <w:color w:val="000000"/>
                <w:sz w:val="20"/>
                <w:szCs w:val="20"/>
              </w:rPr>
              <w:t>0.3</w:t>
            </w:r>
          </w:p>
        </w:tc>
        <w:tc>
          <w:tcPr>
            <w:tcW w:w="991"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Pr>
                <w:rFonts w:cs="Arial"/>
                <w:color w:val="000000"/>
                <w:sz w:val="20"/>
                <w:szCs w:val="20"/>
              </w:rPr>
              <w:t xml:space="preserve"> $   </w:t>
            </w:r>
            <w:r w:rsidRPr="000F3A73">
              <w:rPr>
                <w:rFonts w:cs="Arial"/>
                <w:color w:val="000000"/>
                <w:sz w:val="20"/>
                <w:szCs w:val="20"/>
              </w:rPr>
              <w:t xml:space="preserve">27.00 </w:t>
            </w:r>
          </w:p>
        </w:tc>
        <w:tc>
          <w:tcPr>
            <w:tcW w:w="1260" w:type="dxa"/>
            <w:tcBorders>
              <w:top w:val="single" w:sz="6" w:space="0" w:color="auto"/>
              <w:left w:val="single" w:sz="6" w:space="0" w:color="auto"/>
              <w:bottom w:val="single" w:sz="6"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bCs/>
                <w:color w:val="000000"/>
                <w:sz w:val="20"/>
                <w:szCs w:val="20"/>
              </w:rPr>
            </w:pPr>
            <w:r w:rsidRPr="000F3A73">
              <w:rPr>
                <w:rFonts w:cs="Arial"/>
                <w:bCs/>
                <w:color w:val="000000"/>
                <w:sz w:val="20"/>
                <w:szCs w:val="20"/>
              </w:rPr>
              <w:t xml:space="preserve"> $               9 </w:t>
            </w:r>
          </w:p>
        </w:tc>
      </w:tr>
      <w:tr w:rsidR="00EB24A1" w:rsidRPr="000F3A73" w:rsidTr="00075B11">
        <w:trPr>
          <w:trHeight w:val="453"/>
        </w:trPr>
        <w:tc>
          <w:tcPr>
            <w:tcW w:w="1380" w:type="dxa"/>
            <w:tcBorders>
              <w:top w:val="single" w:sz="2" w:space="0" w:color="000000"/>
              <w:left w:val="single" w:sz="6" w:space="0" w:color="auto"/>
              <w:bottom w:val="single" w:sz="2" w:space="0" w:color="000000"/>
              <w:right w:val="single" w:sz="6" w:space="0" w:color="auto"/>
            </w:tcBorders>
            <w:shd w:val="clear" w:color="auto" w:fill="00FF99"/>
          </w:tcPr>
          <w:p w:rsidR="00EB24A1" w:rsidRPr="000F3A73" w:rsidRDefault="00EB24A1" w:rsidP="00075B11">
            <w:pPr>
              <w:autoSpaceDE w:val="0"/>
              <w:autoSpaceDN w:val="0"/>
              <w:adjustRightInd w:val="0"/>
              <w:spacing w:after="0" w:line="240" w:lineRule="auto"/>
              <w:jc w:val="right"/>
              <w:rPr>
                <w:rFonts w:cs="Arial"/>
                <w:color w:val="000000"/>
                <w:sz w:val="20"/>
                <w:szCs w:val="20"/>
              </w:rPr>
            </w:pPr>
          </w:p>
        </w:tc>
        <w:tc>
          <w:tcPr>
            <w:tcW w:w="2971" w:type="dxa"/>
            <w:gridSpan w:val="2"/>
            <w:tcBorders>
              <w:top w:val="single" w:sz="6" w:space="0" w:color="auto"/>
              <w:left w:val="single" w:sz="6" w:space="0" w:color="auto"/>
              <w:bottom w:val="single" w:sz="12" w:space="0" w:color="auto"/>
              <w:right w:val="single" w:sz="6" w:space="0" w:color="auto"/>
            </w:tcBorders>
          </w:tcPr>
          <w:p w:rsidR="00EB24A1" w:rsidRPr="000F3A73" w:rsidRDefault="00EB24A1" w:rsidP="00075B11">
            <w:pPr>
              <w:autoSpaceDE w:val="0"/>
              <w:autoSpaceDN w:val="0"/>
              <w:adjustRightInd w:val="0"/>
              <w:spacing w:after="0" w:line="240" w:lineRule="auto"/>
              <w:rPr>
                <w:rFonts w:cs="Arial"/>
                <w:color w:val="000000"/>
                <w:sz w:val="20"/>
                <w:szCs w:val="20"/>
              </w:rPr>
            </w:pPr>
            <w:r w:rsidRPr="000F3A73">
              <w:rPr>
                <w:rFonts w:cs="Arial"/>
                <w:color w:val="000000"/>
                <w:sz w:val="20"/>
                <w:szCs w:val="20"/>
              </w:rPr>
              <w:t>State grantees (demo 1&amp;2)</w:t>
            </w:r>
            <w:r>
              <w:rPr>
                <w:sz w:val="18"/>
                <w:szCs w:val="18"/>
                <w:vertAlign w:val="superscript"/>
              </w:rPr>
              <w:t xml:space="preserve"> b</w:t>
            </w:r>
          </w:p>
        </w:tc>
        <w:tc>
          <w:tcPr>
            <w:tcW w:w="1260" w:type="dxa"/>
            <w:tcBorders>
              <w:top w:val="single" w:sz="6" w:space="0" w:color="auto"/>
              <w:left w:val="single" w:sz="6" w:space="0" w:color="auto"/>
              <w:bottom w:val="single" w:sz="12" w:space="0" w:color="auto"/>
              <w:right w:val="single" w:sz="6" w:space="0" w:color="auto"/>
            </w:tcBorders>
          </w:tcPr>
          <w:p w:rsidR="00EB24A1" w:rsidRPr="000F3A73" w:rsidRDefault="00EB24A1" w:rsidP="00075B11">
            <w:pPr>
              <w:autoSpaceDE w:val="0"/>
              <w:autoSpaceDN w:val="0"/>
              <w:adjustRightInd w:val="0"/>
              <w:spacing w:after="0" w:line="240" w:lineRule="auto"/>
              <w:rPr>
                <w:rFonts w:cs="Arial"/>
                <w:color w:val="000000"/>
                <w:sz w:val="20"/>
                <w:szCs w:val="20"/>
              </w:rPr>
            </w:pPr>
            <w:r w:rsidRPr="000F3A73">
              <w:rPr>
                <w:rFonts w:cs="Arial"/>
                <w:color w:val="000000"/>
                <w:sz w:val="20"/>
                <w:szCs w:val="20"/>
              </w:rPr>
              <w:t>Document Review</w:t>
            </w:r>
          </w:p>
        </w:tc>
        <w:tc>
          <w:tcPr>
            <w:tcW w:w="900" w:type="dxa"/>
            <w:tcBorders>
              <w:top w:val="single" w:sz="6" w:space="0" w:color="auto"/>
              <w:left w:val="single" w:sz="6" w:space="0" w:color="auto"/>
              <w:bottom w:val="single" w:sz="12"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2</w:t>
            </w:r>
          </w:p>
        </w:tc>
        <w:tc>
          <w:tcPr>
            <w:tcW w:w="1169" w:type="dxa"/>
            <w:tcBorders>
              <w:top w:val="single" w:sz="6" w:space="0" w:color="auto"/>
              <w:left w:val="single" w:sz="6" w:space="0" w:color="auto"/>
              <w:bottom w:val="single" w:sz="12"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1.00</w:t>
            </w:r>
          </w:p>
        </w:tc>
        <w:tc>
          <w:tcPr>
            <w:tcW w:w="990" w:type="dxa"/>
            <w:tcBorders>
              <w:top w:val="single" w:sz="6" w:space="0" w:color="auto"/>
              <w:left w:val="single" w:sz="6" w:space="0" w:color="auto"/>
              <w:bottom w:val="single" w:sz="12"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2.00</w:t>
            </w:r>
          </w:p>
        </w:tc>
        <w:tc>
          <w:tcPr>
            <w:tcW w:w="991" w:type="dxa"/>
            <w:tcBorders>
              <w:top w:val="single" w:sz="6" w:space="0" w:color="auto"/>
              <w:left w:val="single" w:sz="6" w:space="0" w:color="auto"/>
              <w:bottom w:val="single" w:sz="12"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0.08</w:t>
            </w:r>
          </w:p>
        </w:tc>
        <w:tc>
          <w:tcPr>
            <w:tcW w:w="1170" w:type="dxa"/>
            <w:tcBorders>
              <w:top w:val="single" w:sz="6" w:space="0" w:color="auto"/>
              <w:left w:val="single" w:sz="6" w:space="0" w:color="auto"/>
              <w:bottom w:val="single" w:sz="12"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sidRPr="000F3A73">
              <w:rPr>
                <w:rFonts w:cs="Arial"/>
                <w:color w:val="000000"/>
                <w:sz w:val="20"/>
                <w:szCs w:val="20"/>
              </w:rPr>
              <w:t>0.16</w:t>
            </w:r>
          </w:p>
        </w:tc>
        <w:tc>
          <w:tcPr>
            <w:tcW w:w="989" w:type="dxa"/>
            <w:tcBorders>
              <w:top w:val="single" w:sz="6" w:space="0" w:color="auto"/>
              <w:left w:val="single" w:sz="6" w:space="0" w:color="auto"/>
              <w:bottom w:val="single" w:sz="12"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bCs/>
                <w:color w:val="000000"/>
                <w:sz w:val="20"/>
                <w:szCs w:val="20"/>
              </w:rPr>
            </w:pPr>
            <w:r w:rsidRPr="000F3A73">
              <w:rPr>
                <w:rFonts w:cs="Arial"/>
                <w:bCs/>
                <w:color w:val="000000"/>
                <w:sz w:val="20"/>
                <w:szCs w:val="20"/>
              </w:rPr>
              <w:t>0.1</w:t>
            </w:r>
          </w:p>
        </w:tc>
        <w:tc>
          <w:tcPr>
            <w:tcW w:w="991" w:type="dxa"/>
            <w:tcBorders>
              <w:top w:val="single" w:sz="6" w:space="0" w:color="auto"/>
              <w:left w:val="single" w:sz="6" w:space="0" w:color="auto"/>
              <w:bottom w:val="single" w:sz="12"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color w:val="000000"/>
                <w:sz w:val="20"/>
                <w:szCs w:val="20"/>
              </w:rPr>
            </w:pPr>
            <w:r>
              <w:rPr>
                <w:rFonts w:cs="Arial"/>
                <w:color w:val="000000"/>
                <w:sz w:val="20"/>
                <w:szCs w:val="20"/>
              </w:rPr>
              <w:t xml:space="preserve"> $   </w:t>
            </w:r>
            <w:r w:rsidRPr="000F3A73">
              <w:rPr>
                <w:rFonts w:cs="Arial"/>
                <w:color w:val="000000"/>
                <w:sz w:val="20"/>
                <w:szCs w:val="20"/>
              </w:rPr>
              <w:t xml:space="preserve">27.00 </w:t>
            </w:r>
          </w:p>
        </w:tc>
        <w:tc>
          <w:tcPr>
            <w:tcW w:w="1260" w:type="dxa"/>
            <w:tcBorders>
              <w:top w:val="single" w:sz="6" w:space="0" w:color="auto"/>
              <w:left w:val="single" w:sz="6" w:space="0" w:color="auto"/>
              <w:bottom w:val="single" w:sz="12" w:space="0" w:color="auto"/>
              <w:right w:val="single" w:sz="6" w:space="0" w:color="auto"/>
            </w:tcBorders>
          </w:tcPr>
          <w:p w:rsidR="00EB24A1" w:rsidRPr="000F3A73" w:rsidRDefault="00EB24A1" w:rsidP="00075B11">
            <w:pPr>
              <w:autoSpaceDE w:val="0"/>
              <w:autoSpaceDN w:val="0"/>
              <w:adjustRightInd w:val="0"/>
              <w:spacing w:after="0" w:line="240" w:lineRule="auto"/>
              <w:jc w:val="right"/>
              <w:rPr>
                <w:rFonts w:cs="Arial"/>
                <w:bCs/>
                <w:color w:val="000000"/>
                <w:sz w:val="20"/>
                <w:szCs w:val="20"/>
              </w:rPr>
            </w:pPr>
            <w:r w:rsidRPr="000F3A73">
              <w:rPr>
                <w:rFonts w:cs="Arial"/>
                <w:bCs/>
                <w:color w:val="000000"/>
                <w:sz w:val="20"/>
                <w:szCs w:val="20"/>
              </w:rPr>
              <w:t xml:space="preserve"> $               1 </w:t>
            </w:r>
          </w:p>
        </w:tc>
      </w:tr>
      <w:tr w:rsidR="00EB24A1" w:rsidRPr="000F3A73" w:rsidTr="00075B11">
        <w:trPr>
          <w:trHeight w:val="163"/>
        </w:trPr>
        <w:tc>
          <w:tcPr>
            <w:tcW w:w="1380" w:type="dxa"/>
            <w:tcBorders>
              <w:top w:val="single" w:sz="2" w:space="0" w:color="000000"/>
              <w:left w:val="single" w:sz="6" w:space="0" w:color="auto"/>
              <w:bottom w:val="single" w:sz="2" w:space="0" w:color="000000"/>
              <w:right w:val="single" w:sz="12" w:space="0" w:color="auto"/>
            </w:tcBorders>
            <w:shd w:val="clear" w:color="auto" w:fill="00FF99"/>
          </w:tcPr>
          <w:p w:rsidR="00EB24A1" w:rsidRPr="000F3A73" w:rsidRDefault="00EB24A1" w:rsidP="00075B11">
            <w:pPr>
              <w:autoSpaceDE w:val="0"/>
              <w:autoSpaceDN w:val="0"/>
              <w:adjustRightInd w:val="0"/>
              <w:spacing w:after="0" w:line="240" w:lineRule="auto"/>
              <w:jc w:val="right"/>
              <w:rPr>
                <w:rFonts w:cs="Arial"/>
                <w:color w:val="000000"/>
                <w:sz w:val="20"/>
                <w:szCs w:val="20"/>
              </w:rPr>
            </w:pPr>
          </w:p>
        </w:tc>
        <w:tc>
          <w:tcPr>
            <w:tcW w:w="2971" w:type="dxa"/>
            <w:gridSpan w:val="2"/>
            <w:tcBorders>
              <w:top w:val="single" w:sz="12" w:space="0" w:color="auto"/>
              <w:left w:val="single" w:sz="12" w:space="0" w:color="auto"/>
              <w:bottom w:val="single" w:sz="2" w:space="0" w:color="000000"/>
              <w:right w:val="single" w:sz="6" w:space="0" w:color="auto"/>
            </w:tcBorders>
            <w:shd w:val="clear" w:color="auto" w:fill="00FF99"/>
          </w:tcPr>
          <w:p w:rsidR="00EB24A1" w:rsidRPr="000F3A73" w:rsidRDefault="00EB24A1" w:rsidP="00075B11">
            <w:pPr>
              <w:autoSpaceDE w:val="0"/>
              <w:autoSpaceDN w:val="0"/>
              <w:adjustRightInd w:val="0"/>
              <w:spacing w:after="0" w:line="240" w:lineRule="auto"/>
              <w:rPr>
                <w:rFonts w:cs="Arial"/>
                <w:bCs/>
                <w:color w:val="000000"/>
                <w:sz w:val="20"/>
                <w:szCs w:val="20"/>
              </w:rPr>
            </w:pPr>
            <w:r w:rsidRPr="000F3A73">
              <w:rPr>
                <w:rFonts w:cs="Arial"/>
                <w:bCs/>
                <w:color w:val="000000"/>
                <w:sz w:val="20"/>
                <w:szCs w:val="20"/>
              </w:rPr>
              <w:t>Total State Agencies Burden</w:t>
            </w:r>
          </w:p>
        </w:tc>
        <w:tc>
          <w:tcPr>
            <w:tcW w:w="1260" w:type="dxa"/>
            <w:tcBorders>
              <w:top w:val="single" w:sz="12" w:space="0" w:color="auto"/>
              <w:left w:val="single" w:sz="6" w:space="0" w:color="auto"/>
              <w:bottom w:val="single" w:sz="2" w:space="0" w:color="000000"/>
              <w:right w:val="single" w:sz="6" w:space="0" w:color="auto"/>
            </w:tcBorders>
            <w:shd w:val="clear" w:color="auto" w:fill="00FF99"/>
          </w:tcPr>
          <w:p w:rsidR="00EB24A1" w:rsidRPr="000F3A73" w:rsidRDefault="00EB24A1" w:rsidP="00075B11">
            <w:pPr>
              <w:autoSpaceDE w:val="0"/>
              <w:autoSpaceDN w:val="0"/>
              <w:adjustRightInd w:val="0"/>
              <w:spacing w:after="0" w:line="240" w:lineRule="auto"/>
              <w:jc w:val="right"/>
              <w:rPr>
                <w:rFonts w:cs="Arial"/>
                <w:bCs/>
                <w:color w:val="000000"/>
                <w:sz w:val="20"/>
                <w:szCs w:val="20"/>
              </w:rPr>
            </w:pPr>
          </w:p>
        </w:tc>
        <w:tc>
          <w:tcPr>
            <w:tcW w:w="900" w:type="dxa"/>
            <w:tcBorders>
              <w:top w:val="single" w:sz="12" w:space="0" w:color="auto"/>
              <w:left w:val="single" w:sz="6" w:space="0" w:color="auto"/>
              <w:bottom w:val="single" w:sz="2" w:space="0" w:color="000000"/>
              <w:right w:val="single" w:sz="6" w:space="0" w:color="auto"/>
            </w:tcBorders>
            <w:shd w:val="clear" w:color="auto" w:fill="00FF99"/>
          </w:tcPr>
          <w:p w:rsidR="00EB24A1" w:rsidRPr="000F3A73" w:rsidRDefault="00EB24A1" w:rsidP="00075B11">
            <w:pPr>
              <w:autoSpaceDE w:val="0"/>
              <w:autoSpaceDN w:val="0"/>
              <w:adjustRightInd w:val="0"/>
              <w:spacing w:after="0" w:line="240" w:lineRule="auto"/>
              <w:jc w:val="right"/>
              <w:rPr>
                <w:rFonts w:cs="Arial"/>
                <w:bCs/>
                <w:color w:val="000000"/>
                <w:sz w:val="20"/>
                <w:szCs w:val="20"/>
              </w:rPr>
            </w:pPr>
            <w:r>
              <w:rPr>
                <w:rFonts w:cs="Arial"/>
                <w:bCs/>
                <w:color w:val="000000"/>
                <w:sz w:val="20"/>
                <w:szCs w:val="20"/>
              </w:rPr>
              <w:t>8</w:t>
            </w:r>
          </w:p>
        </w:tc>
        <w:tc>
          <w:tcPr>
            <w:tcW w:w="1169" w:type="dxa"/>
            <w:tcBorders>
              <w:top w:val="single" w:sz="12" w:space="0" w:color="auto"/>
              <w:left w:val="single" w:sz="6" w:space="0" w:color="auto"/>
              <w:bottom w:val="single" w:sz="2" w:space="0" w:color="000000"/>
              <w:right w:val="single" w:sz="6" w:space="0" w:color="auto"/>
            </w:tcBorders>
            <w:shd w:val="clear" w:color="auto" w:fill="00FF99"/>
          </w:tcPr>
          <w:p w:rsidR="00EB24A1" w:rsidRPr="000F3A73" w:rsidRDefault="00EB24A1" w:rsidP="00075B11">
            <w:pPr>
              <w:autoSpaceDE w:val="0"/>
              <w:autoSpaceDN w:val="0"/>
              <w:adjustRightInd w:val="0"/>
              <w:spacing w:after="0" w:line="240" w:lineRule="auto"/>
              <w:jc w:val="right"/>
              <w:rPr>
                <w:rFonts w:cs="Arial"/>
                <w:bCs/>
                <w:color w:val="000000"/>
                <w:sz w:val="20"/>
                <w:szCs w:val="20"/>
              </w:rPr>
            </w:pPr>
            <w:r>
              <w:rPr>
                <w:rFonts w:cs="Arial"/>
                <w:bCs/>
                <w:color w:val="000000"/>
                <w:sz w:val="20"/>
                <w:szCs w:val="20"/>
              </w:rPr>
              <w:t>5.25</w:t>
            </w:r>
          </w:p>
        </w:tc>
        <w:tc>
          <w:tcPr>
            <w:tcW w:w="990" w:type="dxa"/>
            <w:tcBorders>
              <w:top w:val="single" w:sz="12" w:space="0" w:color="auto"/>
              <w:left w:val="single" w:sz="6" w:space="0" w:color="auto"/>
              <w:bottom w:val="single" w:sz="2" w:space="0" w:color="000000"/>
              <w:right w:val="single" w:sz="6" w:space="0" w:color="auto"/>
            </w:tcBorders>
            <w:shd w:val="clear" w:color="auto" w:fill="00FF99"/>
          </w:tcPr>
          <w:p w:rsidR="00EB24A1" w:rsidRPr="000F3A73" w:rsidRDefault="00EB24A1" w:rsidP="00075B11">
            <w:pPr>
              <w:autoSpaceDE w:val="0"/>
              <w:autoSpaceDN w:val="0"/>
              <w:adjustRightInd w:val="0"/>
              <w:spacing w:after="0" w:line="240" w:lineRule="auto"/>
              <w:jc w:val="right"/>
              <w:rPr>
                <w:rFonts w:cs="Arial"/>
                <w:bCs/>
                <w:color w:val="000000"/>
                <w:sz w:val="20"/>
                <w:szCs w:val="20"/>
              </w:rPr>
            </w:pPr>
            <w:r w:rsidRPr="000F3A73">
              <w:rPr>
                <w:rFonts w:cs="Arial"/>
                <w:bCs/>
                <w:color w:val="000000"/>
                <w:sz w:val="20"/>
                <w:szCs w:val="20"/>
              </w:rPr>
              <w:t>42.00</w:t>
            </w:r>
          </w:p>
        </w:tc>
        <w:tc>
          <w:tcPr>
            <w:tcW w:w="991" w:type="dxa"/>
            <w:tcBorders>
              <w:top w:val="single" w:sz="12" w:space="0" w:color="auto"/>
              <w:left w:val="single" w:sz="6" w:space="0" w:color="auto"/>
              <w:bottom w:val="single" w:sz="2" w:space="0" w:color="000000"/>
              <w:right w:val="single" w:sz="6" w:space="0" w:color="auto"/>
            </w:tcBorders>
            <w:shd w:val="clear" w:color="auto" w:fill="00FF99"/>
          </w:tcPr>
          <w:p w:rsidR="00EB24A1" w:rsidRPr="000F3A73" w:rsidRDefault="00EB24A1" w:rsidP="00075B11">
            <w:pPr>
              <w:autoSpaceDE w:val="0"/>
              <w:autoSpaceDN w:val="0"/>
              <w:adjustRightInd w:val="0"/>
              <w:spacing w:after="0" w:line="240" w:lineRule="auto"/>
              <w:jc w:val="right"/>
              <w:rPr>
                <w:rFonts w:cs="Arial"/>
                <w:bCs/>
                <w:color w:val="000000"/>
                <w:sz w:val="20"/>
                <w:szCs w:val="20"/>
              </w:rPr>
            </w:pPr>
            <w:r w:rsidRPr="000F3A73">
              <w:rPr>
                <w:rFonts w:cs="Arial"/>
                <w:bCs/>
                <w:color w:val="000000"/>
                <w:sz w:val="20"/>
                <w:szCs w:val="20"/>
              </w:rPr>
              <w:t>0.61</w:t>
            </w:r>
          </w:p>
        </w:tc>
        <w:tc>
          <w:tcPr>
            <w:tcW w:w="1170" w:type="dxa"/>
            <w:tcBorders>
              <w:top w:val="single" w:sz="12" w:space="0" w:color="auto"/>
              <w:left w:val="single" w:sz="6" w:space="0" w:color="auto"/>
              <w:bottom w:val="single" w:sz="2" w:space="0" w:color="000000"/>
              <w:right w:val="single" w:sz="6" w:space="0" w:color="auto"/>
            </w:tcBorders>
            <w:shd w:val="clear" w:color="auto" w:fill="00FF99"/>
          </w:tcPr>
          <w:p w:rsidR="00EB24A1" w:rsidRPr="000F3A73" w:rsidRDefault="00EB24A1" w:rsidP="00075B11">
            <w:pPr>
              <w:autoSpaceDE w:val="0"/>
              <w:autoSpaceDN w:val="0"/>
              <w:adjustRightInd w:val="0"/>
              <w:spacing w:after="0" w:line="240" w:lineRule="auto"/>
              <w:jc w:val="right"/>
              <w:rPr>
                <w:rFonts w:cs="Arial"/>
                <w:bCs/>
                <w:color w:val="000000"/>
                <w:sz w:val="20"/>
                <w:szCs w:val="20"/>
              </w:rPr>
            </w:pPr>
            <w:r w:rsidRPr="000F3A73">
              <w:rPr>
                <w:rFonts w:cs="Arial"/>
                <w:bCs/>
                <w:color w:val="000000"/>
                <w:sz w:val="20"/>
                <w:szCs w:val="20"/>
              </w:rPr>
              <w:t>25.62</w:t>
            </w:r>
          </w:p>
        </w:tc>
        <w:tc>
          <w:tcPr>
            <w:tcW w:w="989" w:type="dxa"/>
            <w:tcBorders>
              <w:top w:val="single" w:sz="12" w:space="0" w:color="auto"/>
              <w:left w:val="single" w:sz="6" w:space="0" w:color="auto"/>
              <w:bottom w:val="single" w:sz="2" w:space="0" w:color="000000"/>
              <w:right w:val="single" w:sz="6" w:space="0" w:color="auto"/>
            </w:tcBorders>
            <w:shd w:val="clear" w:color="auto" w:fill="00FF99"/>
          </w:tcPr>
          <w:p w:rsidR="00EB24A1" w:rsidRPr="000F3A73" w:rsidRDefault="00EB24A1" w:rsidP="00075B11">
            <w:pPr>
              <w:autoSpaceDE w:val="0"/>
              <w:autoSpaceDN w:val="0"/>
              <w:adjustRightInd w:val="0"/>
              <w:spacing w:after="0" w:line="240" w:lineRule="auto"/>
              <w:jc w:val="right"/>
              <w:rPr>
                <w:rFonts w:cs="Arial"/>
                <w:bCs/>
                <w:color w:val="000000"/>
                <w:sz w:val="20"/>
                <w:szCs w:val="20"/>
              </w:rPr>
            </w:pPr>
            <w:r w:rsidRPr="000F3A73">
              <w:rPr>
                <w:rFonts w:cs="Arial"/>
                <w:bCs/>
                <w:color w:val="000000"/>
                <w:sz w:val="20"/>
                <w:szCs w:val="20"/>
              </w:rPr>
              <w:t>8.54</w:t>
            </w:r>
          </w:p>
        </w:tc>
        <w:tc>
          <w:tcPr>
            <w:tcW w:w="991" w:type="dxa"/>
            <w:tcBorders>
              <w:top w:val="single" w:sz="12" w:space="0" w:color="auto"/>
              <w:left w:val="single" w:sz="6" w:space="0" w:color="auto"/>
              <w:bottom w:val="single" w:sz="2" w:space="0" w:color="000000"/>
              <w:right w:val="single" w:sz="6" w:space="0" w:color="auto"/>
            </w:tcBorders>
            <w:shd w:val="clear" w:color="auto" w:fill="00FF99"/>
          </w:tcPr>
          <w:p w:rsidR="00EB24A1" w:rsidRPr="000F3A73" w:rsidRDefault="00EB24A1" w:rsidP="00075B11">
            <w:pPr>
              <w:autoSpaceDE w:val="0"/>
              <w:autoSpaceDN w:val="0"/>
              <w:adjustRightInd w:val="0"/>
              <w:spacing w:after="0" w:line="240" w:lineRule="auto"/>
              <w:jc w:val="right"/>
              <w:rPr>
                <w:rFonts w:cs="Arial"/>
                <w:bCs/>
                <w:color w:val="000000"/>
                <w:sz w:val="20"/>
                <w:szCs w:val="20"/>
              </w:rPr>
            </w:pPr>
            <w:r w:rsidRPr="000F3A73">
              <w:rPr>
                <w:rFonts w:cs="Arial"/>
                <w:bCs/>
                <w:color w:val="000000"/>
                <w:sz w:val="20"/>
                <w:szCs w:val="20"/>
              </w:rPr>
              <w:t xml:space="preserve"> $  27.00 </w:t>
            </w:r>
          </w:p>
        </w:tc>
        <w:tc>
          <w:tcPr>
            <w:tcW w:w="1260" w:type="dxa"/>
            <w:tcBorders>
              <w:top w:val="single" w:sz="12" w:space="0" w:color="auto"/>
              <w:left w:val="single" w:sz="6" w:space="0" w:color="auto"/>
              <w:bottom w:val="single" w:sz="2" w:space="0" w:color="000000"/>
              <w:right w:val="single" w:sz="12" w:space="0" w:color="auto"/>
            </w:tcBorders>
            <w:shd w:val="clear" w:color="auto" w:fill="00FF99"/>
          </w:tcPr>
          <w:p w:rsidR="00EB24A1" w:rsidRPr="000F3A73" w:rsidRDefault="00EB24A1" w:rsidP="00075B11">
            <w:pPr>
              <w:autoSpaceDE w:val="0"/>
              <w:autoSpaceDN w:val="0"/>
              <w:adjustRightInd w:val="0"/>
              <w:spacing w:after="0" w:line="240" w:lineRule="auto"/>
              <w:jc w:val="right"/>
              <w:rPr>
                <w:rFonts w:cs="Arial"/>
                <w:bCs/>
                <w:color w:val="000000"/>
                <w:sz w:val="20"/>
                <w:szCs w:val="20"/>
              </w:rPr>
            </w:pPr>
            <w:r w:rsidRPr="000F3A73">
              <w:rPr>
                <w:rFonts w:cs="Arial"/>
                <w:bCs/>
                <w:color w:val="000000"/>
                <w:sz w:val="20"/>
                <w:szCs w:val="20"/>
              </w:rPr>
              <w:t xml:space="preserve"> $      230.58 </w:t>
            </w:r>
          </w:p>
        </w:tc>
      </w:tr>
    </w:tbl>
    <w:p w:rsidR="00EB24A1" w:rsidRDefault="00EB24A1" w:rsidP="00EB24A1">
      <w:pPr>
        <w:spacing w:after="0" w:line="240" w:lineRule="auto"/>
        <w:rPr>
          <w:rFonts w:eastAsia="Times New Roman" w:cs="Arial"/>
          <w:sz w:val="20"/>
          <w:szCs w:val="20"/>
        </w:rPr>
      </w:pPr>
    </w:p>
    <w:p w:rsidR="00EB24A1" w:rsidRPr="009A46BD" w:rsidRDefault="00EB24A1" w:rsidP="00EB24A1">
      <w:pPr>
        <w:spacing w:after="0" w:line="240" w:lineRule="auto"/>
        <w:rPr>
          <w:rFonts w:eastAsia="Times New Roman" w:cs="Arial"/>
          <w:sz w:val="18"/>
          <w:szCs w:val="18"/>
        </w:rPr>
      </w:pPr>
      <w:r w:rsidRPr="009A46BD">
        <w:rPr>
          <w:rFonts w:eastAsia="Times New Roman" w:cs="Arial"/>
          <w:sz w:val="18"/>
          <w:szCs w:val="18"/>
          <w:vertAlign w:val="superscript"/>
        </w:rPr>
        <w:t>a</w:t>
      </w:r>
      <w:r w:rsidRPr="009A46BD">
        <w:rPr>
          <w:rFonts w:eastAsia="Times New Roman" w:cs="Arial"/>
          <w:sz w:val="18"/>
          <w:szCs w:val="18"/>
        </w:rPr>
        <w:t xml:space="preserve">There is 1 state grantee for demo 1 and </w:t>
      </w:r>
      <w:r>
        <w:rPr>
          <w:rFonts w:eastAsia="Times New Roman" w:cs="Arial"/>
          <w:sz w:val="18"/>
          <w:szCs w:val="18"/>
        </w:rPr>
        <w:t xml:space="preserve">1 state grantee for demo </w:t>
      </w:r>
      <w:r w:rsidRPr="009A46BD">
        <w:rPr>
          <w:rFonts w:eastAsia="Times New Roman" w:cs="Arial"/>
          <w:sz w:val="18"/>
          <w:szCs w:val="18"/>
        </w:rPr>
        <w:t xml:space="preserve">2 (for a total of 2 state grantees) and 3 state grantees for demo 3 and 4 (for a total of 6 state grantees). </w:t>
      </w:r>
      <w:r>
        <w:rPr>
          <w:rFonts w:eastAsia="Times New Roman" w:cs="Arial"/>
          <w:sz w:val="18"/>
          <w:szCs w:val="18"/>
        </w:rPr>
        <w:t xml:space="preserve">The total number of state grantees is 8. </w:t>
      </w:r>
    </w:p>
    <w:p w:rsidR="00EB24A1" w:rsidRDefault="00EB24A1" w:rsidP="00EB24A1">
      <w:pPr>
        <w:spacing w:after="0" w:line="240" w:lineRule="auto"/>
        <w:rPr>
          <w:rFonts w:eastAsia="Times New Roman" w:cs="Arial"/>
          <w:sz w:val="20"/>
          <w:szCs w:val="20"/>
        </w:rPr>
      </w:pPr>
    </w:p>
    <w:p w:rsidR="00901E4E" w:rsidRPr="00901E4E" w:rsidRDefault="00EB24A1" w:rsidP="00901E4E">
      <w:pPr>
        <w:rPr>
          <w:color w:val="000000" w:themeColor="text1"/>
          <w:sz w:val="18"/>
          <w:szCs w:val="18"/>
        </w:rPr>
      </w:pPr>
      <w:r>
        <w:rPr>
          <w:sz w:val="18"/>
          <w:szCs w:val="18"/>
          <w:vertAlign w:val="superscript"/>
        </w:rPr>
        <w:t>b</w:t>
      </w:r>
      <w:r w:rsidR="00A653FA">
        <w:rPr>
          <w:sz w:val="18"/>
          <w:szCs w:val="18"/>
          <w:vertAlign w:val="superscript"/>
        </w:rPr>
        <w:t xml:space="preserve"> </w:t>
      </w:r>
      <w:r w:rsidRPr="00901E4E">
        <w:rPr>
          <w:rFonts w:eastAsia="Times New Roman"/>
          <w:color w:val="000000" w:themeColor="text1"/>
          <w:sz w:val="18"/>
          <w:szCs w:val="18"/>
        </w:rPr>
        <w:t xml:space="preserve">Demonstration state grantees will be contacted and asked to provide documents for review and data abstractions.   The number of individuals contacted is based on the number of state grantees (AR, MS, 3 Backpack, 3 Meal Delivery). Document review and data abstraction will be performed by contractor staff.  There will be no annual burden to respondents other than the time required to provide materials. </w:t>
      </w:r>
      <w:r w:rsidR="00660D27" w:rsidRPr="00901E4E">
        <w:rPr>
          <w:rFonts w:asciiTheme="minorHAnsi" w:hAnsiTheme="minorHAnsi" w:cs="Arial"/>
          <w:color w:val="000000" w:themeColor="text1"/>
          <w:sz w:val="18"/>
          <w:szCs w:val="18"/>
        </w:rPr>
        <w:t xml:space="preserve"> </w:t>
      </w:r>
      <w:r w:rsidR="00901E4E" w:rsidRPr="00901E4E">
        <w:rPr>
          <w:color w:val="000000" w:themeColor="text1"/>
          <w:sz w:val="18"/>
          <w:szCs w:val="18"/>
        </w:rPr>
        <w:t>Individuals representing state grantees in demonstrations 3 and 4 will be asked to provide documents at two points in time (summer 2011 and summer 2012).   State grantees in demonstrations 1 and 2 will be contacted only once during summer 2011 because these demonstrations will cease to operate after 2011.</w:t>
      </w:r>
    </w:p>
    <w:p w:rsidR="00EB24A1" w:rsidRDefault="00EB24A1" w:rsidP="00EB24A1">
      <w:pPr>
        <w:spacing w:after="0" w:line="240" w:lineRule="auto"/>
        <w:rPr>
          <w:rFonts w:eastAsia="Times New Roman" w:cs="Arial"/>
          <w:sz w:val="20"/>
          <w:szCs w:val="20"/>
        </w:rPr>
        <w:sectPr w:rsidR="00EB24A1" w:rsidSect="00075B11">
          <w:pgSz w:w="15840" w:h="12240" w:orient="landscape" w:code="1"/>
          <w:pgMar w:top="720" w:right="720" w:bottom="720" w:left="720" w:header="720" w:footer="720" w:gutter="0"/>
          <w:cols w:space="720"/>
          <w:docGrid w:linePitch="360"/>
        </w:sectPr>
      </w:pPr>
    </w:p>
    <w:p w:rsidR="00EB24A1" w:rsidRDefault="00EB24A1" w:rsidP="00EB24A1">
      <w:pPr>
        <w:spacing w:after="0" w:line="240" w:lineRule="auto"/>
        <w:rPr>
          <w:rFonts w:eastAsia="Times New Roman" w:cs="Arial"/>
          <w:sz w:val="20"/>
          <w:szCs w:val="20"/>
        </w:rPr>
      </w:pPr>
    </w:p>
    <w:p w:rsidR="00EB24A1" w:rsidRPr="000F3A73" w:rsidRDefault="00EB24A1" w:rsidP="00EB24A1">
      <w:pPr>
        <w:spacing w:after="0" w:line="240" w:lineRule="auto"/>
        <w:rPr>
          <w:b/>
          <w:sz w:val="20"/>
          <w:szCs w:val="20"/>
        </w:rPr>
      </w:pPr>
      <w:r w:rsidRPr="000F3A73">
        <w:rPr>
          <w:b/>
          <w:sz w:val="20"/>
          <w:szCs w:val="20"/>
        </w:rPr>
        <w:t>Table A.12.1</w:t>
      </w:r>
      <w:r>
        <w:rPr>
          <w:b/>
          <w:sz w:val="20"/>
          <w:szCs w:val="20"/>
        </w:rPr>
        <w:t>c</w:t>
      </w:r>
      <w:r w:rsidRPr="000F3A73">
        <w:rPr>
          <w:b/>
          <w:sz w:val="20"/>
          <w:szCs w:val="20"/>
        </w:rPr>
        <w:t xml:space="preserve">  Estimated annualized respondent hour burden and annualized cost to respondents</w:t>
      </w:r>
      <w:r>
        <w:rPr>
          <w:b/>
          <w:sz w:val="20"/>
          <w:szCs w:val="20"/>
        </w:rPr>
        <w:t xml:space="preserve"> – business (not-for-profit) (sponsors) reporting</w:t>
      </w:r>
    </w:p>
    <w:p w:rsidR="00EB24A1" w:rsidRDefault="00EB24A1" w:rsidP="00EB24A1">
      <w:pPr>
        <w:spacing w:after="0" w:line="240" w:lineRule="auto"/>
        <w:rPr>
          <w:rFonts w:eastAsia="Times New Roman" w:cs="Arial"/>
          <w:sz w:val="20"/>
          <w:szCs w:val="20"/>
        </w:rPr>
      </w:pPr>
    </w:p>
    <w:tbl>
      <w:tblPr>
        <w:tblW w:w="0" w:type="auto"/>
        <w:tblInd w:w="108" w:type="dxa"/>
        <w:tblLayout w:type="fixed"/>
        <w:tblLook w:val="04A0"/>
      </w:tblPr>
      <w:tblGrid>
        <w:gridCol w:w="1350"/>
        <w:gridCol w:w="2971"/>
        <w:gridCol w:w="1169"/>
        <w:gridCol w:w="1080"/>
        <w:gridCol w:w="1171"/>
        <w:gridCol w:w="990"/>
        <w:gridCol w:w="1079"/>
        <w:gridCol w:w="991"/>
        <w:gridCol w:w="967"/>
        <w:gridCol w:w="1013"/>
        <w:gridCol w:w="1260"/>
      </w:tblGrid>
      <w:tr w:rsidR="00EB24A1" w:rsidRPr="004978D7" w:rsidTr="00075B11">
        <w:trPr>
          <w:trHeight w:val="1080"/>
        </w:trPr>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B24A1" w:rsidRPr="00D63410" w:rsidRDefault="00EB24A1" w:rsidP="00075B11">
            <w:pPr>
              <w:spacing w:after="0" w:line="240" w:lineRule="auto"/>
              <w:jc w:val="center"/>
              <w:rPr>
                <w:rFonts w:eastAsia="Times New Roman" w:cs="Arial"/>
                <w:sz w:val="18"/>
                <w:szCs w:val="18"/>
              </w:rPr>
            </w:pPr>
            <w:r w:rsidRPr="00D63410">
              <w:rPr>
                <w:rFonts w:eastAsia="Times New Roman" w:cs="Arial"/>
                <w:sz w:val="18"/>
                <w:szCs w:val="18"/>
              </w:rPr>
              <w:t>Affected Public</w:t>
            </w:r>
          </w:p>
        </w:tc>
        <w:tc>
          <w:tcPr>
            <w:tcW w:w="2971" w:type="dxa"/>
            <w:tcBorders>
              <w:top w:val="single" w:sz="4" w:space="0" w:color="auto"/>
              <w:left w:val="nil"/>
              <w:bottom w:val="single" w:sz="4" w:space="0" w:color="auto"/>
              <w:right w:val="single" w:sz="4" w:space="0" w:color="auto"/>
            </w:tcBorders>
            <w:shd w:val="clear" w:color="auto" w:fill="auto"/>
            <w:vAlign w:val="center"/>
            <w:hideMark/>
          </w:tcPr>
          <w:p w:rsidR="00EB24A1" w:rsidRPr="00D63410" w:rsidRDefault="00EB24A1" w:rsidP="00075B11">
            <w:pPr>
              <w:spacing w:after="0" w:line="240" w:lineRule="auto"/>
              <w:jc w:val="center"/>
              <w:rPr>
                <w:rFonts w:eastAsia="Times New Roman" w:cs="Arial"/>
                <w:sz w:val="18"/>
                <w:szCs w:val="18"/>
              </w:rPr>
            </w:pPr>
            <w:r w:rsidRPr="00D63410">
              <w:rPr>
                <w:rFonts w:eastAsia="Times New Roman" w:cs="Arial"/>
                <w:sz w:val="18"/>
                <w:szCs w:val="18"/>
              </w:rPr>
              <w:t xml:space="preserve">(a)                                                                   Description of Record keeping Activity </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rsidR="00EB24A1" w:rsidRPr="00D63410" w:rsidRDefault="00EB24A1" w:rsidP="00075B11">
            <w:pPr>
              <w:spacing w:after="0" w:line="240" w:lineRule="auto"/>
              <w:jc w:val="center"/>
              <w:rPr>
                <w:rFonts w:eastAsia="Times New Roman" w:cs="Arial"/>
                <w:sz w:val="18"/>
                <w:szCs w:val="18"/>
              </w:rPr>
            </w:pPr>
            <w:r w:rsidRPr="00D63410">
              <w:rPr>
                <w:rFonts w:eastAsia="Times New Roman" w:cs="Arial"/>
                <w:sz w:val="18"/>
                <w:szCs w:val="18"/>
              </w:rPr>
              <w:t>(b)          Instrument Type</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EB24A1" w:rsidRPr="00D63410" w:rsidRDefault="00EB24A1" w:rsidP="00075B11">
            <w:pPr>
              <w:spacing w:after="0" w:line="240" w:lineRule="auto"/>
              <w:jc w:val="center"/>
              <w:rPr>
                <w:rFonts w:eastAsia="Times New Roman" w:cs="Arial"/>
                <w:sz w:val="18"/>
                <w:szCs w:val="18"/>
              </w:rPr>
            </w:pPr>
            <w:r w:rsidRPr="00D63410">
              <w:rPr>
                <w:rFonts w:eastAsia="Times New Roman" w:cs="Arial"/>
                <w:sz w:val="18"/>
                <w:szCs w:val="18"/>
              </w:rPr>
              <w:t>(c )                                         No. Respon</w:t>
            </w:r>
            <w:r>
              <w:rPr>
                <w:rFonts w:eastAsia="Times New Roman" w:cs="Arial"/>
                <w:sz w:val="18"/>
                <w:szCs w:val="18"/>
              </w:rPr>
              <w:t>-</w:t>
            </w:r>
            <w:r w:rsidRPr="00D63410">
              <w:rPr>
                <w:rFonts w:eastAsia="Times New Roman" w:cs="Arial"/>
                <w:sz w:val="18"/>
                <w:szCs w:val="18"/>
              </w:rPr>
              <w:t>dents</w:t>
            </w:r>
          </w:p>
        </w:tc>
        <w:tc>
          <w:tcPr>
            <w:tcW w:w="1171" w:type="dxa"/>
            <w:tcBorders>
              <w:top w:val="single" w:sz="4" w:space="0" w:color="auto"/>
              <w:left w:val="nil"/>
              <w:bottom w:val="single" w:sz="4" w:space="0" w:color="auto"/>
              <w:right w:val="single" w:sz="4" w:space="0" w:color="auto"/>
            </w:tcBorders>
            <w:shd w:val="clear" w:color="auto" w:fill="auto"/>
            <w:vAlign w:val="center"/>
            <w:hideMark/>
          </w:tcPr>
          <w:p w:rsidR="00EB24A1" w:rsidRPr="00D63410" w:rsidRDefault="00EB24A1" w:rsidP="00075B11">
            <w:pPr>
              <w:spacing w:after="0" w:line="240" w:lineRule="auto"/>
              <w:jc w:val="center"/>
              <w:rPr>
                <w:rFonts w:eastAsia="Times New Roman" w:cs="Arial"/>
                <w:sz w:val="18"/>
                <w:szCs w:val="18"/>
              </w:rPr>
            </w:pPr>
            <w:r w:rsidRPr="00D63410">
              <w:rPr>
                <w:rFonts w:eastAsia="Times New Roman" w:cs="Arial"/>
                <w:sz w:val="18"/>
                <w:szCs w:val="18"/>
              </w:rPr>
              <w:t>(d)                                                    No. Responses Per Respondent</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EB24A1" w:rsidRPr="00D63410" w:rsidRDefault="00EB24A1" w:rsidP="00075B11">
            <w:pPr>
              <w:spacing w:after="0" w:line="240" w:lineRule="auto"/>
              <w:jc w:val="center"/>
              <w:rPr>
                <w:rFonts w:eastAsia="Times New Roman" w:cs="Arial"/>
                <w:sz w:val="18"/>
                <w:szCs w:val="18"/>
              </w:rPr>
            </w:pPr>
            <w:r w:rsidRPr="00D63410">
              <w:rPr>
                <w:rFonts w:eastAsia="Times New Roman" w:cs="Arial"/>
                <w:sz w:val="18"/>
                <w:szCs w:val="18"/>
              </w:rPr>
              <w:t>(e)                                     Total Annual Responses                                         (cxd)</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rsidR="00EB24A1" w:rsidRPr="00D63410" w:rsidRDefault="00EB24A1" w:rsidP="00075B11">
            <w:pPr>
              <w:spacing w:after="0" w:line="240" w:lineRule="auto"/>
              <w:jc w:val="center"/>
              <w:rPr>
                <w:rFonts w:eastAsia="Times New Roman" w:cs="Arial"/>
                <w:sz w:val="18"/>
                <w:szCs w:val="18"/>
              </w:rPr>
            </w:pPr>
            <w:r w:rsidRPr="00D63410">
              <w:rPr>
                <w:rFonts w:eastAsia="Times New Roman" w:cs="Arial"/>
                <w:sz w:val="18"/>
                <w:szCs w:val="18"/>
              </w:rPr>
              <w:t>(f)                               Hours Per Response</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EB24A1" w:rsidRPr="00D63410" w:rsidRDefault="00EB24A1" w:rsidP="00075B11">
            <w:pPr>
              <w:spacing w:after="0" w:line="240" w:lineRule="auto"/>
              <w:jc w:val="center"/>
              <w:rPr>
                <w:rFonts w:eastAsia="Times New Roman" w:cs="Arial"/>
                <w:sz w:val="18"/>
                <w:szCs w:val="18"/>
              </w:rPr>
            </w:pPr>
            <w:r w:rsidRPr="00D63410">
              <w:rPr>
                <w:rFonts w:eastAsia="Times New Roman" w:cs="Arial"/>
                <w:sz w:val="18"/>
                <w:szCs w:val="18"/>
              </w:rPr>
              <w:t>(g)                              Total Burden                                        (exf)</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EB24A1" w:rsidRPr="00D63410" w:rsidRDefault="00EB24A1" w:rsidP="00075B11">
            <w:pPr>
              <w:spacing w:after="0" w:line="240" w:lineRule="auto"/>
              <w:jc w:val="center"/>
              <w:rPr>
                <w:rFonts w:eastAsia="Times New Roman" w:cs="Arial"/>
                <w:sz w:val="18"/>
                <w:szCs w:val="18"/>
              </w:rPr>
            </w:pPr>
            <w:r w:rsidRPr="00D63410">
              <w:rPr>
                <w:rFonts w:eastAsia="Times New Roman" w:cs="Arial"/>
                <w:sz w:val="18"/>
                <w:szCs w:val="18"/>
              </w:rPr>
              <w:t>Estimated Annual Burden hours (g/3years)</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rsidR="00EB24A1" w:rsidRPr="00D63410" w:rsidRDefault="00EB24A1" w:rsidP="00075B11">
            <w:pPr>
              <w:spacing w:after="0" w:line="240" w:lineRule="auto"/>
              <w:jc w:val="center"/>
              <w:rPr>
                <w:rFonts w:eastAsia="Times New Roman" w:cs="Arial"/>
                <w:sz w:val="18"/>
                <w:szCs w:val="18"/>
              </w:rPr>
            </w:pPr>
            <w:r w:rsidRPr="00D63410">
              <w:rPr>
                <w:rFonts w:eastAsia="Times New Roman" w:cs="Arial"/>
                <w:sz w:val="18"/>
                <w:szCs w:val="18"/>
              </w:rPr>
              <w:t>Hourly Wage Rate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EB24A1" w:rsidRPr="00D63410" w:rsidRDefault="00EB24A1" w:rsidP="00075B11">
            <w:pPr>
              <w:spacing w:after="0" w:line="240" w:lineRule="auto"/>
              <w:jc w:val="center"/>
              <w:rPr>
                <w:rFonts w:eastAsia="Times New Roman" w:cs="Arial"/>
                <w:sz w:val="18"/>
                <w:szCs w:val="18"/>
              </w:rPr>
            </w:pPr>
            <w:r w:rsidRPr="00D63410">
              <w:rPr>
                <w:rFonts w:eastAsia="Times New Roman" w:cs="Arial"/>
                <w:sz w:val="18"/>
                <w:szCs w:val="18"/>
              </w:rPr>
              <w:t>Annual Cost to Respondent (jxk)</w:t>
            </w:r>
          </w:p>
        </w:tc>
      </w:tr>
      <w:tr w:rsidR="00EB24A1" w:rsidRPr="004978D7" w:rsidTr="00075B11">
        <w:trPr>
          <w:trHeight w:val="240"/>
        </w:trPr>
        <w:tc>
          <w:tcPr>
            <w:tcW w:w="14041"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B24A1" w:rsidRPr="000F3A73" w:rsidRDefault="00EB24A1" w:rsidP="00075B11">
            <w:pPr>
              <w:spacing w:after="0" w:line="240" w:lineRule="auto"/>
              <w:jc w:val="center"/>
              <w:rPr>
                <w:rFonts w:eastAsia="Times New Roman" w:cs="Arial"/>
                <w:b/>
                <w:bCs/>
                <w:sz w:val="20"/>
                <w:szCs w:val="20"/>
              </w:rPr>
            </w:pPr>
            <w:r w:rsidRPr="000F3A73">
              <w:rPr>
                <w:rFonts w:eastAsia="Times New Roman" w:cs="Arial"/>
                <w:b/>
                <w:bCs/>
                <w:sz w:val="20"/>
                <w:szCs w:val="20"/>
              </w:rPr>
              <w:t>Business - Not- for- Profit (Sponsors) Reporting</w:t>
            </w:r>
          </w:p>
        </w:tc>
      </w:tr>
      <w:tr w:rsidR="00EB24A1" w:rsidRPr="004978D7" w:rsidTr="00075B11">
        <w:trPr>
          <w:trHeight w:val="480"/>
        </w:trPr>
        <w:tc>
          <w:tcPr>
            <w:tcW w:w="1350" w:type="dxa"/>
            <w:tcBorders>
              <w:top w:val="single" w:sz="4" w:space="0" w:color="auto"/>
              <w:left w:val="single" w:sz="4" w:space="0" w:color="auto"/>
              <w:bottom w:val="single" w:sz="4" w:space="0" w:color="auto"/>
              <w:right w:val="single" w:sz="4" w:space="0" w:color="auto"/>
            </w:tcBorders>
            <w:shd w:val="clear" w:color="000000" w:fill="CCECFF"/>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Business (Sponsors)</w:t>
            </w:r>
          </w:p>
        </w:tc>
        <w:tc>
          <w:tcPr>
            <w:tcW w:w="2971"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Sponsors and sites from demo 3 &amp; 4</w:t>
            </w:r>
            <w:r w:rsidRPr="00CA6DA7">
              <w:rPr>
                <w:rFonts w:eastAsia="Times New Roman" w:cs="Arial"/>
                <w:sz w:val="20"/>
                <w:szCs w:val="20"/>
                <w:vertAlign w:val="superscript"/>
              </w:rPr>
              <w:t>a</w:t>
            </w:r>
          </w:p>
        </w:tc>
        <w:tc>
          <w:tcPr>
            <w:tcW w:w="1169" w:type="dxa"/>
            <w:tcBorders>
              <w:top w:val="single" w:sz="4" w:space="0" w:color="auto"/>
              <w:left w:val="nil"/>
              <w:bottom w:val="single" w:sz="4" w:space="0" w:color="auto"/>
              <w:right w:val="single" w:sz="4" w:space="0" w:color="auto"/>
            </w:tcBorders>
            <w:shd w:val="clear" w:color="auto" w:fill="auto"/>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In person interview</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60</w:t>
            </w:r>
          </w:p>
        </w:tc>
        <w:tc>
          <w:tcPr>
            <w:tcW w:w="1171"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2.00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120.00</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1.00</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120.00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40</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xml:space="preserve"> $   27.00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Pr>
                <w:rFonts w:eastAsia="Times New Roman" w:cs="Arial"/>
                <w:sz w:val="20"/>
                <w:szCs w:val="20"/>
              </w:rPr>
              <w:t xml:space="preserve"> $    1</w:t>
            </w:r>
            <w:r w:rsidRPr="000F3A73">
              <w:rPr>
                <w:rFonts w:eastAsia="Times New Roman" w:cs="Arial"/>
                <w:sz w:val="20"/>
                <w:szCs w:val="20"/>
              </w:rPr>
              <w:t xml:space="preserve">,080.00 </w:t>
            </w:r>
          </w:p>
        </w:tc>
      </w:tr>
      <w:tr w:rsidR="00EB24A1" w:rsidRPr="004978D7" w:rsidTr="00075B11">
        <w:trPr>
          <w:trHeight w:val="480"/>
        </w:trPr>
        <w:tc>
          <w:tcPr>
            <w:tcW w:w="1350" w:type="dxa"/>
            <w:tcBorders>
              <w:top w:val="single" w:sz="4" w:space="0" w:color="auto"/>
              <w:left w:val="single" w:sz="4" w:space="0" w:color="auto"/>
              <w:bottom w:val="single" w:sz="4" w:space="0" w:color="auto"/>
              <w:right w:val="nil"/>
            </w:tcBorders>
            <w:shd w:val="clear" w:color="000000" w:fill="CCECFF"/>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w:t>
            </w:r>
          </w:p>
        </w:tc>
        <w:tc>
          <w:tcPr>
            <w:tcW w:w="2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Sponsors and sites from demo 1 &amp; 2</w:t>
            </w:r>
            <w:r w:rsidRPr="00CA6DA7">
              <w:rPr>
                <w:rFonts w:eastAsia="Times New Roman" w:cs="Arial"/>
                <w:sz w:val="20"/>
                <w:szCs w:val="20"/>
                <w:vertAlign w:val="superscript"/>
              </w:rPr>
              <w:t>b</w:t>
            </w:r>
          </w:p>
        </w:tc>
        <w:tc>
          <w:tcPr>
            <w:tcW w:w="1169" w:type="dxa"/>
            <w:tcBorders>
              <w:top w:val="single" w:sz="4" w:space="0" w:color="auto"/>
              <w:left w:val="nil"/>
              <w:bottom w:val="single" w:sz="4" w:space="0" w:color="auto"/>
              <w:right w:val="single" w:sz="4" w:space="0" w:color="auto"/>
            </w:tcBorders>
            <w:shd w:val="clear" w:color="auto" w:fill="auto"/>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In person interview</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20</w:t>
            </w:r>
          </w:p>
        </w:tc>
        <w:tc>
          <w:tcPr>
            <w:tcW w:w="1171"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1.00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20.00</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1.00</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20.00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6.67</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xml:space="preserve"> $   27.00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Pr>
                <w:rFonts w:eastAsia="Times New Roman" w:cs="Arial"/>
                <w:sz w:val="20"/>
                <w:szCs w:val="20"/>
              </w:rPr>
              <w:t xml:space="preserve"> $       </w:t>
            </w:r>
            <w:r w:rsidRPr="000F3A73">
              <w:rPr>
                <w:rFonts w:eastAsia="Times New Roman" w:cs="Arial"/>
                <w:sz w:val="20"/>
                <w:szCs w:val="20"/>
              </w:rPr>
              <w:t xml:space="preserve">180.00 </w:t>
            </w:r>
          </w:p>
        </w:tc>
      </w:tr>
      <w:tr w:rsidR="00EB24A1" w:rsidRPr="004978D7" w:rsidTr="00075B11">
        <w:trPr>
          <w:trHeight w:val="720"/>
        </w:trPr>
        <w:tc>
          <w:tcPr>
            <w:tcW w:w="1350" w:type="dxa"/>
            <w:tcBorders>
              <w:top w:val="single" w:sz="4" w:space="0" w:color="auto"/>
              <w:left w:val="single" w:sz="4" w:space="0" w:color="auto"/>
              <w:bottom w:val="single" w:sz="4" w:space="0" w:color="auto"/>
              <w:right w:val="single" w:sz="4" w:space="0" w:color="auto"/>
            </w:tcBorders>
            <w:shd w:val="clear" w:color="000000" w:fill="CCECFF"/>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w:t>
            </w:r>
          </w:p>
        </w:tc>
        <w:tc>
          <w:tcPr>
            <w:tcW w:w="2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Sponsor and sites from demo 3 &amp; 4</w:t>
            </w:r>
            <w:r w:rsidRPr="00B75BE9">
              <w:rPr>
                <w:rFonts w:eastAsia="Times New Roman" w:cs="Arial"/>
                <w:sz w:val="20"/>
                <w:szCs w:val="20"/>
                <w:vertAlign w:val="superscript"/>
              </w:rPr>
              <w:t>c</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Cost instrument - extended</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20</w:t>
            </w:r>
          </w:p>
        </w:tc>
        <w:tc>
          <w:tcPr>
            <w:tcW w:w="11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2.00</w:t>
            </w:r>
          </w:p>
        </w:tc>
        <w:tc>
          <w:tcPr>
            <w:tcW w:w="9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40.00</w:t>
            </w:r>
          </w:p>
        </w:tc>
        <w:tc>
          <w:tcPr>
            <w:tcW w:w="107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1.00</w:t>
            </w:r>
          </w:p>
        </w:tc>
        <w:tc>
          <w:tcPr>
            <w:tcW w:w="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40.00</w:t>
            </w:r>
          </w:p>
        </w:tc>
        <w:tc>
          <w:tcPr>
            <w:tcW w:w="9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13.30</w:t>
            </w:r>
          </w:p>
        </w:tc>
        <w:tc>
          <w:tcPr>
            <w:tcW w:w="10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xml:space="preserve"> $   27.00 </w:t>
            </w:r>
          </w:p>
        </w:tc>
        <w:tc>
          <w:tcPr>
            <w:tcW w:w="1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Pr>
                <w:rFonts w:eastAsia="Times New Roman" w:cs="Arial"/>
                <w:sz w:val="20"/>
                <w:szCs w:val="20"/>
              </w:rPr>
              <w:t xml:space="preserve"> $       </w:t>
            </w:r>
            <w:r w:rsidRPr="000F3A73">
              <w:rPr>
                <w:rFonts w:eastAsia="Times New Roman" w:cs="Arial"/>
                <w:sz w:val="20"/>
                <w:szCs w:val="20"/>
              </w:rPr>
              <w:t xml:space="preserve">360.00 </w:t>
            </w:r>
          </w:p>
        </w:tc>
      </w:tr>
      <w:tr w:rsidR="00EB24A1" w:rsidRPr="004978D7" w:rsidTr="00075B11">
        <w:trPr>
          <w:trHeight w:val="720"/>
        </w:trPr>
        <w:tc>
          <w:tcPr>
            <w:tcW w:w="1350" w:type="dxa"/>
            <w:tcBorders>
              <w:top w:val="single" w:sz="4" w:space="0" w:color="auto"/>
              <w:left w:val="single" w:sz="4" w:space="0" w:color="auto"/>
              <w:bottom w:val="single" w:sz="4" w:space="0" w:color="auto"/>
              <w:right w:val="nil"/>
            </w:tcBorders>
            <w:shd w:val="clear" w:color="000000" w:fill="CCECFF"/>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w:t>
            </w:r>
          </w:p>
        </w:tc>
        <w:tc>
          <w:tcPr>
            <w:tcW w:w="2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Sponsor and sites from demo 1 &amp; 2</w:t>
            </w:r>
            <w:r w:rsidRPr="00B75BE9">
              <w:rPr>
                <w:rFonts w:eastAsia="Times New Roman" w:cs="Arial"/>
                <w:sz w:val="20"/>
                <w:szCs w:val="20"/>
                <w:vertAlign w:val="superscript"/>
              </w:rPr>
              <w:t>c</w:t>
            </w:r>
          </w:p>
        </w:tc>
        <w:tc>
          <w:tcPr>
            <w:tcW w:w="1169" w:type="dxa"/>
            <w:tcBorders>
              <w:top w:val="single" w:sz="4" w:space="0" w:color="auto"/>
              <w:left w:val="nil"/>
              <w:bottom w:val="single" w:sz="4" w:space="0" w:color="auto"/>
              <w:right w:val="single" w:sz="4" w:space="0" w:color="auto"/>
            </w:tcBorders>
            <w:shd w:val="clear" w:color="auto" w:fill="auto"/>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Cost instrument - extended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148</w:t>
            </w:r>
          </w:p>
        </w:tc>
        <w:tc>
          <w:tcPr>
            <w:tcW w:w="1171"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1.00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148.00</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1.00</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148.00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49.33</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xml:space="preserve"> $   27.00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xml:space="preserve"> $    1,332.00 </w:t>
            </w:r>
          </w:p>
        </w:tc>
      </w:tr>
      <w:tr w:rsidR="00EB24A1" w:rsidRPr="004978D7" w:rsidTr="00075B11">
        <w:trPr>
          <w:trHeight w:val="480"/>
        </w:trPr>
        <w:tc>
          <w:tcPr>
            <w:tcW w:w="1350" w:type="dxa"/>
            <w:tcBorders>
              <w:top w:val="single" w:sz="4" w:space="0" w:color="auto"/>
              <w:left w:val="single" w:sz="4" w:space="0" w:color="auto"/>
              <w:bottom w:val="single" w:sz="4" w:space="0" w:color="auto"/>
              <w:right w:val="nil"/>
            </w:tcBorders>
            <w:shd w:val="clear" w:color="000000" w:fill="CCECFF"/>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w:t>
            </w:r>
          </w:p>
        </w:tc>
        <w:tc>
          <w:tcPr>
            <w:tcW w:w="2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Demonstration Sponsor from demo 3 &amp; 4</w:t>
            </w:r>
            <w:r w:rsidRPr="00752EEF">
              <w:rPr>
                <w:sz w:val="18"/>
                <w:szCs w:val="18"/>
                <w:vertAlign w:val="superscript"/>
              </w:rPr>
              <w:t xml:space="preserve"> </w:t>
            </w:r>
            <w:r>
              <w:rPr>
                <w:sz w:val="18"/>
                <w:szCs w:val="18"/>
                <w:vertAlign w:val="superscript"/>
              </w:rPr>
              <w:t>d</w:t>
            </w:r>
          </w:p>
        </w:tc>
        <w:tc>
          <w:tcPr>
            <w:tcW w:w="1169" w:type="dxa"/>
            <w:tcBorders>
              <w:top w:val="single" w:sz="4" w:space="0" w:color="auto"/>
              <w:left w:val="nil"/>
              <w:bottom w:val="single" w:sz="4" w:space="0" w:color="auto"/>
              <w:right w:val="single" w:sz="4" w:space="0" w:color="auto"/>
            </w:tcBorders>
            <w:shd w:val="clear" w:color="auto" w:fill="auto"/>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Document Review</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20</w:t>
            </w:r>
          </w:p>
        </w:tc>
        <w:tc>
          <w:tcPr>
            <w:tcW w:w="1171"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Pr>
                <w:rFonts w:eastAsia="Times New Roman" w:cs="Arial"/>
                <w:sz w:val="20"/>
                <w:szCs w:val="20"/>
              </w:rPr>
              <w:t>2.00</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40.00</w:t>
            </w:r>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0.08</w:t>
            </w:r>
          </w:p>
        </w:tc>
        <w:tc>
          <w:tcPr>
            <w:tcW w:w="991"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3.20</w:t>
            </w:r>
          </w:p>
        </w:tc>
        <w:tc>
          <w:tcPr>
            <w:tcW w:w="967"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1.07</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xml:space="preserve"> $   27.00 </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Pr>
                <w:rFonts w:eastAsia="Times New Roman" w:cs="Arial"/>
                <w:sz w:val="20"/>
                <w:szCs w:val="20"/>
              </w:rPr>
              <w:t xml:space="preserve"> $         </w:t>
            </w:r>
            <w:r w:rsidRPr="000F3A73">
              <w:rPr>
                <w:rFonts w:eastAsia="Times New Roman" w:cs="Arial"/>
                <w:sz w:val="20"/>
                <w:szCs w:val="20"/>
              </w:rPr>
              <w:t xml:space="preserve">28.80 </w:t>
            </w:r>
          </w:p>
        </w:tc>
      </w:tr>
      <w:tr w:rsidR="00EB24A1" w:rsidRPr="004978D7" w:rsidTr="00075B11">
        <w:trPr>
          <w:trHeight w:val="495"/>
        </w:trPr>
        <w:tc>
          <w:tcPr>
            <w:tcW w:w="1350" w:type="dxa"/>
            <w:tcBorders>
              <w:top w:val="single" w:sz="4" w:space="0" w:color="auto"/>
              <w:left w:val="single" w:sz="4" w:space="0" w:color="auto"/>
              <w:bottom w:val="single" w:sz="4" w:space="0" w:color="auto"/>
              <w:right w:val="single" w:sz="4" w:space="0" w:color="auto"/>
            </w:tcBorders>
            <w:shd w:val="clear" w:color="000000" w:fill="CCECFF"/>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w:t>
            </w:r>
          </w:p>
        </w:tc>
        <w:tc>
          <w:tcPr>
            <w:tcW w:w="29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Demonstration Sponsor from demo 1 &amp; 2</w:t>
            </w:r>
            <w:r w:rsidRPr="00752EEF">
              <w:rPr>
                <w:sz w:val="18"/>
                <w:szCs w:val="18"/>
                <w:vertAlign w:val="superscript"/>
              </w:rPr>
              <w:t xml:space="preserve"> </w:t>
            </w:r>
            <w:r>
              <w:rPr>
                <w:sz w:val="18"/>
                <w:szCs w:val="18"/>
                <w:vertAlign w:val="superscript"/>
              </w:rPr>
              <w:t>d</w:t>
            </w:r>
          </w:p>
        </w:tc>
        <w:tc>
          <w:tcPr>
            <w:tcW w:w="1169" w:type="dxa"/>
            <w:tcBorders>
              <w:top w:val="single" w:sz="4" w:space="0" w:color="auto"/>
              <w:left w:val="nil"/>
              <w:bottom w:val="nil"/>
              <w:right w:val="single" w:sz="4" w:space="0" w:color="auto"/>
            </w:tcBorders>
            <w:shd w:val="clear" w:color="auto" w:fill="auto"/>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Document Review</w:t>
            </w:r>
          </w:p>
        </w:tc>
        <w:tc>
          <w:tcPr>
            <w:tcW w:w="1080" w:type="dxa"/>
            <w:tcBorders>
              <w:top w:val="single" w:sz="4" w:space="0" w:color="auto"/>
              <w:left w:val="nil"/>
              <w:bottom w:val="nil"/>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148</w:t>
            </w:r>
          </w:p>
        </w:tc>
        <w:tc>
          <w:tcPr>
            <w:tcW w:w="1171" w:type="dxa"/>
            <w:tcBorders>
              <w:top w:val="single" w:sz="4" w:space="0" w:color="auto"/>
              <w:left w:val="nil"/>
              <w:bottom w:val="nil"/>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1.00</w:t>
            </w:r>
          </w:p>
        </w:tc>
        <w:tc>
          <w:tcPr>
            <w:tcW w:w="990" w:type="dxa"/>
            <w:tcBorders>
              <w:top w:val="single" w:sz="4" w:space="0" w:color="auto"/>
              <w:left w:val="nil"/>
              <w:bottom w:val="nil"/>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148.00</w:t>
            </w:r>
          </w:p>
        </w:tc>
        <w:tc>
          <w:tcPr>
            <w:tcW w:w="1079" w:type="dxa"/>
            <w:tcBorders>
              <w:top w:val="single" w:sz="4" w:space="0" w:color="auto"/>
              <w:left w:val="nil"/>
              <w:bottom w:val="nil"/>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0.08</w:t>
            </w:r>
          </w:p>
        </w:tc>
        <w:tc>
          <w:tcPr>
            <w:tcW w:w="991" w:type="dxa"/>
            <w:tcBorders>
              <w:top w:val="single" w:sz="4" w:space="0" w:color="auto"/>
              <w:left w:val="nil"/>
              <w:bottom w:val="nil"/>
              <w:right w:val="nil"/>
            </w:tcBorders>
            <w:shd w:val="clear" w:color="auto" w:fill="auto"/>
            <w:noWrap/>
            <w:vAlign w:val="bottom"/>
            <w:hideMark/>
          </w:tcPr>
          <w:p w:rsidR="00EB24A1" w:rsidRPr="000F3A73" w:rsidRDefault="00EB24A1" w:rsidP="00075B11">
            <w:pPr>
              <w:spacing w:after="0" w:line="240" w:lineRule="auto"/>
              <w:jc w:val="right"/>
              <w:rPr>
                <w:rFonts w:eastAsia="Times New Roman" w:cs="Arial"/>
                <w:sz w:val="20"/>
                <w:szCs w:val="20"/>
              </w:rPr>
            </w:pPr>
            <w:r w:rsidRPr="000F3A73">
              <w:rPr>
                <w:rFonts w:eastAsia="Times New Roman" w:cs="Arial"/>
                <w:sz w:val="20"/>
                <w:szCs w:val="20"/>
              </w:rPr>
              <w:t>11.8</w:t>
            </w:r>
          </w:p>
        </w:tc>
        <w:tc>
          <w:tcPr>
            <w:tcW w:w="967" w:type="dxa"/>
            <w:tcBorders>
              <w:top w:val="single" w:sz="4" w:space="0" w:color="auto"/>
              <w:left w:val="single" w:sz="4" w:space="0" w:color="auto"/>
              <w:bottom w:val="nil"/>
              <w:right w:val="single" w:sz="4" w:space="0" w:color="auto"/>
            </w:tcBorders>
            <w:shd w:val="clear" w:color="auto" w:fill="auto"/>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3.9</w:t>
            </w:r>
          </w:p>
        </w:tc>
        <w:tc>
          <w:tcPr>
            <w:tcW w:w="1013" w:type="dxa"/>
            <w:tcBorders>
              <w:top w:val="single" w:sz="4" w:space="0" w:color="auto"/>
              <w:left w:val="nil"/>
              <w:bottom w:val="nil"/>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sidRPr="000F3A73">
              <w:rPr>
                <w:rFonts w:eastAsia="Times New Roman" w:cs="Arial"/>
                <w:sz w:val="20"/>
                <w:szCs w:val="20"/>
              </w:rPr>
              <w:t xml:space="preserve"> $   27.00 </w:t>
            </w:r>
          </w:p>
        </w:tc>
        <w:tc>
          <w:tcPr>
            <w:tcW w:w="1260" w:type="dxa"/>
            <w:tcBorders>
              <w:top w:val="single" w:sz="4" w:space="0" w:color="auto"/>
              <w:left w:val="nil"/>
              <w:bottom w:val="nil"/>
              <w:right w:val="single" w:sz="4" w:space="0" w:color="auto"/>
            </w:tcBorders>
            <w:shd w:val="clear" w:color="auto" w:fill="auto"/>
            <w:noWrap/>
            <w:vAlign w:val="bottom"/>
            <w:hideMark/>
          </w:tcPr>
          <w:p w:rsidR="00EB24A1" w:rsidRPr="000F3A73" w:rsidRDefault="00EB24A1" w:rsidP="00075B11">
            <w:pPr>
              <w:spacing w:after="0" w:line="240" w:lineRule="auto"/>
              <w:rPr>
                <w:rFonts w:eastAsia="Times New Roman" w:cs="Arial"/>
                <w:sz w:val="20"/>
                <w:szCs w:val="20"/>
              </w:rPr>
            </w:pPr>
            <w:r>
              <w:rPr>
                <w:rFonts w:eastAsia="Times New Roman" w:cs="Arial"/>
                <w:sz w:val="20"/>
                <w:szCs w:val="20"/>
              </w:rPr>
              <w:t xml:space="preserve"> $       </w:t>
            </w:r>
            <w:r w:rsidRPr="000F3A73">
              <w:rPr>
                <w:rFonts w:eastAsia="Times New Roman" w:cs="Arial"/>
                <w:sz w:val="20"/>
                <w:szCs w:val="20"/>
              </w:rPr>
              <w:t xml:space="preserve">106.56 </w:t>
            </w:r>
          </w:p>
        </w:tc>
      </w:tr>
      <w:tr w:rsidR="00EB24A1" w:rsidRPr="004978D7" w:rsidTr="00075B11">
        <w:trPr>
          <w:trHeight w:val="255"/>
        </w:trPr>
        <w:tc>
          <w:tcPr>
            <w:tcW w:w="1350" w:type="dxa"/>
            <w:tcBorders>
              <w:top w:val="single" w:sz="4" w:space="0" w:color="auto"/>
              <w:left w:val="single" w:sz="8" w:space="0" w:color="auto"/>
              <w:bottom w:val="single" w:sz="8" w:space="0" w:color="auto"/>
              <w:right w:val="nil"/>
            </w:tcBorders>
            <w:shd w:val="clear" w:color="000000" w:fill="CCECFF"/>
            <w:noWrap/>
            <w:vAlign w:val="bottom"/>
            <w:hideMark/>
          </w:tcPr>
          <w:p w:rsidR="00EB24A1" w:rsidRPr="000F3A73" w:rsidRDefault="00EB24A1" w:rsidP="00075B11">
            <w:pPr>
              <w:spacing w:after="0" w:line="240" w:lineRule="auto"/>
              <w:rPr>
                <w:rFonts w:eastAsia="Times New Roman" w:cs="Arial"/>
                <w:b/>
                <w:bCs/>
                <w:sz w:val="20"/>
                <w:szCs w:val="20"/>
              </w:rPr>
            </w:pPr>
            <w:r w:rsidRPr="000F3A73">
              <w:rPr>
                <w:rFonts w:eastAsia="Times New Roman" w:cs="Arial"/>
                <w:b/>
                <w:bCs/>
                <w:sz w:val="20"/>
                <w:szCs w:val="20"/>
              </w:rPr>
              <w:t> </w:t>
            </w:r>
          </w:p>
        </w:tc>
        <w:tc>
          <w:tcPr>
            <w:tcW w:w="2971" w:type="dxa"/>
            <w:tcBorders>
              <w:top w:val="single" w:sz="4" w:space="0" w:color="auto"/>
              <w:left w:val="single" w:sz="8" w:space="0" w:color="auto"/>
              <w:bottom w:val="single" w:sz="8" w:space="0" w:color="auto"/>
              <w:right w:val="single" w:sz="4" w:space="0" w:color="auto"/>
            </w:tcBorders>
            <w:shd w:val="clear" w:color="000000" w:fill="CCECFF"/>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Total Business Burden</w:t>
            </w:r>
          </w:p>
        </w:tc>
        <w:tc>
          <w:tcPr>
            <w:tcW w:w="1169" w:type="dxa"/>
            <w:tcBorders>
              <w:top w:val="single" w:sz="8" w:space="0" w:color="auto"/>
              <w:left w:val="nil"/>
              <w:bottom w:val="single" w:sz="8" w:space="0" w:color="auto"/>
              <w:right w:val="single" w:sz="4" w:space="0" w:color="auto"/>
            </w:tcBorders>
            <w:shd w:val="clear" w:color="000000" w:fill="CCECFF"/>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 </w:t>
            </w:r>
          </w:p>
        </w:tc>
        <w:tc>
          <w:tcPr>
            <w:tcW w:w="1080" w:type="dxa"/>
            <w:tcBorders>
              <w:top w:val="single" w:sz="8" w:space="0" w:color="auto"/>
              <w:left w:val="nil"/>
              <w:bottom w:val="single" w:sz="8" w:space="0" w:color="auto"/>
              <w:right w:val="single" w:sz="4" w:space="0" w:color="auto"/>
            </w:tcBorders>
            <w:shd w:val="clear" w:color="000000" w:fill="CCECFF"/>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168</w:t>
            </w:r>
          </w:p>
        </w:tc>
        <w:tc>
          <w:tcPr>
            <w:tcW w:w="1171" w:type="dxa"/>
            <w:tcBorders>
              <w:top w:val="single" w:sz="8" w:space="0" w:color="auto"/>
              <w:left w:val="nil"/>
              <w:bottom w:val="single" w:sz="8" w:space="0" w:color="auto"/>
              <w:right w:val="single" w:sz="4" w:space="0" w:color="auto"/>
            </w:tcBorders>
            <w:shd w:val="clear" w:color="000000" w:fill="CCECFF"/>
            <w:noWrap/>
            <w:vAlign w:val="bottom"/>
            <w:hideMark/>
          </w:tcPr>
          <w:p w:rsidR="00EB24A1" w:rsidRPr="000F3A73" w:rsidRDefault="00EB24A1" w:rsidP="00075B11">
            <w:pPr>
              <w:spacing w:after="0" w:line="240" w:lineRule="auto"/>
              <w:jc w:val="right"/>
              <w:rPr>
                <w:rFonts w:eastAsia="Times New Roman" w:cs="Arial"/>
                <w:bCs/>
                <w:sz w:val="20"/>
                <w:szCs w:val="20"/>
              </w:rPr>
            </w:pPr>
            <w:r>
              <w:rPr>
                <w:rFonts w:eastAsia="Times New Roman" w:cs="Arial"/>
                <w:bCs/>
                <w:sz w:val="20"/>
                <w:szCs w:val="20"/>
              </w:rPr>
              <w:t>3.07</w:t>
            </w:r>
          </w:p>
        </w:tc>
        <w:tc>
          <w:tcPr>
            <w:tcW w:w="990" w:type="dxa"/>
            <w:tcBorders>
              <w:top w:val="single" w:sz="8" w:space="0" w:color="auto"/>
              <w:left w:val="nil"/>
              <w:bottom w:val="single" w:sz="8" w:space="0" w:color="auto"/>
              <w:right w:val="single" w:sz="4" w:space="0" w:color="auto"/>
            </w:tcBorders>
            <w:shd w:val="clear" w:color="000000" w:fill="CCECFF"/>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516.00</w:t>
            </w:r>
          </w:p>
        </w:tc>
        <w:tc>
          <w:tcPr>
            <w:tcW w:w="1079" w:type="dxa"/>
            <w:tcBorders>
              <w:top w:val="single" w:sz="8" w:space="0" w:color="auto"/>
              <w:left w:val="nil"/>
              <w:bottom w:val="single" w:sz="8" w:space="0" w:color="auto"/>
              <w:right w:val="single" w:sz="4" w:space="0" w:color="auto"/>
            </w:tcBorders>
            <w:shd w:val="clear" w:color="000000" w:fill="CCECFF"/>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0.67</w:t>
            </w:r>
          </w:p>
        </w:tc>
        <w:tc>
          <w:tcPr>
            <w:tcW w:w="991" w:type="dxa"/>
            <w:tcBorders>
              <w:top w:val="single" w:sz="8" w:space="0" w:color="auto"/>
              <w:left w:val="nil"/>
              <w:bottom w:val="single" w:sz="8" w:space="0" w:color="auto"/>
              <w:right w:val="nil"/>
            </w:tcBorders>
            <w:shd w:val="clear" w:color="000000" w:fill="CCECFF"/>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343.04</w:t>
            </w:r>
          </w:p>
        </w:tc>
        <w:tc>
          <w:tcPr>
            <w:tcW w:w="967" w:type="dxa"/>
            <w:tcBorders>
              <w:top w:val="single" w:sz="8" w:space="0" w:color="auto"/>
              <w:left w:val="single" w:sz="4" w:space="0" w:color="auto"/>
              <w:bottom w:val="single" w:sz="8" w:space="0" w:color="auto"/>
              <w:right w:val="single" w:sz="4" w:space="0" w:color="auto"/>
            </w:tcBorders>
            <w:shd w:val="clear" w:color="000000" w:fill="CCECFF"/>
            <w:noWrap/>
            <w:vAlign w:val="bottom"/>
            <w:hideMark/>
          </w:tcPr>
          <w:p w:rsidR="00EB24A1" w:rsidRPr="000F3A73" w:rsidRDefault="00EB24A1" w:rsidP="00075B11">
            <w:pPr>
              <w:spacing w:after="0" w:line="240" w:lineRule="auto"/>
              <w:jc w:val="right"/>
              <w:rPr>
                <w:rFonts w:eastAsia="Times New Roman" w:cs="Arial"/>
                <w:bCs/>
                <w:sz w:val="20"/>
                <w:szCs w:val="20"/>
              </w:rPr>
            </w:pPr>
            <w:r w:rsidRPr="000F3A73">
              <w:rPr>
                <w:rFonts w:eastAsia="Times New Roman" w:cs="Arial"/>
                <w:bCs/>
                <w:sz w:val="20"/>
                <w:szCs w:val="20"/>
              </w:rPr>
              <w:t>114.35</w:t>
            </w:r>
          </w:p>
        </w:tc>
        <w:tc>
          <w:tcPr>
            <w:tcW w:w="1013" w:type="dxa"/>
            <w:tcBorders>
              <w:top w:val="single" w:sz="8" w:space="0" w:color="auto"/>
              <w:left w:val="nil"/>
              <w:bottom w:val="single" w:sz="8" w:space="0" w:color="auto"/>
              <w:right w:val="single" w:sz="4" w:space="0" w:color="auto"/>
            </w:tcBorders>
            <w:shd w:val="clear" w:color="000000" w:fill="CCECFF"/>
            <w:noWrap/>
            <w:vAlign w:val="bottom"/>
            <w:hideMark/>
          </w:tcPr>
          <w:p w:rsidR="00EB24A1" w:rsidRPr="000F3A73" w:rsidRDefault="00EB24A1" w:rsidP="00075B11">
            <w:pPr>
              <w:spacing w:after="0" w:line="240" w:lineRule="auto"/>
              <w:rPr>
                <w:rFonts w:eastAsia="Times New Roman" w:cs="Arial"/>
                <w:bCs/>
                <w:sz w:val="20"/>
                <w:szCs w:val="20"/>
              </w:rPr>
            </w:pPr>
            <w:r w:rsidRPr="000F3A73">
              <w:rPr>
                <w:rFonts w:eastAsia="Times New Roman" w:cs="Arial"/>
                <w:bCs/>
                <w:sz w:val="20"/>
                <w:szCs w:val="20"/>
              </w:rPr>
              <w:t xml:space="preserve"> $   27.00 </w:t>
            </w:r>
          </w:p>
        </w:tc>
        <w:tc>
          <w:tcPr>
            <w:tcW w:w="1260" w:type="dxa"/>
            <w:tcBorders>
              <w:top w:val="single" w:sz="8" w:space="0" w:color="auto"/>
              <w:left w:val="nil"/>
              <w:bottom w:val="single" w:sz="8" w:space="0" w:color="auto"/>
              <w:right w:val="single" w:sz="8" w:space="0" w:color="auto"/>
            </w:tcBorders>
            <w:shd w:val="clear" w:color="000000" w:fill="CCECFF"/>
            <w:noWrap/>
            <w:vAlign w:val="bottom"/>
            <w:hideMark/>
          </w:tcPr>
          <w:p w:rsidR="00EB24A1" w:rsidRPr="000F3A73" w:rsidRDefault="00EB24A1" w:rsidP="00075B11">
            <w:pPr>
              <w:spacing w:after="0" w:line="240" w:lineRule="auto"/>
              <w:rPr>
                <w:rFonts w:eastAsia="Times New Roman" w:cs="Arial"/>
                <w:bCs/>
                <w:sz w:val="20"/>
                <w:szCs w:val="20"/>
              </w:rPr>
            </w:pPr>
            <w:r>
              <w:rPr>
                <w:rFonts w:eastAsia="Times New Roman" w:cs="Arial"/>
                <w:bCs/>
                <w:sz w:val="20"/>
                <w:szCs w:val="20"/>
              </w:rPr>
              <w:t xml:space="preserve"> $    </w:t>
            </w:r>
            <w:r w:rsidRPr="000F3A73">
              <w:rPr>
                <w:rFonts w:eastAsia="Times New Roman" w:cs="Arial"/>
                <w:bCs/>
                <w:sz w:val="20"/>
                <w:szCs w:val="20"/>
              </w:rPr>
              <w:t xml:space="preserve">3,087.36 </w:t>
            </w:r>
          </w:p>
        </w:tc>
      </w:tr>
    </w:tbl>
    <w:p w:rsidR="00EB24A1" w:rsidRDefault="00EB24A1" w:rsidP="00EB24A1"/>
    <w:p w:rsidR="00EB24A1" w:rsidRPr="00B75BE9" w:rsidRDefault="00EB24A1" w:rsidP="00EB24A1">
      <w:pPr>
        <w:spacing w:after="0" w:line="240" w:lineRule="auto"/>
        <w:rPr>
          <w:rFonts w:eastAsia="Times New Roman"/>
          <w:color w:val="000000"/>
          <w:sz w:val="18"/>
          <w:szCs w:val="18"/>
        </w:rPr>
      </w:pPr>
      <w:r w:rsidRPr="00B75BE9">
        <w:rPr>
          <w:rFonts w:eastAsia="Times New Roman"/>
          <w:color w:val="000000"/>
          <w:sz w:val="18"/>
          <w:szCs w:val="18"/>
          <w:vertAlign w:val="superscript"/>
        </w:rPr>
        <w:t>a</w:t>
      </w:r>
      <w:r w:rsidRPr="00B75BE9">
        <w:rPr>
          <w:rFonts w:eastAsia="Times New Roman"/>
          <w:color w:val="000000"/>
          <w:sz w:val="18"/>
          <w:szCs w:val="18"/>
        </w:rPr>
        <w:t xml:space="preserve">Demos 3 and 4 have </w:t>
      </w:r>
      <w:r>
        <w:rPr>
          <w:rFonts w:eastAsia="Times New Roman"/>
          <w:color w:val="000000"/>
          <w:sz w:val="18"/>
          <w:szCs w:val="18"/>
        </w:rPr>
        <w:t xml:space="preserve">have a total of </w:t>
      </w:r>
      <w:r w:rsidRPr="00B75BE9">
        <w:rPr>
          <w:rFonts w:eastAsia="Times New Roman"/>
          <w:color w:val="000000"/>
          <w:sz w:val="18"/>
          <w:szCs w:val="18"/>
        </w:rPr>
        <w:t xml:space="preserve">20 sponsors. </w:t>
      </w:r>
      <w:r>
        <w:rPr>
          <w:rFonts w:eastAsia="Times New Roman"/>
          <w:color w:val="000000"/>
          <w:sz w:val="18"/>
          <w:szCs w:val="18"/>
        </w:rPr>
        <w:t>All 20 sponsors and up to 40 site staff/volunteers will be interviewed</w:t>
      </w:r>
      <w:r w:rsidRPr="00B75BE9">
        <w:rPr>
          <w:rFonts w:eastAsia="Times New Roman"/>
          <w:color w:val="000000"/>
          <w:sz w:val="18"/>
          <w:szCs w:val="18"/>
        </w:rPr>
        <w:t xml:space="preserve">. </w:t>
      </w:r>
    </w:p>
    <w:p w:rsidR="00EB24A1" w:rsidRPr="00B75BE9" w:rsidRDefault="00EB24A1" w:rsidP="00EB24A1">
      <w:pPr>
        <w:spacing w:after="0" w:line="240" w:lineRule="auto"/>
        <w:rPr>
          <w:rFonts w:eastAsia="Times New Roman"/>
          <w:color w:val="000000"/>
          <w:sz w:val="18"/>
          <w:szCs w:val="18"/>
        </w:rPr>
      </w:pPr>
    </w:p>
    <w:p w:rsidR="00EB24A1" w:rsidRPr="00B75BE9" w:rsidRDefault="00EB24A1" w:rsidP="00EB24A1">
      <w:pPr>
        <w:spacing w:after="0" w:line="240" w:lineRule="auto"/>
        <w:rPr>
          <w:rFonts w:eastAsia="Times New Roman"/>
          <w:color w:val="000000"/>
          <w:sz w:val="18"/>
          <w:szCs w:val="18"/>
        </w:rPr>
      </w:pPr>
      <w:r w:rsidRPr="00B75BE9">
        <w:rPr>
          <w:rFonts w:eastAsia="Times New Roman"/>
          <w:color w:val="000000"/>
          <w:sz w:val="18"/>
          <w:szCs w:val="18"/>
          <w:vertAlign w:val="superscript"/>
        </w:rPr>
        <w:t>b</w:t>
      </w:r>
      <w:r w:rsidRPr="00B75BE9">
        <w:rPr>
          <w:rFonts w:eastAsia="Times New Roman"/>
          <w:color w:val="000000"/>
          <w:sz w:val="18"/>
          <w:szCs w:val="18"/>
        </w:rPr>
        <w:t xml:space="preserve">Demos 1 and  2 </w:t>
      </w:r>
      <w:r>
        <w:rPr>
          <w:rFonts w:eastAsia="Times New Roman"/>
          <w:color w:val="000000"/>
          <w:sz w:val="18"/>
          <w:szCs w:val="18"/>
        </w:rPr>
        <w:t xml:space="preserve">are expected to </w:t>
      </w:r>
      <w:r w:rsidRPr="00B75BE9">
        <w:rPr>
          <w:rFonts w:eastAsia="Times New Roman"/>
          <w:color w:val="000000"/>
          <w:sz w:val="18"/>
          <w:szCs w:val="18"/>
        </w:rPr>
        <w:t xml:space="preserve">have </w:t>
      </w:r>
      <w:r>
        <w:rPr>
          <w:rFonts w:eastAsia="Times New Roman"/>
          <w:color w:val="000000"/>
          <w:sz w:val="18"/>
          <w:szCs w:val="18"/>
        </w:rPr>
        <w:t xml:space="preserve">approximately </w:t>
      </w:r>
      <w:r w:rsidRPr="00B75BE9">
        <w:rPr>
          <w:rFonts w:eastAsia="Times New Roman"/>
          <w:color w:val="000000"/>
          <w:sz w:val="18"/>
          <w:szCs w:val="18"/>
        </w:rPr>
        <w:t xml:space="preserve">148 sponsors and hundreds of sites. </w:t>
      </w:r>
      <w:r>
        <w:rPr>
          <w:rFonts w:eastAsia="Times New Roman"/>
          <w:color w:val="000000"/>
          <w:sz w:val="18"/>
          <w:szCs w:val="18"/>
        </w:rPr>
        <w:t>The contractor w</w:t>
      </w:r>
      <w:r w:rsidRPr="00B75BE9">
        <w:rPr>
          <w:rFonts w:eastAsia="Times New Roman"/>
          <w:color w:val="000000"/>
          <w:sz w:val="18"/>
          <w:szCs w:val="18"/>
        </w:rPr>
        <w:t xml:space="preserve">ill work with state grantees to identify </w:t>
      </w:r>
      <w:r>
        <w:rPr>
          <w:rFonts w:eastAsia="Times New Roman"/>
          <w:color w:val="000000"/>
          <w:sz w:val="18"/>
          <w:szCs w:val="18"/>
        </w:rPr>
        <w:t xml:space="preserve">a total of </w:t>
      </w:r>
      <w:r w:rsidRPr="00B75BE9">
        <w:rPr>
          <w:rFonts w:eastAsia="Times New Roman"/>
          <w:color w:val="000000"/>
          <w:sz w:val="18"/>
          <w:szCs w:val="18"/>
        </w:rPr>
        <w:t xml:space="preserve">up to 20 sponsors and sites. </w:t>
      </w:r>
    </w:p>
    <w:p w:rsidR="00EB24A1" w:rsidRPr="00B75BE9" w:rsidRDefault="00EB24A1" w:rsidP="00EB24A1">
      <w:pPr>
        <w:spacing w:after="0" w:line="240" w:lineRule="auto"/>
      </w:pPr>
    </w:p>
    <w:p w:rsidR="00EB24A1" w:rsidRPr="00B75BE9" w:rsidRDefault="00EB24A1" w:rsidP="00EB24A1">
      <w:pPr>
        <w:spacing w:after="0" w:line="240" w:lineRule="auto"/>
        <w:rPr>
          <w:rFonts w:eastAsia="Times New Roman"/>
          <w:color w:val="000000"/>
          <w:sz w:val="18"/>
          <w:szCs w:val="18"/>
        </w:rPr>
      </w:pPr>
      <w:r w:rsidRPr="00B75BE9">
        <w:rPr>
          <w:rFonts w:eastAsia="Times New Roman"/>
          <w:color w:val="000000"/>
          <w:sz w:val="18"/>
          <w:szCs w:val="18"/>
          <w:vertAlign w:val="superscript"/>
        </w:rPr>
        <w:t xml:space="preserve"> c</w:t>
      </w:r>
      <w:r w:rsidRPr="00B75BE9">
        <w:rPr>
          <w:rFonts w:eastAsia="Times New Roman"/>
          <w:color w:val="000000"/>
          <w:sz w:val="18"/>
          <w:szCs w:val="18"/>
        </w:rPr>
        <w:t xml:space="preserve">Estimate is based on the </w:t>
      </w:r>
      <w:r>
        <w:rPr>
          <w:rFonts w:eastAsia="Times New Roman"/>
          <w:color w:val="000000"/>
          <w:sz w:val="18"/>
          <w:szCs w:val="18"/>
        </w:rPr>
        <w:t xml:space="preserve">expected </w:t>
      </w:r>
      <w:r w:rsidRPr="00B75BE9">
        <w:rPr>
          <w:rFonts w:eastAsia="Times New Roman"/>
          <w:color w:val="000000"/>
          <w:sz w:val="18"/>
          <w:szCs w:val="18"/>
        </w:rPr>
        <w:t xml:space="preserve">number of sponsors in the AR and MS demonstrations </w:t>
      </w:r>
      <w:r>
        <w:rPr>
          <w:rFonts w:eastAsia="Times New Roman"/>
          <w:color w:val="000000"/>
          <w:sz w:val="18"/>
          <w:szCs w:val="18"/>
        </w:rPr>
        <w:t>(148 sponsors) and the n</w:t>
      </w:r>
      <w:r w:rsidRPr="00B75BE9">
        <w:rPr>
          <w:rFonts w:eastAsia="Times New Roman"/>
          <w:color w:val="000000"/>
          <w:sz w:val="18"/>
          <w:szCs w:val="18"/>
        </w:rPr>
        <w:t>umber of sponsors in the 3 Backpack and 3 Meal Delivery demonstrations</w:t>
      </w:r>
      <w:r>
        <w:rPr>
          <w:rFonts w:eastAsia="Times New Roman"/>
          <w:color w:val="000000"/>
          <w:sz w:val="18"/>
          <w:szCs w:val="18"/>
        </w:rPr>
        <w:t xml:space="preserve"> (20)</w:t>
      </w:r>
      <w:r w:rsidRPr="00B75BE9">
        <w:rPr>
          <w:rFonts w:eastAsia="Times New Roman"/>
          <w:color w:val="000000"/>
          <w:sz w:val="18"/>
          <w:szCs w:val="18"/>
        </w:rPr>
        <w:t>.</w:t>
      </w:r>
    </w:p>
    <w:p w:rsidR="00EB24A1" w:rsidRPr="00B75BE9" w:rsidRDefault="00EB24A1" w:rsidP="00EB24A1">
      <w:pPr>
        <w:spacing w:after="0" w:line="240" w:lineRule="auto"/>
      </w:pPr>
    </w:p>
    <w:p w:rsidR="00EB24A1" w:rsidRPr="00B75BE9" w:rsidRDefault="005A68AD" w:rsidP="00EB24A1">
      <w:pPr>
        <w:spacing w:after="0" w:line="240" w:lineRule="auto"/>
        <w:rPr>
          <w:rFonts w:eastAsia="Times New Roman"/>
          <w:color w:val="000000"/>
          <w:sz w:val="18"/>
          <w:szCs w:val="18"/>
        </w:rPr>
      </w:pPr>
      <w:r>
        <w:rPr>
          <w:rFonts w:eastAsia="Times New Roman"/>
          <w:color w:val="000000"/>
          <w:sz w:val="18"/>
          <w:szCs w:val="18"/>
          <w:vertAlign w:val="superscript"/>
        </w:rPr>
        <w:t>d</w:t>
      </w:r>
      <w:r w:rsidR="00EB24A1" w:rsidRPr="00B75BE9">
        <w:rPr>
          <w:rFonts w:eastAsia="Times New Roman"/>
          <w:color w:val="000000"/>
          <w:sz w:val="18"/>
          <w:szCs w:val="18"/>
          <w:vertAlign w:val="superscript"/>
        </w:rPr>
        <w:t xml:space="preserve"> </w:t>
      </w:r>
      <w:r w:rsidR="00EB24A1" w:rsidRPr="00B75BE9">
        <w:rPr>
          <w:rFonts w:eastAsia="Times New Roman"/>
          <w:color w:val="000000"/>
          <w:sz w:val="18"/>
          <w:szCs w:val="18"/>
        </w:rPr>
        <w:t xml:space="preserve">Demonstration sponsors will be contacted and asked to provide documents for review and data abstractions.   </w:t>
      </w:r>
      <w:r w:rsidR="00EB24A1">
        <w:rPr>
          <w:rFonts w:eastAsia="Times New Roman"/>
          <w:color w:val="000000"/>
          <w:sz w:val="18"/>
          <w:szCs w:val="18"/>
        </w:rPr>
        <w:t>The n</w:t>
      </w:r>
      <w:r w:rsidR="00EB24A1" w:rsidRPr="00B75BE9">
        <w:rPr>
          <w:rFonts w:eastAsia="Times New Roman"/>
          <w:color w:val="000000"/>
          <w:sz w:val="18"/>
          <w:szCs w:val="18"/>
        </w:rPr>
        <w:t xml:space="preserve">umber of individuals contacted is based on the number of sponsors (148 sponsors for demo 1 &amp; 2 and 20 sponsors for demo 3 &amp; 4).  Document review and data abstraction will be performed by contractor staff.  There will be no annual burden to respondents other than the time required to provide materials.  </w:t>
      </w:r>
    </w:p>
    <w:p w:rsidR="00EB24A1" w:rsidRDefault="00EB24A1" w:rsidP="00EB24A1"/>
    <w:p w:rsidR="00EB24A1" w:rsidRDefault="00EB24A1" w:rsidP="00EB24A1"/>
    <w:p w:rsidR="00EB24A1" w:rsidRDefault="00EB24A1" w:rsidP="00EB24A1"/>
    <w:p w:rsidR="00EB24A1" w:rsidRDefault="00EB24A1" w:rsidP="00EB24A1">
      <w:pPr>
        <w:sectPr w:rsidR="00EB24A1" w:rsidSect="00075B11">
          <w:pgSz w:w="15840" w:h="12240" w:orient="landscape" w:code="1"/>
          <w:pgMar w:top="720" w:right="720" w:bottom="720" w:left="720" w:header="720" w:footer="720" w:gutter="0"/>
          <w:cols w:space="720"/>
          <w:docGrid w:linePitch="360"/>
        </w:sectPr>
      </w:pPr>
    </w:p>
    <w:p w:rsidR="00EB24A1" w:rsidRDefault="00EB24A1" w:rsidP="00EB24A1">
      <w:pPr>
        <w:spacing w:after="0" w:line="240" w:lineRule="auto"/>
        <w:rPr>
          <w:b/>
          <w:sz w:val="20"/>
          <w:szCs w:val="20"/>
        </w:rPr>
      </w:pPr>
      <w:r w:rsidRPr="000F3A73">
        <w:rPr>
          <w:b/>
          <w:sz w:val="20"/>
          <w:szCs w:val="20"/>
        </w:rPr>
        <w:lastRenderedPageBreak/>
        <w:t>Table A.12.1</w:t>
      </w:r>
      <w:r>
        <w:rPr>
          <w:b/>
          <w:sz w:val="20"/>
          <w:szCs w:val="20"/>
        </w:rPr>
        <w:t>d</w:t>
      </w:r>
      <w:r w:rsidRPr="000F3A73">
        <w:rPr>
          <w:b/>
          <w:sz w:val="20"/>
          <w:szCs w:val="20"/>
        </w:rPr>
        <w:t xml:space="preserve">  </w:t>
      </w:r>
      <w:r>
        <w:rPr>
          <w:b/>
          <w:sz w:val="20"/>
          <w:szCs w:val="20"/>
        </w:rPr>
        <w:t xml:space="preserve">Summary of Annualized Burden and Cost to Respondents </w:t>
      </w:r>
    </w:p>
    <w:p w:rsidR="00EB24A1" w:rsidRPr="00D63410" w:rsidRDefault="00EB24A1" w:rsidP="00EB24A1">
      <w:pPr>
        <w:spacing w:after="0" w:line="240" w:lineRule="auto"/>
        <w:rPr>
          <w:b/>
          <w:sz w:val="20"/>
          <w:szCs w:val="20"/>
        </w:rPr>
      </w:pPr>
    </w:p>
    <w:tbl>
      <w:tblPr>
        <w:tblW w:w="10270" w:type="dxa"/>
        <w:tblInd w:w="98" w:type="dxa"/>
        <w:tblLook w:val="04A0"/>
      </w:tblPr>
      <w:tblGrid>
        <w:gridCol w:w="2041"/>
        <w:gridCol w:w="1299"/>
        <w:gridCol w:w="1350"/>
        <w:gridCol w:w="1530"/>
        <w:gridCol w:w="1350"/>
        <w:gridCol w:w="1260"/>
        <w:gridCol w:w="1440"/>
      </w:tblGrid>
      <w:tr w:rsidR="00EB24A1" w:rsidRPr="007524FC" w:rsidTr="00EB24A1">
        <w:trPr>
          <w:trHeight w:val="825"/>
        </w:trPr>
        <w:tc>
          <w:tcPr>
            <w:tcW w:w="2041" w:type="dxa"/>
            <w:tcBorders>
              <w:top w:val="single" w:sz="8" w:space="0" w:color="auto"/>
              <w:left w:val="single" w:sz="8" w:space="0" w:color="auto"/>
              <w:bottom w:val="single" w:sz="8" w:space="0" w:color="auto"/>
              <w:right w:val="single" w:sz="4" w:space="0" w:color="auto"/>
            </w:tcBorders>
            <w:shd w:val="clear" w:color="000000" w:fill="EEECE1" w:themeFill="background2"/>
            <w:vAlign w:val="center"/>
            <w:hideMark/>
          </w:tcPr>
          <w:p w:rsidR="00EB24A1" w:rsidRPr="00D63410" w:rsidRDefault="00EB24A1" w:rsidP="00075B11">
            <w:pPr>
              <w:spacing w:after="0" w:line="240" w:lineRule="auto"/>
              <w:jc w:val="center"/>
              <w:rPr>
                <w:rFonts w:eastAsia="Times New Roman" w:cs="Arial"/>
                <w:b/>
                <w:bCs/>
                <w:sz w:val="20"/>
                <w:szCs w:val="20"/>
              </w:rPr>
            </w:pPr>
            <w:r w:rsidRPr="00D63410">
              <w:rPr>
                <w:rFonts w:eastAsia="Times New Roman" w:cs="Arial"/>
                <w:b/>
                <w:bCs/>
                <w:sz w:val="20"/>
                <w:szCs w:val="20"/>
              </w:rPr>
              <w:t>Affected Public</w:t>
            </w:r>
          </w:p>
        </w:tc>
        <w:tc>
          <w:tcPr>
            <w:tcW w:w="1299" w:type="dxa"/>
            <w:tcBorders>
              <w:top w:val="single" w:sz="8" w:space="0" w:color="auto"/>
              <w:left w:val="nil"/>
              <w:bottom w:val="single" w:sz="8" w:space="0" w:color="auto"/>
              <w:right w:val="single" w:sz="4" w:space="0" w:color="auto"/>
            </w:tcBorders>
            <w:shd w:val="clear" w:color="000000" w:fill="EEECE1" w:themeFill="background2"/>
            <w:vAlign w:val="center"/>
            <w:hideMark/>
          </w:tcPr>
          <w:p w:rsidR="00EB24A1" w:rsidRPr="00D63410" w:rsidRDefault="00EB24A1" w:rsidP="00075B11">
            <w:pPr>
              <w:spacing w:after="0" w:line="240" w:lineRule="auto"/>
              <w:jc w:val="center"/>
              <w:rPr>
                <w:rFonts w:eastAsia="Times New Roman" w:cs="Arial"/>
                <w:b/>
                <w:bCs/>
                <w:sz w:val="20"/>
                <w:szCs w:val="20"/>
              </w:rPr>
            </w:pPr>
            <w:r w:rsidRPr="00D63410">
              <w:rPr>
                <w:rFonts w:eastAsia="Times New Roman" w:cs="Arial"/>
                <w:b/>
                <w:bCs/>
                <w:sz w:val="20"/>
                <w:szCs w:val="20"/>
              </w:rPr>
              <w:t>Estimated No. of Respondents</w:t>
            </w:r>
          </w:p>
        </w:tc>
        <w:tc>
          <w:tcPr>
            <w:tcW w:w="1350" w:type="dxa"/>
            <w:tcBorders>
              <w:top w:val="single" w:sz="8" w:space="0" w:color="auto"/>
              <w:left w:val="nil"/>
              <w:bottom w:val="single" w:sz="8" w:space="0" w:color="auto"/>
              <w:right w:val="single" w:sz="4" w:space="0" w:color="auto"/>
            </w:tcBorders>
            <w:shd w:val="clear" w:color="000000" w:fill="EEECE1" w:themeFill="background2"/>
            <w:vAlign w:val="center"/>
            <w:hideMark/>
          </w:tcPr>
          <w:p w:rsidR="00EB24A1" w:rsidRPr="00D63410" w:rsidRDefault="00EB24A1" w:rsidP="00075B11">
            <w:pPr>
              <w:spacing w:after="0" w:line="240" w:lineRule="auto"/>
              <w:jc w:val="center"/>
              <w:rPr>
                <w:rFonts w:eastAsia="Times New Roman" w:cs="Arial"/>
                <w:b/>
                <w:bCs/>
                <w:sz w:val="20"/>
                <w:szCs w:val="20"/>
              </w:rPr>
            </w:pPr>
            <w:r w:rsidRPr="00D63410">
              <w:rPr>
                <w:rFonts w:eastAsia="Times New Roman" w:cs="Arial"/>
                <w:b/>
                <w:bCs/>
                <w:sz w:val="20"/>
                <w:szCs w:val="20"/>
              </w:rPr>
              <w:t>No. of Responses per Respondent</w:t>
            </w:r>
          </w:p>
        </w:tc>
        <w:tc>
          <w:tcPr>
            <w:tcW w:w="1530" w:type="dxa"/>
            <w:tcBorders>
              <w:top w:val="single" w:sz="8" w:space="0" w:color="auto"/>
              <w:left w:val="nil"/>
              <w:bottom w:val="single" w:sz="8" w:space="0" w:color="auto"/>
              <w:right w:val="single" w:sz="4" w:space="0" w:color="auto"/>
            </w:tcBorders>
            <w:shd w:val="clear" w:color="000000" w:fill="EEECE1" w:themeFill="background2"/>
            <w:vAlign w:val="center"/>
            <w:hideMark/>
          </w:tcPr>
          <w:p w:rsidR="00EB24A1" w:rsidRPr="00D63410" w:rsidRDefault="00EB24A1" w:rsidP="00075B11">
            <w:pPr>
              <w:spacing w:after="0" w:line="240" w:lineRule="auto"/>
              <w:jc w:val="center"/>
              <w:rPr>
                <w:rFonts w:eastAsia="Times New Roman" w:cs="Arial"/>
                <w:b/>
                <w:bCs/>
                <w:sz w:val="20"/>
                <w:szCs w:val="20"/>
              </w:rPr>
            </w:pPr>
            <w:r w:rsidRPr="00D63410">
              <w:rPr>
                <w:rFonts w:eastAsia="Times New Roman" w:cs="Arial"/>
                <w:b/>
                <w:bCs/>
                <w:sz w:val="20"/>
                <w:szCs w:val="20"/>
              </w:rPr>
              <w:t>Total Annual Responses</w:t>
            </w:r>
          </w:p>
        </w:tc>
        <w:tc>
          <w:tcPr>
            <w:tcW w:w="1350" w:type="dxa"/>
            <w:tcBorders>
              <w:top w:val="single" w:sz="8" w:space="0" w:color="auto"/>
              <w:left w:val="nil"/>
              <w:bottom w:val="single" w:sz="8" w:space="0" w:color="auto"/>
              <w:right w:val="single" w:sz="4" w:space="0" w:color="auto"/>
            </w:tcBorders>
            <w:shd w:val="clear" w:color="000000" w:fill="EEECE1" w:themeFill="background2"/>
            <w:vAlign w:val="center"/>
            <w:hideMark/>
          </w:tcPr>
          <w:p w:rsidR="00EB24A1" w:rsidRPr="00D63410" w:rsidRDefault="00EB24A1" w:rsidP="00075B11">
            <w:pPr>
              <w:spacing w:after="0" w:line="240" w:lineRule="auto"/>
              <w:jc w:val="center"/>
              <w:rPr>
                <w:rFonts w:eastAsia="Times New Roman" w:cs="Arial"/>
                <w:b/>
                <w:bCs/>
                <w:sz w:val="20"/>
                <w:szCs w:val="20"/>
              </w:rPr>
            </w:pPr>
            <w:r w:rsidRPr="00D63410">
              <w:rPr>
                <w:rFonts w:eastAsia="Times New Roman" w:cs="Arial"/>
                <w:b/>
                <w:bCs/>
                <w:sz w:val="20"/>
                <w:szCs w:val="20"/>
              </w:rPr>
              <w:t>Estimated total Hours per Response</w:t>
            </w:r>
          </w:p>
        </w:tc>
        <w:tc>
          <w:tcPr>
            <w:tcW w:w="1260" w:type="dxa"/>
            <w:tcBorders>
              <w:top w:val="single" w:sz="8" w:space="0" w:color="auto"/>
              <w:left w:val="nil"/>
              <w:bottom w:val="single" w:sz="8" w:space="0" w:color="auto"/>
              <w:right w:val="nil"/>
            </w:tcBorders>
            <w:shd w:val="clear" w:color="000000" w:fill="EEECE1" w:themeFill="background2"/>
            <w:vAlign w:val="center"/>
            <w:hideMark/>
          </w:tcPr>
          <w:p w:rsidR="00EB24A1" w:rsidRPr="00D63410" w:rsidRDefault="00EB24A1" w:rsidP="00075B11">
            <w:pPr>
              <w:spacing w:after="0" w:line="240" w:lineRule="auto"/>
              <w:jc w:val="center"/>
              <w:rPr>
                <w:rFonts w:eastAsia="Times New Roman" w:cs="Arial"/>
                <w:b/>
                <w:bCs/>
                <w:sz w:val="20"/>
                <w:szCs w:val="20"/>
              </w:rPr>
            </w:pPr>
            <w:r w:rsidRPr="00D63410">
              <w:rPr>
                <w:rFonts w:eastAsia="Times New Roman" w:cs="Arial"/>
                <w:b/>
                <w:bCs/>
                <w:sz w:val="20"/>
                <w:szCs w:val="20"/>
              </w:rPr>
              <w:t>Estimated Annual Total Burden</w:t>
            </w:r>
          </w:p>
        </w:tc>
        <w:tc>
          <w:tcPr>
            <w:tcW w:w="1440" w:type="dxa"/>
            <w:tcBorders>
              <w:top w:val="single" w:sz="8" w:space="0" w:color="auto"/>
              <w:left w:val="single" w:sz="4" w:space="0" w:color="auto"/>
              <w:bottom w:val="single" w:sz="8" w:space="0" w:color="auto"/>
              <w:right w:val="single" w:sz="8" w:space="0" w:color="auto"/>
            </w:tcBorders>
            <w:shd w:val="clear" w:color="000000" w:fill="EEECE1" w:themeFill="background2"/>
            <w:vAlign w:val="center"/>
            <w:hideMark/>
          </w:tcPr>
          <w:p w:rsidR="00EB24A1" w:rsidRPr="00D63410" w:rsidRDefault="00EB24A1" w:rsidP="00075B11">
            <w:pPr>
              <w:spacing w:after="0" w:line="240" w:lineRule="auto"/>
              <w:jc w:val="center"/>
              <w:rPr>
                <w:rFonts w:eastAsia="Times New Roman" w:cs="Arial"/>
                <w:b/>
                <w:bCs/>
                <w:sz w:val="20"/>
                <w:szCs w:val="20"/>
              </w:rPr>
            </w:pPr>
            <w:r w:rsidRPr="00D63410">
              <w:rPr>
                <w:rFonts w:eastAsia="Times New Roman" w:cs="Arial"/>
                <w:b/>
                <w:bCs/>
                <w:sz w:val="20"/>
                <w:szCs w:val="20"/>
              </w:rPr>
              <w:t>Estimated  Annual Total Cost to Respondent</w:t>
            </w:r>
          </w:p>
        </w:tc>
      </w:tr>
      <w:tr w:rsidR="00EB24A1" w:rsidRPr="007524FC" w:rsidTr="00EB24A1">
        <w:trPr>
          <w:trHeight w:val="480"/>
        </w:trPr>
        <w:tc>
          <w:tcPr>
            <w:tcW w:w="2041" w:type="dxa"/>
            <w:tcBorders>
              <w:top w:val="nil"/>
              <w:left w:val="single" w:sz="4" w:space="0" w:color="auto"/>
              <w:bottom w:val="single" w:sz="4" w:space="0" w:color="auto"/>
              <w:right w:val="single" w:sz="4" w:space="0" w:color="auto"/>
            </w:tcBorders>
            <w:shd w:val="clear" w:color="auto" w:fill="auto"/>
            <w:hideMark/>
          </w:tcPr>
          <w:p w:rsidR="00EB24A1" w:rsidRPr="00D63410" w:rsidRDefault="00EB24A1" w:rsidP="00075B11">
            <w:pPr>
              <w:spacing w:after="0" w:line="240" w:lineRule="auto"/>
              <w:rPr>
                <w:rFonts w:eastAsia="Times New Roman" w:cs="Arial"/>
                <w:sz w:val="20"/>
                <w:szCs w:val="20"/>
              </w:rPr>
            </w:pPr>
            <w:r w:rsidRPr="00D63410">
              <w:rPr>
                <w:rFonts w:eastAsia="Times New Roman" w:cs="Arial"/>
                <w:sz w:val="20"/>
                <w:szCs w:val="20"/>
              </w:rPr>
              <w:t>Individual/Households</w:t>
            </w:r>
          </w:p>
        </w:tc>
        <w:tc>
          <w:tcPr>
            <w:tcW w:w="1299" w:type="dxa"/>
            <w:tcBorders>
              <w:top w:val="nil"/>
              <w:left w:val="nil"/>
              <w:bottom w:val="single" w:sz="4" w:space="0" w:color="auto"/>
              <w:right w:val="single" w:sz="4" w:space="0" w:color="auto"/>
            </w:tcBorders>
            <w:shd w:val="clear" w:color="auto" w:fill="auto"/>
            <w:hideMark/>
          </w:tcPr>
          <w:p w:rsidR="00EB24A1" w:rsidRPr="00D63410" w:rsidRDefault="00EB24A1" w:rsidP="00075B11">
            <w:pPr>
              <w:spacing w:after="0" w:line="240" w:lineRule="auto"/>
              <w:jc w:val="right"/>
              <w:rPr>
                <w:rFonts w:eastAsia="Times New Roman" w:cs="Arial"/>
                <w:sz w:val="20"/>
                <w:szCs w:val="20"/>
              </w:rPr>
            </w:pPr>
            <w:r w:rsidRPr="00D63410">
              <w:rPr>
                <w:rFonts w:eastAsia="Times New Roman" w:cs="Arial"/>
                <w:sz w:val="20"/>
                <w:szCs w:val="20"/>
              </w:rPr>
              <w:t>1,005</w:t>
            </w:r>
          </w:p>
        </w:tc>
        <w:tc>
          <w:tcPr>
            <w:tcW w:w="1350" w:type="dxa"/>
            <w:tcBorders>
              <w:top w:val="nil"/>
              <w:left w:val="nil"/>
              <w:bottom w:val="single" w:sz="4" w:space="0" w:color="auto"/>
              <w:right w:val="single" w:sz="4" w:space="0" w:color="auto"/>
            </w:tcBorders>
            <w:shd w:val="clear" w:color="auto" w:fill="auto"/>
            <w:hideMark/>
          </w:tcPr>
          <w:p w:rsidR="00EB24A1" w:rsidRPr="00D63410" w:rsidRDefault="00EB24A1" w:rsidP="00075B11">
            <w:pPr>
              <w:spacing w:after="0" w:line="240" w:lineRule="auto"/>
              <w:jc w:val="right"/>
              <w:rPr>
                <w:rFonts w:eastAsia="Times New Roman" w:cs="Arial"/>
                <w:sz w:val="20"/>
                <w:szCs w:val="20"/>
              </w:rPr>
            </w:pPr>
            <w:r w:rsidRPr="00D63410">
              <w:rPr>
                <w:rFonts w:eastAsia="Times New Roman" w:cs="Arial"/>
                <w:sz w:val="20"/>
                <w:szCs w:val="20"/>
              </w:rPr>
              <w:t>4.14</w:t>
            </w:r>
          </w:p>
        </w:tc>
        <w:tc>
          <w:tcPr>
            <w:tcW w:w="1530" w:type="dxa"/>
            <w:tcBorders>
              <w:top w:val="nil"/>
              <w:left w:val="nil"/>
              <w:bottom w:val="single" w:sz="4" w:space="0" w:color="auto"/>
              <w:right w:val="single" w:sz="4" w:space="0" w:color="auto"/>
            </w:tcBorders>
            <w:shd w:val="clear" w:color="auto" w:fill="auto"/>
            <w:hideMark/>
          </w:tcPr>
          <w:p w:rsidR="00EB24A1" w:rsidRPr="00D63410" w:rsidRDefault="00EB24A1" w:rsidP="00075B11">
            <w:pPr>
              <w:spacing w:after="0" w:line="240" w:lineRule="auto"/>
              <w:jc w:val="right"/>
              <w:rPr>
                <w:rFonts w:eastAsia="Times New Roman" w:cs="Arial"/>
                <w:sz w:val="20"/>
                <w:szCs w:val="20"/>
              </w:rPr>
            </w:pPr>
            <w:r w:rsidRPr="00D63410">
              <w:rPr>
                <w:rFonts w:eastAsia="Times New Roman" w:cs="Arial"/>
                <w:sz w:val="20"/>
                <w:szCs w:val="20"/>
              </w:rPr>
              <w:t>4,161.00</w:t>
            </w:r>
          </w:p>
        </w:tc>
        <w:tc>
          <w:tcPr>
            <w:tcW w:w="1350" w:type="dxa"/>
            <w:tcBorders>
              <w:top w:val="nil"/>
              <w:left w:val="nil"/>
              <w:bottom w:val="single" w:sz="4" w:space="0" w:color="auto"/>
              <w:right w:val="single" w:sz="4" w:space="0" w:color="auto"/>
            </w:tcBorders>
            <w:shd w:val="clear" w:color="auto" w:fill="auto"/>
            <w:hideMark/>
          </w:tcPr>
          <w:p w:rsidR="00EB24A1" w:rsidRPr="00D63410" w:rsidRDefault="00EB24A1" w:rsidP="00075B11">
            <w:pPr>
              <w:spacing w:after="0" w:line="240" w:lineRule="auto"/>
              <w:jc w:val="right"/>
              <w:rPr>
                <w:rFonts w:eastAsia="Times New Roman" w:cs="Arial"/>
                <w:sz w:val="20"/>
                <w:szCs w:val="20"/>
              </w:rPr>
            </w:pPr>
            <w:r w:rsidRPr="00D63410">
              <w:rPr>
                <w:rFonts w:eastAsia="Times New Roman" w:cs="Arial"/>
                <w:sz w:val="20"/>
                <w:szCs w:val="20"/>
              </w:rPr>
              <w:t>0.38</w:t>
            </w:r>
          </w:p>
        </w:tc>
        <w:tc>
          <w:tcPr>
            <w:tcW w:w="1260" w:type="dxa"/>
            <w:tcBorders>
              <w:top w:val="nil"/>
              <w:left w:val="nil"/>
              <w:bottom w:val="single" w:sz="4" w:space="0" w:color="auto"/>
              <w:right w:val="nil"/>
            </w:tcBorders>
            <w:shd w:val="clear" w:color="auto" w:fill="auto"/>
            <w:hideMark/>
          </w:tcPr>
          <w:p w:rsidR="00EB24A1" w:rsidRPr="00D63410" w:rsidRDefault="00EB24A1" w:rsidP="00075B11">
            <w:pPr>
              <w:spacing w:after="0" w:line="240" w:lineRule="auto"/>
              <w:jc w:val="right"/>
              <w:rPr>
                <w:rFonts w:eastAsia="Times New Roman" w:cs="Arial"/>
                <w:sz w:val="20"/>
                <w:szCs w:val="20"/>
              </w:rPr>
            </w:pPr>
            <w:r w:rsidRPr="00D63410">
              <w:rPr>
                <w:rFonts w:eastAsia="Times New Roman" w:cs="Arial"/>
                <w:sz w:val="20"/>
                <w:szCs w:val="20"/>
              </w:rPr>
              <w:t>529.26</w:t>
            </w:r>
          </w:p>
        </w:tc>
        <w:tc>
          <w:tcPr>
            <w:tcW w:w="1440" w:type="dxa"/>
            <w:tcBorders>
              <w:top w:val="nil"/>
              <w:left w:val="single" w:sz="4" w:space="0" w:color="auto"/>
              <w:bottom w:val="single" w:sz="4" w:space="0" w:color="auto"/>
              <w:right w:val="single" w:sz="4" w:space="0" w:color="auto"/>
            </w:tcBorders>
            <w:shd w:val="clear" w:color="auto" w:fill="auto"/>
            <w:noWrap/>
            <w:hideMark/>
          </w:tcPr>
          <w:p w:rsidR="00EB24A1" w:rsidRPr="00D63410" w:rsidRDefault="00EB24A1" w:rsidP="00075B11">
            <w:pPr>
              <w:spacing w:after="0" w:line="240" w:lineRule="auto"/>
              <w:rPr>
                <w:rFonts w:eastAsia="Times New Roman" w:cs="Arial"/>
                <w:sz w:val="20"/>
                <w:szCs w:val="20"/>
              </w:rPr>
            </w:pPr>
            <w:r w:rsidRPr="00D63410">
              <w:rPr>
                <w:rFonts w:eastAsia="Times New Roman" w:cs="Arial"/>
                <w:sz w:val="20"/>
                <w:szCs w:val="20"/>
              </w:rPr>
              <w:t xml:space="preserve"> $       4268.64 </w:t>
            </w:r>
          </w:p>
        </w:tc>
      </w:tr>
      <w:tr w:rsidR="00EB24A1" w:rsidRPr="007524FC" w:rsidTr="00EB24A1">
        <w:trPr>
          <w:trHeight w:val="480"/>
        </w:trPr>
        <w:tc>
          <w:tcPr>
            <w:tcW w:w="2041" w:type="dxa"/>
            <w:tcBorders>
              <w:top w:val="nil"/>
              <w:left w:val="single" w:sz="4" w:space="0" w:color="auto"/>
              <w:bottom w:val="single" w:sz="4" w:space="0" w:color="auto"/>
              <w:right w:val="single" w:sz="4" w:space="0" w:color="auto"/>
            </w:tcBorders>
            <w:shd w:val="clear" w:color="auto" w:fill="auto"/>
            <w:hideMark/>
          </w:tcPr>
          <w:p w:rsidR="00EB24A1" w:rsidRPr="00D63410" w:rsidRDefault="00EB24A1" w:rsidP="00075B11">
            <w:pPr>
              <w:spacing w:after="0" w:line="240" w:lineRule="auto"/>
              <w:rPr>
                <w:rFonts w:eastAsia="Times New Roman" w:cs="Arial"/>
                <w:sz w:val="20"/>
                <w:szCs w:val="20"/>
              </w:rPr>
            </w:pPr>
            <w:r w:rsidRPr="00D63410">
              <w:rPr>
                <w:rFonts w:eastAsia="Times New Roman" w:cs="Arial"/>
                <w:sz w:val="20"/>
                <w:szCs w:val="20"/>
              </w:rPr>
              <w:t>State Agencies (grantees)</w:t>
            </w:r>
          </w:p>
        </w:tc>
        <w:tc>
          <w:tcPr>
            <w:tcW w:w="1299" w:type="dxa"/>
            <w:tcBorders>
              <w:top w:val="nil"/>
              <w:left w:val="nil"/>
              <w:bottom w:val="single" w:sz="4" w:space="0" w:color="auto"/>
              <w:right w:val="single" w:sz="4" w:space="0" w:color="auto"/>
            </w:tcBorders>
            <w:shd w:val="clear" w:color="auto" w:fill="auto"/>
            <w:hideMark/>
          </w:tcPr>
          <w:p w:rsidR="00EB24A1" w:rsidRPr="00D63410" w:rsidRDefault="00EB24A1" w:rsidP="00075B11">
            <w:pPr>
              <w:spacing w:after="0" w:line="240" w:lineRule="auto"/>
              <w:jc w:val="right"/>
              <w:rPr>
                <w:rFonts w:eastAsia="Times New Roman" w:cs="Arial"/>
                <w:sz w:val="20"/>
                <w:szCs w:val="20"/>
              </w:rPr>
            </w:pPr>
            <w:r>
              <w:rPr>
                <w:rFonts w:eastAsia="Times New Roman" w:cs="Arial"/>
                <w:sz w:val="20"/>
                <w:szCs w:val="20"/>
              </w:rPr>
              <w:t>8</w:t>
            </w:r>
          </w:p>
        </w:tc>
        <w:tc>
          <w:tcPr>
            <w:tcW w:w="1350" w:type="dxa"/>
            <w:tcBorders>
              <w:top w:val="nil"/>
              <w:left w:val="nil"/>
              <w:bottom w:val="single" w:sz="4" w:space="0" w:color="auto"/>
              <w:right w:val="single" w:sz="4" w:space="0" w:color="auto"/>
            </w:tcBorders>
            <w:shd w:val="clear" w:color="auto" w:fill="auto"/>
            <w:hideMark/>
          </w:tcPr>
          <w:p w:rsidR="00EB24A1" w:rsidRPr="00D63410" w:rsidRDefault="00EB24A1" w:rsidP="00075B11">
            <w:pPr>
              <w:spacing w:after="0" w:line="240" w:lineRule="auto"/>
              <w:jc w:val="right"/>
              <w:rPr>
                <w:rFonts w:eastAsia="Times New Roman" w:cs="Arial"/>
                <w:sz w:val="20"/>
                <w:szCs w:val="20"/>
              </w:rPr>
            </w:pPr>
            <w:r>
              <w:rPr>
                <w:rFonts w:eastAsia="Times New Roman" w:cs="Arial"/>
                <w:sz w:val="20"/>
                <w:szCs w:val="20"/>
              </w:rPr>
              <w:t>5.25</w:t>
            </w:r>
          </w:p>
        </w:tc>
        <w:tc>
          <w:tcPr>
            <w:tcW w:w="1530" w:type="dxa"/>
            <w:tcBorders>
              <w:top w:val="nil"/>
              <w:left w:val="nil"/>
              <w:bottom w:val="single" w:sz="4" w:space="0" w:color="auto"/>
              <w:right w:val="single" w:sz="4" w:space="0" w:color="auto"/>
            </w:tcBorders>
            <w:shd w:val="clear" w:color="auto" w:fill="auto"/>
            <w:hideMark/>
          </w:tcPr>
          <w:p w:rsidR="00EB24A1" w:rsidRPr="00D63410" w:rsidRDefault="00EB24A1" w:rsidP="00075B11">
            <w:pPr>
              <w:spacing w:after="0" w:line="240" w:lineRule="auto"/>
              <w:jc w:val="right"/>
              <w:rPr>
                <w:rFonts w:eastAsia="Times New Roman" w:cs="Arial"/>
                <w:sz w:val="20"/>
                <w:szCs w:val="20"/>
              </w:rPr>
            </w:pPr>
            <w:r w:rsidRPr="00D63410">
              <w:rPr>
                <w:rFonts w:eastAsia="Times New Roman" w:cs="Arial"/>
                <w:sz w:val="20"/>
                <w:szCs w:val="20"/>
              </w:rPr>
              <w:t>42.00</w:t>
            </w:r>
          </w:p>
        </w:tc>
        <w:tc>
          <w:tcPr>
            <w:tcW w:w="1350" w:type="dxa"/>
            <w:tcBorders>
              <w:top w:val="nil"/>
              <w:left w:val="nil"/>
              <w:bottom w:val="single" w:sz="4" w:space="0" w:color="auto"/>
              <w:right w:val="single" w:sz="4" w:space="0" w:color="auto"/>
            </w:tcBorders>
            <w:shd w:val="clear" w:color="auto" w:fill="auto"/>
            <w:hideMark/>
          </w:tcPr>
          <w:p w:rsidR="00EB24A1" w:rsidRPr="00D63410" w:rsidRDefault="00EB24A1" w:rsidP="00075B11">
            <w:pPr>
              <w:spacing w:after="0" w:line="240" w:lineRule="auto"/>
              <w:jc w:val="right"/>
              <w:rPr>
                <w:rFonts w:eastAsia="Times New Roman" w:cs="Arial"/>
                <w:sz w:val="20"/>
                <w:szCs w:val="20"/>
              </w:rPr>
            </w:pPr>
            <w:r w:rsidRPr="00D63410">
              <w:rPr>
                <w:rFonts w:eastAsia="Times New Roman" w:cs="Arial"/>
                <w:sz w:val="20"/>
                <w:szCs w:val="20"/>
              </w:rPr>
              <w:t>0.61</w:t>
            </w:r>
          </w:p>
        </w:tc>
        <w:tc>
          <w:tcPr>
            <w:tcW w:w="1260" w:type="dxa"/>
            <w:tcBorders>
              <w:top w:val="nil"/>
              <w:left w:val="nil"/>
              <w:bottom w:val="single" w:sz="4" w:space="0" w:color="auto"/>
              <w:right w:val="nil"/>
            </w:tcBorders>
            <w:shd w:val="clear" w:color="auto" w:fill="auto"/>
            <w:hideMark/>
          </w:tcPr>
          <w:p w:rsidR="00EB24A1" w:rsidRPr="00D63410" w:rsidRDefault="00EB24A1" w:rsidP="00075B11">
            <w:pPr>
              <w:spacing w:after="0" w:line="240" w:lineRule="auto"/>
              <w:jc w:val="right"/>
              <w:rPr>
                <w:rFonts w:eastAsia="Times New Roman" w:cs="Arial"/>
                <w:sz w:val="20"/>
                <w:szCs w:val="20"/>
              </w:rPr>
            </w:pPr>
            <w:r w:rsidRPr="00D63410">
              <w:rPr>
                <w:rFonts w:eastAsia="Times New Roman" w:cs="Arial"/>
                <w:sz w:val="20"/>
                <w:szCs w:val="20"/>
              </w:rPr>
              <w:t>8.54</w:t>
            </w:r>
          </w:p>
        </w:tc>
        <w:tc>
          <w:tcPr>
            <w:tcW w:w="1440" w:type="dxa"/>
            <w:tcBorders>
              <w:top w:val="nil"/>
              <w:left w:val="single" w:sz="4" w:space="0" w:color="auto"/>
              <w:bottom w:val="single" w:sz="4" w:space="0" w:color="auto"/>
              <w:right w:val="single" w:sz="4" w:space="0" w:color="auto"/>
            </w:tcBorders>
            <w:shd w:val="clear" w:color="auto" w:fill="auto"/>
            <w:noWrap/>
            <w:hideMark/>
          </w:tcPr>
          <w:p w:rsidR="00EB24A1" w:rsidRPr="00D63410" w:rsidRDefault="00EB24A1" w:rsidP="00075B11">
            <w:pPr>
              <w:spacing w:after="0" w:line="240" w:lineRule="auto"/>
              <w:rPr>
                <w:rFonts w:eastAsia="Times New Roman" w:cs="Arial"/>
                <w:sz w:val="20"/>
                <w:szCs w:val="20"/>
              </w:rPr>
            </w:pPr>
            <w:r w:rsidRPr="00D63410">
              <w:rPr>
                <w:rFonts w:eastAsia="Times New Roman" w:cs="Arial"/>
                <w:sz w:val="20"/>
                <w:szCs w:val="20"/>
              </w:rPr>
              <w:t xml:space="preserve"> $          230.58 </w:t>
            </w:r>
          </w:p>
        </w:tc>
      </w:tr>
      <w:tr w:rsidR="00EB24A1" w:rsidRPr="007524FC" w:rsidTr="00EB24A1">
        <w:trPr>
          <w:trHeight w:val="975"/>
        </w:trPr>
        <w:tc>
          <w:tcPr>
            <w:tcW w:w="2041" w:type="dxa"/>
            <w:tcBorders>
              <w:top w:val="nil"/>
              <w:left w:val="single" w:sz="4" w:space="0" w:color="auto"/>
              <w:bottom w:val="nil"/>
              <w:right w:val="single" w:sz="4" w:space="0" w:color="auto"/>
            </w:tcBorders>
            <w:shd w:val="clear" w:color="auto" w:fill="auto"/>
            <w:hideMark/>
          </w:tcPr>
          <w:p w:rsidR="00EB24A1" w:rsidRPr="00D63410" w:rsidRDefault="00EB24A1" w:rsidP="00075B11">
            <w:pPr>
              <w:spacing w:after="0" w:line="240" w:lineRule="auto"/>
              <w:rPr>
                <w:rFonts w:eastAsia="Times New Roman" w:cs="Arial"/>
                <w:sz w:val="20"/>
                <w:szCs w:val="20"/>
              </w:rPr>
            </w:pPr>
            <w:r w:rsidRPr="00D63410">
              <w:rPr>
                <w:rFonts w:eastAsia="Times New Roman" w:cs="Arial"/>
                <w:sz w:val="20"/>
                <w:szCs w:val="20"/>
              </w:rPr>
              <w:t>Business Not for Profit (sponsors/demo sites)</w:t>
            </w:r>
          </w:p>
        </w:tc>
        <w:tc>
          <w:tcPr>
            <w:tcW w:w="1299" w:type="dxa"/>
            <w:tcBorders>
              <w:top w:val="nil"/>
              <w:left w:val="nil"/>
              <w:bottom w:val="nil"/>
              <w:right w:val="single" w:sz="4" w:space="0" w:color="auto"/>
            </w:tcBorders>
            <w:shd w:val="clear" w:color="auto" w:fill="auto"/>
            <w:hideMark/>
          </w:tcPr>
          <w:p w:rsidR="00EB24A1" w:rsidRPr="00D63410" w:rsidRDefault="00EB24A1" w:rsidP="00075B11">
            <w:pPr>
              <w:spacing w:after="0" w:line="240" w:lineRule="auto"/>
              <w:jc w:val="right"/>
              <w:rPr>
                <w:rFonts w:eastAsia="Times New Roman" w:cs="Arial"/>
                <w:sz w:val="20"/>
                <w:szCs w:val="20"/>
              </w:rPr>
            </w:pPr>
            <w:r>
              <w:rPr>
                <w:rFonts w:eastAsia="Times New Roman" w:cs="Arial"/>
                <w:sz w:val="20"/>
                <w:szCs w:val="20"/>
              </w:rPr>
              <w:t>168</w:t>
            </w:r>
          </w:p>
        </w:tc>
        <w:tc>
          <w:tcPr>
            <w:tcW w:w="1350" w:type="dxa"/>
            <w:tcBorders>
              <w:top w:val="nil"/>
              <w:left w:val="nil"/>
              <w:bottom w:val="nil"/>
              <w:right w:val="single" w:sz="4" w:space="0" w:color="auto"/>
            </w:tcBorders>
            <w:shd w:val="clear" w:color="auto" w:fill="auto"/>
            <w:hideMark/>
          </w:tcPr>
          <w:p w:rsidR="00EB24A1" w:rsidRPr="00D63410" w:rsidRDefault="00EB24A1" w:rsidP="00075B11">
            <w:pPr>
              <w:spacing w:after="0" w:line="240" w:lineRule="auto"/>
              <w:jc w:val="right"/>
              <w:rPr>
                <w:rFonts w:eastAsia="Times New Roman" w:cs="Arial"/>
                <w:sz w:val="20"/>
                <w:szCs w:val="20"/>
              </w:rPr>
            </w:pPr>
            <w:r w:rsidRPr="00D63410">
              <w:rPr>
                <w:rFonts w:eastAsia="Times New Roman" w:cs="Arial"/>
                <w:sz w:val="20"/>
                <w:szCs w:val="20"/>
              </w:rPr>
              <w:t>3.07</w:t>
            </w:r>
          </w:p>
        </w:tc>
        <w:tc>
          <w:tcPr>
            <w:tcW w:w="1530" w:type="dxa"/>
            <w:tcBorders>
              <w:top w:val="nil"/>
              <w:left w:val="nil"/>
              <w:bottom w:val="nil"/>
              <w:right w:val="single" w:sz="4" w:space="0" w:color="auto"/>
            </w:tcBorders>
            <w:shd w:val="clear" w:color="auto" w:fill="auto"/>
            <w:hideMark/>
          </w:tcPr>
          <w:p w:rsidR="00EB24A1" w:rsidRPr="00D63410" w:rsidRDefault="00EB24A1" w:rsidP="00075B11">
            <w:pPr>
              <w:spacing w:after="0" w:line="240" w:lineRule="auto"/>
              <w:jc w:val="right"/>
              <w:rPr>
                <w:rFonts w:eastAsia="Times New Roman" w:cs="Arial"/>
                <w:sz w:val="20"/>
                <w:szCs w:val="20"/>
              </w:rPr>
            </w:pPr>
            <w:r w:rsidRPr="00D63410">
              <w:rPr>
                <w:rFonts w:eastAsia="Times New Roman" w:cs="Arial"/>
                <w:sz w:val="20"/>
                <w:szCs w:val="20"/>
              </w:rPr>
              <w:t>516.00</w:t>
            </w:r>
          </w:p>
        </w:tc>
        <w:tc>
          <w:tcPr>
            <w:tcW w:w="1350" w:type="dxa"/>
            <w:tcBorders>
              <w:top w:val="nil"/>
              <w:left w:val="nil"/>
              <w:bottom w:val="nil"/>
              <w:right w:val="single" w:sz="4" w:space="0" w:color="auto"/>
            </w:tcBorders>
            <w:shd w:val="clear" w:color="auto" w:fill="auto"/>
            <w:hideMark/>
          </w:tcPr>
          <w:p w:rsidR="00EB24A1" w:rsidRPr="00D63410" w:rsidRDefault="00EB24A1" w:rsidP="00075B11">
            <w:pPr>
              <w:spacing w:after="0" w:line="240" w:lineRule="auto"/>
              <w:jc w:val="right"/>
              <w:rPr>
                <w:rFonts w:eastAsia="Times New Roman" w:cs="Arial"/>
                <w:sz w:val="20"/>
                <w:szCs w:val="20"/>
              </w:rPr>
            </w:pPr>
            <w:r w:rsidRPr="00D63410">
              <w:rPr>
                <w:rFonts w:eastAsia="Times New Roman" w:cs="Arial"/>
                <w:sz w:val="20"/>
                <w:szCs w:val="20"/>
              </w:rPr>
              <w:t>0.66</w:t>
            </w:r>
          </w:p>
        </w:tc>
        <w:tc>
          <w:tcPr>
            <w:tcW w:w="1260" w:type="dxa"/>
            <w:tcBorders>
              <w:top w:val="nil"/>
              <w:left w:val="nil"/>
              <w:bottom w:val="nil"/>
              <w:right w:val="nil"/>
            </w:tcBorders>
            <w:shd w:val="clear" w:color="auto" w:fill="auto"/>
            <w:hideMark/>
          </w:tcPr>
          <w:p w:rsidR="00EB24A1" w:rsidRPr="00D63410" w:rsidRDefault="00EB24A1" w:rsidP="00075B11">
            <w:pPr>
              <w:spacing w:after="0" w:line="240" w:lineRule="auto"/>
              <w:jc w:val="right"/>
              <w:rPr>
                <w:rFonts w:eastAsia="Times New Roman" w:cs="Arial"/>
                <w:sz w:val="20"/>
                <w:szCs w:val="20"/>
              </w:rPr>
            </w:pPr>
            <w:r w:rsidRPr="00D63410">
              <w:rPr>
                <w:rFonts w:eastAsia="Times New Roman" w:cs="Arial"/>
                <w:sz w:val="20"/>
                <w:szCs w:val="20"/>
              </w:rPr>
              <w:t>114.35</w:t>
            </w:r>
          </w:p>
        </w:tc>
        <w:tc>
          <w:tcPr>
            <w:tcW w:w="1440" w:type="dxa"/>
            <w:tcBorders>
              <w:top w:val="nil"/>
              <w:left w:val="single" w:sz="4" w:space="0" w:color="auto"/>
              <w:bottom w:val="nil"/>
              <w:right w:val="single" w:sz="4" w:space="0" w:color="auto"/>
            </w:tcBorders>
            <w:shd w:val="clear" w:color="auto" w:fill="auto"/>
            <w:noWrap/>
            <w:hideMark/>
          </w:tcPr>
          <w:p w:rsidR="00EB24A1" w:rsidRPr="00D63410" w:rsidRDefault="00EB24A1" w:rsidP="00075B11">
            <w:pPr>
              <w:spacing w:after="0" w:line="240" w:lineRule="auto"/>
              <w:rPr>
                <w:rFonts w:eastAsia="Times New Roman" w:cs="Arial"/>
                <w:sz w:val="20"/>
                <w:szCs w:val="20"/>
              </w:rPr>
            </w:pPr>
            <w:r w:rsidRPr="00D63410">
              <w:rPr>
                <w:rFonts w:eastAsia="Times New Roman" w:cs="Arial"/>
                <w:sz w:val="20"/>
                <w:szCs w:val="20"/>
              </w:rPr>
              <w:t xml:space="preserve"> $       3,087.36 </w:t>
            </w:r>
          </w:p>
        </w:tc>
      </w:tr>
      <w:tr w:rsidR="00EB24A1" w:rsidRPr="007524FC" w:rsidTr="00EB24A1">
        <w:trPr>
          <w:trHeight w:val="495"/>
        </w:trPr>
        <w:tc>
          <w:tcPr>
            <w:tcW w:w="2041" w:type="dxa"/>
            <w:tcBorders>
              <w:top w:val="single" w:sz="8" w:space="0" w:color="auto"/>
              <w:left w:val="single" w:sz="8" w:space="0" w:color="auto"/>
              <w:bottom w:val="single" w:sz="8" w:space="0" w:color="auto"/>
              <w:right w:val="single" w:sz="4" w:space="0" w:color="auto"/>
            </w:tcBorders>
            <w:shd w:val="clear" w:color="auto" w:fill="auto"/>
            <w:hideMark/>
          </w:tcPr>
          <w:p w:rsidR="00EB24A1" w:rsidRPr="00D63410" w:rsidRDefault="00EB24A1" w:rsidP="00075B11">
            <w:pPr>
              <w:spacing w:after="0" w:line="240" w:lineRule="auto"/>
              <w:rPr>
                <w:rFonts w:eastAsia="Times New Roman" w:cs="Arial"/>
                <w:bCs/>
                <w:sz w:val="20"/>
                <w:szCs w:val="20"/>
              </w:rPr>
            </w:pPr>
            <w:r w:rsidRPr="00D63410">
              <w:rPr>
                <w:rFonts w:eastAsia="Times New Roman" w:cs="Arial"/>
                <w:bCs/>
                <w:sz w:val="20"/>
                <w:szCs w:val="20"/>
              </w:rPr>
              <w:t>Total Burden Estimates</w:t>
            </w:r>
          </w:p>
        </w:tc>
        <w:tc>
          <w:tcPr>
            <w:tcW w:w="1299" w:type="dxa"/>
            <w:tcBorders>
              <w:top w:val="single" w:sz="8" w:space="0" w:color="auto"/>
              <w:left w:val="nil"/>
              <w:bottom w:val="single" w:sz="8" w:space="0" w:color="auto"/>
              <w:right w:val="single" w:sz="4" w:space="0" w:color="auto"/>
            </w:tcBorders>
            <w:shd w:val="clear" w:color="auto" w:fill="auto"/>
            <w:noWrap/>
            <w:hideMark/>
          </w:tcPr>
          <w:p w:rsidR="00EB24A1" w:rsidRPr="00D63410" w:rsidRDefault="00EB24A1" w:rsidP="00075B11">
            <w:pPr>
              <w:spacing w:after="0" w:line="240" w:lineRule="auto"/>
              <w:jc w:val="right"/>
              <w:rPr>
                <w:rFonts w:eastAsia="Times New Roman" w:cs="Arial"/>
                <w:bCs/>
                <w:sz w:val="20"/>
                <w:szCs w:val="20"/>
              </w:rPr>
            </w:pPr>
            <w:r w:rsidRPr="00D63410">
              <w:rPr>
                <w:rFonts w:eastAsia="Times New Roman" w:cs="Arial"/>
                <w:bCs/>
                <w:sz w:val="20"/>
                <w:szCs w:val="20"/>
              </w:rPr>
              <w:t>1,1</w:t>
            </w:r>
            <w:r>
              <w:rPr>
                <w:rFonts w:eastAsia="Times New Roman" w:cs="Arial"/>
                <w:bCs/>
                <w:sz w:val="20"/>
                <w:szCs w:val="20"/>
              </w:rPr>
              <w:t>81</w:t>
            </w:r>
          </w:p>
        </w:tc>
        <w:tc>
          <w:tcPr>
            <w:tcW w:w="1350" w:type="dxa"/>
            <w:tcBorders>
              <w:top w:val="single" w:sz="8" w:space="0" w:color="auto"/>
              <w:left w:val="nil"/>
              <w:bottom w:val="single" w:sz="8" w:space="0" w:color="auto"/>
              <w:right w:val="single" w:sz="4" w:space="0" w:color="auto"/>
            </w:tcBorders>
            <w:shd w:val="clear" w:color="auto" w:fill="EEECE1" w:themeFill="background2"/>
            <w:noWrap/>
            <w:hideMark/>
          </w:tcPr>
          <w:p w:rsidR="00EB24A1" w:rsidRPr="00D63410" w:rsidRDefault="00EB24A1" w:rsidP="00075B11">
            <w:pPr>
              <w:spacing w:after="0" w:line="240" w:lineRule="auto"/>
              <w:jc w:val="right"/>
              <w:rPr>
                <w:rFonts w:eastAsia="Times New Roman" w:cs="Arial"/>
                <w:bCs/>
                <w:sz w:val="20"/>
                <w:szCs w:val="20"/>
              </w:rPr>
            </w:pPr>
            <w:r w:rsidRPr="00D63410">
              <w:rPr>
                <w:rFonts w:eastAsia="Times New Roman" w:cs="Arial"/>
                <w:bCs/>
                <w:sz w:val="20"/>
                <w:szCs w:val="20"/>
              </w:rPr>
              <w:t>4.00</w:t>
            </w:r>
          </w:p>
        </w:tc>
        <w:tc>
          <w:tcPr>
            <w:tcW w:w="1530" w:type="dxa"/>
            <w:tcBorders>
              <w:top w:val="single" w:sz="8" w:space="0" w:color="auto"/>
              <w:left w:val="nil"/>
              <w:bottom w:val="single" w:sz="8" w:space="0" w:color="auto"/>
              <w:right w:val="single" w:sz="4" w:space="0" w:color="auto"/>
            </w:tcBorders>
            <w:shd w:val="clear" w:color="auto" w:fill="auto"/>
            <w:noWrap/>
            <w:hideMark/>
          </w:tcPr>
          <w:p w:rsidR="00EB24A1" w:rsidRPr="00D63410" w:rsidRDefault="00EB24A1" w:rsidP="00075B11">
            <w:pPr>
              <w:spacing w:after="0" w:line="240" w:lineRule="auto"/>
              <w:jc w:val="right"/>
              <w:rPr>
                <w:rFonts w:eastAsia="Times New Roman" w:cs="Arial"/>
                <w:bCs/>
                <w:sz w:val="20"/>
                <w:szCs w:val="20"/>
              </w:rPr>
            </w:pPr>
            <w:r w:rsidRPr="00D63410">
              <w:rPr>
                <w:rFonts w:eastAsia="Times New Roman" w:cs="Arial"/>
                <w:bCs/>
                <w:sz w:val="20"/>
                <w:szCs w:val="20"/>
              </w:rPr>
              <w:t>4,719.00</w:t>
            </w:r>
          </w:p>
        </w:tc>
        <w:tc>
          <w:tcPr>
            <w:tcW w:w="1350" w:type="dxa"/>
            <w:tcBorders>
              <w:top w:val="single" w:sz="8" w:space="0" w:color="auto"/>
              <w:left w:val="nil"/>
              <w:bottom w:val="single" w:sz="8" w:space="0" w:color="auto"/>
              <w:right w:val="single" w:sz="4" w:space="0" w:color="auto"/>
            </w:tcBorders>
            <w:shd w:val="clear" w:color="auto" w:fill="EEECE1" w:themeFill="background2"/>
            <w:noWrap/>
            <w:hideMark/>
          </w:tcPr>
          <w:p w:rsidR="00EB24A1" w:rsidRPr="00D63410" w:rsidRDefault="00EB24A1" w:rsidP="00075B11">
            <w:pPr>
              <w:spacing w:after="0" w:line="240" w:lineRule="auto"/>
              <w:jc w:val="right"/>
              <w:rPr>
                <w:rFonts w:eastAsia="Times New Roman" w:cs="Arial"/>
                <w:bCs/>
                <w:sz w:val="20"/>
                <w:szCs w:val="20"/>
              </w:rPr>
            </w:pPr>
            <w:r w:rsidRPr="00D63410">
              <w:rPr>
                <w:rFonts w:eastAsia="Times New Roman" w:cs="Arial"/>
                <w:bCs/>
                <w:sz w:val="20"/>
                <w:szCs w:val="20"/>
              </w:rPr>
              <w:t>0.14</w:t>
            </w:r>
          </w:p>
        </w:tc>
        <w:tc>
          <w:tcPr>
            <w:tcW w:w="1260" w:type="dxa"/>
            <w:tcBorders>
              <w:top w:val="single" w:sz="8" w:space="0" w:color="auto"/>
              <w:left w:val="nil"/>
              <w:bottom w:val="single" w:sz="8" w:space="0" w:color="auto"/>
              <w:right w:val="nil"/>
            </w:tcBorders>
            <w:shd w:val="clear" w:color="auto" w:fill="auto"/>
            <w:noWrap/>
            <w:hideMark/>
          </w:tcPr>
          <w:p w:rsidR="00EB24A1" w:rsidRPr="00D63410" w:rsidRDefault="00EB24A1" w:rsidP="00075B11">
            <w:pPr>
              <w:spacing w:after="0" w:line="240" w:lineRule="auto"/>
              <w:jc w:val="right"/>
              <w:rPr>
                <w:rFonts w:eastAsia="Times New Roman" w:cs="Arial"/>
                <w:bCs/>
                <w:sz w:val="20"/>
                <w:szCs w:val="20"/>
              </w:rPr>
            </w:pPr>
            <w:r w:rsidRPr="00D63410">
              <w:rPr>
                <w:rFonts w:eastAsia="Times New Roman" w:cs="Arial"/>
                <w:bCs/>
                <w:sz w:val="20"/>
                <w:szCs w:val="20"/>
              </w:rPr>
              <w:t>652.14</w:t>
            </w:r>
          </w:p>
        </w:tc>
        <w:tc>
          <w:tcPr>
            <w:tcW w:w="1440" w:type="dxa"/>
            <w:tcBorders>
              <w:top w:val="single" w:sz="8" w:space="0" w:color="auto"/>
              <w:left w:val="single" w:sz="4" w:space="0" w:color="auto"/>
              <w:bottom w:val="single" w:sz="8" w:space="0" w:color="auto"/>
              <w:right w:val="single" w:sz="8" w:space="0" w:color="auto"/>
            </w:tcBorders>
            <w:shd w:val="clear" w:color="auto" w:fill="auto"/>
            <w:noWrap/>
            <w:hideMark/>
          </w:tcPr>
          <w:p w:rsidR="00EB24A1" w:rsidRPr="00D63410" w:rsidRDefault="00EB24A1" w:rsidP="00075B11">
            <w:pPr>
              <w:spacing w:after="0" w:line="240" w:lineRule="auto"/>
              <w:rPr>
                <w:rFonts w:eastAsia="Times New Roman" w:cs="Arial"/>
                <w:bCs/>
                <w:sz w:val="20"/>
                <w:szCs w:val="20"/>
              </w:rPr>
            </w:pPr>
            <w:r w:rsidRPr="00D63410">
              <w:rPr>
                <w:rFonts w:eastAsia="Times New Roman" w:cs="Arial"/>
                <w:bCs/>
                <w:sz w:val="20"/>
                <w:szCs w:val="20"/>
              </w:rPr>
              <w:t xml:space="preserve"> $       7,586.58 </w:t>
            </w:r>
          </w:p>
        </w:tc>
      </w:tr>
    </w:tbl>
    <w:p w:rsidR="00EB24A1" w:rsidRDefault="00EB24A1" w:rsidP="00EB24A1"/>
    <w:p w:rsidR="002E3967" w:rsidRDefault="00C06A09" w:rsidP="006F36B1">
      <w:pPr>
        <w:spacing w:after="0" w:line="480" w:lineRule="auto"/>
        <w:rPr>
          <w:sz w:val="24"/>
          <w:szCs w:val="24"/>
        </w:rPr>
      </w:pPr>
      <w:r w:rsidRPr="00C06A09">
        <w:rPr>
          <w:sz w:val="24"/>
          <w:szCs w:val="24"/>
        </w:rPr>
        <w:t xml:space="preserve">estimates were obtained by sharing the interview guides and the cost instruments with a small number of stakeholders </w:t>
      </w:r>
      <w:r w:rsidR="005075F7">
        <w:rPr>
          <w:sz w:val="24"/>
          <w:szCs w:val="24"/>
        </w:rPr>
        <w:t xml:space="preserve">and program experts </w:t>
      </w:r>
      <w:r w:rsidRPr="00C06A09">
        <w:rPr>
          <w:sz w:val="24"/>
          <w:szCs w:val="24"/>
        </w:rPr>
        <w:t>and soliciting their input</w:t>
      </w:r>
      <w:r w:rsidR="002F1A77" w:rsidRPr="008C1D7A">
        <w:rPr>
          <w:sz w:val="24"/>
          <w:szCs w:val="24"/>
        </w:rPr>
        <w:t>.</w:t>
      </w:r>
      <w:r w:rsidR="00424CF1" w:rsidRPr="008C1D7A">
        <w:rPr>
          <w:sz w:val="24"/>
          <w:szCs w:val="24"/>
        </w:rPr>
        <w:t xml:space="preserve"> </w:t>
      </w:r>
      <w:r w:rsidR="007E57A0" w:rsidRPr="008C1D7A">
        <w:rPr>
          <w:sz w:val="24"/>
          <w:szCs w:val="24"/>
        </w:rPr>
        <w:t xml:space="preserve">Project </w:t>
      </w:r>
      <w:r w:rsidR="00EA2B74" w:rsidRPr="008C1D7A">
        <w:rPr>
          <w:sz w:val="24"/>
          <w:szCs w:val="24"/>
        </w:rPr>
        <w:t>staff</w:t>
      </w:r>
      <w:r w:rsidR="00EA2B74" w:rsidRPr="00926384">
        <w:rPr>
          <w:sz w:val="24"/>
          <w:szCs w:val="24"/>
        </w:rPr>
        <w:t xml:space="preserve"> will be responsible for the document review and </w:t>
      </w:r>
      <w:r w:rsidR="00263C3B" w:rsidRPr="00926384">
        <w:rPr>
          <w:sz w:val="24"/>
          <w:szCs w:val="24"/>
        </w:rPr>
        <w:t>information abstraction</w:t>
      </w:r>
      <w:r w:rsidR="00B32045" w:rsidRPr="00926384">
        <w:rPr>
          <w:sz w:val="24"/>
          <w:szCs w:val="24"/>
        </w:rPr>
        <w:t xml:space="preserve"> so </w:t>
      </w:r>
      <w:r w:rsidR="00EA3192" w:rsidRPr="00926384">
        <w:rPr>
          <w:sz w:val="24"/>
          <w:szCs w:val="24"/>
        </w:rPr>
        <w:t>respondent burden associated with this activity</w:t>
      </w:r>
      <w:r w:rsidR="00B32045" w:rsidRPr="00926384">
        <w:rPr>
          <w:sz w:val="24"/>
          <w:szCs w:val="24"/>
        </w:rPr>
        <w:t xml:space="preserve"> is limited to</w:t>
      </w:r>
      <w:r w:rsidR="007E57A0" w:rsidRPr="00926384">
        <w:rPr>
          <w:sz w:val="24"/>
          <w:szCs w:val="24"/>
        </w:rPr>
        <w:t xml:space="preserve"> t</w:t>
      </w:r>
      <w:r w:rsidR="00B32045" w:rsidRPr="00926384">
        <w:rPr>
          <w:sz w:val="24"/>
          <w:szCs w:val="24"/>
        </w:rPr>
        <w:t xml:space="preserve">he </w:t>
      </w:r>
      <w:r w:rsidR="00EA3192" w:rsidRPr="00926384">
        <w:rPr>
          <w:sz w:val="24"/>
          <w:szCs w:val="24"/>
        </w:rPr>
        <w:t xml:space="preserve">amount of time it will take sponsors to collect and </w:t>
      </w:r>
      <w:r w:rsidR="0021686F">
        <w:rPr>
          <w:sz w:val="24"/>
          <w:szCs w:val="24"/>
        </w:rPr>
        <w:t>provide</w:t>
      </w:r>
      <w:r w:rsidR="0021686F" w:rsidRPr="00926384">
        <w:rPr>
          <w:sz w:val="24"/>
          <w:szCs w:val="24"/>
        </w:rPr>
        <w:t xml:space="preserve"> </w:t>
      </w:r>
      <w:r w:rsidR="00EA3192" w:rsidRPr="00926384">
        <w:rPr>
          <w:sz w:val="24"/>
          <w:szCs w:val="24"/>
        </w:rPr>
        <w:t>copies of the requested materials</w:t>
      </w:r>
      <w:r w:rsidR="0021686F">
        <w:rPr>
          <w:sz w:val="24"/>
          <w:szCs w:val="24"/>
        </w:rPr>
        <w:t xml:space="preserve"> to the contractor</w:t>
      </w:r>
      <w:r w:rsidR="00EA3192" w:rsidRPr="00926384">
        <w:rPr>
          <w:sz w:val="24"/>
          <w:szCs w:val="24"/>
        </w:rPr>
        <w:t xml:space="preserve">.  </w:t>
      </w:r>
      <w:r w:rsidR="0021686F">
        <w:rPr>
          <w:sz w:val="24"/>
          <w:szCs w:val="24"/>
        </w:rPr>
        <w:t xml:space="preserve">In most cases, delivery will be electronic. </w:t>
      </w:r>
      <w:r w:rsidR="004D6DCF">
        <w:rPr>
          <w:sz w:val="24"/>
          <w:szCs w:val="24"/>
        </w:rPr>
        <w:t>These</w:t>
      </w:r>
      <w:r w:rsidR="00EA3192" w:rsidRPr="00926384">
        <w:rPr>
          <w:sz w:val="24"/>
          <w:szCs w:val="24"/>
        </w:rPr>
        <w:t xml:space="preserve"> materials represent brochures, recruitment materials, and </w:t>
      </w:r>
      <w:r w:rsidR="00BB1DBE">
        <w:rPr>
          <w:sz w:val="24"/>
          <w:szCs w:val="24"/>
        </w:rPr>
        <w:t xml:space="preserve">other </w:t>
      </w:r>
      <w:r w:rsidR="00EA3192" w:rsidRPr="00926384">
        <w:rPr>
          <w:sz w:val="24"/>
          <w:szCs w:val="24"/>
        </w:rPr>
        <w:t xml:space="preserve">project documents that </w:t>
      </w:r>
      <w:r w:rsidR="00B32045" w:rsidRPr="00926384">
        <w:rPr>
          <w:sz w:val="24"/>
          <w:szCs w:val="24"/>
        </w:rPr>
        <w:t xml:space="preserve">demonstration </w:t>
      </w:r>
      <w:r w:rsidR="00EA3192" w:rsidRPr="00926384">
        <w:rPr>
          <w:sz w:val="24"/>
          <w:szCs w:val="24"/>
        </w:rPr>
        <w:t xml:space="preserve">sponsors </w:t>
      </w:r>
      <w:r w:rsidR="00B32045" w:rsidRPr="00926384">
        <w:rPr>
          <w:sz w:val="24"/>
          <w:szCs w:val="24"/>
        </w:rPr>
        <w:t>and</w:t>
      </w:r>
      <w:r w:rsidR="00EA3192" w:rsidRPr="00926384">
        <w:rPr>
          <w:sz w:val="24"/>
          <w:szCs w:val="24"/>
        </w:rPr>
        <w:t xml:space="preserve"> </w:t>
      </w:r>
      <w:r w:rsidR="002C7B78">
        <w:rPr>
          <w:sz w:val="24"/>
          <w:szCs w:val="24"/>
        </w:rPr>
        <w:t>sites</w:t>
      </w:r>
      <w:r w:rsidR="00EA3192" w:rsidRPr="00926384">
        <w:rPr>
          <w:sz w:val="24"/>
          <w:szCs w:val="24"/>
        </w:rPr>
        <w:t xml:space="preserve"> will </w:t>
      </w:r>
      <w:r w:rsidR="001F4F15">
        <w:rPr>
          <w:sz w:val="24"/>
          <w:szCs w:val="24"/>
        </w:rPr>
        <w:t xml:space="preserve">be developing and will </w:t>
      </w:r>
      <w:r w:rsidR="00EA3192" w:rsidRPr="00926384">
        <w:rPr>
          <w:sz w:val="24"/>
          <w:szCs w:val="24"/>
        </w:rPr>
        <w:t xml:space="preserve">have readily available to </w:t>
      </w:r>
      <w:r w:rsidR="0028742B" w:rsidRPr="00926384">
        <w:rPr>
          <w:sz w:val="24"/>
          <w:szCs w:val="24"/>
        </w:rPr>
        <w:t>them</w:t>
      </w:r>
      <w:r w:rsidR="004D6DCF">
        <w:rPr>
          <w:sz w:val="24"/>
          <w:szCs w:val="24"/>
        </w:rPr>
        <w:t xml:space="preserve">. Thus, </w:t>
      </w:r>
      <w:r w:rsidR="00EA3192" w:rsidRPr="00926384">
        <w:rPr>
          <w:sz w:val="24"/>
          <w:szCs w:val="24"/>
        </w:rPr>
        <w:t>w</w:t>
      </w:r>
      <w:r w:rsidR="009C195B">
        <w:rPr>
          <w:sz w:val="24"/>
          <w:szCs w:val="24"/>
        </w:rPr>
        <w:t>e have estimated the burden at 5</w:t>
      </w:r>
      <w:r w:rsidR="00EA3192" w:rsidRPr="00926384">
        <w:rPr>
          <w:sz w:val="24"/>
          <w:szCs w:val="24"/>
        </w:rPr>
        <w:t xml:space="preserve"> minutes</w:t>
      </w:r>
      <w:r w:rsidR="00B32045" w:rsidRPr="00926384">
        <w:rPr>
          <w:sz w:val="24"/>
          <w:szCs w:val="24"/>
        </w:rPr>
        <w:t>.</w:t>
      </w:r>
      <w:r w:rsidR="00EA3192" w:rsidRPr="00926384">
        <w:rPr>
          <w:sz w:val="24"/>
          <w:szCs w:val="24"/>
        </w:rPr>
        <w:t xml:space="preserve"> </w:t>
      </w:r>
    </w:p>
    <w:p w:rsidR="006F36B1" w:rsidRDefault="006F36B1" w:rsidP="006F36B1">
      <w:pPr>
        <w:spacing w:after="0" w:line="480" w:lineRule="auto"/>
        <w:rPr>
          <w:sz w:val="24"/>
          <w:szCs w:val="24"/>
        </w:rPr>
      </w:pPr>
    </w:p>
    <w:p w:rsidR="002E3967" w:rsidRDefault="007E57A0" w:rsidP="006F36B1">
      <w:pPr>
        <w:spacing w:after="0" w:line="480" w:lineRule="auto"/>
        <w:rPr>
          <w:sz w:val="24"/>
          <w:szCs w:val="24"/>
        </w:rPr>
      </w:pPr>
      <w:r w:rsidRPr="00926384">
        <w:rPr>
          <w:sz w:val="24"/>
          <w:szCs w:val="24"/>
        </w:rPr>
        <w:t>The total annualized cost to respondents is</w:t>
      </w:r>
      <w:r w:rsidR="00B73EF7">
        <w:rPr>
          <w:sz w:val="24"/>
          <w:szCs w:val="24"/>
        </w:rPr>
        <w:t xml:space="preserve"> </w:t>
      </w:r>
      <w:r w:rsidR="00D03323">
        <w:rPr>
          <w:sz w:val="24"/>
          <w:szCs w:val="24"/>
        </w:rPr>
        <w:t>$</w:t>
      </w:r>
      <w:r w:rsidR="00EB24A1">
        <w:rPr>
          <w:sz w:val="24"/>
          <w:szCs w:val="24"/>
        </w:rPr>
        <w:t>7,586.58</w:t>
      </w:r>
      <w:r w:rsidRPr="00926384">
        <w:rPr>
          <w:sz w:val="24"/>
          <w:szCs w:val="24"/>
        </w:rPr>
        <w:t>, as summarized in Table A</w:t>
      </w:r>
      <w:r w:rsidR="00DE5630">
        <w:rPr>
          <w:sz w:val="24"/>
          <w:szCs w:val="24"/>
        </w:rPr>
        <w:t>.12.</w:t>
      </w:r>
      <w:r w:rsidR="006F36B1">
        <w:rPr>
          <w:sz w:val="24"/>
          <w:szCs w:val="24"/>
        </w:rPr>
        <w:t>1</w:t>
      </w:r>
      <w:r w:rsidR="00EB24A1">
        <w:rPr>
          <w:sz w:val="24"/>
          <w:szCs w:val="24"/>
        </w:rPr>
        <w:t>c</w:t>
      </w:r>
      <w:r w:rsidRPr="00926384">
        <w:rPr>
          <w:sz w:val="24"/>
          <w:szCs w:val="24"/>
        </w:rPr>
        <w:t xml:space="preserve">.  Average hourly wage rates </w:t>
      </w:r>
      <w:r w:rsidR="00F124BE" w:rsidRPr="00926384">
        <w:rPr>
          <w:sz w:val="24"/>
          <w:szCs w:val="24"/>
        </w:rPr>
        <w:t xml:space="preserve">for the different types of respondents </w:t>
      </w:r>
      <w:r w:rsidR="00300352" w:rsidRPr="00926384">
        <w:rPr>
          <w:sz w:val="24"/>
          <w:szCs w:val="24"/>
        </w:rPr>
        <w:t>were calculated using an estimated 40-hour work week and weekly earning</w:t>
      </w:r>
      <w:r w:rsidR="007452E7" w:rsidRPr="00926384">
        <w:rPr>
          <w:sz w:val="24"/>
          <w:szCs w:val="24"/>
        </w:rPr>
        <w:t>s</w:t>
      </w:r>
      <w:r w:rsidR="00300352" w:rsidRPr="00926384">
        <w:rPr>
          <w:sz w:val="24"/>
          <w:szCs w:val="24"/>
        </w:rPr>
        <w:t xml:space="preserve"> </w:t>
      </w:r>
      <w:r w:rsidR="007452E7" w:rsidRPr="00926384">
        <w:rPr>
          <w:sz w:val="24"/>
          <w:szCs w:val="24"/>
        </w:rPr>
        <w:t xml:space="preserve">data from the Current Population Survey </w:t>
      </w:r>
      <w:r w:rsidR="00300352" w:rsidRPr="00926384">
        <w:rPr>
          <w:sz w:val="24"/>
          <w:szCs w:val="24"/>
        </w:rPr>
        <w:t>released from the United States Department of Labor, Bureau of Labor Statistics</w:t>
      </w:r>
      <w:r w:rsidR="007452E7" w:rsidRPr="00926384">
        <w:rPr>
          <w:sz w:val="24"/>
          <w:szCs w:val="24"/>
        </w:rPr>
        <w:t xml:space="preserve"> (January </w:t>
      </w:r>
      <w:r w:rsidR="00F87077" w:rsidRPr="00926384">
        <w:rPr>
          <w:sz w:val="24"/>
          <w:szCs w:val="24"/>
        </w:rPr>
        <w:t>20</w:t>
      </w:r>
      <w:r w:rsidR="007452E7" w:rsidRPr="00926384">
        <w:rPr>
          <w:sz w:val="24"/>
          <w:szCs w:val="24"/>
        </w:rPr>
        <w:t xml:space="preserve">, 2011).  </w:t>
      </w:r>
      <w:r w:rsidR="00F87077" w:rsidRPr="00926384">
        <w:rPr>
          <w:sz w:val="24"/>
          <w:szCs w:val="24"/>
        </w:rPr>
        <w:t>We used the usual weekly earnings for workers in the management, professional, and related occupations to calculate an average hourly rate of $27 for key informants</w:t>
      </w:r>
      <w:r w:rsidR="00442B7D" w:rsidRPr="00926384">
        <w:rPr>
          <w:sz w:val="24"/>
          <w:szCs w:val="24"/>
        </w:rPr>
        <w:t>,</w:t>
      </w:r>
      <w:r w:rsidR="00F87077" w:rsidRPr="00926384">
        <w:rPr>
          <w:sz w:val="24"/>
          <w:szCs w:val="24"/>
        </w:rPr>
        <w:t xml:space="preserve"> demonstration </w:t>
      </w:r>
      <w:r w:rsidR="00F87077" w:rsidRPr="00926384">
        <w:rPr>
          <w:sz w:val="24"/>
          <w:szCs w:val="24"/>
        </w:rPr>
        <w:lastRenderedPageBreak/>
        <w:t>sponsors</w:t>
      </w:r>
      <w:r w:rsidR="00442B7D" w:rsidRPr="00926384">
        <w:rPr>
          <w:sz w:val="24"/>
          <w:szCs w:val="24"/>
        </w:rPr>
        <w:t>, and state grantees</w:t>
      </w:r>
      <w:r w:rsidR="00F87077" w:rsidRPr="00926384">
        <w:rPr>
          <w:sz w:val="24"/>
          <w:szCs w:val="24"/>
        </w:rPr>
        <w:t xml:space="preserve">.   </w:t>
      </w:r>
      <w:r w:rsidR="002B30CD">
        <w:rPr>
          <w:sz w:val="24"/>
          <w:szCs w:val="24"/>
        </w:rPr>
        <w:t xml:space="preserve">Parent hourly wage </w:t>
      </w:r>
      <w:r w:rsidR="00857882">
        <w:rPr>
          <w:sz w:val="24"/>
          <w:szCs w:val="24"/>
        </w:rPr>
        <w:t xml:space="preserve">rate </w:t>
      </w:r>
      <w:r w:rsidR="002B30CD">
        <w:rPr>
          <w:sz w:val="24"/>
          <w:szCs w:val="24"/>
        </w:rPr>
        <w:t>($8</w:t>
      </w:r>
      <w:r w:rsidR="004C6083">
        <w:rPr>
          <w:sz w:val="24"/>
          <w:szCs w:val="24"/>
        </w:rPr>
        <w:t xml:space="preserve">) was based on the income/poverty ratio distribution among all National School Lunch Program participants (Newman &amp; Ralston, 2006) to estimate a weighted mean of </w:t>
      </w:r>
      <w:r w:rsidR="00857882">
        <w:rPr>
          <w:sz w:val="24"/>
          <w:szCs w:val="24"/>
        </w:rPr>
        <w:t xml:space="preserve">per person </w:t>
      </w:r>
      <w:r w:rsidR="004C6083">
        <w:rPr>
          <w:sz w:val="24"/>
          <w:szCs w:val="24"/>
        </w:rPr>
        <w:t xml:space="preserve">household income per hour.    </w:t>
      </w:r>
    </w:p>
    <w:p w:rsidR="00157AFC" w:rsidRDefault="00157AFC" w:rsidP="006F36B1">
      <w:pPr>
        <w:spacing w:after="0" w:line="480" w:lineRule="auto"/>
        <w:rPr>
          <w:sz w:val="24"/>
          <w:szCs w:val="24"/>
        </w:rPr>
      </w:pPr>
    </w:p>
    <w:p w:rsidR="00432610" w:rsidRPr="00432610" w:rsidRDefault="00A35867" w:rsidP="007E78E0">
      <w:pPr>
        <w:spacing w:after="0" w:line="240" w:lineRule="auto"/>
        <w:rPr>
          <w:b/>
          <w:sz w:val="24"/>
          <w:szCs w:val="24"/>
        </w:rPr>
      </w:pPr>
      <w:r w:rsidRPr="00432610">
        <w:rPr>
          <w:b/>
          <w:sz w:val="24"/>
          <w:szCs w:val="24"/>
        </w:rPr>
        <w:t>A. 13</w:t>
      </w:r>
      <w:r w:rsidRPr="00432610">
        <w:rPr>
          <w:b/>
          <w:sz w:val="24"/>
          <w:szCs w:val="24"/>
        </w:rPr>
        <w:tab/>
      </w:r>
      <w:r w:rsidR="00432610" w:rsidRPr="00432610">
        <w:rPr>
          <w:b/>
          <w:sz w:val="24"/>
          <w:szCs w:val="24"/>
        </w:rPr>
        <w:t>Provide estimates of t</w:t>
      </w:r>
      <w:r w:rsidR="009B08F0">
        <w:rPr>
          <w:b/>
          <w:sz w:val="24"/>
          <w:szCs w:val="24"/>
        </w:rPr>
        <w:t>he total annual cost burden to </w:t>
      </w:r>
      <w:r w:rsidR="00432610" w:rsidRPr="00432610">
        <w:rPr>
          <w:b/>
          <w:sz w:val="24"/>
          <w:szCs w:val="24"/>
        </w:rPr>
        <w:t>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7E78E0" w:rsidRDefault="007E78E0" w:rsidP="00CE6453">
      <w:pPr>
        <w:spacing w:after="0" w:line="480" w:lineRule="auto"/>
        <w:rPr>
          <w:sz w:val="24"/>
          <w:szCs w:val="24"/>
        </w:rPr>
      </w:pPr>
    </w:p>
    <w:p w:rsidR="006F36B1" w:rsidRDefault="00A35867" w:rsidP="00CE6453">
      <w:pPr>
        <w:spacing w:after="0" w:line="480" w:lineRule="auto"/>
        <w:rPr>
          <w:sz w:val="24"/>
          <w:szCs w:val="24"/>
        </w:rPr>
      </w:pPr>
      <w:r w:rsidRPr="00926384">
        <w:rPr>
          <w:sz w:val="24"/>
          <w:szCs w:val="24"/>
        </w:rPr>
        <w:t>Respondents and recordkeepers will incur no capital or maintenance costs.</w:t>
      </w:r>
      <w:r w:rsidR="007C4637">
        <w:rPr>
          <w:sz w:val="24"/>
          <w:szCs w:val="24"/>
        </w:rPr>
        <w:t xml:space="preserve"> </w:t>
      </w:r>
    </w:p>
    <w:p w:rsidR="007E78E0" w:rsidRDefault="007E78E0" w:rsidP="00CE6453">
      <w:pPr>
        <w:pStyle w:val="Default"/>
        <w:ind w:left="720" w:hanging="720"/>
        <w:rPr>
          <w:rFonts w:asciiTheme="minorHAnsi" w:hAnsiTheme="minorHAnsi"/>
          <w:b/>
        </w:rPr>
      </w:pPr>
    </w:p>
    <w:p w:rsidR="00432610" w:rsidRPr="00432610" w:rsidRDefault="00580084" w:rsidP="00CE6453">
      <w:pPr>
        <w:pStyle w:val="Default"/>
        <w:ind w:left="720" w:hanging="720"/>
        <w:rPr>
          <w:rFonts w:asciiTheme="minorHAnsi" w:hAnsiTheme="minorHAnsi" w:cstheme="minorBidi"/>
          <w:b/>
          <w:color w:val="auto"/>
        </w:rPr>
      </w:pPr>
      <w:r w:rsidRPr="00432610">
        <w:rPr>
          <w:rFonts w:asciiTheme="minorHAnsi" w:hAnsiTheme="minorHAnsi"/>
          <w:b/>
        </w:rPr>
        <w:t>A. 14</w:t>
      </w:r>
      <w:r w:rsidRPr="00432610">
        <w:rPr>
          <w:rFonts w:asciiTheme="minorHAnsi" w:hAnsiTheme="minorHAnsi"/>
          <w:b/>
        </w:rPr>
        <w:tab/>
      </w:r>
      <w:r w:rsidR="00432610" w:rsidRPr="00432610">
        <w:rPr>
          <w:rFonts w:asciiTheme="minorHAnsi" w:hAnsiTheme="minorHAnsi" w:cstheme="minorBidi"/>
          <w:b/>
          <w:color w:val="auto"/>
        </w:rPr>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432610" w:rsidRPr="00432610" w:rsidRDefault="00432610">
      <w:pPr>
        <w:rPr>
          <w:b/>
          <w:sz w:val="24"/>
          <w:szCs w:val="24"/>
        </w:rPr>
      </w:pPr>
    </w:p>
    <w:p w:rsidR="00580084" w:rsidRPr="00926384" w:rsidRDefault="00580084">
      <w:pPr>
        <w:rPr>
          <w:sz w:val="24"/>
          <w:szCs w:val="24"/>
        </w:rPr>
      </w:pPr>
      <w:r w:rsidRPr="00926384">
        <w:rPr>
          <w:b/>
          <w:sz w:val="24"/>
          <w:szCs w:val="24"/>
        </w:rPr>
        <w:t>Estimates of Annualized Costs to the Federal Government</w:t>
      </w:r>
    </w:p>
    <w:p w:rsidR="001A25A8" w:rsidRPr="001A25A8" w:rsidRDefault="006D27B9" w:rsidP="001A25A8">
      <w:pPr>
        <w:pStyle w:val="CommentText"/>
        <w:spacing w:after="0" w:line="480" w:lineRule="auto"/>
        <w:rPr>
          <w:sz w:val="24"/>
          <w:szCs w:val="24"/>
        </w:rPr>
      </w:pPr>
      <w:r w:rsidRPr="00926384">
        <w:rPr>
          <w:sz w:val="24"/>
          <w:szCs w:val="24"/>
        </w:rPr>
        <w:t>Total costs include work performed by the evaluation contractor, Westat, and USDA personnel.  Westat is funded at a total cost of $</w:t>
      </w:r>
      <w:r w:rsidRPr="00926384">
        <w:rPr>
          <w:rFonts w:eastAsia="Times New Roman" w:cs="Arial"/>
          <w:color w:val="000000"/>
          <w:sz w:val="24"/>
          <w:szCs w:val="24"/>
        </w:rPr>
        <w:t>1,475,315 over the 32-month contract period, for an annualized cost of $</w:t>
      </w:r>
      <w:r w:rsidR="002C68A9">
        <w:rPr>
          <w:rFonts w:eastAsia="Times New Roman" w:cs="Arial"/>
          <w:color w:val="000000"/>
          <w:sz w:val="24"/>
          <w:szCs w:val="24"/>
        </w:rPr>
        <w:t>491,772</w:t>
      </w:r>
      <w:r w:rsidRPr="00926384">
        <w:rPr>
          <w:rFonts w:eastAsia="Times New Roman" w:cs="Arial"/>
          <w:color w:val="000000"/>
          <w:sz w:val="24"/>
          <w:szCs w:val="24"/>
        </w:rPr>
        <w:t xml:space="preserve">.  Westat will be responsible for </w:t>
      </w:r>
      <w:r w:rsidR="00937F39" w:rsidRPr="00926384">
        <w:rPr>
          <w:rFonts w:eastAsia="Times New Roman" w:cs="Arial"/>
          <w:color w:val="000000"/>
          <w:sz w:val="24"/>
          <w:szCs w:val="24"/>
        </w:rPr>
        <w:t xml:space="preserve">data collection, </w:t>
      </w:r>
      <w:r w:rsidR="00937F39" w:rsidRPr="001A25A8">
        <w:rPr>
          <w:rFonts w:eastAsia="Times New Roman" w:cs="Arial"/>
          <w:color w:val="000000"/>
          <w:sz w:val="24"/>
          <w:szCs w:val="24"/>
        </w:rPr>
        <w:t>data analysis, and report writing activities.  USDA personnel will oversee the evaluation effort</w:t>
      </w:r>
      <w:r w:rsidR="00D03323" w:rsidRPr="001A25A8">
        <w:rPr>
          <w:rFonts w:eastAsia="Times New Roman" w:cs="Arial"/>
          <w:color w:val="000000"/>
          <w:sz w:val="24"/>
          <w:szCs w:val="24"/>
        </w:rPr>
        <w:t>.</w:t>
      </w:r>
      <w:r w:rsidR="00937F39" w:rsidRPr="001A25A8">
        <w:rPr>
          <w:rFonts w:eastAsia="Times New Roman" w:cs="Arial"/>
          <w:color w:val="000000"/>
          <w:sz w:val="24"/>
          <w:szCs w:val="24"/>
        </w:rPr>
        <w:t xml:space="preserve">  </w:t>
      </w:r>
      <w:r w:rsidR="001F2D0A" w:rsidRPr="001F2D0A">
        <w:rPr>
          <w:sz w:val="24"/>
          <w:szCs w:val="24"/>
        </w:rPr>
        <w:t>This information collection</w:t>
      </w:r>
      <w:r w:rsidR="00A27399">
        <w:rPr>
          <w:sz w:val="24"/>
          <w:szCs w:val="24"/>
        </w:rPr>
        <w:t xml:space="preserve"> also assumes that a total of 294 hours of Federal employee time, for a GS-14, step 1, Lead Program Analyst at $50.41 per hour, and 588 hours of Federal employee time for a GS-13, step 1,</w:t>
      </w:r>
      <w:r w:rsidR="001F2D0A" w:rsidRPr="001F2D0A">
        <w:rPr>
          <w:sz w:val="24"/>
          <w:szCs w:val="24"/>
        </w:rPr>
        <w:t xml:space="preserve"> </w:t>
      </w:r>
      <w:r w:rsidR="001A25A8">
        <w:rPr>
          <w:sz w:val="24"/>
          <w:szCs w:val="24"/>
        </w:rPr>
        <w:t>Program Analys</w:t>
      </w:r>
      <w:r w:rsidR="00A27399">
        <w:rPr>
          <w:sz w:val="24"/>
          <w:szCs w:val="24"/>
        </w:rPr>
        <w:t>t at $42</w:t>
      </w:r>
      <w:r w:rsidR="001F2D0A" w:rsidRPr="001F2D0A">
        <w:rPr>
          <w:sz w:val="24"/>
          <w:szCs w:val="24"/>
        </w:rPr>
        <w:t>.</w:t>
      </w:r>
      <w:r w:rsidR="00A27399">
        <w:rPr>
          <w:sz w:val="24"/>
          <w:szCs w:val="24"/>
        </w:rPr>
        <w:t>66</w:t>
      </w:r>
      <w:r w:rsidR="000F4816">
        <w:rPr>
          <w:sz w:val="24"/>
          <w:szCs w:val="24"/>
        </w:rPr>
        <w:t xml:space="preserve"> per hour for a total of $106,545.3</w:t>
      </w:r>
      <w:r w:rsidR="001F2D0A" w:rsidRPr="001F2D0A">
        <w:rPr>
          <w:sz w:val="24"/>
          <w:szCs w:val="24"/>
        </w:rPr>
        <w:t xml:space="preserve">0 Federal staffing cost </w:t>
      </w:r>
      <w:r w:rsidR="000F4816">
        <w:rPr>
          <w:sz w:val="24"/>
          <w:szCs w:val="24"/>
        </w:rPr>
        <w:t>for 32 months or</w:t>
      </w:r>
      <w:r w:rsidR="001F2D0A" w:rsidRPr="001F2D0A">
        <w:rPr>
          <w:sz w:val="24"/>
          <w:szCs w:val="24"/>
        </w:rPr>
        <w:t xml:space="preserve"> $</w:t>
      </w:r>
      <w:r w:rsidR="000F4816">
        <w:rPr>
          <w:sz w:val="24"/>
          <w:szCs w:val="24"/>
        </w:rPr>
        <w:t>39,904.62</w:t>
      </w:r>
      <w:r w:rsidR="001F2D0A" w:rsidRPr="001F2D0A">
        <w:rPr>
          <w:sz w:val="24"/>
          <w:szCs w:val="24"/>
        </w:rPr>
        <w:t xml:space="preserve"> on an annual basis. Federal employee pay rates are based on the </w:t>
      </w:r>
      <w:r w:rsidR="001F2D0A" w:rsidRPr="001F2D0A">
        <w:rPr>
          <w:sz w:val="24"/>
          <w:szCs w:val="24"/>
        </w:rPr>
        <w:lastRenderedPageBreak/>
        <w:t>General Schedule of the Office of Pers</w:t>
      </w:r>
      <w:r w:rsidR="000F4816">
        <w:rPr>
          <w:sz w:val="24"/>
          <w:szCs w:val="24"/>
        </w:rPr>
        <w:t>onnel Management (OPM) for 2011 for the Washington, DC locality</w:t>
      </w:r>
      <w:r w:rsidR="001F2D0A" w:rsidRPr="001F2D0A">
        <w:rPr>
          <w:sz w:val="24"/>
          <w:szCs w:val="24"/>
        </w:rPr>
        <w:t xml:space="preserve">) </w:t>
      </w:r>
    </w:p>
    <w:p w:rsidR="007E78E0" w:rsidRDefault="007E78E0">
      <w:pPr>
        <w:spacing w:after="0" w:line="240" w:lineRule="auto"/>
        <w:rPr>
          <w:rFonts w:eastAsia="Times New Roman" w:cs="Arial"/>
          <w:color w:val="000000"/>
          <w:sz w:val="24"/>
          <w:szCs w:val="24"/>
        </w:rPr>
      </w:pPr>
    </w:p>
    <w:p w:rsidR="00A66859" w:rsidRDefault="00A66859">
      <w:pPr>
        <w:spacing w:after="0" w:line="240" w:lineRule="auto"/>
        <w:rPr>
          <w:rFonts w:eastAsia="Times New Roman" w:cs="Arial"/>
          <w:color w:val="000000"/>
          <w:sz w:val="24"/>
          <w:szCs w:val="24"/>
        </w:rPr>
      </w:pPr>
    </w:p>
    <w:p w:rsidR="002E3967" w:rsidRDefault="00937F39" w:rsidP="00E80C03">
      <w:pPr>
        <w:rPr>
          <w:rFonts w:eastAsia="Times New Roman" w:cs="Arial"/>
          <w:color w:val="000000"/>
          <w:sz w:val="24"/>
          <w:szCs w:val="24"/>
        </w:rPr>
      </w:pPr>
      <w:r w:rsidRPr="00926384">
        <w:rPr>
          <w:rFonts w:eastAsia="Times New Roman" w:cs="Arial"/>
          <w:color w:val="000000"/>
          <w:sz w:val="24"/>
          <w:szCs w:val="24"/>
        </w:rPr>
        <w:t xml:space="preserve"> Table A</w:t>
      </w:r>
      <w:r w:rsidR="00DE5630">
        <w:rPr>
          <w:rFonts w:eastAsia="Times New Roman" w:cs="Arial"/>
          <w:color w:val="000000"/>
          <w:sz w:val="24"/>
          <w:szCs w:val="24"/>
        </w:rPr>
        <w:t>.14.1</w:t>
      </w:r>
      <w:r w:rsidRPr="00926384">
        <w:rPr>
          <w:rFonts w:eastAsia="Times New Roman" w:cs="Arial"/>
          <w:color w:val="000000"/>
          <w:sz w:val="24"/>
          <w:szCs w:val="24"/>
        </w:rPr>
        <w:t xml:space="preserve"> summarizes the estimated annualized cost to the Federal Government.</w:t>
      </w:r>
    </w:p>
    <w:p w:rsidR="008F5044" w:rsidRDefault="008F5044" w:rsidP="006D27B9">
      <w:pPr>
        <w:rPr>
          <w:rFonts w:eastAsia="Times New Roman" w:cs="Arial"/>
          <w:b/>
          <w:color w:val="000000"/>
          <w:sz w:val="24"/>
          <w:szCs w:val="24"/>
        </w:rPr>
      </w:pPr>
    </w:p>
    <w:p w:rsidR="00937F39" w:rsidRPr="00926384" w:rsidRDefault="00937F39" w:rsidP="006D27B9">
      <w:pPr>
        <w:rPr>
          <w:rFonts w:eastAsia="Times New Roman" w:cs="Arial"/>
          <w:color w:val="000000"/>
          <w:sz w:val="24"/>
          <w:szCs w:val="24"/>
        </w:rPr>
      </w:pPr>
      <w:r w:rsidRPr="00926384">
        <w:rPr>
          <w:rFonts w:eastAsia="Times New Roman" w:cs="Arial"/>
          <w:b/>
          <w:color w:val="000000"/>
          <w:sz w:val="24"/>
          <w:szCs w:val="24"/>
        </w:rPr>
        <w:t>Table A</w:t>
      </w:r>
      <w:r w:rsidR="00DE5630">
        <w:rPr>
          <w:rFonts w:eastAsia="Times New Roman" w:cs="Arial"/>
          <w:b/>
          <w:color w:val="000000"/>
          <w:sz w:val="24"/>
          <w:szCs w:val="24"/>
        </w:rPr>
        <w:t xml:space="preserve">.14.1 </w:t>
      </w:r>
      <w:r w:rsidR="00FB33F4">
        <w:rPr>
          <w:rFonts w:eastAsia="Times New Roman" w:cs="Arial"/>
          <w:b/>
          <w:color w:val="000000"/>
          <w:sz w:val="24"/>
          <w:szCs w:val="24"/>
        </w:rPr>
        <w:t xml:space="preserve"> Estimated annualized cost to the Federal g</w:t>
      </w:r>
      <w:r w:rsidRPr="00926384">
        <w:rPr>
          <w:rFonts w:eastAsia="Times New Roman" w:cs="Arial"/>
          <w:b/>
          <w:color w:val="000000"/>
          <w:sz w:val="24"/>
          <w:szCs w:val="24"/>
        </w:rPr>
        <w:t>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48"/>
        <w:gridCol w:w="1890"/>
      </w:tblGrid>
      <w:tr w:rsidR="00956551" w:rsidRPr="001C66C6" w:rsidTr="001C66C6">
        <w:trPr>
          <w:trHeight w:val="432"/>
        </w:trPr>
        <w:tc>
          <w:tcPr>
            <w:tcW w:w="3348" w:type="dxa"/>
            <w:vAlign w:val="center"/>
          </w:tcPr>
          <w:p w:rsidR="00956551" w:rsidRPr="001C66C6" w:rsidRDefault="00956551" w:rsidP="00242C4C">
            <w:pPr>
              <w:rPr>
                <w:rFonts w:asciiTheme="minorHAnsi" w:eastAsia="Times New Roman" w:hAnsiTheme="minorHAnsi" w:cs="Arial"/>
                <w:color w:val="000000"/>
                <w:sz w:val="20"/>
                <w:szCs w:val="20"/>
              </w:rPr>
            </w:pPr>
          </w:p>
        </w:tc>
        <w:tc>
          <w:tcPr>
            <w:tcW w:w="1890" w:type="dxa"/>
            <w:vAlign w:val="center"/>
          </w:tcPr>
          <w:p w:rsidR="00956551" w:rsidRPr="001C66C6" w:rsidRDefault="00644338" w:rsidP="001C66C6">
            <w:pPr>
              <w:jc w:val="center"/>
              <w:rPr>
                <w:rFonts w:asciiTheme="minorHAnsi" w:eastAsia="Times New Roman" w:hAnsiTheme="minorHAnsi" w:cs="Arial"/>
                <w:b/>
                <w:color w:val="000000"/>
                <w:sz w:val="20"/>
                <w:szCs w:val="20"/>
              </w:rPr>
            </w:pPr>
            <w:r w:rsidRPr="001C66C6">
              <w:rPr>
                <w:rFonts w:asciiTheme="minorHAnsi" w:eastAsia="Times New Roman" w:hAnsiTheme="minorHAnsi" w:cs="Arial"/>
                <w:b/>
                <w:color w:val="000000"/>
                <w:sz w:val="20"/>
                <w:szCs w:val="20"/>
              </w:rPr>
              <w:t>Annualized Cost</w:t>
            </w:r>
          </w:p>
        </w:tc>
      </w:tr>
      <w:tr w:rsidR="00956551" w:rsidRPr="001C66C6" w:rsidTr="001C66C6">
        <w:trPr>
          <w:trHeight w:val="432"/>
        </w:trPr>
        <w:tc>
          <w:tcPr>
            <w:tcW w:w="3348" w:type="dxa"/>
            <w:vAlign w:val="center"/>
          </w:tcPr>
          <w:p w:rsidR="00956551" w:rsidRPr="001C66C6" w:rsidRDefault="00644338" w:rsidP="00242C4C">
            <w:pPr>
              <w:rPr>
                <w:rFonts w:asciiTheme="minorHAnsi" w:eastAsia="Times New Roman" w:hAnsiTheme="minorHAnsi" w:cs="Arial"/>
                <w:color w:val="000000"/>
                <w:sz w:val="20"/>
                <w:szCs w:val="20"/>
              </w:rPr>
            </w:pPr>
            <w:r w:rsidRPr="001C66C6">
              <w:rPr>
                <w:rFonts w:asciiTheme="minorHAnsi" w:eastAsia="Times New Roman" w:hAnsiTheme="minorHAnsi" w:cs="Arial"/>
                <w:color w:val="000000"/>
                <w:sz w:val="20"/>
                <w:szCs w:val="20"/>
              </w:rPr>
              <w:t>USDA Personnel</w:t>
            </w:r>
          </w:p>
        </w:tc>
        <w:tc>
          <w:tcPr>
            <w:tcW w:w="1890" w:type="dxa"/>
            <w:vAlign w:val="center"/>
          </w:tcPr>
          <w:p w:rsidR="00956551" w:rsidRPr="001C66C6" w:rsidRDefault="00644338" w:rsidP="000F4816">
            <w:pPr>
              <w:jc w:val="center"/>
              <w:rPr>
                <w:rFonts w:asciiTheme="minorHAnsi" w:eastAsia="Times New Roman" w:hAnsiTheme="minorHAnsi" w:cs="Arial"/>
                <w:color w:val="000000"/>
                <w:sz w:val="20"/>
                <w:szCs w:val="20"/>
              </w:rPr>
            </w:pPr>
            <w:r w:rsidRPr="001C66C6">
              <w:rPr>
                <w:rFonts w:asciiTheme="minorHAnsi" w:eastAsia="Times New Roman" w:hAnsiTheme="minorHAnsi" w:cs="Arial"/>
                <w:color w:val="000000"/>
                <w:sz w:val="20"/>
                <w:szCs w:val="20"/>
              </w:rPr>
              <w:t>$</w:t>
            </w:r>
            <w:r w:rsidR="000F4816">
              <w:rPr>
                <w:rFonts w:asciiTheme="minorHAnsi" w:eastAsia="Times New Roman" w:hAnsiTheme="minorHAnsi" w:cs="Arial"/>
                <w:color w:val="000000"/>
                <w:sz w:val="20"/>
                <w:szCs w:val="20"/>
              </w:rPr>
              <w:t>39,905</w:t>
            </w:r>
          </w:p>
        </w:tc>
      </w:tr>
      <w:tr w:rsidR="00956551" w:rsidRPr="001C66C6" w:rsidTr="001C66C6">
        <w:trPr>
          <w:trHeight w:val="432"/>
        </w:trPr>
        <w:tc>
          <w:tcPr>
            <w:tcW w:w="3348" w:type="dxa"/>
            <w:vAlign w:val="center"/>
          </w:tcPr>
          <w:p w:rsidR="00956551" w:rsidRPr="001C66C6" w:rsidRDefault="00644338" w:rsidP="00242C4C">
            <w:pPr>
              <w:rPr>
                <w:rFonts w:asciiTheme="minorHAnsi" w:eastAsia="Times New Roman" w:hAnsiTheme="minorHAnsi" w:cs="Arial"/>
                <w:color w:val="000000"/>
                <w:sz w:val="20"/>
                <w:szCs w:val="20"/>
              </w:rPr>
            </w:pPr>
            <w:r w:rsidRPr="001C66C6">
              <w:rPr>
                <w:rFonts w:asciiTheme="minorHAnsi" w:eastAsia="Times New Roman" w:hAnsiTheme="minorHAnsi" w:cs="Arial"/>
                <w:color w:val="000000"/>
                <w:sz w:val="20"/>
                <w:szCs w:val="20"/>
              </w:rPr>
              <w:t>Evaluation Contractor (Westat)</w:t>
            </w:r>
          </w:p>
        </w:tc>
        <w:tc>
          <w:tcPr>
            <w:tcW w:w="1890" w:type="dxa"/>
            <w:vAlign w:val="center"/>
          </w:tcPr>
          <w:p w:rsidR="00956551" w:rsidRPr="001C66C6" w:rsidRDefault="00644338" w:rsidP="001C66C6">
            <w:pPr>
              <w:jc w:val="center"/>
              <w:rPr>
                <w:rFonts w:asciiTheme="minorHAnsi" w:eastAsia="Times New Roman" w:hAnsiTheme="minorHAnsi" w:cs="Arial"/>
                <w:color w:val="000000"/>
                <w:sz w:val="20"/>
                <w:szCs w:val="20"/>
              </w:rPr>
            </w:pPr>
            <w:r w:rsidRPr="001C66C6">
              <w:rPr>
                <w:rFonts w:asciiTheme="minorHAnsi" w:eastAsia="Times New Roman" w:hAnsiTheme="minorHAnsi" w:cs="Arial"/>
                <w:color w:val="000000"/>
                <w:sz w:val="20"/>
                <w:szCs w:val="20"/>
              </w:rPr>
              <w:t>$</w:t>
            </w:r>
            <w:r w:rsidR="006F36B1" w:rsidRPr="001C66C6">
              <w:rPr>
                <w:rFonts w:asciiTheme="minorHAnsi" w:eastAsia="Times New Roman" w:hAnsiTheme="minorHAnsi" w:cs="Arial"/>
                <w:color w:val="000000"/>
                <w:sz w:val="20"/>
                <w:szCs w:val="20"/>
              </w:rPr>
              <w:t>491,772</w:t>
            </w:r>
          </w:p>
        </w:tc>
      </w:tr>
      <w:tr w:rsidR="00956551" w:rsidRPr="001C66C6" w:rsidTr="001C66C6">
        <w:trPr>
          <w:trHeight w:val="432"/>
        </w:trPr>
        <w:tc>
          <w:tcPr>
            <w:tcW w:w="3348" w:type="dxa"/>
            <w:vAlign w:val="center"/>
          </w:tcPr>
          <w:p w:rsidR="00956551" w:rsidRPr="001C66C6" w:rsidRDefault="00644338" w:rsidP="00242C4C">
            <w:pPr>
              <w:rPr>
                <w:rFonts w:asciiTheme="minorHAnsi" w:eastAsia="Times New Roman" w:hAnsiTheme="minorHAnsi" w:cs="Arial"/>
                <w:b/>
                <w:color w:val="000000"/>
                <w:sz w:val="20"/>
                <w:szCs w:val="20"/>
              </w:rPr>
            </w:pPr>
            <w:r w:rsidRPr="001C66C6">
              <w:rPr>
                <w:rFonts w:asciiTheme="minorHAnsi" w:eastAsia="Times New Roman" w:hAnsiTheme="minorHAnsi" w:cs="Arial"/>
                <w:b/>
                <w:color w:val="000000"/>
                <w:sz w:val="20"/>
                <w:szCs w:val="20"/>
              </w:rPr>
              <w:t>Total</w:t>
            </w:r>
          </w:p>
        </w:tc>
        <w:tc>
          <w:tcPr>
            <w:tcW w:w="1890" w:type="dxa"/>
            <w:vAlign w:val="center"/>
          </w:tcPr>
          <w:p w:rsidR="00956551" w:rsidRPr="001C66C6" w:rsidRDefault="00644338" w:rsidP="001C66C6">
            <w:pPr>
              <w:jc w:val="center"/>
              <w:rPr>
                <w:rFonts w:asciiTheme="minorHAnsi" w:eastAsia="Times New Roman" w:hAnsiTheme="minorHAnsi" w:cs="Arial"/>
                <w:color w:val="000000"/>
                <w:sz w:val="20"/>
                <w:szCs w:val="20"/>
              </w:rPr>
            </w:pPr>
            <w:r w:rsidRPr="001C66C6">
              <w:rPr>
                <w:rFonts w:asciiTheme="minorHAnsi" w:eastAsia="Times New Roman" w:hAnsiTheme="minorHAnsi" w:cs="Arial"/>
                <w:color w:val="000000"/>
                <w:sz w:val="20"/>
                <w:szCs w:val="20"/>
              </w:rPr>
              <w:t>$</w:t>
            </w:r>
            <w:r w:rsidR="000F4816">
              <w:rPr>
                <w:rFonts w:asciiTheme="minorHAnsi" w:eastAsia="Times New Roman" w:hAnsiTheme="minorHAnsi" w:cs="Arial"/>
                <w:color w:val="000000"/>
                <w:sz w:val="20"/>
                <w:szCs w:val="20"/>
              </w:rPr>
              <w:t>531,677</w:t>
            </w:r>
          </w:p>
        </w:tc>
      </w:tr>
    </w:tbl>
    <w:p w:rsidR="00937F39" w:rsidRPr="00926384" w:rsidRDefault="00937F39" w:rsidP="006D27B9">
      <w:pPr>
        <w:rPr>
          <w:rFonts w:eastAsia="Times New Roman" w:cs="Arial"/>
          <w:color w:val="000000"/>
          <w:sz w:val="24"/>
          <w:szCs w:val="24"/>
        </w:rPr>
      </w:pPr>
    </w:p>
    <w:p w:rsidR="007558EE" w:rsidRPr="00926384" w:rsidRDefault="007558EE">
      <w:pPr>
        <w:rPr>
          <w:sz w:val="24"/>
          <w:szCs w:val="24"/>
        </w:rPr>
      </w:pPr>
    </w:p>
    <w:p w:rsidR="0065164D" w:rsidRPr="0065164D" w:rsidRDefault="007558EE" w:rsidP="0065164D">
      <w:pPr>
        <w:pStyle w:val="Default"/>
        <w:ind w:left="720" w:hanging="720"/>
        <w:rPr>
          <w:rFonts w:asciiTheme="minorHAnsi" w:hAnsiTheme="minorHAnsi" w:cstheme="minorBidi"/>
          <w:b/>
          <w:color w:val="auto"/>
        </w:rPr>
      </w:pPr>
      <w:r w:rsidRPr="0065164D">
        <w:rPr>
          <w:rFonts w:asciiTheme="minorHAnsi" w:hAnsiTheme="minorHAnsi"/>
          <w:b/>
        </w:rPr>
        <w:t>A.15</w:t>
      </w:r>
      <w:r w:rsidRPr="0065164D">
        <w:rPr>
          <w:rFonts w:asciiTheme="minorHAnsi" w:hAnsiTheme="minorHAnsi"/>
          <w:b/>
        </w:rPr>
        <w:tab/>
      </w:r>
      <w:r w:rsidR="0065164D" w:rsidRPr="0065164D">
        <w:rPr>
          <w:rFonts w:asciiTheme="minorHAnsi" w:hAnsiTheme="minorHAnsi" w:cstheme="minorBidi"/>
          <w:b/>
          <w:color w:val="auto"/>
        </w:rPr>
        <w:t xml:space="preserve">Explain the reasons for any program changes or adjustments reported in Items 13 or 14 of the OMB Form 83-I. </w:t>
      </w:r>
    </w:p>
    <w:p w:rsidR="0065164D" w:rsidRDefault="0065164D">
      <w:pPr>
        <w:rPr>
          <w:sz w:val="24"/>
          <w:szCs w:val="24"/>
        </w:rPr>
      </w:pPr>
    </w:p>
    <w:p w:rsidR="007558EE" w:rsidRDefault="001A25A8">
      <w:pPr>
        <w:rPr>
          <w:sz w:val="24"/>
          <w:szCs w:val="24"/>
        </w:rPr>
      </w:pPr>
      <w:r w:rsidRPr="0078328A">
        <w:rPr>
          <w:sz w:val="24"/>
          <w:szCs w:val="24"/>
        </w:rPr>
        <w:t>T</w:t>
      </w:r>
      <w:r w:rsidR="007558EE" w:rsidRPr="0078328A">
        <w:rPr>
          <w:sz w:val="24"/>
          <w:szCs w:val="24"/>
        </w:rPr>
        <w:t>his is a new data collection</w:t>
      </w:r>
      <w:r w:rsidRPr="0078328A">
        <w:rPr>
          <w:sz w:val="24"/>
          <w:szCs w:val="24"/>
        </w:rPr>
        <w:t xml:space="preserve"> that will add </w:t>
      </w:r>
      <w:r w:rsidR="00B0757A" w:rsidRPr="0078328A">
        <w:rPr>
          <w:sz w:val="24"/>
          <w:szCs w:val="24"/>
        </w:rPr>
        <w:t>a total of 62</w:t>
      </w:r>
      <w:r w:rsidR="007A18DD">
        <w:rPr>
          <w:sz w:val="24"/>
          <w:szCs w:val="24"/>
        </w:rPr>
        <w:t>1</w:t>
      </w:r>
      <w:r w:rsidR="00B0757A" w:rsidRPr="0078328A">
        <w:rPr>
          <w:sz w:val="24"/>
          <w:szCs w:val="24"/>
        </w:rPr>
        <w:t xml:space="preserve"> burden hours annually,</w:t>
      </w:r>
      <w:r w:rsidRPr="0078328A">
        <w:rPr>
          <w:sz w:val="24"/>
          <w:szCs w:val="24"/>
        </w:rPr>
        <w:t xml:space="preserve"> to </w:t>
      </w:r>
      <w:r w:rsidR="00B0757A" w:rsidRPr="0078328A">
        <w:rPr>
          <w:sz w:val="24"/>
          <w:szCs w:val="24"/>
        </w:rPr>
        <w:t xml:space="preserve">the </w:t>
      </w:r>
      <w:r w:rsidRPr="0078328A">
        <w:rPr>
          <w:sz w:val="24"/>
          <w:szCs w:val="24"/>
        </w:rPr>
        <w:t>FNS inventory as a result of program changes</w:t>
      </w:r>
      <w:r w:rsidR="007558EE" w:rsidRPr="0078328A">
        <w:rPr>
          <w:sz w:val="24"/>
          <w:szCs w:val="24"/>
        </w:rPr>
        <w:t>.</w:t>
      </w:r>
    </w:p>
    <w:p w:rsidR="00A43FD8" w:rsidRDefault="00A43FD8">
      <w:pPr>
        <w:rPr>
          <w:sz w:val="24"/>
          <w:szCs w:val="24"/>
        </w:rPr>
      </w:pPr>
    </w:p>
    <w:p w:rsidR="0065164D" w:rsidRPr="0065164D" w:rsidRDefault="00934A18" w:rsidP="0065164D">
      <w:pPr>
        <w:pStyle w:val="Default"/>
        <w:ind w:left="720" w:hanging="720"/>
        <w:rPr>
          <w:rFonts w:asciiTheme="minorHAnsi" w:hAnsiTheme="minorHAnsi" w:cstheme="minorBidi"/>
          <w:b/>
          <w:color w:val="auto"/>
        </w:rPr>
      </w:pPr>
      <w:r w:rsidRPr="0065164D">
        <w:rPr>
          <w:rFonts w:asciiTheme="minorHAnsi" w:hAnsiTheme="minorHAnsi"/>
          <w:b/>
        </w:rPr>
        <w:t>A.</w:t>
      </w:r>
      <w:r w:rsidR="00A43FD8" w:rsidRPr="0065164D">
        <w:rPr>
          <w:rFonts w:asciiTheme="minorHAnsi" w:hAnsiTheme="minorHAnsi"/>
          <w:b/>
        </w:rPr>
        <w:t>16</w:t>
      </w:r>
      <w:r w:rsidR="00A43FD8" w:rsidRPr="0065164D">
        <w:rPr>
          <w:rFonts w:asciiTheme="minorHAnsi" w:hAnsiTheme="minorHAnsi"/>
          <w:b/>
        </w:rPr>
        <w:tab/>
      </w:r>
      <w:r w:rsidR="0065164D" w:rsidRPr="0065164D">
        <w:rPr>
          <w:rFonts w:asciiTheme="minorHAnsi" w:hAnsiTheme="minorHAnsi" w:cstheme="minorBidi"/>
          <w:b/>
          <w:color w:val="auto"/>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CE6453" w:rsidRDefault="00CE6453">
      <w:pPr>
        <w:rPr>
          <w:sz w:val="24"/>
          <w:szCs w:val="24"/>
        </w:rPr>
      </w:pPr>
    </w:p>
    <w:p w:rsidR="006B5DA5" w:rsidRDefault="00977977" w:rsidP="00CE6453">
      <w:pPr>
        <w:spacing w:line="480" w:lineRule="auto"/>
        <w:rPr>
          <w:sz w:val="24"/>
          <w:szCs w:val="24"/>
        </w:rPr>
      </w:pPr>
      <w:r>
        <w:rPr>
          <w:sz w:val="24"/>
          <w:szCs w:val="24"/>
        </w:rPr>
        <w:t>The project timeline showing the dates of collection of the evaluation data and completion of planned reports i</w:t>
      </w:r>
      <w:r w:rsidR="001A5BB5">
        <w:rPr>
          <w:sz w:val="24"/>
          <w:szCs w:val="24"/>
        </w:rPr>
        <w:t>s</w:t>
      </w:r>
      <w:r>
        <w:rPr>
          <w:sz w:val="24"/>
          <w:szCs w:val="24"/>
        </w:rPr>
        <w:t xml:space="preserve"> shown in Table A.</w:t>
      </w:r>
      <w:r w:rsidR="00DE5630">
        <w:rPr>
          <w:sz w:val="24"/>
          <w:szCs w:val="24"/>
        </w:rPr>
        <w:t>16.1</w:t>
      </w:r>
      <w:r>
        <w:rPr>
          <w:sz w:val="24"/>
          <w:szCs w:val="24"/>
        </w:rPr>
        <w:t>.</w:t>
      </w:r>
    </w:p>
    <w:p w:rsidR="00A66859" w:rsidRDefault="00A66859">
      <w:pPr>
        <w:spacing w:after="0" w:line="240" w:lineRule="auto"/>
        <w:rPr>
          <w:b/>
          <w:sz w:val="24"/>
          <w:szCs w:val="24"/>
        </w:rPr>
      </w:pPr>
      <w:r>
        <w:rPr>
          <w:b/>
          <w:sz w:val="24"/>
          <w:szCs w:val="24"/>
        </w:rPr>
        <w:br w:type="page"/>
      </w:r>
    </w:p>
    <w:p w:rsidR="00977977" w:rsidRPr="00977977" w:rsidRDefault="00977977">
      <w:pPr>
        <w:rPr>
          <w:b/>
          <w:sz w:val="24"/>
          <w:szCs w:val="24"/>
        </w:rPr>
      </w:pPr>
      <w:r w:rsidRPr="00977977">
        <w:rPr>
          <w:b/>
          <w:sz w:val="24"/>
          <w:szCs w:val="24"/>
        </w:rPr>
        <w:lastRenderedPageBreak/>
        <w:t>Table A.</w:t>
      </w:r>
      <w:r w:rsidR="00DE5630">
        <w:rPr>
          <w:b/>
          <w:sz w:val="24"/>
          <w:szCs w:val="24"/>
        </w:rPr>
        <w:t>16.1</w:t>
      </w:r>
      <w:r w:rsidRPr="00977977">
        <w:rPr>
          <w:b/>
          <w:sz w:val="24"/>
          <w:szCs w:val="24"/>
        </w:rPr>
        <w:t xml:space="preserve">: </w:t>
      </w:r>
      <w:r>
        <w:rPr>
          <w:b/>
          <w:sz w:val="24"/>
          <w:szCs w:val="24"/>
        </w:rPr>
        <w:t xml:space="preserve"> </w:t>
      </w:r>
      <w:r w:rsidR="009B7693">
        <w:rPr>
          <w:b/>
          <w:sz w:val="24"/>
          <w:szCs w:val="24"/>
        </w:rPr>
        <w:t>Project data collection and reporting s</w:t>
      </w:r>
      <w:r w:rsidRPr="00977977">
        <w:rPr>
          <w:b/>
          <w:sz w:val="24"/>
          <w:szCs w:val="24"/>
        </w:rPr>
        <w:t>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2430"/>
      </w:tblGrid>
      <w:tr w:rsidR="006B5DA5" w:rsidRPr="001C66C6" w:rsidTr="001C66C6">
        <w:trPr>
          <w:trHeight w:val="432"/>
          <w:tblHeader/>
        </w:trPr>
        <w:tc>
          <w:tcPr>
            <w:tcW w:w="5508" w:type="dxa"/>
            <w:vAlign w:val="bottom"/>
          </w:tcPr>
          <w:p w:rsidR="00C06A09" w:rsidRPr="001C66C6" w:rsidRDefault="006B5DA5" w:rsidP="001C66C6">
            <w:pPr>
              <w:spacing w:after="0" w:line="240" w:lineRule="auto"/>
              <w:jc w:val="center"/>
              <w:rPr>
                <w:rFonts w:asciiTheme="minorHAnsi" w:eastAsiaTheme="minorHAnsi" w:hAnsiTheme="minorHAnsi" w:cstheme="minorBidi"/>
                <w:b/>
                <w:bCs/>
                <w:sz w:val="20"/>
                <w:szCs w:val="20"/>
              </w:rPr>
            </w:pPr>
            <w:r w:rsidRPr="001C66C6">
              <w:rPr>
                <w:rFonts w:asciiTheme="minorHAnsi" w:eastAsiaTheme="minorHAnsi" w:hAnsiTheme="minorHAnsi" w:cstheme="minorBidi"/>
                <w:b/>
              </w:rPr>
              <w:t>Activity</w:t>
            </w:r>
          </w:p>
        </w:tc>
        <w:tc>
          <w:tcPr>
            <w:tcW w:w="2430" w:type="dxa"/>
            <w:vAlign w:val="bottom"/>
          </w:tcPr>
          <w:p w:rsidR="00C06A09" w:rsidRPr="001C66C6" w:rsidRDefault="006B5DA5" w:rsidP="001C66C6">
            <w:pPr>
              <w:spacing w:after="0" w:line="240" w:lineRule="auto"/>
              <w:jc w:val="center"/>
              <w:rPr>
                <w:rFonts w:asciiTheme="minorHAnsi" w:eastAsiaTheme="minorHAnsi" w:hAnsiTheme="minorHAnsi" w:cstheme="minorBidi"/>
                <w:b/>
                <w:bCs/>
                <w:sz w:val="20"/>
                <w:szCs w:val="20"/>
              </w:rPr>
            </w:pPr>
            <w:r w:rsidRPr="001C66C6">
              <w:rPr>
                <w:rFonts w:asciiTheme="minorHAnsi" w:eastAsiaTheme="minorHAnsi" w:hAnsiTheme="minorHAnsi" w:cstheme="minorBidi"/>
                <w:b/>
              </w:rPr>
              <w:t>Project Schedule</w:t>
            </w:r>
          </w:p>
        </w:tc>
      </w:tr>
      <w:tr w:rsidR="006B5DA5" w:rsidRPr="001C66C6" w:rsidTr="001C66C6">
        <w:trPr>
          <w:trHeight w:val="432"/>
        </w:trPr>
        <w:tc>
          <w:tcPr>
            <w:tcW w:w="5508" w:type="dxa"/>
            <w:vAlign w:val="bottom"/>
          </w:tcPr>
          <w:p w:rsidR="006B5DA5" w:rsidRPr="001C66C6" w:rsidRDefault="000A3797" w:rsidP="001C66C6">
            <w:pPr>
              <w:spacing w:after="0" w:line="240" w:lineRule="auto"/>
              <w:rPr>
                <w:rFonts w:asciiTheme="minorHAnsi" w:eastAsiaTheme="minorHAnsi" w:hAnsiTheme="minorHAnsi" w:cstheme="minorBidi"/>
                <w:b/>
                <w:sz w:val="20"/>
                <w:szCs w:val="20"/>
              </w:rPr>
            </w:pPr>
            <w:r w:rsidRPr="001C66C6">
              <w:rPr>
                <w:rFonts w:asciiTheme="minorHAnsi" w:eastAsiaTheme="minorHAnsi" w:hAnsiTheme="minorHAnsi" w:cstheme="minorBidi"/>
                <w:b/>
                <w:sz w:val="20"/>
                <w:szCs w:val="20"/>
              </w:rPr>
              <w:t>Finalize research design</w:t>
            </w:r>
          </w:p>
        </w:tc>
        <w:tc>
          <w:tcPr>
            <w:tcW w:w="2430" w:type="dxa"/>
            <w:vAlign w:val="bottom"/>
          </w:tcPr>
          <w:p w:rsidR="006B5DA5" w:rsidRPr="001C66C6" w:rsidRDefault="008C66FF"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 xml:space="preserve">Jan. </w:t>
            </w:r>
            <w:r w:rsidR="000A3797" w:rsidRPr="001C66C6">
              <w:rPr>
                <w:rFonts w:asciiTheme="minorHAnsi" w:eastAsiaTheme="minorHAnsi" w:hAnsiTheme="minorHAnsi" w:cstheme="minorBidi"/>
                <w:sz w:val="20"/>
                <w:szCs w:val="20"/>
              </w:rPr>
              <w:t>28</w:t>
            </w:r>
            <w:r w:rsidRPr="001C66C6">
              <w:rPr>
                <w:rFonts w:asciiTheme="minorHAnsi" w:eastAsiaTheme="minorHAnsi" w:hAnsiTheme="minorHAnsi" w:cstheme="minorBidi"/>
                <w:sz w:val="20"/>
                <w:szCs w:val="20"/>
              </w:rPr>
              <w:t xml:space="preserve"> </w:t>
            </w:r>
            <w:r w:rsidR="000A3797" w:rsidRPr="001C66C6">
              <w:rPr>
                <w:rFonts w:asciiTheme="minorHAnsi" w:eastAsiaTheme="minorHAnsi" w:hAnsiTheme="minorHAnsi" w:cstheme="minorBidi"/>
                <w:sz w:val="20"/>
                <w:szCs w:val="20"/>
              </w:rPr>
              <w:t xml:space="preserve">– </w:t>
            </w:r>
            <w:r w:rsidRPr="001C66C6">
              <w:rPr>
                <w:rFonts w:asciiTheme="minorHAnsi" w:eastAsiaTheme="minorHAnsi" w:hAnsiTheme="minorHAnsi" w:cstheme="minorBidi"/>
                <w:sz w:val="20"/>
                <w:szCs w:val="20"/>
              </w:rPr>
              <w:t xml:space="preserve">July </w:t>
            </w:r>
            <w:r w:rsidR="000A3797" w:rsidRPr="001C66C6">
              <w:rPr>
                <w:rFonts w:asciiTheme="minorHAnsi" w:eastAsiaTheme="minorHAnsi" w:hAnsiTheme="minorHAnsi" w:cstheme="minorBidi"/>
                <w:sz w:val="20"/>
                <w:szCs w:val="20"/>
              </w:rPr>
              <w:t>11</w:t>
            </w:r>
            <w:r w:rsidRPr="001C66C6">
              <w:rPr>
                <w:rFonts w:asciiTheme="minorHAnsi" w:eastAsiaTheme="minorHAnsi" w:hAnsiTheme="minorHAnsi" w:cstheme="minorBidi"/>
                <w:sz w:val="20"/>
                <w:szCs w:val="20"/>
              </w:rPr>
              <w:t xml:space="preserve">, </w:t>
            </w:r>
            <w:r w:rsidR="000A3797" w:rsidRPr="001C66C6">
              <w:rPr>
                <w:rFonts w:asciiTheme="minorHAnsi" w:eastAsiaTheme="minorHAnsi" w:hAnsiTheme="minorHAnsi" w:cstheme="minorBidi"/>
                <w:sz w:val="20"/>
                <w:szCs w:val="20"/>
              </w:rPr>
              <w:t>2011</w:t>
            </w:r>
          </w:p>
        </w:tc>
      </w:tr>
      <w:tr w:rsidR="006B5DA5" w:rsidRPr="001C66C6" w:rsidTr="001C66C6">
        <w:trPr>
          <w:trHeight w:val="432"/>
        </w:trPr>
        <w:tc>
          <w:tcPr>
            <w:tcW w:w="5508" w:type="dxa"/>
            <w:vAlign w:val="bottom"/>
          </w:tcPr>
          <w:p w:rsidR="006B5DA5" w:rsidRPr="001C66C6" w:rsidRDefault="000A3797" w:rsidP="001C66C6">
            <w:pPr>
              <w:spacing w:after="0" w:line="240" w:lineRule="auto"/>
              <w:rPr>
                <w:rFonts w:asciiTheme="minorHAnsi" w:eastAsiaTheme="minorHAnsi" w:hAnsiTheme="minorHAnsi" w:cstheme="minorBidi"/>
                <w:b/>
                <w:sz w:val="20"/>
                <w:szCs w:val="20"/>
              </w:rPr>
            </w:pPr>
            <w:r w:rsidRPr="001C66C6">
              <w:rPr>
                <w:rFonts w:asciiTheme="minorHAnsi" w:eastAsiaTheme="minorHAnsi" w:hAnsiTheme="minorHAnsi" w:cstheme="minorBidi"/>
                <w:b/>
                <w:sz w:val="20"/>
                <w:szCs w:val="20"/>
              </w:rPr>
              <w:t>Collect and analyze 2011 data</w:t>
            </w:r>
            <w:r w:rsidR="008704D1" w:rsidRPr="001C66C6">
              <w:rPr>
                <w:rFonts w:asciiTheme="minorHAnsi" w:eastAsiaTheme="minorHAnsi" w:hAnsiTheme="minorHAnsi" w:cstheme="minorBidi"/>
                <w:b/>
                <w:sz w:val="20"/>
                <w:szCs w:val="20"/>
              </w:rPr>
              <w:t xml:space="preserve"> </w:t>
            </w:r>
          </w:p>
        </w:tc>
        <w:tc>
          <w:tcPr>
            <w:tcW w:w="2430" w:type="dxa"/>
            <w:vAlign w:val="bottom"/>
          </w:tcPr>
          <w:p w:rsidR="006B5DA5" w:rsidRPr="001C66C6" w:rsidRDefault="006B5DA5" w:rsidP="001C66C6">
            <w:pPr>
              <w:spacing w:after="0" w:line="240" w:lineRule="auto"/>
              <w:rPr>
                <w:rFonts w:asciiTheme="minorHAnsi" w:eastAsiaTheme="minorHAnsi" w:hAnsiTheme="minorHAnsi" w:cstheme="minorBidi"/>
                <w:sz w:val="20"/>
                <w:szCs w:val="20"/>
              </w:rPr>
            </w:pPr>
          </w:p>
        </w:tc>
      </w:tr>
      <w:tr w:rsidR="006B5DA5" w:rsidRPr="001C66C6" w:rsidTr="001C66C6">
        <w:trPr>
          <w:trHeight w:val="432"/>
        </w:trPr>
        <w:tc>
          <w:tcPr>
            <w:tcW w:w="5508" w:type="dxa"/>
            <w:vAlign w:val="bottom"/>
          </w:tcPr>
          <w:p w:rsidR="006B5DA5" w:rsidRPr="001C66C6" w:rsidRDefault="000A3797"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 xml:space="preserve"> </w:t>
            </w:r>
            <w:r w:rsidR="006F57D4" w:rsidRPr="001C66C6">
              <w:rPr>
                <w:rFonts w:asciiTheme="minorHAnsi" w:eastAsiaTheme="minorHAnsi" w:hAnsiTheme="minorHAnsi" w:cstheme="minorBidi"/>
                <w:sz w:val="20"/>
                <w:szCs w:val="20"/>
              </w:rPr>
              <w:t xml:space="preserve">    </w:t>
            </w:r>
            <w:r w:rsidR="008C66FF" w:rsidRPr="001C66C6">
              <w:rPr>
                <w:rFonts w:asciiTheme="minorHAnsi" w:eastAsiaTheme="minorHAnsi" w:hAnsiTheme="minorHAnsi" w:cstheme="minorBidi"/>
                <w:sz w:val="20"/>
                <w:szCs w:val="20"/>
              </w:rPr>
              <w:t xml:space="preserve">Build list sample and construct sampling </w:t>
            </w:r>
            <w:r w:rsidR="006F57D4" w:rsidRPr="001C66C6">
              <w:rPr>
                <w:rFonts w:asciiTheme="minorHAnsi" w:eastAsiaTheme="minorHAnsi" w:hAnsiTheme="minorHAnsi" w:cstheme="minorBidi"/>
                <w:sz w:val="20"/>
                <w:szCs w:val="20"/>
              </w:rPr>
              <w:t>frame</w:t>
            </w:r>
          </w:p>
        </w:tc>
        <w:tc>
          <w:tcPr>
            <w:tcW w:w="2430" w:type="dxa"/>
            <w:vAlign w:val="bottom"/>
          </w:tcPr>
          <w:p w:rsidR="006B5DA5" w:rsidRPr="001C66C6" w:rsidRDefault="008C66FF"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May 6 – June 17, 2011</w:t>
            </w:r>
          </w:p>
        </w:tc>
      </w:tr>
      <w:tr w:rsidR="006B5DA5" w:rsidRPr="001C66C6" w:rsidTr="001C66C6">
        <w:trPr>
          <w:trHeight w:val="432"/>
        </w:trPr>
        <w:tc>
          <w:tcPr>
            <w:tcW w:w="5508" w:type="dxa"/>
            <w:vAlign w:val="bottom"/>
          </w:tcPr>
          <w:p w:rsidR="006B5DA5" w:rsidRPr="001C66C6" w:rsidRDefault="006F57D4"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 xml:space="preserve">     </w:t>
            </w:r>
            <w:r w:rsidR="008C66FF" w:rsidRPr="001C66C6">
              <w:rPr>
                <w:rFonts w:asciiTheme="minorHAnsi" w:eastAsiaTheme="minorHAnsi" w:hAnsiTheme="minorHAnsi" w:cstheme="minorBidi"/>
                <w:sz w:val="20"/>
                <w:szCs w:val="20"/>
              </w:rPr>
              <w:t>Co</w:t>
            </w:r>
            <w:r w:rsidR="008461CF" w:rsidRPr="001C66C6">
              <w:rPr>
                <w:rFonts w:asciiTheme="minorHAnsi" w:eastAsiaTheme="minorHAnsi" w:hAnsiTheme="minorHAnsi" w:cstheme="minorBidi"/>
                <w:sz w:val="20"/>
                <w:szCs w:val="20"/>
              </w:rPr>
              <w:t>llect</w:t>
            </w:r>
            <w:r w:rsidR="008C66FF" w:rsidRPr="001C66C6">
              <w:rPr>
                <w:rFonts w:asciiTheme="minorHAnsi" w:eastAsiaTheme="minorHAnsi" w:hAnsiTheme="minorHAnsi" w:cstheme="minorBidi"/>
                <w:sz w:val="20"/>
                <w:szCs w:val="20"/>
              </w:rPr>
              <w:t xml:space="preserve"> parent </w:t>
            </w:r>
            <w:r w:rsidR="008461CF" w:rsidRPr="001C66C6">
              <w:rPr>
                <w:rFonts w:asciiTheme="minorHAnsi" w:eastAsiaTheme="minorHAnsi" w:hAnsiTheme="minorHAnsi" w:cstheme="minorBidi"/>
                <w:sz w:val="20"/>
                <w:szCs w:val="20"/>
              </w:rPr>
              <w:t>data</w:t>
            </w:r>
            <w:r w:rsidR="008C66FF" w:rsidRPr="001C66C6">
              <w:rPr>
                <w:rFonts w:asciiTheme="minorHAnsi" w:eastAsiaTheme="minorHAnsi" w:hAnsiTheme="minorHAnsi" w:cstheme="minorBidi"/>
                <w:sz w:val="20"/>
                <w:szCs w:val="20"/>
              </w:rPr>
              <w:t xml:space="preserve"> for </w:t>
            </w:r>
            <w:r w:rsidRPr="001C66C6">
              <w:rPr>
                <w:rFonts w:asciiTheme="minorHAnsi" w:eastAsiaTheme="minorHAnsi" w:hAnsiTheme="minorHAnsi" w:cstheme="minorBidi"/>
                <w:sz w:val="20"/>
                <w:szCs w:val="20"/>
              </w:rPr>
              <w:t>s</w:t>
            </w:r>
            <w:r w:rsidR="008C66FF" w:rsidRPr="001C66C6">
              <w:rPr>
                <w:rFonts w:asciiTheme="minorHAnsi" w:eastAsiaTheme="minorHAnsi" w:hAnsiTheme="minorHAnsi" w:cstheme="minorBidi"/>
                <w:sz w:val="20"/>
                <w:szCs w:val="20"/>
              </w:rPr>
              <w:t xml:space="preserve">ummer 2011 </w:t>
            </w:r>
          </w:p>
        </w:tc>
        <w:tc>
          <w:tcPr>
            <w:tcW w:w="2430" w:type="dxa"/>
            <w:vAlign w:val="bottom"/>
          </w:tcPr>
          <w:p w:rsidR="006B5DA5" w:rsidRPr="001C66C6" w:rsidRDefault="008C66FF"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July 11</w:t>
            </w:r>
            <w:r w:rsidR="006F57D4" w:rsidRPr="001C66C6">
              <w:rPr>
                <w:rFonts w:asciiTheme="minorHAnsi" w:eastAsiaTheme="minorHAnsi" w:hAnsiTheme="minorHAnsi" w:cstheme="minorBidi"/>
                <w:sz w:val="20"/>
                <w:szCs w:val="20"/>
              </w:rPr>
              <w:t xml:space="preserve"> – </w:t>
            </w:r>
            <w:r w:rsidRPr="001C66C6">
              <w:rPr>
                <w:rFonts w:asciiTheme="minorHAnsi" w:eastAsiaTheme="minorHAnsi" w:hAnsiTheme="minorHAnsi" w:cstheme="minorBidi"/>
                <w:sz w:val="20"/>
                <w:szCs w:val="20"/>
              </w:rPr>
              <w:t>Aug. 12, 2011</w:t>
            </w:r>
          </w:p>
        </w:tc>
      </w:tr>
      <w:tr w:rsidR="006B5DA5" w:rsidRPr="001C66C6" w:rsidTr="001C66C6">
        <w:trPr>
          <w:trHeight w:val="432"/>
        </w:trPr>
        <w:tc>
          <w:tcPr>
            <w:tcW w:w="5508" w:type="dxa"/>
            <w:vAlign w:val="bottom"/>
          </w:tcPr>
          <w:p w:rsidR="006B5DA5" w:rsidRPr="001C66C6" w:rsidRDefault="006F57D4"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 xml:space="preserve">     </w:t>
            </w:r>
            <w:r w:rsidR="008C66FF" w:rsidRPr="001C66C6">
              <w:rPr>
                <w:rFonts w:asciiTheme="minorHAnsi" w:eastAsiaTheme="minorHAnsi" w:hAnsiTheme="minorHAnsi" w:cstheme="minorBidi"/>
                <w:sz w:val="20"/>
                <w:szCs w:val="20"/>
              </w:rPr>
              <w:t xml:space="preserve">Collect key informant data </w:t>
            </w:r>
          </w:p>
        </w:tc>
        <w:tc>
          <w:tcPr>
            <w:tcW w:w="2430" w:type="dxa"/>
            <w:vAlign w:val="bottom"/>
          </w:tcPr>
          <w:p w:rsidR="006B5DA5" w:rsidRPr="001C66C6" w:rsidRDefault="006F57D4"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July 11 – Aug. 31, 2011</w:t>
            </w:r>
          </w:p>
        </w:tc>
      </w:tr>
      <w:tr w:rsidR="006B5DA5" w:rsidRPr="001C66C6" w:rsidTr="001C66C6">
        <w:trPr>
          <w:trHeight w:val="432"/>
        </w:trPr>
        <w:tc>
          <w:tcPr>
            <w:tcW w:w="5508" w:type="dxa"/>
            <w:vAlign w:val="bottom"/>
          </w:tcPr>
          <w:p w:rsidR="006B5DA5" w:rsidRPr="001C66C6" w:rsidRDefault="006F57D4"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 xml:space="preserve">     Collect parent data for school year 2011</w:t>
            </w:r>
          </w:p>
        </w:tc>
        <w:tc>
          <w:tcPr>
            <w:tcW w:w="2430" w:type="dxa"/>
            <w:vAlign w:val="bottom"/>
          </w:tcPr>
          <w:p w:rsidR="006B5DA5" w:rsidRPr="001C66C6" w:rsidRDefault="006F57D4"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Sept. 30 – Nov. 25, 2011</w:t>
            </w:r>
          </w:p>
        </w:tc>
      </w:tr>
      <w:tr w:rsidR="006B5DA5" w:rsidRPr="001C66C6" w:rsidTr="001C66C6">
        <w:trPr>
          <w:trHeight w:val="432"/>
        </w:trPr>
        <w:tc>
          <w:tcPr>
            <w:tcW w:w="5508" w:type="dxa"/>
            <w:vAlign w:val="bottom"/>
          </w:tcPr>
          <w:p w:rsidR="006B5DA5" w:rsidRPr="001C66C6" w:rsidRDefault="006F57D4"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 xml:space="preserve">     Collect cost data</w:t>
            </w:r>
          </w:p>
        </w:tc>
        <w:tc>
          <w:tcPr>
            <w:tcW w:w="2430" w:type="dxa"/>
            <w:vAlign w:val="bottom"/>
          </w:tcPr>
          <w:p w:rsidR="006B5DA5" w:rsidRPr="001C66C6" w:rsidRDefault="00C06A09"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March 1 – Dec. 16, 2011</w:t>
            </w:r>
            <w:r w:rsidR="008C1D7A" w:rsidRPr="001C66C6">
              <w:rPr>
                <w:rFonts w:asciiTheme="minorHAnsi" w:eastAsiaTheme="minorHAnsi" w:hAnsiTheme="minorHAnsi" w:cstheme="minorBidi"/>
                <w:sz w:val="20"/>
                <w:szCs w:val="20"/>
              </w:rPr>
              <w:t>*</w:t>
            </w:r>
          </w:p>
        </w:tc>
      </w:tr>
      <w:tr w:rsidR="006B5DA5" w:rsidRPr="001C66C6" w:rsidTr="001C66C6">
        <w:trPr>
          <w:trHeight w:val="432"/>
        </w:trPr>
        <w:tc>
          <w:tcPr>
            <w:tcW w:w="5508" w:type="dxa"/>
            <w:vAlign w:val="bottom"/>
          </w:tcPr>
          <w:p w:rsidR="006B5DA5" w:rsidRPr="001C66C6" w:rsidRDefault="005C2C87"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 xml:space="preserve">     Draft and finalize Congressional status report on 2011</w:t>
            </w:r>
            <w:r w:rsidRPr="001C66C6">
              <w:rPr>
                <w:rFonts w:asciiTheme="minorHAnsi" w:eastAsiaTheme="minorHAnsi" w:hAnsiTheme="minorHAnsi" w:cstheme="minorBidi"/>
                <w:sz w:val="20"/>
                <w:szCs w:val="20"/>
              </w:rPr>
              <w:br/>
              <w:t xml:space="preserve">     demonstrations</w:t>
            </w:r>
          </w:p>
        </w:tc>
        <w:tc>
          <w:tcPr>
            <w:tcW w:w="2430" w:type="dxa"/>
            <w:vAlign w:val="bottom"/>
          </w:tcPr>
          <w:p w:rsidR="006B5DA5" w:rsidRPr="001C66C6" w:rsidRDefault="005C2C87"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 xml:space="preserve">Sept. 12 – Oct. 10, 2011 </w:t>
            </w:r>
          </w:p>
        </w:tc>
      </w:tr>
      <w:tr w:rsidR="006B5DA5" w:rsidRPr="001C66C6" w:rsidTr="001C66C6">
        <w:trPr>
          <w:trHeight w:val="432"/>
        </w:trPr>
        <w:tc>
          <w:tcPr>
            <w:tcW w:w="5508" w:type="dxa"/>
            <w:vAlign w:val="bottom"/>
          </w:tcPr>
          <w:p w:rsidR="006B5DA5" w:rsidRPr="001C66C6" w:rsidRDefault="005C2C87"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 xml:space="preserve">     Draft and finalize evaluation report on 2011 demonstrations</w:t>
            </w:r>
          </w:p>
        </w:tc>
        <w:tc>
          <w:tcPr>
            <w:tcW w:w="2430" w:type="dxa"/>
            <w:vAlign w:val="bottom"/>
          </w:tcPr>
          <w:p w:rsidR="006B5DA5" w:rsidRPr="001C66C6" w:rsidRDefault="005C2C87"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Feb. 27 – April 30, 2012</w:t>
            </w:r>
          </w:p>
        </w:tc>
      </w:tr>
      <w:tr w:rsidR="006B5DA5" w:rsidRPr="001C66C6" w:rsidTr="001C66C6">
        <w:trPr>
          <w:trHeight w:val="432"/>
        </w:trPr>
        <w:tc>
          <w:tcPr>
            <w:tcW w:w="5508" w:type="dxa"/>
            <w:vAlign w:val="bottom"/>
          </w:tcPr>
          <w:p w:rsidR="006B5DA5" w:rsidRPr="001C66C6" w:rsidRDefault="00475B93" w:rsidP="001C66C6">
            <w:pPr>
              <w:spacing w:after="0" w:line="240" w:lineRule="auto"/>
              <w:rPr>
                <w:rFonts w:asciiTheme="minorHAnsi" w:eastAsiaTheme="minorHAnsi" w:hAnsiTheme="minorHAnsi" w:cstheme="minorBidi"/>
                <w:b/>
                <w:sz w:val="20"/>
                <w:szCs w:val="20"/>
              </w:rPr>
            </w:pPr>
            <w:r w:rsidRPr="001C66C6">
              <w:rPr>
                <w:rFonts w:asciiTheme="minorHAnsi" w:eastAsiaTheme="minorHAnsi" w:hAnsiTheme="minorHAnsi" w:cstheme="minorBidi"/>
                <w:b/>
                <w:sz w:val="20"/>
                <w:szCs w:val="20"/>
              </w:rPr>
              <w:t>Revise research design and analysis plan for 2012 demonstrations</w:t>
            </w:r>
          </w:p>
        </w:tc>
        <w:tc>
          <w:tcPr>
            <w:tcW w:w="2430" w:type="dxa"/>
            <w:vAlign w:val="bottom"/>
          </w:tcPr>
          <w:p w:rsidR="006B5DA5" w:rsidRPr="001C66C6" w:rsidRDefault="00475B93"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May 7 – Jun 4, 2012</w:t>
            </w:r>
          </w:p>
        </w:tc>
      </w:tr>
      <w:tr w:rsidR="006B5DA5" w:rsidRPr="001C66C6" w:rsidTr="001C66C6">
        <w:trPr>
          <w:trHeight w:val="432"/>
        </w:trPr>
        <w:tc>
          <w:tcPr>
            <w:tcW w:w="5508" w:type="dxa"/>
            <w:vAlign w:val="bottom"/>
          </w:tcPr>
          <w:p w:rsidR="006B5DA5" w:rsidRPr="001C66C6" w:rsidRDefault="00475B93"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b/>
                <w:sz w:val="20"/>
                <w:szCs w:val="20"/>
              </w:rPr>
              <w:t>Collect and analyze 201</w:t>
            </w:r>
            <w:r w:rsidR="00D03323" w:rsidRPr="001C66C6">
              <w:rPr>
                <w:rFonts w:asciiTheme="minorHAnsi" w:eastAsiaTheme="minorHAnsi" w:hAnsiTheme="minorHAnsi" w:cstheme="minorBidi"/>
                <w:b/>
                <w:sz w:val="20"/>
                <w:szCs w:val="20"/>
              </w:rPr>
              <w:t>2</w:t>
            </w:r>
            <w:r w:rsidRPr="001C66C6">
              <w:rPr>
                <w:rFonts w:asciiTheme="minorHAnsi" w:eastAsiaTheme="minorHAnsi" w:hAnsiTheme="minorHAnsi" w:cstheme="minorBidi"/>
                <w:b/>
                <w:sz w:val="20"/>
                <w:szCs w:val="20"/>
              </w:rPr>
              <w:t xml:space="preserve"> data</w:t>
            </w:r>
          </w:p>
        </w:tc>
        <w:tc>
          <w:tcPr>
            <w:tcW w:w="2430" w:type="dxa"/>
            <w:vAlign w:val="bottom"/>
          </w:tcPr>
          <w:p w:rsidR="006B5DA5" w:rsidRPr="001C66C6" w:rsidRDefault="006B5DA5" w:rsidP="001C66C6">
            <w:pPr>
              <w:spacing w:after="0" w:line="240" w:lineRule="auto"/>
              <w:rPr>
                <w:rFonts w:asciiTheme="minorHAnsi" w:eastAsiaTheme="minorHAnsi" w:hAnsiTheme="minorHAnsi" w:cstheme="minorBidi"/>
                <w:sz w:val="20"/>
                <w:szCs w:val="20"/>
              </w:rPr>
            </w:pPr>
          </w:p>
        </w:tc>
      </w:tr>
      <w:tr w:rsidR="006B5DA5" w:rsidRPr="001C66C6" w:rsidTr="001C66C6">
        <w:trPr>
          <w:trHeight w:val="432"/>
        </w:trPr>
        <w:tc>
          <w:tcPr>
            <w:tcW w:w="5508" w:type="dxa"/>
            <w:vAlign w:val="bottom"/>
          </w:tcPr>
          <w:p w:rsidR="006B5DA5" w:rsidRPr="001C66C6" w:rsidRDefault="008461CF"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 xml:space="preserve">     Collect parent data </w:t>
            </w:r>
            <w:r w:rsidR="00207847" w:rsidRPr="001C66C6">
              <w:rPr>
                <w:rFonts w:asciiTheme="minorHAnsi" w:eastAsiaTheme="minorHAnsi" w:hAnsiTheme="minorHAnsi" w:cstheme="minorBidi"/>
                <w:sz w:val="20"/>
                <w:szCs w:val="20"/>
              </w:rPr>
              <w:t>– Time 1</w:t>
            </w:r>
          </w:p>
        </w:tc>
        <w:tc>
          <w:tcPr>
            <w:tcW w:w="2430" w:type="dxa"/>
            <w:vAlign w:val="bottom"/>
          </w:tcPr>
          <w:p w:rsidR="006B5DA5" w:rsidRPr="001C66C6" w:rsidRDefault="00902E23"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July 1, 2012 – Aug. 15, 2012</w:t>
            </w:r>
          </w:p>
        </w:tc>
      </w:tr>
      <w:tr w:rsidR="006B5DA5" w:rsidRPr="001C66C6" w:rsidTr="001C66C6">
        <w:trPr>
          <w:trHeight w:val="432"/>
        </w:trPr>
        <w:tc>
          <w:tcPr>
            <w:tcW w:w="5508" w:type="dxa"/>
            <w:vAlign w:val="bottom"/>
          </w:tcPr>
          <w:p w:rsidR="006B5DA5" w:rsidRPr="001C66C6" w:rsidRDefault="00207847"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 xml:space="preserve">     Collect parent data – Time 2</w:t>
            </w:r>
          </w:p>
        </w:tc>
        <w:tc>
          <w:tcPr>
            <w:tcW w:w="2430" w:type="dxa"/>
            <w:vAlign w:val="bottom"/>
          </w:tcPr>
          <w:p w:rsidR="006B5DA5" w:rsidRPr="001C66C6" w:rsidRDefault="00902E23"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Aug. 1 – Sept. 15, 2012</w:t>
            </w:r>
          </w:p>
        </w:tc>
      </w:tr>
      <w:tr w:rsidR="006B5DA5" w:rsidRPr="001C66C6" w:rsidTr="001C66C6">
        <w:trPr>
          <w:trHeight w:val="432"/>
        </w:trPr>
        <w:tc>
          <w:tcPr>
            <w:tcW w:w="5508" w:type="dxa"/>
            <w:vAlign w:val="bottom"/>
          </w:tcPr>
          <w:p w:rsidR="006B5DA5" w:rsidRPr="001C66C6" w:rsidRDefault="00207847"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 xml:space="preserve">     Collect key informant data</w:t>
            </w:r>
          </w:p>
        </w:tc>
        <w:tc>
          <w:tcPr>
            <w:tcW w:w="2430" w:type="dxa"/>
            <w:vAlign w:val="bottom"/>
          </w:tcPr>
          <w:p w:rsidR="006B5DA5" w:rsidRPr="001C66C6" w:rsidRDefault="00902E23"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June 1 – Aug. 1, 2012</w:t>
            </w:r>
          </w:p>
        </w:tc>
      </w:tr>
      <w:tr w:rsidR="006B5DA5" w:rsidRPr="001C66C6" w:rsidTr="001C66C6">
        <w:trPr>
          <w:trHeight w:val="432"/>
        </w:trPr>
        <w:tc>
          <w:tcPr>
            <w:tcW w:w="5508" w:type="dxa"/>
            <w:vAlign w:val="bottom"/>
          </w:tcPr>
          <w:p w:rsidR="006B5DA5" w:rsidRPr="001C66C6" w:rsidRDefault="00207847"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 xml:space="preserve">     Collect cost data</w:t>
            </w:r>
          </w:p>
        </w:tc>
        <w:tc>
          <w:tcPr>
            <w:tcW w:w="2430" w:type="dxa"/>
            <w:vAlign w:val="bottom"/>
          </w:tcPr>
          <w:p w:rsidR="006B5DA5" w:rsidRPr="001C66C6" w:rsidRDefault="00902E23"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Sept. 24 – Nov. 5, 2012</w:t>
            </w:r>
          </w:p>
        </w:tc>
      </w:tr>
      <w:tr w:rsidR="00207847" w:rsidRPr="001C66C6" w:rsidTr="001C66C6">
        <w:trPr>
          <w:trHeight w:val="432"/>
        </w:trPr>
        <w:tc>
          <w:tcPr>
            <w:tcW w:w="5508" w:type="dxa"/>
            <w:vAlign w:val="bottom"/>
          </w:tcPr>
          <w:p w:rsidR="00207847" w:rsidRPr="001C66C6" w:rsidRDefault="00207847"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 xml:space="preserve">     Draft and finalize Congressional status report on 2012</w:t>
            </w:r>
            <w:r w:rsidRPr="001C66C6">
              <w:rPr>
                <w:rFonts w:asciiTheme="minorHAnsi" w:eastAsiaTheme="minorHAnsi" w:hAnsiTheme="minorHAnsi" w:cstheme="minorBidi"/>
                <w:sz w:val="20"/>
                <w:szCs w:val="20"/>
              </w:rPr>
              <w:br/>
              <w:t xml:space="preserve">     demonstrations</w:t>
            </w:r>
          </w:p>
        </w:tc>
        <w:tc>
          <w:tcPr>
            <w:tcW w:w="2430" w:type="dxa"/>
            <w:vAlign w:val="bottom"/>
          </w:tcPr>
          <w:p w:rsidR="00207847" w:rsidRPr="001C66C6" w:rsidRDefault="00A9213D"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Oct. 8 – Nov. 5, 2012</w:t>
            </w:r>
          </w:p>
        </w:tc>
      </w:tr>
      <w:tr w:rsidR="00207847" w:rsidRPr="001C66C6" w:rsidTr="001C66C6">
        <w:trPr>
          <w:trHeight w:val="432"/>
        </w:trPr>
        <w:tc>
          <w:tcPr>
            <w:tcW w:w="5508" w:type="dxa"/>
            <w:vAlign w:val="bottom"/>
          </w:tcPr>
          <w:p w:rsidR="00207847" w:rsidRPr="001C66C6" w:rsidRDefault="00207847"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 xml:space="preserve">     Draft and finalize evaluation report on 2011-2012</w:t>
            </w:r>
            <w:r w:rsidRPr="001C66C6">
              <w:rPr>
                <w:rFonts w:asciiTheme="minorHAnsi" w:eastAsiaTheme="minorHAnsi" w:hAnsiTheme="minorHAnsi" w:cstheme="minorBidi"/>
                <w:sz w:val="20"/>
                <w:szCs w:val="20"/>
              </w:rPr>
              <w:br/>
              <w:t xml:space="preserve">     demonstrations</w:t>
            </w:r>
          </w:p>
        </w:tc>
        <w:tc>
          <w:tcPr>
            <w:tcW w:w="2430" w:type="dxa"/>
            <w:vAlign w:val="bottom"/>
          </w:tcPr>
          <w:p w:rsidR="00207847" w:rsidRPr="001C66C6" w:rsidRDefault="00A9213D" w:rsidP="001C66C6">
            <w:pPr>
              <w:spacing w:after="0" w:line="240" w:lineRule="auto"/>
              <w:rPr>
                <w:rFonts w:asciiTheme="minorHAnsi" w:eastAsiaTheme="minorHAnsi" w:hAnsiTheme="minorHAnsi" w:cstheme="minorBidi"/>
                <w:sz w:val="20"/>
                <w:szCs w:val="20"/>
              </w:rPr>
            </w:pPr>
            <w:r w:rsidRPr="001C66C6">
              <w:rPr>
                <w:rFonts w:asciiTheme="minorHAnsi" w:eastAsiaTheme="minorHAnsi" w:hAnsiTheme="minorHAnsi" w:cstheme="minorBidi"/>
                <w:sz w:val="20"/>
                <w:szCs w:val="20"/>
              </w:rPr>
              <w:t>April 1 –May 2</w:t>
            </w:r>
            <w:r w:rsidR="008A2264" w:rsidRPr="001C66C6">
              <w:rPr>
                <w:rFonts w:asciiTheme="minorHAnsi" w:eastAsiaTheme="minorHAnsi" w:hAnsiTheme="minorHAnsi" w:cstheme="minorBidi"/>
                <w:sz w:val="20"/>
                <w:szCs w:val="20"/>
              </w:rPr>
              <w:t>7</w:t>
            </w:r>
            <w:r w:rsidRPr="001C66C6">
              <w:rPr>
                <w:rFonts w:asciiTheme="minorHAnsi" w:eastAsiaTheme="minorHAnsi" w:hAnsiTheme="minorHAnsi" w:cstheme="minorBidi"/>
                <w:sz w:val="20"/>
                <w:szCs w:val="20"/>
              </w:rPr>
              <w:t>, 2012</w:t>
            </w:r>
          </w:p>
        </w:tc>
      </w:tr>
    </w:tbl>
    <w:p w:rsidR="00C06A09" w:rsidRDefault="00C06A09" w:rsidP="00C06A09">
      <w:pPr>
        <w:spacing w:after="0"/>
        <w:rPr>
          <w:rFonts w:ascii="Franklin Gothic Medium" w:hAnsi="Franklin Gothic Medium"/>
          <w:color w:val="324162"/>
          <w:sz w:val="20"/>
        </w:rPr>
      </w:pPr>
    </w:p>
    <w:p w:rsidR="00C06A09" w:rsidRPr="008F5044" w:rsidRDefault="008C1D7A" w:rsidP="00C06A09">
      <w:pPr>
        <w:spacing w:after="0"/>
        <w:rPr>
          <w:color w:val="000000" w:themeColor="text1"/>
          <w:sz w:val="20"/>
        </w:rPr>
      </w:pPr>
      <w:r w:rsidRPr="008F5044">
        <w:rPr>
          <w:color w:val="000000" w:themeColor="text1"/>
          <w:sz w:val="20"/>
        </w:rPr>
        <w:t>*</w:t>
      </w:r>
      <w:r w:rsidR="00C62CA9">
        <w:rPr>
          <w:color w:val="000000" w:themeColor="text1"/>
          <w:sz w:val="20"/>
        </w:rPr>
        <w:t xml:space="preserve">The contractor </w:t>
      </w:r>
      <w:r w:rsidRPr="008F5044">
        <w:rPr>
          <w:color w:val="000000" w:themeColor="text1"/>
          <w:sz w:val="20"/>
        </w:rPr>
        <w:t xml:space="preserve">will begin to collect 2010 administrative cost data in March, 2011. </w:t>
      </w:r>
    </w:p>
    <w:p w:rsidR="00C06A09" w:rsidRDefault="00C06A09" w:rsidP="00C06A09">
      <w:pPr>
        <w:spacing w:after="0"/>
        <w:rPr>
          <w:rFonts w:ascii="Franklin Gothic Medium" w:hAnsi="Franklin Gothic Medium"/>
          <w:color w:val="324162"/>
          <w:sz w:val="20"/>
        </w:rPr>
      </w:pPr>
    </w:p>
    <w:p w:rsidR="008F5044" w:rsidRDefault="008F5044" w:rsidP="008F5044">
      <w:pPr>
        <w:spacing w:after="0"/>
        <w:rPr>
          <w:sz w:val="24"/>
          <w:szCs w:val="24"/>
        </w:rPr>
      </w:pPr>
    </w:p>
    <w:p w:rsidR="008255AB" w:rsidRDefault="008255AB" w:rsidP="008255AB">
      <w:pPr>
        <w:spacing w:after="0" w:line="480" w:lineRule="auto"/>
        <w:rPr>
          <w:sz w:val="24"/>
          <w:szCs w:val="24"/>
        </w:rPr>
      </w:pPr>
      <w:r>
        <w:rPr>
          <w:sz w:val="24"/>
          <w:szCs w:val="24"/>
        </w:rPr>
        <w:t xml:space="preserve">Prior to data analysis, and especially early in the first data collection period, the contractor will review the frequencies of all variables to identify any “red flags” (e.g., a high percentage of “don’t know’s” (DKs) or missing data; variability of responses).  For some of the questions in which a parent is asked to name all children who brought home a backpack and then is asked questions for each child (e.g., contents of the backpack, where the food was stored, the </w:t>
      </w:r>
      <w:r>
        <w:rPr>
          <w:sz w:val="24"/>
          <w:szCs w:val="24"/>
        </w:rPr>
        <w:lastRenderedPageBreak/>
        <w:t xml:space="preserve">frequency in which all the food was consumed, and which foods were shared with others in the household), it is possible that these questions will become cumbersome for parents with a large number of children in the family.  Thus, we will examine the frequency of responses on these questions categorized by the number of children in the family to see whether there are differences in DKs and differences in variability between families with many and few children.   Variables with &gt;15% of DK or missing data would be considered a “red flag.” </w:t>
      </w:r>
    </w:p>
    <w:p w:rsidR="008255AB" w:rsidRDefault="008255AB">
      <w:pPr>
        <w:spacing w:after="0" w:line="480" w:lineRule="auto"/>
        <w:rPr>
          <w:sz w:val="24"/>
          <w:szCs w:val="24"/>
        </w:rPr>
      </w:pPr>
    </w:p>
    <w:p w:rsidR="002E3967" w:rsidRDefault="00AD625F">
      <w:pPr>
        <w:spacing w:after="0" w:line="480" w:lineRule="auto"/>
        <w:rPr>
          <w:sz w:val="24"/>
          <w:szCs w:val="24"/>
        </w:rPr>
      </w:pPr>
      <w:r>
        <w:rPr>
          <w:sz w:val="24"/>
          <w:szCs w:val="24"/>
        </w:rPr>
        <w:t xml:space="preserve">Data tabulation will occur separately for </w:t>
      </w:r>
      <w:r w:rsidR="00977977">
        <w:rPr>
          <w:sz w:val="24"/>
          <w:szCs w:val="24"/>
        </w:rPr>
        <w:t xml:space="preserve">the outcome and process evaluation </w:t>
      </w:r>
      <w:r>
        <w:rPr>
          <w:sz w:val="24"/>
          <w:szCs w:val="24"/>
        </w:rPr>
        <w:t xml:space="preserve">and </w:t>
      </w:r>
      <w:r w:rsidR="00977977">
        <w:rPr>
          <w:sz w:val="24"/>
          <w:szCs w:val="24"/>
        </w:rPr>
        <w:t>then integrated through a synthesis process.  A description of the proposed analysis and synthesis approach is provided below.</w:t>
      </w:r>
    </w:p>
    <w:p w:rsidR="00B00000" w:rsidRDefault="00B00000">
      <w:pPr>
        <w:rPr>
          <w:rFonts w:eastAsia="Times New Roman"/>
          <w:b/>
          <w:sz w:val="24"/>
          <w:szCs w:val="24"/>
        </w:rPr>
      </w:pPr>
    </w:p>
    <w:p w:rsidR="00A66859" w:rsidRDefault="00A66859">
      <w:pPr>
        <w:spacing w:after="0" w:line="240" w:lineRule="auto"/>
        <w:rPr>
          <w:rFonts w:asciiTheme="minorHAnsi" w:eastAsia="Times New Roman" w:hAnsiTheme="minorHAnsi"/>
          <w:b/>
          <w:sz w:val="24"/>
          <w:szCs w:val="24"/>
        </w:rPr>
      </w:pPr>
      <w:r>
        <w:rPr>
          <w:rFonts w:asciiTheme="minorHAnsi" w:hAnsiTheme="minorHAnsi"/>
          <w:b/>
          <w:szCs w:val="24"/>
        </w:rPr>
        <w:br w:type="page"/>
      </w:r>
    </w:p>
    <w:p w:rsidR="009D4335" w:rsidRPr="009D4335" w:rsidRDefault="009D4335" w:rsidP="009D4335">
      <w:pPr>
        <w:pStyle w:val="L1-FlLSp12"/>
        <w:spacing w:line="276" w:lineRule="auto"/>
        <w:rPr>
          <w:rFonts w:asciiTheme="minorHAnsi" w:hAnsiTheme="minorHAnsi"/>
          <w:b/>
          <w:szCs w:val="24"/>
        </w:rPr>
      </w:pPr>
      <w:r w:rsidRPr="009D4335">
        <w:rPr>
          <w:rFonts w:asciiTheme="minorHAnsi" w:hAnsiTheme="minorHAnsi"/>
          <w:b/>
          <w:szCs w:val="24"/>
        </w:rPr>
        <w:lastRenderedPageBreak/>
        <w:t>Analysis of Outcome Data</w:t>
      </w:r>
    </w:p>
    <w:p w:rsidR="009D4335" w:rsidRDefault="009D4335" w:rsidP="009D4335">
      <w:pPr>
        <w:pStyle w:val="L1-FlLSp12"/>
        <w:spacing w:line="276" w:lineRule="auto"/>
        <w:rPr>
          <w:rFonts w:asciiTheme="minorHAnsi" w:hAnsiTheme="minorHAnsi"/>
          <w:szCs w:val="24"/>
        </w:rPr>
      </w:pPr>
    </w:p>
    <w:p w:rsidR="00A66859" w:rsidRDefault="00C06A09" w:rsidP="00A66859">
      <w:pPr>
        <w:pStyle w:val="L1-FlLSp12"/>
        <w:spacing w:line="480" w:lineRule="auto"/>
        <w:rPr>
          <w:rFonts w:asciiTheme="minorHAnsi" w:eastAsiaTheme="minorHAnsi" w:hAnsiTheme="minorHAnsi" w:cstheme="minorBidi"/>
          <w:szCs w:val="24"/>
        </w:rPr>
      </w:pPr>
      <w:r w:rsidRPr="00C06A09">
        <w:rPr>
          <w:rFonts w:asciiTheme="minorHAnsi" w:eastAsiaTheme="minorHAnsi" w:hAnsiTheme="minorHAnsi" w:cstheme="minorBidi"/>
          <w:szCs w:val="24"/>
        </w:rPr>
        <w:t xml:space="preserve">Analysis of parent survey data will consist of weighting the data and then conducting analyses to compare the data over time, </w:t>
      </w:r>
      <w:r w:rsidR="00B73EF7">
        <w:rPr>
          <w:rFonts w:asciiTheme="minorHAnsi" w:eastAsiaTheme="minorHAnsi" w:hAnsiTheme="minorHAnsi" w:cstheme="minorBidi"/>
          <w:szCs w:val="24"/>
        </w:rPr>
        <w:t xml:space="preserve">between the two demonstrations, </w:t>
      </w:r>
      <w:r w:rsidRPr="00C06A09">
        <w:rPr>
          <w:rFonts w:asciiTheme="minorHAnsi" w:eastAsiaTheme="minorHAnsi" w:hAnsiTheme="minorHAnsi" w:cstheme="minorBidi"/>
          <w:szCs w:val="24"/>
        </w:rPr>
        <w:t xml:space="preserve">between the summer </w:t>
      </w:r>
      <w:r w:rsidR="00274636">
        <w:rPr>
          <w:rFonts w:asciiTheme="minorHAnsi" w:eastAsiaTheme="minorHAnsi" w:hAnsiTheme="minorHAnsi" w:cstheme="minorBidi"/>
          <w:szCs w:val="24"/>
        </w:rPr>
        <w:t>and fall</w:t>
      </w:r>
      <w:r w:rsidRPr="00C06A09">
        <w:rPr>
          <w:rFonts w:asciiTheme="minorHAnsi" w:eastAsiaTheme="minorHAnsi" w:hAnsiTheme="minorHAnsi" w:cstheme="minorBidi"/>
          <w:szCs w:val="24"/>
        </w:rPr>
        <w:t xml:space="preserve">, and with national benchmarks on household food security. </w:t>
      </w:r>
    </w:p>
    <w:p w:rsidR="00A66859" w:rsidRDefault="00A66859" w:rsidP="00A66859">
      <w:pPr>
        <w:pStyle w:val="L1-FlLSp12"/>
        <w:spacing w:line="480" w:lineRule="auto"/>
        <w:rPr>
          <w:rFonts w:asciiTheme="minorHAnsi" w:eastAsiaTheme="minorHAnsi" w:hAnsiTheme="minorHAnsi" w:cstheme="minorBidi"/>
          <w:szCs w:val="24"/>
        </w:rPr>
      </w:pPr>
    </w:p>
    <w:p w:rsidR="002E3967" w:rsidRPr="00A66859" w:rsidRDefault="00C06A09" w:rsidP="00A66859">
      <w:pPr>
        <w:pStyle w:val="L1-FlLSp12"/>
        <w:spacing w:line="480" w:lineRule="auto"/>
        <w:rPr>
          <w:rFonts w:asciiTheme="minorHAnsi" w:eastAsiaTheme="minorHAnsi" w:hAnsiTheme="minorHAnsi" w:cstheme="minorBidi"/>
          <w:szCs w:val="24"/>
        </w:rPr>
      </w:pPr>
      <w:r w:rsidRPr="00C06A09">
        <w:rPr>
          <w:rFonts w:asciiTheme="minorHAnsi" w:eastAsiaTheme="minorHAnsi" w:hAnsiTheme="minorHAnsi" w:cstheme="minorBidi"/>
          <w:b/>
          <w:szCs w:val="24"/>
        </w:rPr>
        <w:t>Weighting the Survey Results</w:t>
      </w:r>
      <w:r w:rsidRPr="00C06A09">
        <w:rPr>
          <w:rFonts w:asciiTheme="minorHAnsi" w:eastAsiaTheme="minorHAnsi" w:hAnsiTheme="minorHAnsi" w:cstheme="minorBidi"/>
          <w:szCs w:val="24"/>
        </w:rPr>
        <w:t xml:space="preserve">. The first step of the weighting process is to calculate the base weight. The base weight is the reciprocal of the probability of selecting a household (family) for the survey which will vary depending on the size of the demonstration area, the number of </w:t>
      </w:r>
      <w:r w:rsidR="00887B73">
        <w:rPr>
          <w:rFonts w:asciiTheme="minorHAnsi" w:eastAsiaTheme="minorHAnsi" w:hAnsiTheme="minorHAnsi" w:cstheme="minorBidi"/>
          <w:szCs w:val="24"/>
        </w:rPr>
        <w:t xml:space="preserve">sites </w:t>
      </w:r>
      <w:r w:rsidRPr="00C06A09">
        <w:rPr>
          <w:rFonts w:asciiTheme="minorHAnsi" w:eastAsiaTheme="minorHAnsi" w:hAnsiTheme="minorHAnsi" w:cstheme="minorBidi"/>
          <w:szCs w:val="24"/>
        </w:rPr>
        <w:t>to be sampled</w:t>
      </w:r>
      <w:r w:rsidR="00887B73">
        <w:rPr>
          <w:rFonts w:asciiTheme="minorHAnsi" w:eastAsiaTheme="minorHAnsi" w:hAnsiTheme="minorHAnsi" w:cstheme="minorBidi"/>
          <w:szCs w:val="24"/>
        </w:rPr>
        <w:t xml:space="preserve"> in the case of the Backpack demonstration</w:t>
      </w:r>
      <w:r w:rsidRPr="00C06A09">
        <w:rPr>
          <w:rFonts w:asciiTheme="minorHAnsi" w:eastAsiaTheme="minorHAnsi" w:hAnsiTheme="minorHAnsi" w:cstheme="minorBidi"/>
          <w:szCs w:val="24"/>
        </w:rPr>
        <w:t xml:space="preserve">, and the number of participants to be sampled. </w:t>
      </w:r>
      <w:r w:rsidR="00887B73">
        <w:rPr>
          <w:rFonts w:asciiTheme="minorHAnsi" w:eastAsiaTheme="minorHAnsi" w:hAnsiTheme="minorHAnsi" w:cstheme="minorBidi"/>
          <w:szCs w:val="24"/>
        </w:rPr>
        <w:t>Since t</w:t>
      </w:r>
      <w:r w:rsidRPr="00C06A09">
        <w:rPr>
          <w:rFonts w:asciiTheme="minorHAnsi" w:eastAsiaTheme="minorHAnsi" w:hAnsiTheme="minorHAnsi" w:cstheme="minorBidi"/>
          <w:szCs w:val="24"/>
        </w:rPr>
        <w:t>he sample of households</w:t>
      </w:r>
      <w:r w:rsidR="00BE6F84">
        <w:rPr>
          <w:rFonts w:asciiTheme="minorHAnsi" w:eastAsiaTheme="minorHAnsi" w:hAnsiTheme="minorHAnsi" w:cstheme="minorBidi"/>
          <w:szCs w:val="24"/>
        </w:rPr>
        <w:t xml:space="preserve"> </w:t>
      </w:r>
      <w:r w:rsidR="00887B73">
        <w:rPr>
          <w:rFonts w:asciiTheme="minorHAnsi" w:eastAsiaTheme="minorHAnsi" w:hAnsiTheme="minorHAnsi" w:cstheme="minorBidi"/>
          <w:szCs w:val="24"/>
        </w:rPr>
        <w:t xml:space="preserve">will be </w:t>
      </w:r>
      <w:r w:rsidRPr="00C06A09">
        <w:rPr>
          <w:rFonts w:asciiTheme="minorHAnsi" w:eastAsiaTheme="minorHAnsi" w:hAnsiTheme="minorHAnsi" w:cstheme="minorBidi"/>
          <w:szCs w:val="24"/>
        </w:rPr>
        <w:t xml:space="preserve">determined by the selection of </w:t>
      </w:r>
      <w:r w:rsidR="00BE6F84">
        <w:rPr>
          <w:rFonts w:asciiTheme="minorHAnsi" w:eastAsiaTheme="minorHAnsi" w:hAnsiTheme="minorHAnsi" w:cstheme="minorBidi"/>
          <w:szCs w:val="24"/>
        </w:rPr>
        <w:t xml:space="preserve">individual </w:t>
      </w:r>
      <w:r w:rsidRPr="00C06A09">
        <w:rPr>
          <w:rFonts w:asciiTheme="minorHAnsi" w:eastAsiaTheme="minorHAnsi" w:hAnsiTheme="minorHAnsi" w:cstheme="minorBidi"/>
          <w:szCs w:val="24"/>
        </w:rPr>
        <w:t xml:space="preserve">participants from lists provided by the demonstration </w:t>
      </w:r>
      <w:r w:rsidR="00887B73">
        <w:rPr>
          <w:rFonts w:asciiTheme="minorHAnsi" w:eastAsiaTheme="minorHAnsi" w:hAnsiTheme="minorHAnsi" w:cstheme="minorBidi"/>
          <w:szCs w:val="24"/>
        </w:rPr>
        <w:t>sponsor</w:t>
      </w:r>
      <w:r w:rsidRPr="00C06A09">
        <w:rPr>
          <w:rFonts w:asciiTheme="minorHAnsi" w:eastAsiaTheme="minorHAnsi" w:hAnsiTheme="minorHAnsi" w:cstheme="minorBidi"/>
          <w:szCs w:val="24"/>
        </w:rPr>
        <w:t>s</w:t>
      </w:r>
      <w:r w:rsidR="00887B73">
        <w:rPr>
          <w:rFonts w:asciiTheme="minorHAnsi" w:eastAsiaTheme="minorHAnsi" w:hAnsiTheme="minorHAnsi" w:cstheme="minorBidi"/>
          <w:szCs w:val="24"/>
        </w:rPr>
        <w:t xml:space="preserve"> or sites</w:t>
      </w:r>
      <w:r w:rsidRPr="00C06A09">
        <w:rPr>
          <w:rFonts w:asciiTheme="minorHAnsi" w:eastAsiaTheme="minorHAnsi" w:hAnsiTheme="minorHAnsi" w:cstheme="minorBidi"/>
          <w:szCs w:val="24"/>
        </w:rPr>
        <w:t xml:space="preserve">, the household selection probability will </w:t>
      </w:r>
      <w:r w:rsidR="00887B73">
        <w:rPr>
          <w:rFonts w:asciiTheme="minorHAnsi" w:eastAsiaTheme="minorHAnsi" w:hAnsiTheme="minorHAnsi" w:cstheme="minorBidi"/>
          <w:szCs w:val="24"/>
        </w:rPr>
        <w:t xml:space="preserve">also depend on </w:t>
      </w:r>
      <w:r w:rsidRPr="00C06A09">
        <w:rPr>
          <w:rFonts w:asciiTheme="minorHAnsi" w:eastAsiaTheme="minorHAnsi" w:hAnsiTheme="minorHAnsi" w:cstheme="minorBidi"/>
          <w:szCs w:val="24"/>
        </w:rPr>
        <w:t xml:space="preserve">the number of participating youths in the household. </w:t>
      </w:r>
      <w:r w:rsidR="009B5BDC" w:rsidRPr="009B5BDC">
        <w:rPr>
          <w:rFonts w:asciiTheme="minorHAnsi" w:hAnsiTheme="minorHAnsi"/>
        </w:rPr>
        <w:t xml:space="preserve">For example, for the Backpack demonstration, if it is necessary to sample households indirectly through the selection of children, the base weight for a sampled household </w:t>
      </w:r>
      <w:r w:rsidR="009B5BDC" w:rsidRPr="009B5BDC">
        <w:rPr>
          <w:rFonts w:asciiTheme="minorHAnsi" w:hAnsiTheme="minorHAnsi"/>
          <w:i/>
        </w:rPr>
        <w:t>i</w:t>
      </w:r>
      <w:r w:rsidR="009B5BDC" w:rsidRPr="009B5BDC">
        <w:rPr>
          <w:rFonts w:asciiTheme="minorHAnsi" w:hAnsiTheme="minorHAnsi"/>
        </w:rPr>
        <w:t xml:space="preserve"> from site</w:t>
      </w:r>
      <w:r w:rsidR="009B5BDC" w:rsidRPr="009B5BDC">
        <w:rPr>
          <w:rFonts w:asciiTheme="minorHAnsi" w:hAnsiTheme="minorHAnsi"/>
          <w:i/>
        </w:rPr>
        <w:t xml:space="preserve"> j</w:t>
      </w:r>
      <w:r w:rsidR="009B5BDC" w:rsidRPr="009B5BDC">
        <w:rPr>
          <w:rFonts w:asciiTheme="minorHAnsi" w:hAnsiTheme="minorHAnsi"/>
        </w:rPr>
        <w:t xml:space="preserve"> in demonstration area </w:t>
      </w:r>
      <w:r w:rsidR="009B5BDC" w:rsidRPr="009B5BDC">
        <w:rPr>
          <w:rFonts w:asciiTheme="minorHAnsi" w:hAnsiTheme="minorHAnsi"/>
          <w:i/>
        </w:rPr>
        <w:t>d</w:t>
      </w:r>
      <w:r w:rsidR="009B5BDC" w:rsidRPr="009B5BDC">
        <w:rPr>
          <w:rFonts w:asciiTheme="minorHAnsi" w:hAnsiTheme="minorHAnsi"/>
        </w:rPr>
        <w:t xml:space="preserve"> is given by the formula:</w:t>
      </w:r>
    </w:p>
    <w:p w:rsidR="00C8446E" w:rsidRPr="00C8446E" w:rsidRDefault="00C8446E" w:rsidP="00C8446E">
      <w:pPr>
        <w:pStyle w:val="L1-FlLSp12"/>
        <w:keepNext/>
        <w:keepLines/>
        <w:rPr>
          <w:rFonts w:asciiTheme="minorHAnsi" w:hAnsiTheme="minorHAnsi"/>
        </w:rPr>
      </w:pPr>
    </w:p>
    <w:p w:rsidR="00C8446E" w:rsidRPr="00C8446E" w:rsidRDefault="00C8446E" w:rsidP="00C8446E">
      <w:pPr>
        <w:pStyle w:val="L1-FlLSp12"/>
        <w:rPr>
          <w:rFonts w:asciiTheme="minorHAnsi" w:hAnsiTheme="minorHAnsi"/>
        </w:rPr>
      </w:pPr>
    </w:p>
    <w:p w:rsidR="00C8446E" w:rsidRPr="00C8446E" w:rsidRDefault="001C38E5" w:rsidP="00C8446E">
      <w:pPr>
        <w:pStyle w:val="L1-FlLSp12"/>
        <w:jc w:val="center"/>
        <w:rPr>
          <w:rFonts w:asciiTheme="minorHAnsi" w:hAnsiTheme="minorHAnsi"/>
        </w:rPr>
      </w:pPr>
      <m:oMath>
        <m:sSubSup>
          <m:sSubSupPr>
            <m:ctrlPr>
              <w:rPr>
                <w:rFonts w:ascii="Cambria Math" w:hAnsi="Calibri"/>
                <w:i/>
                <w:szCs w:val="24"/>
              </w:rPr>
            </m:ctrlPr>
          </m:sSubSupPr>
          <m:e>
            <m:r>
              <w:rPr>
                <w:rFonts w:ascii="Cambria Math" w:hAnsi="Cambria Math"/>
              </w:rPr>
              <m:t>w</m:t>
            </m:r>
          </m:e>
          <m:sub>
            <m:r>
              <w:rPr>
                <w:rFonts w:ascii="Cambria Math" w:hAnsi="Cambria Math"/>
              </w:rPr>
              <m:t>dji</m:t>
            </m:r>
          </m:sub>
          <m:sup>
            <m:r>
              <w:rPr>
                <w:rFonts w:ascii="Cambria Math" w:hAnsi="Cambria Math"/>
              </w:rPr>
              <m:t>base</m:t>
            </m:r>
          </m:sup>
        </m:sSubSup>
      </m:oMath>
      <w:r w:rsidR="009B5BDC" w:rsidRPr="009B5BDC">
        <w:rPr>
          <w:rFonts w:asciiTheme="minorHAnsi" w:hAnsiTheme="minorHAnsi"/>
        </w:rPr>
        <w:t xml:space="preserve"> =  </w:t>
      </w:r>
      <m:oMath>
        <m:sSubSup>
          <m:sSubSupPr>
            <m:ctrlPr>
              <w:rPr>
                <w:rFonts w:ascii="Cambria Math" w:hAnsi="Calibri"/>
                <w:i/>
                <w:szCs w:val="24"/>
              </w:rPr>
            </m:ctrlPr>
          </m:sSubSupPr>
          <m:e>
            <m:r>
              <w:rPr>
                <w:rFonts w:ascii="Cambria Math" w:hAnsi="Cambria Math"/>
              </w:rPr>
              <m:t>W</m:t>
            </m:r>
          </m:e>
          <m:sub>
            <m:r>
              <w:rPr>
                <w:rFonts w:ascii="Cambria Math" w:hAnsi="Cambria Math"/>
              </w:rPr>
              <m:t>dj</m:t>
            </m:r>
          </m:sub>
          <m:sup>
            <m:r>
              <w:rPr>
                <w:rFonts w:ascii="Cambria Math" w:hAnsi="Calibri"/>
              </w:rPr>
              <m:t>(1)</m:t>
            </m:r>
          </m:sup>
        </m:sSubSup>
      </m:oMath>
      <w:r w:rsidR="009B5BDC" w:rsidRPr="009B5BDC">
        <w:rPr>
          <w:rFonts w:asciiTheme="minorHAnsi" w:hAnsiTheme="minorHAnsi"/>
        </w:rPr>
        <w:t xml:space="preserve"> </w:t>
      </w:r>
      <m:oMath>
        <m:f>
          <m:fPr>
            <m:type m:val="lin"/>
            <m:ctrlPr>
              <w:rPr>
                <w:rFonts w:ascii="Cambria Math" w:hAnsi="Calibri"/>
                <w:i/>
              </w:rPr>
            </m:ctrlPr>
          </m:fPr>
          <m:num>
            <m:sSub>
              <m:sSubPr>
                <m:ctrlPr>
                  <w:rPr>
                    <w:rFonts w:ascii="Cambria Math" w:hAnsi="Calibri"/>
                    <w:i/>
                  </w:rPr>
                </m:ctrlPr>
              </m:sSubPr>
              <m:e>
                <m:r>
                  <w:rPr>
                    <w:rFonts w:ascii="Cambria Math" w:hAnsi="Cambria Math"/>
                  </w:rPr>
                  <m:t>N</m:t>
                </m:r>
              </m:e>
              <m:sub>
                <m:r>
                  <w:rPr>
                    <w:rFonts w:ascii="Cambria Math" w:hAnsi="Cambria Math"/>
                  </w:rPr>
                  <m:t>dj</m:t>
                </m:r>
              </m:sub>
            </m:sSub>
          </m:num>
          <m:den>
            <m:sSub>
              <m:sSubPr>
                <m:ctrlPr>
                  <w:rPr>
                    <w:rFonts w:ascii="Cambria Math" w:hAnsi="Calibri"/>
                    <w:i/>
                  </w:rPr>
                </m:ctrlPr>
              </m:sSubPr>
              <m:e>
                <m:r>
                  <w:rPr>
                    <w:rFonts w:ascii="Cambria Math" w:hAnsi="Calibri"/>
                  </w:rPr>
                  <m:t>(</m:t>
                </m:r>
                <m:sSub>
                  <m:sSubPr>
                    <m:ctrlPr>
                      <w:rPr>
                        <w:rFonts w:ascii="Cambria Math" w:hAnsi="Calibri"/>
                        <w:i/>
                      </w:rPr>
                    </m:ctrlPr>
                  </m:sSubPr>
                  <m:e>
                    <m:r>
                      <w:rPr>
                        <w:rFonts w:ascii="Cambria Math" w:hAnsi="Cambria Math"/>
                      </w:rPr>
                      <m:t>k</m:t>
                    </m:r>
                  </m:e>
                  <m:sub>
                    <m:r>
                      <w:rPr>
                        <w:rFonts w:ascii="Cambria Math" w:hAnsi="Cambria Math"/>
                      </w:rPr>
                      <m:t>dji</m:t>
                    </m:r>
                  </m:sub>
                </m:sSub>
                <m:r>
                  <w:rPr>
                    <w:rFonts w:ascii="Cambria Math" w:hAnsi="Cambria Math"/>
                  </w:rPr>
                  <m:t>n</m:t>
                </m:r>
              </m:e>
              <m:sub>
                <m:r>
                  <w:rPr>
                    <w:rFonts w:ascii="Cambria Math" w:hAnsi="Cambria Math"/>
                  </w:rPr>
                  <m:t>dj</m:t>
                </m:r>
              </m:sub>
            </m:sSub>
          </m:den>
        </m:f>
        <m:r>
          <w:rPr>
            <w:rFonts w:ascii="Cambria Math" w:hAnsi="Calibri"/>
          </w:rPr>
          <m:t>)</m:t>
        </m:r>
      </m:oMath>
      <w:r w:rsidR="009B5BDC" w:rsidRPr="009B5BDC">
        <w:rPr>
          <w:rFonts w:asciiTheme="minorHAnsi" w:hAnsiTheme="minorHAnsi"/>
        </w:rPr>
        <w:t>,</w:t>
      </w:r>
    </w:p>
    <w:p w:rsidR="00C8446E" w:rsidRPr="00C8446E" w:rsidRDefault="00C8446E" w:rsidP="00C8446E">
      <w:pPr>
        <w:pStyle w:val="L1-FlLSp12"/>
        <w:jc w:val="center"/>
        <w:rPr>
          <w:rFonts w:asciiTheme="minorHAnsi" w:hAnsiTheme="minorHAnsi"/>
        </w:rPr>
      </w:pPr>
    </w:p>
    <w:p w:rsidR="002E3967" w:rsidRDefault="009B5BDC">
      <w:pPr>
        <w:pStyle w:val="L1-FlLSp12"/>
        <w:spacing w:line="480" w:lineRule="auto"/>
        <w:rPr>
          <w:rFonts w:asciiTheme="minorHAnsi" w:eastAsiaTheme="minorHAnsi" w:hAnsiTheme="minorHAnsi" w:cstheme="minorBidi"/>
          <w:szCs w:val="24"/>
        </w:rPr>
      </w:pPr>
      <w:r w:rsidRPr="009B5BDC">
        <w:rPr>
          <w:rFonts w:asciiTheme="minorHAnsi" w:hAnsiTheme="minorHAnsi"/>
          <w:szCs w:val="22"/>
        </w:rPr>
        <w:t xml:space="preserve">where </w:t>
      </w:r>
      <m:oMath>
        <m:sSubSup>
          <m:sSubSupPr>
            <m:ctrlPr>
              <w:rPr>
                <w:rFonts w:ascii="Cambria Math" w:hAnsi="Calibri"/>
                <w:i/>
              </w:rPr>
            </m:ctrlPr>
          </m:sSubSupPr>
          <m:e>
            <m:r>
              <w:rPr>
                <w:rFonts w:ascii="Cambria Math" w:hAnsi="Cambria Math"/>
              </w:rPr>
              <m:t>W</m:t>
            </m:r>
          </m:e>
          <m:sub>
            <m:r>
              <w:rPr>
                <w:rFonts w:ascii="Cambria Math" w:hAnsi="Cambria Math"/>
              </w:rPr>
              <m:t>dj</m:t>
            </m:r>
          </m:sub>
          <m:sup>
            <m:d>
              <m:dPr>
                <m:ctrlPr>
                  <w:rPr>
                    <w:rFonts w:ascii="Cambria Math" w:hAnsi="Calibri"/>
                    <w:i/>
                  </w:rPr>
                </m:ctrlPr>
              </m:dPr>
              <m:e>
                <m:r>
                  <w:rPr>
                    <w:rFonts w:ascii="Cambria Math" w:hAnsi="Calibri"/>
                  </w:rPr>
                  <m:t>1</m:t>
                </m:r>
              </m:e>
            </m:d>
          </m:sup>
        </m:sSubSup>
      </m:oMath>
      <w:r w:rsidRPr="009B5BDC">
        <w:rPr>
          <w:rFonts w:asciiTheme="minorHAnsi" w:hAnsiTheme="minorHAnsi"/>
          <w:szCs w:val="22"/>
        </w:rPr>
        <w:t xml:space="preserve"> is the inverse of the probability of selecting site </w:t>
      </w:r>
      <w:r w:rsidRPr="009B5BDC">
        <w:rPr>
          <w:rFonts w:asciiTheme="minorHAnsi" w:hAnsiTheme="minorHAnsi"/>
          <w:i/>
          <w:szCs w:val="22"/>
        </w:rPr>
        <w:t xml:space="preserve">j </w:t>
      </w:r>
      <w:r w:rsidRPr="009B5BDC">
        <w:rPr>
          <w:rFonts w:asciiTheme="minorHAnsi" w:hAnsiTheme="minorHAnsi"/>
          <w:szCs w:val="22"/>
        </w:rPr>
        <w:t xml:space="preserve">from demonstration area </w:t>
      </w:r>
      <w:r w:rsidRPr="009B5BDC">
        <w:rPr>
          <w:rFonts w:asciiTheme="minorHAnsi" w:hAnsiTheme="minorHAnsi"/>
          <w:i/>
          <w:szCs w:val="22"/>
        </w:rPr>
        <w:t>d</w:t>
      </w:r>
      <w:r w:rsidR="00274636">
        <w:rPr>
          <w:rFonts w:asciiTheme="minorHAnsi" w:hAnsiTheme="minorHAnsi"/>
          <w:szCs w:val="22"/>
        </w:rPr>
        <w:t>;</w:t>
      </w:r>
      <w:r w:rsidRPr="009B5BDC">
        <w:rPr>
          <w:rFonts w:asciiTheme="minorHAnsi" w:hAnsiTheme="minorHAnsi"/>
          <w:szCs w:val="22"/>
        </w:rPr>
        <w:t xml:space="preserve"> </w:t>
      </w:r>
      <m:oMath>
        <m:sSub>
          <m:sSubPr>
            <m:ctrlPr>
              <w:rPr>
                <w:rFonts w:ascii="Cambria Math" w:hAnsi="Calibri"/>
                <w:i/>
              </w:rPr>
            </m:ctrlPr>
          </m:sSubPr>
          <m:e>
            <m:r>
              <w:rPr>
                <w:rFonts w:ascii="Cambria Math" w:hAnsi="Cambria Math"/>
              </w:rPr>
              <m:t>n</m:t>
            </m:r>
          </m:e>
          <m:sub>
            <m:r>
              <w:rPr>
                <w:rFonts w:ascii="Cambria Math" w:hAnsi="Cambria Math"/>
              </w:rPr>
              <m:t>dj</m:t>
            </m:r>
          </m:sub>
        </m:sSub>
      </m:oMath>
      <w:r w:rsidRPr="009B5BDC">
        <w:rPr>
          <w:rFonts w:asciiTheme="minorHAnsi" w:hAnsiTheme="minorHAnsi"/>
        </w:rPr>
        <w:t xml:space="preserve"> = the number of children selected from site </w:t>
      </w:r>
      <w:r w:rsidRPr="009B5BDC">
        <w:rPr>
          <w:rFonts w:asciiTheme="minorHAnsi" w:hAnsiTheme="minorHAnsi"/>
          <w:i/>
        </w:rPr>
        <w:t>j</w:t>
      </w:r>
      <w:r w:rsidRPr="009B5BDC">
        <w:rPr>
          <w:rFonts w:asciiTheme="minorHAnsi" w:hAnsiTheme="minorHAnsi"/>
        </w:rPr>
        <w:t xml:space="preserve"> in demonstration area </w:t>
      </w:r>
      <w:r w:rsidRPr="009B5BDC">
        <w:rPr>
          <w:rFonts w:asciiTheme="minorHAnsi" w:hAnsiTheme="minorHAnsi"/>
          <w:i/>
        </w:rPr>
        <w:t>d</w:t>
      </w:r>
      <w:r w:rsidR="00B73EF7">
        <w:rPr>
          <w:rFonts w:asciiTheme="minorHAnsi" w:hAnsiTheme="minorHAnsi"/>
        </w:rPr>
        <w:t>;</w:t>
      </w:r>
      <w:r w:rsidRPr="009B5BDC">
        <w:rPr>
          <w:rFonts w:asciiTheme="minorHAnsi" w:hAnsiTheme="minorHAnsi"/>
        </w:rPr>
        <w:t xml:space="preserve"> </w:t>
      </w:r>
      <m:oMath>
        <m:sSub>
          <m:sSubPr>
            <m:ctrlPr>
              <w:rPr>
                <w:rFonts w:ascii="Cambria Math" w:hAnsi="Calibri"/>
                <w:i/>
              </w:rPr>
            </m:ctrlPr>
          </m:sSubPr>
          <m:e>
            <m:r>
              <w:rPr>
                <w:rFonts w:ascii="Cambria Math" w:hAnsi="Cambria Math"/>
              </w:rPr>
              <m:t>N</m:t>
            </m:r>
          </m:e>
          <m:sub>
            <m:r>
              <w:rPr>
                <w:rFonts w:ascii="Cambria Math" w:hAnsi="Cambria Math"/>
              </w:rPr>
              <m:t>dj</m:t>
            </m:r>
          </m:sub>
        </m:sSub>
      </m:oMath>
      <w:r w:rsidRPr="009B5BDC">
        <w:rPr>
          <w:rFonts w:asciiTheme="minorHAnsi" w:hAnsiTheme="minorHAnsi"/>
        </w:rPr>
        <w:t xml:space="preserve"> = the total number of eligible children served by site </w:t>
      </w:r>
      <w:r w:rsidRPr="009B5BDC">
        <w:rPr>
          <w:rFonts w:asciiTheme="minorHAnsi" w:hAnsiTheme="minorHAnsi"/>
          <w:i/>
        </w:rPr>
        <w:t>j</w:t>
      </w:r>
      <w:r w:rsidRPr="009B5BDC">
        <w:rPr>
          <w:rFonts w:asciiTheme="minorHAnsi" w:hAnsiTheme="minorHAnsi"/>
        </w:rPr>
        <w:t xml:space="preserve"> in demonstration area </w:t>
      </w:r>
      <w:r w:rsidRPr="009B5BDC">
        <w:rPr>
          <w:rFonts w:asciiTheme="minorHAnsi" w:hAnsiTheme="minorHAnsi"/>
          <w:i/>
        </w:rPr>
        <w:t>d</w:t>
      </w:r>
      <w:r w:rsidR="00B73EF7">
        <w:rPr>
          <w:rFonts w:asciiTheme="minorHAnsi" w:hAnsiTheme="minorHAnsi"/>
        </w:rPr>
        <w:t>;</w:t>
      </w:r>
      <w:r w:rsidRPr="009B5BDC">
        <w:rPr>
          <w:rFonts w:asciiTheme="minorHAnsi" w:hAnsiTheme="minorHAnsi"/>
        </w:rPr>
        <w:t xml:space="preserve"> and </w:t>
      </w:r>
      <m:oMath>
        <m:sSub>
          <m:sSubPr>
            <m:ctrlPr>
              <w:rPr>
                <w:rFonts w:ascii="Cambria Math" w:hAnsi="Calibri"/>
                <w:i/>
              </w:rPr>
            </m:ctrlPr>
          </m:sSubPr>
          <m:e>
            <m:r>
              <w:rPr>
                <w:rFonts w:ascii="Cambria Math" w:hAnsi="Cambria Math"/>
              </w:rPr>
              <m:t>k</m:t>
            </m:r>
          </m:e>
          <m:sub>
            <m:r>
              <w:rPr>
                <w:rFonts w:ascii="Cambria Math" w:hAnsi="Cambria Math"/>
              </w:rPr>
              <m:t>dji</m:t>
            </m:r>
          </m:sub>
        </m:sSub>
      </m:oMath>
      <w:r w:rsidRPr="009B5BDC">
        <w:rPr>
          <w:rFonts w:asciiTheme="minorHAnsi" w:hAnsiTheme="minorHAnsi"/>
        </w:rPr>
        <w:t xml:space="preserve">= the number of eligible children in household </w:t>
      </w:r>
      <w:r w:rsidRPr="009B5BDC">
        <w:rPr>
          <w:rFonts w:asciiTheme="minorHAnsi" w:hAnsiTheme="minorHAnsi"/>
          <w:i/>
        </w:rPr>
        <w:t>i</w:t>
      </w:r>
      <w:r w:rsidRPr="009B5BDC">
        <w:rPr>
          <w:rFonts w:asciiTheme="minorHAnsi" w:hAnsiTheme="minorHAnsi"/>
        </w:rPr>
        <w:t xml:space="preserve"> served by site </w:t>
      </w:r>
      <w:r w:rsidRPr="009B5BDC">
        <w:rPr>
          <w:rFonts w:asciiTheme="minorHAnsi" w:hAnsiTheme="minorHAnsi"/>
          <w:i/>
        </w:rPr>
        <w:t>j</w:t>
      </w:r>
      <w:r w:rsidRPr="009B5BDC">
        <w:rPr>
          <w:rFonts w:asciiTheme="minorHAnsi" w:hAnsiTheme="minorHAnsi"/>
        </w:rPr>
        <w:t xml:space="preserve"> in demonstration area </w:t>
      </w:r>
      <w:r w:rsidRPr="009B5BDC">
        <w:rPr>
          <w:rFonts w:asciiTheme="minorHAnsi" w:hAnsiTheme="minorHAnsi"/>
          <w:i/>
        </w:rPr>
        <w:t>d.</w:t>
      </w:r>
      <w:r w:rsidRPr="009B5BDC">
        <w:rPr>
          <w:rFonts w:asciiTheme="minorHAnsi" w:hAnsiTheme="minorHAnsi"/>
        </w:rPr>
        <w:t xml:space="preserve"> Note that for </w:t>
      </w:r>
      <w:r w:rsidR="00B73EF7">
        <w:rPr>
          <w:rFonts w:asciiTheme="minorHAnsi" w:hAnsiTheme="minorHAnsi"/>
        </w:rPr>
        <w:t xml:space="preserve">the </w:t>
      </w:r>
      <w:r w:rsidRPr="009B5BDC">
        <w:rPr>
          <w:rFonts w:asciiTheme="minorHAnsi" w:hAnsiTheme="minorHAnsi"/>
        </w:rPr>
        <w:t xml:space="preserve">Meal Delivery </w:t>
      </w:r>
      <w:r w:rsidRPr="009B5BDC">
        <w:rPr>
          <w:rFonts w:asciiTheme="minorHAnsi" w:hAnsiTheme="minorHAnsi"/>
        </w:rPr>
        <w:lastRenderedPageBreak/>
        <w:t>demonstration, the formula for the base weight will not involve terms relating to the selection of sites. The base weight defined above is a household-level weight</w:t>
      </w:r>
      <w:r w:rsidR="00B73EF7">
        <w:rPr>
          <w:rFonts w:asciiTheme="minorHAnsi" w:hAnsiTheme="minorHAnsi"/>
        </w:rPr>
        <w:t>.</w:t>
      </w:r>
    </w:p>
    <w:p w:rsidR="00C8446E" w:rsidRDefault="00C8446E" w:rsidP="00F60A45">
      <w:pPr>
        <w:pStyle w:val="L1-FlLSp12"/>
        <w:rPr>
          <w:rFonts w:asciiTheme="minorHAnsi" w:eastAsiaTheme="minorHAnsi" w:hAnsiTheme="minorHAnsi" w:cstheme="minorBidi"/>
          <w:szCs w:val="24"/>
        </w:rPr>
      </w:pPr>
    </w:p>
    <w:p w:rsidR="002E3967" w:rsidRDefault="00C06A09">
      <w:pPr>
        <w:pStyle w:val="L1-FlLSp12"/>
        <w:spacing w:line="480" w:lineRule="auto"/>
        <w:rPr>
          <w:rFonts w:asciiTheme="minorHAnsi" w:hAnsiTheme="minorHAnsi"/>
        </w:rPr>
      </w:pPr>
      <w:r w:rsidRPr="00C06A09">
        <w:rPr>
          <w:rFonts w:asciiTheme="minorHAnsi" w:eastAsiaTheme="minorHAnsi" w:hAnsiTheme="minorHAnsi" w:cstheme="minorBidi"/>
          <w:szCs w:val="24"/>
        </w:rPr>
        <w:t>The next step is to perform nonresponse adjustments to account for interview nonresponse.</w:t>
      </w:r>
      <w:r w:rsidR="00B73EF7">
        <w:rPr>
          <w:rFonts w:asciiTheme="minorHAnsi" w:eastAsiaTheme="minorHAnsi" w:hAnsiTheme="minorHAnsi" w:cstheme="minorBidi"/>
          <w:szCs w:val="24"/>
        </w:rPr>
        <w:t xml:space="preserve"> </w:t>
      </w:r>
      <w:r w:rsidR="009B5BDC" w:rsidRPr="009B5BDC">
        <w:rPr>
          <w:rFonts w:asciiTheme="minorHAnsi" w:hAnsiTheme="minorHAnsi"/>
        </w:rPr>
        <w:t>This step is important because the interview response rate for the population of interest (households participating in the SFSP enhancement demonstrations) is expected to be low. Although efforts will be made to achieve as high a response rate as practicable with the available resources, it may not be possible to achieve a response rate of 80 percent, in which case a nonresponse bias analysis (NRBA) will be conducted to assess the impact of nonresponse on the survey estimates. It is well known that low response rates threaten the validity of survey estimates if not handled properly. Without appropriate adjustments, the estimates could be severely biased. This threat stems from the fact that the response propensity is usually correlated with the characteristics of the sampled units. To counter this threat a nonresponse adjustment that reflects the differential response propensity of the sampled households will be applied to the base weights, thus reducing the potential bias resulting from low response rates.</w:t>
      </w:r>
    </w:p>
    <w:p w:rsidR="002E3967" w:rsidRDefault="002E3967">
      <w:pPr>
        <w:pStyle w:val="L1-FlLSp12"/>
        <w:spacing w:line="480" w:lineRule="auto"/>
        <w:rPr>
          <w:rFonts w:asciiTheme="minorHAnsi" w:hAnsiTheme="minorHAnsi"/>
        </w:rPr>
      </w:pPr>
    </w:p>
    <w:p w:rsidR="002E3967" w:rsidRDefault="009B5BDC">
      <w:pPr>
        <w:pStyle w:val="L1-FlLSp12"/>
        <w:spacing w:line="480" w:lineRule="auto"/>
        <w:rPr>
          <w:rFonts w:asciiTheme="minorHAnsi" w:hAnsiTheme="minorHAnsi"/>
        </w:rPr>
      </w:pPr>
      <w:r w:rsidRPr="009B5BDC">
        <w:rPr>
          <w:rFonts w:asciiTheme="minorHAnsi" w:hAnsiTheme="minorHAnsi"/>
        </w:rPr>
        <w:t>Nonresponse adjustments will be made within cells defined by characteristics found to be correlated with response propensity and are known for all sampled households. For example, information available in the sampling frame and other administrative data sources (e.g., size of household, number of children, employment status, and income) could be us</w:t>
      </w:r>
      <w:r w:rsidR="00274636">
        <w:rPr>
          <w:rFonts w:asciiTheme="minorHAnsi" w:hAnsiTheme="minorHAnsi"/>
        </w:rPr>
        <w:t>ed for this purpose</w:t>
      </w:r>
      <w:r w:rsidRPr="009B5BDC">
        <w:rPr>
          <w:rFonts w:asciiTheme="minorHAnsi" w:hAnsiTheme="minorHAnsi"/>
        </w:rPr>
        <w:t xml:space="preserve">. We will use software such as Chi-square Automatic Interaction Detector (CHAID) or similar software to form the nonresponse adjustment cells. CHAID is an effective algorithm for identifying cells that are homogeneous with respect to response propensity. The results of the </w:t>
      </w:r>
      <w:r w:rsidRPr="009B5BDC">
        <w:rPr>
          <w:rFonts w:asciiTheme="minorHAnsi" w:hAnsiTheme="minorHAnsi"/>
        </w:rPr>
        <w:lastRenderedPageBreak/>
        <w:t xml:space="preserve">CHAID analysis will be used to define a set of nonresponse adjustment cells within which the weighting adjustments will be calculated. For example, let </w:t>
      </w:r>
      <w:r w:rsidRPr="009B5BDC">
        <w:rPr>
          <w:rFonts w:asciiTheme="minorHAnsi" w:hAnsiTheme="minorHAnsi"/>
          <w:i/>
        </w:rPr>
        <w:t>k</w:t>
      </w:r>
      <w:r w:rsidRPr="009B5BDC">
        <w:rPr>
          <w:rFonts w:asciiTheme="minorHAnsi" w:hAnsiTheme="minorHAnsi"/>
        </w:rPr>
        <w:t xml:space="preserve"> denote a weight adjustment cell. The nonresponse-adjusted weight, </w:t>
      </w:r>
      <m:oMath>
        <m:sSubSup>
          <m:sSubSupPr>
            <m:ctrlPr>
              <w:rPr>
                <w:rFonts w:ascii="Cambria Math" w:hAnsi="Calibri"/>
                <w:i/>
              </w:rPr>
            </m:ctrlPr>
          </m:sSubSupPr>
          <m:e>
            <m:r>
              <w:rPr>
                <w:rFonts w:ascii="Cambria Math" w:hAnsi="Cambria Math"/>
              </w:rPr>
              <m:t>w</m:t>
            </m:r>
          </m:e>
          <m:sub>
            <m:r>
              <w:rPr>
                <w:rFonts w:ascii="Cambria Math" w:hAnsi="Cambria Math"/>
              </w:rPr>
              <m:t>ki</m:t>
            </m:r>
          </m:sub>
          <m:sup>
            <m:r>
              <w:rPr>
                <w:rFonts w:ascii="Cambria Math" w:hAnsi="Cambria Math"/>
              </w:rPr>
              <m:t>adj</m:t>
            </m:r>
          </m:sup>
        </m:sSubSup>
      </m:oMath>
      <w:r w:rsidRPr="009B5BDC">
        <w:rPr>
          <w:rFonts w:asciiTheme="minorHAnsi" w:hAnsiTheme="minorHAnsi"/>
        </w:rPr>
        <w:t xml:space="preserve"> for the ith responding household in cell </w:t>
      </w:r>
      <w:r w:rsidRPr="009B5BDC">
        <w:rPr>
          <w:rFonts w:asciiTheme="minorHAnsi" w:hAnsiTheme="minorHAnsi"/>
          <w:i/>
        </w:rPr>
        <w:t>k</w:t>
      </w:r>
      <w:r w:rsidRPr="009B5BDC">
        <w:rPr>
          <w:rFonts w:asciiTheme="minorHAnsi" w:hAnsiTheme="minorHAnsi"/>
        </w:rPr>
        <w:t xml:space="preserve"> will be computed as:</w:t>
      </w:r>
    </w:p>
    <w:p w:rsidR="00C8446E" w:rsidRPr="00C8446E" w:rsidRDefault="00C8446E" w:rsidP="00C8446E">
      <w:pPr>
        <w:pStyle w:val="L1-FlLSp12"/>
        <w:rPr>
          <w:rFonts w:asciiTheme="minorHAnsi" w:hAnsiTheme="minorHAnsi"/>
        </w:rPr>
      </w:pPr>
    </w:p>
    <w:p w:rsidR="00C8446E" w:rsidRPr="00C8446E" w:rsidRDefault="001C38E5" w:rsidP="00C8446E">
      <w:pPr>
        <w:pStyle w:val="L1-FlLSp12"/>
        <w:jc w:val="center"/>
        <w:rPr>
          <w:rFonts w:asciiTheme="minorHAnsi" w:hAnsiTheme="minorHAnsi"/>
        </w:rPr>
      </w:pPr>
      <m:oMath>
        <m:sSubSup>
          <m:sSubSupPr>
            <m:ctrlPr>
              <w:rPr>
                <w:rFonts w:ascii="Cambria Math" w:hAnsi="Calibri"/>
                <w:i/>
              </w:rPr>
            </m:ctrlPr>
          </m:sSubSupPr>
          <m:e>
            <m:r>
              <w:rPr>
                <w:rFonts w:ascii="Cambria Math" w:hAnsi="Cambria Math"/>
              </w:rPr>
              <m:t>w</m:t>
            </m:r>
          </m:e>
          <m:sub>
            <m:r>
              <w:rPr>
                <w:rFonts w:ascii="Cambria Math" w:hAnsi="Cambria Math"/>
              </w:rPr>
              <m:t>ki</m:t>
            </m:r>
          </m:sub>
          <m:sup>
            <m:r>
              <w:rPr>
                <w:rFonts w:ascii="Cambria Math" w:hAnsi="Cambria Math"/>
              </w:rPr>
              <m:t>adj</m:t>
            </m:r>
          </m:sup>
        </m:sSubSup>
      </m:oMath>
      <w:r w:rsidR="009B5BDC" w:rsidRPr="009B5BDC">
        <w:rPr>
          <w:rFonts w:asciiTheme="minorHAnsi" w:hAnsiTheme="minorHAnsi"/>
        </w:rPr>
        <w:t xml:space="preserve"> = </w:t>
      </w:r>
      <m:oMath>
        <m:sSubSup>
          <m:sSubSupPr>
            <m:ctrlPr>
              <w:rPr>
                <w:rFonts w:ascii="Cambria Math" w:hAnsi="Calibri"/>
                <w:i/>
              </w:rPr>
            </m:ctrlPr>
          </m:sSubSupPr>
          <m:e>
            <m:r>
              <w:rPr>
                <w:rFonts w:ascii="Cambria Math" w:hAnsi="Cambria Math"/>
              </w:rPr>
              <m:t>w</m:t>
            </m:r>
          </m:e>
          <m:sub>
            <m:r>
              <w:rPr>
                <w:rFonts w:ascii="Cambria Math" w:hAnsi="Cambria Math"/>
              </w:rPr>
              <m:t>ki</m:t>
            </m:r>
          </m:sub>
          <m:sup>
            <m:r>
              <w:rPr>
                <w:rFonts w:ascii="Cambria Math" w:hAnsi="Cambria Math"/>
              </w:rPr>
              <m:t>base</m:t>
            </m:r>
          </m:sup>
        </m:sSubSup>
      </m:oMath>
      <w:r w:rsidR="009B5BDC" w:rsidRPr="009B5BDC">
        <w:rPr>
          <w:rFonts w:asciiTheme="minorHAnsi" w:hAnsiTheme="minorHAnsi"/>
        </w:rPr>
        <w:t xml:space="preserve">  </w:t>
      </w:r>
      <m:oMath>
        <m:nary>
          <m:naryPr>
            <m:chr m:val="∑"/>
            <m:limLoc m:val="undOvr"/>
            <m:ctrlPr>
              <w:rPr>
                <w:rFonts w:ascii="Cambria Math" w:hAnsi="Calibri"/>
                <w:i/>
              </w:rPr>
            </m:ctrlPr>
          </m:naryPr>
          <m:sub>
            <m:r>
              <w:rPr>
                <w:rFonts w:ascii="Cambria Math" w:hAnsi="Cambria Math"/>
              </w:rPr>
              <m:t>Total</m:t>
            </m:r>
          </m:sub>
          <m:sup/>
          <m:e>
            <m:sSubSup>
              <m:sSubSupPr>
                <m:ctrlPr>
                  <w:rPr>
                    <w:rFonts w:ascii="Cambria Math" w:hAnsi="Calibri"/>
                    <w:i/>
                  </w:rPr>
                </m:ctrlPr>
              </m:sSubSupPr>
              <m:e>
                <m:r>
                  <w:rPr>
                    <w:rFonts w:ascii="Cambria Math" w:hAnsi="Cambria Math"/>
                  </w:rPr>
                  <m:t>w</m:t>
                </m:r>
              </m:e>
              <m:sub>
                <m:r>
                  <w:rPr>
                    <w:rFonts w:ascii="Cambria Math" w:hAnsi="Cambria Math"/>
                  </w:rPr>
                  <m:t>ki</m:t>
                </m:r>
              </m:sub>
              <m:sup>
                <m:r>
                  <w:rPr>
                    <w:rFonts w:ascii="Cambria Math" w:hAnsi="Cambria Math"/>
                  </w:rPr>
                  <m:t>base</m:t>
                </m:r>
              </m:sup>
            </m:sSubSup>
          </m:e>
        </m:nary>
      </m:oMath>
      <w:r w:rsidR="009B5BDC" w:rsidRPr="009B5BDC">
        <w:rPr>
          <w:rFonts w:asciiTheme="minorHAnsi" w:hAnsiTheme="minorHAnsi"/>
        </w:rPr>
        <w:t xml:space="preserve">/ </w:t>
      </w:r>
      <m:oMath>
        <m:nary>
          <m:naryPr>
            <m:chr m:val="∑"/>
            <m:limLoc m:val="undOvr"/>
            <m:ctrlPr>
              <w:rPr>
                <w:rFonts w:ascii="Cambria Math" w:hAnsi="Calibri"/>
                <w:i/>
              </w:rPr>
            </m:ctrlPr>
          </m:naryPr>
          <m:sub>
            <m:r>
              <w:rPr>
                <w:rFonts w:ascii="Cambria Math" w:hAnsi="Cambria Math"/>
              </w:rPr>
              <m:t>Resp</m:t>
            </m:r>
          </m:sub>
          <m:sup/>
          <m:e>
            <m:sSubSup>
              <m:sSubSupPr>
                <m:ctrlPr>
                  <w:rPr>
                    <w:rFonts w:ascii="Cambria Math" w:hAnsi="Calibri"/>
                    <w:i/>
                  </w:rPr>
                </m:ctrlPr>
              </m:sSubSupPr>
              <m:e>
                <m:r>
                  <w:rPr>
                    <w:rFonts w:ascii="Cambria Math" w:hAnsi="Cambria Math"/>
                  </w:rPr>
                  <m:t>w</m:t>
                </m:r>
              </m:e>
              <m:sub>
                <m:r>
                  <w:rPr>
                    <w:rFonts w:ascii="Cambria Math" w:hAnsi="Cambria Math"/>
                  </w:rPr>
                  <m:t>ki</m:t>
                </m:r>
              </m:sub>
              <m:sup>
                <m:r>
                  <w:rPr>
                    <w:rFonts w:ascii="Cambria Math" w:hAnsi="Cambria Math"/>
                  </w:rPr>
                  <m:t>base</m:t>
                </m:r>
              </m:sup>
            </m:sSubSup>
          </m:e>
        </m:nary>
      </m:oMath>
      <w:r w:rsidR="009B5BDC" w:rsidRPr="009B5BDC">
        <w:rPr>
          <w:rFonts w:asciiTheme="minorHAnsi" w:hAnsiTheme="minorHAnsi"/>
        </w:rPr>
        <w:t>,</w:t>
      </w:r>
    </w:p>
    <w:p w:rsidR="00C8446E" w:rsidRPr="00C8446E" w:rsidRDefault="00C8446E" w:rsidP="00C8446E">
      <w:pPr>
        <w:pStyle w:val="L1-FlLSp12"/>
        <w:rPr>
          <w:rFonts w:asciiTheme="minorHAnsi" w:hAnsiTheme="minorHAnsi"/>
        </w:rPr>
      </w:pPr>
    </w:p>
    <w:p w:rsidR="002E3967" w:rsidRDefault="009B5BDC">
      <w:pPr>
        <w:pStyle w:val="L1-FlLSp12"/>
        <w:spacing w:line="480" w:lineRule="auto"/>
        <w:rPr>
          <w:rFonts w:asciiTheme="minorHAnsi" w:eastAsiaTheme="minorHAnsi" w:hAnsiTheme="minorHAnsi" w:cstheme="minorBidi"/>
          <w:szCs w:val="24"/>
        </w:rPr>
      </w:pPr>
      <w:r w:rsidRPr="009B5BDC">
        <w:rPr>
          <w:rFonts w:asciiTheme="minorHAnsi" w:hAnsiTheme="minorHAnsi"/>
        </w:rPr>
        <w:t xml:space="preserve">where the sum of base weights in the numerator extends over the total sample in cell </w:t>
      </w:r>
      <w:r w:rsidRPr="009B5BDC">
        <w:rPr>
          <w:rFonts w:asciiTheme="minorHAnsi" w:hAnsiTheme="minorHAnsi"/>
          <w:i/>
        </w:rPr>
        <w:t>k</w:t>
      </w:r>
      <w:r w:rsidRPr="009B5BDC">
        <w:rPr>
          <w:rFonts w:asciiTheme="minorHAnsi" w:hAnsiTheme="minorHAnsi"/>
        </w:rPr>
        <w:t>, and the sum in the denominator extends over the responding households.</w:t>
      </w:r>
    </w:p>
    <w:p w:rsidR="00F60A45" w:rsidRDefault="00F60A45" w:rsidP="00F60A45">
      <w:pPr>
        <w:pStyle w:val="L1-FlLSp12"/>
        <w:rPr>
          <w:rFonts w:ascii="Franklin Gothic Medium" w:hAnsi="Franklin Gothic Medium"/>
          <w:b/>
          <w:color w:val="324162"/>
          <w:sz w:val="28"/>
          <w:szCs w:val="28"/>
        </w:rPr>
      </w:pPr>
    </w:p>
    <w:p w:rsidR="002E3967" w:rsidRDefault="00C06A09">
      <w:pPr>
        <w:pStyle w:val="L1-FlLSp12"/>
        <w:spacing w:line="480" w:lineRule="auto"/>
        <w:rPr>
          <w:rFonts w:asciiTheme="minorHAnsi" w:hAnsiTheme="minorHAnsi"/>
          <w:szCs w:val="24"/>
        </w:rPr>
      </w:pPr>
      <w:r w:rsidRPr="00C06A09">
        <w:rPr>
          <w:rFonts w:asciiTheme="minorHAnsi" w:hAnsiTheme="minorHAnsi"/>
          <w:b/>
          <w:szCs w:val="24"/>
        </w:rPr>
        <w:t xml:space="preserve">Data </w:t>
      </w:r>
      <w:r w:rsidR="00F60A45">
        <w:rPr>
          <w:rFonts w:asciiTheme="minorHAnsi" w:hAnsiTheme="minorHAnsi"/>
          <w:b/>
          <w:szCs w:val="24"/>
        </w:rPr>
        <w:t>A</w:t>
      </w:r>
      <w:r w:rsidRPr="00C06A09">
        <w:rPr>
          <w:rFonts w:asciiTheme="minorHAnsi" w:hAnsiTheme="minorHAnsi"/>
          <w:b/>
          <w:szCs w:val="24"/>
        </w:rPr>
        <w:t>nalysis.</w:t>
      </w:r>
      <w:r w:rsidR="00F60A45">
        <w:rPr>
          <w:rFonts w:asciiTheme="minorHAnsi" w:hAnsiTheme="minorHAnsi"/>
          <w:szCs w:val="24"/>
        </w:rPr>
        <w:t xml:space="preserve"> </w:t>
      </w:r>
      <w:r w:rsidR="009D4335" w:rsidRPr="009D4335">
        <w:rPr>
          <w:rFonts w:asciiTheme="minorHAnsi" w:hAnsiTheme="minorHAnsi"/>
          <w:szCs w:val="24"/>
        </w:rPr>
        <w:t xml:space="preserve">For the Backpack and Home Delivery demonstrations, we will have detailed individual level data on food outcomes, demographics, and household circumstances from the parent telephone survey. We will use these data to estimate the percentage of households which experience </w:t>
      </w:r>
      <w:r w:rsidR="009D4335" w:rsidRPr="009D4335">
        <w:rPr>
          <w:rFonts w:asciiTheme="minorHAnsi" w:hAnsiTheme="minorHAnsi"/>
          <w:i/>
          <w:szCs w:val="24"/>
        </w:rPr>
        <w:t>very low</w:t>
      </w:r>
      <w:r w:rsidR="009D4335" w:rsidRPr="009D4335">
        <w:rPr>
          <w:rFonts w:asciiTheme="minorHAnsi" w:hAnsiTheme="minorHAnsi"/>
          <w:szCs w:val="24"/>
        </w:rPr>
        <w:t xml:space="preserve"> or </w:t>
      </w:r>
      <w:r w:rsidR="009D4335" w:rsidRPr="009D4335">
        <w:rPr>
          <w:rFonts w:asciiTheme="minorHAnsi" w:hAnsiTheme="minorHAnsi"/>
          <w:i/>
          <w:szCs w:val="24"/>
        </w:rPr>
        <w:t>very low or low</w:t>
      </w:r>
      <w:r w:rsidR="009D4335" w:rsidRPr="009D4335">
        <w:rPr>
          <w:rFonts w:asciiTheme="minorHAnsi" w:hAnsiTheme="minorHAnsi"/>
          <w:szCs w:val="24"/>
        </w:rPr>
        <w:t xml:space="preserve"> food security during a 30-day reference period. Related to food security, we will tabulate the percentage of households that participate in other programs such as SNAP, TANF, and WIC. We will assess meal targeting by calculating the percentage of households in which the provided food was (mostly) consumed by the children for whom it was intended. We will weigh the survey data</w:t>
      </w:r>
      <w:r w:rsidR="00725677">
        <w:rPr>
          <w:rFonts w:asciiTheme="minorHAnsi" w:hAnsiTheme="minorHAnsi"/>
          <w:szCs w:val="24"/>
        </w:rPr>
        <w:t>, as described above,</w:t>
      </w:r>
      <w:r w:rsidR="009D4335" w:rsidRPr="009D4335">
        <w:rPr>
          <w:rFonts w:asciiTheme="minorHAnsi" w:hAnsiTheme="minorHAnsi"/>
          <w:szCs w:val="24"/>
        </w:rPr>
        <w:t xml:space="preserve"> to produce outcome statistics (e.g., percents, totals, or means) and their corresponding standard errors.</w:t>
      </w:r>
    </w:p>
    <w:p w:rsidR="002E3967" w:rsidRDefault="002E3967">
      <w:pPr>
        <w:pStyle w:val="L1-FlLSp12"/>
        <w:spacing w:line="480" w:lineRule="auto"/>
      </w:pPr>
    </w:p>
    <w:p w:rsidR="002E3967" w:rsidRDefault="009D4335">
      <w:pPr>
        <w:pStyle w:val="L1-FlLSp12"/>
        <w:spacing w:line="480" w:lineRule="auto"/>
        <w:rPr>
          <w:rFonts w:asciiTheme="minorHAnsi" w:hAnsiTheme="minorHAnsi"/>
        </w:rPr>
      </w:pPr>
      <w:r w:rsidRPr="00A43F14">
        <w:rPr>
          <w:rFonts w:asciiTheme="minorHAnsi" w:hAnsiTheme="minorHAnsi"/>
        </w:rPr>
        <w:t xml:space="preserve">We will make comparisons between demonstration projects, over the years of the demonstrations, within the same demonstration period, relative to the National School Lunch Program, and to external national benchmarks. Analysis will consist of direct comparisons of outcome statistics and model-based comparisons of outcomes. </w:t>
      </w:r>
    </w:p>
    <w:p w:rsidR="009D4335" w:rsidRPr="00F60A45" w:rsidRDefault="009D4335" w:rsidP="009D4335">
      <w:pPr>
        <w:pStyle w:val="L1-FlLSp12"/>
        <w:rPr>
          <w:rFonts w:asciiTheme="minorHAnsi" w:hAnsiTheme="minorHAnsi"/>
          <w:szCs w:val="24"/>
        </w:rPr>
      </w:pPr>
    </w:p>
    <w:p w:rsidR="00F60A45" w:rsidRPr="00F60A45" w:rsidRDefault="00C06A09" w:rsidP="00F60A45">
      <w:pPr>
        <w:pStyle w:val="L1-FlLSp12"/>
        <w:numPr>
          <w:ilvl w:val="0"/>
          <w:numId w:val="1"/>
        </w:numPr>
        <w:tabs>
          <w:tab w:val="clear" w:pos="1152"/>
          <w:tab w:val="left" w:pos="1080"/>
        </w:tabs>
        <w:spacing w:line="240" w:lineRule="auto"/>
        <w:ind w:left="1080" w:hanging="504"/>
        <w:rPr>
          <w:rFonts w:asciiTheme="minorHAnsi" w:hAnsiTheme="minorHAnsi"/>
          <w:szCs w:val="24"/>
        </w:rPr>
      </w:pPr>
      <w:r w:rsidRPr="00725677">
        <w:rPr>
          <w:rFonts w:asciiTheme="minorHAnsi" w:hAnsiTheme="minorHAnsi"/>
          <w:b/>
          <w:szCs w:val="24"/>
        </w:rPr>
        <w:t>Comparisons of Outcomes Between Demonstrations</w:t>
      </w:r>
      <w:r w:rsidRPr="00C06A09">
        <w:rPr>
          <w:rFonts w:asciiTheme="minorHAnsi" w:hAnsiTheme="minorHAnsi"/>
          <w:szCs w:val="24"/>
        </w:rPr>
        <w:t>. To compare the Meal Delivery and Backpack demonstrations, we will calculate the aggregate outcomes of interest (e.g. percentage of participants who have food security and the percentage of participants who consume most of the supplemental food themselves) for each demonstration and subtract one from the other to calculate the difference in outcomes between the sites. We will test the differences for significance using their standard error estimates. We will make the comparisons for years 2011 and 2012, and for the two years pooled.</w:t>
      </w:r>
    </w:p>
    <w:p w:rsidR="00F60A45" w:rsidRPr="00F60A45" w:rsidRDefault="00F60A45" w:rsidP="00F60A45">
      <w:pPr>
        <w:pStyle w:val="L1-FlLSp12"/>
        <w:spacing w:line="240" w:lineRule="auto"/>
        <w:rPr>
          <w:rFonts w:asciiTheme="minorHAnsi" w:hAnsiTheme="minorHAnsi"/>
          <w:szCs w:val="24"/>
        </w:rPr>
      </w:pPr>
    </w:p>
    <w:p w:rsidR="00F60A45" w:rsidRPr="00F60A45" w:rsidRDefault="00C06A09" w:rsidP="00F60A45">
      <w:pPr>
        <w:pStyle w:val="L1-FlLSp12"/>
        <w:spacing w:line="240" w:lineRule="auto"/>
        <w:ind w:left="1080"/>
        <w:rPr>
          <w:rFonts w:asciiTheme="minorHAnsi" w:hAnsiTheme="minorHAnsi"/>
          <w:szCs w:val="24"/>
        </w:rPr>
      </w:pPr>
      <w:r w:rsidRPr="00C06A09">
        <w:rPr>
          <w:rFonts w:asciiTheme="minorHAnsi" w:hAnsiTheme="minorHAnsi"/>
          <w:szCs w:val="24"/>
        </w:rPr>
        <w:t xml:space="preserve">We will also use a single equation outcomes model to compare the two demonstration projects. In this analysis the unit of observation is the individual child. We will model food security outcomes as a function of individual and community characteristics to account for differences in the profiles of participating children between the demonstration projects and over time that may confound demonstration outcomes.  </w:t>
      </w:r>
    </w:p>
    <w:p w:rsidR="00F60A45" w:rsidRPr="00F60A45" w:rsidRDefault="00F60A45" w:rsidP="00F60A45">
      <w:pPr>
        <w:pStyle w:val="L1-FlLSp12"/>
        <w:spacing w:line="240" w:lineRule="auto"/>
        <w:rPr>
          <w:rFonts w:asciiTheme="minorHAnsi" w:hAnsiTheme="minorHAnsi"/>
          <w:szCs w:val="24"/>
        </w:rPr>
      </w:pPr>
    </w:p>
    <w:p w:rsidR="00F60A45" w:rsidRPr="00F60A45" w:rsidRDefault="00C06A09" w:rsidP="00F60A45">
      <w:pPr>
        <w:pStyle w:val="L1-FlLSp12"/>
        <w:numPr>
          <w:ilvl w:val="0"/>
          <w:numId w:val="1"/>
        </w:numPr>
        <w:tabs>
          <w:tab w:val="clear" w:pos="1152"/>
          <w:tab w:val="left" w:pos="1080"/>
        </w:tabs>
        <w:spacing w:line="240" w:lineRule="auto"/>
        <w:ind w:left="1080" w:hanging="504"/>
        <w:rPr>
          <w:rFonts w:asciiTheme="minorHAnsi" w:hAnsiTheme="minorHAnsi"/>
          <w:szCs w:val="24"/>
        </w:rPr>
      </w:pPr>
      <w:r w:rsidRPr="00725677">
        <w:rPr>
          <w:rFonts w:asciiTheme="minorHAnsi" w:hAnsiTheme="minorHAnsi"/>
          <w:b/>
          <w:szCs w:val="24"/>
        </w:rPr>
        <w:t>Comparisons</w:t>
      </w:r>
      <w:r w:rsidR="008F5044" w:rsidRPr="00725677">
        <w:rPr>
          <w:rFonts w:asciiTheme="minorHAnsi" w:hAnsiTheme="minorHAnsi"/>
          <w:b/>
          <w:szCs w:val="24"/>
        </w:rPr>
        <w:t xml:space="preserve"> </w:t>
      </w:r>
      <w:r w:rsidRPr="00725677">
        <w:rPr>
          <w:rFonts w:asciiTheme="minorHAnsi" w:hAnsiTheme="minorHAnsi"/>
          <w:b/>
          <w:szCs w:val="24"/>
        </w:rPr>
        <w:t>Over</w:t>
      </w:r>
      <w:r w:rsidR="008F5044" w:rsidRPr="00725677">
        <w:rPr>
          <w:rFonts w:asciiTheme="minorHAnsi" w:hAnsiTheme="minorHAnsi"/>
          <w:b/>
          <w:szCs w:val="24"/>
        </w:rPr>
        <w:t xml:space="preserve"> </w:t>
      </w:r>
      <w:r w:rsidRPr="00725677">
        <w:rPr>
          <w:rFonts w:asciiTheme="minorHAnsi" w:hAnsiTheme="minorHAnsi"/>
          <w:b/>
          <w:szCs w:val="24"/>
        </w:rPr>
        <w:t>the Years of the Demonstration</w:t>
      </w:r>
      <w:r w:rsidRPr="00C06A09">
        <w:rPr>
          <w:rFonts w:asciiTheme="minorHAnsi" w:hAnsiTheme="minorHAnsi"/>
          <w:szCs w:val="24"/>
        </w:rPr>
        <w:t xml:space="preserve">. To assess the progression of the demonstrations over their two years of operations, we will examine the direct difference in outcome between children in 2011 and the same children in 2012. We will subtract the 2011 outcome estimate from the corresponding 2012 estimate. We will calculate these differences separately by demonstration project and for the two demonstrations pooled. We will test the differences for significance using their standard error estimates. Note that since </w:t>
      </w:r>
      <w:r w:rsidR="00725677">
        <w:rPr>
          <w:rFonts w:asciiTheme="minorHAnsi" w:hAnsiTheme="minorHAnsi"/>
          <w:szCs w:val="24"/>
        </w:rPr>
        <w:t xml:space="preserve">many of </w:t>
      </w:r>
      <w:r w:rsidRPr="00C06A09">
        <w:rPr>
          <w:rFonts w:asciiTheme="minorHAnsi" w:hAnsiTheme="minorHAnsi"/>
          <w:szCs w:val="24"/>
        </w:rPr>
        <w:t>the same households will be interviewed twice, in the summers of 2011 and 2012, variance estimates have to be adjusted for within-person correlation. Standard error calculations will also reflect attrition between the summers and for sample replenishment.</w:t>
      </w:r>
    </w:p>
    <w:p w:rsidR="00F60A45" w:rsidRPr="00F60A45" w:rsidRDefault="00F60A45" w:rsidP="00F60A45">
      <w:pPr>
        <w:pStyle w:val="L1-FlLSp12"/>
        <w:spacing w:line="240" w:lineRule="auto"/>
        <w:rPr>
          <w:rFonts w:asciiTheme="minorHAnsi" w:hAnsiTheme="minorHAnsi"/>
          <w:szCs w:val="24"/>
        </w:rPr>
      </w:pPr>
    </w:p>
    <w:p w:rsidR="00F60A45" w:rsidRPr="00F60A45" w:rsidRDefault="00C06A09" w:rsidP="00F60A45">
      <w:pPr>
        <w:pStyle w:val="L1-FlLSp12"/>
        <w:numPr>
          <w:ilvl w:val="0"/>
          <w:numId w:val="1"/>
        </w:numPr>
        <w:tabs>
          <w:tab w:val="clear" w:pos="1152"/>
          <w:tab w:val="left" w:pos="1080"/>
        </w:tabs>
        <w:spacing w:line="240" w:lineRule="auto"/>
        <w:ind w:left="1080" w:hanging="504"/>
        <w:rPr>
          <w:rFonts w:asciiTheme="minorHAnsi" w:hAnsiTheme="minorHAnsi"/>
          <w:szCs w:val="24"/>
        </w:rPr>
      </w:pPr>
      <w:r w:rsidRPr="00725677">
        <w:rPr>
          <w:rFonts w:asciiTheme="minorHAnsi" w:hAnsiTheme="minorHAnsi"/>
          <w:b/>
          <w:szCs w:val="24"/>
        </w:rPr>
        <w:t>Comparisons of Food Security Over Time Within the Same Demonstration Period</w:t>
      </w:r>
      <w:r w:rsidRPr="00C06A09">
        <w:rPr>
          <w:rFonts w:asciiTheme="minorHAnsi" w:hAnsiTheme="minorHAnsi"/>
          <w:szCs w:val="24"/>
        </w:rPr>
        <w:t xml:space="preserve">. We will also examine the stability of our household food security measures over time within the same demonstration period. We will take two measures of food security for children participating in the demonstrations during the summer 2012. We will assess the variation in these food security measures by calculating the correlation between them. If there is a great deal of variation between the two measures, we will explore using regression analysis to determine how covariates, such as change in participation in other programs or the time of the month the measure was taken, are contributing to the variation. </w:t>
      </w:r>
    </w:p>
    <w:p w:rsidR="00F60A45" w:rsidRPr="00F60A45" w:rsidRDefault="00F60A45" w:rsidP="00F60A45">
      <w:pPr>
        <w:pStyle w:val="L1-FlLSp12"/>
        <w:spacing w:line="240" w:lineRule="auto"/>
        <w:rPr>
          <w:rFonts w:asciiTheme="minorHAnsi" w:hAnsiTheme="minorHAnsi"/>
          <w:szCs w:val="24"/>
        </w:rPr>
      </w:pPr>
    </w:p>
    <w:p w:rsidR="00F60A45" w:rsidRPr="00F60A45" w:rsidRDefault="00C06A09" w:rsidP="00F60A45">
      <w:pPr>
        <w:pStyle w:val="L1-FlLSp12"/>
        <w:numPr>
          <w:ilvl w:val="0"/>
          <w:numId w:val="1"/>
        </w:numPr>
        <w:tabs>
          <w:tab w:val="clear" w:pos="1152"/>
          <w:tab w:val="left" w:pos="1080"/>
        </w:tabs>
        <w:spacing w:line="240" w:lineRule="auto"/>
        <w:ind w:left="1080" w:hanging="504"/>
        <w:rPr>
          <w:rFonts w:asciiTheme="minorHAnsi" w:hAnsiTheme="minorHAnsi"/>
          <w:szCs w:val="24"/>
        </w:rPr>
      </w:pPr>
      <w:r w:rsidRPr="00725677">
        <w:rPr>
          <w:rFonts w:asciiTheme="minorHAnsi" w:hAnsiTheme="minorHAnsi"/>
          <w:b/>
          <w:szCs w:val="24"/>
        </w:rPr>
        <w:t>Comparisons of Aggregate Outcome Measures Relative to the National School Lunch Program (NSLP)</w:t>
      </w:r>
      <w:r w:rsidRPr="00C06A09">
        <w:rPr>
          <w:rFonts w:asciiTheme="minorHAnsi" w:hAnsiTheme="minorHAnsi"/>
          <w:szCs w:val="24"/>
        </w:rPr>
        <w:t xml:space="preserve">. We will assess the direct difference in food security outcomes between children who participated in a demonstration in 2011 and the same children in the fall 2011 when they participated in the NSLP. From this comparison, we will be able to assess how close the demonstration projects come to achieving the outcomes of the school year program for participants. We will </w:t>
      </w:r>
      <w:r w:rsidRPr="00C06A09">
        <w:rPr>
          <w:rFonts w:asciiTheme="minorHAnsi" w:hAnsiTheme="minorHAnsi"/>
          <w:szCs w:val="24"/>
        </w:rPr>
        <w:lastRenderedPageBreak/>
        <w:t xml:space="preserve">calculate this difference by subtracting children’s outcome estimate during the summer from their corresponding outcome during the fall of the 2011 school year. We will test the differences for significance using their standard error estimates. Note that since the same households will be interviewed twice, both in the summer and in the fall, variance estimates have to be adjusted for within-person correlation. </w:t>
      </w:r>
    </w:p>
    <w:p w:rsidR="00F60A45" w:rsidRPr="00F60A45" w:rsidRDefault="00F60A45" w:rsidP="00F60A45">
      <w:pPr>
        <w:pStyle w:val="L1-FlLSp12"/>
        <w:spacing w:line="240" w:lineRule="auto"/>
        <w:rPr>
          <w:rFonts w:asciiTheme="minorHAnsi" w:hAnsiTheme="minorHAnsi"/>
          <w:szCs w:val="24"/>
        </w:rPr>
      </w:pPr>
    </w:p>
    <w:p w:rsidR="00F60A45" w:rsidRPr="00F60A45" w:rsidRDefault="00C06A09" w:rsidP="00F60A45">
      <w:pPr>
        <w:pStyle w:val="L1-FlLSp12"/>
        <w:numPr>
          <w:ilvl w:val="0"/>
          <w:numId w:val="2"/>
        </w:numPr>
        <w:spacing w:line="240" w:lineRule="auto"/>
        <w:ind w:left="1080" w:hanging="720"/>
        <w:rPr>
          <w:rFonts w:asciiTheme="minorHAnsi" w:hAnsiTheme="minorHAnsi"/>
          <w:szCs w:val="24"/>
        </w:rPr>
      </w:pPr>
      <w:r w:rsidRPr="00725677">
        <w:rPr>
          <w:rFonts w:asciiTheme="minorHAnsi" w:hAnsiTheme="minorHAnsi"/>
          <w:b/>
          <w:szCs w:val="24"/>
        </w:rPr>
        <w:t>Comparison to External Benchmarks</w:t>
      </w:r>
      <w:r w:rsidRPr="00C06A09">
        <w:rPr>
          <w:rFonts w:asciiTheme="minorHAnsi" w:hAnsiTheme="minorHAnsi"/>
          <w:szCs w:val="24"/>
        </w:rPr>
        <w:t>. We will use the Current Population Survey (CPS) Supplement for national benchmark comparisons of child food security status within the past 30 days. We will compare food security status in demonstration participants to the 2010 sample in the CPS by household composition, race/ethnicity, household income, residence (e.g., relative to Metropolitan statistical areas), employment and labor force status of adults in the household, educational attainment of adults in the household, age of the oldest child, and number of children in the household.</w:t>
      </w:r>
    </w:p>
    <w:p w:rsidR="009D4335" w:rsidRDefault="009D4335" w:rsidP="009D4335">
      <w:pPr>
        <w:pStyle w:val="L1-FlLSp12"/>
        <w:spacing w:line="240" w:lineRule="auto"/>
      </w:pPr>
    </w:p>
    <w:p w:rsidR="009D4335" w:rsidRDefault="009D4335" w:rsidP="009D4335">
      <w:pPr>
        <w:pStyle w:val="L1-FlLSp12"/>
        <w:spacing w:line="240" w:lineRule="auto"/>
        <w:rPr>
          <w:b/>
        </w:rPr>
      </w:pPr>
    </w:p>
    <w:p w:rsidR="00A43F14" w:rsidRPr="00A43F14" w:rsidRDefault="00A43F14" w:rsidP="00A43F14">
      <w:pPr>
        <w:pStyle w:val="L1-FlLSp12"/>
        <w:spacing w:line="276" w:lineRule="auto"/>
        <w:rPr>
          <w:rFonts w:asciiTheme="minorHAnsi" w:hAnsiTheme="minorHAnsi"/>
          <w:b/>
        </w:rPr>
      </w:pPr>
      <w:r w:rsidRPr="00A43F14">
        <w:rPr>
          <w:rFonts w:asciiTheme="minorHAnsi" w:hAnsiTheme="minorHAnsi"/>
          <w:b/>
        </w:rPr>
        <w:t>Analysis of Implementation Process Data</w:t>
      </w:r>
    </w:p>
    <w:p w:rsidR="00A43F14" w:rsidRDefault="00A43F14" w:rsidP="00A43F14">
      <w:pPr>
        <w:pStyle w:val="L1-FlLSp12"/>
        <w:spacing w:line="276" w:lineRule="auto"/>
        <w:rPr>
          <w:rFonts w:asciiTheme="minorHAnsi" w:hAnsiTheme="minorHAnsi"/>
        </w:rPr>
      </w:pPr>
    </w:p>
    <w:p w:rsidR="002E3967" w:rsidRDefault="009D4335">
      <w:pPr>
        <w:pStyle w:val="L1-FlLSp12"/>
        <w:spacing w:line="480" w:lineRule="auto"/>
        <w:rPr>
          <w:rFonts w:asciiTheme="minorHAnsi" w:hAnsiTheme="minorHAnsi"/>
        </w:rPr>
      </w:pPr>
      <w:r w:rsidRPr="009D4335">
        <w:rPr>
          <w:rFonts w:asciiTheme="minorHAnsi" w:hAnsiTheme="minorHAnsi"/>
        </w:rPr>
        <w:t xml:space="preserve">The implementation process analysis will consist of a descriptive analysis of the key processes and outputs that were addressed </w:t>
      </w:r>
      <w:r w:rsidR="00B73EF7">
        <w:rPr>
          <w:rFonts w:asciiTheme="minorHAnsi" w:hAnsiTheme="minorHAnsi"/>
        </w:rPr>
        <w:t xml:space="preserve">in key informant interviews </w:t>
      </w:r>
      <w:r w:rsidRPr="009D4335">
        <w:rPr>
          <w:rFonts w:asciiTheme="minorHAnsi" w:hAnsiTheme="minorHAnsi"/>
        </w:rPr>
        <w:t>(e.g., processes for providing demonstration benefits; timing and methods for informing parents and caretakers of availability of benefits</w:t>
      </w:r>
      <w:r w:rsidR="00B73EF7">
        <w:rPr>
          <w:rFonts w:asciiTheme="minorHAnsi" w:hAnsiTheme="minorHAnsi"/>
        </w:rPr>
        <w:t xml:space="preserve">; </w:t>
      </w:r>
      <w:r w:rsidRPr="009D4335">
        <w:rPr>
          <w:rFonts w:asciiTheme="minorHAnsi" w:hAnsiTheme="minorHAnsi"/>
        </w:rPr>
        <w:t xml:space="preserve">procedures of the demonstration; </w:t>
      </w:r>
      <w:r w:rsidR="00725677">
        <w:rPr>
          <w:rFonts w:asciiTheme="minorHAnsi" w:hAnsiTheme="minorHAnsi"/>
        </w:rPr>
        <w:t>outreach</w:t>
      </w:r>
      <w:r w:rsidR="001759EE">
        <w:rPr>
          <w:rFonts w:asciiTheme="minorHAnsi" w:hAnsiTheme="minorHAnsi"/>
        </w:rPr>
        <w:t>;</w:t>
      </w:r>
      <w:r w:rsidR="00725677">
        <w:rPr>
          <w:rFonts w:asciiTheme="minorHAnsi" w:hAnsiTheme="minorHAnsi"/>
        </w:rPr>
        <w:t xml:space="preserve"> community partnerships</w:t>
      </w:r>
      <w:r w:rsidR="001759EE">
        <w:rPr>
          <w:rFonts w:asciiTheme="minorHAnsi" w:hAnsiTheme="minorHAnsi"/>
        </w:rPr>
        <w:t>;</w:t>
      </w:r>
      <w:r w:rsidR="00725677">
        <w:rPr>
          <w:rFonts w:asciiTheme="minorHAnsi" w:hAnsiTheme="minorHAnsi"/>
        </w:rPr>
        <w:t xml:space="preserve"> </w:t>
      </w:r>
      <w:r w:rsidRPr="009D4335">
        <w:rPr>
          <w:rFonts w:asciiTheme="minorHAnsi" w:hAnsiTheme="minorHAnsi"/>
        </w:rPr>
        <w:t xml:space="preserve">design, delivery, timing, and effectiveness </w:t>
      </w:r>
      <w:r w:rsidR="00274636">
        <w:rPr>
          <w:rFonts w:asciiTheme="minorHAnsi" w:hAnsiTheme="minorHAnsi"/>
        </w:rPr>
        <w:t xml:space="preserve">of </w:t>
      </w:r>
      <w:r w:rsidR="001759EE">
        <w:rPr>
          <w:rFonts w:asciiTheme="minorHAnsi" w:hAnsiTheme="minorHAnsi"/>
        </w:rPr>
        <w:t>sponsor training</w:t>
      </w:r>
      <w:r w:rsidR="00274636">
        <w:rPr>
          <w:rFonts w:asciiTheme="minorHAnsi" w:hAnsiTheme="minorHAnsi"/>
        </w:rPr>
        <w:t>;</w:t>
      </w:r>
      <w:r w:rsidRPr="009D4335">
        <w:rPr>
          <w:rFonts w:asciiTheme="minorHAnsi" w:hAnsiTheme="minorHAnsi"/>
        </w:rPr>
        <w:t xml:space="preserve"> roles and responsibilities; administrative controls; actions to maintain program integrity, prevent loss, theft, improper issuance at Federal state, local agency, and provider levels; and challenges</w:t>
      </w:r>
      <w:r w:rsidR="00725677">
        <w:rPr>
          <w:rFonts w:asciiTheme="minorHAnsi" w:hAnsiTheme="minorHAnsi"/>
        </w:rPr>
        <w:t xml:space="preserve"> and resolution of challenges</w:t>
      </w:r>
      <w:r w:rsidR="009B43EA">
        <w:rPr>
          <w:rFonts w:asciiTheme="minorHAnsi" w:hAnsiTheme="minorHAnsi"/>
        </w:rPr>
        <w:t>)</w:t>
      </w:r>
      <w:r w:rsidRPr="009D4335">
        <w:rPr>
          <w:rFonts w:asciiTheme="minorHAnsi" w:hAnsiTheme="minorHAnsi"/>
        </w:rPr>
        <w:t>. We will compare responses to similar questions administered to different categories of key respondents to validate responses and ascertain impressions based on a variety of perspectives. We will address these processes and outputs for each demonstration project and compare and contrast our findings.</w:t>
      </w:r>
    </w:p>
    <w:p w:rsidR="00A66859" w:rsidRDefault="00A66859">
      <w:pPr>
        <w:pStyle w:val="L1-FlLSp12"/>
        <w:spacing w:line="480" w:lineRule="auto"/>
        <w:rPr>
          <w:rFonts w:asciiTheme="minorHAnsi" w:hAnsiTheme="minorHAnsi"/>
        </w:rPr>
      </w:pPr>
    </w:p>
    <w:p w:rsidR="009B08F0" w:rsidRDefault="009B08F0">
      <w:pPr>
        <w:spacing w:after="0" w:line="240" w:lineRule="auto"/>
        <w:rPr>
          <w:rFonts w:asciiTheme="minorHAnsi" w:eastAsia="Times New Roman" w:hAnsiTheme="minorHAnsi"/>
          <w:b/>
          <w:sz w:val="24"/>
          <w:szCs w:val="20"/>
        </w:rPr>
      </w:pPr>
      <w:r>
        <w:rPr>
          <w:rFonts w:asciiTheme="minorHAnsi" w:hAnsiTheme="minorHAnsi"/>
          <w:b/>
        </w:rPr>
        <w:br w:type="page"/>
      </w:r>
    </w:p>
    <w:p w:rsidR="00A43F14" w:rsidRPr="00A43F14" w:rsidRDefault="00A43F14" w:rsidP="00A43F14">
      <w:pPr>
        <w:pStyle w:val="L1-FlLSp12"/>
        <w:spacing w:line="276" w:lineRule="auto"/>
        <w:rPr>
          <w:rFonts w:asciiTheme="minorHAnsi" w:hAnsiTheme="minorHAnsi"/>
          <w:b/>
        </w:rPr>
      </w:pPr>
      <w:r w:rsidRPr="00A43F14">
        <w:rPr>
          <w:rFonts w:asciiTheme="minorHAnsi" w:hAnsiTheme="minorHAnsi"/>
          <w:b/>
        </w:rPr>
        <w:lastRenderedPageBreak/>
        <w:t>Analysis of Cost Data</w:t>
      </w:r>
    </w:p>
    <w:p w:rsidR="00A43F14" w:rsidRPr="00A43F14" w:rsidRDefault="00A43F14" w:rsidP="00A43F14">
      <w:pPr>
        <w:pStyle w:val="L1-FlLSp12"/>
        <w:spacing w:line="276" w:lineRule="auto"/>
        <w:rPr>
          <w:rFonts w:asciiTheme="minorHAnsi" w:hAnsiTheme="minorHAnsi"/>
        </w:rPr>
      </w:pPr>
    </w:p>
    <w:p w:rsidR="002E3967" w:rsidRDefault="00F030C7">
      <w:pPr>
        <w:pStyle w:val="L1-FlLSp12"/>
        <w:spacing w:line="480" w:lineRule="auto"/>
        <w:rPr>
          <w:rFonts w:ascii="Calibri" w:hAnsi="Calibri"/>
        </w:rPr>
      </w:pPr>
      <w:r>
        <w:rPr>
          <w:rFonts w:ascii="Calibri" w:hAnsi="Calibri"/>
        </w:rPr>
        <w:t xml:space="preserve">The cost data will provide economic cost estimates by </w:t>
      </w:r>
      <w:r w:rsidR="00725677">
        <w:rPr>
          <w:rFonts w:ascii="Calibri" w:hAnsi="Calibri"/>
        </w:rPr>
        <w:t xml:space="preserve">cost </w:t>
      </w:r>
      <w:r>
        <w:rPr>
          <w:rFonts w:ascii="Calibri" w:hAnsi="Calibri"/>
        </w:rPr>
        <w:t>components, demonstration, and funding sources. We will further analyze the data to document distinctions between and comparisons among funding sources (</w:t>
      </w:r>
      <w:r w:rsidR="00DF7451">
        <w:rPr>
          <w:rFonts w:ascii="Calibri" w:hAnsi="Calibri"/>
        </w:rPr>
        <w:t>g</w:t>
      </w:r>
      <w:r w:rsidR="005139BC">
        <w:rPr>
          <w:rFonts w:ascii="Calibri" w:hAnsi="Calibri"/>
        </w:rPr>
        <w:t>rant funding, other government and private sources, in-kind funds and volunteers</w:t>
      </w:r>
      <w:r>
        <w:rPr>
          <w:rFonts w:ascii="Calibri" w:hAnsi="Calibri"/>
        </w:rPr>
        <w:t xml:space="preserve">), administrative start-up costs, ongoing administrative costs of operation, and benefit costs. We will conduct analyses to provide total and average costs per meal delivered as well as range of costs. As we will have cost data by sponsor, we will also explore whether the data supports estimating the marginal cost associated with expanding the demonstrations to one more child. </w:t>
      </w:r>
    </w:p>
    <w:p w:rsidR="00F030C7" w:rsidRDefault="00F030C7" w:rsidP="00F030C7">
      <w:pPr>
        <w:pStyle w:val="L1-FlLSp12"/>
        <w:spacing w:line="276" w:lineRule="auto"/>
        <w:rPr>
          <w:rFonts w:ascii="Calibri" w:hAnsi="Calibri"/>
        </w:rPr>
      </w:pPr>
    </w:p>
    <w:p w:rsidR="002E3967" w:rsidRDefault="00F030C7">
      <w:pPr>
        <w:pStyle w:val="L1-FlLSp12"/>
        <w:spacing w:line="480" w:lineRule="auto"/>
        <w:rPr>
          <w:rFonts w:ascii="Calibri" w:hAnsi="Calibri"/>
        </w:rPr>
      </w:pPr>
      <w:r>
        <w:rPr>
          <w:rFonts w:ascii="Calibri" w:hAnsi="Calibri"/>
        </w:rPr>
        <w:t xml:space="preserve">Focusing on common outcome measures across the demonstrations, </w:t>
      </w:r>
      <w:r w:rsidR="00725677">
        <w:rPr>
          <w:rFonts w:ascii="Calibri" w:hAnsi="Calibri"/>
        </w:rPr>
        <w:t>the contractor</w:t>
      </w:r>
      <w:r>
        <w:rPr>
          <w:rFonts w:ascii="Calibri" w:hAnsi="Calibri"/>
        </w:rPr>
        <w:t xml:space="preserve"> will examine efficiency measures in terms of variations in cost per unit of outcome. We will document the cost differences across the four demonstrations and </w:t>
      </w:r>
      <w:r w:rsidR="005139BC">
        <w:rPr>
          <w:rFonts w:ascii="Calibri" w:hAnsi="Calibri"/>
        </w:rPr>
        <w:t xml:space="preserve">explore possible </w:t>
      </w:r>
      <w:r>
        <w:rPr>
          <w:rFonts w:ascii="Calibri" w:hAnsi="Calibri"/>
        </w:rPr>
        <w:t>reasons for variations. Additionally, we will examine the characteristics of sponsors within a demonstration that have the lowest average costs per unit of output to determine if there are commonalities in their structure and attributes.</w:t>
      </w:r>
    </w:p>
    <w:p w:rsidR="00A43F14" w:rsidRDefault="00A43F14" w:rsidP="00A43F14">
      <w:pPr>
        <w:pStyle w:val="L1-FlLSp12"/>
        <w:spacing w:line="276" w:lineRule="auto"/>
        <w:rPr>
          <w:rFonts w:asciiTheme="minorHAnsi" w:hAnsiTheme="minorHAnsi"/>
        </w:rPr>
      </w:pPr>
    </w:p>
    <w:p w:rsidR="00A43F14" w:rsidRPr="00A43F14" w:rsidRDefault="00A43F14" w:rsidP="00A43F14">
      <w:pPr>
        <w:pStyle w:val="L1-FlLSp12"/>
        <w:spacing w:line="276" w:lineRule="auto"/>
        <w:rPr>
          <w:rFonts w:asciiTheme="minorHAnsi" w:hAnsiTheme="minorHAnsi"/>
          <w:b/>
        </w:rPr>
      </w:pPr>
      <w:r w:rsidRPr="00A43F14">
        <w:rPr>
          <w:rFonts w:asciiTheme="minorHAnsi" w:hAnsiTheme="minorHAnsi"/>
          <w:b/>
        </w:rPr>
        <w:t>Final Synthesis</w:t>
      </w:r>
    </w:p>
    <w:p w:rsidR="00A43F14" w:rsidRPr="00A43F14" w:rsidRDefault="00A43F14" w:rsidP="00A43F14">
      <w:pPr>
        <w:pStyle w:val="L1-FlLSp12"/>
        <w:spacing w:line="276" w:lineRule="auto"/>
        <w:rPr>
          <w:rFonts w:asciiTheme="minorHAnsi" w:hAnsiTheme="minorHAnsi"/>
        </w:rPr>
      </w:pPr>
    </w:p>
    <w:p w:rsidR="002E3967" w:rsidRDefault="009D4335">
      <w:pPr>
        <w:pStyle w:val="L1-FlLSp12"/>
        <w:spacing w:line="480" w:lineRule="auto"/>
        <w:rPr>
          <w:rFonts w:asciiTheme="minorHAnsi" w:hAnsiTheme="minorHAnsi"/>
        </w:rPr>
      </w:pPr>
      <w:r w:rsidRPr="00A43F14">
        <w:rPr>
          <w:rFonts w:asciiTheme="minorHAnsi" w:hAnsiTheme="minorHAnsi"/>
        </w:rPr>
        <w:t>Using two types of triangulation (data triangulation and methodological triangulation)</w:t>
      </w:r>
      <w:r w:rsidR="00725677">
        <w:rPr>
          <w:rFonts w:asciiTheme="minorHAnsi" w:hAnsiTheme="minorHAnsi"/>
        </w:rPr>
        <w:t>,</w:t>
      </w:r>
      <w:r w:rsidRPr="00A43F14">
        <w:rPr>
          <w:rFonts w:asciiTheme="minorHAnsi" w:hAnsiTheme="minorHAnsi"/>
        </w:rPr>
        <w:t xml:space="preserve"> we will examine major themes across all data sources and methodologies to draw conclusions on effectiveness and efficiency of the demonstration projects. Findings from the analysis of administrative data will be included in our final synthesis. </w:t>
      </w:r>
      <w:r w:rsidR="00A43F14">
        <w:rPr>
          <w:rFonts w:asciiTheme="minorHAnsi" w:hAnsiTheme="minorHAnsi"/>
        </w:rPr>
        <w:t xml:space="preserve">  </w:t>
      </w:r>
    </w:p>
    <w:p w:rsidR="00A66859" w:rsidRDefault="00A66859">
      <w:pPr>
        <w:spacing w:after="0" w:line="240" w:lineRule="auto"/>
        <w:rPr>
          <w:sz w:val="24"/>
          <w:szCs w:val="24"/>
        </w:rPr>
      </w:pPr>
      <w:r>
        <w:rPr>
          <w:sz w:val="24"/>
          <w:szCs w:val="24"/>
        </w:rPr>
        <w:br w:type="page"/>
      </w:r>
    </w:p>
    <w:p w:rsidR="006B5DA5" w:rsidRPr="006B5DA5" w:rsidRDefault="006B5DA5">
      <w:pPr>
        <w:rPr>
          <w:sz w:val="24"/>
          <w:szCs w:val="24"/>
        </w:rPr>
      </w:pPr>
    </w:p>
    <w:p w:rsidR="0015290A" w:rsidRPr="0015290A" w:rsidRDefault="00934A18" w:rsidP="0015290A">
      <w:pPr>
        <w:pStyle w:val="Default"/>
        <w:ind w:left="720" w:hanging="720"/>
        <w:rPr>
          <w:rFonts w:asciiTheme="minorHAnsi" w:hAnsiTheme="minorHAnsi" w:cstheme="minorBidi"/>
          <w:b/>
          <w:color w:val="auto"/>
        </w:rPr>
      </w:pPr>
      <w:r w:rsidRPr="0015290A">
        <w:rPr>
          <w:rFonts w:asciiTheme="minorHAnsi" w:hAnsiTheme="minorHAnsi"/>
          <w:b/>
        </w:rPr>
        <w:t>A.</w:t>
      </w:r>
      <w:r w:rsidR="00A43FD8" w:rsidRPr="0015290A">
        <w:rPr>
          <w:rFonts w:asciiTheme="minorHAnsi" w:hAnsiTheme="minorHAnsi"/>
          <w:b/>
        </w:rPr>
        <w:t>17</w:t>
      </w:r>
      <w:r w:rsidR="00A43FD8" w:rsidRPr="0015290A">
        <w:rPr>
          <w:rFonts w:asciiTheme="minorHAnsi" w:hAnsiTheme="minorHAnsi"/>
          <w:b/>
        </w:rPr>
        <w:tab/>
      </w:r>
      <w:r w:rsidR="0015290A" w:rsidRPr="0015290A">
        <w:rPr>
          <w:rFonts w:asciiTheme="minorHAnsi" w:hAnsiTheme="minorHAnsi" w:cstheme="minorBidi"/>
          <w:b/>
          <w:color w:val="auto"/>
        </w:rPr>
        <w:t xml:space="preserve">If seeking approval to not display the expiration date for OMB approval of the information collection, explain the reasons that display would be inappropriate. </w:t>
      </w:r>
    </w:p>
    <w:p w:rsidR="0015290A" w:rsidRDefault="0015290A">
      <w:pPr>
        <w:rPr>
          <w:sz w:val="24"/>
          <w:szCs w:val="24"/>
        </w:rPr>
      </w:pPr>
    </w:p>
    <w:p w:rsidR="00A43FD8" w:rsidRDefault="00A43FD8">
      <w:pPr>
        <w:rPr>
          <w:sz w:val="24"/>
          <w:szCs w:val="24"/>
        </w:rPr>
      </w:pPr>
      <w:r>
        <w:rPr>
          <w:sz w:val="24"/>
          <w:szCs w:val="24"/>
        </w:rPr>
        <w:t>USDA is not seeking an exemption from display of the expiration date of OMB approval.</w:t>
      </w:r>
    </w:p>
    <w:p w:rsidR="00934A18" w:rsidRDefault="00934A18">
      <w:pPr>
        <w:rPr>
          <w:sz w:val="24"/>
          <w:szCs w:val="24"/>
        </w:rPr>
      </w:pPr>
    </w:p>
    <w:p w:rsidR="0015290A" w:rsidRPr="0015290A" w:rsidRDefault="00934A18" w:rsidP="0015290A">
      <w:pPr>
        <w:pStyle w:val="Default"/>
        <w:ind w:left="720" w:hanging="720"/>
        <w:rPr>
          <w:rFonts w:asciiTheme="minorHAnsi" w:hAnsiTheme="minorHAnsi" w:cstheme="minorBidi"/>
          <w:b/>
          <w:color w:val="auto"/>
        </w:rPr>
      </w:pPr>
      <w:r w:rsidRPr="0015290A">
        <w:rPr>
          <w:rFonts w:asciiTheme="minorHAnsi" w:hAnsiTheme="minorHAnsi"/>
          <w:b/>
        </w:rPr>
        <w:t>A.18</w:t>
      </w:r>
      <w:r w:rsidRPr="0015290A">
        <w:rPr>
          <w:rFonts w:asciiTheme="minorHAnsi" w:hAnsiTheme="minorHAnsi"/>
          <w:b/>
        </w:rPr>
        <w:tab/>
      </w:r>
      <w:r w:rsidR="0015290A" w:rsidRPr="0015290A">
        <w:rPr>
          <w:rFonts w:asciiTheme="minorHAnsi" w:hAnsiTheme="minorHAnsi" w:cstheme="minorBidi"/>
          <w:b/>
          <w:color w:val="auto"/>
        </w:rPr>
        <w:t xml:space="preserve">Explain each exception to the certification statement identified in Item 19, "Certification for Paperwork Reduction Act Submissions," of OMB Form 83-I. </w:t>
      </w:r>
    </w:p>
    <w:p w:rsidR="0015290A" w:rsidRDefault="0015290A">
      <w:pPr>
        <w:rPr>
          <w:sz w:val="24"/>
          <w:szCs w:val="24"/>
        </w:rPr>
      </w:pPr>
    </w:p>
    <w:p w:rsidR="00934A18" w:rsidRPr="00934A18" w:rsidRDefault="00934A18">
      <w:pPr>
        <w:rPr>
          <w:b/>
          <w:sz w:val="24"/>
          <w:szCs w:val="24"/>
        </w:rPr>
      </w:pPr>
      <w:r>
        <w:rPr>
          <w:sz w:val="24"/>
          <w:szCs w:val="24"/>
        </w:rPr>
        <w:t>USDA is not requesting any exceptions to item 19 of OMB Form 83-I.</w:t>
      </w:r>
      <w:r w:rsidRPr="00934A18">
        <w:rPr>
          <w:b/>
          <w:sz w:val="24"/>
          <w:szCs w:val="24"/>
        </w:rPr>
        <w:tab/>
      </w:r>
    </w:p>
    <w:p w:rsidR="008050E7" w:rsidRDefault="008050E7">
      <w:pPr>
        <w:rPr>
          <w:sz w:val="24"/>
          <w:szCs w:val="24"/>
        </w:rPr>
      </w:pPr>
    </w:p>
    <w:p w:rsidR="003A48D6" w:rsidRDefault="003A48D6">
      <w:pPr>
        <w:rPr>
          <w:b/>
          <w:sz w:val="24"/>
          <w:szCs w:val="24"/>
        </w:rPr>
        <w:sectPr w:rsidR="003A48D6" w:rsidSect="00E80C03">
          <w:pgSz w:w="12240" w:h="15840"/>
          <w:pgMar w:top="1350" w:right="1440" w:bottom="1440" w:left="1440" w:header="720" w:footer="720" w:gutter="0"/>
          <w:cols w:space="720"/>
          <w:docGrid w:linePitch="360"/>
        </w:sectPr>
      </w:pPr>
    </w:p>
    <w:p w:rsidR="00D735F9" w:rsidRPr="00926384" w:rsidRDefault="00D735F9">
      <w:pPr>
        <w:rPr>
          <w:b/>
          <w:sz w:val="24"/>
          <w:szCs w:val="24"/>
        </w:rPr>
      </w:pPr>
      <w:r w:rsidRPr="00926384">
        <w:rPr>
          <w:b/>
          <w:sz w:val="24"/>
          <w:szCs w:val="24"/>
        </w:rPr>
        <w:lastRenderedPageBreak/>
        <w:t>References</w:t>
      </w:r>
    </w:p>
    <w:p w:rsidR="002B30CD" w:rsidRPr="002B30CD" w:rsidRDefault="005F4EB6" w:rsidP="002B30CD">
      <w:pPr>
        <w:pStyle w:val="N0-FlLftBullet"/>
        <w:rPr>
          <w:rFonts w:asciiTheme="minorHAnsi" w:hAnsiTheme="minorHAnsi"/>
          <w:szCs w:val="24"/>
        </w:rPr>
      </w:pPr>
      <w:r w:rsidRPr="005F4EB6">
        <w:rPr>
          <w:rFonts w:asciiTheme="minorHAnsi" w:hAnsiTheme="minorHAnsi"/>
          <w:szCs w:val="24"/>
        </w:rPr>
        <w:t xml:space="preserve">Boteach M., and Milam S. (2010). As school ends, hunger beings. Children Need Access to Subsidized Meals in Summer Too. Center for American Progress, June 9, 2010. </w:t>
      </w:r>
      <w:hyperlink r:id="rId15" w:history="1">
        <w:r w:rsidRPr="005F4EB6">
          <w:rPr>
            <w:rStyle w:val="Hyperlink"/>
            <w:rFonts w:asciiTheme="minorHAnsi" w:hAnsiTheme="minorHAnsi" w:cs="Tahoma"/>
            <w:szCs w:val="24"/>
          </w:rPr>
          <w:t>http://www.americanprogress.org/issues/2010/06/summer_hunger.html</w:t>
        </w:r>
      </w:hyperlink>
      <w:r w:rsidRPr="005F4EB6">
        <w:rPr>
          <w:rFonts w:asciiTheme="minorHAnsi" w:hAnsiTheme="minorHAnsi"/>
          <w:szCs w:val="24"/>
        </w:rPr>
        <w:t>. Accessed November 12, 2010.</w:t>
      </w:r>
    </w:p>
    <w:p w:rsidR="00A50D0D" w:rsidRPr="00926384" w:rsidRDefault="00A50D0D" w:rsidP="00B526F1">
      <w:pPr>
        <w:spacing w:after="240" w:line="240" w:lineRule="atLeast"/>
        <w:ind w:left="720" w:hanging="720"/>
        <w:rPr>
          <w:sz w:val="24"/>
          <w:szCs w:val="24"/>
        </w:rPr>
      </w:pPr>
      <w:r w:rsidRPr="00926384">
        <w:rPr>
          <w:sz w:val="24"/>
          <w:szCs w:val="24"/>
        </w:rPr>
        <w:t>Kulka, R. (1994). The use of incentives to survey ‘</w:t>
      </w:r>
      <w:r w:rsidR="00B21E4A" w:rsidRPr="00926384">
        <w:rPr>
          <w:sz w:val="24"/>
          <w:szCs w:val="24"/>
        </w:rPr>
        <w:t>h</w:t>
      </w:r>
      <w:r w:rsidRPr="00926384">
        <w:rPr>
          <w:sz w:val="24"/>
          <w:szCs w:val="24"/>
        </w:rPr>
        <w:t xml:space="preserve">ard-to-reach’ respondents: A brief review of empirical research and current practice. </w:t>
      </w:r>
      <w:r w:rsidRPr="00926384">
        <w:rPr>
          <w:i/>
          <w:sz w:val="24"/>
          <w:szCs w:val="24"/>
        </w:rPr>
        <w:t>Paper prepared for seminar on new directions in statistical methodology,</w:t>
      </w:r>
      <w:r w:rsidRPr="00926384">
        <w:rPr>
          <w:sz w:val="24"/>
          <w:szCs w:val="24"/>
        </w:rPr>
        <w:t xml:space="preserve"> </w:t>
      </w:r>
      <w:r w:rsidR="002F0B4F" w:rsidRPr="00926384">
        <w:rPr>
          <w:sz w:val="24"/>
          <w:szCs w:val="24"/>
        </w:rPr>
        <w:t>Bethesda, MD.</w:t>
      </w:r>
    </w:p>
    <w:p w:rsidR="00D735F9" w:rsidRPr="00926384" w:rsidRDefault="00D735F9" w:rsidP="00B526F1">
      <w:pPr>
        <w:spacing w:after="240" w:line="240" w:lineRule="atLeast"/>
        <w:ind w:left="720" w:hanging="720"/>
        <w:rPr>
          <w:sz w:val="24"/>
          <w:szCs w:val="24"/>
        </w:rPr>
      </w:pPr>
      <w:r w:rsidRPr="00926384">
        <w:rPr>
          <w:sz w:val="24"/>
          <w:szCs w:val="24"/>
        </w:rPr>
        <w:t xml:space="preserve">Mack, S., Huggins, V., Keathley, D., &amp; Sundukchi, M. (1998). Do monetary incentives improve response rates in the </w:t>
      </w:r>
      <w:r w:rsidR="00A50D0D" w:rsidRPr="00926384">
        <w:rPr>
          <w:sz w:val="24"/>
          <w:szCs w:val="24"/>
        </w:rPr>
        <w:t>S</w:t>
      </w:r>
      <w:r w:rsidRPr="00926384">
        <w:rPr>
          <w:sz w:val="24"/>
          <w:szCs w:val="24"/>
        </w:rPr>
        <w:t>urvey of Income and Participation.</w:t>
      </w:r>
      <w:r w:rsidR="00A50D0D" w:rsidRPr="00926384">
        <w:rPr>
          <w:sz w:val="24"/>
          <w:szCs w:val="24"/>
        </w:rPr>
        <w:t xml:space="preserve"> </w:t>
      </w:r>
      <w:r w:rsidR="00A50D0D" w:rsidRPr="00926384">
        <w:rPr>
          <w:i/>
          <w:sz w:val="24"/>
          <w:szCs w:val="24"/>
        </w:rPr>
        <w:t>Proceedings of the Section on Survey Methodology, American Statistical Association,</w:t>
      </w:r>
      <w:r w:rsidR="00A50D0D" w:rsidRPr="00926384">
        <w:rPr>
          <w:sz w:val="24"/>
          <w:szCs w:val="24"/>
        </w:rPr>
        <w:t xml:space="preserve"> 529-34.</w:t>
      </w:r>
      <w:r w:rsidRPr="00926384">
        <w:rPr>
          <w:sz w:val="24"/>
          <w:szCs w:val="24"/>
        </w:rPr>
        <w:t xml:space="preserve">  </w:t>
      </w:r>
    </w:p>
    <w:p w:rsidR="00B21E4A" w:rsidRDefault="00B21E4A" w:rsidP="00B526F1">
      <w:pPr>
        <w:spacing w:after="240" w:line="240" w:lineRule="atLeast"/>
        <w:ind w:left="720" w:hanging="720"/>
        <w:rPr>
          <w:sz w:val="24"/>
          <w:szCs w:val="24"/>
        </w:rPr>
      </w:pPr>
      <w:r w:rsidRPr="00926384">
        <w:rPr>
          <w:sz w:val="24"/>
          <w:szCs w:val="24"/>
        </w:rPr>
        <w:t xml:space="preserve">Martinez-Ebers, V. (1997). Using monetary incentives with hard-to-reach populations in panel surveys. </w:t>
      </w:r>
      <w:r w:rsidRPr="00926384">
        <w:rPr>
          <w:i/>
          <w:sz w:val="24"/>
          <w:szCs w:val="24"/>
        </w:rPr>
        <w:t>International Journal of Public Opinion Research</w:t>
      </w:r>
      <w:r w:rsidRPr="00926384">
        <w:rPr>
          <w:sz w:val="24"/>
          <w:szCs w:val="24"/>
        </w:rPr>
        <w:t>, 9, 77-86.</w:t>
      </w:r>
    </w:p>
    <w:p w:rsidR="004C6083" w:rsidRDefault="004C6083" w:rsidP="00B526F1">
      <w:pPr>
        <w:pStyle w:val="N0-FlLftBullet"/>
        <w:rPr>
          <w:rFonts w:asciiTheme="minorHAnsi" w:hAnsiTheme="minorHAnsi"/>
        </w:rPr>
      </w:pPr>
      <w:r>
        <w:rPr>
          <w:rFonts w:asciiTheme="minorHAnsi" w:hAnsiTheme="minorHAnsi"/>
        </w:rPr>
        <w:t xml:space="preserve">Newman, C, and Ralston, K. (2006). Profiles of participants in the National School Lunch Program. Data From Two National Surveys. </w:t>
      </w:r>
      <w:r w:rsidR="009C195B">
        <w:rPr>
          <w:rFonts w:asciiTheme="minorHAnsi" w:hAnsiTheme="minorHAnsi"/>
        </w:rPr>
        <w:t xml:space="preserve">USDA Economic Information Bulletin, No. 17, August, 2006. </w:t>
      </w:r>
      <w:hyperlink r:id="rId16" w:history="1">
        <w:r w:rsidR="009C195B" w:rsidRPr="002412B8">
          <w:rPr>
            <w:rStyle w:val="Hyperlink"/>
            <w:rFonts w:asciiTheme="minorHAnsi" w:hAnsiTheme="minorHAnsi"/>
          </w:rPr>
          <w:t>http://151.121.68.30/publications/eib17/eib17.pdf</w:t>
        </w:r>
      </w:hyperlink>
      <w:r w:rsidR="009C195B">
        <w:rPr>
          <w:rFonts w:asciiTheme="minorHAnsi" w:hAnsiTheme="minorHAnsi"/>
        </w:rPr>
        <w:t xml:space="preserve">  Accessed April 7, 2011. </w:t>
      </w:r>
    </w:p>
    <w:p w:rsidR="00057817" w:rsidRPr="00057817" w:rsidRDefault="004F113E" w:rsidP="00B526F1">
      <w:pPr>
        <w:pStyle w:val="N0-FlLftBullet"/>
        <w:rPr>
          <w:rFonts w:asciiTheme="minorHAnsi" w:hAnsiTheme="minorHAnsi"/>
        </w:rPr>
      </w:pPr>
      <w:r w:rsidRPr="004F113E">
        <w:rPr>
          <w:rFonts w:asciiTheme="minorHAnsi" w:hAnsiTheme="minorHAnsi"/>
        </w:rPr>
        <w:t>Nord, M., and Romig, K. (2006). Hunger in the summer: seasonal food insecurity and the National School Lunch and Summer Food Service programs. Journal of Children and Poverty, 12(2), 141-158</w:t>
      </w:r>
    </w:p>
    <w:p w:rsidR="00D735F9" w:rsidRDefault="00D735F9" w:rsidP="00B526F1">
      <w:pPr>
        <w:spacing w:after="240" w:line="240" w:lineRule="atLeast"/>
        <w:ind w:left="720" w:hanging="720"/>
        <w:rPr>
          <w:sz w:val="24"/>
          <w:szCs w:val="24"/>
        </w:rPr>
      </w:pPr>
      <w:r w:rsidRPr="00926384">
        <w:rPr>
          <w:sz w:val="24"/>
          <w:szCs w:val="24"/>
        </w:rPr>
        <w:t xml:space="preserve">Singer, E. &amp; Bossarte, R.M. (2006). Incentives for survey participation: When are they coercive? </w:t>
      </w:r>
      <w:r w:rsidR="009C195B">
        <w:rPr>
          <w:i/>
          <w:sz w:val="24"/>
          <w:szCs w:val="24"/>
        </w:rPr>
        <w:t>American Journal of Preven</w:t>
      </w:r>
      <w:r w:rsidRPr="00926384">
        <w:rPr>
          <w:i/>
          <w:sz w:val="24"/>
          <w:szCs w:val="24"/>
        </w:rPr>
        <w:t>tive Medicine, 31</w:t>
      </w:r>
      <w:r w:rsidRPr="00926384">
        <w:rPr>
          <w:sz w:val="24"/>
          <w:szCs w:val="24"/>
        </w:rPr>
        <w:t>, 411-418.</w:t>
      </w:r>
    </w:p>
    <w:p w:rsidR="00F64794" w:rsidRPr="00AD1E81" w:rsidRDefault="004F113E" w:rsidP="00B526F1">
      <w:pPr>
        <w:pStyle w:val="N0-FlLftBullet"/>
        <w:rPr>
          <w:rFonts w:asciiTheme="minorHAnsi" w:hAnsiTheme="minorHAnsi"/>
        </w:rPr>
      </w:pPr>
      <w:r w:rsidRPr="004F113E">
        <w:rPr>
          <w:rFonts w:asciiTheme="minorHAnsi" w:hAnsiTheme="minorHAnsi"/>
        </w:rPr>
        <w:t xml:space="preserve">US Bureau of the Census, Current Population Survey, Annual Social and Economic Supplements (2007), available at </w:t>
      </w:r>
      <w:hyperlink r:id="rId17" w:history="1">
        <w:r w:rsidRPr="004F113E">
          <w:rPr>
            <w:rFonts w:asciiTheme="minorHAnsi" w:hAnsiTheme="minorHAnsi"/>
          </w:rPr>
          <w:t>http://www.census.gov/hhes/www/poverty/histpov/</w:t>
        </w:r>
      </w:hyperlink>
      <w:r w:rsidRPr="004F113E">
        <w:rPr>
          <w:rFonts w:asciiTheme="minorHAnsi" w:hAnsiTheme="minorHAnsi"/>
        </w:rPr>
        <w:t xml:space="preserve"> hstpov8.xls; U.S. department of agriculture, Household Food Security in the United States, economic research reports, no. 11 (2004), no. 29 (2005), no. 49 (2006), and no. 66</w:t>
      </w:r>
      <w:r w:rsidR="009C195B">
        <w:rPr>
          <w:rFonts w:asciiTheme="minorHAnsi" w:hAnsiTheme="minorHAnsi"/>
        </w:rPr>
        <w:t xml:space="preserve"> (2007) (Washington, DC: USDA, Economic Research S</w:t>
      </w:r>
      <w:r w:rsidRPr="004F113E">
        <w:rPr>
          <w:rFonts w:asciiTheme="minorHAnsi" w:hAnsiTheme="minorHAnsi"/>
        </w:rPr>
        <w:t>ervice).</w:t>
      </w:r>
    </w:p>
    <w:p w:rsidR="005F4EB6" w:rsidRPr="005F4EB6" w:rsidRDefault="005F4EB6" w:rsidP="005F4EB6">
      <w:pPr>
        <w:pStyle w:val="N0-FlLftBullet"/>
        <w:rPr>
          <w:rFonts w:asciiTheme="minorHAnsi" w:hAnsiTheme="minorHAnsi"/>
        </w:rPr>
      </w:pPr>
      <w:r w:rsidRPr="005F4EB6">
        <w:rPr>
          <w:rFonts w:asciiTheme="minorHAnsi" w:hAnsiTheme="minorHAnsi" w:cs="TimesNewRomanPS-BoldMT"/>
          <w:bCs/>
        </w:rPr>
        <w:t xml:space="preserve">USDA. (2003). Feeding Low-Income </w:t>
      </w:r>
      <w:smartTag w:uri="urn:schemas-microsoft-com:office:smarttags" w:element="PlaceName">
        <w:r w:rsidRPr="005F4EB6">
          <w:rPr>
            <w:rFonts w:asciiTheme="minorHAnsi" w:hAnsiTheme="minorHAnsi" w:cs="TimesNewRomanPS-BoldMT"/>
            <w:bCs/>
          </w:rPr>
          <w:t>Children</w:t>
        </w:r>
      </w:smartTag>
      <w:r w:rsidRPr="005F4EB6">
        <w:rPr>
          <w:rFonts w:asciiTheme="minorHAnsi" w:hAnsiTheme="minorHAnsi" w:cs="TimesNewRomanPS-BoldMT"/>
          <w:bCs/>
        </w:rPr>
        <w:t xml:space="preserve"> </w:t>
      </w:r>
      <w:smartTag w:uri="urn:schemas-microsoft-com:office:smarttags" w:element="PlaceName">
        <w:r w:rsidRPr="005F4EB6">
          <w:rPr>
            <w:rFonts w:asciiTheme="minorHAnsi" w:hAnsiTheme="minorHAnsi" w:cs="TimesNewRomanPS-BoldMT"/>
            <w:bCs/>
          </w:rPr>
          <w:t>When</w:t>
        </w:r>
      </w:smartTag>
      <w:r w:rsidRPr="005F4EB6">
        <w:rPr>
          <w:rFonts w:asciiTheme="minorHAnsi" w:hAnsiTheme="minorHAnsi" w:cs="TimesNewRomanPS-BoldMT"/>
          <w:bCs/>
        </w:rPr>
        <w:t xml:space="preserve"> </w:t>
      </w:r>
      <w:smartTag w:uri="urn:schemas-microsoft-com:office:smarttags" w:element="PlaceType">
        <w:r w:rsidRPr="005F4EB6">
          <w:rPr>
            <w:rFonts w:asciiTheme="minorHAnsi" w:hAnsiTheme="minorHAnsi" w:cs="TimesNewRomanPS-BoldMT"/>
            <w:bCs/>
          </w:rPr>
          <w:t>School</w:t>
        </w:r>
      </w:smartTag>
      <w:r w:rsidRPr="005F4EB6">
        <w:rPr>
          <w:rFonts w:asciiTheme="minorHAnsi" w:hAnsiTheme="minorHAnsi" w:cs="TimesNewRomanPS-BoldMT"/>
          <w:bCs/>
        </w:rPr>
        <w:t xml:space="preserve"> Is Out - The Summer Food Service Program: </w:t>
      </w:r>
      <w:r w:rsidRPr="005F4EB6">
        <w:rPr>
          <w:rFonts w:asciiTheme="minorHAnsi" w:hAnsiTheme="minorHAnsi" w:cs="TimesNewRomanPSMT"/>
        </w:rPr>
        <w:t xml:space="preserve">Anne Gordon and Ronette Briefel, Mathematica Policy Research, Inc., for the Food and Rural Economics Division, Economic Research </w:t>
      </w:r>
      <w:smartTag w:uri="urn:schemas-microsoft-com:office:smarttags" w:element="place">
        <w:smartTag w:uri="urn:schemas-microsoft-com:office:smarttags" w:element="City">
          <w:r w:rsidRPr="005F4EB6">
            <w:rPr>
              <w:rFonts w:asciiTheme="minorHAnsi" w:hAnsiTheme="minorHAnsi" w:cs="TimesNewRomanPSMT"/>
            </w:rPr>
            <w:t>Service</w:t>
          </w:r>
        </w:smartTag>
        <w:r w:rsidRPr="005F4EB6">
          <w:rPr>
            <w:rFonts w:asciiTheme="minorHAnsi" w:hAnsiTheme="minorHAnsi" w:cs="TimesNewRomanPSMT"/>
          </w:rPr>
          <w:t xml:space="preserve">, </w:t>
        </w:r>
        <w:smartTag w:uri="urn:schemas-microsoft-com:office:smarttags" w:element="country-region">
          <w:r w:rsidRPr="005F4EB6">
            <w:rPr>
              <w:rFonts w:asciiTheme="minorHAnsi" w:hAnsiTheme="minorHAnsi" w:cs="TimesNewRomanPSMT"/>
            </w:rPr>
            <w:t>U.S.</w:t>
          </w:r>
        </w:smartTag>
      </w:smartTag>
      <w:r w:rsidRPr="005F4EB6">
        <w:rPr>
          <w:rFonts w:asciiTheme="minorHAnsi" w:hAnsiTheme="minorHAnsi" w:cs="TimesNewRomanPSMT"/>
        </w:rPr>
        <w:t xml:space="preserve"> Department of Agriculture. Food Assistance and Nutrition Research Report No. 30, 2003.</w:t>
      </w:r>
    </w:p>
    <w:p w:rsidR="005F4EB6" w:rsidRPr="005F4EB6" w:rsidRDefault="005F4EB6" w:rsidP="005F4EB6">
      <w:pPr>
        <w:pStyle w:val="N0-FlLftBullet"/>
        <w:rPr>
          <w:rFonts w:asciiTheme="minorHAnsi" w:hAnsiTheme="minorHAnsi"/>
        </w:rPr>
      </w:pPr>
      <w:r w:rsidRPr="005F4EB6">
        <w:rPr>
          <w:rFonts w:asciiTheme="minorHAnsi" w:hAnsiTheme="minorHAnsi" w:cs="Tahoma"/>
        </w:rPr>
        <w:t xml:space="preserve">USDA. (2006). Analysis of Summer Food Program and Food Needs of Nonparticipating Children: Final Report, Special Nutrition Program Report Series, No. CN-06-SFSP, Project Officer: Fred Lesnett. </w:t>
      </w:r>
      <w:smartTag w:uri="urn:schemas-microsoft-com:office:smarttags" w:element="country-region">
        <w:r w:rsidRPr="005F4EB6">
          <w:rPr>
            <w:rFonts w:asciiTheme="minorHAnsi" w:hAnsiTheme="minorHAnsi" w:cs="Tahoma"/>
          </w:rPr>
          <w:t>U.S.</w:t>
        </w:r>
      </w:smartTag>
      <w:r w:rsidRPr="005F4EB6">
        <w:rPr>
          <w:rFonts w:asciiTheme="minorHAnsi" w:hAnsiTheme="minorHAnsi" w:cs="Tahoma"/>
        </w:rPr>
        <w:t xml:space="preserve"> Department of Agriculture, Food and Nutrition Service, Office of Analysis, Nutrition, and Evaluation, </w:t>
      </w:r>
      <w:smartTag w:uri="urn:schemas-microsoft-com:office:smarttags" w:element="place">
        <w:smartTag w:uri="urn:schemas-microsoft-com:office:smarttags" w:element="City">
          <w:r w:rsidRPr="005F4EB6">
            <w:rPr>
              <w:rFonts w:asciiTheme="minorHAnsi" w:hAnsiTheme="minorHAnsi" w:cs="Tahoma"/>
            </w:rPr>
            <w:t>Alexandria</w:t>
          </w:r>
        </w:smartTag>
        <w:r w:rsidRPr="005F4EB6">
          <w:rPr>
            <w:rFonts w:asciiTheme="minorHAnsi" w:hAnsiTheme="minorHAnsi" w:cs="Tahoma"/>
          </w:rPr>
          <w:t xml:space="preserve">, </w:t>
        </w:r>
        <w:smartTag w:uri="urn:schemas-microsoft-com:office:smarttags" w:element="State">
          <w:r w:rsidRPr="005F4EB6">
            <w:rPr>
              <w:rFonts w:asciiTheme="minorHAnsi" w:hAnsiTheme="minorHAnsi" w:cs="Tahoma"/>
            </w:rPr>
            <w:t>VA</w:t>
          </w:r>
        </w:smartTag>
      </w:smartTag>
      <w:r w:rsidRPr="005F4EB6">
        <w:rPr>
          <w:rFonts w:asciiTheme="minorHAnsi" w:hAnsiTheme="minorHAnsi" w:cs="Tahoma"/>
        </w:rPr>
        <w:t>: 2006.</w:t>
      </w:r>
    </w:p>
    <w:p w:rsidR="009B67A9" w:rsidRDefault="005F4EB6" w:rsidP="009B67A9">
      <w:pPr>
        <w:pStyle w:val="N0-FlLftBullet"/>
        <w:rPr>
          <w:rFonts w:asciiTheme="minorHAnsi" w:hAnsiTheme="minorHAnsi"/>
        </w:rPr>
      </w:pPr>
      <w:r w:rsidRPr="005F4EB6">
        <w:rPr>
          <w:rFonts w:asciiTheme="minorHAnsi" w:hAnsiTheme="minorHAnsi"/>
        </w:rPr>
        <w:lastRenderedPageBreak/>
        <w:t>USDA. (2010). Solicitation for State Agencies: Summer 2011 SFSP Home Delivery and Food Bac</w:t>
      </w:r>
      <w:r w:rsidR="00A34D10">
        <w:rPr>
          <w:rFonts w:asciiTheme="minorHAnsi" w:hAnsiTheme="minorHAnsi"/>
        </w:rPr>
        <w:t>kpacks Demons</w:t>
      </w:r>
      <w:r w:rsidRPr="005F4EB6">
        <w:rPr>
          <w:rFonts w:asciiTheme="minorHAnsi" w:hAnsiTheme="minorHAnsi"/>
        </w:rPr>
        <w:t xml:space="preserve">tration Projects. Request for Applications. </w:t>
      </w:r>
      <w:hyperlink r:id="rId18" w:history="1">
        <w:r w:rsidR="009B67A9" w:rsidRPr="002412B8">
          <w:rPr>
            <w:rStyle w:val="Hyperlink"/>
            <w:rFonts w:asciiTheme="minorHAnsi" w:hAnsiTheme="minorHAnsi"/>
          </w:rPr>
          <w:t>http://www.fns.usda.gov/ora/menu/DemoProjects/SummerFood/MealDelivery_RFA.pdf</w:t>
        </w:r>
      </w:hyperlink>
      <w:r w:rsidR="009B67A9">
        <w:rPr>
          <w:rFonts w:asciiTheme="minorHAnsi" w:hAnsiTheme="minorHAnsi"/>
        </w:rPr>
        <w:t xml:space="preserve">. Accessed November 15, 2010.   </w:t>
      </w:r>
    </w:p>
    <w:p w:rsidR="005C5B0B" w:rsidRDefault="005C5B0B" w:rsidP="00756323">
      <w:pPr>
        <w:pStyle w:val="N0-FlLftBullet"/>
        <w:rPr>
          <w:rFonts w:asciiTheme="minorHAnsi" w:hAnsiTheme="minorHAnsi"/>
        </w:rPr>
      </w:pPr>
    </w:p>
    <w:p w:rsidR="005C5B0B" w:rsidRDefault="005C5B0B" w:rsidP="00756323">
      <w:pPr>
        <w:pStyle w:val="N0-FlLftBullet"/>
        <w:rPr>
          <w:rFonts w:asciiTheme="minorHAnsi" w:hAnsiTheme="minorHAnsi"/>
        </w:rPr>
      </w:pPr>
    </w:p>
    <w:p w:rsidR="005C5B0B" w:rsidRDefault="005C5B0B" w:rsidP="00756323">
      <w:pPr>
        <w:pStyle w:val="N0-FlLftBullet"/>
        <w:rPr>
          <w:rFonts w:asciiTheme="minorHAnsi" w:hAnsiTheme="minorHAnsi"/>
        </w:rPr>
      </w:pPr>
    </w:p>
    <w:p w:rsidR="005C5B0B" w:rsidRDefault="005C5B0B" w:rsidP="00756323">
      <w:pPr>
        <w:pStyle w:val="N0-FlLftBullet"/>
        <w:rPr>
          <w:rFonts w:asciiTheme="minorHAnsi" w:hAnsiTheme="minorHAnsi"/>
        </w:rPr>
      </w:pPr>
    </w:p>
    <w:p w:rsidR="005C5B0B" w:rsidRDefault="005C5B0B" w:rsidP="00756323">
      <w:pPr>
        <w:pStyle w:val="N0-FlLftBullet"/>
        <w:rPr>
          <w:rFonts w:asciiTheme="minorHAnsi" w:hAnsiTheme="minorHAnsi"/>
        </w:rPr>
      </w:pPr>
    </w:p>
    <w:p w:rsidR="005C5B0B" w:rsidRDefault="005C5B0B" w:rsidP="00756323">
      <w:pPr>
        <w:pStyle w:val="N0-FlLftBullet"/>
        <w:rPr>
          <w:rFonts w:asciiTheme="minorHAnsi" w:hAnsiTheme="minorHAnsi"/>
        </w:rPr>
      </w:pPr>
    </w:p>
    <w:p w:rsidR="005C5B0B" w:rsidRDefault="005C5B0B" w:rsidP="00756323">
      <w:pPr>
        <w:pStyle w:val="N0-FlLftBullet"/>
        <w:rPr>
          <w:rFonts w:asciiTheme="minorHAnsi" w:hAnsiTheme="minorHAnsi"/>
        </w:rPr>
      </w:pPr>
    </w:p>
    <w:p w:rsidR="005C5B0B" w:rsidRDefault="005C5B0B" w:rsidP="00756323">
      <w:pPr>
        <w:pStyle w:val="N0-FlLftBullet"/>
        <w:rPr>
          <w:rFonts w:asciiTheme="minorHAnsi" w:hAnsiTheme="minorHAnsi"/>
        </w:rPr>
      </w:pPr>
    </w:p>
    <w:p w:rsidR="005C5B0B" w:rsidRDefault="005C5B0B" w:rsidP="00756323">
      <w:pPr>
        <w:pStyle w:val="N0-FlLftBullet"/>
        <w:rPr>
          <w:rFonts w:asciiTheme="minorHAnsi" w:hAnsiTheme="minorHAnsi"/>
        </w:rPr>
      </w:pPr>
    </w:p>
    <w:p w:rsidR="005C5B0B" w:rsidRDefault="005C5B0B" w:rsidP="00756323">
      <w:pPr>
        <w:pStyle w:val="N0-FlLftBullet"/>
        <w:rPr>
          <w:rFonts w:asciiTheme="minorHAnsi" w:hAnsiTheme="minorHAnsi"/>
        </w:rPr>
      </w:pPr>
    </w:p>
    <w:p w:rsidR="005C5B0B" w:rsidRDefault="005C5B0B" w:rsidP="00756323">
      <w:pPr>
        <w:pStyle w:val="N0-FlLftBullet"/>
        <w:rPr>
          <w:rFonts w:asciiTheme="minorHAnsi" w:hAnsiTheme="minorHAnsi"/>
        </w:rPr>
      </w:pPr>
    </w:p>
    <w:p w:rsidR="005C5B0B" w:rsidRDefault="005C5B0B" w:rsidP="00756323">
      <w:pPr>
        <w:pStyle w:val="N0-FlLftBullet"/>
        <w:rPr>
          <w:rFonts w:asciiTheme="minorHAnsi" w:hAnsiTheme="minorHAnsi"/>
        </w:rPr>
      </w:pPr>
    </w:p>
    <w:p w:rsidR="005C5B0B" w:rsidRDefault="005C5B0B"/>
    <w:p w:rsidR="007D3A9E" w:rsidRPr="005C5B0B" w:rsidRDefault="007D3A9E" w:rsidP="00950AA0">
      <w:pPr>
        <w:jc w:val="center"/>
      </w:pPr>
    </w:p>
    <w:sectPr w:rsidR="007D3A9E" w:rsidRPr="005C5B0B" w:rsidSect="00950AA0">
      <w:headerReference w:type="default" r:id="rId1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2971" w:rsidRDefault="00562971" w:rsidP="006E21A4">
      <w:pPr>
        <w:spacing w:after="0" w:line="240" w:lineRule="auto"/>
      </w:pPr>
      <w:r>
        <w:separator/>
      </w:r>
    </w:p>
  </w:endnote>
  <w:endnote w:type="continuationSeparator" w:id="0">
    <w:p w:rsidR="00562971" w:rsidRDefault="00562971" w:rsidP="006E21A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Bold">
    <w:panose1 w:val="020B0704020202020204"/>
    <w:charset w:val="00"/>
    <w:family w:val="auto"/>
    <w:pitch w:val="default"/>
    <w:sig w:usb0="00000000" w:usb1="00000000" w:usb2="00000000" w:usb3="00000000" w:csb0="00000000" w:csb1="00000000"/>
  </w:font>
  <w:font w:name="Arial">
    <w:panose1 w:val="020B0604020202020204"/>
    <w:charset w:val="00"/>
    <w:family w:val="swiss"/>
    <w:pitch w:val="variable"/>
    <w:sig w:usb0="20002A87" w:usb1="80000000" w:usb2="00000008" w:usb3="00000000" w:csb0="000001FF" w:csb1="00000000"/>
  </w:font>
  <w:font w:name="MinionPro-Regular">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74E" w:rsidRDefault="00B4174E" w:rsidP="002028A0">
    <w:pPr>
      <w:pStyle w:val="Footer"/>
      <w:tabs>
        <w:tab w:val="clear" w:pos="4680"/>
        <w:tab w:val="clear" w:pos="9360"/>
        <w:tab w:val="left" w:pos="5475"/>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74E" w:rsidRDefault="001C38E5">
    <w:pPr>
      <w:pStyle w:val="Footer"/>
      <w:jc w:val="center"/>
    </w:pPr>
    <w:fldSimple w:instr=" PAGE   \* MERGEFORMAT ">
      <w:r w:rsidR="005D1C91">
        <w:rPr>
          <w:noProof/>
        </w:rPr>
        <w:t>35</w:t>
      </w:r>
    </w:fldSimple>
  </w:p>
  <w:p w:rsidR="00B4174E" w:rsidRDefault="00B417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74E" w:rsidRDefault="001C38E5">
    <w:pPr>
      <w:pStyle w:val="Footer"/>
      <w:jc w:val="center"/>
    </w:pPr>
    <w:fldSimple w:instr=" PAGE   \* MERGEFORMAT ">
      <w:r w:rsidR="005D1C91">
        <w:rPr>
          <w:noProof/>
        </w:rPr>
        <w:t>iii</w:t>
      </w:r>
    </w:fldSimple>
  </w:p>
  <w:p w:rsidR="00B4174E" w:rsidRDefault="00B4174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74E" w:rsidRPr="00146CBB" w:rsidRDefault="00B4174E">
    <w:pPr>
      <w:pStyle w:val="Footer"/>
      <w:jc w:val="center"/>
      <w:rPr>
        <w:sz w:val="24"/>
        <w:szCs w:val="24"/>
      </w:rPr>
    </w:pPr>
  </w:p>
  <w:p w:rsidR="00B4174E" w:rsidRDefault="00B4174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74E" w:rsidRDefault="00B4174E">
    <w:pPr>
      <w:pStyle w:val="Footer"/>
      <w:jc w:val="center"/>
    </w:pPr>
  </w:p>
  <w:p w:rsidR="00B4174E" w:rsidRDefault="00B4174E">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907221"/>
      <w:docPartObj>
        <w:docPartGallery w:val="Page Numbers (Bottom of Page)"/>
        <w:docPartUnique/>
      </w:docPartObj>
    </w:sdtPr>
    <w:sdtContent>
      <w:p w:rsidR="00B4174E" w:rsidRDefault="001C38E5">
        <w:pPr>
          <w:pStyle w:val="Footer"/>
          <w:jc w:val="center"/>
        </w:pPr>
        <w:fldSimple w:instr=" PAGE   \* MERGEFORMAT ">
          <w:r w:rsidR="005D1C91">
            <w:rPr>
              <w:noProof/>
            </w:rPr>
            <w:t>36</w:t>
          </w:r>
        </w:fldSimple>
      </w:p>
    </w:sdtContent>
  </w:sdt>
  <w:p w:rsidR="00B4174E" w:rsidRDefault="00B417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2971" w:rsidRDefault="00562971" w:rsidP="006E21A4">
      <w:pPr>
        <w:spacing w:after="0" w:line="240" w:lineRule="auto"/>
      </w:pPr>
      <w:r>
        <w:separator/>
      </w:r>
    </w:p>
  </w:footnote>
  <w:footnote w:type="continuationSeparator" w:id="0">
    <w:p w:rsidR="00562971" w:rsidRDefault="00562971" w:rsidP="006E21A4">
      <w:pPr>
        <w:spacing w:after="0" w:line="240" w:lineRule="auto"/>
      </w:pPr>
      <w:r>
        <w:continuationSeparator/>
      </w:r>
    </w:p>
  </w:footnote>
  <w:footnote w:id="1">
    <w:p w:rsidR="00B4174E" w:rsidRPr="009C32D9" w:rsidRDefault="00B4174E" w:rsidP="006E21A4">
      <w:pPr>
        <w:pStyle w:val="FootnoteText"/>
        <w:rPr>
          <w:sz w:val="20"/>
        </w:rPr>
      </w:pPr>
      <w:r w:rsidRPr="009C32D9">
        <w:rPr>
          <w:rStyle w:val="FootnoteReference"/>
          <w:sz w:val="20"/>
        </w:rPr>
        <w:footnoteRef/>
      </w:r>
      <w:r w:rsidRPr="00C06A09">
        <w:rPr>
          <w:sz w:val="20"/>
        </w:rPr>
        <w:tab/>
        <w:t>In 1975, a separate Child Care Food Program and a Summer Food Service Program were authorized by an amendment to the National School Lunch Act (P.L. 94-105).</w:t>
      </w:r>
    </w:p>
  </w:footnote>
  <w:footnote w:id="2">
    <w:p w:rsidR="005D1C91" w:rsidRPr="00A51541" w:rsidRDefault="00B4174E" w:rsidP="005D1C91">
      <w:pPr>
        <w:pStyle w:val="FootnoteText"/>
        <w:rPr>
          <w:sz w:val="20"/>
        </w:rPr>
      </w:pPr>
      <w:r w:rsidRPr="00A51541">
        <w:rPr>
          <w:rStyle w:val="FootnoteReference"/>
          <w:sz w:val="20"/>
        </w:rPr>
        <w:footnoteRef/>
      </w:r>
      <w:r w:rsidRPr="00A51541">
        <w:rPr>
          <w:sz w:val="20"/>
        </w:rPr>
        <w:t xml:space="preserve"> Demonstration 3 (the Meal Delivery demonstration) </w:t>
      </w:r>
      <w:r>
        <w:rPr>
          <w:sz w:val="20"/>
        </w:rPr>
        <w:t xml:space="preserve">are not expected to operate with the use of local </w:t>
      </w:r>
      <w:r w:rsidRPr="00A51541">
        <w:rPr>
          <w:sz w:val="20"/>
        </w:rPr>
        <w:t xml:space="preserve">sites. </w:t>
      </w:r>
      <w:r w:rsidR="005D1C91">
        <w:rPr>
          <w:sz w:val="20"/>
        </w:rPr>
        <w:t>Given the close proximity between the end of the demonstration in Arizona and the beginning of the 2011/2012 school year, Arizona sponsors have indicated that in-person site visits will not be convenient for them.  To acquire the same information gathered from the other Meal Delivery demonstration States, the interviews will be conducted by phone using identical interview protocols.</w:t>
      </w:r>
    </w:p>
    <w:p w:rsidR="00B4174E" w:rsidRPr="00A51541" w:rsidRDefault="00B4174E" w:rsidP="00EF44AD">
      <w:pPr>
        <w:pStyle w:val="FootnoteText"/>
        <w:rPr>
          <w:sz w:val="20"/>
        </w:rPr>
      </w:pPr>
    </w:p>
  </w:footnote>
  <w:footnote w:id="3">
    <w:p w:rsidR="00E23D8F" w:rsidRPr="007067E8" w:rsidRDefault="00E23D8F" w:rsidP="00E23D8F">
      <w:pPr>
        <w:pStyle w:val="FootnoteText"/>
        <w:tabs>
          <w:tab w:val="clear" w:pos="120"/>
          <w:tab w:val="left" w:pos="0"/>
        </w:tabs>
        <w:ind w:left="0" w:firstLine="0"/>
        <w:rPr>
          <w:sz w:val="20"/>
        </w:rPr>
      </w:pPr>
      <w:r w:rsidRPr="007067E8">
        <w:rPr>
          <w:rStyle w:val="FootnoteReference"/>
        </w:rPr>
        <w:footnoteRef/>
      </w:r>
      <w:r w:rsidRPr="007067E8">
        <w:rPr>
          <w:sz w:val="20"/>
        </w:rPr>
        <w:t xml:space="preserve"> In the summer of 2011 and for the first summer 2012 measures, parent questionnaires will be administered at least 30 days after the beginning of demonstration due to the 30-day retrospective of the food insecurity measures.  The 2011 summer measures will be compared to the fall 2011 measures to determine the differences in food insecurity among summer project participants and those same participants when they are back in school and receiving the regular school meals.  The second summer 2012 measures will be administered at least 30 days after the first 2012 measure.  Differences between these two measures will allow us to examine the variability in summer food security estimates.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74E" w:rsidRDefault="00B4174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122E19"/>
    <w:multiLevelType w:val="hybridMultilevel"/>
    <w:tmpl w:val="BC7098BE"/>
    <w:lvl w:ilvl="0" w:tplc="8DC0907A">
      <w:start w:val="1"/>
      <w:numFmt w:val="lowerLetter"/>
      <w:lvlText w:val="%1."/>
      <w:lvlJc w:val="left"/>
      <w:pPr>
        <w:tabs>
          <w:tab w:val="num" w:pos="900"/>
        </w:tabs>
        <w:ind w:left="900" w:hanging="360"/>
      </w:pPr>
      <w:rPr>
        <w:rFonts w:cs="Times New Roman" w:hint="default"/>
      </w:rPr>
    </w:lvl>
    <w:lvl w:ilvl="1" w:tplc="D6143CB2">
      <w:start w:val="1"/>
      <w:numFmt w:val="decimal"/>
      <w:lvlText w:val="%2."/>
      <w:lvlJc w:val="left"/>
      <w:pPr>
        <w:tabs>
          <w:tab w:val="num" w:pos="360"/>
        </w:tabs>
        <w:ind w:left="36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4D0334C"/>
    <w:multiLevelType w:val="hybridMultilevel"/>
    <w:tmpl w:val="96CEE95E"/>
    <w:lvl w:ilvl="0" w:tplc="AD96BF04">
      <w:start w:val="1"/>
      <w:numFmt w:val="decimal"/>
      <w:lvlText w:val="%1."/>
      <w:lvlJc w:val="left"/>
      <w:pPr>
        <w:ind w:left="720" w:hanging="360"/>
      </w:pPr>
      <w:rPr>
        <w:rFonts w:ascii="Calibri" w:hAnsi="Calibri" w:hint="default"/>
        <w:b w:val="0"/>
        <w:i w:val="0"/>
        <w:caps w:val="0"/>
        <w:strike w:val="0"/>
        <w:dstrike w:val="0"/>
        <w:outline w:val="0"/>
        <w:shadow w:val="0"/>
        <w:emboss w:val="0"/>
        <w:imprint w:val="0"/>
        <w:vanish w:val="0"/>
        <w:sz w:val="24"/>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A50204"/>
    <w:multiLevelType w:val="hybridMultilevel"/>
    <w:tmpl w:val="08087080"/>
    <w:lvl w:ilvl="0" w:tplc="6CDEE7DA">
      <w:start w:val="1"/>
      <w:numFmt w:val="decimal"/>
      <w:lvlText w:val="%1."/>
      <w:lvlJc w:val="left"/>
      <w:pPr>
        <w:tabs>
          <w:tab w:val="num" w:pos="1152"/>
        </w:tabs>
        <w:ind w:left="1152" w:hanging="576"/>
      </w:pPr>
      <w:rPr>
        <w:rFonts w:hint="default"/>
        <w:b w:val="0"/>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BD02BC9"/>
    <w:multiLevelType w:val="hybridMultilevel"/>
    <w:tmpl w:val="FA4E438A"/>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D6A12F1"/>
    <w:multiLevelType w:val="hybridMultilevel"/>
    <w:tmpl w:val="4888D742"/>
    <w:lvl w:ilvl="0" w:tplc="FFFFFFFF">
      <w:start w:val="1"/>
      <w:numFmt w:val="bullet"/>
      <w:lvlText w:val=""/>
      <w:lvlJc w:val="left"/>
      <w:pPr>
        <w:ind w:left="936" w:hanging="360"/>
      </w:pPr>
      <w:rPr>
        <w:rFonts w:ascii="Wingdings" w:hAnsi="Wingdings" w:hint="default"/>
        <w:sz w:val="16"/>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hdrShapeDefaults>
    <o:shapedefaults v:ext="edit" spidmax="11266"/>
  </w:hdrShapeDefaults>
  <w:footnotePr>
    <w:footnote w:id="-1"/>
    <w:footnote w:id="0"/>
  </w:footnotePr>
  <w:endnotePr>
    <w:endnote w:id="-1"/>
    <w:endnote w:id="0"/>
  </w:endnotePr>
  <w:compat/>
  <w:rsids>
    <w:rsidRoot w:val="005B0760"/>
    <w:rsid w:val="00000034"/>
    <w:rsid w:val="00000960"/>
    <w:rsid w:val="00004AB1"/>
    <w:rsid w:val="00006AD4"/>
    <w:rsid w:val="00006FA3"/>
    <w:rsid w:val="000102FE"/>
    <w:rsid w:val="00011421"/>
    <w:rsid w:val="00011AA6"/>
    <w:rsid w:val="000132AE"/>
    <w:rsid w:val="000138DF"/>
    <w:rsid w:val="00013DBF"/>
    <w:rsid w:val="000156B3"/>
    <w:rsid w:val="00016122"/>
    <w:rsid w:val="0001625B"/>
    <w:rsid w:val="00017942"/>
    <w:rsid w:val="00017F0A"/>
    <w:rsid w:val="00021635"/>
    <w:rsid w:val="00021800"/>
    <w:rsid w:val="00022545"/>
    <w:rsid w:val="000230A1"/>
    <w:rsid w:val="000236C1"/>
    <w:rsid w:val="00030E9D"/>
    <w:rsid w:val="000340E9"/>
    <w:rsid w:val="00035189"/>
    <w:rsid w:val="00036E29"/>
    <w:rsid w:val="00037746"/>
    <w:rsid w:val="000401B5"/>
    <w:rsid w:val="000404B8"/>
    <w:rsid w:val="00041A2D"/>
    <w:rsid w:val="00041FC8"/>
    <w:rsid w:val="00042151"/>
    <w:rsid w:val="00043F7E"/>
    <w:rsid w:val="00044321"/>
    <w:rsid w:val="00044D94"/>
    <w:rsid w:val="00045B2A"/>
    <w:rsid w:val="00045CC8"/>
    <w:rsid w:val="00045D64"/>
    <w:rsid w:val="00046A0B"/>
    <w:rsid w:val="00047995"/>
    <w:rsid w:val="000504C8"/>
    <w:rsid w:val="00050732"/>
    <w:rsid w:val="00052C36"/>
    <w:rsid w:val="00052D44"/>
    <w:rsid w:val="00052F3B"/>
    <w:rsid w:val="00053BBC"/>
    <w:rsid w:val="00054459"/>
    <w:rsid w:val="0005641E"/>
    <w:rsid w:val="000566CD"/>
    <w:rsid w:val="000568F9"/>
    <w:rsid w:val="00056BFE"/>
    <w:rsid w:val="00057817"/>
    <w:rsid w:val="00057CAE"/>
    <w:rsid w:val="0006066B"/>
    <w:rsid w:val="0006228A"/>
    <w:rsid w:val="000624E4"/>
    <w:rsid w:val="00062E90"/>
    <w:rsid w:val="000632AC"/>
    <w:rsid w:val="00063457"/>
    <w:rsid w:val="0006445B"/>
    <w:rsid w:val="00064567"/>
    <w:rsid w:val="00066A1E"/>
    <w:rsid w:val="00070301"/>
    <w:rsid w:val="000712F9"/>
    <w:rsid w:val="00071A37"/>
    <w:rsid w:val="00075B11"/>
    <w:rsid w:val="00076004"/>
    <w:rsid w:val="00076BE5"/>
    <w:rsid w:val="0008062B"/>
    <w:rsid w:val="00080B9B"/>
    <w:rsid w:val="000814E8"/>
    <w:rsid w:val="00082730"/>
    <w:rsid w:val="0008292D"/>
    <w:rsid w:val="00082930"/>
    <w:rsid w:val="00083642"/>
    <w:rsid w:val="00084E35"/>
    <w:rsid w:val="00085A19"/>
    <w:rsid w:val="000861FB"/>
    <w:rsid w:val="00086FDC"/>
    <w:rsid w:val="0009036E"/>
    <w:rsid w:val="00090ABB"/>
    <w:rsid w:val="00091A42"/>
    <w:rsid w:val="000929D1"/>
    <w:rsid w:val="0009404A"/>
    <w:rsid w:val="00094276"/>
    <w:rsid w:val="00094615"/>
    <w:rsid w:val="0009551E"/>
    <w:rsid w:val="00095A84"/>
    <w:rsid w:val="00095F08"/>
    <w:rsid w:val="0009700E"/>
    <w:rsid w:val="000A07CC"/>
    <w:rsid w:val="000A1481"/>
    <w:rsid w:val="000A16E2"/>
    <w:rsid w:val="000A2028"/>
    <w:rsid w:val="000A2F7C"/>
    <w:rsid w:val="000A3797"/>
    <w:rsid w:val="000A38E6"/>
    <w:rsid w:val="000A4634"/>
    <w:rsid w:val="000A6F8F"/>
    <w:rsid w:val="000A727D"/>
    <w:rsid w:val="000A7492"/>
    <w:rsid w:val="000B10D9"/>
    <w:rsid w:val="000B23B8"/>
    <w:rsid w:val="000B24A5"/>
    <w:rsid w:val="000B2A90"/>
    <w:rsid w:val="000B2E41"/>
    <w:rsid w:val="000B2F43"/>
    <w:rsid w:val="000B31D2"/>
    <w:rsid w:val="000B4A18"/>
    <w:rsid w:val="000B4C6D"/>
    <w:rsid w:val="000B4E1B"/>
    <w:rsid w:val="000B52F8"/>
    <w:rsid w:val="000B55B9"/>
    <w:rsid w:val="000B5747"/>
    <w:rsid w:val="000B605C"/>
    <w:rsid w:val="000B6519"/>
    <w:rsid w:val="000B7490"/>
    <w:rsid w:val="000B7A40"/>
    <w:rsid w:val="000C09FD"/>
    <w:rsid w:val="000C0ACD"/>
    <w:rsid w:val="000C2167"/>
    <w:rsid w:val="000C29FC"/>
    <w:rsid w:val="000C384F"/>
    <w:rsid w:val="000C3FA1"/>
    <w:rsid w:val="000C48B2"/>
    <w:rsid w:val="000C790E"/>
    <w:rsid w:val="000D0B71"/>
    <w:rsid w:val="000D0CF5"/>
    <w:rsid w:val="000D555A"/>
    <w:rsid w:val="000D613E"/>
    <w:rsid w:val="000D79BF"/>
    <w:rsid w:val="000D7A1F"/>
    <w:rsid w:val="000D7E26"/>
    <w:rsid w:val="000E2B3C"/>
    <w:rsid w:val="000E3A3D"/>
    <w:rsid w:val="000E47B9"/>
    <w:rsid w:val="000E55DE"/>
    <w:rsid w:val="000E6F0C"/>
    <w:rsid w:val="000E71FA"/>
    <w:rsid w:val="000E7C9B"/>
    <w:rsid w:val="000E7F01"/>
    <w:rsid w:val="000F23D9"/>
    <w:rsid w:val="000F26C0"/>
    <w:rsid w:val="000F2D5E"/>
    <w:rsid w:val="000F37C3"/>
    <w:rsid w:val="000F3DAA"/>
    <w:rsid w:val="000F440B"/>
    <w:rsid w:val="000F4816"/>
    <w:rsid w:val="000F7683"/>
    <w:rsid w:val="000F7E11"/>
    <w:rsid w:val="000F7F89"/>
    <w:rsid w:val="00100CEA"/>
    <w:rsid w:val="00100D1F"/>
    <w:rsid w:val="00100FD7"/>
    <w:rsid w:val="00102C2A"/>
    <w:rsid w:val="0010399B"/>
    <w:rsid w:val="001048A5"/>
    <w:rsid w:val="00105915"/>
    <w:rsid w:val="001068FF"/>
    <w:rsid w:val="00107A99"/>
    <w:rsid w:val="00111921"/>
    <w:rsid w:val="00112220"/>
    <w:rsid w:val="00112C05"/>
    <w:rsid w:val="001134C2"/>
    <w:rsid w:val="001139D6"/>
    <w:rsid w:val="001145B8"/>
    <w:rsid w:val="00115D4D"/>
    <w:rsid w:val="00116914"/>
    <w:rsid w:val="00117F25"/>
    <w:rsid w:val="001205E5"/>
    <w:rsid w:val="00120EF7"/>
    <w:rsid w:val="00121359"/>
    <w:rsid w:val="0012369D"/>
    <w:rsid w:val="00123B24"/>
    <w:rsid w:val="00124870"/>
    <w:rsid w:val="00124980"/>
    <w:rsid w:val="00125AC4"/>
    <w:rsid w:val="001260A3"/>
    <w:rsid w:val="001260F8"/>
    <w:rsid w:val="00127AE7"/>
    <w:rsid w:val="00130E31"/>
    <w:rsid w:val="001337AF"/>
    <w:rsid w:val="00133B6C"/>
    <w:rsid w:val="00134178"/>
    <w:rsid w:val="0013626A"/>
    <w:rsid w:val="00136968"/>
    <w:rsid w:val="001371D0"/>
    <w:rsid w:val="0013723F"/>
    <w:rsid w:val="001379A3"/>
    <w:rsid w:val="00140451"/>
    <w:rsid w:val="00141F4A"/>
    <w:rsid w:val="001443C7"/>
    <w:rsid w:val="00146B53"/>
    <w:rsid w:val="00146CBB"/>
    <w:rsid w:val="0014708B"/>
    <w:rsid w:val="001475B4"/>
    <w:rsid w:val="001476E9"/>
    <w:rsid w:val="00150314"/>
    <w:rsid w:val="001503A6"/>
    <w:rsid w:val="0015290A"/>
    <w:rsid w:val="0015383F"/>
    <w:rsid w:val="001546A1"/>
    <w:rsid w:val="00154A45"/>
    <w:rsid w:val="00154C14"/>
    <w:rsid w:val="00154CD3"/>
    <w:rsid w:val="00155006"/>
    <w:rsid w:val="00155C16"/>
    <w:rsid w:val="00155DAB"/>
    <w:rsid w:val="0015631C"/>
    <w:rsid w:val="00156E68"/>
    <w:rsid w:val="00157302"/>
    <w:rsid w:val="00157AFC"/>
    <w:rsid w:val="001605C4"/>
    <w:rsid w:val="00161481"/>
    <w:rsid w:val="001614B8"/>
    <w:rsid w:val="001616FD"/>
    <w:rsid w:val="0016192F"/>
    <w:rsid w:val="00163C07"/>
    <w:rsid w:val="001656A0"/>
    <w:rsid w:val="00166989"/>
    <w:rsid w:val="001670E2"/>
    <w:rsid w:val="00171243"/>
    <w:rsid w:val="00171B04"/>
    <w:rsid w:val="0017210D"/>
    <w:rsid w:val="0017539B"/>
    <w:rsid w:val="00175424"/>
    <w:rsid w:val="001756AE"/>
    <w:rsid w:val="001759EE"/>
    <w:rsid w:val="00180A71"/>
    <w:rsid w:val="00180C35"/>
    <w:rsid w:val="00180CC2"/>
    <w:rsid w:val="00181149"/>
    <w:rsid w:val="001811B8"/>
    <w:rsid w:val="0018234E"/>
    <w:rsid w:val="0018372B"/>
    <w:rsid w:val="00184536"/>
    <w:rsid w:val="001847C7"/>
    <w:rsid w:val="00185649"/>
    <w:rsid w:val="00185A8A"/>
    <w:rsid w:val="00185D7F"/>
    <w:rsid w:val="00185E5A"/>
    <w:rsid w:val="00190C36"/>
    <w:rsid w:val="0019180B"/>
    <w:rsid w:val="00191914"/>
    <w:rsid w:val="0019228A"/>
    <w:rsid w:val="001925AF"/>
    <w:rsid w:val="0019415F"/>
    <w:rsid w:val="00195009"/>
    <w:rsid w:val="00195DE8"/>
    <w:rsid w:val="001971C7"/>
    <w:rsid w:val="00197806"/>
    <w:rsid w:val="001A163A"/>
    <w:rsid w:val="001A242D"/>
    <w:rsid w:val="001A25A8"/>
    <w:rsid w:val="001A2D3C"/>
    <w:rsid w:val="001A2E36"/>
    <w:rsid w:val="001A310F"/>
    <w:rsid w:val="001A3115"/>
    <w:rsid w:val="001A38FF"/>
    <w:rsid w:val="001A435F"/>
    <w:rsid w:val="001A5448"/>
    <w:rsid w:val="001A598F"/>
    <w:rsid w:val="001A5BB5"/>
    <w:rsid w:val="001A72AE"/>
    <w:rsid w:val="001B005C"/>
    <w:rsid w:val="001B083E"/>
    <w:rsid w:val="001B0C46"/>
    <w:rsid w:val="001B509C"/>
    <w:rsid w:val="001B6F6F"/>
    <w:rsid w:val="001B735F"/>
    <w:rsid w:val="001C14F5"/>
    <w:rsid w:val="001C24F8"/>
    <w:rsid w:val="001C38E5"/>
    <w:rsid w:val="001C4B5A"/>
    <w:rsid w:val="001C4F1F"/>
    <w:rsid w:val="001C51AC"/>
    <w:rsid w:val="001C5627"/>
    <w:rsid w:val="001C62EF"/>
    <w:rsid w:val="001C66C6"/>
    <w:rsid w:val="001C7991"/>
    <w:rsid w:val="001C7BF3"/>
    <w:rsid w:val="001C7D50"/>
    <w:rsid w:val="001D026F"/>
    <w:rsid w:val="001D17F4"/>
    <w:rsid w:val="001D1E35"/>
    <w:rsid w:val="001D39F7"/>
    <w:rsid w:val="001D4949"/>
    <w:rsid w:val="001E0734"/>
    <w:rsid w:val="001E15E1"/>
    <w:rsid w:val="001E1801"/>
    <w:rsid w:val="001E191F"/>
    <w:rsid w:val="001E1D5C"/>
    <w:rsid w:val="001E2B3B"/>
    <w:rsid w:val="001E3B1A"/>
    <w:rsid w:val="001E4057"/>
    <w:rsid w:val="001E505E"/>
    <w:rsid w:val="001E5100"/>
    <w:rsid w:val="001E5BC9"/>
    <w:rsid w:val="001E6352"/>
    <w:rsid w:val="001E66C4"/>
    <w:rsid w:val="001E6A52"/>
    <w:rsid w:val="001F056C"/>
    <w:rsid w:val="001F07BF"/>
    <w:rsid w:val="001F2310"/>
    <w:rsid w:val="001F29E0"/>
    <w:rsid w:val="001F2D0A"/>
    <w:rsid w:val="001F40F6"/>
    <w:rsid w:val="001F4BDA"/>
    <w:rsid w:val="001F4F15"/>
    <w:rsid w:val="001F55C7"/>
    <w:rsid w:val="00200D45"/>
    <w:rsid w:val="0020280E"/>
    <w:rsid w:val="002028A0"/>
    <w:rsid w:val="00202B70"/>
    <w:rsid w:val="00203716"/>
    <w:rsid w:val="002064C5"/>
    <w:rsid w:val="0020712A"/>
    <w:rsid w:val="00207847"/>
    <w:rsid w:val="00210060"/>
    <w:rsid w:val="00210394"/>
    <w:rsid w:val="00210842"/>
    <w:rsid w:val="0021182C"/>
    <w:rsid w:val="00211E68"/>
    <w:rsid w:val="002123C5"/>
    <w:rsid w:val="00212519"/>
    <w:rsid w:val="00212A21"/>
    <w:rsid w:val="0021302A"/>
    <w:rsid w:val="00213B37"/>
    <w:rsid w:val="00213F92"/>
    <w:rsid w:val="0021508C"/>
    <w:rsid w:val="0021686F"/>
    <w:rsid w:val="00216CC1"/>
    <w:rsid w:val="00221650"/>
    <w:rsid w:val="00224552"/>
    <w:rsid w:val="00225687"/>
    <w:rsid w:val="00225892"/>
    <w:rsid w:val="00226310"/>
    <w:rsid w:val="00226D14"/>
    <w:rsid w:val="00227C0E"/>
    <w:rsid w:val="0023014B"/>
    <w:rsid w:val="00233237"/>
    <w:rsid w:val="002341F3"/>
    <w:rsid w:val="002342E4"/>
    <w:rsid w:val="0023481E"/>
    <w:rsid w:val="00235F01"/>
    <w:rsid w:val="00236669"/>
    <w:rsid w:val="002377B0"/>
    <w:rsid w:val="00237C70"/>
    <w:rsid w:val="0024023A"/>
    <w:rsid w:val="002406C0"/>
    <w:rsid w:val="00242204"/>
    <w:rsid w:val="002424A1"/>
    <w:rsid w:val="00242C4C"/>
    <w:rsid w:val="00246AA9"/>
    <w:rsid w:val="002500E5"/>
    <w:rsid w:val="0025031F"/>
    <w:rsid w:val="002506C3"/>
    <w:rsid w:val="00250F47"/>
    <w:rsid w:val="002516C6"/>
    <w:rsid w:val="00251847"/>
    <w:rsid w:val="0025227F"/>
    <w:rsid w:val="00253F61"/>
    <w:rsid w:val="0025574A"/>
    <w:rsid w:val="002561DC"/>
    <w:rsid w:val="00257F80"/>
    <w:rsid w:val="00260510"/>
    <w:rsid w:val="00260CC3"/>
    <w:rsid w:val="00261D2C"/>
    <w:rsid w:val="00263A42"/>
    <w:rsid w:val="00263C3B"/>
    <w:rsid w:val="002646B7"/>
    <w:rsid w:val="00264719"/>
    <w:rsid w:val="00264FDC"/>
    <w:rsid w:val="00270A3F"/>
    <w:rsid w:val="00270CC2"/>
    <w:rsid w:val="00270DCA"/>
    <w:rsid w:val="00271007"/>
    <w:rsid w:val="00272350"/>
    <w:rsid w:val="0027286E"/>
    <w:rsid w:val="002739FE"/>
    <w:rsid w:val="00274073"/>
    <w:rsid w:val="002742C4"/>
    <w:rsid w:val="00274636"/>
    <w:rsid w:val="00275692"/>
    <w:rsid w:val="00275829"/>
    <w:rsid w:val="00276603"/>
    <w:rsid w:val="00277F1C"/>
    <w:rsid w:val="002813C3"/>
    <w:rsid w:val="002822FF"/>
    <w:rsid w:val="002826F3"/>
    <w:rsid w:val="002857D8"/>
    <w:rsid w:val="002859AA"/>
    <w:rsid w:val="0028639F"/>
    <w:rsid w:val="00286DEA"/>
    <w:rsid w:val="0028742B"/>
    <w:rsid w:val="00287C14"/>
    <w:rsid w:val="002907D0"/>
    <w:rsid w:val="00290A89"/>
    <w:rsid w:val="00291C55"/>
    <w:rsid w:val="00293ECF"/>
    <w:rsid w:val="002948BD"/>
    <w:rsid w:val="00295570"/>
    <w:rsid w:val="0029588F"/>
    <w:rsid w:val="00296255"/>
    <w:rsid w:val="0029788E"/>
    <w:rsid w:val="002A04DD"/>
    <w:rsid w:val="002A0D87"/>
    <w:rsid w:val="002A138C"/>
    <w:rsid w:val="002A191D"/>
    <w:rsid w:val="002A5B0E"/>
    <w:rsid w:val="002A6730"/>
    <w:rsid w:val="002A7180"/>
    <w:rsid w:val="002B053A"/>
    <w:rsid w:val="002B20F6"/>
    <w:rsid w:val="002B30C0"/>
    <w:rsid w:val="002B30CD"/>
    <w:rsid w:val="002B3457"/>
    <w:rsid w:val="002B3852"/>
    <w:rsid w:val="002B3ED7"/>
    <w:rsid w:val="002B3F2D"/>
    <w:rsid w:val="002B483E"/>
    <w:rsid w:val="002B58FD"/>
    <w:rsid w:val="002B69FD"/>
    <w:rsid w:val="002B70DD"/>
    <w:rsid w:val="002B7631"/>
    <w:rsid w:val="002C0266"/>
    <w:rsid w:val="002C08A6"/>
    <w:rsid w:val="002C257C"/>
    <w:rsid w:val="002C2610"/>
    <w:rsid w:val="002C2A0F"/>
    <w:rsid w:val="002C2FB4"/>
    <w:rsid w:val="002C3A53"/>
    <w:rsid w:val="002C4112"/>
    <w:rsid w:val="002C4D4B"/>
    <w:rsid w:val="002C6178"/>
    <w:rsid w:val="002C68A9"/>
    <w:rsid w:val="002C7B78"/>
    <w:rsid w:val="002D19D5"/>
    <w:rsid w:val="002D1A8A"/>
    <w:rsid w:val="002D2FC1"/>
    <w:rsid w:val="002D3741"/>
    <w:rsid w:val="002D39FE"/>
    <w:rsid w:val="002D67D6"/>
    <w:rsid w:val="002E109F"/>
    <w:rsid w:val="002E1A94"/>
    <w:rsid w:val="002E214C"/>
    <w:rsid w:val="002E238D"/>
    <w:rsid w:val="002E2798"/>
    <w:rsid w:val="002E2C6B"/>
    <w:rsid w:val="002E2FE6"/>
    <w:rsid w:val="002E3599"/>
    <w:rsid w:val="002E3967"/>
    <w:rsid w:val="002E3B4E"/>
    <w:rsid w:val="002E4456"/>
    <w:rsid w:val="002E5926"/>
    <w:rsid w:val="002E5FE4"/>
    <w:rsid w:val="002E6548"/>
    <w:rsid w:val="002E6677"/>
    <w:rsid w:val="002E6E27"/>
    <w:rsid w:val="002E7230"/>
    <w:rsid w:val="002F07C0"/>
    <w:rsid w:val="002F0B4F"/>
    <w:rsid w:val="002F0EAA"/>
    <w:rsid w:val="002F1020"/>
    <w:rsid w:val="002F1963"/>
    <w:rsid w:val="002F1A77"/>
    <w:rsid w:val="002F2EB3"/>
    <w:rsid w:val="002F3C66"/>
    <w:rsid w:val="002F63C8"/>
    <w:rsid w:val="002F7404"/>
    <w:rsid w:val="002F7CDF"/>
    <w:rsid w:val="00300352"/>
    <w:rsid w:val="00300AB5"/>
    <w:rsid w:val="003016D1"/>
    <w:rsid w:val="00301BDD"/>
    <w:rsid w:val="00301F0F"/>
    <w:rsid w:val="00301F6F"/>
    <w:rsid w:val="00302DD4"/>
    <w:rsid w:val="00304EC1"/>
    <w:rsid w:val="00306228"/>
    <w:rsid w:val="003073A9"/>
    <w:rsid w:val="0030799A"/>
    <w:rsid w:val="00307E9E"/>
    <w:rsid w:val="0031078B"/>
    <w:rsid w:val="00310C82"/>
    <w:rsid w:val="00311447"/>
    <w:rsid w:val="00314907"/>
    <w:rsid w:val="00314A60"/>
    <w:rsid w:val="0031518C"/>
    <w:rsid w:val="0031666C"/>
    <w:rsid w:val="00321D8E"/>
    <w:rsid w:val="00322044"/>
    <w:rsid w:val="00322EDF"/>
    <w:rsid w:val="00323800"/>
    <w:rsid w:val="003244C0"/>
    <w:rsid w:val="003244CC"/>
    <w:rsid w:val="00324FF6"/>
    <w:rsid w:val="003259F7"/>
    <w:rsid w:val="00325C44"/>
    <w:rsid w:val="00331B04"/>
    <w:rsid w:val="00331CFE"/>
    <w:rsid w:val="003329B1"/>
    <w:rsid w:val="0033357C"/>
    <w:rsid w:val="00334B07"/>
    <w:rsid w:val="00336552"/>
    <w:rsid w:val="00336CDE"/>
    <w:rsid w:val="0033740A"/>
    <w:rsid w:val="003376E2"/>
    <w:rsid w:val="00341503"/>
    <w:rsid w:val="00341F0E"/>
    <w:rsid w:val="00341F91"/>
    <w:rsid w:val="00343038"/>
    <w:rsid w:val="00345163"/>
    <w:rsid w:val="00346181"/>
    <w:rsid w:val="00346C49"/>
    <w:rsid w:val="00347070"/>
    <w:rsid w:val="00350145"/>
    <w:rsid w:val="0035091C"/>
    <w:rsid w:val="003512E5"/>
    <w:rsid w:val="003513E2"/>
    <w:rsid w:val="0035176A"/>
    <w:rsid w:val="003517D9"/>
    <w:rsid w:val="00351EA1"/>
    <w:rsid w:val="003544E1"/>
    <w:rsid w:val="003547A2"/>
    <w:rsid w:val="00354DD2"/>
    <w:rsid w:val="0035534B"/>
    <w:rsid w:val="00355740"/>
    <w:rsid w:val="00355A8E"/>
    <w:rsid w:val="00357A72"/>
    <w:rsid w:val="00357CB2"/>
    <w:rsid w:val="00360596"/>
    <w:rsid w:val="0036076C"/>
    <w:rsid w:val="00363915"/>
    <w:rsid w:val="003654A0"/>
    <w:rsid w:val="0036558E"/>
    <w:rsid w:val="00371E10"/>
    <w:rsid w:val="00372E84"/>
    <w:rsid w:val="00373FF0"/>
    <w:rsid w:val="00374E89"/>
    <w:rsid w:val="003753B7"/>
    <w:rsid w:val="003756C8"/>
    <w:rsid w:val="003808A3"/>
    <w:rsid w:val="00381A52"/>
    <w:rsid w:val="00381B99"/>
    <w:rsid w:val="00384B5A"/>
    <w:rsid w:val="00384BCD"/>
    <w:rsid w:val="00384CF8"/>
    <w:rsid w:val="00385071"/>
    <w:rsid w:val="003851C4"/>
    <w:rsid w:val="00385C52"/>
    <w:rsid w:val="00387412"/>
    <w:rsid w:val="00392435"/>
    <w:rsid w:val="00393347"/>
    <w:rsid w:val="003935ED"/>
    <w:rsid w:val="003948A1"/>
    <w:rsid w:val="00394900"/>
    <w:rsid w:val="00394A5D"/>
    <w:rsid w:val="00394B24"/>
    <w:rsid w:val="00395FA1"/>
    <w:rsid w:val="00397222"/>
    <w:rsid w:val="0039786D"/>
    <w:rsid w:val="003A1245"/>
    <w:rsid w:val="003A169E"/>
    <w:rsid w:val="003A3B0C"/>
    <w:rsid w:val="003A48D6"/>
    <w:rsid w:val="003A4910"/>
    <w:rsid w:val="003A5ED1"/>
    <w:rsid w:val="003A7BCA"/>
    <w:rsid w:val="003B07B2"/>
    <w:rsid w:val="003B19CF"/>
    <w:rsid w:val="003B3F33"/>
    <w:rsid w:val="003B3F92"/>
    <w:rsid w:val="003B514E"/>
    <w:rsid w:val="003B561D"/>
    <w:rsid w:val="003B5CF4"/>
    <w:rsid w:val="003B6282"/>
    <w:rsid w:val="003B6403"/>
    <w:rsid w:val="003B72E0"/>
    <w:rsid w:val="003B7676"/>
    <w:rsid w:val="003B79A5"/>
    <w:rsid w:val="003B7E90"/>
    <w:rsid w:val="003C07DA"/>
    <w:rsid w:val="003C1117"/>
    <w:rsid w:val="003C286E"/>
    <w:rsid w:val="003C3531"/>
    <w:rsid w:val="003C4BDE"/>
    <w:rsid w:val="003C5BBB"/>
    <w:rsid w:val="003C6DCC"/>
    <w:rsid w:val="003C7093"/>
    <w:rsid w:val="003C7396"/>
    <w:rsid w:val="003C7692"/>
    <w:rsid w:val="003C7744"/>
    <w:rsid w:val="003C783B"/>
    <w:rsid w:val="003D20F1"/>
    <w:rsid w:val="003D223F"/>
    <w:rsid w:val="003D2660"/>
    <w:rsid w:val="003D3C55"/>
    <w:rsid w:val="003D4014"/>
    <w:rsid w:val="003D5264"/>
    <w:rsid w:val="003D6B03"/>
    <w:rsid w:val="003E02BD"/>
    <w:rsid w:val="003E056A"/>
    <w:rsid w:val="003E1B89"/>
    <w:rsid w:val="003E3B05"/>
    <w:rsid w:val="003E3D74"/>
    <w:rsid w:val="003E5154"/>
    <w:rsid w:val="003E5EC8"/>
    <w:rsid w:val="003E626E"/>
    <w:rsid w:val="003E6B7B"/>
    <w:rsid w:val="003E7190"/>
    <w:rsid w:val="003E7A35"/>
    <w:rsid w:val="003F02F8"/>
    <w:rsid w:val="003F0F2A"/>
    <w:rsid w:val="003F1542"/>
    <w:rsid w:val="003F1550"/>
    <w:rsid w:val="003F1ED1"/>
    <w:rsid w:val="003F2143"/>
    <w:rsid w:val="003F4D8D"/>
    <w:rsid w:val="003F5B63"/>
    <w:rsid w:val="003F6102"/>
    <w:rsid w:val="003F66FA"/>
    <w:rsid w:val="003F7780"/>
    <w:rsid w:val="004005F2"/>
    <w:rsid w:val="004011D7"/>
    <w:rsid w:val="004019C3"/>
    <w:rsid w:val="004037EA"/>
    <w:rsid w:val="00403865"/>
    <w:rsid w:val="00403EA5"/>
    <w:rsid w:val="00403F40"/>
    <w:rsid w:val="004050FE"/>
    <w:rsid w:val="00405D75"/>
    <w:rsid w:val="00405D85"/>
    <w:rsid w:val="00405E91"/>
    <w:rsid w:val="00407066"/>
    <w:rsid w:val="00407668"/>
    <w:rsid w:val="00407A62"/>
    <w:rsid w:val="0041058E"/>
    <w:rsid w:val="004109A2"/>
    <w:rsid w:val="00410B17"/>
    <w:rsid w:val="004124DE"/>
    <w:rsid w:val="00412D8C"/>
    <w:rsid w:val="00413E54"/>
    <w:rsid w:val="004141BB"/>
    <w:rsid w:val="004148B3"/>
    <w:rsid w:val="00417473"/>
    <w:rsid w:val="00417910"/>
    <w:rsid w:val="00422464"/>
    <w:rsid w:val="00422F5A"/>
    <w:rsid w:val="00424069"/>
    <w:rsid w:val="0042406C"/>
    <w:rsid w:val="00424CF1"/>
    <w:rsid w:val="004250D1"/>
    <w:rsid w:val="00425B03"/>
    <w:rsid w:val="00425FF5"/>
    <w:rsid w:val="00426DBA"/>
    <w:rsid w:val="00426FA8"/>
    <w:rsid w:val="00427930"/>
    <w:rsid w:val="00430A49"/>
    <w:rsid w:val="004310A3"/>
    <w:rsid w:val="0043210E"/>
    <w:rsid w:val="00432129"/>
    <w:rsid w:val="00432610"/>
    <w:rsid w:val="00433327"/>
    <w:rsid w:val="00433F4C"/>
    <w:rsid w:val="00433F53"/>
    <w:rsid w:val="00436ABF"/>
    <w:rsid w:val="004405BF"/>
    <w:rsid w:val="004417A9"/>
    <w:rsid w:val="0044265A"/>
    <w:rsid w:val="00442B7D"/>
    <w:rsid w:val="00443665"/>
    <w:rsid w:val="00444393"/>
    <w:rsid w:val="00444A80"/>
    <w:rsid w:val="00445497"/>
    <w:rsid w:val="004459A9"/>
    <w:rsid w:val="00451E63"/>
    <w:rsid w:val="00452DA6"/>
    <w:rsid w:val="00452E4A"/>
    <w:rsid w:val="0045367C"/>
    <w:rsid w:val="00453BE3"/>
    <w:rsid w:val="00455ABD"/>
    <w:rsid w:val="00456605"/>
    <w:rsid w:val="004576E7"/>
    <w:rsid w:val="004600C2"/>
    <w:rsid w:val="004602FB"/>
    <w:rsid w:val="00460524"/>
    <w:rsid w:val="00461B9D"/>
    <w:rsid w:val="00461BB8"/>
    <w:rsid w:val="00463B07"/>
    <w:rsid w:val="00464D1C"/>
    <w:rsid w:val="00465437"/>
    <w:rsid w:val="004660DE"/>
    <w:rsid w:val="004668E3"/>
    <w:rsid w:val="00466E19"/>
    <w:rsid w:val="00467239"/>
    <w:rsid w:val="00467393"/>
    <w:rsid w:val="00467C75"/>
    <w:rsid w:val="00471F9E"/>
    <w:rsid w:val="00473469"/>
    <w:rsid w:val="00473D5E"/>
    <w:rsid w:val="0047551D"/>
    <w:rsid w:val="00475B93"/>
    <w:rsid w:val="00476240"/>
    <w:rsid w:val="0047672F"/>
    <w:rsid w:val="00476DAE"/>
    <w:rsid w:val="00477337"/>
    <w:rsid w:val="004775C4"/>
    <w:rsid w:val="00477642"/>
    <w:rsid w:val="004806E6"/>
    <w:rsid w:val="00480BA4"/>
    <w:rsid w:val="00482016"/>
    <w:rsid w:val="004821BD"/>
    <w:rsid w:val="00483416"/>
    <w:rsid w:val="00484D20"/>
    <w:rsid w:val="00485313"/>
    <w:rsid w:val="00486144"/>
    <w:rsid w:val="00486482"/>
    <w:rsid w:val="00486AE1"/>
    <w:rsid w:val="00490D4C"/>
    <w:rsid w:val="00490E56"/>
    <w:rsid w:val="004922AA"/>
    <w:rsid w:val="004927E4"/>
    <w:rsid w:val="00492F07"/>
    <w:rsid w:val="004940D7"/>
    <w:rsid w:val="004945B2"/>
    <w:rsid w:val="0049490E"/>
    <w:rsid w:val="00494D78"/>
    <w:rsid w:val="00496C35"/>
    <w:rsid w:val="00497062"/>
    <w:rsid w:val="004A28F6"/>
    <w:rsid w:val="004A2AFA"/>
    <w:rsid w:val="004A3981"/>
    <w:rsid w:val="004A3D13"/>
    <w:rsid w:val="004A3E5F"/>
    <w:rsid w:val="004A4130"/>
    <w:rsid w:val="004A4F88"/>
    <w:rsid w:val="004A6C5C"/>
    <w:rsid w:val="004A7D45"/>
    <w:rsid w:val="004B0B20"/>
    <w:rsid w:val="004B0C34"/>
    <w:rsid w:val="004B1854"/>
    <w:rsid w:val="004B1A31"/>
    <w:rsid w:val="004B3838"/>
    <w:rsid w:val="004B3EAB"/>
    <w:rsid w:val="004B3F79"/>
    <w:rsid w:val="004B4082"/>
    <w:rsid w:val="004B410D"/>
    <w:rsid w:val="004C003C"/>
    <w:rsid w:val="004C09CB"/>
    <w:rsid w:val="004C0F9C"/>
    <w:rsid w:val="004C1370"/>
    <w:rsid w:val="004C1D42"/>
    <w:rsid w:val="004C236C"/>
    <w:rsid w:val="004C24FC"/>
    <w:rsid w:val="004C3412"/>
    <w:rsid w:val="004C34D7"/>
    <w:rsid w:val="004C3B01"/>
    <w:rsid w:val="004C3DCD"/>
    <w:rsid w:val="004C3F8E"/>
    <w:rsid w:val="004C478F"/>
    <w:rsid w:val="004C5B57"/>
    <w:rsid w:val="004C6083"/>
    <w:rsid w:val="004C6B31"/>
    <w:rsid w:val="004C702E"/>
    <w:rsid w:val="004C760B"/>
    <w:rsid w:val="004D1498"/>
    <w:rsid w:val="004D33FA"/>
    <w:rsid w:val="004D47F2"/>
    <w:rsid w:val="004D507D"/>
    <w:rsid w:val="004D5791"/>
    <w:rsid w:val="004D5D36"/>
    <w:rsid w:val="004D6DCF"/>
    <w:rsid w:val="004D75E2"/>
    <w:rsid w:val="004E037D"/>
    <w:rsid w:val="004E04C6"/>
    <w:rsid w:val="004E1187"/>
    <w:rsid w:val="004E1984"/>
    <w:rsid w:val="004E2DE3"/>
    <w:rsid w:val="004E2E81"/>
    <w:rsid w:val="004E33E8"/>
    <w:rsid w:val="004E3FF8"/>
    <w:rsid w:val="004E4213"/>
    <w:rsid w:val="004E543B"/>
    <w:rsid w:val="004E5567"/>
    <w:rsid w:val="004E5724"/>
    <w:rsid w:val="004F113E"/>
    <w:rsid w:val="004F14E9"/>
    <w:rsid w:val="004F2F59"/>
    <w:rsid w:val="004F2FB1"/>
    <w:rsid w:val="004F3073"/>
    <w:rsid w:val="004F3B99"/>
    <w:rsid w:val="004F3C26"/>
    <w:rsid w:val="004F3C43"/>
    <w:rsid w:val="004F3CC6"/>
    <w:rsid w:val="004F4755"/>
    <w:rsid w:val="004F476E"/>
    <w:rsid w:val="004F7471"/>
    <w:rsid w:val="00500335"/>
    <w:rsid w:val="005017BE"/>
    <w:rsid w:val="00501E56"/>
    <w:rsid w:val="00501F43"/>
    <w:rsid w:val="005025FD"/>
    <w:rsid w:val="00503D5F"/>
    <w:rsid w:val="0050507F"/>
    <w:rsid w:val="005057A8"/>
    <w:rsid w:val="00505AC9"/>
    <w:rsid w:val="00506C52"/>
    <w:rsid w:val="00507270"/>
    <w:rsid w:val="005075F7"/>
    <w:rsid w:val="00511450"/>
    <w:rsid w:val="00511BCD"/>
    <w:rsid w:val="00512A65"/>
    <w:rsid w:val="00512E06"/>
    <w:rsid w:val="005137FE"/>
    <w:rsid w:val="005139BC"/>
    <w:rsid w:val="00513B09"/>
    <w:rsid w:val="00513DAC"/>
    <w:rsid w:val="00515368"/>
    <w:rsid w:val="00515CA4"/>
    <w:rsid w:val="005168F3"/>
    <w:rsid w:val="005177B0"/>
    <w:rsid w:val="005205FA"/>
    <w:rsid w:val="00520C26"/>
    <w:rsid w:val="00521059"/>
    <w:rsid w:val="005217DE"/>
    <w:rsid w:val="00521E45"/>
    <w:rsid w:val="0052516A"/>
    <w:rsid w:val="00525630"/>
    <w:rsid w:val="00527146"/>
    <w:rsid w:val="00530416"/>
    <w:rsid w:val="00530AC8"/>
    <w:rsid w:val="005317FC"/>
    <w:rsid w:val="00531CCE"/>
    <w:rsid w:val="00531EB9"/>
    <w:rsid w:val="00532118"/>
    <w:rsid w:val="00532FBF"/>
    <w:rsid w:val="00534A5B"/>
    <w:rsid w:val="00534AA1"/>
    <w:rsid w:val="005377E3"/>
    <w:rsid w:val="00540066"/>
    <w:rsid w:val="00541B9A"/>
    <w:rsid w:val="00541C97"/>
    <w:rsid w:val="00542A77"/>
    <w:rsid w:val="00543C3D"/>
    <w:rsid w:val="00543E64"/>
    <w:rsid w:val="005444E5"/>
    <w:rsid w:val="005453BF"/>
    <w:rsid w:val="00546727"/>
    <w:rsid w:val="00546D12"/>
    <w:rsid w:val="0054777F"/>
    <w:rsid w:val="005521F1"/>
    <w:rsid w:val="005533A6"/>
    <w:rsid w:val="005539D6"/>
    <w:rsid w:val="00554508"/>
    <w:rsid w:val="00554EC1"/>
    <w:rsid w:val="00557507"/>
    <w:rsid w:val="00557649"/>
    <w:rsid w:val="00561F02"/>
    <w:rsid w:val="00562971"/>
    <w:rsid w:val="005636B2"/>
    <w:rsid w:val="0056391E"/>
    <w:rsid w:val="00563F89"/>
    <w:rsid w:val="00565275"/>
    <w:rsid w:val="00567851"/>
    <w:rsid w:val="00567F1A"/>
    <w:rsid w:val="005701CB"/>
    <w:rsid w:val="005707E4"/>
    <w:rsid w:val="00571E93"/>
    <w:rsid w:val="00572A9F"/>
    <w:rsid w:val="00573489"/>
    <w:rsid w:val="00574336"/>
    <w:rsid w:val="005747B5"/>
    <w:rsid w:val="00574A55"/>
    <w:rsid w:val="00575C6F"/>
    <w:rsid w:val="005767F3"/>
    <w:rsid w:val="00577308"/>
    <w:rsid w:val="00577452"/>
    <w:rsid w:val="00577E33"/>
    <w:rsid w:val="00580084"/>
    <w:rsid w:val="00581085"/>
    <w:rsid w:val="005822CB"/>
    <w:rsid w:val="00582F4D"/>
    <w:rsid w:val="00583FC9"/>
    <w:rsid w:val="0058514C"/>
    <w:rsid w:val="0058563A"/>
    <w:rsid w:val="005900B3"/>
    <w:rsid w:val="00590589"/>
    <w:rsid w:val="00590E7F"/>
    <w:rsid w:val="00591620"/>
    <w:rsid w:val="005929EE"/>
    <w:rsid w:val="00593607"/>
    <w:rsid w:val="0059562F"/>
    <w:rsid w:val="005966A1"/>
    <w:rsid w:val="00597614"/>
    <w:rsid w:val="00597BF7"/>
    <w:rsid w:val="00597D7D"/>
    <w:rsid w:val="005A0276"/>
    <w:rsid w:val="005A0411"/>
    <w:rsid w:val="005A09C5"/>
    <w:rsid w:val="005A168E"/>
    <w:rsid w:val="005A19C8"/>
    <w:rsid w:val="005A1BE8"/>
    <w:rsid w:val="005A423C"/>
    <w:rsid w:val="005A6533"/>
    <w:rsid w:val="005A68AD"/>
    <w:rsid w:val="005A7099"/>
    <w:rsid w:val="005A72ED"/>
    <w:rsid w:val="005B0760"/>
    <w:rsid w:val="005B1381"/>
    <w:rsid w:val="005B15BD"/>
    <w:rsid w:val="005B18D7"/>
    <w:rsid w:val="005B1B76"/>
    <w:rsid w:val="005B2EB4"/>
    <w:rsid w:val="005B372D"/>
    <w:rsid w:val="005B38D0"/>
    <w:rsid w:val="005B3ED9"/>
    <w:rsid w:val="005B554F"/>
    <w:rsid w:val="005B6882"/>
    <w:rsid w:val="005B7918"/>
    <w:rsid w:val="005B7AC8"/>
    <w:rsid w:val="005B7F5D"/>
    <w:rsid w:val="005C260D"/>
    <w:rsid w:val="005C2C87"/>
    <w:rsid w:val="005C5365"/>
    <w:rsid w:val="005C560F"/>
    <w:rsid w:val="005C5B0B"/>
    <w:rsid w:val="005C6B04"/>
    <w:rsid w:val="005C772E"/>
    <w:rsid w:val="005D0268"/>
    <w:rsid w:val="005D0FE2"/>
    <w:rsid w:val="005D0FF2"/>
    <w:rsid w:val="005D10D0"/>
    <w:rsid w:val="005D1106"/>
    <w:rsid w:val="005D1C91"/>
    <w:rsid w:val="005D211C"/>
    <w:rsid w:val="005D25E2"/>
    <w:rsid w:val="005D3F8E"/>
    <w:rsid w:val="005D5603"/>
    <w:rsid w:val="005D6BAA"/>
    <w:rsid w:val="005D6CC2"/>
    <w:rsid w:val="005D706B"/>
    <w:rsid w:val="005D74E1"/>
    <w:rsid w:val="005E05B3"/>
    <w:rsid w:val="005E238C"/>
    <w:rsid w:val="005E3052"/>
    <w:rsid w:val="005E3B36"/>
    <w:rsid w:val="005E45D9"/>
    <w:rsid w:val="005E7E4C"/>
    <w:rsid w:val="005E7F37"/>
    <w:rsid w:val="005F000D"/>
    <w:rsid w:val="005F006B"/>
    <w:rsid w:val="005F040A"/>
    <w:rsid w:val="005F0886"/>
    <w:rsid w:val="005F36C8"/>
    <w:rsid w:val="005F3DD0"/>
    <w:rsid w:val="005F4EB6"/>
    <w:rsid w:val="005F63A8"/>
    <w:rsid w:val="005F6D3C"/>
    <w:rsid w:val="005F6F92"/>
    <w:rsid w:val="005F71A5"/>
    <w:rsid w:val="00600AEB"/>
    <w:rsid w:val="0060434E"/>
    <w:rsid w:val="006052E6"/>
    <w:rsid w:val="00605D02"/>
    <w:rsid w:val="0060623E"/>
    <w:rsid w:val="006108FD"/>
    <w:rsid w:val="00611A67"/>
    <w:rsid w:val="00612B3F"/>
    <w:rsid w:val="006147FE"/>
    <w:rsid w:val="0061505F"/>
    <w:rsid w:val="00615C78"/>
    <w:rsid w:val="00617F71"/>
    <w:rsid w:val="00623937"/>
    <w:rsid w:val="00623B0C"/>
    <w:rsid w:val="00623BD4"/>
    <w:rsid w:val="0062437F"/>
    <w:rsid w:val="00625091"/>
    <w:rsid w:val="00625108"/>
    <w:rsid w:val="00625144"/>
    <w:rsid w:val="00625266"/>
    <w:rsid w:val="006266FC"/>
    <w:rsid w:val="0062752B"/>
    <w:rsid w:val="00633DBA"/>
    <w:rsid w:val="00634B6A"/>
    <w:rsid w:val="00635BB8"/>
    <w:rsid w:val="00636472"/>
    <w:rsid w:val="00636D6D"/>
    <w:rsid w:val="006403C7"/>
    <w:rsid w:val="00640489"/>
    <w:rsid w:val="0064049C"/>
    <w:rsid w:val="00642084"/>
    <w:rsid w:val="00644338"/>
    <w:rsid w:val="00644439"/>
    <w:rsid w:val="00644773"/>
    <w:rsid w:val="00644D25"/>
    <w:rsid w:val="00646033"/>
    <w:rsid w:val="00646911"/>
    <w:rsid w:val="0065036E"/>
    <w:rsid w:val="0065164D"/>
    <w:rsid w:val="00652AAD"/>
    <w:rsid w:val="00655F9D"/>
    <w:rsid w:val="00657504"/>
    <w:rsid w:val="00657763"/>
    <w:rsid w:val="00660586"/>
    <w:rsid w:val="00660D27"/>
    <w:rsid w:val="00660F14"/>
    <w:rsid w:val="006616BB"/>
    <w:rsid w:val="00661E22"/>
    <w:rsid w:val="006631B9"/>
    <w:rsid w:val="00663898"/>
    <w:rsid w:val="00664F0C"/>
    <w:rsid w:val="006673A9"/>
    <w:rsid w:val="00667467"/>
    <w:rsid w:val="00667D3F"/>
    <w:rsid w:val="00667D8D"/>
    <w:rsid w:val="00670184"/>
    <w:rsid w:val="0067080C"/>
    <w:rsid w:val="006728C1"/>
    <w:rsid w:val="00673D97"/>
    <w:rsid w:val="0067496B"/>
    <w:rsid w:val="00675E4E"/>
    <w:rsid w:val="00676187"/>
    <w:rsid w:val="00676278"/>
    <w:rsid w:val="00680753"/>
    <w:rsid w:val="0068076B"/>
    <w:rsid w:val="00680AC8"/>
    <w:rsid w:val="00680C8A"/>
    <w:rsid w:val="00680F59"/>
    <w:rsid w:val="00681215"/>
    <w:rsid w:val="006816E9"/>
    <w:rsid w:val="006817F9"/>
    <w:rsid w:val="00681BF0"/>
    <w:rsid w:val="00681CA0"/>
    <w:rsid w:val="0068262C"/>
    <w:rsid w:val="00682E09"/>
    <w:rsid w:val="00682F6E"/>
    <w:rsid w:val="00683796"/>
    <w:rsid w:val="00683F72"/>
    <w:rsid w:val="00684092"/>
    <w:rsid w:val="006842A5"/>
    <w:rsid w:val="006862BA"/>
    <w:rsid w:val="00686507"/>
    <w:rsid w:val="00686C65"/>
    <w:rsid w:val="00687565"/>
    <w:rsid w:val="006917B1"/>
    <w:rsid w:val="00691882"/>
    <w:rsid w:val="00693644"/>
    <w:rsid w:val="00696753"/>
    <w:rsid w:val="006971DB"/>
    <w:rsid w:val="0069742C"/>
    <w:rsid w:val="00697567"/>
    <w:rsid w:val="00697ED1"/>
    <w:rsid w:val="006A15EF"/>
    <w:rsid w:val="006A24B4"/>
    <w:rsid w:val="006A3023"/>
    <w:rsid w:val="006A4DAB"/>
    <w:rsid w:val="006A4E48"/>
    <w:rsid w:val="006A5DB3"/>
    <w:rsid w:val="006A70C0"/>
    <w:rsid w:val="006A7A93"/>
    <w:rsid w:val="006B0634"/>
    <w:rsid w:val="006B1149"/>
    <w:rsid w:val="006B3C33"/>
    <w:rsid w:val="006B4195"/>
    <w:rsid w:val="006B5243"/>
    <w:rsid w:val="006B5668"/>
    <w:rsid w:val="006B5DA5"/>
    <w:rsid w:val="006B6AC4"/>
    <w:rsid w:val="006B73CB"/>
    <w:rsid w:val="006C0A1A"/>
    <w:rsid w:val="006C0B27"/>
    <w:rsid w:val="006C1097"/>
    <w:rsid w:val="006C2539"/>
    <w:rsid w:val="006C25DE"/>
    <w:rsid w:val="006C3925"/>
    <w:rsid w:val="006C4D9B"/>
    <w:rsid w:val="006C5369"/>
    <w:rsid w:val="006C56AC"/>
    <w:rsid w:val="006C6798"/>
    <w:rsid w:val="006C6E18"/>
    <w:rsid w:val="006C7F4F"/>
    <w:rsid w:val="006D27B9"/>
    <w:rsid w:val="006D4287"/>
    <w:rsid w:val="006D46D1"/>
    <w:rsid w:val="006D537C"/>
    <w:rsid w:val="006D6D76"/>
    <w:rsid w:val="006D6E64"/>
    <w:rsid w:val="006E15A8"/>
    <w:rsid w:val="006E21A4"/>
    <w:rsid w:val="006E320E"/>
    <w:rsid w:val="006E49B6"/>
    <w:rsid w:val="006E4CC2"/>
    <w:rsid w:val="006E4FE7"/>
    <w:rsid w:val="006E521F"/>
    <w:rsid w:val="006E55B7"/>
    <w:rsid w:val="006E767E"/>
    <w:rsid w:val="006F1B6C"/>
    <w:rsid w:val="006F2060"/>
    <w:rsid w:val="006F36B1"/>
    <w:rsid w:val="006F3746"/>
    <w:rsid w:val="006F4431"/>
    <w:rsid w:val="006F46B5"/>
    <w:rsid w:val="006F4C6E"/>
    <w:rsid w:val="006F4DF1"/>
    <w:rsid w:val="006F57D4"/>
    <w:rsid w:val="006F5C1D"/>
    <w:rsid w:val="006F6422"/>
    <w:rsid w:val="00700E6E"/>
    <w:rsid w:val="00706798"/>
    <w:rsid w:val="007067E8"/>
    <w:rsid w:val="007073E6"/>
    <w:rsid w:val="0070791B"/>
    <w:rsid w:val="00710885"/>
    <w:rsid w:val="007118AE"/>
    <w:rsid w:val="00711D43"/>
    <w:rsid w:val="00712451"/>
    <w:rsid w:val="00713108"/>
    <w:rsid w:val="00713F17"/>
    <w:rsid w:val="00714683"/>
    <w:rsid w:val="007148FB"/>
    <w:rsid w:val="0071582B"/>
    <w:rsid w:val="00715AF8"/>
    <w:rsid w:val="00716415"/>
    <w:rsid w:val="00716B5B"/>
    <w:rsid w:val="00717786"/>
    <w:rsid w:val="00717979"/>
    <w:rsid w:val="007224BF"/>
    <w:rsid w:val="007228D4"/>
    <w:rsid w:val="007229E0"/>
    <w:rsid w:val="00722AB4"/>
    <w:rsid w:val="00725594"/>
    <w:rsid w:val="00725677"/>
    <w:rsid w:val="00727E5F"/>
    <w:rsid w:val="007308DB"/>
    <w:rsid w:val="00730CA0"/>
    <w:rsid w:val="00730EC5"/>
    <w:rsid w:val="00731D4D"/>
    <w:rsid w:val="00732686"/>
    <w:rsid w:val="0073381E"/>
    <w:rsid w:val="00733DC8"/>
    <w:rsid w:val="00733F42"/>
    <w:rsid w:val="007345F2"/>
    <w:rsid w:val="007346AC"/>
    <w:rsid w:val="00734FCC"/>
    <w:rsid w:val="00736637"/>
    <w:rsid w:val="00736E7F"/>
    <w:rsid w:val="007378D9"/>
    <w:rsid w:val="00737A3E"/>
    <w:rsid w:val="00737E70"/>
    <w:rsid w:val="00737F79"/>
    <w:rsid w:val="00741AE8"/>
    <w:rsid w:val="00741D41"/>
    <w:rsid w:val="007438A8"/>
    <w:rsid w:val="00743B3E"/>
    <w:rsid w:val="00743C38"/>
    <w:rsid w:val="0074409E"/>
    <w:rsid w:val="007448C2"/>
    <w:rsid w:val="007452E7"/>
    <w:rsid w:val="007469C8"/>
    <w:rsid w:val="00746E70"/>
    <w:rsid w:val="00750D0F"/>
    <w:rsid w:val="00751E95"/>
    <w:rsid w:val="00752BF5"/>
    <w:rsid w:val="0075368D"/>
    <w:rsid w:val="007538EF"/>
    <w:rsid w:val="00754142"/>
    <w:rsid w:val="00754ABE"/>
    <w:rsid w:val="00755178"/>
    <w:rsid w:val="007558EE"/>
    <w:rsid w:val="00756302"/>
    <w:rsid w:val="00756323"/>
    <w:rsid w:val="0075649A"/>
    <w:rsid w:val="00757557"/>
    <w:rsid w:val="00760735"/>
    <w:rsid w:val="007609E7"/>
    <w:rsid w:val="00760B0F"/>
    <w:rsid w:val="00762107"/>
    <w:rsid w:val="00762554"/>
    <w:rsid w:val="0076309F"/>
    <w:rsid w:val="00763693"/>
    <w:rsid w:val="00763CFD"/>
    <w:rsid w:val="00763E3E"/>
    <w:rsid w:val="0076459B"/>
    <w:rsid w:val="007646CB"/>
    <w:rsid w:val="00764F9C"/>
    <w:rsid w:val="00765864"/>
    <w:rsid w:val="00770278"/>
    <w:rsid w:val="007708C5"/>
    <w:rsid w:val="0077110D"/>
    <w:rsid w:val="0077155E"/>
    <w:rsid w:val="00772015"/>
    <w:rsid w:val="0077285C"/>
    <w:rsid w:val="00773073"/>
    <w:rsid w:val="00773155"/>
    <w:rsid w:val="007752FA"/>
    <w:rsid w:val="0077569C"/>
    <w:rsid w:val="00776339"/>
    <w:rsid w:val="007779AC"/>
    <w:rsid w:val="00777E76"/>
    <w:rsid w:val="00780DE7"/>
    <w:rsid w:val="00780DEF"/>
    <w:rsid w:val="00780E7A"/>
    <w:rsid w:val="0078147B"/>
    <w:rsid w:val="00782FCD"/>
    <w:rsid w:val="0078328A"/>
    <w:rsid w:val="007834DC"/>
    <w:rsid w:val="00783E34"/>
    <w:rsid w:val="00784030"/>
    <w:rsid w:val="0078494E"/>
    <w:rsid w:val="00785473"/>
    <w:rsid w:val="00785519"/>
    <w:rsid w:val="0078630D"/>
    <w:rsid w:val="007864E8"/>
    <w:rsid w:val="0078657C"/>
    <w:rsid w:val="007901FE"/>
    <w:rsid w:val="00790831"/>
    <w:rsid w:val="00790CAC"/>
    <w:rsid w:val="0079173C"/>
    <w:rsid w:val="00794377"/>
    <w:rsid w:val="00795683"/>
    <w:rsid w:val="007979C8"/>
    <w:rsid w:val="007A18DD"/>
    <w:rsid w:val="007A1CD2"/>
    <w:rsid w:val="007A1FBC"/>
    <w:rsid w:val="007A2820"/>
    <w:rsid w:val="007A3975"/>
    <w:rsid w:val="007A4F1F"/>
    <w:rsid w:val="007B2317"/>
    <w:rsid w:val="007B2C55"/>
    <w:rsid w:val="007B3A9A"/>
    <w:rsid w:val="007B59EF"/>
    <w:rsid w:val="007B5D61"/>
    <w:rsid w:val="007B601D"/>
    <w:rsid w:val="007B743D"/>
    <w:rsid w:val="007B7AB1"/>
    <w:rsid w:val="007C01DE"/>
    <w:rsid w:val="007C04EA"/>
    <w:rsid w:val="007C0845"/>
    <w:rsid w:val="007C2961"/>
    <w:rsid w:val="007C3271"/>
    <w:rsid w:val="007C3F36"/>
    <w:rsid w:val="007C41EA"/>
    <w:rsid w:val="007C421D"/>
    <w:rsid w:val="007C4637"/>
    <w:rsid w:val="007C477C"/>
    <w:rsid w:val="007C4A71"/>
    <w:rsid w:val="007C4B5E"/>
    <w:rsid w:val="007C505E"/>
    <w:rsid w:val="007C52CD"/>
    <w:rsid w:val="007C5913"/>
    <w:rsid w:val="007C5D52"/>
    <w:rsid w:val="007C6E74"/>
    <w:rsid w:val="007C7B53"/>
    <w:rsid w:val="007D0F44"/>
    <w:rsid w:val="007D131A"/>
    <w:rsid w:val="007D1DEC"/>
    <w:rsid w:val="007D216B"/>
    <w:rsid w:val="007D3A9E"/>
    <w:rsid w:val="007D4074"/>
    <w:rsid w:val="007D4B83"/>
    <w:rsid w:val="007D6454"/>
    <w:rsid w:val="007D72E4"/>
    <w:rsid w:val="007D7DA8"/>
    <w:rsid w:val="007E025F"/>
    <w:rsid w:val="007E0D32"/>
    <w:rsid w:val="007E1439"/>
    <w:rsid w:val="007E192A"/>
    <w:rsid w:val="007E19BF"/>
    <w:rsid w:val="007E3EDD"/>
    <w:rsid w:val="007E4EEA"/>
    <w:rsid w:val="007E57A0"/>
    <w:rsid w:val="007E65D7"/>
    <w:rsid w:val="007E6EEB"/>
    <w:rsid w:val="007E72D7"/>
    <w:rsid w:val="007E78E0"/>
    <w:rsid w:val="007F00EB"/>
    <w:rsid w:val="007F11A0"/>
    <w:rsid w:val="007F25A5"/>
    <w:rsid w:val="007F2A67"/>
    <w:rsid w:val="007F4F9D"/>
    <w:rsid w:val="007F67F8"/>
    <w:rsid w:val="007F68E6"/>
    <w:rsid w:val="007F72B9"/>
    <w:rsid w:val="00800519"/>
    <w:rsid w:val="00800E4A"/>
    <w:rsid w:val="00801955"/>
    <w:rsid w:val="0080223E"/>
    <w:rsid w:val="0080286C"/>
    <w:rsid w:val="00802BE2"/>
    <w:rsid w:val="00802DBB"/>
    <w:rsid w:val="00803A7B"/>
    <w:rsid w:val="00804332"/>
    <w:rsid w:val="008043A7"/>
    <w:rsid w:val="00804E8D"/>
    <w:rsid w:val="008050E7"/>
    <w:rsid w:val="0081057A"/>
    <w:rsid w:val="00811B53"/>
    <w:rsid w:val="00811DBE"/>
    <w:rsid w:val="0081209B"/>
    <w:rsid w:val="008122EA"/>
    <w:rsid w:val="00812785"/>
    <w:rsid w:val="008129E2"/>
    <w:rsid w:val="00813A76"/>
    <w:rsid w:val="00813D80"/>
    <w:rsid w:val="00813E3D"/>
    <w:rsid w:val="00815589"/>
    <w:rsid w:val="008156F8"/>
    <w:rsid w:val="00815CE7"/>
    <w:rsid w:val="008161F6"/>
    <w:rsid w:val="00816A10"/>
    <w:rsid w:val="00817C73"/>
    <w:rsid w:val="00817D7E"/>
    <w:rsid w:val="0082029E"/>
    <w:rsid w:val="008210DF"/>
    <w:rsid w:val="008229F4"/>
    <w:rsid w:val="00822B22"/>
    <w:rsid w:val="00824E9E"/>
    <w:rsid w:val="0082539D"/>
    <w:rsid w:val="008255AB"/>
    <w:rsid w:val="0082573B"/>
    <w:rsid w:val="00825871"/>
    <w:rsid w:val="00826DD6"/>
    <w:rsid w:val="00826FF6"/>
    <w:rsid w:val="0082749D"/>
    <w:rsid w:val="00830BA9"/>
    <w:rsid w:val="00832145"/>
    <w:rsid w:val="00832340"/>
    <w:rsid w:val="00832816"/>
    <w:rsid w:val="0083330F"/>
    <w:rsid w:val="00833E9B"/>
    <w:rsid w:val="008340E6"/>
    <w:rsid w:val="00834DEC"/>
    <w:rsid w:val="00834E1F"/>
    <w:rsid w:val="00834F15"/>
    <w:rsid w:val="0083552D"/>
    <w:rsid w:val="0084232E"/>
    <w:rsid w:val="00842671"/>
    <w:rsid w:val="0084277F"/>
    <w:rsid w:val="00844620"/>
    <w:rsid w:val="00844C2F"/>
    <w:rsid w:val="00844F30"/>
    <w:rsid w:val="008461CF"/>
    <w:rsid w:val="008518E9"/>
    <w:rsid w:val="00851E8B"/>
    <w:rsid w:val="00854183"/>
    <w:rsid w:val="00854221"/>
    <w:rsid w:val="008547F8"/>
    <w:rsid w:val="00856276"/>
    <w:rsid w:val="008563EB"/>
    <w:rsid w:val="00857882"/>
    <w:rsid w:val="00857FF8"/>
    <w:rsid w:val="00860587"/>
    <w:rsid w:val="00861009"/>
    <w:rsid w:val="0086211A"/>
    <w:rsid w:val="00862DDC"/>
    <w:rsid w:val="00863E7A"/>
    <w:rsid w:val="00865190"/>
    <w:rsid w:val="0086563C"/>
    <w:rsid w:val="00865BA2"/>
    <w:rsid w:val="008669C7"/>
    <w:rsid w:val="00867048"/>
    <w:rsid w:val="008704D1"/>
    <w:rsid w:val="008709D4"/>
    <w:rsid w:val="00870B1A"/>
    <w:rsid w:val="00870DB1"/>
    <w:rsid w:val="00870F66"/>
    <w:rsid w:val="00872187"/>
    <w:rsid w:val="00872C25"/>
    <w:rsid w:val="008743EF"/>
    <w:rsid w:val="008744BE"/>
    <w:rsid w:val="00874946"/>
    <w:rsid w:val="00875523"/>
    <w:rsid w:val="008760FD"/>
    <w:rsid w:val="00876A39"/>
    <w:rsid w:val="00876F69"/>
    <w:rsid w:val="00877AF9"/>
    <w:rsid w:val="00877CC5"/>
    <w:rsid w:val="0088025E"/>
    <w:rsid w:val="00880906"/>
    <w:rsid w:val="0088184A"/>
    <w:rsid w:val="00882126"/>
    <w:rsid w:val="008821EF"/>
    <w:rsid w:val="00883345"/>
    <w:rsid w:val="00883ABE"/>
    <w:rsid w:val="00884664"/>
    <w:rsid w:val="00884D47"/>
    <w:rsid w:val="008856C9"/>
    <w:rsid w:val="00885F51"/>
    <w:rsid w:val="00886255"/>
    <w:rsid w:val="00886408"/>
    <w:rsid w:val="00886EE1"/>
    <w:rsid w:val="00887300"/>
    <w:rsid w:val="00887B73"/>
    <w:rsid w:val="00887EA7"/>
    <w:rsid w:val="00887F66"/>
    <w:rsid w:val="00891686"/>
    <w:rsid w:val="0089304B"/>
    <w:rsid w:val="008932C7"/>
    <w:rsid w:val="008936AD"/>
    <w:rsid w:val="0089393B"/>
    <w:rsid w:val="008939E3"/>
    <w:rsid w:val="00893E11"/>
    <w:rsid w:val="008947E9"/>
    <w:rsid w:val="0089483A"/>
    <w:rsid w:val="00894A84"/>
    <w:rsid w:val="00895356"/>
    <w:rsid w:val="00897645"/>
    <w:rsid w:val="008A0CAA"/>
    <w:rsid w:val="008A2111"/>
    <w:rsid w:val="008A2264"/>
    <w:rsid w:val="008A2C92"/>
    <w:rsid w:val="008A3426"/>
    <w:rsid w:val="008A3B0A"/>
    <w:rsid w:val="008A7110"/>
    <w:rsid w:val="008A7DDD"/>
    <w:rsid w:val="008B0B45"/>
    <w:rsid w:val="008B1F4D"/>
    <w:rsid w:val="008B2824"/>
    <w:rsid w:val="008B2BE0"/>
    <w:rsid w:val="008B2F5B"/>
    <w:rsid w:val="008B47F1"/>
    <w:rsid w:val="008B55C0"/>
    <w:rsid w:val="008B6F1B"/>
    <w:rsid w:val="008C03D6"/>
    <w:rsid w:val="008C1677"/>
    <w:rsid w:val="008C1D7A"/>
    <w:rsid w:val="008C2704"/>
    <w:rsid w:val="008C30FE"/>
    <w:rsid w:val="008C35CA"/>
    <w:rsid w:val="008C3BC9"/>
    <w:rsid w:val="008C41B8"/>
    <w:rsid w:val="008C66FF"/>
    <w:rsid w:val="008C6956"/>
    <w:rsid w:val="008C6E10"/>
    <w:rsid w:val="008C7F73"/>
    <w:rsid w:val="008D2908"/>
    <w:rsid w:val="008D3120"/>
    <w:rsid w:val="008D36BB"/>
    <w:rsid w:val="008D41B1"/>
    <w:rsid w:val="008D5175"/>
    <w:rsid w:val="008D5FA5"/>
    <w:rsid w:val="008D60CE"/>
    <w:rsid w:val="008D63ED"/>
    <w:rsid w:val="008D644E"/>
    <w:rsid w:val="008D7B0A"/>
    <w:rsid w:val="008D7B57"/>
    <w:rsid w:val="008E049C"/>
    <w:rsid w:val="008E06F4"/>
    <w:rsid w:val="008E12AE"/>
    <w:rsid w:val="008E1B66"/>
    <w:rsid w:val="008E224C"/>
    <w:rsid w:val="008E453A"/>
    <w:rsid w:val="008E473A"/>
    <w:rsid w:val="008E5565"/>
    <w:rsid w:val="008E5B8A"/>
    <w:rsid w:val="008E7272"/>
    <w:rsid w:val="008E7DA0"/>
    <w:rsid w:val="008F0088"/>
    <w:rsid w:val="008F2E70"/>
    <w:rsid w:val="008F35A6"/>
    <w:rsid w:val="008F3CCB"/>
    <w:rsid w:val="008F5044"/>
    <w:rsid w:val="008F5703"/>
    <w:rsid w:val="008F59B1"/>
    <w:rsid w:val="008F5DEC"/>
    <w:rsid w:val="008F6368"/>
    <w:rsid w:val="00900C5C"/>
    <w:rsid w:val="0090114D"/>
    <w:rsid w:val="00901E4E"/>
    <w:rsid w:val="00902E23"/>
    <w:rsid w:val="0090318A"/>
    <w:rsid w:val="00903B7B"/>
    <w:rsid w:val="009048BF"/>
    <w:rsid w:val="00904AB4"/>
    <w:rsid w:val="0090598D"/>
    <w:rsid w:val="00905B35"/>
    <w:rsid w:val="009063FB"/>
    <w:rsid w:val="0090642B"/>
    <w:rsid w:val="009072B0"/>
    <w:rsid w:val="00907FC6"/>
    <w:rsid w:val="009102F1"/>
    <w:rsid w:val="00910500"/>
    <w:rsid w:val="00910B77"/>
    <w:rsid w:val="00910BBC"/>
    <w:rsid w:val="009110B7"/>
    <w:rsid w:val="0091153E"/>
    <w:rsid w:val="009122C3"/>
    <w:rsid w:val="00912A81"/>
    <w:rsid w:val="00913AA8"/>
    <w:rsid w:val="00913C9E"/>
    <w:rsid w:val="009145CF"/>
    <w:rsid w:val="00914AC1"/>
    <w:rsid w:val="00916A4F"/>
    <w:rsid w:val="009172F1"/>
    <w:rsid w:val="009175D2"/>
    <w:rsid w:val="00917735"/>
    <w:rsid w:val="00920386"/>
    <w:rsid w:val="00920CBE"/>
    <w:rsid w:val="0092100D"/>
    <w:rsid w:val="00921162"/>
    <w:rsid w:val="0092467D"/>
    <w:rsid w:val="009247D7"/>
    <w:rsid w:val="00924E2A"/>
    <w:rsid w:val="00925A7D"/>
    <w:rsid w:val="00925DB7"/>
    <w:rsid w:val="00925EBA"/>
    <w:rsid w:val="00926384"/>
    <w:rsid w:val="009265F3"/>
    <w:rsid w:val="00926B9E"/>
    <w:rsid w:val="00931952"/>
    <w:rsid w:val="00931F60"/>
    <w:rsid w:val="009320FE"/>
    <w:rsid w:val="00932946"/>
    <w:rsid w:val="00932BFF"/>
    <w:rsid w:val="00933157"/>
    <w:rsid w:val="00933363"/>
    <w:rsid w:val="00933A66"/>
    <w:rsid w:val="00934160"/>
    <w:rsid w:val="00934A18"/>
    <w:rsid w:val="009357AF"/>
    <w:rsid w:val="00935B25"/>
    <w:rsid w:val="0093668F"/>
    <w:rsid w:val="009367C9"/>
    <w:rsid w:val="0093798A"/>
    <w:rsid w:val="00937D77"/>
    <w:rsid w:val="00937F39"/>
    <w:rsid w:val="00940E48"/>
    <w:rsid w:val="009419D1"/>
    <w:rsid w:val="009421E3"/>
    <w:rsid w:val="00943242"/>
    <w:rsid w:val="009455DC"/>
    <w:rsid w:val="00946301"/>
    <w:rsid w:val="00946BBF"/>
    <w:rsid w:val="00947005"/>
    <w:rsid w:val="009474F2"/>
    <w:rsid w:val="00950AA0"/>
    <w:rsid w:val="00953D69"/>
    <w:rsid w:val="00954602"/>
    <w:rsid w:val="00954EBA"/>
    <w:rsid w:val="009564FA"/>
    <w:rsid w:val="00956551"/>
    <w:rsid w:val="00956DA9"/>
    <w:rsid w:val="009572DD"/>
    <w:rsid w:val="009575EF"/>
    <w:rsid w:val="00960033"/>
    <w:rsid w:val="00960D18"/>
    <w:rsid w:val="00961533"/>
    <w:rsid w:val="00961854"/>
    <w:rsid w:val="00961CAD"/>
    <w:rsid w:val="0096239C"/>
    <w:rsid w:val="00962693"/>
    <w:rsid w:val="00962FB4"/>
    <w:rsid w:val="00963540"/>
    <w:rsid w:val="00964EC1"/>
    <w:rsid w:val="00965EE3"/>
    <w:rsid w:val="009660B5"/>
    <w:rsid w:val="00966907"/>
    <w:rsid w:val="009673DB"/>
    <w:rsid w:val="00967515"/>
    <w:rsid w:val="00967CC8"/>
    <w:rsid w:val="00967DE3"/>
    <w:rsid w:val="00970AC7"/>
    <w:rsid w:val="00970D59"/>
    <w:rsid w:val="009710ED"/>
    <w:rsid w:val="009720BE"/>
    <w:rsid w:val="009722D9"/>
    <w:rsid w:val="00973686"/>
    <w:rsid w:val="00973701"/>
    <w:rsid w:val="00974553"/>
    <w:rsid w:val="00977130"/>
    <w:rsid w:val="00977222"/>
    <w:rsid w:val="00977977"/>
    <w:rsid w:val="00980CD1"/>
    <w:rsid w:val="009811CB"/>
    <w:rsid w:val="00981FF6"/>
    <w:rsid w:val="0098245F"/>
    <w:rsid w:val="009826D0"/>
    <w:rsid w:val="00982FAD"/>
    <w:rsid w:val="009836F6"/>
    <w:rsid w:val="009840A5"/>
    <w:rsid w:val="009850CD"/>
    <w:rsid w:val="009861A0"/>
    <w:rsid w:val="009879C7"/>
    <w:rsid w:val="00987D63"/>
    <w:rsid w:val="0099026D"/>
    <w:rsid w:val="00991225"/>
    <w:rsid w:val="00991E16"/>
    <w:rsid w:val="00992699"/>
    <w:rsid w:val="00994D4E"/>
    <w:rsid w:val="0099524B"/>
    <w:rsid w:val="009956B1"/>
    <w:rsid w:val="009966AC"/>
    <w:rsid w:val="00996C06"/>
    <w:rsid w:val="00997D30"/>
    <w:rsid w:val="009A0D6F"/>
    <w:rsid w:val="009A13C6"/>
    <w:rsid w:val="009A365F"/>
    <w:rsid w:val="009A36FE"/>
    <w:rsid w:val="009A4CD0"/>
    <w:rsid w:val="009A70B4"/>
    <w:rsid w:val="009A7332"/>
    <w:rsid w:val="009B028A"/>
    <w:rsid w:val="009B08F0"/>
    <w:rsid w:val="009B2A0D"/>
    <w:rsid w:val="009B2EEB"/>
    <w:rsid w:val="009B36A8"/>
    <w:rsid w:val="009B43EA"/>
    <w:rsid w:val="009B4BFB"/>
    <w:rsid w:val="009B5368"/>
    <w:rsid w:val="009B5A54"/>
    <w:rsid w:val="009B5BDC"/>
    <w:rsid w:val="009B6091"/>
    <w:rsid w:val="009B657B"/>
    <w:rsid w:val="009B67A9"/>
    <w:rsid w:val="009B7049"/>
    <w:rsid w:val="009B7693"/>
    <w:rsid w:val="009C1120"/>
    <w:rsid w:val="009C195B"/>
    <w:rsid w:val="009C254D"/>
    <w:rsid w:val="009C3250"/>
    <w:rsid w:val="009C32D9"/>
    <w:rsid w:val="009C4120"/>
    <w:rsid w:val="009C4D29"/>
    <w:rsid w:val="009C54F0"/>
    <w:rsid w:val="009C5945"/>
    <w:rsid w:val="009C6FE7"/>
    <w:rsid w:val="009C7029"/>
    <w:rsid w:val="009D0F04"/>
    <w:rsid w:val="009D115E"/>
    <w:rsid w:val="009D2055"/>
    <w:rsid w:val="009D319D"/>
    <w:rsid w:val="009D35D3"/>
    <w:rsid w:val="009D4335"/>
    <w:rsid w:val="009D4C27"/>
    <w:rsid w:val="009D6014"/>
    <w:rsid w:val="009D6109"/>
    <w:rsid w:val="009E111A"/>
    <w:rsid w:val="009E1CDA"/>
    <w:rsid w:val="009E212D"/>
    <w:rsid w:val="009E39AB"/>
    <w:rsid w:val="009E525C"/>
    <w:rsid w:val="009E527F"/>
    <w:rsid w:val="009E6BAF"/>
    <w:rsid w:val="009E6CFE"/>
    <w:rsid w:val="009E6E9D"/>
    <w:rsid w:val="009E70DC"/>
    <w:rsid w:val="009E77B6"/>
    <w:rsid w:val="009E7F7C"/>
    <w:rsid w:val="009F0385"/>
    <w:rsid w:val="009F236C"/>
    <w:rsid w:val="009F2CEF"/>
    <w:rsid w:val="009F31D2"/>
    <w:rsid w:val="009F3778"/>
    <w:rsid w:val="009F43EB"/>
    <w:rsid w:val="009F5083"/>
    <w:rsid w:val="009F59A3"/>
    <w:rsid w:val="009F634E"/>
    <w:rsid w:val="009F7D6C"/>
    <w:rsid w:val="00A001E1"/>
    <w:rsid w:val="00A00453"/>
    <w:rsid w:val="00A00847"/>
    <w:rsid w:val="00A026C9"/>
    <w:rsid w:val="00A036A9"/>
    <w:rsid w:val="00A04B16"/>
    <w:rsid w:val="00A05B04"/>
    <w:rsid w:val="00A11A0F"/>
    <w:rsid w:val="00A11C77"/>
    <w:rsid w:val="00A13172"/>
    <w:rsid w:val="00A1323D"/>
    <w:rsid w:val="00A13615"/>
    <w:rsid w:val="00A13F04"/>
    <w:rsid w:val="00A14698"/>
    <w:rsid w:val="00A14938"/>
    <w:rsid w:val="00A20582"/>
    <w:rsid w:val="00A20883"/>
    <w:rsid w:val="00A20F13"/>
    <w:rsid w:val="00A21172"/>
    <w:rsid w:val="00A21BF3"/>
    <w:rsid w:val="00A22446"/>
    <w:rsid w:val="00A23107"/>
    <w:rsid w:val="00A2578D"/>
    <w:rsid w:val="00A26163"/>
    <w:rsid w:val="00A261F6"/>
    <w:rsid w:val="00A262F2"/>
    <w:rsid w:val="00A26342"/>
    <w:rsid w:val="00A263E2"/>
    <w:rsid w:val="00A27399"/>
    <w:rsid w:val="00A27590"/>
    <w:rsid w:val="00A279AE"/>
    <w:rsid w:val="00A27E9F"/>
    <w:rsid w:val="00A30147"/>
    <w:rsid w:val="00A307F6"/>
    <w:rsid w:val="00A34D10"/>
    <w:rsid w:val="00A352B5"/>
    <w:rsid w:val="00A35424"/>
    <w:rsid w:val="00A35867"/>
    <w:rsid w:val="00A36EFD"/>
    <w:rsid w:val="00A405FA"/>
    <w:rsid w:val="00A40B1D"/>
    <w:rsid w:val="00A41001"/>
    <w:rsid w:val="00A4130A"/>
    <w:rsid w:val="00A42770"/>
    <w:rsid w:val="00A42DEE"/>
    <w:rsid w:val="00A42E56"/>
    <w:rsid w:val="00A43F14"/>
    <w:rsid w:val="00A43FD8"/>
    <w:rsid w:val="00A449F3"/>
    <w:rsid w:val="00A45BBB"/>
    <w:rsid w:val="00A46AAA"/>
    <w:rsid w:val="00A47249"/>
    <w:rsid w:val="00A473FB"/>
    <w:rsid w:val="00A47ED2"/>
    <w:rsid w:val="00A50D0D"/>
    <w:rsid w:val="00A51541"/>
    <w:rsid w:val="00A51F2D"/>
    <w:rsid w:val="00A5302C"/>
    <w:rsid w:val="00A54336"/>
    <w:rsid w:val="00A54B80"/>
    <w:rsid w:val="00A551A4"/>
    <w:rsid w:val="00A55543"/>
    <w:rsid w:val="00A5735A"/>
    <w:rsid w:val="00A61E45"/>
    <w:rsid w:val="00A6272B"/>
    <w:rsid w:val="00A649D2"/>
    <w:rsid w:val="00A653FA"/>
    <w:rsid w:val="00A66859"/>
    <w:rsid w:val="00A70534"/>
    <w:rsid w:val="00A71477"/>
    <w:rsid w:val="00A71A92"/>
    <w:rsid w:val="00A71DBC"/>
    <w:rsid w:val="00A71DFF"/>
    <w:rsid w:val="00A725F1"/>
    <w:rsid w:val="00A7320E"/>
    <w:rsid w:val="00A73CD0"/>
    <w:rsid w:val="00A75848"/>
    <w:rsid w:val="00A75A37"/>
    <w:rsid w:val="00A7692D"/>
    <w:rsid w:val="00A77A0C"/>
    <w:rsid w:val="00A77E66"/>
    <w:rsid w:val="00A77F5B"/>
    <w:rsid w:val="00A8099C"/>
    <w:rsid w:val="00A8251E"/>
    <w:rsid w:val="00A839C5"/>
    <w:rsid w:val="00A8614B"/>
    <w:rsid w:val="00A87154"/>
    <w:rsid w:val="00A90269"/>
    <w:rsid w:val="00A9213D"/>
    <w:rsid w:val="00A9338E"/>
    <w:rsid w:val="00A93761"/>
    <w:rsid w:val="00A937F5"/>
    <w:rsid w:val="00A94422"/>
    <w:rsid w:val="00A9569B"/>
    <w:rsid w:val="00A956B9"/>
    <w:rsid w:val="00AA162E"/>
    <w:rsid w:val="00AA2C42"/>
    <w:rsid w:val="00AA544E"/>
    <w:rsid w:val="00AA603E"/>
    <w:rsid w:val="00AA68E3"/>
    <w:rsid w:val="00AA7D28"/>
    <w:rsid w:val="00AB087A"/>
    <w:rsid w:val="00AB0BE6"/>
    <w:rsid w:val="00AB2A7C"/>
    <w:rsid w:val="00AB2B37"/>
    <w:rsid w:val="00AB34CE"/>
    <w:rsid w:val="00AB40C5"/>
    <w:rsid w:val="00AB4397"/>
    <w:rsid w:val="00AB6433"/>
    <w:rsid w:val="00AB6485"/>
    <w:rsid w:val="00AB6512"/>
    <w:rsid w:val="00AC0392"/>
    <w:rsid w:val="00AC0C3C"/>
    <w:rsid w:val="00AC15BF"/>
    <w:rsid w:val="00AC1A96"/>
    <w:rsid w:val="00AC2340"/>
    <w:rsid w:val="00AC328B"/>
    <w:rsid w:val="00AC4E81"/>
    <w:rsid w:val="00AC5079"/>
    <w:rsid w:val="00AC5442"/>
    <w:rsid w:val="00AC6393"/>
    <w:rsid w:val="00AC711F"/>
    <w:rsid w:val="00AC7202"/>
    <w:rsid w:val="00AD0D1A"/>
    <w:rsid w:val="00AD0E7C"/>
    <w:rsid w:val="00AD1E81"/>
    <w:rsid w:val="00AD2906"/>
    <w:rsid w:val="00AD4607"/>
    <w:rsid w:val="00AD5BB4"/>
    <w:rsid w:val="00AD625F"/>
    <w:rsid w:val="00AD6541"/>
    <w:rsid w:val="00AD6D9B"/>
    <w:rsid w:val="00AE0B83"/>
    <w:rsid w:val="00AE1678"/>
    <w:rsid w:val="00AE1FEE"/>
    <w:rsid w:val="00AE2BBC"/>
    <w:rsid w:val="00AE2FE0"/>
    <w:rsid w:val="00AE3E2D"/>
    <w:rsid w:val="00AE4A82"/>
    <w:rsid w:val="00AE5397"/>
    <w:rsid w:val="00AE6F94"/>
    <w:rsid w:val="00AF0451"/>
    <w:rsid w:val="00AF1640"/>
    <w:rsid w:val="00AF174F"/>
    <w:rsid w:val="00AF2201"/>
    <w:rsid w:val="00AF2948"/>
    <w:rsid w:val="00AF2A47"/>
    <w:rsid w:val="00AF3187"/>
    <w:rsid w:val="00AF3B3A"/>
    <w:rsid w:val="00AF503B"/>
    <w:rsid w:val="00AF51EA"/>
    <w:rsid w:val="00AF5517"/>
    <w:rsid w:val="00AF63AD"/>
    <w:rsid w:val="00AF6BB3"/>
    <w:rsid w:val="00B00000"/>
    <w:rsid w:val="00B00029"/>
    <w:rsid w:val="00B0148C"/>
    <w:rsid w:val="00B01CE5"/>
    <w:rsid w:val="00B01E68"/>
    <w:rsid w:val="00B0217B"/>
    <w:rsid w:val="00B0260D"/>
    <w:rsid w:val="00B02BAE"/>
    <w:rsid w:val="00B02CCC"/>
    <w:rsid w:val="00B03321"/>
    <w:rsid w:val="00B03944"/>
    <w:rsid w:val="00B04A90"/>
    <w:rsid w:val="00B04EED"/>
    <w:rsid w:val="00B0574A"/>
    <w:rsid w:val="00B060C4"/>
    <w:rsid w:val="00B0757A"/>
    <w:rsid w:val="00B1018F"/>
    <w:rsid w:val="00B101E7"/>
    <w:rsid w:val="00B112B1"/>
    <w:rsid w:val="00B1177C"/>
    <w:rsid w:val="00B11948"/>
    <w:rsid w:val="00B126D7"/>
    <w:rsid w:val="00B12F7D"/>
    <w:rsid w:val="00B135C0"/>
    <w:rsid w:val="00B13B15"/>
    <w:rsid w:val="00B13DEC"/>
    <w:rsid w:val="00B13F14"/>
    <w:rsid w:val="00B13FE0"/>
    <w:rsid w:val="00B14C51"/>
    <w:rsid w:val="00B14D5B"/>
    <w:rsid w:val="00B14F87"/>
    <w:rsid w:val="00B16195"/>
    <w:rsid w:val="00B1638D"/>
    <w:rsid w:val="00B166FC"/>
    <w:rsid w:val="00B16867"/>
    <w:rsid w:val="00B17191"/>
    <w:rsid w:val="00B2061A"/>
    <w:rsid w:val="00B2158A"/>
    <w:rsid w:val="00B21E4A"/>
    <w:rsid w:val="00B22B8C"/>
    <w:rsid w:val="00B234B9"/>
    <w:rsid w:val="00B239D1"/>
    <w:rsid w:val="00B24F2B"/>
    <w:rsid w:val="00B256E0"/>
    <w:rsid w:val="00B2631E"/>
    <w:rsid w:val="00B265A0"/>
    <w:rsid w:val="00B27105"/>
    <w:rsid w:val="00B3107B"/>
    <w:rsid w:val="00B31867"/>
    <w:rsid w:val="00B32045"/>
    <w:rsid w:val="00B33837"/>
    <w:rsid w:val="00B339E6"/>
    <w:rsid w:val="00B33A2E"/>
    <w:rsid w:val="00B352C4"/>
    <w:rsid w:val="00B35ED1"/>
    <w:rsid w:val="00B36617"/>
    <w:rsid w:val="00B36AD2"/>
    <w:rsid w:val="00B376C5"/>
    <w:rsid w:val="00B37E95"/>
    <w:rsid w:val="00B4018B"/>
    <w:rsid w:val="00B404AD"/>
    <w:rsid w:val="00B40EED"/>
    <w:rsid w:val="00B41405"/>
    <w:rsid w:val="00B4174E"/>
    <w:rsid w:val="00B41779"/>
    <w:rsid w:val="00B41818"/>
    <w:rsid w:val="00B41A6E"/>
    <w:rsid w:val="00B44FAD"/>
    <w:rsid w:val="00B46602"/>
    <w:rsid w:val="00B47054"/>
    <w:rsid w:val="00B474A7"/>
    <w:rsid w:val="00B47C75"/>
    <w:rsid w:val="00B47CCF"/>
    <w:rsid w:val="00B526F1"/>
    <w:rsid w:val="00B53230"/>
    <w:rsid w:val="00B53290"/>
    <w:rsid w:val="00B53F7C"/>
    <w:rsid w:val="00B55AD5"/>
    <w:rsid w:val="00B568FF"/>
    <w:rsid w:val="00B56D85"/>
    <w:rsid w:val="00B57623"/>
    <w:rsid w:val="00B5772E"/>
    <w:rsid w:val="00B577BE"/>
    <w:rsid w:val="00B5785E"/>
    <w:rsid w:val="00B60B21"/>
    <w:rsid w:val="00B614DD"/>
    <w:rsid w:val="00B61CF8"/>
    <w:rsid w:val="00B626C5"/>
    <w:rsid w:val="00B629E1"/>
    <w:rsid w:val="00B63D18"/>
    <w:rsid w:val="00B640AD"/>
    <w:rsid w:val="00B6513A"/>
    <w:rsid w:val="00B66691"/>
    <w:rsid w:val="00B66A0B"/>
    <w:rsid w:val="00B66C28"/>
    <w:rsid w:val="00B70DA1"/>
    <w:rsid w:val="00B71952"/>
    <w:rsid w:val="00B72267"/>
    <w:rsid w:val="00B72B0C"/>
    <w:rsid w:val="00B734EB"/>
    <w:rsid w:val="00B73EF7"/>
    <w:rsid w:val="00B743BD"/>
    <w:rsid w:val="00B74E29"/>
    <w:rsid w:val="00B75CE4"/>
    <w:rsid w:val="00B76437"/>
    <w:rsid w:val="00B77613"/>
    <w:rsid w:val="00B778DA"/>
    <w:rsid w:val="00B77AC3"/>
    <w:rsid w:val="00B80C8B"/>
    <w:rsid w:val="00B812C9"/>
    <w:rsid w:val="00B818A2"/>
    <w:rsid w:val="00B8263C"/>
    <w:rsid w:val="00B82ADE"/>
    <w:rsid w:val="00B8389E"/>
    <w:rsid w:val="00B84769"/>
    <w:rsid w:val="00B854A9"/>
    <w:rsid w:val="00B856D8"/>
    <w:rsid w:val="00B86AEF"/>
    <w:rsid w:val="00B86C89"/>
    <w:rsid w:val="00B87762"/>
    <w:rsid w:val="00B91C80"/>
    <w:rsid w:val="00B92180"/>
    <w:rsid w:val="00B926A1"/>
    <w:rsid w:val="00B926B4"/>
    <w:rsid w:val="00B92A50"/>
    <w:rsid w:val="00B9461C"/>
    <w:rsid w:val="00B967CB"/>
    <w:rsid w:val="00B96E4F"/>
    <w:rsid w:val="00BA0B45"/>
    <w:rsid w:val="00BA1002"/>
    <w:rsid w:val="00BA1B97"/>
    <w:rsid w:val="00BA29C1"/>
    <w:rsid w:val="00BA35E5"/>
    <w:rsid w:val="00BA3A02"/>
    <w:rsid w:val="00BA3DC0"/>
    <w:rsid w:val="00BA4BC1"/>
    <w:rsid w:val="00BA4C8A"/>
    <w:rsid w:val="00BA5551"/>
    <w:rsid w:val="00BA581F"/>
    <w:rsid w:val="00BA5ADB"/>
    <w:rsid w:val="00BA5EEA"/>
    <w:rsid w:val="00BA60D1"/>
    <w:rsid w:val="00BA67B2"/>
    <w:rsid w:val="00BA680C"/>
    <w:rsid w:val="00BA7AC8"/>
    <w:rsid w:val="00BB0AFB"/>
    <w:rsid w:val="00BB0D4C"/>
    <w:rsid w:val="00BB1DBE"/>
    <w:rsid w:val="00BB3BE5"/>
    <w:rsid w:val="00BB44AD"/>
    <w:rsid w:val="00BB4BC3"/>
    <w:rsid w:val="00BB5F03"/>
    <w:rsid w:val="00BB613B"/>
    <w:rsid w:val="00BC04F5"/>
    <w:rsid w:val="00BC0C73"/>
    <w:rsid w:val="00BC0E90"/>
    <w:rsid w:val="00BC13A5"/>
    <w:rsid w:val="00BC202D"/>
    <w:rsid w:val="00BC2FA8"/>
    <w:rsid w:val="00BC301E"/>
    <w:rsid w:val="00BC4D75"/>
    <w:rsid w:val="00BC51DA"/>
    <w:rsid w:val="00BC6DDC"/>
    <w:rsid w:val="00BD0EF1"/>
    <w:rsid w:val="00BD22D6"/>
    <w:rsid w:val="00BD2D49"/>
    <w:rsid w:val="00BD2DCE"/>
    <w:rsid w:val="00BD3114"/>
    <w:rsid w:val="00BD50AB"/>
    <w:rsid w:val="00BD5685"/>
    <w:rsid w:val="00BD65A9"/>
    <w:rsid w:val="00BD6C0D"/>
    <w:rsid w:val="00BE0092"/>
    <w:rsid w:val="00BE04E6"/>
    <w:rsid w:val="00BE1C94"/>
    <w:rsid w:val="00BE256A"/>
    <w:rsid w:val="00BE353D"/>
    <w:rsid w:val="00BE4548"/>
    <w:rsid w:val="00BE4C12"/>
    <w:rsid w:val="00BE63DF"/>
    <w:rsid w:val="00BE641C"/>
    <w:rsid w:val="00BE6F84"/>
    <w:rsid w:val="00BE780E"/>
    <w:rsid w:val="00BE7D77"/>
    <w:rsid w:val="00BE7E87"/>
    <w:rsid w:val="00BF1711"/>
    <w:rsid w:val="00BF1CEE"/>
    <w:rsid w:val="00BF3267"/>
    <w:rsid w:val="00BF3B35"/>
    <w:rsid w:val="00BF47DA"/>
    <w:rsid w:val="00BF4895"/>
    <w:rsid w:val="00BF4FAD"/>
    <w:rsid w:val="00BF56D5"/>
    <w:rsid w:val="00BF5E55"/>
    <w:rsid w:val="00BF6E32"/>
    <w:rsid w:val="00C0139A"/>
    <w:rsid w:val="00C016CF"/>
    <w:rsid w:val="00C019DE"/>
    <w:rsid w:val="00C02DB0"/>
    <w:rsid w:val="00C04B50"/>
    <w:rsid w:val="00C06123"/>
    <w:rsid w:val="00C06A09"/>
    <w:rsid w:val="00C06A28"/>
    <w:rsid w:val="00C10C6C"/>
    <w:rsid w:val="00C10D77"/>
    <w:rsid w:val="00C120C4"/>
    <w:rsid w:val="00C12BE9"/>
    <w:rsid w:val="00C14E68"/>
    <w:rsid w:val="00C16C94"/>
    <w:rsid w:val="00C17A48"/>
    <w:rsid w:val="00C20BC6"/>
    <w:rsid w:val="00C20D43"/>
    <w:rsid w:val="00C2205E"/>
    <w:rsid w:val="00C22615"/>
    <w:rsid w:val="00C22D67"/>
    <w:rsid w:val="00C24556"/>
    <w:rsid w:val="00C245E3"/>
    <w:rsid w:val="00C2504A"/>
    <w:rsid w:val="00C25DF7"/>
    <w:rsid w:val="00C26B69"/>
    <w:rsid w:val="00C2701A"/>
    <w:rsid w:val="00C27431"/>
    <w:rsid w:val="00C31BA1"/>
    <w:rsid w:val="00C324B9"/>
    <w:rsid w:val="00C32DD8"/>
    <w:rsid w:val="00C33443"/>
    <w:rsid w:val="00C3668E"/>
    <w:rsid w:val="00C36BC8"/>
    <w:rsid w:val="00C423FB"/>
    <w:rsid w:val="00C4256C"/>
    <w:rsid w:val="00C428AC"/>
    <w:rsid w:val="00C4332F"/>
    <w:rsid w:val="00C436DA"/>
    <w:rsid w:val="00C43B18"/>
    <w:rsid w:val="00C43FBF"/>
    <w:rsid w:val="00C44559"/>
    <w:rsid w:val="00C451A2"/>
    <w:rsid w:val="00C4679C"/>
    <w:rsid w:val="00C46D52"/>
    <w:rsid w:val="00C471D6"/>
    <w:rsid w:val="00C47847"/>
    <w:rsid w:val="00C4784E"/>
    <w:rsid w:val="00C47B2D"/>
    <w:rsid w:val="00C50B1E"/>
    <w:rsid w:val="00C51031"/>
    <w:rsid w:val="00C52FCE"/>
    <w:rsid w:val="00C536C3"/>
    <w:rsid w:val="00C53824"/>
    <w:rsid w:val="00C54284"/>
    <w:rsid w:val="00C5616B"/>
    <w:rsid w:val="00C5681F"/>
    <w:rsid w:val="00C571A4"/>
    <w:rsid w:val="00C5782B"/>
    <w:rsid w:val="00C60884"/>
    <w:rsid w:val="00C616F7"/>
    <w:rsid w:val="00C61CAE"/>
    <w:rsid w:val="00C61FA5"/>
    <w:rsid w:val="00C62CA9"/>
    <w:rsid w:val="00C642F5"/>
    <w:rsid w:val="00C64F82"/>
    <w:rsid w:val="00C659A1"/>
    <w:rsid w:val="00C65F95"/>
    <w:rsid w:val="00C66682"/>
    <w:rsid w:val="00C66839"/>
    <w:rsid w:val="00C6685F"/>
    <w:rsid w:val="00C66F93"/>
    <w:rsid w:val="00C67640"/>
    <w:rsid w:val="00C704E7"/>
    <w:rsid w:val="00C70C90"/>
    <w:rsid w:val="00C7246C"/>
    <w:rsid w:val="00C745B5"/>
    <w:rsid w:val="00C74B39"/>
    <w:rsid w:val="00C74D02"/>
    <w:rsid w:val="00C74EE4"/>
    <w:rsid w:val="00C7549C"/>
    <w:rsid w:val="00C769E1"/>
    <w:rsid w:val="00C77EA2"/>
    <w:rsid w:val="00C77F36"/>
    <w:rsid w:val="00C80598"/>
    <w:rsid w:val="00C80793"/>
    <w:rsid w:val="00C80BB6"/>
    <w:rsid w:val="00C81519"/>
    <w:rsid w:val="00C8172B"/>
    <w:rsid w:val="00C81A87"/>
    <w:rsid w:val="00C81D63"/>
    <w:rsid w:val="00C8259C"/>
    <w:rsid w:val="00C825AD"/>
    <w:rsid w:val="00C82AD9"/>
    <w:rsid w:val="00C831A0"/>
    <w:rsid w:val="00C83713"/>
    <w:rsid w:val="00C84026"/>
    <w:rsid w:val="00C84113"/>
    <w:rsid w:val="00C8446E"/>
    <w:rsid w:val="00C85DBC"/>
    <w:rsid w:val="00C866FF"/>
    <w:rsid w:val="00C86ADA"/>
    <w:rsid w:val="00C923FF"/>
    <w:rsid w:val="00C93107"/>
    <w:rsid w:val="00C963B3"/>
    <w:rsid w:val="00C96BA3"/>
    <w:rsid w:val="00CA15BB"/>
    <w:rsid w:val="00CA1921"/>
    <w:rsid w:val="00CA3256"/>
    <w:rsid w:val="00CA36DE"/>
    <w:rsid w:val="00CA466D"/>
    <w:rsid w:val="00CA5B55"/>
    <w:rsid w:val="00CA5EEC"/>
    <w:rsid w:val="00CA68CE"/>
    <w:rsid w:val="00CA6FCF"/>
    <w:rsid w:val="00CB0820"/>
    <w:rsid w:val="00CB19AF"/>
    <w:rsid w:val="00CB1D64"/>
    <w:rsid w:val="00CB2974"/>
    <w:rsid w:val="00CB2C16"/>
    <w:rsid w:val="00CB3445"/>
    <w:rsid w:val="00CB3C9E"/>
    <w:rsid w:val="00CB6044"/>
    <w:rsid w:val="00CB6547"/>
    <w:rsid w:val="00CB6E92"/>
    <w:rsid w:val="00CB787B"/>
    <w:rsid w:val="00CC1B29"/>
    <w:rsid w:val="00CC2396"/>
    <w:rsid w:val="00CC4351"/>
    <w:rsid w:val="00CC5B07"/>
    <w:rsid w:val="00CC5CC9"/>
    <w:rsid w:val="00CC6100"/>
    <w:rsid w:val="00CD2A72"/>
    <w:rsid w:val="00CD2D00"/>
    <w:rsid w:val="00CD34DF"/>
    <w:rsid w:val="00CD3CF5"/>
    <w:rsid w:val="00CD3DD2"/>
    <w:rsid w:val="00CD4117"/>
    <w:rsid w:val="00CD4529"/>
    <w:rsid w:val="00CD4670"/>
    <w:rsid w:val="00CD4A49"/>
    <w:rsid w:val="00CD5730"/>
    <w:rsid w:val="00CD5E7E"/>
    <w:rsid w:val="00CD7147"/>
    <w:rsid w:val="00CD73C3"/>
    <w:rsid w:val="00CD75E9"/>
    <w:rsid w:val="00CE0208"/>
    <w:rsid w:val="00CE0664"/>
    <w:rsid w:val="00CE0B8B"/>
    <w:rsid w:val="00CE1062"/>
    <w:rsid w:val="00CE1645"/>
    <w:rsid w:val="00CE1F75"/>
    <w:rsid w:val="00CE2618"/>
    <w:rsid w:val="00CE2BB0"/>
    <w:rsid w:val="00CE41D4"/>
    <w:rsid w:val="00CE44EF"/>
    <w:rsid w:val="00CE561D"/>
    <w:rsid w:val="00CE57B9"/>
    <w:rsid w:val="00CE6453"/>
    <w:rsid w:val="00CF0C50"/>
    <w:rsid w:val="00CF0EDD"/>
    <w:rsid w:val="00CF1293"/>
    <w:rsid w:val="00CF12A8"/>
    <w:rsid w:val="00CF15C6"/>
    <w:rsid w:val="00CF208A"/>
    <w:rsid w:val="00CF252C"/>
    <w:rsid w:val="00CF4321"/>
    <w:rsid w:val="00CF577E"/>
    <w:rsid w:val="00CF6121"/>
    <w:rsid w:val="00CF67B9"/>
    <w:rsid w:val="00CF6E7F"/>
    <w:rsid w:val="00CF7097"/>
    <w:rsid w:val="00D00333"/>
    <w:rsid w:val="00D0034D"/>
    <w:rsid w:val="00D004B0"/>
    <w:rsid w:val="00D01998"/>
    <w:rsid w:val="00D01A9C"/>
    <w:rsid w:val="00D03323"/>
    <w:rsid w:val="00D037E4"/>
    <w:rsid w:val="00D04B24"/>
    <w:rsid w:val="00D04E0B"/>
    <w:rsid w:val="00D0545C"/>
    <w:rsid w:val="00D05C3C"/>
    <w:rsid w:val="00D05DD9"/>
    <w:rsid w:val="00D05EEC"/>
    <w:rsid w:val="00D06189"/>
    <w:rsid w:val="00D06804"/>
    <w:rsid w:val="00D11F04"/>
    <w:rsid w:val="00D11FD5"/>
    <w:rsid w:val="00D12B38"/>
    <w:rsid w:val="00D131D8"/>
    <w:rsid w:val="00D13788"/>
    <w:rsid w:val="00D14E60"/>
    <w:rsid w:val="00D15CFE"/>
    <w:rsid w:val="00D16E9E"/>
    <w:rsid w:val="00D1715D"/>
    <w:rsid w:val="00D17667"/>
    <w:rsid w:val="00D17FE7"/>
    <w:rsid w:val="00D20145"/>
    <w:rsid w:val="00D20CFC"/>
    <w:rsid w:val="00D214CD"/>
    <w:rsid w:val="00D22920"/>
    <w:rsid w:val="00D23796"/>
    <w:rsid w:val="00D24294"/>
    <w:rsid w:val="00D25409"/>
    <w:rsid w:val="00D25D39"/>
    <w:rsid w:val="00D268A2"/>
    <w:rsid w:val="00D302D9"/>
    <w:rsid w:val="00D3089D"/>
    <w:rsid w:val="00D30B34"/>
    <w:rsid w:val="00D3111A"/>
    <w:rsid w:val="00D318D5"/>
    <w:rsid w:val="00D33FD5"/>
    <w:rsid w:val="00D360AD"/>
    <w:rsid w:val="00D361AA"/>
    <w:rsid w:val="00D37404"/>
    <w:rsid w:val="00D40810"/>
    <w:rsid w:val="00D41159"/>
    <w:rsid w:val="00D41E4D"/>
    <w:rsid w:val="00D4220C"/>
    <w:rsid w:val="00D4245F"/>
    <w:rsid w:val="00D428E2"/>
    <w:rsid w:val="00D43329"/>
    <w:rsid w:val="00D44D17"/>
    <w:rsid w:val="00D45568"/>
    <w:rsid w:val="00D50552"/>
    <w:rsid w:val="00D51486"/>
    <w:rsid w:val="00D52146"/>
    <w:rsid w:val="00D5530B"/>
    <w:rsid w:val="00D55BF6"/>
    <w:rsid w:val="00D55E6A"/>
    <w:rsid w:val="00D57C3A"/>
    <w:rsid w:val="00D60002"/>
    <w:rsid w:val="00D60468"/>
    <w:rsid w:val="00D60948"/>
    <w:rsid w:val="00D60B78"/>
    <w:rsid w:val="00D60BED"/>
    <w:rsid w:val="00D628CD"/>
    <w:rsid w:val="00D63893"/>
    <w:rsid w:val="00D64209"/>
    <w:rsid w:val="00D66762"/>
    <w:rsid w:val="00D66A58"/>
    <w:rsid w:val="00D704F2"/>
    <w:rsid w:val="00D71666"/>
    <w:rsid w:val="00D7187C"/>
    <w:rsid w:val="00D71A3B"/>
    <w:rsid w:val="00D735F9"/>
    <w:rsid w:val="00D73950"/>
    <w:rsid w:val="00D73AC9"/>
    <w:rsid w:val="00D73BAB"/>
    <w:rsid w:val="00D744FA"/>
    <w:rsid w:val="00D74CED"/>
    <w:rsid w:val="00D75EAB"/>
    <w:rsid w:val="00D76132"/>
    <w:rsid w:val="00D766B3"/>
    <w:rsid w:val="00D76F63"/>
    <w:rsid w:val="00D777C5"/>
    <w:rsid w:val="00D80769"/>
    <w:rsid w:val="00D81220"/>
    <w:rsid w:val="00D833E1"/>
    <w:rsid w:val="00D83F61"/>
    <w:rsid w:val="00D844BD"/>
    <w:rsid w:val="00D85566"/>
    <w:rsid w:val="00D85EE5"/>
    <w:rsid w:val="00D86EF5"/>
    <w:rsid w:val="00D878E4"/>
    <w:rsid w:val="00D9027F"/>
    <w:rsid w:val="00D910A0"/>
    <w:rsid w:val="00D91CDE"/>
    <w:rsid w:val="00D91F52"/>
    <w:rsid w:val="00D92F89"/>
    <w:rsid w:val="00D94640"/>
    <w:rsid w:val="00D94F61"/>
    <w:rsid w:val="00DA1562"/>
    <w:rsid w:val="00DA232D"/>
    <w:rsid w:val="00DA37D4"/>
    <w:rsid w:val="00DA3FB8"/>
    <w:rsid w:val="00DA4F01"/>
    <w:rsid w:val="00DA57DC"/>
    <w:rsid w:val="00DA5EB9"/>
    <w:rsid w:val="00DA5F5E"/>
    <w:rsid w:val="00DA693B"/>
    <w:rsid w:val="00DA744B"/>
    <w:rsid w:val="00DA74E0"/>
    <w:rsid w:val="00DB03F3"/>
    <w:rsid w:val="00DB366D"/>
    <w:rsid w:val="00DB39C2"/>
    <w:rsid w:val="00DB59C8"/>
    <w:rsid w:val="00DB766D"/>
    <w:rsid w:val="00DC0092"/>
    <w:rsid w:val="00DC1E1E"/>
    <w:rsid w:val="00DC32EA"/>
    <w:rsid w:val="00DC53A6"/>
    <w:rsid w:val="00DC540C"/>
    <w:rsid w:val="00DC5FEC"/>
    <w:rsid w:val="00DC7D4C"/>
    <w:rsid w:val="00DD1019"/>
    <w:rsid w:val="00DD1DA3"/>
    <w:rsid w:val="00DD2FF6"/>
    <w:rsid w:val="00DD36CF"/>
    <w:rsid w:val="00DD5547"/>
    <w:rsid w:val="00DD6571"/>
    <w:rsid w:val="00DD7B98"/>
    <w:rsid w:val="00DD7CC4"/>
    <w:rsid w:val="00DD7F3E"/>
    <w:rsid w:val="00DE126A"/>
    <w:rsid w:val="00DE1614"/>
    <w:rsid w:val="00DE3D80"/>
    <w:rsid w:val="00DE4B5F"/>
    <w:rsid w:val="00DE50F3"/>
    <w:rsid w:val="00DE5470"/>
    <w:rsid w:val="00DE5630"/>
    <w:rsid w:val="00DE67F0"/>
    <w:rsid w:val="00DE6804"/>
    <w:rsid w:val="00DE7F50"/>
    <w:rsid w:val="00DF1F84"/>
    <w:rsid w:val="00DF28B9"/>
    <w:rsid w:val="00DF2A93"/>
    <w:rsid w:val="00DF3031"/>
    <w:rsid w:val="00DF3635"/>
    <w:rsid w:val="00DF42C3"/>
    <w:rsid w:val="00DF453A"/>
    <w:rsid w:val="00DF51C0"/>
    <w:rsid w:val="00DF5C7D"/>
    <w:rsid w:val="00DF643E"/>
    <w:rsid w:val="00DF7451"/>
    <w:rsid w:val="00E00D33"/>
    <w:rsid w:val="00E00ECE"/>
    <w:rsid w:val="00E0112F"/>
    <w:rsid w:val="00E02AEF"/>
    <w:rsid w:val="00E03125"/>
    <w:rsid w:val="00E04DA6"/>
    <w:rsid w:val="00E05234"/>
    <w:rsid w:val="00E06C0D"/>
    <w:rsid w:val="00E07451"/>
    <w:rsid w:val="00E105E0"/>
    <w:rsid w:val="00E11870"/>
    <w:rsid w:val="00E12850"/>
    <w:rsid w:val="00E129C8"/>
    <w:rsid w:val="00E1323F"/>
    <w:rsid w:val="00E157DF"/>
    <w:rsid w:val="00E17621"/>
    <w:rsid w:val="00E17AFB"/>
    <w:rsid w:val="00E17BE1"/>
    <w:rsid w:val="00E20C7A"/>
    <w:rsid w:val="00E210CA"/>
    <w:rsid w:val="00E213AE"/>
    <w:rsid w:val="00E21DC8"/>
    <w:rsid w:val="00E22E39"/>
    <w:rsid w:val="00E23D8F"/>
    <w:rsid w:val="00E242F7"/>
    <w:rsid w:val="00E24B85"/>
    <w:rsid w:val="00E250E1"/>
    <w:rsid w:val="00E25488"/>
    <w:rsid w:val="00E2618E"/>
    <w:rsid w:val="00E266A4"/>
    <w:rsid w:val="00E30036"/>
    <w:rsid w:val="00E30164"/>
    <w:rsid w:val="00E32CB6"/>
    <w:rsid w:val="00E33728"/>
    <w:rsid w:val="00E33C6A"/>
    <w:rsid w:val="00E33EB2"/>
    <w:rsid w:val="00E34721"/>
    <w:rsid w:val="00E34FD8"/>
    <w:rsid w:val="00E356A0"/>
    <w:rsid w:val="00E363E3"/>
    <w:rsid w:val="00E36975"/>
    <w:rsid w:val="00E405E3"/>
    <w:rsid w:val="00E4203A"/>
    <w:rsid w:val="00E44A9C"/>
    <w:rsid w:val="00E4726B"/>
    <w:rsid w:val="00E4728B"/>
    <w:rsid w:val="00E50BFF"/>
    <w:rsid w:val="00E5261F"/>
    <w:rsid w:val="00E52B5A"/>
    <w:rsid w:val="00E52C51"/>
    <w:rsid w:val="00E55310"/>
    <w:rsid w:val="00E55428"/>
    <w:rsid w:val="00E55EF6"/>
    <w:rsid w:val="00E56089"/>
    <w:rsid w:val="00E56E12"/>
    <w:rsid w:val="00E579A7"/>
    <w:rsid w:val="00E6035B"/>
    <w:rsid w:val="00E61FAA"/>
    <w:rsid w:val="00E628DD"/>
    <w:rsid w:val="00E63669"/>
    <w:rsid w:val="00E63C2C"/>
    <w:rsid w:val="00E63E5B"/>
    <w:rsid w:val="00E64871"/>
    <w:rsid w:val="00E652AF"/>
    <w:rsid w:val="00E65341"/>
    <w:rsid w:val="00E65B11"/>
    <w:rsid w:val="00E6604C"/>
    <w:rsid w:val="00E66AA2"/>
    <w:rsid w:val="00E701E2"/>
    <w:rsid w:val="00E7079D"/>
    <w:rsid w:val="00E717C8"/>
    <w:rsid w:val="00E71E42"/>
    <w:rsid w:val="00E71FC6"/>
    <w:rsid w:val="00E72078"/>
    <w:rsid w:val="00E7254D"/>
    <w:rsid w:val="00E72B6F"/>
    <w:rsid w:val="00E72BED"/>
    <w:rsid w:val="00E73334"/>
    <w:rsid w:val="00E73BE2"/>
    <w:rsid w:val="00E74AE8"/>
    <w:rsid w:val="00E74CBF"/>
    <w:rsid w:val="00E75B51"/>
    <w:rsid w:val="00E75C3D"/>
    <w:rsid w:val="00E7652D"/>
    <w:rsid w:val="00E77507"/>
    <w:rsid w:val="00E7762D"/>
    <w:rsid w:val="00E80284"/>
    <w:rsid w:val="00E80C03"/>
    <w:rsid w:val="00E80D71"/>
    <w:rsid w:val="00E8119E"/>
    <w:rsid w:val="00E8262D"/>
    <w:rsid w:val="00E82F1B"/>
    <w:rsid w:val="00E83489"/>
    <w:rsid w:val="00E83515"/>
    <w:rsid w:val="00E83D13"/>
    <w:rsid w:val="00E83DE0"/>
    <w:rsid w:val="00E84ABE"/>
    <w:rsid w:val="00E853AC"/>
    <w:rsid w:val="00E857CA"/>
    <w:rsid w:val="00E86B7D"/>
    <w:rsid w:val="00E87AFF"/>
    <w:rsid w:val="00E9026B"/>
    <w:rsid w:val="00E917E4"/>
    <w:rsid w:val="00E91A5F"/>
    <w:rsid w:val="00E93033"/>
    <w:rsid w:val="00E94225"/>
    <w:rsid w:val="00E942CE"/>
    <w:rsid w:val="00E95C2B"/>
    <w:rsid w:val="00E975E5"/>
    <w:rsid w:val="00E97D1F"/>
    <w:rsid w:val="00EA2B74"/>
    <w:rsid w:val="00EA3192"/>
    <w:rsid w:val="00EA39ED"/>
    <w:rsid w:val="00EA3C12"/>
    <w:rsid w:val="00EA3FBC"/>
    <w:rsid w:val="00EA55E9"/>
    <w:rsid w:val="00EA707C"/>
    <w:rsid w:val="00EA7090"/>
    <w:rsid w:val="00EB0907"/>
    <w:rsid w:val="00EB0EE2"/>
    <w:rsid w:val="00EB1506"/>
    <w:rsid w:val="00EB1781"/>
    <w:rsid w:val="00EB19AB"/>
    <w:rsid w:val="00EB1B1C"/>
    <w:rsid w:val="00EB1CE1"/>
    <w:rsid w:val="00EB24A1"/>
    <w:rsid w:val="00EB26C6"/>
    <w:rsid w:val="00EB308B"/>
    <w:rsid w:val="00EB3BFB"/>
    <w:rsid w:val="00EB6C3F"/>
    <w:rsid w:val="00EB7172"/>
    <w:rsid w:val="00EB743A"/>
    <w:rsid w:val="00EC1D38"/>
    <w:rsid w:val="00EC294F"/>
    <w:rsid w:val="00EC376D"/>
    <w:rsid w:val="00EC53A1"/>
    <w:rsid w:val="00EC7291"/>
    <w:rsid w:val="00EC770A"/>
    <w:rsid w:val="00ED012E"/>
    <w:rsid w:val="00ED0BC5"/>
    <w:rsid w:val="00ED0F8C"/>
    <w:rsid w:val="00ED12D3"/>
    <w:rsid w:val="00ED12FB"/>
    <w:rsid w:val="00ED1F0C"/>
    <w:rsid w:val="00ED215E"/>
    <w:rsid w:val="00ED34EA"/>
    <w:rsid w:val="00ED3CC1"/>
    <w:rsid w:val="00ED4037"/>
    <w:rsid w:val="00ED40DE"/>
    <w:rsid w:val="00ED47F8"/>
    <w:rsid w:val="00ED4F18"/>
    <w:rsid w:val="00ED662A"/>
    <w:rsid w:val="00EE0568"/>
    <w:rsid w:val="00EE263C"/>
    <w:rsid w:val="00EE4F47"/>
    <w:rsid w:val="00EE5984"/>
    <w:rsid w:val="00EE6CDE"/>
    <w:rsid w:val="00EE7691"/>
    <w:rsid w:val="00EE799D"/>
    <w:rsid w:val="00EE7AD5"/>
    <w:rsid w:val="00EF24BC"/>
    <w:rsid w:val="00EF3AC3"/>
    <w:rsid w:val="00EF44AD"/>
    <w:rsid w:val="00EF76E9"/>
    <w:rsid w:val="00F002DF"/>
    <w:rsid w:val="00F0063F"/>
    <w:rsid w:val="00F01B97"/>
    <w:rsid w:val="00F02FCF"/>
    <w:rsid w:val="00F030C7"/>
    <w:rsid w:val="00F041E0"/>
    <w:rsid w:val="00F0467B"/>
    <w:rsid w:val="00F050A3"/>
    <w:rsid w:val="00F053BC"/>
    <w:rsid w:val="00F07BA5"/>
    <w:rsid w:val="00F114A3"/>
    <w:rsid w:val="00F124BE"/>
    <w:rsid w:val="00F13632"/>
    <w:rsid w:val="00F136AB"/>
    <w:rsid w:val="00F1485D"/>
    <w:rsid w:val="00F160B0"/>
    <w:rsid w:val="00F1784F"/>
    <w:rsid w:val="00F20E54"/>
    <w:rsid w:val="00F20FF0"/>
    <w:rsid w:val="00F2105F"/>
    <w:rsid w:val="00F21096"/>
    <w:rsid w:val="00F21450"/>
    <w:rsid w:val="00F22383"/>
    <w:rsid w:val="00F22ED7"/>
    <w:rsid w:val="00F2471C"/>
    <w:rsid w:val="00F267B1"/>
    <w:rsid w:val="00F276E6"/>
    <w:rsid w:val="00F30297"/>
    <w:rsid w:val="00F306A4"/>
    <w:rsid w:val="00F30C27"/>
    <w:rsid w:val="00F31A02"/>
    <w:rsid w:val="00F31BC0"/>
    <w:rsid w:val="00F31F41"/>
    <w:rsid w:val="00F33397"/>
    <w:rsid w:val="00F343C8"/>
    <w:rsid w:val="00F34C00"/>
    <w:rsid w:val="00F369DB"/>
    <w:rsid w:val="00F36B54"/>
    <w:rsid w:val="00F36C6A"/>
    <w:rsid w:val="00F36CF3"/>
    <w:rsid w:val="00F372A3"/>
    <w:rsid w:val="00F376E4"/>
    <w:rsid w:val="00F378BC"/>
    <w:rsid w:val="00F40C93"/>
    <w:rsid w:val="00F40CDB"/>
    <w:rsid w:val="00F41331"/>
    <w:rsid w:val="00F41852"/>
    <w:rsid w:val="00F41B87"/>
    <w:rsid w:val="00F428EE"/>
    <w:rsid w:val="00F439D1"/>
    <w:rsid w:val="00F44093"/>
    <w:rsid w:val="00F447E5"/>
    <w:rsid w:val="00F44ACA"/>
    <w:rsid w:val="00F44B9D"/>
    <w:rsid w:val="00F4514C"/>
    <w:rsid w:val="00F45B9A"/>
    <w:rsid w:val="00F4770A"/>
    <w:rsid w:val="00F47982"/>
    <w:rsid w:val="00F47A9A"/>
    <w:rsid w:val="00F47EAF"/>
    <w:rsid w:val="00F50BEC"/>
    <w:rsid w:val="00F5236E"/>
    <w:rsid w:val="00F526CB"/>
    <w:rsid w:val="00F5306A"/>
    <w:rsid w:val="00F531D1"/>
    <w:rsid w:val="00F53492"/>
    <w:rsid w:val="00F56C6E"/>
    <w:rsid w:val="00F57276"/>
    <w:rsid w:val="00F57FB5"/>
    <w:rsid w:val="00F60A45"/>
    <w:rsid w:val="00F60BA0"/>
    <w:rsid w:val="00F61644"/>
    <w:rsid w:val="00F61F59"/>
    <w:rsid w:val="00F62F90"/>
    <w:rsid w:val="00F63099"/>
    <w:rsid w:val="00F64794"/>
    <w:rsid w:val="00F64984"/>
    <w:rsid w:val="00F64B8D"/>
    <w:rsid w:val="00F64E33"/>
    <w:rsid w:val="00F652C4"/>
    <w:rsid w:val="00F656C8"/>
    <w:rsid w:val="00F66123"/>
    <w:rsid w:val="00F66826"/>
    <w:rsid w:val="00F66C59"/>
    <w:rsid w:val="00F66D6B"/>
    <w:rsid w:val="00F705C6"/>
    <w:rsid w:val="00F711CA"/>
    <w:rsid w:val="00F71463"/>
    <w:rsid w:val="00F72D7F"/>
    <w:rsid w:val="00F74303"/>
    <w:rsid w:val="00F74574"/>
    <w:rsid w:val="00F757CB"/>
    <w:rsid w:val="00F75B0C"/>
    <w:rsid w:val="00F75C3A"/>
    <w:rsid w:val="00F75DF8"/>
    <w:rsid w:val="00F76B7F"/>
    <w:rsid w:val="00F77B08"/>
    <w:rsid w:val="00F80AC7"/>
    <w:rsid w:val="00F811D6"/>
    <w:rsid w:val="00F81657"/>
    <w:rsid w:val="00F81BAE"/>
    <w:rsid w:val="00F82FA7"/>
    <w:rsid w:val="00F845C2"/>
    <w:rsid w:val="00F8622A"/>
    <w:rsid w:val="00F86E65"/>
    <w:rsid w:val="00F87077"/>
    <w:rsid w:val="00F87259"/>
    <w:rsid w:val="00F87730"/>
    <w:rsid w:val="00F87F23"/>
    <w:rsid w:val="00F90395"/>
    <w:rsid w:val="00F90B0D"/>
    <w:rsid w:val="00F90FA6"/>
    <w:rsid w:val="00F91E75"/>
    <w:rsid w:val="00F92F60"/>
    <w:rsid w:val="00F93A6A"/>
    <w:rsid w:val="00F948B7"/>
    <w:rsid w:val="00F9613A"/>
    <w:rsid w:val="00FA0A74"/>
    <w:rsid w:val="00FA0CB7"/>
    <w:rsid w:val="00FA114B"/>
    <w:rsid w:val="00FA25D3"/>
    <w:rsid w:val="00FA25E1"/>
    <w:rsid w:val="00FA2F3E"/>
    <w:rsid w:val="00FA39C0"/>
    <w:rsid w:val="00FA5AC8"/>
    <w:rsid w:val="00FA5B2C"/>
    <w:rsid w:val="00FA7454"/>
    <w:rsid w:val="00FA75F0"/>
    <w:rsid w:val="00FA78B8"/>
    <w:rsid w:val="00FA7914"/>
    <w:rsid w:val="00FB01CE"/>
    <w:rsid w:val="00FB07B7"/>
    <w:rsid w:val="00FB0B6F"/>
    <w:rsid w:val="00FB1B1D"/>
    <w:rsid w:val="00FB1BD3"/>
    <w:rsid w:val="00FB23B1"/>
    <w:rsid w:val="00FB2640"/>
    <w:rsid w:val="00FB3114"/>
    <w:rsid w:val="00FB33F4"/>
    <w:rsid w:val="00FB3E5F"/>
    <w:rsid w:val="00FB3EB5"/>
    <w:rsid w:val="00FB4FC0"/>
    <w:rsid w:val="00FB5168"/>
    <w:rsid w:val="00FB5688"/>
    <w:rsid w:val="00FB5BDF"/>
    <w:rsid w:val="00FB6B2D"/>
    <w:rsid w:val="00FC0380"/>
    <w:rsid w:val="00FC1F6B"/>
    <w:rsid w:val="00FC3689"/>
    <w:rsid w:val="00FC3BCE"/>
    <w:rsid w:val="00FC593F"/>
    <w:rsid w:val="00FC5AB4"/>
    <w:rsid w:val="00FC6BCD"/>
    <w:rsid w:val="00FC7363"/>
    <w:rsid w:val="00FC7C2D"/>
    <w:rsid w:val="00FD0449"/>
    <w:rsid w:val="00FD1E96"/>
    <w:rsid w:val="00FD20F8"/>
    <w:rsid w:val="00FD372A"/>
    <w:rsid w:val="00FD51B4"/>
    <w:rsid w:val="00FD7B8A"/>
    <w:rsid w:val="00FD7EAC"/>
    <w:rsid w:val="00FE0469"/>
    <w:rsid w:val="00FE0898"/>
    <w:rsid w:val="00FE0D4D"/>
    <w:rsid w:val="00FE0F6D"/>
    <w:rsid w:val="00FE1A63"/>
    <w:rsid w:val="00FE21A4"/>
    <w:rsid w:val="00FE34E6"/>
    <w:rsid w:val="00FE4B70"/>
    <w:rsid w:val="00FE4D2B"/>
    <w:rsid w:val="00FE504C"/>
    <w:rsid w:val="00FE5EF9"/>
    <w:rsid w:val="00FE7764"/>
    <w:rsid w:val="00FE7F44"/>
    <w:rsid w:val="00FF05EC"/>
    <w:rsid w:val="00FF2C25"/>
    <w:rsid w:val="00FF43C5"/>
    <w:rsid w:val="00FF4E6B"/>
    <w:rsid w:val="00FF5FE3"/>
    <w:rsid w:val="00FF68E7"/>
    <w:rsid w:val="00FF7011"/>
    <w:rsid w:val="00FF7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615"/>
    <w:pPr>
      <w:spacing w:after="200" w:line="276" w:lineRule="auto"/>
    </w:pPr>
    <w:rPr>
      <w:sz w:val="22"/>
      <w:szCs w:val="22"/>
    </w:rPr>
  </w:style>
  <w:style w:type="paragraph" w:styleId="Heading1">
    <w:name w:val="heading 1"/>
    <w:basedOn w:val="Normal"/>
    <w:next w:val="Normal"/>
    <w:link w:val="Heading1Char"/>
    <w:uiPriority w:val="9"/>
    <w:qFormat/>
    <w:rsid w:val="009D4335"/>
    <w:pPr>
      <w:keepNext/>
      <w:keepLines/>
      <w:spacing w:before="480" w:after="0"/>
      <w:outlineLvl w:val="0"/>
    </w:pPr>
    <w:rPr>
      <w:rFonts w:ascii="Cambria" w:eastAsia="Times New Roman" w:hAnsi="Cambria"/>
      <w:b/>
      <w:bCs/>
      <w:color w:val="365F91"/>
      <w:sz w:val="28"/>
      <w:szCs w:val="28"/>
    </w:rPr>
  </w:style>
  <w:style w:type="paragraph" w:styleId="Heading2">
    <w:name w:val="heading 2"/>
    <w:aliases w:val="H2-Sec. Head"/>
    <w:basedOn w:val="Heading1"/>
    <w:next w:val="L1-FlLSp12"/>
    <w:link w:val="Heading2Char"/>
    <w:qFormat/>
    <w:rsid w:val="009D4335"/>
    <w:pPr>
      <w:keepLines w:val="0"/>
      <w:tabs>
        <w:tab w:val="left" w:pos="1152"/>
      </w:tabs>
      <w:spacing w:before="0" w:after="360" w:line="360" w:lineRule="atLeast"/>
      <w:ind w:left="1152" w:hanging="1152"/>
      <w:outlineLvl w:val="1"/>
    </w:pPr>
    <w:rPr>
      <w:rFonts w:ascii="Franklin Gothic Medium" w:hAnsi="Franklin Gothic Medium"/>
      <w:bCs w:val="0"/>
      <w:color w:val="324162"/>
      <w:szCs w:val="20"/>
    </w:rPr>
  </w:style>
  <w:style w:type="paragraph" w:styleId="Heading4">
    <w:name w:val="heading 4"/>
    <w:basedOn w:val="Normal"/>
    <w:next w:val="Normal"/>
    <w:link w:val="Heading4Char"/>
    <w:uiPriority w:val="9"/>
    <w:semiHidden/>
    <w:unhideWhenUsed/>
    <w:qFormat/>
    <w:rsid w:val="006E21A4"/>
    <w:pPr>
      <w:keepNext/>
      <w:keepLines/>
      <w:spacing w:before="200" w:after="0"/>
      <w:outlineLvl w:val="3"/>
    </w:pPr>
    <w:rPr>
      <w:rFonts w:ascii="Cambria" w:eastAsia="Times New Roman"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35867"/>
    <w:rPr>
      <w:sz w:val="16"/>
      <w:szCs w:val="16"/>
    </w:rPr>
  </w:style>
  <w:style w:type="paragraph" w:styleId="CommentText">
    <w:name w:val="annotation text"/>
    <w:basedOn w:val="Normal"/>
    <w:link w:val="CommentTextChar"/>
    <w:uiPriority w:val="99"/>
    <w:unhideWhenUsed/>
    <w:rsid w:val="00A35867"/>
    <w:pPr>
      <w:spacing w:line="240" w:lineRule="auto"/>
    </w:pPr>
    <w:rPr>
      <w:sz w:val="20"/>
      <w:szCs w:val="20"/>
    </w:rPr>
  </w:style>
  <w:style w:type="character" w:customStyle="1" w:styleId="CommentTextChar">
    <w:name w:val="Comment Text Char"/>
    <w:basedOn w:val="DefaultParagraphFont"/>
    <w:link w:val="CommentText"/>
    <w:uiPriority w:val="99"/>
    <w:rsid w:val="00A35867"/>
    <w:rPr>
      <w:sz w:val="20"/>
      <w:szCs w:val="20"/>
    </w:rPr>
  </w:style>
  <w:style w:type="paragraph" w:styleId="CommentSubject">
    <w:name w:val="annotation subject"/>
    <w:basedOn w:val="CommentText"/>
    <w:next w:val="CommentText"/>
    <w:link w:val="CommentSubjectChar"/>
    <w:uiPriority w:val="99"/>
    <w:semiHidden/>
    <w:unhideWhenUsed/>
    <w:rsid w:val="00A35867"/>
    <w:rPr>
      <w:b/>
      <w:bCs/>
    </w:rPr>
  </w:style>
  <w:style w:type="character" w:customStyle="1" w:styleId="CommentSubjectChar">
    <w:name w:val="Comment Subject Char"/>
    <w:basedOn w:val="CommentTextChar"/>
    <w:link w:val="CommentSubject"/>
    <w:uiPriority w:val="99"/>
    <w:semiHidden/>
    <w:rsid w:val="00A35867"/>
    <w:rPr>
      <w:b/>
      <w:bCs/>
    </w:rPr>
  </w:style>
  <w:style w:type="paragraph" w:styleId="BalloonText">
    <w:name w:val="Balloon Text"/>
    <w:basedOn w:val="Normal"/>
    <w:link w:val="BalloonTextChar"/>
    <w:uiPriority w:val="99"/>
    <w:semiHidden/>
    <w:unhideWhenUsed/>
    <w:rsid w:val="00A358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867"/>
    <w:rPr>
      <w:rFonts w:ascii="Tahoma" w:hAnsi="Tahoma" w:cs="Tahoma"/>
      <w:sz w:val="16"/>
      <w:szCs w:val="16"/>
    </w:rPr>
  </w:style>
  <w:style w:type="table" w:styleId="TableGrid">
    <w:name w:val="Table Grid"/>
    <w:basedOn w:val="TableNormal"/>
    <w:uiPriority w:val="59"/>
    <w:rsid w:val="009565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E3372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33728"/>
    <w:rPr>
      <w:rFonts w:ascii="Consolas" w:hAnsi="Consolas"/>
      <w:sz w:val="21"/>
      <w:szCs w:val="21"/>
    </w:rPr>
  </w:style>
  <w:style w:type="character" w:customStyle="1" w:styleId="Heading2Char">
    <w:name w:val="Heading 2 Char"/>
    <w:aliases w:val="H2-Sec. Head Char"/>
    <w:basedOn w:val="DefaultParagraphFont"/>
    <w:link w:val="Heading2"/>
    <w:rsid w:val="009D4335"/>
    <w:rPr>
      <w:rFonts w:ascii="Franklin Gothic Medium" w:eastAsia="Times New Roman" w:hAnsi="Franklin Gothic Medium" w:cs="Times New Roman"/>
      <w:b/>
      <w:color w:val="324162"/>
      <w:sz w:val="28"/>
      <w:szCs w:val="20"/>
    </w:rPr>
  </w:style>
  <w:style w:type="paragraph" w:customStyle="1" w:styleId="E1-Equation">
    <w:name w:val="E1-Equation"/>
    <w:basedOn w:val="Normal"/>
    <w:rsid w:val="009D4335"/>
    <w:pPr>
      <w:tabs>
        <w:tab w:val="center" w:pos="4680"/>
        <w:tab w:val="right" w:pos="9360"/>
      </w:tabs>
      <w:spacing w:after="0" w:line="240" w:lineRule="atLeast"/>
    </w:pPr>
    <w:rPr>
      <w:rFonts w:ascii="Garamond" w:eastAsia="Times New Roman" w:hAnsi="Garamond"/>
      <w:sz w:val="24"/>
      <w:szCs w:val="20"/>
    </w:rPr>
  </w:style>
  <w:style w:type="paragraph" w:customStyle="1" w:styleId="L1-FlLSp12">
    <w:name w:val="L1-FlL Sp&amp;1/2"/>
    <w:basedOn w:val="Normal"/>
    <w:link w:val="L1-FlLSp12Char"/>
    <w:rsid w:val="009D4335"/>
    <w:pPr>
      <w:tabs>
        <w:tab w:val="left" w:pos="1152"/>
      </w:tabs>
      <w:spacing w:after="0" w:line="360" w:lineRule="atLeast"/>
    </w:pPr>
    <w:rPr>
      <w:rFonts w:ascii="Garamond" w:eastAsia="Times New Roman" w:hAnsi="Garamond"/>
      <w:sz w:val="24"/>
      <w:szCs w:val="20"/>
    </w:rPr>
  </w:style>
  <w:style w:type="character" w:customStyle="1" w:styleId="L1-FlLSp12Char">
    <w:name w:val="L1-FlL Sp&amp;1/2 Char"/>
    <w:basedOn w:val="DefaultParagraphFont"/>
    <w:link w:val="L1-FlLSp12"/>
    <w:rsid w:val="009D4335"/>
    <w:rPr>
      <w:rFonts w:ascii="Garamond" w:eastAsia="Times New Roman" w:hAnsi="Garamond" w:cs="Times New Roman"/>
      <w:sz w:val="24"/>
      <w:szCs w:val="20"/>
    </w:rPr>
  </w:style>
  <w:style w:type="character" w:customStyle="1" w:styleId="Heading1Char">
    <w:name w:val="Heading 1 Char"/>
    <w:basedOn w:val="DefaultParagraphFont"/>
    <w:link w:val="Heading1"/>
    <w:uiPriority w:val="9"/>
    <w:rsid w:val="009D4335"/>
    <w:rPr>
      <w:rFonts w:ascii="Cambria" w:eastAsia="Times New Roman" w:hAnsi="Cambria" w:cs="Times New Roman"/>
      <w:b/>
      <w:bCs/>
      <w:color w:val="365F91"/>
      <w:sz w:val="28"/>
      <w:szCs w:val="28"/>
    </w:rPr>
  </w:style>
  <w:style w:type="paragraph" w:customStyle="1" w:styleId="Default">
    <w:name w:val="Default"/>
    <w:rsid w:val="009C7029"/>
    <w:pPr>
      <w:autoSpaceDE w:val="0"/>
      <w:autoSpaceDN w:val="0"/>
      <w:adjustRightInd w:val="0"/>
    </w:pPr>
    <w:rPr>
      <w:rFonts w:ascii="Garamond" w:hAnsi="Garamond" w:cs="Garamond"/>
      <w:color w:val="000000"/>
      <w:sz w:val="24"/>
      <w:szCs w:val="24"/>
    </w:rPr>
  </w:style>
  <w:style w:type="paragraph" w:styleId="ListParagraph">
    <w:name w:val="List Paragraph"/>
    <w:basedOn w:val="Normal"/>
    <w:uiPriority w:val="34"/>
    <w:qFormat/>
    <w:rsid w:val="004F3C43"/>
    <w:pPr>
      <w:ind w:left="720"/>
      <w:contextualSpacing/>
    </w:pPr>
  </w:style>
  <w:style w:type="character" w:customStyle="1" w:styleId="Heading4Char">
    <w:name w:val="Heading 4 Char"/>
    <w:basedOn w:val="DefaultParagraphFont"/>
    <w:link w:val="Heading4"/>
    <w:uiPriority w:val="9"/>
    <w:semiHidden/>
    <w:rsid w:val="006E21A4"/>
    <w:rPr>
      <w:rFonts w:ascii="Cambria" w:eastAsia="Times New Roman" w:hAnsi="Cambria" w:cs="Times New Roman"/>
      <w:b/>
      <w:bCs/>
      <w:i/>
      <w:iCs/>
      <w:color w:val="4F81BD"/>
    </w:rPr>
  </w:style>
  <w:style w:type="paragraph" w:styleId="FootnoteText">
    <w:name w:val="footnote text"/>
    <w:aliases w:val="F1"/>
    <w:link w:val="FootnoteTextChar"/>
    <w:uiPriority w:val="99"/>
    <w:semiHidden/>
    <w:rsid w:val="006E21A4"/>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6E21A4"/>
    <w:rPr>
      <w:rFonts w:ascii="Garamond" w:eastAsia="Times New Roman" w:hAnsi="Garamond" w:cs="Times New Roman"/>
      <w:sz w:val="16"/>
      <w:lang w:val="en-US" w:eastAsia="en-US" w:bidi="ar-SA"/>
    </w:rPr>
  </w:style>
  <w:style w:type="paragraph" w:customStyle="1" w:styleId="N1-1stBullet">
    <w:name w:val="N1-1st Bullet"/>
    <w:basedOn w:val="Normal"/>
    <w:rsid w:val="006E21A4"/>
    <w:pPr>
      <w:numPr>
        <w:numId w:val="4"/>
      </w:numPr>
      <w:spacing w:after="240" w:line="240" w:lineRule="atLeast"/>
    </w:pPr>
    <w:rPr>
      <w:rFonts w:ascii="Garamond" w:eastAsia="Times New Roman" w:hAnsi="Garamond"/>
      <w:sz w:val="24"/>
      <w:szCs w:val="20"/>
    </w:rPr>
  </w:style>
  <w:style w:type="character" w:styleId="FootnoteReference">
    <w:name w:val="footnote reference"/>
    <w:basedOn w:val="DefaultParagraphFont"/>
    <w:uiPriority w:val="99"/>
    <w:unhideWhenUsed/>
    <w:rsid w:val="006E21A4"/>
    <w:rPr>
      <w:vertAlign w:val="superscript"/>
    </w:rPr>
  </w:style>
  <w:style w:type="paragraph" w:styleId="Header">
    <w:name w:val="header"/>
    <w:basedOn w:val="Normal"/>
    <w:link w:val="HeaderChar"/>
    <w:uiPriority w:val="99"/>
    <w:semiHidden/>
    <w:unhideWhenUsed/>
    <w:rsid w:val="009D31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D319D"/>
  </w:style>
  <w:style w:type="paragraph" w:styleId="Footer">
    <w:name w:val="footer"/>
    <w:basedOn w:val="Normal"/>
    <w:link w:val="FooterChar"/>
    <w:uiPriority w:val="99"/>
    <w:unhideWhenUsed/>
    <w:rsid w:val="009D3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319D"/>
  </w:style>
  <w:style w:type="paragraph" w:customStyle="1" w:styleId="N0-FlLftBullet">
    <w:name w:val="N0-Fl Lft Bullet"/>
    <w:basedOn w:val="Normal"/>
    <w:rsid w:val="00DE5630"/>
    <w:pPr>
      <w:tabs>
        <w:tab w:val="left" w:pos="576"/>
      </w:tabs>
      <w:spacing w:after="240" w:line="240" w:lineRule="atLeast"/>
      <w:ind w:left="576" w:hanging="576"/>
    </w:pPr>
    <w:rPr>
      <w:rFonts w:ascii="Garamond" w:eastAsia="Times New Roman" w:hAnsi="Garamond"/>
      <w:sz w:val="24"/>
      <w:szCs w:val="20"/>
    </w:rPr>
  </w:style>
  <w:style w:type="character" w:styleId="Hyperlink">
    <w:name w:val="Hyperlink"/>
    <w:basedOn w:val="DefaultParagraphFont"/>
    <w:uiPriority w:val="99"/>
    <w:unhideWhenUsed/>
    <w:rsid w:val="005F4EB6"/>
    <w:rPr>
      <w:color w:val="0000FF"/>
      <w:u w:val="single"/>
    </w:rPr>
  </w:style>
  <w:style w:type="paragraph" w:styleId="TOC1">
    <w:name w:val="toc 1"/>
    <w:basedOn w:val="Default"/>
    <w:next w:val="Default"/>
    <w:uiPriority w:val="39"/>
    <w:rsid w:val="006A4DAB"/>
    <w:rPr>
      <w:rFonts w:ascii="Times New Roman" w:hAnsi="Times New Roman" w:cs="Times New Roman"/>
      <w:color w:val="auto"/>
      <w:lang w:bidi="he-IL"/>
    </w:rPr>
  </w:style>
  <w:style w:type="paragraph" w:styleId="TOC2">
    <w:name w:val="toc 2"/>
    <w:basedOn w:val="Default"/>
    <w:next w:val="Default"/>
    <w:uiPriority w:val="39"/>
    <w:rsid w:val="006A4DAB"/>
    <w:rPr>
      <w:rFonts w:ascii="Times New Roman" w:hAnsi="Times New Roman" w:cs="Times New Roman"/>
      <w:color w:val="auto"/>
      <w:lang w:bidi="he-IL"/>
    </w:rPr>
  </w:style>
  <w:style w:type="paragraph" w:styleId="TOCHeading">
    <w:name w:val="TOC Heading"/>
    <w:basedOn w:val="Heading1"/>
    <w:next w:val="Normal"/>
    <w:uiPriority w:val="39"/>
    <w:semiHidden/>
    <w:unhideWhenUsed/>
    <w:qFormat/>
    <w:rsid w:val="006A4DAB"/>
    <w:pPr>
      <w:outlineLvl w:val="9"/>
    </w:pPr>
  </w:style>
  <w:style w:type="paragraph" w:styleId="TOC3">
    <w:name w:val="toc 3"/>
    <w:basedOn w:val="Normal"/>
    <w:next w:val="Normal"/>
    <w:autoRedefine/>
    <w:uiPriority w:val="39"/>
    <w:unhideWhenUsed/>
    <w:rsid w:val="006A4DAB"/>
    <w:pPr>
      <w:autoSpaceDE w:val="0"/>
      <w:autoSpaceDN w:val="0"/>
      <w:adjustRightInd w:val="0"/>
      <w:spacing w:after="100" w:line="288" w:lineRule="exact"/>
      <w:ind w:left="480"/>
    </w:pPr>
    <w:rPr>
      <w:rFonts w:ascii="Times New Roman" w:hAnsi="Times New Roman"/>
      <w:sz w:val="24"/>
      <w:szCs w:val="24"/>
      <w:lang w:bidi="he-IL"/>
    </w:rPr>
  </w:style>
  <w:style w:type="character" w:styleId="FollowedHyperlink">
    <w:name w:val="FollowedHyperlink"/>
    <w:basedOn w:val="DefaultParagraphFont"/>
    <w:uiPriority w:val="99"/>
    <w:semiHidden/>
    <w:unhideWhenUsed/>
    <w:rsid w:val="00D777C5"/>
    <w:rPr>
      <w:color w:val="800080"/>
      <w:u w:val="single"/>
    </w:rPr>
  </w:style>
  <w:style w:type="paragraph" w:styleId="EndnoteText">
    <w:name w:val="endnote text"/>
    <w:basedOn w:val="Normal"/>
    <w:link w:val="EndnoteTextChar"/>
    <w:uiPriority w:val="99"/>
    <w:semiHidden/>
    <w:unhideWhenUsed/>
    <w:rsid w:val="0072559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5594"/>
    <w:rPr>
      <w:sz w:val="20"/>
      <w:szCs w:val="20"/>
    </w:rPr>
  </w:style>
  <w:style w:type="character" w:styleId="EndnoteReference">
    <w:name w:val="endnote reference"/>
    <w:basedOn w:val="DefaultParagraphFont"/>
    <w:uiPriority w:val="99"/>
    <w:semiHidden/>
    <w:unhideWhenUsed/>
    <w:rsid w:val="00725594"/>
    <w:rPr>
      <w:vertAlign w:val="superscript"/>
    </w:rPr>
  </w:style>
  <w:style w:type="paragraph" w:styleId="Revision">
    <w:name w:val="Revision"/>
    <w:hidden/>
    <w:uiPriority w:val="99"/>
    <w:semiHidden/>
    <w:rsid w:val="00B73EF7"/>
    <w:rPr>
      <w:sz w:val="22"/>
      <w:szCs w:val="22"/>
    </w:rPr>
  </w:style>
  <w:style w:type="paragraph" w:customStyle="1" w:styleId="AbtHeadA">
    <w:name w:val="AbtHead A"/>
    <w:basedOn w:val="Normal"/>
    <w:uiPriority w:val="99"/>
    <w:rsid w:val="00432610"/>
    <w:pPr>
      <w:keepNext/>
      <w:spacing w:after="360" w:line="264" w:lineRule="auto"/>
    </w:pPr>
    <w:rPr>
      <w:rFonts w:ascii="Arial Bold" w:hAnsi="Arial Bold"/>
      <w:b/>
      <w:bCs/>
      <w:smallCaps/>
      <w:sz w:val="28"/>
      <w:szCs w:val="28"/>
    </w:rPr>
  </w:style>
  <w:style w:type="paragraph" w:customStyle="1" w:styleId="Level2">
    <w:name w:val="Level 2"/>
    <w:basedOn w:val="Normal"/>
    <w:uiPriority w:val="99"/>
    <w:rsid w:val="00AB087A"/>
    <w:pPr>
      <w:widowControl w:val="0"/>
      <w:autoSpaceDE w:val="0"/>
      <w:autoSpaceDN w:val="0"/>
      <w:adjustRightInd w:val="0"/>
      <w:spacing w:after="0" w:line="240" w:lineRule="auto"/>
      <w:ind w:left="722" w:hanging="361"/>
    </w:pPr>
    <w:rPr>
      <w:rFonts w:ascii="Times New Roman" w:eastAsia="Times New Roman" w:hAnsi="Times New Roman"/>
      <w:sz w:val="24"/>
      <w:szCs w:val="24"/>
    </w:rPr>
  </w:style>
  <w:style w:type="paragraph" w:styleId="BodyTextIndent">
    <w:name w:val="Body Text Indent"/>
    <w:basedOn w:val="Normal"/>
    <w:link w:val="BodyTextIndentChar"/>
    <w:uiPriority w:val="99"/>
    <w:rsid w:val="00AB087A"/>
    <w:pPr>
      <w:widowControl w:val="0"/>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0" w:line="240" w:lineRule="auto"/>
      <w:ind w:left="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uiPriority w:val="99"/>
    <w:rsid w:val="00AB087A"/>
    <w:rPr>
      <w:rFonts w:ascii="Times New Roman" w:eastAsia="Times New Roman" w:hAnsi="Times New Roman" w:cs="Times New Roman"/>
      <w:sz w:val="24"/>
      <w:szCs w:val="24"/>
    </w:rPr>
  </w:style>
  <w:style w:type="paragraph" w:styleId="BodyText">
    <w:name w:val="Body Text"/>
    <w:basedOn w:val="Normal"/>
    <w:link w:val="BodyTextChar"/>
    <w:uiPriority w:val="99"/>
    <w:rsid w:val="008E12AE"/>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rsid w:val="008E12AE"/>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2851501">
      <w:bodyDiv w:val="1"/>
      <w:marLeft w:val="0"/>
      <w:marRight w:val="0"/>
      <w:marTop w:val="0"/>
      <w:marBottom w:val="0"/>
      <w:divBdr>
        <w:top w:val="none" w:sz="0" w:space="0" w:color="auto"/>
        <w:left w:val="none" w:sz="0" w:space="0" w:color="auto"/>
        <w:bottom w:val="none" w:sz="0" w:space="0" w:color="auto"/>
        <w:right w:val="none" w:sz="0" w:space="0" w:color="auto"/>
      </w:divBdr>
    </w:div>
    <w:div w:id="56589438">
      <w:bodyDiv w:val="1"/>
      <w:marLeft w:val="0"/>
      <w:marRight w:val="0"/>
      <w:marTop w:val="0"/>
      <w:marBottom w:val="0"/>
      <w:divBdr>
        <w:top w:val="none" w:sz="0" w:space="0" w:color="auto"/>
        <w:left w:val="none" w:sz="0" w:space="0" w:color="auto"/>
        <w:bottom w:val="none" w:sz="0" w:space="0" w:color="auto"/>
        <w:right w:val="none" w:sz="0" w:space="0" w:color="auto"/>
      </w:divBdr>
    </w:div>
    <w:div w:id="69743885">
      <w:bodyDiv w:val="1"/>
      <w:marLeft w:val="0"/>
      <w:marRight w:val="0"/>
      <w:marTop w:val="0"/>
      <w:marBottom w:val="0"/>
      <w:divBdr>
        <w:top w:val="none" w:sz="0" w:space="0" w:color="auto"/>
        <w:left w:val="none" w:sz="0" w:space="0" w:color="auto"/>
        <w:bottom w:val="none" w:sz="0" w:space="0" w:color="auto"/>
        <w:right w:val="none" w:sz="0" w:space="0" w:color="auto"/>
      </w:divBdr>
    </w:div>
    <w:div w:id="626817686">
      <w:bodyDiv w:val="1"/>
      <w:marLeft w:val="0"/>
      <w:marRight w:val="0"/>
      <w:marTop w:val="0"/>
      <w:marBottom w:val="0"/>
      <w:divBdr>
        <w:top w:val="none" w:sz="0" w:space="0" w:color="auto"/>
        <w:left w:val="none" w:sz="0" w:space="0" w:color="auto"/>
        <w:bottom w:val="none" w:sz="0" w:space="0" w:color="auto"/>
        <w:right w:val="none" w:sz="0" w:space="0" w:color="auto"/>
      </w:divBdr>
    </w:div>
    <w:div w:id="814182558">
      <w:bodyDiv w:val="1"/>
      <w:marLeft w:val="0"/>
      <w:marRight w:val="0"/>
      <w:marTop w:val="0"/>
      <w:marBottom w:val="0"/>
      <w:divBdr>
        <w:top w:val="none" w:sz="0" w:space="0" w:color="auto"/>
        <w:left w:val="none" w:sz="0" w:space="0" w:color="auto"/>
        <w:bottom w:val="none" w:sz="0" w:space="0" w:color="auto"/>
        <w:right w:val="none" w:sz="0" w:space="0" w:color="auto"/>
      </w:divBdr>
    </w:div>
    <w:div w:id="1114128959">
      <w:bodyDiv w:val="1"/>
      <w:marLeft w:val="0"/>
      <w:marRight w:val="0"/>
      <w:marTop w:val="0"/>
      <w:marBottom w:val="0"/>
      <w:divBdr>
        <w:top w:val="none" w:sz="0" w:space="0" w:color="auto"/>
        <w:left w:val="none" w:sz="0" w:space="0" w:color="auto"/>
        <w:bottom w:val="none" w:sz="0" w:space="0" w:color="auto"/>
        <w:right w:val="none" w:sz="0" w:space="0" w:color="auto"/>
      </w:divBdr>
    </w:div>
    <w:div w:id="1154957149">
      <w:bodyDiv w:val="1"/>
      <w:marLeft w:val="0"/>
      <w:marRight w:val="0"/>
      <w:marTop w:val="0"/>
      <w:marBottom w:val="0"/>
      <w:divBdr>
        <w:top w:val="none" w:sz="0" w:space="0" w:color="auto"/>
        <w:left w:val="none" w:sz="0" w:space="0" w:color="auto"/>
        <w:bottom w:val="none" w:sz="0" w:space="0" w:color="auto"/>
        <w:right w:val="none" w:sz="0" w:space="0" w:color="auto"/>
      </w:divBdr>
    </w:div>
    <w:div w:id="1521234325">
      <w:bodyDiv w:val="1"/>
      <w:marLeft w:val="0"/>
      <w:marRight w:val="0"/>
      <w:marTop w:val="0"/>
      <w:marBottom w:val="0"/>
      <w:divBdr>
        <w:top w:val="none" w:sz="0" w:space="0" w:color="auto"/>
        <w:left w:val="none" w:sz="0" w:space="0" w:color="auto"/>
        <w:bottom w:val="none" w:sz="0" w:space="0" w:color="auto"/>
        <w:right w:val="none" w:sz="0" w:space="0" w:color="auto"/>
      </w:divBdr>
    </w:div>
    <w:div w:id="1650011388">
      <w:bodyDiv w:val="1"/>
      <w:marLeft w:val="0"/>
      <w:marRight w:val="0"/>
      <w:marTop w:val="0"/>
      <w:marBottom w:val="0"/>
      <w:divBdr>
        <w:top w:val="none" w:sz="0" w:space="0" w:color="auto"/>
        <w:left w:val="none" w:sz="0" w:space="0" w:color="auto"/>
        <w:bottom w:val="none" w:sz="0" w:space="0" w:color="auto"/>
        <w:right w:val="none" w:sz="0" w:space="0" w:color="auto"/>
      </w:divBdr>
    </w:div>
    <w:div w:id="1793016826">
      <w:bodyDiv w:val="1"/>
      <w:marLeft w:val="0"/>
      <w:marRight w:val="0"/>
      <w:marTop w:val="0"/>
      <w:marBottom w:val="0"/>
      <w:divBdr>
        <w:top w:val="none" w:sz="0" w:space="0" w:color="auto"/>
        <w:left w:val="none" w:sz="0" w:space="0" w:color="auto"/>
        <w:bottom w:val="none" w:sz="0" w:space="0" w:color="auto"/>
        <w:right w:val="none" w:sz="0" w:space="0" w:color="auto"/>
      </w:divBdr>
    </w:div>
    <w:div w:id="1913007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anchalat.Chanhatasilpa@fns.usda.gov" TargetMode="External"/><Relationship Id="rId13" Type="http://schemas.openxmlformats.org/officeDocument/2006/relationships/footer" Target="footer5.xml"/><Relationship Id="rId18" Type="http://schemas.openxmlformats.org/officeDocument/2006/relationships/hyperlink" Target="http://www.fns.usda.gov/ora/menu/DemoProjects/SummerFood/MealDelivery_RFA.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www.census.gov/hhes/www/poverty/histpov/" TargetMode="External"/><Relationship Id="rId2" Type="http://schemas.openxmlformats.org/officeDocument/2006/relationships/numbering" Target="numbering.xml"/><Relationship Id="rId16" Type="http://schemas.openxmlformats.org/officeDocument/2006/relationships/hyperlink" Target="http://151.121.68.30/publications/eib17/eib17.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americanprogress.org/issues/2010/06/summer_hunger.html" TargetMode="External"/><Relationship Id="rId10" Type="http://schemas.openxmlformats.org/officeDocument/2006/relationships/footer" Target="footer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32075-F504-486F-BACF-25988FBED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9679</Words>
  <Characters>55172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Hintz_e</dc:creator>
  <cp:lastModifiedBy>kkwon</cp:lastModifiedBy>
  <cp:revision>4</cp:revision>
  <cp:lastPrinted>2011-06-27T17:10:00Z</cp:lastPrinted>
  <dcterms:created xsi:type="dcterms:W3CDTF">2011-07-19T19:31:00Z</dcterms:created>
  <dcterms:modified xsi:type="dcterms:W3CDTF">2011-07-19T19:35:00Z</dcterms:modified>
</cp:coreProperties>
</file>