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1E" w:rsidRDefault="00E4391E" w:rsidP="00D254D8">
      <w:pPr>
        <w:tabs>
          <w:tab w:val="left" w:pos="7470"/>
        </w:tabs>
        <w:autoSpaceDE w:val="0"/>
        <w:autoSpaceDN w:val="0"/>
        <w:adjustRightInd w:val="0"/>
        <w:jc w:val="center"/>
        <w:rPr>
          <w:b/>
        </w:rPr>
      </w:pPr>
      <w:r>
        <w:rPr>
          <w:b/>
        </w:rPr>
        <w:t>Health Resources and Services Administration/Maternal and Child Health Bureau</w:t>
      </w:r>
    </w:p>
    <w:p w:rsidR="00E4391E" w:rsidRDefault="00E4391E" w:rsidP="001E65C8">
      <w:pPr>
        <w:tabs>
          <w:tab w:val="left" w:pos="7470"/>
        </w:tabs>
        <w:autoSpaceDE w:val="0"/>
        <w:autoSpaceDN w:val="0"/>
        <w:adjustRightInd w:val="0"/>
        <w:jc w:val="center"/>
        <w:rPr>
          <w:b/>
        </w:rPr>
      </w:pPr>
      <w:r>
        <w:rPr>
          <w:b/>
        </w:rPr>
        <w:t xml:space="preserve">Measurement for Sickle Cell Disease Programs   </w:t>
      </w:r>
    </w:p>
    <w:p w:rsidR="00E4391E" w:rsidRPr="00DA70A2" w:rsidRDefault="00E4391E" w:rsidP="00D254D8">
      <w:pPr>
        <w:tabs>
          <w:tab w:val="left" w:pos="7470"/>
        </w:tabs>
        <w:autoSpaceDE w:val="0"/>
        <w:autoSpaceDN w:val="0"/>
        <w:adjustRightInd w:val="0"/>
        <w:rPr>
          <w:b/>
          <w:bCs/>
        </w:rPr>
      </w:pPr>
      <w:r>
        <w:rPr>
          <w:b/>
        </w:rPr>
        <w:t>Part</w:t>
      </w:r>
      <w:r w:rsidRPr="00E15EAB">
        <w:rPr>
          <w:b/>
        </w:rPr>
        <w:t xml:space="preserve"> A:</w:t>
      </w:r>
      <w:r>
        <w:rPr>
          <w:b/>
        </w:rPr>
        <w:t xml:space="preserve"> </w:t>
      </w:r>
      <w:r w:rsidRPr="00DA70A2">
        <w:rPr>
          <w:b/>
        </w:rPr>
        <w:t>JUSTIFICATION</w:t>
      </w:r>
    </w:p>
    <w:p w:rsidR="00E4391E" w:rsidRPr="00271E3A" w:rsidRDefault="00E4391E" w:rsidP="00D254D8">
      <w:pPr>
        <w:tabs>
          <w:tab w:val="left" w:pos="720"/>
        </w:tabs>
        <w:autoSpaceDE w:val="0"/>
        <w:autoSpaceDN w:val="0"/>
        <w:adjustRightInd w:val="0"/>
        <w:rPr>
          <w:b/>
          <w:bCs/>
        </w:rPr>
      </w:pPr>
      <w:r>
        <w:rPr>
          <w:rFonts w:cs="Courier New"/>
          <w:b/>
        </w:rPr>
        <w:t xml:space="preserve">1. </w:t>
      </w:r>
      <w:r w:rsidRPr="00271E3A">
        <w:rPr>
          <w:rFonts w:cs="Courier New"/>
          <w:b/>
          <w:u w:val="single"/>
        </w:rPr>
        <w:t>Circumstances of Information Collection</w:t>
      </w:r>
    </w:p>
    <w:p w:rsidR="00E4391E" w:rsidRDefault="00E4391E" w:rsidP="00E34F76">
      <w:pPr>
        <w:spacing w:line="240" w:lineRule="auto"/>
      </w:pPr>
      <w:r>
        <w:t xml:space="preserve">This statement is a request for Office of Management and Budget approval for the measurement and quality improvement activities of the Sickle Cell Disease and Newborn Screening Program (SCDNBSP) and the Sickle Cell Disease Treatment and Demonstration Program (SCDTDP).  </w:t>
      </w:r>
      <w:r w:rsidRPr="00D07262">
        <w:t xml:space="preserve">The purpose of the </w:t>
      </w:r>
      <w:r>
        <w:t>measurement strategy</w:t>
      </w:r>
      <w:r w:rsidRPr="00D07262">
        <w:t xml:space="preserve"> </w:t>
      </w:r>
      <w:r>
        <w:t>and quality improvement activities is</w:t>
      </w:r>
      <w:r>
        <w:rPr>
          <w:szCs w:val="28"/>
        </w:rPr>
        <w:t xml:space="preserve"> to monitor the service delivery processes and outcomes resulting from the systems of care delivered by SCDNBSP and SCDTDP networks to individuals affected by Sickle Cell Disease (SCD) who present at their sites for care.</w:t>
      </w:r>
      <w:r w:rsidRPr="00D07262">
        <w:t xml:space="preserve"> This is a new activity.</w:t>
      </w:r>
      <w:r>
        <w:t xml:space="preserve"> </w:t>
      </w:r>
    </w:p>
    <w:p w:rsidR="00E4391E" w:rsidRDefault="00E4391E" w:rsidP="00E34F76">
      <w:pPr>
        <w:pStyle w:val="NormalWeb"/>
      </w:pPr>
      <w:r>
        <w:t xml:space="preserve">The Sickle Cell Disease and Newborn Screening Program and the Sickle Cell Disease Treatment Demonstration Program are administered by the Genetic Services Branch of the Division of Services for Children with Special Health Needs in the Health Resources and Services Administration's (HRSA) Maternal and Child Health Bureau (MCHB). </w:t>
      </w:r>
    </w:p>
    <w:p w:rsidR="00E4391E" w:rsidRPr="00D07262" w:rsidRDefault="00E4391E" w:rsidP="00E34F76">
      <w:pPr>
        <w:spacing w:line="240" w:lineRule="auto"/>
        <w:rPr>
          <w:szCs w:val="28"/>
        </w:rPr>
      </w:pPr>
      <w:r w:rsidRPr="00D07262">
        <w:rPr>
          <w:szCs w:val="28"/>
        </w:rPr>
        <w:t>In response to the growing need for resources devoted to sickle cell disease and other hemoglobinopathies, the United States Congress, under Section 501(a)(2) of the Social Security Act, authorized the appropriation of funds for the purpose of enabling the Secretary to provide for special projects of regional and national significance, research and training with respect to maternal and child health and children with special health care needs, for genetic disease testing, counseling and information development</w:t>
      </w:r>
      <w:r>
        <w:rPr>
          <w:szCs w:val="28"/>
        </w:rPr>
        <w:t>,</w:t>
      </w:r>
      <w:r w:rsidRPr="00D07262">
        <w:rPr>
          <w:szCs w:val="28"/>
        </w:rPr>
        <w:t xml:space="preserve"> dissemination programs, for grants relating to hemophilia without regard to age, and for the screening of newborns for sickle cell anemia and other genetic disorders</w:t>
      </w:r>
      <w:r>
        <w:rPr>
          <w:szCs w:val="28"/>
        </w:rPr>
        <w:t>,</w:t>
      </w:r>
      <w:r w:rsidRPr="00D07262">
        <w:rPr>
          <w:szCs w:val="28"/>
        </w:rPr>
        <w:t xml:space="preserve"> and follow-up services.  </w:t>
      </w:r>
    </w:p>
    <w:p w:rsidR="00E4391E" w:rsidRDefault="00E4391E" w:rsidP="00E34F76">
      <w:pPr>
        <w:spacing w:line="240" w:lineRule="auto"/>
      </w:pPr>
      <w:r w:rsidRPr="00D07262">
        <w:rPr>
          <w:szCs w:val="28"/>
        </w:rPr>
        <w:t>As stated in House Report No. 107-229 regarding the Department</w:t>
      </w:r>
      <w:r>
        <w:rPr>
          <w:szCs w:val="28"/>
        </w:rPr>
        <w:t>s</w:t>
      </w:r>
      <w:r w:rsidRPr="00D07262">
        <w:rPr>
          <w:szCs w:val="28"/>
        </w:rPr>
        <w:t xml:space="preserve"> of Labor, Health and Human Services, and Education, and Related Agencies Appropriation Bill 2002, the purpose of the SCDNBSP is “to enhance the sickle cell disease newborn screening program and its locally based outreach and counseling efforts.”  </w:t>
      </w:r>
      <w:r>
        <w:rPr>
          <w:szCs w:val="28"/>
        </w:rPr>
        <w:t xml:space="preserve"> T</w:t>
      </w:r>
      <w:r w:rsidRPr="00D07262">
        <w:rPr>
          <w:szCs w:val="28"/>
        </w:rPr>
        <w:t xml:space="preserve">he American Jobs Creation Act of 2004, P.L. 108-357, states that “…the Bureau of Primary Health Care and the Maternal and Child Health Bureau, shall conduct a demonstration program by making grants to up to 40 eligible entities for each fiscal year in which the program is conducted under this section for the purpose of developing and establishing systemic mechanisms to improve the prevention and treatment of Sickle Cell Disease.” (See Attachment </w:t>
      </w:r>
      <w:r>
        <w:rPr>
          <w:szCs w:val="28"/>
        </w:rPr>
        <w:t>A</w:t>
      </w:r>
      <w:r w:rsidRPr="00D07262">
        <w:rPr>
          <w:szCs w:val="28"/>
        </w:rPr>
        <w:t xml:space="preserve"> - 42 U.S.C. 300b-1).</w:t>
      </w:r>
      <w:r>
        <w:rPr>
          <w:szCs w:val="28"/>
        </w:rPr>
        <w:t xml:space="preserve"> </w:t>
      </w:r>
      <w:r>
        <w:t xml:space="preserve">In addition, </w:t>
      </w:r>
      <w:r w:rsidRPr="00FB08B2">
        <w:t xml:space="preserve">Section 712 of P.L. 108-357 authorized a demonstration program for the prevention and treatment of </w:t>
      </w:r>
      <w:r>
        <w:t>sickle cell disease</w:t>
      </w:r>
      <w:r w:rsidRPr="00FB08B2">
        <w:t xml:space="preserve">.  The legislation was enacted to (1) create an optional medical assistance program for individuals with </w:t>
      </w:r>
      <w:r>
        <w:t>SCD</w:t>
      </w:r>
      <w:r w:rsidRPr="00FB08B2">
        <w:t xml:space="preserve"> for treatment and education, genetic counseling and other services </w:t>
      </w:r>
      <w:r w:rsidRPr="00FB08B2">
        <w:lastRenderedPageBreak/>
        <w:t xml:space="preserve">to prevent mortality and decrease morbidity from Sickle Cell Disease, and (2) to create a demonstration program, the SCDTDP, under HRSA.   </w:t>
      </w:r>
    </w:p>
    <w:p w:rsidR="00E4391E" w:rsidRDefault="00E4391E" w:rsidP="00E34F76">
      <w:pPr>
        <w:spacing w:line="240" w:lineRule="auto"/>
      </w:pPr>
      <w:r w:rsidRPr="0039681C">
        <w:rPr>
          <w:szCs w:val="28"/>
        </w:rPr>
        <w:t xml:space="preserve">HRSA’s activities under the legislative authorities relative to the </w:t>
      </w:r>
      <w:r>
        <w:rPr>
          <w:szCs w:val="28"/>
        </w:rPr>
        <w:t>SCDNBSP</w:t>
      </w:r>
      <w:r w:rsidRPr="0039681C">
        <w:rPr>
          <w:szCs w:val="28"/>
        </w:rPr>
        <w:t xml:space="preserve"> </w:t>
      </w:r>
      <w:r>
        <w:rPr>
          <w:szCs w:val="28"/>
        </w:rPr>
        <w:t xml:space="preserve">and SCDTDP </w:t>
      </w:r>
      <w:r w:rsidRPr="0039681C">
        <w:rPr>
          <w:szCs w:val="28"/>
        </w:rPr>
        <w:t>ha</w:t>
      </w:r>
      <w:r>
        <w:rPr>
          <w:szCs w:val="28"/>
        </w:rPr>
        <w:t>ve</w:t>
      </w:r>
      <w:r w:rsidRPr="0039681C">
        <w:rPr>
          <w:szCs w:val="28"/>
        </w:rPr>
        <w:t xml:space="preserve"> been delegated to the MCHB, G</w:t>
      </w:r>
      <w:r>
        <w:rPr>
          <w:szCs w:val="28"/>
        </w:rPr>
        <w:t xml:space="preserve">enetic </w:t>
      </w:r>
      <w:r w:rsidRPr="0039681C">
        <w:rPr>
          <w:szCs w:val="28"/>
        </w:rPr>
        <w:t>S</w:t>
      </w:r>
      <w:r>
        <w:rPr>
          <w:szCs w:val="28"/>
        </w:rPr>
        <w:t xml:space="preserve">ervices </w:t>
      </w:r>
      <w:r w:rsidRPr="0039681C">
        <w:rPr>
          <w:szCs w:val="28"/>
        </w:rPr>
        <w:t>B</w:t>
      </w:r>
      <w:r>
        <w:rPr>
          <w:szCs w:val="28"/>
        </w:rPr>
        <w:t>ranch</w:t>
      </w:r>
      <w:r w:rsidRPr="0039681C">
        <w:rPr>
          <w:szCs w:val="28"/>
        </w:rPr>
        <w:t>.  The MCHB’s G</w:t>
      </w:r>
      <w:r>
        <w:rPr>
          <w:szCs w:val="28"/>
        </w:rPr>
        <w:t xml:space="preserve">enetic </w:t>
      </w:r>
      <w:r w:rsidRPr="0039681C">
        <w:rPr>
          <w:szCs w:val="28"/>
        </w:rPr>
        <w:t>S</w:t>
      </w:r>
      <w:r>
        <w:rPr>
          <w:szCs w:val="28"/>
        </w:rPr>
        <w:t xml:space="preserve">ervices </w:t>
      </w:r>
      <w:r w:rsidRPr="0039681C">
        <w:rPr>
          <w:szCs w:val="28"/>
        </w:rPr>
        <w:t>B</w:t>
      </w:r>
      <w:r>
        <w:rPr>
          <w:szCs w:val="28"/>
        </w:rPr>
        <w:t>ranch</w:t>
      </w:r>
      <w:r w:rsidRPr="0039681C">
        <w:rPr>
          <w:szCs w:val="28"/>
        </w:rPr>
        <w:t xml:space="preserve"> supports </w:t>
      </w:r>
      <w:r>
        <w:rPr>
          <w:szCs w:val="28"/>
        </w:rPr>
        <w:t xml:space="preserve">six </w:t>
      </w:r>
      <w:r w:rsidRPr="0039681C">
        <w:rPr>
          <w:szCs w:val="28"/>
        </w:rPr>
        <w:t>community</w:t>
      </w:r>
      <w:r>
        <w:rPr>
          <w:szCs w:val="28"/>
        </w:rPr>
        <w:t>-</w:t>
      </w:r>
      <w:r w:rsidRPr="0039681C">
        <w:rPr>
          <w:szCs w:val="28"/>
        </w:rPr>
        <w:t xml:space="preserve">based </w:t>
      </w:r>
      <w:r>
        <w:rPr>
          <w:szCs w:val="28"/>
        </w:rPr>
        <w:t>network</w:t>
      </w:r>
      <w:r w:rsidRPr="0039681C">
        <w:rPr>
          <w:szCs w:val="28"/>
        </w:rPr>
        <w:t xml:space="preserve">s and the </w:t>
      </w:r>
      <w:r>
        <w:rPr>
          <w:szCs w:val="28"/>
        </w:rPr>
        <w:t xml:space="preserve">National Coordinating and Evaluation Center (NCEC) </w:t>
      </w:r>
      <w:r w:rsidRPr="0039681C">
        <w:rPr>
          <w:szCs w:val="28"/>
        </w:rPr>
        <w:t>for the SCDNBS</w:t>
      </w:r>
      <w:r>
        <w:rPr>
          <w:szCs w:val="28"/>
        </w:rPr>
        <w:t>P,</w:t>
      </w:r>
      <w:r w:rsidRPr="0039681C">
        <w:rPr>
          <w:szCs w:val="28"/>
        </w:rPr>
        <w:t xml:space="preserve"> in addition to nine cooperative agreements and National Coordinating Center</w:t>
      </w:r>
      <w:r>
        <w:rPr>
          <w:szCs w:val="28"/>
        </w:rPr>
        <w:t xml:space="preserve"> (</w:t>
      </w:r>
      <w:smartTag w:uri="urn:schemas-microsoft-com:office:smarttags" w:element="stockticker">
        <w:r>
          <w:rPr>
            <w:szCs w:val="28"/>
          </w:rPr>
          <w:t>NCC</w:t>
        </w:r>
      </w:smartTag>
      <w:r>
        <w:rPr>
          <w:szCs w:val="28"/>
        </w:rPr>
        <w:t>)</w:t>
      </w:r>
      <w:r w:rsidRPr="0039681C">
        <w:rPr>
          <w:szCs w:val="28"/>
        </w:rPr>
        <w:t xml:space="preserve"> for the </w:t>
      </w:r>
      <w:r>
        <w:rPr>
          <w:szCs w:val="28"/>
        </w:rPr>
        <w:t xml:space="preserve">SCDTDP.  </w:t>
      </w:r>
      <w:r>
        <w:t>The programs fit within the broader goals of HRSA/MCHB.  Specifically, they support three of the Bureau’s five goals:</w:t>
      </w:r>
    </w:p>
    <w:p w:rsidR="00E4391E" w:rsidRPr="003D0E1E" w:rsidRDefault="00E4391E" w:rsidP="00F46617">
      <w:pPr>
        <w:numPr>
          <w:ilvl w:val="0"/>
          <w:numId w:val="2"/>
        </w:numPr>
        <w:spacing w:after="0" w:line="240" w:lineRule="auto"/>
        <w:rPr>
          <w:szCs w:val="22"/>
        </w:rPr>
      </w:pPr>
      <w:r w:rsidRPr="003D0E1E">
        <w:rPr>
          <w:szCs w:val="22"/>
        </w:rPr>
        <w:t>Goal 3 – Eliminate Health Barriers and Disparities;</w:t>
      </w:r>
    </w:p>
    <w:p w:rsidR="00E4391E" w:rsidRPr="003D0E1E" w:rsidRDefault="00E4391E" w:rsidP="00F46617">
      <w:pPr>
        <w:numPr>
          <w:ilvl w:val="0"/>
          <w:numId w:val="2"/>
        </w:numPr>
        <w:spacing w:after="0" w:line="240" w:lineRule="auto"/>
        <w:rPr>
          <w:szCs w:val="22"/>
        </w:rPr>
      </w:pPr>
      <w:r w:rsidRPr="003D0E1E">
        <w:rPr>
          <w:szCs w:val="22"/>
        </w:rPr>
        <w:t xml:space="preserve">Goal 4 – Improve the Health Infrastructure and Systems of Care; and </w:t>
      </w:r>
    </w:p>
    <w:p w:rsidR="00E4391E" w:rsidRDefault="00E4391E" w:rsidP="00F46617">
      <w:pPr>
        <w:numPr>
          <w:ilvl w:val="0"/>
          <w:numId w:val="2"/>
        </w:numPr>
        <w:spacing w:after="0" w:line="240" w:lineRule="auto"/>
        <w:rPr>
          <w:szCs w:val="22"/>
        </w:rPr>
      </w:pPr>
      <w:r w:rsidRPr="003D0E1E">
        <w:rPr>
          <w:szCs w:val="22"/>
        </w:rPr>
        <w:t>Goal 5 – Assure Quality of Care.</w:t>
      </w:r>
    </w:p>
    <w:p w:rsidR="00E4391E" w:rsidRPr="003D0E1E" w:rsidRDefault="00E4391E" w:rsidP="00E34F76">
      <w:pPr>
        <w:spacing w:after="0" w:line="240" w:lineRule="auto"/>
        <w:ind w:left="720"/>
        <w:rPr>
          <w:szCs w:val="22"/>
        </w:rPr>
      </w:pPr>
    </w:p>
    <w:p w:rsidR="00E4391E" w:rsidRDefault="00E4391E" w:rsidP="00E34F76">
      <w:pPr>
        <w:pStyle w:val="NormalSS"/>
        <w:ind w:firstLine="0"/>
        <w:jc w:val="left"/>
        <w:rPr>
          <w:b/>
          <w:szCs w:val="24"/>
          <w:u w:val="single"/>
        </w:rPr>
      </w:pPr>
    </w:p>
    <w:p w:rsidR="00E4391E" w:rsidRDefault="00E4391E" w:rsidP="00E34F76">
      <w:pPr>
        <w:pStyle w:val="NormalSS"/>
        <w:ind w:firstLine="0"/>
        <w:jc w:val="left"/>
        <w:rPr>
          <w:b/>
          <w:szCs w:val="24"/>
          <w:u w:val="single"/>
        </w:rPr>
      </w:pPr>
      <w:r w:rsidRPr="00607F6B">
        <w:rPr>
          <w:b/>
          <w:szCs w:val="24"/>
          <w:u w:val="single"/>
        </w:rPr>
        <w:t>2. Purpose and Use of the Information</w:t>
      </w:r>
    </w:p>
    <w:p w:rsidR="00E4391E" w:rsidRPr="00607F6B" w:rsidRDefault="00E4391E" w:rsidP="00E34F76">
      <w:pPr>
        <w:pStyle w:val="NormalSS"/>
        <w:ind w:firstLine="0"/>
        <w:jc w:val="left"/>
        <w:rPr>
          <w:b/>
          <w:szCs w:val="24"/>
          <w:u w:val="single"/>
        </w:rPr>
      </w:pPr>
    </w:p>
    <w:p w:rsidR="00E4391E" w:rsidRPr="00451926" w:rsidRDefault="00E4391E" w:rsidP="00915107">
      <w:pPr>
        <w:numPr>
          <w:ilvl w:val="0"/>
          <w:numId w:val="7"/>
        </w:numPr>
        <w:spacing w:line="240" w:lineRule="auto"/>
      </w:pPr>
      <w:r w:rsidRPr="00451926">
        <w:rPr>
          <w:b/>
          <w:i/>
        </w:rPr>
        <w:t xml:space="preserve">Sickle Cell Disease and Newborn Screening Program (SCDNBSP) </w:t>
      </w:r>
    </w:p>
    <w:p w:rsidR="00E4391E" w:rsidRDefault="00E4391E" w:rsidP="00451926">
      <w:pPr>
        <w:spacing w:line="240" w:lineRule="auto"/>
        <w:ind w:left="1080"/>
      </w:pPr>
      <w:r>
        <w:t>Several nationally funded community-based SCD networks located in the U.S. and the National Coordinating and Evaluation Center (NCEC) comprise t</w:t>
      </w:r>
      <w:r w:rsidRPr="00451926">
        <w:rPr>
          <w:szCs w:val="28"/>
        </w:rPr>
        <w:t>he SCDNBSP</w:t>
      </w:r>
      <w:r>
        <w:t xml:space="preserve">. In June 2011, The National Initiative for Children’s Healthcare Quality (NICHQ) was recently named the NCEC along with its partners, Sickle Cell Disease Association of America and Boston Medical Center.  The community-based SCD networks partner with state newborn screening programs, comprehensive sickle cell treatment centers, and health care professionals to provide support to infants who screened positive for sickle cell disease and </w:t>
      </w:r>
      <w:r w:rsidRPr="00451926">
        <w:rPr>
          <w:szCs w:val="20"/>
        </w:rPr>
        <w:t>carriers of the sickle cell gene mutation (known as sickle cell trait (SCT),</w:t>
      </w:r>
      <w:r>
        <w:t xml:space="preserve"> and their families. The projects work cooperatively with the NCEC to implement a model program of sickle cell disease and sickle cell trait short and long-term follow-up to include notification of results of newborn screening, extended family testing, counseling and education of identified individuals and their families, and enrollment of affected infants into a medical home.</w:t>
      </w:r>
    </w:p>
    <w:p w:rsidR="00E4391E" w:rsidRDefault="00E4391E" w:rsidP="00915107">
      <w:pPr>
        <w:spacing w:line="240" w:lineRule="auto"/>
        <w:rPr>
          <w:szCs w:val="22"/>
        </w:rPr>
      </w:pPr>
      <w:r w:rsidRPr="003D0E1E">
        <w:t xml:space="preserve">The </w:t>
      </w:r>
      <w:r>
        <w:t xml:space="preserve">National Coordinating and Evaluation Center </w:t>
      </w:r>
      <w:r w:rsidRPr="003D0E1E">
        <w:t xml:space="preserve">was established for the </w:t>
      </w:r>
      <w:r>
        <w:t>SCDNBSP</w:t>
      </w:r>
      <w:r w:rsidRPr="003D0E1E">
        <w:t xml:space="preserve"> to </w:t>
      </w:r>
      <w:r>
        <w:t>(1) i</w:t>
      </w:r>
      <w:r w:rsidRPr="003D0E1E">
        <w:rPr>
          <w:szCs w:val="22"/>
        </w:rPr>
        <w:t xml:space="preserve">ncrease the knowledge about sickle cell disease for families with babies identified with </w:t>
      </w:r>
      <w:r>
        <w:rPr>
          <w:szCs w:val="22"/>
        </w:rPr>
        <w:t>sickle cell disease</w:t>
      </w:r>
      <w:r w:rsidRPr="003D0E1E">
        <w:rPr>
          <w:szCs w:val="22"/>
        </w:rPr>
        <w:t xml:space="preserve">, </w:t>
      </w:r>
      <w:r>
        <w:rPr>
          <w:szCs w:val="22"/>
        </w:rPr>
        <w:t>sickle cell trait or other hemoglobin disorders</w:t>
      </w:r>
      <w:r w:rsidRPr="003D0E1E">
        <w:rPr>
          <w:szCs w:val="22"/>
        </w:rPr>
        <w:t xml:space="preserve">, and </w:t>
      </w:r>
      <w:r>
        <w:rPr>
          <w:szCs w:val="22"/>
        </w:rPr>
        <w:t xml:space="preserve">to also increase the knowledge </w:t>
      </w:r>
      <w:r w:rsidRPr="003D0E1E">
        <w:rPr>
          <w:szCs w:val="22"/>
        </w:rPr>
        <w:t xml:space="preserve">of their providers who are served by HRSA funded </w:t>
      </w:r>
      <w:r>
        <w:rPr>
          <w:szCs w:val="22"/>
        </w:rPr>
        <w:t>sickle cell disease community-based networks; (2) s</w:t>
      </w:r>
      <w:r w:rsidRPr="003D0E1E">
        <w:rPr>
          <w:szCs w:val="22"/>
        </w:rPr>
        <w:t xml:space="preserve">trengthen partnerships between </w:t>
      </w:r>
      <w:r>
        <w:rPr>
          <w:szCs w:val="22"/>
        </w:rPr>
        <w:t xml:space="preserve">the </w:t>
      </w:r>
      <w:r w:rsidRPr="003D0E1E">
        <w:rPr>
          <w:szCs w:val="22"/>
        </w:rPr>
        <w:t>HRSA funded sickle cell disease commun</w:t>
      </w:r>
      <w:r>
        <w:rPr>
          <w:szCs w:val="22"/>
        </w:rPr>
        <w:t>ity-based networks and their partners; and (3) i</w:t>
      </w:r>
      <w:r w:rsidRPr="003D0E1E">
        <w:rPr>
          <w:szCs w:val="22"/>
        </w:rPr>
        <w:t xml:space="preserve">mprove the quality of </w:t>
      </w:r>
      <w:r>
        <w:rPr>
          <w:szCs w:val="22"/>
        </w:rPr>
        <w:t>care delivered through HRSA funded SCDNBSP networks for  individuals identified with sickle cell disease or sickle cell trait</w:t>
      </w:r>
      <w:r w:rsidRPr="003D0E1E">
        <w:rPr>
          <w:szCs w:val="22"/>
        </w:rPr>
        <w:t>.</w:t>
      </w:r>
    </w:p>
    <w:p w:rsidR="00E4391E" w:rsidRDefault="00E4391E" w:rsidP="00E34F76">
      <w:pPr>
        <w:spacing w:line="240" w:lineRule="auto"/>
      </w:pPr>
      <w:r>
        <w:t>The data gathered as part of the SCDNBSP will:</w:t>
      </w:r>
    </w:p>
    <w:p w:rsidR="00E4391E" w:rsidRDefault="00E4391E" w:rsidP="00E34F76">
      <w:pPr>
        <w:pStyle w:val="NormalSS"/>
        <w:numPr>
          <w:ilvl w:val="0"/>
          <w:numId w:val="1"/>
        </w:numPr>
        <w:tabs>
          <w:tab w:val="clear" w:pos="1440"/>
          <w:tab w:val="num" w:pos="720"/>
        </w:tabs>
        <w:ind w:left="720"/>
        <w:rPr>
          <w:szCs w:val="24"/>
        </w:rPr>
      </w:pPr>
      <w:r>
        <w:rPr>
          <w:szCs w:val="24"/>
        </w:rPr>
        <w:lastRenderedPageBreak/>
        <w:t xml:space="preserve">Provide information about grantees’ </w:t>
      </w:r>
      <w:r w:rsidRPr="000F2871">
        <w:rPr>
          <w:szCs w:val="24"/>
        </w:rPr>
        <w:t xml:space="preserve">performance in achieving the </w:t>
      </w:r>
      <w:r>
        <w:rPr>
          <w:szCs w:val="24"/>
        </w:rPr>
        <w:t>following objectives</w:t>
      </w:r>
      <w:r w:rsidRPr="000F2871">
        <w:rPr>
          <w:szCs w:val="24"/>
        </w:rPr>
        <w:t xml:space="preserve"> of the </w:t>
      </w:r>
      <w:r>
        <w:rPr>
          <w:szCs w:val="24"/>
        </w:rPr>
        <w:t>SCDNBSP during the four year grant period:</w:t>
      </w:r>
    </w:p>
    <w:p w:rsidR="00E4391E" w:rsidRPr="0018393C" w:rsidRDefault="00E4391E" w:rsidP="00F46617">
      <w:pPr>
        <w:pStyle w:val="NormalSS"/>
        <w:numPr>
          <w:ilvl w:val="0"/>
          <w:numId w:val="4"/>
        </w:numPr>
        <w:rPr>
          <w:szCs w:val="24"/>
        </w:rPr>
      </w:pPr>
      <w:r>
        <w:t>Improving the quality of newborn screening and follow-up activities for sickle cell disease and sickle cell trait within the HRSA funded sickle cell disease newborn screening community-based networks.  Follow-up activities are defined as notification of the results of newborn screening, extended family testing, counseling and education of identified individuals and their families, and enrollment of affected infants into a medical home.</w:t>
      </w:r>
    </w:p>
    <w:p w:rsidR="00E4391E" w:rsidRPr="0048299A" w:rsidRDefault="00E4391E" w:rsidP="00F46617">
      <w:pPr>
        <w:pStyle w:val="NormalSS"/>
        <w:numPr>
          <w:ilvl w:val="0"/>
          <w:numId w:val="4"/>
        </w:numPr>
        <w:rPr>
          <w:szCs w:val="24"/>
        </w:rPr>
      </w:pPr>
      <w:r>
        <w:t>Providing outreach and education to emerging populations such as Latino, Caribbean, African, Asian and multi-racial populations.</w:t>
      </w:r>
    </w:p>
    <w:p w:rsidR="00E4391E" w:rsidRDefault="00E4391E" w:rsidP="00E34F76">
      <w:pPr>
        <w:pStyle w:val="NoSpacing"/>
      </w:pPr>
    </w:p>
    <w:p w:rsidR="00E4391E" w:rsidRDefault="00E4391E" w:rsidP="00E34F76">
      <w:pPr>
        <w:pStyle w:val="NoSpacing"/>
      </w:pPr>
      <w:r>
        <w:t xml:space="preserve">Specifically, the SCDNBSP seeks to answer the following: </w:t>
      </w:r>
    </w:p>
    <w:p w:rsidR="00E4391E" w:rsidRDefault="00E4391E" w:rsidP="00E34F76">
      <w:pPr>
        <w:pStyle w:val="NoSpacing"/>
      </w:pPr>
      <w:r>
        <w:t xml:space="preserve"> </w:t>
      </w:r>
    </w:p>
    <w:p w:rsidR="00E4391E" w:rsidRPr="00CF1FCC" w:rsidRDefault="00E4391E" w:rsidP="00E34F76">
      <w:pPr>
        <w:pStyle w:val="NoSpacing"/>
      </w:pPr>
      <w:r w:rsidRPr="002F1960">
        <w:rPr>
          <w:i/>
          <w:iCs/>
        </w:rPr>
        <w:t xml:space="preserve">Do individuals with sickle cell disease enrolled in the SCDNBSP receive appropriate treatment and genetic counseling; experience reduced morbidity; fewer hospitalizations and Emergency Room (ER) visits? </w:t>
      </w:r>
      <w:r w:rsidRPr="00CF1FCC">
        <w:t xml:space="preserve"> </w:t>
      </w:r>
    </w:p>
    <w:p w:rsidR="00E4391E" w:rsidRDefault="00E4391E" w:rsidP="00E34F76">
      <w:pPr>
        <w:pStyle w:val="NoSpacing"/>
      </w:pPr>
    </w:p>
    <w:p w:rsidR="00E4391E" w:rsidRDefault="00E4391E" w:rsidP="00E34F76">
      <w:pPr>
        <w:spacing w:line="240" w:lineRule="auto"/>
      </w:pPr>
      <w:r>
        <w:t xml:space="preserve">This portion of the information collection request seeks approval for two questionnaires (Attachments B and C).  The questionnaires will be conducted by grantees with clients or their caregivers when they present for services. </w:t>
      </w:r>
      <w:r w:rsidRPr="00AA3136">
        <w:t xml:space="preserve">Data collection will involve </w:t>
      </w:r>
      <w:r w:rsidRPr="00AA3136">
        <w:rPr>
          <w:bCs/>
        </w:rPr>
        <w:t>a</w:t>
      </w:r>
      <w:r>
        <w:rPr>
          <w:bCs/>
        </w:rPr>
        <w:t>n initial (</w:t>
      </w:r>
      <w:r w:rsidRPr="00AA3136">
        <w:rPr>
          <w:bCs/>
        </w:rPr>
        <w:t>baseline</w:t>
      </w:r>
      <w:r>
        <w:rPr>
          <w:bCs/>
        </w:rPr>
        <w:t>)</w:t>
      </w:r>
      <w:r w:rsidRPr="00AA3136">
        <w:rPr>
          <w:bCs/>
        </w:rPr>
        <w:t xml:space="preserve"> and follow-up sessions for both </w:t>
      </w:r>
      <w:r>
        <w:rPr>
          <w:bCs/>
        </w:rPr>
        <w:t>sickle cell disease</w:t>
      </w:r>
      <w:r w:rsidRPr="00AA3136">
        <w:rPr>
          <w:bCs/>
        </w:rPr>
        <w:t xml:space="preserve"> and </w:t>
      </w:r>
      <w:r>
        <w:rPr>
          <w:bCs/>
        </w:rPr>
        <w:t xml:space="preserve">sickle cell trait </w:t>
      </w:r>
      <w:r w:rsidRPr="00AA3136">
        <w:rPr>
          <w:bCs/>
        </w:rPr>
        <w:t xml:space="preserve">interviews during the project period.  </w:t>
      </w:r>
      <w:r>
        <w:t>The information gathered and the settings for conducting the interviews are summarized below</w:t>
      </w:r>
      <w:r w:rsidRPr="00F54B22">
        <w:t>. Staff who interview the client will complete Sections A and B. Clients will be interviewed and their responses will be recorded on the questionnaires for items related to demographic information, family information, services received, and family communication (Sections C, D, E, and F on both questionnaires and Section G only on SCD Questionnaire).</w:t>
      </w:r>
      <w:r>
        <w:t xml:space="preserve"> Data will be transmitted electronically to the NCEC on a quarterly basis.</w:t>
      </w:r>
    </w:p>
    <w:p w:rsidR="00E4391E" w:rsidRPr="00E34F76" w:rsidRDefault="00E4391E" w:rsidP="00E34F76">
      <w:pPr>
        <w:pStyle w:val="NormalSS"/>
        <w:ind w:firstLine="0"/>
        <w:rPr>
          <w:i/>
          <w:szCs w:val="24"/>
        </w:rPr>
      </w:pPr>
      <w:r>
        <w:rPr>
          <w:i/>
          <w:szCs w:val="24"/>
        </w:rPr>
        <w:t>Evaluation Center</w:t>
      </w:r>
      <w:r w:rsidRPr="00E34F76">
        <w:rPr>
          <w:i/>
          <w:szCs w:val="24"/>
        </w:rPr>
        <w:t xml:space="preserve"> Minimum Data</w:t>
      </w:r>
      <w:r>
        <w:rPr>
          <w:i/>
          <w:szCs w:val="24"/>
        </w:rPr>
        <w:t>base</w:t>
      </w:r>
      <w:r w:rsidRPr="00E34F76">
        <w:rPr>
          <w:i/>
          <w:szCs w:val="24"/>
        </w:rPr>
        <w:t xml:space="preserve"> Project </w:t>
      </w:r>
      <w:r>
        <w:rPr>
          <w:i/>
          <w:szCs w:val="24"/>
        </w:rPr>
        <w:t xml:space="preserve">(MDP) </w:t>
      </w:r>
      <w:r w:rsidRPr="00E34F76">
        <w:rPr>
          <w:i/>
          <w:szCs w:val="24"/>
        </w:rPr>
        <w:t>Sickle Cell Disease Questionnaire</w:t>
      </w:r>
    </w:p>
    <w:p w:rsidR="00E4391E" w:rsidRDefault="00E4391E" w:rsidP="00E34F76">
      <w:pPr>
        <w:spacing w:after="0" w:line="240" w:lineRule="auto"/>
      </w:pPr>
      <w:r>
        <w:t xml:space="preserve">This questionnaire </w:t>
      </w:r>
      <w:r w:rsidRPr="007C5813">
        <w:t>collect</w:t>
      </w:r>
      <w:r>
        <w:t>s</w:t>
      </w:r>
      <w:r w:rsidRPr="007C5813">
        <w:t xml:space="preserve"> data on </w:t>
      </w:r>
      <w:r>
        <w:t xml:space="preserve">clients with sickle cell disease being served by grantees and includes questions on demographics including race, ethnicity, language spoken in the home, diagnoses, insurance status, family and healthcare systems of care, recent healthcare utilization and outcomes, and services received (genetic counseling, education, social services) by the client and/family. The questionnaire is completed at the grantee site with the client (if adult) or client’s guardian/caretaker.    </w:t>
      </w:r>
    </w:p>
    <w:p w:rsidR="00E4391E" w:rsidRPr="00662F8D" w:rsidRDefault="00E4391E" w:rsidP="00E34F76">
      <w:pPr>
        <w:spacing w:after="0" w:line="240" w:lineRule="auto"/>
      </w:pPr>
    </w:p>
    <w:p w:rsidR="00E4391E" w:rsidRPr="00E34F76" w:rsidRDefault="00E4391E" w:rsidP="00E34F76">
      <w:pPr>
        <w:pStyle w:val="NormalSS"/>
        <w:ind w:firstLine="0"/>
        <w:rPr>
          <w:i/>
          <w:szCs w:val="24"/>
        </w:rPr>
      </w:pPr>
      <w:r>
        <w:rPr>
          <w:i/>
          <w:szCs w:val="24"/>
        </w:rPr>
        <w:t>Evaluation Center</w:t>
      </w:r>
      <w:r w:rsidRPr="00E34F76">
        <w:rPr>
          <w:i/>
          <w:szCs w:val="24"/>
        </w:rPr>
        <w:t xml:space="preserve"> Minimum Data</w:t>
      </w:r>
      <w:r>
        <w:rPr>
          <w:i/>
          <w:szCs w:val="24"/>
        </w:rPr>
        <w:t>base</w:t>
      </w:r>
      <w:r w:rsidRPr="00E34F76">
        <w:rPr>
          <w:i/>
          <w:szCs w:val="24"/>
        </w:rPr>
        <w:t xml:space="preserve"> Project Sickle Cell </w:t>
      </w:r>
      <w:r>
        <w:rPr>
          <w:i/>
          <w:szCs w:val="24"/>
        </w:rPr>
        <w:t>Trait</w:t>
      </w:r>
      <w:r w:rsidRPr="00E34F76">
        <w:rPr>
          <w:i/>
          <w:szCs w:val="24"/>
        </w:rPr>
        <w:t xml:space="preserve"> Questionnaire</w:t>
      </w:r>
    </w:p>
    <w:p w:rsidR="00E4391E" w:rsidRDefault="00E4391E" w:rsidP="00E34F76">
      <w:pPr>
        <w:spacing w:after="0" w:line="240" w:lineRule="auto"/>
      </w:pPr>
      <w:r>
        <w:t xml:space="preserve">This questionnaire </w:t>
      </w:r>
      <w:r w:rsidRPr="007C5813">
        <w:t>collect</w:t>
      </w:r>
      <w:r>
        <w:t>s</w:t>
      </w:r>
      <w:r w:rsidRPr="007C5813">
        <w:t xml:space="preserve"> data on </w:t>
      </w:r>
      <w:r>
        <w:t xml:space="preserve">clients who are </w:t>
      </w:r>
      <w:r w:rsidRPr="0073438F">
        <w:rPr>
          <w:szCs w:val="20"/>
        </w:rPr>
        <w:t>carriers of the sickle cell gene mutation</w:t>
      </w:r>
      <w:r>
        <w:t xml:space="preserve"> being served by grantees and includes questions on the demographics including race, ethnicity, language spoken in the home, diagnosis, family systems of care, and provides grantees with an opportunity to document services received by the client and/or family, which includes genetic counseling, genetic testing, education on the disease, and other family members with the disease. The questionnaire is completed at the grantee site or by telephone with the client (if adult) or client’s guardian/caretaker. </w:t>
      </w:r>
    </w:p>
    <w:p w:rsidR="00E4391E" w:rsidRDefault="00E4391E" w:rsidP="00E34F76">
      <w:pPr>
        <w:spacing w:after="0" w:line="240" w:lineRule="auto"/>
      </w:pPr>
      <w:r>
        <w:t xml:space="preserve">  </w:t>
      </w:r>
    </w:p>
    <w:p w:rsidR="00E4391E" w:rsidRPr="00F15BB3" w:rsidRDefault="00E4391E" w:rsidP="008855AB">
      <w:pPr>
        <w:rPr>
          <w:b/>
        </w:rPr>
      </w:pPr>
      <w:r>
        <w:rPr>
          <w:b/>
        </w:rPr>
        <w:lastRenderedPageBreak/>
        <w:t xml:space="preserve">Measurement </w:t>
      </w:r>
      <w:r w:rsidRPr="00F15BB3">
        <w:rPr>
          <w:b/>
        </w:rPr>
        <w:t>overview:</w:t>
      </w:r>
    </w:p>
    <w:p w:rsidR="00E4391E" w:rsidRDefault="00E4391E" w:rsidP="008855AB">
      <w:r>
        <w:t xml:space="preserve">As aforementioned the objectives of the Sickle Cell Disease and Newborn Screening Program are to improve the quality of sickle cell disease and sickle cell trait follow-up activities as well as provide outreach and education to emerging populations who have sickle cell disease and sickle cell trait. These follow-up activities include notification of newborn screening results, extended family testing, genetic counseling and education of identified individuals and their families as well as ensuring affected infants are enrolled in a medical home. </w:t>
      </w:r>
    </w:p>
    <w:p w:rsidR="00E4391E" w:rsidRDefault="00E4391E" w:rsidP="008855AB">
      <w:r w:rsidRPr="00F54B22">
        <w:t xml:space="preserve">The aim of the measurement strategy of Sickle Cell Disease and Newborn Screening Program is to gather information on the services provided through grantee networks to individuals with sickle cell disease and sickle cell trait. We will also gather information on the experience of care, the level of use of health care services and the health of the individuals receiving services in these grantee networks. </w:t>
      </w:r>
    </w:p>
    <w:p w:rsidR="00E4391E" w:rsidRDefault="00E4391E" w:rsidP="008855AB">
      <w:r w:rsidRPr="00F15BB3">
        <w:rPr>
          <w:b/>
        </w:rPr>
        <w:t>Participants and sample size:</w:t>
      </w:r>
      <w:r>
        <w:t xml:space="preserve"> Our respondent universe for data collection is individuals with a positive screen for sickle cell disease or sickle cell trait who receive care at one of the six funded grantee networks of the SCDNBS. In June 2011, the total number of grantees was reduced from 17 grantees to 6 grantees. We anticipate a sampling frame of approximately 200 clients per grantee network based on current case load (N=1200 across all 6 networks).  (Please refer to Part B for more details re: sample size and data collection procedures)</w:t>
      </w:r>
    </w:p>
    <w:p w:rsidR="00E4391E" w:rsidRDefault="00E4391E" w:rsidP="008855AB">
      <w:r w:rsidRPr="00D26EA7">
        <w:rPr>
          <w:b/>
        </w:rPr>
        <w:t>Data collection procedures and instruments:</w:t>
      </w:r>
      <w:r>
        <w:t xml:space="preserve"> Clients at grantee networks will complete one survey depending on their condition (sickle cell disease or sickle cell trait). Data will be collected on an annual basis from clients receiving care at one of the SCDNBS grantee networks. For clients and caregivers completing the Sickle Cell Disease questionnaire, they will complete a baseline assessment when they are initially enrolled and then at 12 months following initial enrollment. Follow-up data will be collected 12 months after enrollment to allow for sufficient time for clients to receive program services as well as to allow for sufficient time for changes in health care utilization to occur. At the time of enrollment, SCDNBS participants will be informed about the data collection as part of the informed consent process. </w:t>
      </w:r>
    </w:p>
    <w:p w:rsidR="00E4391E" w:rsidRDefault="00E4391E" w:rsidP="008855AB">
      <w:r>
        <w:t xml:space="preserve">Clients will complete one of the following survey instruments as part of the SCDNBS: </w:t>
      </w:r>
    </w:p>
    <w:p w:rsidR="00E4391E" w:rsidRDefault="00E4391E" w:rsidP="008855AB">
      <w:pPr>
        <w:pStyle w:val="ListParagraph"/>
        <w:numPr>
          <w:ilvl w:val="0"/>
          <w:numId w:val="15"/>
        </w:numPr>
        <w:spacing w:after="0" w:line="240" w:lineRule="auto"/>
      </w:pPr>
      <w:r>
        <w:t>Evaluation Center Minimum Database Project Sickle Cell Trait (SCT) Questionnaire (See attachment B)</w:t>
      </w:r>
    </w:p>
    <w:p w:rsidR="00E4391E" w:rsidRDefault="00E4391E" w:rsidP="008855AB">
      <w:pPr>
        <w:pStyle w:val="ListParagraph"/>
        <w:numPr>
          <w:ilvl w:val="0"/>
          <w:numId w:val="15"/>
        </w:numPr>
        <w:spacing w:after="0" w:line="240" w:lineRule="auto"/>
      </w:pPr>
      <w:r>
        <w:t xml:space="preserve">Evaluation Center Minimum Database Project Sickle Cell Disease (SCD) Questionnaire (See attachment C)  </w:t>
      </w:r>
    </w:p>
    <w:p w:rsidR="00E4391E" w:rsidRDefault="00E4391E" w:rsidP="008855AB">
      <w:pPr>
        <w:pStyle w:val="ListParagraph"/>
      </w:pPr>
    </w:p>
    <w:p w:rsidR="00E4391E" w:rsidRPr="00F54B22" w:rsidRDefault="00E4391E" w:rsidP="00211440">
      <w:r w:rsidRPr="00885101">
        <w:rPr>
          <w:b/>
        </w:rPr>
        <w:lastRenderedPageBreak/>
        <w:t>Analysis:</w:t>
      </w:r>
      <w:r>
        <w:t xml:space="preserve"> We will perform a descriptive analysis that will focus on demographics of the sample, services delivered through the program, consumer experience of care, health </w:t>
      </w:r>
      <w:r w:rsidRPr="00F54B22">
        <w:t xml:space="preserve">services use and provision of recommended care. The data collected will be necessary for the preparation of the annual report to HRSA. </w:t>
      </w:r>
    </w:p>
    <w:p w:rsidR="00E4391E" w:rsidRDefault="00E4391E" w:rsidP="008855AB">
      <w:r w:rsidRPr="00F54B22">
        <w:t>Variables that will be used for the descriptive analysis from each survey instrument are detailed below:</w:t>
      </w:r>
      <w:r>
        <w:t xml:space="preserve"> </w:t>
      </w:r>
    </w:p>
    <w:p w:rsidR="00E4391E" w:rsidRDefault="00E4391E" w:rsidP="008855AB">
      <w:pPr>
        <w:pStyle w:val="ListParagraph"/>
        <w:numPr>
          <w:ilvl w:val="0"/>
          <w:numId w:val="16"/>
        </w:numPr>
        <w:spacing w:after="0" w:line="240" w:lineRule="auto"/>
      </w:pPr>
      <w:r>
        <w:t xml:space="preserve">Demographics: </w:t>
      </w:r>
    </w:p>
    <w:p w:rsidR="00E4391E" w:rsidRDefault="00E4391E" w:rsidP="008855AB">
      <w:pPr>
        <w:pStyle w:val="ListParagraph"/>
        <w:numPr>
          <w:ilvl w:val="0"/>
          <w:numId w:val="18"/>
        </w:numPr>
        <w:spacing w:after="0" w:line="240" w:lineRule="auto"/>
      </w:pPr>
      <w:r>
        <w:t>Gender ( question 2, section C of SCT questionnaire and SCD questionnaire)</w:t>
      </w:r>
    </w:p>
    <w:p w:rsidR="00E4391E" w:rsidRDefault="00E4391E" w:rsidP="008855AB">
      <w:pPr>
        <w:pStyle w:val="ListParagraph"/>
        <w:numPr>
          <w:ilvl w:val="0"/>
          <w:numId w:val="18"/>
        </w:numPr>
        <w:spacing w:after="0" w:line="240" w:lineRule="auto"/>
      </w:pPr>
      <w:r>
        <w:t xml:space="preserve"> Education (question 13 D, section F of SCT questionnaire/ question 37 D, section G of SCD questionnaire)</w:t>
      </w:r>
    </w:p>
    <w:p w:rsidR="00E4391E" w:rsidRDefault="00E4391E" w:rsidP="008855AB">
      <w:pPr>
        <w:pStyle w:val="ListParagraph"/>
        <w:numPr>
          <w:ilvl w:val="0"/>
          <w:numId w:val="18"/>
        </w:numPr>
        <w:spacing w:after="0" w:line="240" w:lineRule="auto"/>
      </w:pPr>
      <w:r>
        <w:t>Language (question 13 A, section F of SCT questionnaire/question 37 A, section G for SCD questionnaire)</w:t>
      </w:r>
    </w:p>
    <w:p w:rsidR="00E4391E" w:rsidRDefault="00E4391E" w:rsidP="008855AB">
      <w:pPr>
        <w:pStyle w:val="ListParagraph"/>
        <w:numPr>
          <w:ilvl w:val="0"/>
          <w:numId w:val="18"/>
        </w:numPr>
        <w:spacing w:after="0" w:line="240" w:lineRule="auto"/>
      </w:pPr>
      <w:r>
        <w:t xml:space="preserve">Race (question 14 and 15, section F of SCT questionnaire/questions 38 and 39; section G of SCD questionnaire </w:t>
      </w:r>
    </w:p>
    <w:p w:rsidR="00E4391E" w:rsidRDefault="00E4391E" w:rsidP="008855AB">
      <w:pPr>
        <w:pStyle w:val="ListParagraph"/>
        <w:ind w:left="1080"/>
      </w:pPr>
    </w:p>
    <w:p w:rsidR="00E4391E" w:rsidRDefault="00E4391E" w:rsidP="008855AB">
      <w:pPr>
        <w:pStyle w:val="ListParagraph"/>
        <w:numPr>
          <w:ilvl w:val="0"/>
          <w:numId w:val="17"/>
        </w:numPr>
        <w:spacing w:after="0" w:line="240" w:lineRule="auto"/>
        <w:ind w:left="720"/>
      </w:pPr>
      <w:r>
        <w:t xml:space="preserve">Condition: </w:t>
      </w:r>
    </w:p>
    <w:p w:rsidR="00E4391E" w:rsidRDefault="00E4391E" w:rsidP="008855AB">
      <w:pPr>
        <w:pStyle w:val="ListParagraph"/>
        <w:numPr>
          <w:ilvl w:val="1"/>
          <w:numId w:val="17"/>
        </w:numPr>
        <w:spacing w:after="0" w:line="240" w:lineRule="auto"/>
        <w:ind w:left="1080"/>
      </w:pPr>
      <w:r>
        <w:t>Type of trait: question 5,section D of SCT questionnaire</w:t>
      </w:r>
    </w:p>
    <w:p w:rsidR="00E4391E" w:rsidRDefault="00E4391E" w:rsidP="008855AB">
      <w:pPr>
        <w:pStyle w:val="ListParagraph"/>
        <w:numPr>
          <w:ilvl w:val="1"/>
          <w:numId w:val="17"/>
        </w:numPr>
        <w:spacing w:after="0" w:line="240" w:lineRule="auto"/>
        <w:ind w:left="1080"/>
      </w:pPr>
      <w:r>
        <w:t xml:space="preserve"> Sickle cell genotype: question 3, section C of SCD questionnaire</w:t>
      </w:r>
    </w:p>
    <w:p w:rsidR="00E4391E" w:rsidRDefault="00E4391E" w:rsidP="008855AB">
      <w:pPr>
        <w:pStyle w:val="ListParagraph"/>
        <w:ind w:left="1080"/>
      </w:pPr>
      <w:r>
        <w:t xml:space="preserve">  </w:t>
      </w:r>
    </w:p>
    <w:p w:rsidR="00E4391E" w:rsidRDefault="00E4391E" w:rsidP="008855AB">
      <w:pPr>
        <w:pStyle w:val="ListParagraph"/>
        <w:numPr>
          <w:ilvl w:val="0"/>
          <w:numId w:val="17"/>
        </w:numPr>
        <w:spacing w:after="0" w:line="240" w:lineRule="auto"/>
        <w:ind w:left="720"/>
      </w:pPr>
      <w:r>
        <w:t>Services delivered: question 7 and 8, Section E of SCT questionnaire/ question 34, section F of SCD questionnaire</w:t>
      </w:r>
    </w:p>
    <w:p w:rsidR="00E4391E" w:rsidRDefault="00E4391E" w:rsidP="008855AB">
      <w:pPr>
        <w:pStyle w:val="ListParagraph"/>
      </w:pPr>
    </w:p>
    <w:p w:rsidR="00E4391E" w:rsidRDefault="00E4391E" w:rsidP="008855AB">
      <w:pPr>
        <w:pStyle w:val="ListParagraph"/>
        <w:numPr>
          <w:ilvl w:val="0"/>
          <w:numId w:val="17"/>
        </w:numPr>
        <w:spacing w:after="0" w:line="240" w:lineRule="auto"/>
        <w:ind w:left="720"/>
      </w:pPr>
      <w:r>
        <w:t>Health services use: (only on SCD questionnaire)</w:t>
      </w:r>
    </w:p>
    <w:p w:rsidR="00E4391E" w:rsidRDefault="00E4391E" w:rsidP="008855AB">
      <w:pPr>
        <w:pStyle w:val="ListParagraph"/>
      </w:pPr>
    </w:p>
    <w:p w:rsidR="00E4391E" w:rsidRDefault="00E4391E" w:rsidP="008855AB">
      <w:pPr>
        <w:pStyle w:val="ListParagraph"/>
        <w:numPr>
          <w:ilvl w:val="1"/>
          <w:numId w:val="17"/>
        </w:numPr>
        <w:spacing w:after="0" w:line="240" w:lineRule="auto"/>
        <w:ind w:left="1080"/>
      </w:pPr>
      <w:r>
        <w:t xml:space="preserve">Primary care (question 22, section E); </w:t>
      </w:r>
    </w:p>
    <w:p w:rsidR="00E4391E" w:rsidRDefault="00E4391E" w:rsidP="008855AB">
      <w:pPr>
        <w:pStyle w:val="ListParagraph"/>
        <w:numPr>
          <w:ilvl w:val="1"/>
          <w:numId w:val="17"/>
        </w:numPr>
        <w:spacing w:after="0" w:line="240" w:lineRule="auto"/>
        <w:ind w:left="1080"/>
      </w:pPr>
      <w:r>
        <w:t>Hematology care (question 23, section E)</w:t>
      </w:r>
    </w:p>
    <w:p w:rsidR="00E4391E" w:rsidRDefault="00E4391E" w:rsidP="008855AB">
      <w:pPr>
        <w:pStyle w:val="ListParagraph"/>
        <w:numPr>
          <w:ilvl w:val="1"/>
          <w:numId w:val="17"/>
        </w:numPr>
        <w:spacing w:after="0" w:line="240" w:lineRule="auto"/>
        <w:ind w:left="1080"/>
      </w:pPr>
      <w:r>
        <w:t>Emergency department use  (question  24, section E)</w:t>
      </w:r>
    </w:p>
    <w:p w:rsidR="00E4391E" w:rsidRDefault="00E4391E" w:rsidP="008855AB">
      <w:pPr>
        <w:pStyle w:val="ListParagraph"/>
        <w:numPr>
          <w:ilvl w:val="1"/>
          <w:numId w:val="17"/>
        </w:numPr>
        <w:spacing w:after="0" w:line="240" w:lineRule="auto"/>
        <w:ind w:left="1080"/>
      </w:pPr>
      <w:r>
        <w:t xml:space="preserve"> Reason for ED visit (question 25, section E)</w:t>
      </w:r>
    </w:p>
    <w:p w:rsidR="00E4391E" w:rsidRDefault="00E4391E" w:rsidP="008855AB">
      <w:pPr>
        <w:pStyle w:val="ListParagraph"/>
        <w:numPr>
          <w:ilvl w:val="1"/>
          <w:numId w:val="17"/>
        </w:numPr>
        <w:spacing w:after="0" w:line="240" w:lineRule="auto"/>
        <w:ind w:left="1080"/>
      </w:pPr>
      <w:r>
        <w:t xml:space="preserve"> Hospitalization (question 26, section E)</w:t>
      </w:r>
    </w:p>
    <w:p w:rsidR="00E4391E" w:rsidRDefault="00E4391E" w:rsidP="008855AB">
      <w:pPr>
        <w:pStyle w:val="ListParagraph"/>
        <w:numPr>
          <w:ilvl w:val="1"/>
          <w:numId w:val="17"/>
        </w:numPr>
        <w:spacing w:after="0" w:line="240" w:lineRule="auto"/>
        <w:ind w:left="1080"/>
      </w:pPr>
      <w:r>
        <w:t xml:space="preserve"> Reason for hospitalization (question 26, section E)</w:t>
      </w:r>
    </w:p>
    <w:p w:rsidR="00E4391E" w:rsidRDefault="00E4391E" w:rsidP="008855AB">
      <w:pPr>
        <w:pStyle w:val="ListParagraph"/>
        <w:ind w:left="1800"/>
      </w:pPr>
    </w:p>
    <w:p w:rsidR="00E4391E" w:rsidRDefault="00E4391E" w:rsidP="008855AB">
      <w:pPr>
        <w:pStyle w:val="ListParagraph"/>
        <w:numPr>
          <w:ilvl w:val="0"/>
          <w:numId w:val="19"/>
        </w:numPr>
        <w:spacing w:after="0" w:line="240" w:lineRule="auto"/>
      </w:pPr>
      <w:r>
        <w:t>Recommended care: (only on SCD questionnaire)</w:t>
      </w:r>
    </w:p>
    <w:p w:rsidR="00E4391E" w:rsidRDefault="00E4391E" w:rsidP="008855AB">
      <w:pPr>
        <w:pStyle w:val="ListParagraph"/>
        <w:numPr>
          <w:ilvl w:val="1"/>
          <w:numId w:val="19"/>
        </w:numPr>
        <w:spacing w:after="0" w:line="240" w:lineRule="auto"/>
        <w:ind w:left="1080"/>
      </w:pPr>
      <w:r>
        <w:t>Prophylactic antibiotics (question 28, section E)</w:t>
      </w:r>
    </w:p>
    <w:p w:rsidR="00E4391E" w:rsidRDefault="00E4391E" w:rsidP="008855AB">
      <w:pPr>
        <w:pStyle w:val="ListParagraph"/>
        <w:numPr>
          <w:ilvl w:val="1"/>
          <w:numId w:val="19"/>
        </w:numPr>
        <w:spacing w:after="0" w:line="240" w:lineRule="auto"/>
        <w:ind w:left="1080"/>
      </w:pPr>
      <w:r>
        <w:t>Pneumococcal vaccination (question 31, section E)</w:t>
      </w:r>
    </w:p>
    <w:p w:rsidR="00E4391E" w:rsidRDefault="00E4391E" w:rsidP="008855AB">
      <w:pPr>
        <w:pStyle w:val="ListParagraph"/>
        <w:numPr>
          <w:ilvl w:val="1"/>
          <w:numId w:val="19"/>
        </w:numPr>
        <w:spacing w:after="0" w:line="240" w:lineRule="auto"/>
        <w:ind w:left="1080"/>
      </w:pPr>
      <w:r>
        <w:t xml:space="preserve">Treatments received (question 33, section E) </w:t>
      </w:r>
    </w:p>
    <w:p w:rsidR="00E4391E" w:rsidRDefault="00E4391E" w:rsidP="00E34F76">
      <w:pPr>
        <w:spacing w:after="0" w:line="240" w:lineRule="auto"/>
      </w:pPr>
    </w:p>
    <w:p w:rsidR="00E4391E" w:rsidRDefault="00E4391E" w:rsidP="00D254D8">
      <w:pPr>
        <w:spacing w:after="0"/>
      </w:pPr>
    </w:p>
    <w:p w:rsidR="00E4391E" w:rsidRDefault="00E4391E" w:rsidP="00F46617">
      <w:pPr>
        <w:numPr>
          <w:ilvl w:val="0"/>
          <w:numId w:val="7"/>
        </w:numPr>
        <w:spacing w:after="0"/>
        <w:rPr>
          <w:b/>
          <w:i/>
        </w:rPr>
      </w:pPr>
      <w:r w:rsidRPr="00E34F76">
        <w:rPr>
          <w:b/>
          <w:i/>
        </w:rPr>
        <w:t xml:space="preserve">Sickle Cell Disease Treatment Demonstration </w:t>
      </w:r>
      <w:r>
        <w:rPr>
          <w:b/>
          <w:i/>
        </w:rPr>
        <w:t xml:space="preserve">Program (SCDTDP) Measurement and Quality Improvement Activities </w:t>
      </w:r>
    </w:p>
    <w:p w:rsidR="00E4391E" w:rsidRDefault="00E4391E" w:rsidP="00915107">
      <w:pPr>
        <w:spacing w:after="0"/>
      </w:pPr>
    </w:p>
    <w:p w:rsidR="00E4391E" w:rsidRPr="00FB08B2" w:rsidRDefault="00E4391E" w:rsidP="00915107">
      <w:pPr>
        <w:spacing w:line="240" w:lineRule="auto"/>
      </w:pPr>
      <w:r>
        <w:lastRenderedPageBreak/>
        <w:t>The SCDTDP</w:t>
      </w:r>
      <w:r w:rsidRPr="00636507">
        <w:t xml:space="preserve"> provides grants to </w:t>
      </w:r>
      <w:r>
        <w:t xml:space="preserve">nine </w:t>
      </w:r>
      <w:r w:rsidRPr="00636507">
        <w:t xml:space="preserve">federally-qualified and nonprofit health care providers to establish geographically distributed regional networks that will work with comprehensive </w:t>
      </w:r>
      <w:r>
        <w:t xml:space="preserve">SCD </w:t>
      </w:r>
      <w:r w:rsidRPr="00636507">
        <w:t xml:space="preserve">centers and community-based support organizations to provide coordinated, comprehensive, culturally competent, and family-centered care to families with </w:t>
      </w:r>
      <w:r>
        <w:t xml:space="preserve">sickle cell disease. </w:t>
      </w:r>
      <w:r w:rsidRPr="00C2433A">
        <w:t>The SCDTDP is designed to improve access to services for individuals with sickle cell disease, improve and expand patient and provider education, and improve and expand the continuity and coordination of service delivery for individuals with sickle cell disease and sickle cell trait</w:t>
      </w:r>
      <w:r>
        <w:t>.</w:t>
      </w:r>
    </w:p>
    <w:p w:rsidR="00E4391E" w:rsidRPr="00C2433A" w:rsidRDefault="00E4391E" w:rsidP="00915107">
      <w:pPr>
        <w:pStyle w:val="BodyText1"/>
        <w:spacing w:line="240" w:lineRule="auto"/>
        <w:rPr>
          <w:szCs w:val="24"/>
        </w:rPr>
      </w:pPr>
      <w:r w:rsidRPr="00C2433A">
        <w:rPr>
          <w:szCs w:val="24"/>
        </w:rPr>
        <w:t xml:space="preserve">The SCDTDP </w:t>
      </w:r>
      <w:r>
        <w:rPr>
          <w:szCs w:val="24"/>
        </w:rPr>
        <w:t>will carry out these activities</w:t>
      </w:r>
      <w:r w:rsidRPr="00C2433A">
        <w:rPr>
          <w:szCs w:val="24"/>
        </w:rPr>
        <w:t xml:space="preserve"> by</w:t>
      </w:r>
      <w:r>
        <w:rPr>
          <w:szCs w:val="24"/>
        </w:rPr>
        <w:t xml:space="preserve"> doing the following:</w:t>
      </w:r>
    </w:p>
    <w:p w:rsidR="00E4391E" w:rsidRPr="00C2433A" w:rsidRDefault="00E4391E" w:rsidP="00F46617">
      <w:pPr>
        <w:pStyle w:val="bulletsnumbered"/>
        <w:numPr>
          <w:ilvl w:val="0"/>
          <w:numId w:val="6"/>
        </w:numPr>
        <w:ind w:left="1440"/>
        <w:rPr>
          <w:szCs w:val="24"/>
        </w:rPr>
      </w:pPr>
      <w:r w:rsidRPr="00C2433A">
        <w:rPr>
          <w:szCs w:val="24"/>
        </w:rPr>
        <w:t>improving access to services for individuals with sickle cell disease;</w:t>
      </w:r>
    </w:p>
    <w:p w:rsidR="00E4391E" w:rsidRPr="00C2433A" w:rsidRDefault="00E4391E" w:rsidP="00915107">
      <w:pPr>
        <w:pStyle w:val="bulletsnumbered1stlevel"/>
        <w:ind w:left="1440"/>
        <w:rPr>
          <w:szCs w:val="24"/>
        </w:rPr>
      </w:pPr>
      <w:r w:rsidRPr="00C2433A">
        <w:rPr>
          <w:szCs w:val="24"/>
        </w:rPr>
        <w:t>addressing the knowledge gaps that exist in the federally qualified health centers (FQHCs) and other primary care settings; and</w:t>
      </w:r>
    </w:p>
    <w:p w:rsidR="00E4391E" w:rsidRPr="00C2433A" w:rsidRDefault="00E4391E" w:rsidP="00915107">
      <w:pPr>
        <w:pStyle w:val="bulletsnumbered1stlevel"/>
        <w:ind w:left="1440"/>
        <w:rPr>
          <w:szCs w:val="24"/>
        </w:rPr>
      </w:pPr>
      <w:r w:rsidRPr="00C2433A">
        <w:rPr>
          <w:szCs w:val="24"/>
        </w:rPr>
        <w:t xml:space="preserve">promoting the adoption of new developments in care and routine delivery of genetic counseling for </w:t>
      </w:r>
      <w:r>
        <w:rPr>
          <w:szCs w:val="24"/>
        </w:rPr>
        <w:t xml:space="preserve">individuals with </w:t>
      </w:r>
      <w:r w:rsidRPr="00C2433A">
        <w:rPr>
          <w:szCs w:val="24"/>
        </w:rPr>
        <w:t>hemoglobinopathies.</w:t>
      </w:r>
    </w:p>
    <w:p w:rsidR="00E4391E" w:rsidRPr="00C2433A" w:rsidRDefault="00E4391E" w:rsidP="00915107">
      <w:pPr>
        <w:pStyle w:val="BodyText1"/>
        <w:spacing w:line="240" w:lineRule="auto"/>
        <w:rPr>
          <w:szCs w:val="24"/>
        </w:rPr>
      </w:pPr>
      <w:r>
        <w:rPr>
          <w:szCs w:val="24"/>
        </w:rPr>
        <w:t>A goal of t</w:t>
      </w:r>
      <w:r w:rsidRPr="00C2433A">
        <w:rPr>
          <w:szCs w:val="24"/>
        </w:rPr>
        <w:t xml:space="preserve">he SCDTDP </w:t>
      </w:r>
      <w:r>
        <w:rPr>
          <w:szCs w:val="24"/>
        </w:rPr>
        <w:t>is to</w:t>
      </w:r>
      <w:r w:rsidRPr="00C2433A">
        <w:rPr>
          <w:szCs w:val="24"/>
        </w:rPr>
        <w:t xml:space="preserve"> become a recognized model for quality care and education for sickle cell disease and sickle cell trait</w:t>
      </w:r>
      <w:r>
        <w:rPr>
          <w:szCs w:val="24"/>
        </w:rPr>
        <w:t>.</w:t>
      </w:r>
      <w:r w:rsidRPr="00C2433A">
        <w:rPr>
          <w:szCs w:val="24"/>
        </w:rPr>
        <w:t xml:space="preserve">  </w:t>
      </w:r>
    </w:p>
    <w:p w:rsidR="00E4391E" w:rsidRPr="00D90587" w:rsidRDefault="00E4391E" w:rsidP="00E34F76">
      <w:pPr>
        <w:tabs>
          <w:tab w:val="left" w:pos="7470"/>
        </w:tabs>
        <w:autoSpaceDE w:val="0"/>
        <w:autoSpaceDN w:val="0"/>
        <w:adjustRightInd w:val="0"/>
        <w:spacing w:line="240" w:lineRule="auto"/>
        <w:rPr>
          <w:i/>
        </w:rPr>
      </w:pPr>
      <w:r w:rsidRPr="00D90587">
        <w:rPr>
          <w:i/>
        </w:rPr>
        <w:t>S</w:t>
      </w:r>
      <w:r>
        <w:rPr>
          <w:i/>
        </w:rPr>
        <w:t xml:space="preserve">ickle </w:t>
      </w:r>
      <w:r w:rsidRPr="00D90587">
        <w:rPr>
          <w:i/>
        </w:rPr>
        <w:t>C</w:t>
      </w:r>
      <w:r>
        <w:rPr>
          <w:i/>
        </w:rPr>
        <w:t xml:space="preserve">ell </w:t>
      </w:r>
      <w:r w:rsidRPr="00D90587">
        <w:rPr>
          <w:i/>
        </w:rPr>
        <w:t>D</w:t>
      </w:r>
      <w:r>
        <w:rPr>
          <w:i/>
        </w:rPr>
        <w:t xml:space="preserve">isease </w:t>
      </w:r>
      <w:r w:rsidRPr="00D90587">
        <w:rPr>
          <w:i/>
        </w:rPr>
        <w:t>T</w:t>
      </w:r>
      <w:r>
        <w:rPr>
          <w:i/>
        </w:rPr>
        <w:t xml:space="preserve">reatment </w:t>
      </w:r>
      <w:r w:rsidRPr="00D90587">
        <w:rPr>
          <w:i/>
        </w:rPr>
        <w:t>D</w:t>
      </w:r>
      <w:r>
        <w:rPr>
          <w:i/>
        </w:rPr>
        <w:t xml:space="preserve">emonstration </w:t>
      </w:r>
      <w:r w:rsidRPr="00D90587">
        <w:rPr>
          <w:i/>
        </w:rPr>
        <w:t>P</w:t>
      </w:r>
      <w:r>
        <w:rPr>
          <w:i/>
        </w:rPr>
        <w:t>rogram</w:t>
      </w:r>
      <w:r w:rsidRPr="00D90587">
        <w:rPr>
          <w:i/>
        </w:rPr>
        <w:t xml:space="preserve"> Quality Improvement Activities</w:t>
      </w:r>
    </w:p>
    <w:p w:rsidR="00E4391E" w:rsidRPr="00262BC1" w:rsidRDefault="00E4391E" w:rsidP="00E34F76">
      <w:pPr>
        <w:tabs>
          <w:tab w:val="left" w:pos="7470"/>
        </w:tabs>
        <w:autoSpaceDE w:val="0"/>
        <w:autoSpaceDN w:val="0"/>
        <w:adjustRightInd w:val="0"/>
        <w:spacing w:line="240" w:lineRule="auto"/>
      </w:pPr>
      <w:r>
        <w:t xml:space="preserve">The nine SCDTDP network grantees are part of a broader group of HRSA grantees known as the “hemoglobinopathies grantees.” The work of these grantees focuses on improving the quality of care for patients with any of several hemoglobin disorders (patients with genes that produce abnormal hemoglobin). HRSA-funded programs include the Sickle Cell Disease Treatment Demonstration Program, the Sickle Cell Disease Newborn Screening Program, and the Comprehensive Medical Care for Thalassemia program. </w:t>
      </w:r>
    </w:p>
    <w:p w:rsidR="00E4391E" w:rsidRDefault="00E4391E" w:rsidP="00E34F76">
      <w:pPr>
        <w:tabs>
          <w:tab w:val="left" w:pos="7470"/>
        </w:tabs>
        <w:autoSpaceDE w:val="0"/>
        <w:autoSpaceDN w:val="0"/>
        <w:adjustRightInd w:val="0"/>
        <w:spacing w:line="240" w:lineRule="auto"/>
      </w:pPr>
      <w:r>
        <w:t>All hemoglobinopathies grantees will be participating in Quality Improvement (QI) activities beginning in late 2011. The QI Process is known as the Model for Improvement, a widely used approach to quality improvement used in health care settings.</w:t>
      </w:r>
      <w:r>
        <w:rPr>
          <w:rStyle w:val="FootnoteReference"/>
        </w:rPr>
        <w:footnoteReference w:id="1"/>
      </w:r>
      <w:r>
        <w:t xml:space="preserve"> Each grantee will be asked to report on a core set of measures related to quality improvement for hemoglobinopathies as described in the table below. This model for improvement uses a structured process which asks teams (grantees in this case) to build on small tests of change in their health care setting while measuring and reporting monthly on those small tests of change. The small tests of change are directly aligned to the measures outlined below. These quality improvement measures include:</w:t>
      </w:r>
    </w:p>
    <w:p w:rsidR="00E4391E" w:rsidRDefault="00E4391E" w:rsidP="00E34F76">
      <w:pPr>
        <w:tabs>
          <w:tab w:val="left" w:pos="7470"/>
        </w:tabs>
        <w:autoSpaceDE w:val="0"/>
        <w:autoSpaceDN w:val="0"/>
        <w:adjustRightInd w:val="0"/>
        <w:spacing w:line="240" w:lineRule="auto"/>
      </w:pPr>
    </w:p>
    <w:p w:rsidR="00E4391E" w:rsidRDefault="00E4391E" w:rsidP="00E34F76">
      <w:pPr>
        <w:tabs>
          <w:tab w:val="left" w:pos="7470"/>
        </w:tabs>
        <w:autoSpaceDE w:val="0"/>
        <w:autoSpaceDN w:val="0"/>
        <w:adjustRightInd w:val="0"/>
        <w:spacing w:line="240" w:lineRule="auto"/>
      </w:pPr>
    </w:p>
    <w:p w:rsidR="00E4391E" w:rsidRDefault="00E4391E" w:rsidP="00E34F76">
      <w:pPr>
        <w:tabs>
          <w:tab w:val="left" w:pos="7470"/>
        </w:tabs>
        <w:autoSpaceDE w:val="0"/>
        <w:autoSpaceDN w:val="0"/>
        <w:adjustRightInd w:val="0"/>
        <w:spacing w:line="240" w:lineRule="auto"/>
      </w:pPr>
    </w:p>
    <w:p w:rsidR="00E4391E" w:rsidRDefault="00E4391E" w:rsidP="00E34F76">
      <w:pPr>
        <w:tabs>
          <w:tab w:val="left" w:pos="7470"/>
        </w:tabs>
        <w:autoSpaceDE w:val="0"/>
        <w:autoSpaceDN w:val="0"/>
        <w:adjustRightInd w:val="0"/>
        <w:spacing w:line="240" w:lineRule="auto"/>
      </w:pPr>
    </w:p>
    <w:tbl>
      <w:tblPr>
        <w:tblW w:w="2906" w:type="pct"/>
        <w:jc w:val="center"/>
        <w:tblInd w:w="-2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47"/>
      </w:tblGrid>
      <w:tr w:rsidR="00E4391E" w:rsidRPr="00E5342E" w:rsidTr="00444072">
        <w:trPr>
          <w:trHeight w:val="458"/>
          <w:jc w:val="center"/>
        </w:trPr>
        <w:tc>
          <w:tcPr>
            <w:tcW w:w="5000" w:type="pct"/>
          </w:tcPr>
          <w:p w:rsidR="00E4391E" w:rsidRPr="00444072" w:rsidRDefault="00E4391E" w:rsidP="00444072">
            <w:pPr>
              <w:pStyle w:val="NoSpacing1"/>
              <w:jc w:val="center"/>
              <w:rPr>
                <w:b/>
                <w:sz w:val="22"/>
              </w:rPr>
            </w:pPr>
            <w:r w:rsidRPr="00444072">
              <w:rPr>
                <w:b/>
                <w:sz w:val="22"/>
              </w:rPr>
              <w:t>The QI Instrument</w:t>
            </w:r>
          </w:p>
        </w:tc>
      </w:tr>
      <w:tr w:rsidR="00E4391E" w:rsidRPr="00295116" w:rsidTr="00444072">
        <w:trPr>
          <w:trHeight w:val="863"/>
          <w:jc w:val="center"/>
        </w:trPr>
        <w:tc>
          <w:tcPr>
            <w:tcW w:w="5000" w:type="pct"/>
          </w:tcPr>
          <w:p w:rsidR="00E4391E" w:rsidRPr="00444072" w:rsidRDefault="00E4391E" w:rsidP="00444072">
            <w:pPr>
              <w:pStyle w:val="NoSpacing1"/>
              <w:numPr>
                <w:ilvl w:val="0"/>
                <w:numId w:val="14"/>
              </w:numPr>
              <w:rPr>
                <w:sz w:val="22"/>
              </w:rPr>
            </w:pPr>
            <w:r w:rsidRPr="00444072">
              <w:t>Percent of SC</w:t>
            </w:r>
            <w:r>
              <w:t>D</w:t>
            </w:r>
            <w:r w:rsidRPr="00444072">
              <w:t xml:space="preserve"> individuals with </w:t>
            </w:r>
            <w:r>
              <w:t xml:space="preserve">a </w:t>
            </w:r>
            <w:r w:rsidRPr="00444072">
              <w:t>treatment plan reviewed in past 12 month</w:t>
            </w:r>
            <w:r>
              <w:t>s</w:t>
            </w:r>
          </w:p>
          <w:p w:rsidR="00E4391E" w:rsidRPr="00444072" w:rsidRDefault="00E4391E" w:rsidP="00444072">
            <w:pPr>
              <w:pStyle w:val="NoSpacing1"/>
              <w:numPr>
                <w:ilvl w:val="0"/>
                <w:numId w:val="14"/>
              </w:numPr>
              <w:rPr>
                <w:sz w:val="22"/>
              </w:rPr>
            </w:pPr>
            <w:r w:rsidRPr="00444072">
              <w:t>Percent of newborns screened for SC trait</w:t>
            </w:r>
          </w:p>
          <w:p w:rsidR="00E4391E" w:rsidRPr="00444072" w:rsidRDefault="00E4391E" w:rsidP="00444072">
            <w:pPr>
              <w:pStyle w:val="NoSpacing1"/>
              <w:numPr>
                <w:ilvl w:val="0"/>
                <w:numId w:val="14"/>
              </w:numPr>
              <w:rPr>
                <w:sz w:val="22"/>
              </w:rPr>
            </w:pPr>
            <w:r w:rsidRPr="00444072">
              <w:t>Percent of positive screens with timely follow-up</w:t>
            </w:r>
          </w:p>
          <w:p w:rsidR="00E4391E" w:rsidRPr="00444072" w:rsidRDefault="00E4391E" w:rsidP="00444072">
            <w:pPr>
              <w:pStyle w:val="NoSpacing1"/>
              <w:numPr>
                <w:ilvl w:val="0"/>
                <w:numId w:val="14"/>
              </w:numPr>
              <w:rPr>
                <w:sz w:val="22"/>
              </w:rPr>
            </w:pPr>
            <w:r w:rsidRPr="00444072">
              <w:t>Percent of SC</w:t>
            </w:r>
            <w:r>
              <w:t>D</w:t>
            </w:r>
            <w:r w:rsidRPr="00444072">
              <w:t xml:space="preserve"> individuals with up to date immunizations</w:t>
            </w:r>
          </w:p>
          <w:p w:rsidR="00E4391E" w:rsidRPr="00444072" w:rsidRDefault="00E4391E" w:rsidP="00444072">
            <w:pPr>
              <w:pStyle w:val="NoSpacing1"/>
              <w:numPr>
                <w:ilvl w:val="0"/>
                <w:numId w:val="14"/>
              </w:numPr>
              <w:rPr>
                <w:sz w:val="22"/>
              </w:rPr>
            </w:pPr>
            <w:r w:rsidRPr="00444072">
              <w:t>Percent of SC</w:t>
            </w:r>
            <w:r>
              <w:t>D</w:t>
            </w:r>
            <w:r w:rsidRPr="00444072">
              <w:t xml:space="preserve"> individuals with documented P</w:t>
            </w:r>
            <w:r>
              <w:t xml:space="preserve">reventive </w:t>
            </w:r>
            <w:r w:rsidRPr="00444072">
              <w:t>C</w:t>
            </w:r>
            <w:r>
              <w:t xml:space="preserve">are </w:t>
            </w:r>
            <w:r w:rsidRPr="00444072">
              <w:t>P</w:t>
            </w:r>
            <w:r>
              <w:t>rogram (PCP)</w:t>
            </w:r>
            <w:r w:rsidRPr="00444072">
              <w:t xml:space="preserve"> visited in past 12 months</w:t>
            </w:r>
          </w:p>
          <w:p w:rsidR="00E4391E" w:rsidRPr="00444072" w:rsidRDefault="00E4391E" w:rsidP="00444072">
            <w:pPr>
              <w:pStyle w:val="NoSpacing1"/>
              <w:numPr>
                <w:ilvl w:val="0"/>
                <w:numId w:val="14"/>
              </w:numPr>
              <w:rPr>
                <w:sz w:val="22"/>
              </w:rPr>
            </w:pPr>
            <w:r w:rsidRPr="00444072">
              <w:t>Percent of teams that meet at least bi-weekly</w:t>
            </w:r>
          </w:p>
          <w:p w:rsidR="00E4391E" w:rsidRPr="00444072" w:rsidRDefault="00E4391E" w:rsidP="00444072">
            <w:pPr>
              <w:pStyle w:val="NoSpacing1"/>
              <w:numPr>
                <w:ilvl w:val="0"/>
                <w:numId w:val="14"/>
              </w:numPr>
              <w:rPr>
                <w:sz w:val="22"/>
              </w:rPr>
            </w:pPr>
            <w:r w:rsidRPr="00444072">
              <w:t>Percent of teams participating in calls</w:t>
            </w:r>
          </w:p>
          <w:p w:rsidR="00E4391E" w:rsidRPr="00444072" w:rsidRDefault="00E4391E" w:rsidP="00444072">
            <w:pPr>
              <w:pStyle w:val="NoSpacing1"/>
              <w:numPr>
                <w:ilvl w:val="0"/>
                <w:numId w:val="14"/>
              </w:numPr>
              <w:rPr>
                <w:sz w:val="22"/>
              </w:rPr>
            </w:pPr>
            <w:r w:rsidRPr="00444072">
              <w:t>Percent of teams rated 4 or above on project assessment</w:t>
            </w:r>
          </w:p>
        </w:tc>
      </w:tr>
    </w:tbl>
    <w:p w:rsidR="00E4391E" w:rsidRDefault="00E4391E" w:rsidP="00E5342E">
      <w:pPr>
        <w:tabs>
          <w:tab w:val="left" w:pos="7470"/>
        </w:tabs>
        <w:autoSpaceDE w:val="0"/>
        <w:autoSpaceDN w:val="0"/>
        <w:adjustRightInd w:val="0"/>
        <w:spacing w:after="0" w:line="240" w:lineRule="auto"/>
      </w:pPr>
    </w:p>
    <w:p w:rsidR="00E4391E" w:rsidRDefault="00E4391E" w:rsidP="00E5342E">
      <w:pPr>
        <w:tabs>
          <w:tab w:val="left" w:pos="7470"/>
        </w:tabs>
        <w:autoSpaceDE w:val="0"/>
        <w:autoSpaceDN w:val="0"/>
        <w:adjustRightInd w:val="0"/>
        <w:spacing w:after="0" w:line="240" w:lineRule="auto"/>
      </w:pPr>
    </w:p>
    <w:p w:rsidR="00E4391E" w:rsidRPr="00D90587" w:rsidRDefault="00E4391E" w:rsidP="00E34F76">
      <w:pPr>
        <w:spacing w:line="240" w:lineRule="auto"/>
        <w:rPr>
          <w:i/>
        </w:rPr>
      </w:pPr>
      <w:r w:rsidRPr="00D90587">
        <w:rPr>
          <w:i/>
        </w:rPr>
        <w:t>Sickle Cell Disease Treatment Demonstration Program</w:t>
      </w:r>
      <w:r>
        <w:rPr>
          <w:i/>
        </w:rPr>
        <w:t xml:space="preserve"> National</w:t>
      </w:r>
      <w:r w:rsidRPr="00D90587">
        <w:rPr>
          <w:i/>
        </w:rPr>
        <w:t xml:space="preserve"> Coordinat</w:t>
      </w:r>
      <w:r>
        <w:rPr>
          <w:i/>
        </w:rPr>
        <w:t>ing</w:t>
      </w:r>
      <w:r w:rsidRPr="00D90587">
        <w:rPr>
          <w:i/>
        </w:rPr>
        <w:t xml:space="preserve"> Center</w:t>
      </w:r>
      <w:r>
        <w:rPr>
          <w:i/>
        </w:rPr>
        <w:t xml:space="preserve"> </w:t>
      </w:r>
    </w:p>
    <w:p w:rsidR="00E4391E" w:rsidRDefault="00E4391E" w:rsidP="007D2A58">
      <w:pPr>
        <w:spacing w:line="240" w:lineRule="auto"/>
      </w:pPr>
      <w:r>
        <w:t>The aim</w:t>
      </w:r>
      <w:r w:rsidRPr="00D07262">
        <w:t xml:space="preserve"> of th</w:t>
      </w:r>
      <w:r>
        <w:t>e SCDTDP measurement strategy</w:t>
      </w:r>
      <w:r w:rsidRPr="00D07262">
        <w:t xml:space="preserve"> </w:t>
      </w:r>
      <w:r>
        <w:t xml:space="preserve">is to gather information about the services provided through </w:t>
      </w:r>
      <w:r w:rsidRPr="00D07262">
        <w:t xml:space="preserve">overall </w:t>
      </w:r>
      <w:r>
        <w:t>program</w:t>
      </w:r>
      <w:r w:rsidRPr="00D07262">
        <w:t xml:space="preserve"> and its component projects</w:t>
      </w:r>
      <w:r>
        <w:t xml:space="preserve"> (the individual SCDTDP networks described above) to</w:t>
      </w:r>
      <w:r w:rsidRPr="00D07262">
        <w:t xml:space="preserve"> </w:t>
      </w:r>
      <w:r>
        <w:t>improve care and outco</w:t>
      </w:r>
      <w:r w:rsidRPr="00D07262">
        <w:t xml:space="preserve">mes for </w:t>
      </w:r>
      <w:r>
        <w:t xml:space="preserve">those individuals with </w:t>
      </w:r>
      <w:r w:rsidRPr="00D07262">
        <w:t>sickle cell disease and their families served through the SCDTDP Networks</w:t>
      </w:r>
      <w:r>
        <w:t xml:space="preserve">. </w:t>
      </w:r>
      <w:r w:rsidRPr="00D07262">
        <w:t xml:space="preserve"> </w:t>
      </w:r>
      <w:r>
        <w:t xml:space="preserve">A previous OMB information collection request was approved for the SCDTDP that recently expired (OMB #0915-0320). This new package combines the previously approved activities with the newborn screening </w:t>
      </w:r>
      <w:r w:rsidRPr="00BB5DB3">
        <w:t xml:space="preserve">program </w:t>
      </w:r>
      <w:r>
        <w:t xml:space="preserve">measurement strategy as </w:t>
      </w:r>
      <w:r w:rsidRPr="00BB5DB3">
        <w:t xml:space="preserve">mentioned </w:t>
      </w:r>
      <w:r>
        <w:t>earlier and the additional quality improvement activity, The National Coordinating Center</w:t>
      </w:r>
      <w:r w:rsidRPr="000B75A2">
        <w:t xml:space="preserve"> </w:t>
      </w:r>
      <w:r>
        <w:t xml:space="preserve">(NCC) </w:t>
      </w:r>
      <w:r w:rsidRPr="000B75A2">
        <w:t>w</w:t>
      </w:r>
      <w:r>
        <w:t>as</w:t>
      </w:r>
      <w:r w:rsidRPr="000B75A2">
        <w:t xml:space="preserve"> established </w:t>
      </w:r>
      <w:r>
        <w:t xml:space="preserve">for the Sickle Cell Disease Treatment Demonstration Program </w:t>
      </w:r>
      <w:r w:rsidRPr="000B75A2">
        <w:t>to</w:t>
      </w:r>
      <w:r>
        <w:t xml:space="preserve"> do the following:</w:t>
      </w:r>
    </w:p>
    <w:p w:rsidR="00E4391E" w:rsidRDefault="00E4391E" w:rsidP="007D2A58">
      <w:pPr>
        <w:spacing w:line="240" w:lineRule="auto"/>
      </w:pPr>
      <w:r w:rsidRPr="000B75A2">
        <w:t>(1)</w:t>
      </w:r>
      <w:r>
        <w:t xml:space="preserve"> c</w:t>
      </w:r>
      <w:r w:rsidRPr="000B75A2">
        <w:t xml:space="preserve">ollect, coordinate, monitor, and </w:t>
      </w:r>
      <w:r>
        <w:t>report on</w:t>
      </w:r>
      <w:r w:rsidRPr="000B75A2">
        <w:t xml:space="preserve"> </w:t>
      </w:r>
      <w:r>
        <w:t>promising</w:t>
      </w:r>
      <w:r w:rsidRPr="000B75A2">
        <w:t xml:space="preserve"> practices and findings regarding the activities of the demonstration program</w:t>
      </w:r>
      <w:r>
        <w:t>;</w:t>
      </w:r>
      <w:r w:rsidRPr="000B75A2">
        <w:t xml:space="preserve"> </w:t>
      </w:r>
    </w:p>
    <w:p w:rsidR="00E4391E" w:rsidRDefault="00E4391E" w:rsidP="007D2A58">
      <w:pPr>
        <w:spacing w:line="240" w:lineRule="auto"/>
      </w:pPr>
      <w:r>
        <w:t>(2) i</w:t>
      </w:r>
      <w:r w:rsidRPr="000B75A2">
        <w:t>dentify a model protocol for eligible entities with respect to the prevention and treatment of Sickle Cell Disease</w:t>
      </w:r>
      <w:r>
        <w:t>;</w:t>
      </w:r>
      <w:r w:rsidRPr="000B75A2">
        <w:t xml:space="preserve"> </w:t>
      </w:r>
    </w:p>
    <w:p w:rsidR="00E4391E" w:rsidRDefault="00E4391E" w:rsidP="007D2A58">
      <w:pPr>
        <w:spacing w:line="240" w:lineRule="auto"/>
      </w:pPr>
      <w:r w:rsidRPr="000B75A2">
        <w:t xml:space="preserve">(3) </w:t>
      </w:r>
      <w:r>
        <w:t>i</w:t>
      </w:r>
      <w:r w:rsidRPr="000B75A2">
        <w:t>dentify educational materials regarding the prevention and treatment of Sickle Cell Disease</w:t>
      </w:r>
      <w:r>
        <w:t>;</w:t>
      </w:r>
      <w:r w:rsidRPr="000B75A2">
        <w:t xml:space="preserve"> and</w:t>
      </w:r>
      <w:r>
        <w:t>,</w:t>
      </w:r>
      <w:r w:rsidRPr="000B75A2">
        <w:t xml:space="preserve"> </w:t>
      </w:r>
    </w:p>
    <w:p w:rsidR="00E4391E" w:rsidRDefault="00E4391E" w:rsidP="007D2A58">
      <w:pPr>
        <w:spacing w:line="240" w:lineRule="auto"/>
      </w:pPr>
      <w:r w:rsidRPr="000B75A2">
        <w:t xml:space="preserve">(4) </w:t>
      </w:r>
      <w:r>
        <w:t>p</w:t>
      </w:r>
      <w:r w:rsidRPr="000B75A2">
        <w:t xml:space="preserve">repare a final report </w:t>
      </w:r>
      <w:r>
        <w:t>based on the data collected in the Sickle Cell Disease Treatment D</w:t>
      </w:r>
      <w:r w:rsidRPr="000B75A2">
        <w:t>emonstration prog</w:t>
      </w:r>
      <w:r>
        <w:t>ram.</w:t>
      </w:r>
    </w:p>
    <w:p w:rsidR="00E4391E" w:rsidRPr="000B75A2" w:rsidRDefault="00E4391E" w:rsidP="007D2A58">
      <w:pPr>
        <w:spacing w:line="240" w:lineRule="auto"/>
      </w:pPr>
      <w:r>
        <w:lastRenderedPageBreak/>
        <w:t xml:space="preserve">The SCDTDP NCC performed these functions including data collection, identifying educational materials, and generating a final report for its initial period of operation which was approved through OMB #0915-0320. This request combines the previous work with modest revisions responding to lessons learned, the addition of </w:t>
      </w:r>
      <w:r w:rsidRPr="00F067CC">
        <w:t xml:space="preserve">the quality improvement </w:t>
      </w:r>
      <w:r>
        <w:t xml:space="preserve">activities, and evolving technologic capabilities enabling more efficient data collection.      </w:t>
      </w:r>
    </w:p>
    <w:p w:rsidR="00E4391E" w:rsidRDefault="00E4391E" w:rsidP="00341373">
      <w:pPr>
        <w:spacing w:line="240" w:lineRule="auto"/>
        <w:rPr>
          <w:iCs/>
        </w:rPr>
      </w:pPr>
      <w:r>
        <w:t>T</w:t>
      </w:r>
      <w:r w:rsidRPr="00607F6B">
        <w:t xml:space="preserve">he NCC </w:t>
      </w:r>
      <w:r>
        <w:t xml:space="preserve">will </w:t>
      </w:r>
      <w:r w:rsidRPr="00607F6B">
        <w:rPr>
          <w:iCs/>
        </w:rPr>
        <w:t>coordinate</w:t>
      </w:r>
      <w:r>
        <w:rPr>
          <w:iCs/>
        </w:rPr>
        <w:t xml:space="preserve"> the collection of data from clients served in the SCDTDP networks in order to </w:t>
      </w:r>
      <w:r w:rsidRPr="00607F6B">
        <w:rPr>
          <w:iCs/>
        </w:rPr>
        <w:t>monitor the activiti</w:t>
      </w:r>
      <w:r>
        <w:rPr>
          <w:iCs/>
        </w:rPr>
        <w:t xml:space="preserve">es of the network sites and identify promising practices of the individual Networks and the entire program.  </w:t>
      </w:r>
    </w:p>
    <w:p w:rsidR="00E4391E" w:rsidRPr="003F1AF8" w:rsidRDefault="00E4391E" w:rsidP="00341373">
      <w:pPr>
        <w:spacing w:line="240" w:lineRule="auto"/>
      </w:pPr>
      <w:r w:rsidRPr="00607F6B">
        <w:t xml:space="preserve">The </w:t>
      </w:r>
      <w:r>
        <w:t xml:space="preserve">Sickle Cell Disease Treatment Demonstration Program Networks </w:t>
      </w:r>
      <w:r w:rsidRPr="003F1AF8">
        <w:t xml:space="preserve">collect health services utilization, health status, patient satisfaction and quality of life assessments from clients served at the demonstration sites.  </w:t>
      </w:r>
      <w:r>
        <w:t>Data collected by the grantees, will be submitted on a regular basis to the NCC</w:t>
      </w:r>
      <w:r w:rsidRPr="003F1AF8">
        <w:t>.  These data</w:t>
      </w:r>
      <w:r>
        <w:t xml:space="preserve">, obtained from clients operating in real world settings, </w:t>
      </w:r>
      <w:r w:rsidRPr="003F1AF8">
        <w:t>inform the</w:t>
      </w:r>
      <w:r>
        <w:t xml:space="preserve"> assessment of the capacity of the demonstration projects to achieve</w:t>
      </w:r>
      <w:r w:rsidRPr="003F1AF8">
        <w:t xml:space="preserve"> important tre</w:t>
      </w:r>
      <w:r>
        <w:t>atment outcomes for the individuals</w:t>
      </w:r>
      <w:r w:rsidRPr="003F1AF8">
        <w:t xml:space="preserve"> served.  </w:t>
      </w:r>
    </w:p>
    <w:p w:rsidR="00E4391E" w:rsidRPr="00007F82" w:rsidRDefault="00E4391E" w:rsidP="00341373">
      <w:pPr>
        <w:spacing w:line="240" w:lineRule="auto"/>
        <w:rPr>
          <w:bCs/>
        </w:rPr>
      </w:pPr>
      <w:r w:rsidRPr="00007F82">
        <w:rPr>
          <w:bCs/>
        </w:rPr>
        <w:t xml:space="preserve">Detailed information on the data collection items and instruments are </w:t>
      </w:r>
      <w:r w:rsidRPr="002B2FA4">
        <w:rPr>
          <w:bCs/>
        </w:rPr>
        <w:t xml:space="preserve">provided </w:t>
      </w:r>
      <w:r w:rsidRPr="00DB2A62">
        <w:rPr>
          <w:bCs/>
        </w:rPr>
        <w:t>in A</w:t>
      </w:r>
      <w:r>
        <w:rPr>
          <w:bCs/>
        </w:rPr>
        <w:t>ttachments E through Q</w:t>
      </w:r>
      <w:r w:rsidRPr="00007F82">
        <w:rPr>
          <w:bCs/>
        </w:rPr>
        <w:t>. More generally, however, the clients provide information on the following:</w:t>
      </w:r>
    </w:p>
    <w:p w:rsidR="00E4391E" w:rsidRPr="00007F82" w:rsidRDefault="00E4391E" w:rsidP="00F46617">
      <w:pPr>
        <w:pStyle w:val="ListParagraph"/>
        <w:numPr>
          <w:ilvl w:val="0"/>
          <w:numId w:val="8"/>
        </w:numPr>
        <w:spacing w:line="240" w:lineRule="auto"/>
        <w:rPr>
          <w:bCs/>
        </w:rPr>
      </w:pPr>
      <w:r w:rsidRPr="00007F82">
        <w:rPr>
          <w:bCs/>
        </w:rPr>
        <w:t xml:space="preserve">Demographics, health services use, disease specific </w:t>
      </w:r>
      <w:r>
        <w:rPr>
          <w:bCs/>
        </w:rPr>
        <w:t>treatment and complications are  captured on the</w:t>
      </w:r>
      <w:r w:rsidRPr="00007F82">
        <w:rPr>
          <w:bCs/>
        </w:rPr>
        <w:t xml:space="preserve"> Individual Utilization Questionnaire</w:t>
      </w:r>
      <w:r>
        <w:rPr>
          <w:bCs/>
        </w:rPr>
        <w:t xml:space="preserve"> (attachment E), an instrument specifically developed for this project. Information collected by this instrument is derived from two sources. C</w:t>
      </w:r>
      <w:r w:rsidRPr="00007F82">
        <w:rPr>
          <w:bCs/>
        </w:rPr>
        <w:t xml:space="preserve">lients provide information on key demographic information (race, ethnicity, education, income); receipt of preventive services; usual source of care; care from specific providers (e.g., specialists, primary care, emergency department); receipt of specific therapies (e.g., hydroxyurea, chelation); </w:t>
      </w:r>
      <w:r>
        <w:rPr>
          <w:bCs/>
        </w:rPr>
        <w:t xml:space="preserve">and </w:t>
      </w:r>
      <w:r w:rsidRPr="00007F82">
        <w:rPr>
          <w:bCs/>
        </w:rPr>
        <w:t xml:space="preserve">experience of specific complications (e.g., pulmonary crisis, pain crisis).  </w:t>
      </w:r>
      <w:r>
        <w:rPr>
          <w:bCs/>
        </w:rPr>
        <w:t xml:space="preserve">Additional items collected by the instrument such as the patient immunization status are derived from medical record abstraction performed by a trained chart abstractor at each Network. </w:t>
      </w:r>
    </w:p>
    <w:p w:rsidR="00E4391E" w:rsidRDefault="00E4391E" w:rsidP="00F46617">
      <w:pPr>
        <w:pStyle w:val="ListParagraph"/>
        <w:numPr>
          <w:ilvl w:val="0"/>
          <w:numId w:val="8"/>
        </w:numPr>
        <w:spacing w:line="240" w:lineRule="auto"/>
        <w:rPr>
          <w:bCs/>
        </w:rPr>
      </w:pPr>
      <w:r>
        <w:rPr>
          <w:bCs/>
        </w:rPr>
        <w:t>Experience of and satisfaction with care: Clients complete items from a standardized patient experience of care survey (the Medical Home Family Index-  attachments F and G) that report on specific experiences related to their care in the primary care/medical home context. Questions include the extent to which the patient is known by staff and whether patients receive a written care plan.</w:t>
      </w:r>
    </w:p>
    <w:p w:rsidR="00E4391E" w:rsidRDefault="00E4391E" w:rsidP="00F46617">
      <w:pPr>
        <w:pStyle w:val="ListParagraph"/>
        <w:numPr>
          <w:ilvl w:val="0"/>
          <w:numId w:val="8"/>
        </w:numPr>
        <w:spacing w:line="240" w:lineRule="auto"/>
        <w:rPr>
          <w:bCs/>
        </w:rPr>
      </w:pPr>
      <w:r>
        <w:rPr>
          <w:bCs/>
        </w:rPr>
        <w:t>Health Status and Quality of Life: Clients report on their health status and quality of life by completing an age appropriate, validated instrument for this purpose, either the age specific Pediatric Quality of Life measure (attachments I though O) or, for adults, the Short Form 36 Health Survey (attachments Q).</w:t>
      </w:r>
    </w:p>
    <w:p w:rsidR="00E4391E" w:rsidRDefault="00E4391E" w:rsidP="00F46617">
      <w:pPr>
        <w:pStyle w:val="ListParagraph"/>
        <w:numPr>
          <w:ilvl w:val="0"/>
          <w:numId w:val="8"/>
        </w:numPr>
        <w:spacing w:line="240" w:lineRule="auto"/>
        <w:rPr>
          <w:bCs/>
        </w:rPr>
      </w:pPr>
      <w:r>
        <w:rPr>
          <w:bCs/>
        </w:rPr>
        <w:t xml:space="preserve">Emerging Population Survey: Clients report on their language preference, race, ethnicity, </w:t>
      </w:r>
      <w:r>
        <w:t>language spoken in the home</w:t>
      </w:r>
      <w:r>
        <w:rPr>
          <w:bCs/>
        </w:rPr>
        <w:t xml:space="preserve"> and education to be better served by the program. (Attachment R). </w:t>
      </w:r>
    </w:p>
    <w:p w:rsidR="00E4391E" w:rsidRDefault="00E4391E" w:rsidP="008855AB">
      <w:pPr>
        <w:tabs>
          <w:tab w:val="num" w:pos="720"/>
        </w:tabs>
      </w:pPr>
      <w:r>
        <w:rPr>
          <w:b/>
          <w:bCs/>
        </w:rPr>
        <w:lastRenderedPageBreak/>
        <w:t>Measurement overview:</w:t>
      </w:r>
      <w:r w:rsidRPr="00284112">
        <w:t xml:space="preserve"> </w:t>
      </w:r>
      <w:r>
        <w:br/>
        <w:t>As aforementioned, the</w:t>
      </w:r>
      <w:r w:rsidRPr="00284112">
        <w:t xml:space="preserve"> </w:t>
      </w:r>
      <w:r w:rsidRPr="00284112">
        <w:rPr>
          <w:b/>
          <w:bCs/>
          <w:i/>
          <w:iCs/>
        </w:rPr>
        <w:t>Sickle Cell Disease Treatment Demonstration Program</w:t>
      </w:r>
      <w:r>
        <w:t xml:space="preserve"> </w:t>
      </w:r>
      <w:r w:rsidRPr="00284112">
        <w:t>is designed to improve access to services for individuals with sickle cell disease, improve and expand patient and provider education, and improve and expand the continuity and coordination of service delivery for individuals with sickle cell disease and sickle cell trait.</w:t>
      </w:r>
      <w:r>
        <w:t xml:space="preserve">  </w:t>
      </w:r>
    </w:p>
    <w:p w:rsidR="00E4391E" w:rsidRPr="0048299A" w:rsidRDefault="00E4391E" w:rsidP="008855AB">
      <w:pPr>
        <w:tabs>
          <w:tab w:val="num" w:pos="720"/>
        </w:tabs>
      </w:pPr>
      <w:r>
        <w:t xml:space="preserve">The aim of the measurement for the Sickle Cell Disease Treatment Demonstration Program is to gather information on the services provided through the grantee networks. We will also gather information about the level of use of health care services, health outcomes and health related quality of life for </w:t>
      </w:r>
      <w:r w:rsidRPr="00BA6FAB">
        <w:t>individu</w:t>
      </w:r>
      <w:r>
        <w:t>als with sickle cell disease receiving services in these grantee networks</w:t>
      </w:r>
      <w:r w:rsidRPr="00BA6FAB">
        <w:t xml:space="preserve">.  </w:t>
      </w:r>
    </w:p>
    <w:p w:rsidR="00E4391E" w:rsidRDefault="00E4391E" w:rsidP="008855AB">
      <w:r w:rsidRPr="00284112">
        <w:rPr>
          <w:b/>
          <w:bCs/>
        </w:rPr>
        <w:t>Participants</w:t>
      </w:r>
      <w:r>
        <w:rPr>
          <w:b/>
          <w:bCs/>
        </w:rPr>
        <w:t xml:space="preserve"> and sample size</w:t>
      </w:r>
      <w:r w:rsidRPr="00284112">
        <w:rPr>
          <w:b/>
          <w:bCs/>
        </w:rPr>
        <w:t>:</w:t>
      </w:r>
      <w:r w:rsidRPr="00284112">
        <w:t xml:space="preserve"> Our respon</w:t>
      </w:r>
      <w:r>
        <w:t>dent universe for the data collection</w:t>
      </w:r>
      <w:r w:rsidRPr="00284112">
        <w:t xml:space="preserve"> will be nine </w:t>
      </w:r>
      <w:r>
        <w:t>grantee network</w:t>
      </w:r>
      <w:r w:rsidRPr="00284112">
        <w:t>s and all the individuals with sickle cell disease and their caretakers enrolled in the SCDTDP</w:t>
      </w:r>
      <w:r>
        <w:t xml:space="preserve"> at these networks</w:t>
      </w:r>
      <w:r w:rsidRPr="00284112">
        <w:t xml:space="preserve">.  </w:t>
      </w:r>
      <w:r>
        <w:t>W</w:t>
      </w:r>
      <w:r w:rsidRPr="00284112">
        <w:t>e are asking sites for a sample size of 100</w:t>
      </w:r>
      <w:r>
        <w:t xml:space="preserve"> individuals per network</w:t>
      </w:r>
      <w:r w:rsidRPr="00284112">
        <w:t xml:space="preserve">, </w:t>
      </w:r>
      <w:r>
        <w:t xml:space="preserve">for a </w:t>
      </w:r>
      <w:r w:rsidRPr="003129CE">
        <w:rPr>
          <w:u w:val="single"/>
        </w:rPr>
        <w:t>total N=900</w:t>
      </w:r>
      <w:r w:rsidRPr="00284112">
        <w:t xml:space="preserve">.  We believe that a sample size of 100 </w:t>
      </w:r>
      <w:r>
        <w:t xml:space="preserve">per network </w:t>
      </w:r>
      <w:r w:rsidRPr="00284112">
        <w:t>will be adequate to detect trends over time in the measures being c</w:t>
      </w:r>
      <w:r>
        <w:t>ollected.  We will ask each network</w:t>
      </w:r>
      <w:r w:rsidRPr="00284112">
        <w:t xml:space="preserve"> director to provide an estimate of the total number of clients, and provide on a monthly basis a set of sealed envelopes with randomly sequenced inclusion or exclusion information with an appropriate sampling fraction to generate the minimum number of required respondents (</w:t>
      </w:r>
      <w:r>
        <w:t>N=100 per network, N=900 across all 9 networks</w:t>
      </w:r>
      <w:r w:rsidRPr="00284112">
        <w:t>).</w:t>
      </w:r>
      <w:r>
        <w:t xml:space="preserve"> More detailed regarding sampling and data collection procedures are in Part B.</w:t>
      </w:r>
    </w:p>
    <w:p w:rsidR="00E4391E" w:rsidRDefault="00E4391E" w:rsidP="008855AB"/>
    <w:p w:rsidR="00E4391E" w:rsidRPr="00284112" w:rsidRDefault="00E4391E" w:rsidP="008855AB">
      <w:pPr>
        <w:rPr>
          <w:lang w:val="en-CA"/>
        </w:rPr>
      </w:pPr>
      <w:r w:rsidRPr="00284112">
        <w:rPr>
          <w:b/>
          <w:bCs/>
        </w:rPr>
        <w:t>Data collection procedures</w:t>
      </w:r>
      <w:r>
        <w:rPr>
          <w:b/>
          <w:bCs/>
        </w:rPr>
        <w:t xml:space="preserve"> and instruments</w:t>
      </w:r>
      <w:r w:rsidRPr="00284112">
        <w:rPr>
          <w:b/>
          <w:bCs/>
        </w:rPr>
        <w:t>:</w:t>
      </w:r>
      <w:r>
        <w:rPr>
          <w:b/>
          <w:bCs/>
        </w:rPr>
        <w:t xml:space="preserve">  </w:t>
      </w:r>
      <w:r w:rsidRPr="00284112">
        <w:rPr>
          <w:lang w:val="en-CA"/>
        </w:rPr>
        <w:t xml:space="preserve">Data will be collected on an annual basis from </w:t>
      </w:r>
      <w:r>
        <w:rPr>
          <w:lang w:val="en-CA"/>
        </w:rPr>
        <w:t xml:space="preserve">clients </w:t>
      </w:r>
      <w:r w:rsidRPr="00284112">
        <w:rPr>
          <w:lang w:val="en-CA"/>
        </w:rPr>
        <w:t>obta</w:t>
      </w:r>
      <w:r>
        <w:rPr>
          <w:lang w:val="en-CA"/>
        </w:rPr>
        <w:t>ining care at the SCDTDP grantee networks, including a</w:t>
      </w:r>
      <w:r w:rsidRPr="00284112">
        <w:rPr>
          <w:lang w:val="en-CA"/>
        </w:rPr>
        <w:t xml:space="preserve">t baseline when the </w:t>
      </w:r>
      <w:r>
        <w:rPr>
          <w:lang w:val="en-CA"/>
        </w:rPr>
        <w:t xml:space="preserve">clients </w:t>
      </w:r>
      <w:r w:rsidRPr="00284112">
        <w:rPr>
          <w:lang w:val="en-CA"/>
        </w:rPr>
        <w:t>and caregivers are enrolled</w:t>
      </w:r>
      <w:r>
        <w:rPr>
          <w:lang w:val="en-CA"/>
        </w:rPr>
        <w:t xml:space="preserve"> and at</w:t>
      </w:r>
      <w:r w:rsidRPr="00284112">
        <w:rPr>
          <w:lang w:val="en-CA"/>
        </w:rPr>
        <w:t xml:space="preserve"> 12 months following </w:t>
      </w:r>
      <w:r w:rsidRPr="00284112">
        <w:t>enrollment</w:t>
      </w:r>
      <w:r w:rsidRPr="00284112">
        <w:rPr>
          <w:lang w:val="en-CA"/>
        </w:rPr>
        <w:t>.</w:t>
      </w:r>
      <w:r>
        <w:rPr>
          <w:lang w:val="en-CA"/>
        </w:rPr>
        <w:t xml:space="preserve">  </w:t>
      </w:r>
      <w:r>
        <w:t xml:space="preserve">Grantee networks </w:t>
      </w:r>
      <w:r w:rsidRPr="00284112">
        <w:t>will enroll participants on a rolli</w:t>
      </w:r>
      <w:r>
        <w:t xml:space="preserve">ng basis such that new client </w:t>
      </w:r>
      <w:r w:rsidRPr="00284112">
        <w:t>will be added to the study over a specified period. At the time of enrollment, SCDTDP participants will be informed about the data collection as part of the informed consent process.</w:t>
      </w:r>
    </w:p>
    <w:p w:rsidR="00E4391E" w:rsidRDefault="00E4391E" w:rsidP="008855AB">
      <w:r>
        <w:t xml:space="preserve">Participants will complete the following surveys at baseline and 12-month follow-up (i.e., two data collection points): </w:t>
      </w:r>
    </w:p>
    <w:p w:rsidR="00E4391E" w:rsidRDefault="00E4391E" w:rsidP="008855AB">
      <w:pPr>
        <w:pStyle w:val="ListParagraph"/>
        <w:numPr>
          <w:ilvl w:val="0"/>
          <w:numId w:val="20"/>
        </w:numPr>
        <w:spacing w:after="0" w:line="240" w:lineRule="auto"/>
        <w:contextualSpacing w:val="0"/>
      </w:pPr>
      <w:r w:rsidRPr="007B679A">
        <w:t>Utilization questionnaire (all participants, N~900</w:t>
      </w:r>
      <w:r>
        <w:t>, separate versions for baseline and follow-up</w:t>
      </w:r>
      <w:r w:rsidRPr="007B679A">
        <w:t xml:space="preserve">); </w:t>
      </w:r>
    </w:p>
    <w:p w:rsidR="00E4391E" w:rsidRDefault="00E4391E" w:rsidP="008855AB">
      <w:pPr>
        <w:pStyle w:val="ListParagraph"/>
        <w:numPr>
          <w:ilvl w:val="0"/>
          <w:numId w:val="20"/>
        </w:numPr>
        <w:spacing w:after="0" w:line="240" w:lineRule="auto"/>
        <w:contextualSpacing w:val="0"/>
      </w:pPr>
      <w:r>
        <w:t>One of the following, based on participant’s age:</w:t>
      </w:r>
    </w:p>
    <w:p w:rsidR="00E4391E" w:rsidRDefault="00E4391E" w:rsidP="008855AB">
      <w:pPr>
        <w:pStyle w:val="ListParagraph"/>
        <w:numPr>
          <w:ilvl w:val="1"/>
          <w:numId w:val="20"/>
        </w:numPr>
        <w:spacing w:after="0" w:line="240" w:lineRule="auto"/>
        <w:contextualSpacing w:val="0"/>
      </w:pPr>
      <w:r w:rsidRPr="00B914A0">
        <w:t xml:space="preserve">Short Form 36 </w:t>
      </w:r>
      <w:r>
        <w:t>(</w:t>
      </w:r>
      <w:r w:rsidRPr="007B679A">
        <w:t>SF-36</w:t>
      </w:r>
      <w:r>
        <w:t>)</w:t>
      </w:r>
      <w:r w:rsidRPr="007B679A">
        <w:t xml:space="preserve"> </w:t>
      </w:r>
      <w:r w:rsidRPr="00B914A0">
        <w:t>Health Survey</w:t>
      </w:r>
      <w:r w:rsidRPr="007B679A">
        <w:t xml:space="preserve"> Health Survey (adults over 18 years of age, N~630), </w:t>
      </w:r>
    </w:p>
    <w:p w:rsidR="00E4391E" w:rsidRDefault="00E4391E" w:rsidP="008855AB">
      <w:pPr>
        <w:pStyle w:val="ListParagraph"/>
        <w:numPr>
          <w:ilvl w:val="1"/>
          <w:numId w:val="20"/>
        </w:numPr>
        <w:spacing w:after="0" w:line="240" w:lineRule="auto"/>
        <w:contextualSpacing w:val="0"/>
      </w:pPr>
      <w:r w:rsidRPr="00B914A0">
        <w:lastRenderedPageBreak/>
        <w:t xml:space="preserve">Pediatric Quality of Life measure </w:t>
      </w:r>
      <w:r>
        <w:t>(</w:t>
      </w:r>
      <w:r w:rsidRPr="007B679A">
        <w:t>PedsQL</w:t>
      </w:r>
      <w:r>
        <w:t>)</w:t>
      </w:r>
      <w:r w:rsidRPr="007B679A">
        <w:t xml:space="preserve"> version for </w:t>
      </w:r>
      <w:r w:rsidRPr="007B679A">
        <w:rPr>
          <w:i/>
          <w:iCs/>
        </w:rPr>
        <w:t>parents</w:t>
      </w:r>
      <w:r w:rsidRPr="007B679A">
        <w:t xml:space="preserve"> of children and adolescents age 18 years or younger</w:t>
      </w:r>
      <w:r>
        <w:t xml:space="preserve"> (</w:t>
      </w:r>
      <w:r w:rsidRPr="007B679A">
        <w:t>N~270</w:t>
      </w:r>
      <w:r>
        <w:t>), or</w:t>
      </w:r>
    </w:p>
    <w:p w:rsidR="00E4391E" w:rsidRDefault="00E4391E" w:rsidP="008855AB">
      <w:pPr>
        <w:pStyle w:val="ListParagraph"/>
        <w:numPr>
          <w:ilvl w:val="1"/>
          <w:numId w:val="20"/>
        </w:numPr>
        <w:spacing w:after="0" w:line="240" w:lineRule="auto"/>
        <w:contextualSpacing w:val="0"/>
      </w:pPr>
      <w:r w:rsidRPr="00B914A0">
        <w:t xml:space="preserve">Pediatric Quality of Life measure </w:t>
      </w:r>
      <w:r>
        <w:t xml:space="preserve">(PedsQL) version </w:t>
      </w:r>
      <w:r w:rsidRPr="007B679A">
        <w:t xml:space="preserve">for children and adolescents 18 years or younger, </w:t>
      </w:r>
      <w:r>
        <w:t>(</w:t>
      </w:r>
      <w:r w:rsidRPr="007B679A">
        <w:t>N~225)</w:t>
      </w:r>
      <w:r>
        <w:t>;</w:t>
      </w:r>
    </w:p>
    <w:p w:rsidR="00E4391E" w:rsidRDefault="00E4391E" w:rsidP="008855AB">
      <w:pPr>
        <w:pStyle w:val="ListParagraph"/>
        <w:numPr>
          <w:ilvl w:val="0"/>
          <w:numId w:val="20"/>
        </w:numPr>
        <w:spacing w:after="0" w:line="240" w:lineRule="auto"/>
        <w:contextualSpacing w:val="0"/>
      </w:pPr>
      <w:r>
        <w:t>The Medical Home Family Index (all participants, N~900, assesses health care satisfaction)</w:t>
      </w:r>
    </w:p>
    <w:p w:rsidR="00E4391E" w:rsidRDefault="00E4391E" w:rsidP="008855AB">
      <w:pPr>
        <w:pStyle w:val="ListParagraph"/>
        <w:numPr>
          <w:ilvl w:val="0"/>
          <w:numId w:val="20"/>
        </w:numPr>
        <w:spacing w:after="0" w:line="240" w:lineRule="auto"/>
        <w:contextualSpacing w:val="0"/>
      </w:pPr>
      <w:r w:rsidRPr="007B679A">
        <w:t>Hemoglobinopathies Emerging Populations Form (</w:t>
      </w:r>
      <w:r>
        <w:t xml:space="preserve">all participants, N~900, assesses </w:t>
      </w:r>
      <w:r w:rsidRPr="007B679A">
        <w:t>Client Family Communication)</w:t>
      </w:r>
    </w:p>
    <w:p w:rsidR="00E4391E" w:rsidRDefault="00E4391E" w:rsidP="008855AB">
      <w:pPr>
        <w:pStyle w:val="ListParagraph"/>
        <w:ind w:left="360"/>
      </w:pPr>
    </w:p>
    <w:p w:rsidR="00E4391E" w:rsidRPr="007B679A" w:rsidRDefault="00E4391E" w:rsidP="008855AB">
      <w:pPr>
        <w:pStyle w:val="ListParagraph"/>
        <w:ind w:left="0"/>
      </w:pPr>
      <w:r>
        <w:t xml:space="preserve">Grantee networks will complete the quality improvement instrument on a monthly basis. This instrument will be completed at the 9 grantee networks. Monthly reporting will allow teams to measure their performance on quality measures, implement small tests of change and then reassess their performance in a timely fashion with the ultimately goal of improving care for individuals with sickle cell disease. </w:t>
      </w:r>
    </w:p>
    <w:p w:rsidR="00E4391E" w:rsidRDefault="00E4391E" w:rsidP="008855AB">
      <w:r>
        <w:t xml:space="preserve">For each instrument, specific details on burden hours are outlined in Section 12. </w:t>
      </w:r>
    </w:p>
    <w:p w:rsidR="00E4391E" w:rsidRDefault="00E4391E" w:rsidP="008855AB">
      <w:r>
        <w:rPr>
          <w:b/>
          <w:bCs/>
        </w:rPr>
        <w:t>Analysis</w:t>
      </w:r>
      <w:r w:rsidRPr="00BA6FAB">
        <w:rPr>
          <w:b/>
          <w:bCs/>
        </w:rPr>
        <w:t>:</w:t>
      </w:r>
      <w:r>
        <w:t xml:space="preserve">  We will perform a descriptive analysis that will focus on variables to assess </w:t>
      </w:r>
      <w:r w:rsidRPr="007B679A">
        <w:t>health services, health status</w:t>
      </w:r>
      <w:r>
        <w:t>,</w:t>
      </w:r>
      <w:r w:rsidRPr="007B679A">
        <w:t xml:space="preserve"> patient satisfaction</w:t>
      </w:r>
      <w:r>
        <w:t xml:space="preserve">, </w:t>
      </w:r>
      <w:r w:rsidRPr="007B679A">
        <w:t>quality of life</w:t>
      </w:r>
      <w:r>
        <w:t xml:space="preserve">, and client family communication.  The data collected will be necessary for the preparation of the annual report to HRSA as well as the final Congressional report detailing the results of this program as requested by federal legislation. </w:t>
      </w:r>
    </w:p>
    <w:p w:rsidR="00E4391E" w:rsidRDefault="00E4391E" w:rsidP="008855AB">
      <w:r>
        <w:t>Variables that will be used for the analysis for each survey instrument are detailed below:</w:t>
      </w:r>
    </w:p>
    <w:p w:rsidR="00E4391E" w:rsidRPr="00B914A0" w:rsidRDefault="00E4391E" w:rsidP="008855AB">
      <w:pPr>
        <w:pStyle w:val="ListParagraph"/>
        <w:numPr>
          <w:ilvl w:val="0"/>
          <w:numId w:val="21"/>
        </w:numPr>
        <w:spacing w:after="0" w:line="240" w:lineRule="auto"/>
        <w:contextualSpacing w:val="0"/>
      </w:pPr>
      <w:r>
        <w:t>Demographics: Utilization questionnaire</w:t>
      </w:r>
    </w:p>
    <w:p w:rsidR="00E4391E" w:rsidRPr="00B914A0" w:rsidRDefault="00E4391E" w:rsidP="008855AB">
      <w:pPr>
        <w:pStyle w:val="ListParagraph"/>
        <w:numPr>
          <w:ilvl w:val="1"/>
          <w:numId w:val="21"/>
        </w:numPr>
        <w:spacing w:after="0" w:line="240" w:lineRule="auto"/>
        <w:contextualSpacing w:val="0"/>
      </w:pPr>
      <w:r>
        <w:t xml:space="preserve">Variables include </w:t>
      </w:r>
      <w:r w:rsidRPr="00B914A0">
        <w:t>race, ethnicity, education, income</w:t>
      </w:r>
    </w:p>
    <w:p w:rsidR="00E4391E" w:rsidRPr="00B914A0" w:rsidRDefault="00E4391E" w:rsidP="008855AB">
      <w:pPr>
        <w:pStyle w:val="ListParagraph"/>
        <w:numPr>
          <w:ilvl w:val="0"/>
          <w:numId w:val="21"/>
        </w:numPr>
        <w:spacing w:after="0" w:line="240" w:lineRule="auto"/>
        <w:contextualSpacing w:val="0"/>
      </w:pPr>
      <w:r>
        <w:t>Health services use: Utilization questionnaire</w:t>
      </w:r>
    </w:p>
    <w:p w:rsidR="00E4391E" w:rsidRPr="00B914A0" w:rsidRDefault="00E4391E" w:rsidP="008855AB">
      <w:pPr>
        <w:pStyle w:val="ListParagraph"/>
        <w:numPr>
          <w:ilvl w:val="1"/>
          <w:numId w:val="21"/>
        </w:numPr>
        <w:spacing w:after="0" w:line="240" w:lineRule="auto"/>
        <w:contextualSpacing w:val="0"/>
      </w:pPr>
      <w:r>
        <w:t xml:space="preserve">Variables include </w:t>
      </w:r>
      <w:r w:rsidRPr="00B914A0">
        <w:t>receipt of preventive services; usual source of care; care from specific providers</w:t>
      </w:r>
      <w:r>
        <w:t>,</w:t>
      </w:r>
      <w:r w:rsidRPr="00B914A0">
        <w:t xml:space="preserve"> e.g., specialists, primary care, emergency department</w:t>
      </w:r>
    </w:p>
    <w:p w:rsidR="00E4391E" w:rsidRPr="00B914A0" w:rsidRDefault="00E4391E" w:rsidP="008855AB">
      <w:pPr>
        <w:pStyle w:val="ListParagraph"/>
        <w:numPr>
          <w:ilvl w:val="0"/>
          <w:numId w:val="21"/>
        </w:numPr>
        <w:spacing w:after="0" w:line="240" w:lineRule="auto"/>
        <w:contextualSpacing w:val="0"/>
      </w:pPr>
      <w:r>
        <w:t>D</w:t>
      </w:r>
      <w:r w:rsidRPr="00B914A0">
        <w:t>isease specific treatment and complications</w:t>
      </w:r>
      <w:r>
        <w:t>: Utilization questionnaire</w:t>
      </w:r>
    </w:p>
    <w:p w:rsidR="00E4391E" w:rsidRPr="00B914A0" w:rsidRDefault="00E4391E" w:rsidP="008855AB">
      <w:pPr>
        <w:pStyle w:val="ListParagraph"/>
        <w:numPr>
          <w:ilvl w:val="1"/>
          <w:numId w:val="21"/>
        </w:numPr>
        <w:spacing w:after="0" w:line="240" w:lineRule="auto"/>
        <w:contextualSpacing w:val="0"/>
      </w:pPr>
      <w:r>
        <w:t xml:space="preserve">Variables include </w:t>
      </w:r>
      <w:r w:rsidRPr="00B914A0">
        <w:t>receipt of specific therapies</w:t>
      </w:r>
      <w:r>
        <w:t>,</w:t>
      </w:r>
      <w:r w:rsidRPr="00B914A0">
        <w:t xml:space="preserve"> e.g., hydroxyurea, chelation; and experience of specific complications</w:t>
      </w:r>
      <w:r>
        <w:t>,</w:t>
      </w:r>
      <w:r w:rsidRPr="00B914A0">
        <w:t xml:space="preserve"> e.g.</w:t>
      </w:r>
      <w:r>
        <w:t>, pulmonary crisis, pain crisis</w:t>
      </w:r>
    </w:p>
    <w:p w:rsidR="00E4391E" w:rsidRPr="00B914A0" w:rsidRDefault="00E4391E" w:rsidP="008855AB">
      <w:pPr>
        <w:pStyle w:val="ListParagraph"/>
        <w:numPr>
          <w:ilvl w:val="0"/>
          <w:numId w:val="21"/>
        </w:numPr>
        <w:spacing w:after="0" w:line="240" w:lineRule="auto"/>
        <w:contextualSpacing w:val="0"/>
      </w:pPr>
      <w:r>
        <w:t>Patient satisfaction with care: Medical Home Family Index</w:t>
      </w:r>
    </w:p>
    <w:p w:rsidR="00E4391E" w:rsidRPr="00B914A0" w:rsidRDefault="00E4391E" w:rsidP="008855AB">
      <w:pPr>
        <w:pStyle w:val="ListParagraph"/>
        <w:numPr>
          <w:ilvl w:val="1"/>
          <w:numId w:val="21"/>
        </w:numPr>
        <w:spacing w:after="0" w:line="240" w:lineRule="auto"/>
        <w:contextualSpacing w:val="0"/>
      </w:pPr>
      <w:r>
        <w:t xml:space="preserve">Variable domains include: </w:t>
      </w:r>
      <w:r w:rsidRPr="00B914A0">
        <w:t>specific experiences related to care in the primary care/medical home context</w:t>
      </w:r>
      <w:r>
        <w:t xml:space="preserve">, i.e., </w:t>
      </w:r>
      <w:r w:rsidRPr="00B914A0">
        <w:t>the extent to which the patient is known by staff</w:t>
      </w:r>
      <w:r>
        <w:t xml:space="preserve">, </w:t>
      </w:r>
      <w:r w:rsidRPr="00B914A0">
        <w:t>whether patients receive a written care plan</w:t>
      </w:r>
    </w:p>
    <w:p w:rsidR="00E4391E" w:rsidRPr="00611FD8" w:rsidRDefault="00E4391E" w:rsidP="008855AB">
      <w:pPr>
        <w:pStyle w:val="ListParagraph"/>
        <w:numPr>
          <w:ilvl w:val="0"/>
          <w:numId w:val="21"/>
        </w:numPr>
        <w:spacing w:after="0" w:line="240" w:lineRule="auto"/>
        <w:contextualSpacing w:val="0"/>
      </w:pPr>
      <w:r>
        <w:t>Quality of life: PedsQL</w:t>
      </w:r>
      <w:r w:rsidRPr="00B914A0">
        <w:t xml:space="preserve"> </w:t>
      </w:r>
      <w:r>
        <w:t>or SF-36</w:t>
      </w:r>
    </w:p>
    <w:p w:rsidR="00E4391E" w:rsidRPr="00124F7C" w:rsidRDefault="00E4391E" w:rsidP="008855AB">
      <w:pPr>
        <w:pStyle w:val="ListParagraph"/>
        <w:numPr>
          <w:ilvl w:val="0"/>
          <w:numId w:val="22"/>
        </w:numPr>
        <w:spacing w:after="0" w:line="240" w:lineRule="auto"/>
        <w:contextualSpacing w:val="0"/>
      </w:pPr>
      <w:r w:rsidRPr="00124F7C">
        <w:t xml:space="preserve">Variable domains include: Physical functioning, bodily pain, general health, mental health/emotional functioning, social functioning, vitality, school functioning (children only) </w:t>
      </w:r>
    </w:p>
    <w:p w:rsidR="00E4391E" w:rsidRDefault="00E4391E" w:rsidP="008855AB">
      <w:pPr>
        <w:pStyle w:val="ListParagraph"/>
        <w:numPr>
          <w:ilvl w:val="0"/>
          <w:numId w:val="21"/>
        </w:numPr>
        <w:spacing w:after="0" w:line="240" w:lineRule="auto"/>
        <w:contextualSpacing w:val="0"/>
      </w:pPr>
      <w:r w:rsidRPr="00124F7C">
        <w:t xml:space="preserve">Client family communication: Hemoglobinopathies Emerging Populations Form </w:t>
      </w:r>
    </w:p>
    <w:p w:rsidR="00E4391E" w:rsidRPr="00F12D1B" w:rsidRDefault="00E4391E" w:rsidP="008855AB">
      <w:pPr>
        <w:pStyle w:val="ListParagraph"/>
        <w:numPr>
          <w:ilvl w:val="1"/>
          <w:numId w:val="21"/>
        </w:numPr>
        <w:spacing w:after="0" w:line="240" w:lineRule="auto"/>
        <w:contextualSpacing w:val="0"/>
      </w:pPr>
      <w:r>
        <w:lastRenderedPageBreak/>
        <w:t>Variable domain</w:t>
      </w:r>
      <w:r w:rsidRPr="00F12D1B">
        <w:t xml:space="preserve">: Language </w:t>
      </w:r>
      <w:r>
        <w:tab/>
      </w:r>
    </w:p>
    <w:p w:rsidR="00E4391E" w:rsidRPr="00F12D1B" w:rsidRDefault="00E4391E" w:rsidP="008855AB">
      <w:pPr>
        <w:pStyle w:val="ListParagraph"/>
        <w:numPr>
          <w:ilvl w:val="0"/>
          <w:numId w:val="21"/>
        </w:numPr>
        <w:spacing w:after="0" w:line="240" w:lineRule="auto"/>
        <w:contextualSpacing w:val="0"/>
      </w:pPr>
      <w:r w:rsidRPr="00F12D1B">
        <w:t>Quality improvement  instrument:</w:t>
      </w:r>
    </w:p>
    <w:p w:rsidR="00E4391E" w:rsidRDefault="00E4391E" w:rsidP="008855AB">
      <w:pPr>
        <w:pStyle w:val="ListParagraph"/>
        <w:numPr>
          <w:ilvl w:val="1"/>
          <w:numId w:val="21"/>
        </w:numPr>
        <w:spacing w:after="0" w:line="240" w:lineRule="auto"/>
        <w:contextualSpacing w:val="0"/>
      </w:pPr>
      <w:r w:rsidRPr="00F12D1B">
        <w:t>Variables include: Percent of SC individuals with a treatment plan reviewed in past 12 months, Percent of positive screens with timely follow-up, Percent of SC individuals with up to date immunizations, Percent of SC individuals with documented Preventive Care Program (PCP) visited in past 12 months</w:t>
      </w:r>
    </w:p>
    <w:p w:rsidR="00E4391E" w:rsidRDefault="00E4391E" w:rsidP="00341373">
      <w:pPr>
        <w:spacing w:line="240" w:lineRule="auto"/>
        <w:rPr>
          <w:bCs/>
        </w:rPr>
      </w:pPr>
    </w:p>
    <w:p w:rsidR="00E4391E" w:rsidRDefault="00E4391E" w:rsidP="00341373">
      <w:pPr>
        <w:spacing w:line="240" w:lineRule="auto"/>
        <w:rPr>
          <w:bCs/>
        </w:rPr>
      </w:pPr>
      <w:r>
        <w:rPr>
          <w:bCs/>
        </w:rPr>
        <w:t xml:space="preserve">Clients are provided the opportunity to give informed consent to participate in completing the surveys surveyed at enrollment in the Network.  For those who agree, data collection will then be undertaken and repeated annually.  The individual sites and the NCC each have IRB approval.  </w:t>
      </w:r>
    </w:p>
    <w:p w:rsidR="00E4391E" w:rsidRDefault="00E4391E" w:rsidP="006C6877">
      <w:pPr>
        <w:pStyle w:val="NormalSS"/>
        <w:ind w:firstLine="0"/>
        <w:jc w:val="left"/>
        <w:rPr>
          <w:b/>
        </w:rPr>
      </w:pPr>
      <w:r w:rsidRPr="00A32817">
        <w:t xml:space="preserve">Each program </w:t>
      </w:r>
      <w:r>
        <w:t xml:space="preserve">will </w:t>
      </w:r>
      <w:r w:rsidRPr="00A32817">
        <w:t>hire and train their own data collector based on an assessment of the client population’s characteristics and programmatic data needs. We plan a common initial (start of grant period) and refresher (as needed) training protocol for the overall HRSA national sickle cell disease program grantees to assure uniformity in the data collection and entry process for the entire funding period.</w:t>
      </w:r>
    </w:p>
    <w:p w:rsidR="00E4391E" w:rsidRDefault="00E4391E" w:rsidP="00D254D8">
      <w:pPr>
        <w:spacing w:after="0"/>
      </w:pPr>
    </w:p>
    <w:p w:rsidR="00E4391E" w:rsidRPr="006D5970" w:rsidRDefault="00E4391E" w:rsidP="006D5970">
      <w:pPr>
        <w:pStyle w:val="NoSpacing"/>
        <w:rPr>
          <w:b/>
          <w:u w:val="single"/>
        </w:rPr>
      </w:pPr>
      <w:r w:rsidRPr="006D5970">
        <w:rPr>
          <w:b/>
          <w:u w:val="single"/>
        </w:rPr>
        <w:t>3. Use of Improved Information Technology</w:t>
      </w:r>
    </w:p>
    <w:p w:rsidR="00E4391E" w:rsidRPr="002B258D" w:rsidRDefault="00E4391E" w:rsidP="002B258D">
      <w:pPr>
        <w:pStyle w:val="NormalSS"/>
        <w:spacing w:line="276" w:lineRule="auto"/>
        <w:ind w:left="720" w:firstLine="0"/>
        <w:jc w:val="left"/>
        <w:rPr>
          <w:b/>
          <w:bCs/>
          <w:u w:val="single"/>
        </w:rPr>
      </w:pPr>
    </w:p>
    <w:p w:rsidR="00E4391E" w:rsidRPr="006C6877" w:rsidRDefault="00E4391E" w:rsidP="00F46617">
      <w:pPr>
        <w:numPr>
          <w:ilvl w:val="0"/>
          <w:numId w:val="9"/>
        </w:numPr>
        <w:rPr>
          <w:b/>
          <w:i/>
        </w:rPr>
      </w:pPr>
      <w:r w:rsidRPr="006C6877">
        <w:rPr>
          <w:b/>
          <w:i/>
        </w:rPr>
        <w:t xml:space="preserve">Sickle Cell Disease and Newborn Screening Program (SCDNBSP) </w:t>
      </w:r>
    </w:p>
    <w:p w:rsidR="00E4391E" w:rsidRDefault="00E4391E" w:rsidP="0035780C">
      <w:pPr>
        <w:spacing w:line="240" w:lineRule="auto"/>
      </w:pPr>
      <w:r w:rsidRPr="00AA3136">
        <w:t xml:space="preserve">At </w:t>
      </w:r>
      <w:r>
        <w:t>each</w:t>
      </w:r>
      <w:r w:rsidRPr="00AA3136">
        <w:t xml:space="preserve"> point of client contact, data collection will involve completing a structured interview questionnaire</w:t>
      </w:r>
      <w:r>
        <w:t xml:space="preserve"> (see attachments B &amp; C) for sickle cell disease and </w:t>
      </w:r>
      <w:r w:rsidRPr="0073438F">
        <w:rPr>
          <w:szCs w:val="20"/>
        </w:rPr>
        <w:t>carriers of the sickle cell gene mutation</w:t>
      </w:r>
      <w:r w:rsidRPr="00AA3136">
        <w:t xml:space="preserve">. </w:t>
      </w:r>
      <w:r>
        <w:t xml:space="preserve"> During this time, network interviewers will use traditional pen and paper data collection instruments.  </w:t>
      </w:r>
      <w:r w:rsidRPr="00AA3136">
        <w:t>After completing interviews at each site, the interviewer will field edit all of the questionnaires for accuracy</w:t>
      </w:r>
      <w:r>
        <w:t xml:space="preserve">, completeness and legibility.  The network data coordinator will be responsible for data entry.  </w:t>
      </w:r>
      <w:r w:rsidRPr="006F7B0E">
        <w:t xml:space="preserve">The data </w:t>
      </w:r>
      <w:r>
        <w:t>entry process will occur</w:t>
      </w:r>
      <w:r w:rsidRPr="006F7B0E">
        <w:t xml:space="preserve"> e</w:t>
      </w:r>
      <w:r>
        <w:t>lectronically via an online web-based data portal</w:t>
      </w:r>
      <w:r w:rsidRPr="006F7B0E">
        <w:t xml:space="preserve"> using secure data collection interfaces.  HL7 standards will be applied to protect privacy by securing personal information from unauthorized access and use or disclosure.  HL7 will protect secure information through the use of encryption such as the Secure Socket Layer (SSL) protocol</w:t>
      </w:r>
      <w:r>
        <w:t>.  Each network data coordinator will be provided with a unique user name and password to log onto the web-based portal for data entry.</w:t>
      </w:r>
    </w:p>
    <w:p w:rsidR="00E4391E" w:rsidRPr="00DA774F" w:rsidRDefault="00E4391E" w:rsidP="00BB5DB3">
      <w:pPr>
        <w:spacing w:line="240" w:lineRule="auto"/>
        <w:ind w:left="360"/>
      </w:pPr>
      <w:r>
        <w:t xml:space="preserve">All data collected, entered and analyzed for reporting and publishing will not contain any personal identifiers.  All procedures, including interviewing and data storage, will be IRB approved prior to data collection and implementation.  The hard copies of the data forms will be stored at the network site securely which can be accessed by the network program coordinator only using lock and key.  Memorandum of Understanding (MOU) will be provided by the NCEC to individual networks that do not have an IRB.  We </w:t>
      </w:r>
      <w:r w:rsidRPr="0087592E">
        <w:t>will protect secure information through the use of encryption such as the Secure Socket Layer (SSL) protocol</w:t>
      </w:r>
      <w:r>
        <w:t xml:space="preserve"> consistent with IRB</w:t>
      </w:r>
      <w:r w:rsidRPr="0087592E">
        <w:t>.</w:t>
      </w:r>
      <w:r>
        <w:t xml:space="preserve">  </w:t>
      </w:r>
    </w:p>
    <w:p w:rsidR="00E4391E" w:rsidRPr="00797E1E" w:rsidRDefault="00E4391E" w:rsidP="00F46617">
      <w:pPr>
        <w:numPr>
          <w:ilvl w:val="0"/>
          <w:numId w:val="9"/>
        </w:numPr>
        <w:spacing w:after="0"/>
        <w:rPr>
          <w:b/>
          <w:i/>
        </w:rPr>
      </w:pPr>
      <w:r w:rsidRPr="00797E1E">
        <w:rPr>
          <w:b/>
          <w:i/>
        </w:rPr>
        <w:lastRenderedPageBreak/>
        <w:t>Sickle Cell Disease Treatment Demonstration Program</w:t>
      </w:r>
      <w:r>
        <w:rPr>
          <w:b/>
          <w:i/>
        </w:rPr>
        <w:t xml:space="preserve"> </w:t>
      </w:r>
      <w:r w:rsidRPr="00797E1E">
        <w:rPr>
          <w:b/>
          <w:i/>
        </w:rPr>
        <w:t>(SCDTDP)</w:t>
      </w:r>
    </w:p>
    <w:p w:rsidR="00E4391E" w:rsidRPr="00EF6F55" w:rsidRDefault="00E4391E" w:rsidP="00D30892">
      <w:pPr>
        <w:spacing w:after="0"/>
        <w:ind w:left="1080"/>
        <w:rPr>
          <w:b/>
          <w:i/>
        </w:rPr>
      </w:pPr>
    </w:p>
    <w:p w:rsidR="00E4391E" w:rsidRDefault="00E4391E" w:rsidP="00EF6F55">
      <w:pPr>
        <w:spacing w:line="240" w:lineRule="auto"/>
      </w:pPr>
      <w:r>
        <w:t>In the past, data collection has taken place using traditional pen and paper instruments involving a clerk entering data into a machine readable, digital format. Going forward, the data collection instruments noted above will be converted into web based data entry forms for direct input of data via the internet by clients served at the SCDTDP Network sites (self administered) or by the data collection staff at the site (interviewer administered). Similarly the items on the Individual Utilization instrument (see attachment E) that derive from medical record review will be entered by the Network site data abstractor via a web form into the project database</w:t>
      </w:r>
      <w:r w:rsidRPr="0087592E">
        <w:t xml:space="preserve">.  </w:t>
      </w:r>
      <w:r>
        <w:t xml:space="preserve">All of the web based data collection will use </w:t>
      </w:r>
      <w:r w:rsidRPr="0087592E">
        <w:t xml:space="preserve">secure data collection interfaces.  </w:t>
      </w:r>
    </w:p>
    <w:p w:rsidR="00E4391E" w:rsidRPr="0087592E" w:rsidRDefault="00E4391E" w:rsidP="00EF6F55">
      <w:pPr>
        <w:spacing w:line="240" w:lineRule="auto"/>
      </w:pPr>
      <w:r w:rsidRPr="0087592E">
        <w:t>Because some grantees do not have the technology available for the purposes of electronic data collection</w:t>
      </w:r>
      <w:r>
        <w:t>,</w:t>
      </w:r>
      <w:r w:rsidRPr="0087592E">
        <w:t xml:space="preserve"> we will provide an option for grantees to provide paper submission to the NCC.</w:t>
      </w:r>
    </w:p>
    <w:p w:rsidR="00E4391E" w:rsidRDefault="00E4391E" w:rsidP="00EF6F55">
      <w:pPr>
        <w:spacing w:line="240" w:lineRule="auto"/>
      </w:pPr>
      <w:r>
        <w:t xml:space="preserve">Health Insurance Portability and Accountability Act (HIPAA) </w:t>
      </w:r>
      <w:r w:rsidRPr="0087592E">
        <w:t>standards will be applied to protect privacy by securing personal</w:t>
      </w:r>
      <w:r>
        <w:t>ly identifiable</w:t>
      </w:r>
      <w:r w:rsidRPr="0087592E">
        <w:t xml:space="preserve"> information from unauthorized access and use or disclosure.  </w:t>
      </w:r>
      <w:r>
        <w:t xml:space="preserve">We </w:t>
      </w:r>
      <w:r w:rsidRPr="0087592E">
        <w:t>will protect secure information through the use of encryption such as the Secure Socket Layer (SSL) protocol</w:t>
      </w:r>
      <w:r>
        <w:t xml:space="preserve"> consistent with HIPAA </w:t>
      </w:r>
      <w:r w:rsidRPr="0087592E">
        <w:t>for both components of the project.</w:t>
      </w:r>
      <w:r>
        <w:t xml:space="preserve">  </w:t>
      </w:r>
      <w:r w:rsidRPr="00683477">
        <w:t>If electronic data exchange/messaging are used, an HL7-compliant interface will be available</w:t>
      </w:r>
      <w:r>
        <w:t>.</w:t>
      </w:r>
    </w:p>
    <w:p w:rsidR="00E4391E" w:rsidRPr="004004A6" w:rsidRDefault="00E4391E" w:rsidP="007A4760">
      <w:pPr>
        <w:tabs>
          <w:tab w:val="left" w:pos="7470"/>
        </w:tabs>
        <w:autoSpaceDE w:val="0"/>
        <w:autoSpaceDN w:val="0"/>
        <w:adjustRightInd w:val="0"/>
        <w:spacing w:after="0" w:line="240" w:lineRule="auto"/>
      </w:pPr>
      <w:r w:rsidRPr="004004A6">
        <w:t>No personally-identifiable information will be requested or reported</w:t>
      </w:r>
      <w:r>
        <w:t xml:space="preserve"> for the Quality Improvement activities</w:t>
      </w:r>
      <w:r w:rsidRPr="004004A6">
        <w:t xml:space="preserve">. The data from the QI Process and Model for Improvement will be used to inform the </w:t>
      </w:r>
      <w:r>
        <w:t>grantee</w:t>
      </w:r>
      <w:r w:rsidRPr="004004A6">
        <w:t>s’ work in their health care setting.</w:t>
      </w:r>
    </w:p>
    <w:p w:rsidR="00E4391E" w:rsidRDefault="00E4391E" w:rsidP="00D254D8">
      <w:pPr>
        <w:pStyle w:val="NormalSS"/>
        <w:spacing w:line="276" w:lineRule="auto"/>
        <w:ind w:firstLine="0"/>
        <w:jc w:val="left"/>
        <w:rPr>
          <w:b/>
          <w:bCs/>
          <w:u w:val="single"/>
        </w:rPr>
      </w:pPr>
    </w:p>
    <w:p w:rsidR="00E4391E" w:rsidRDefault="00E4391E" w:rsidP="00D254D8">
      <w:pPr>
        <w:pStyle w:val="NormalSS"/>
        <w:spacing w:line="276" w:lineRule="auto"/>
        <w:ind w:firstLine="0"/>
        <w:jc w:val="left"/>
        <w:rPr>
          <w:b/>
          <w:bCs/>
          <w:u w:val="single"/>
        </w:rPr>
      </w:pPr>
      <w:r>
        <w:rPr>
          <w:b/>
          <w:bCs/>
          <w:u w:val="single"/>
        </w:rPr>
        <w:t xml:space="preserve">4. </w:t>
      </w:r>
      <w:r w:rsidRPr="009F315B">
        <w:rPr>
          <w:b/>
          <w:bCs/>
          <w:u w:val="single"/>
        </w:rPr>
        <w:t>Efforts to Identify Duplication</w:t>
      </w:r>
    </w:p>
    <w:p w:rsidR="00E4391E" w:rsidRDefault="00E4391E" w:rsidP="006C5E5B">
      <w:pPr>
        <w:pStyle w:val="NormalSS"/>
        <w:ind w:firstLine="0"/>
        <w:jc w:val="left"/>
        <w:rPr>
          <w:rFonts w:ascii="BookAntiqua" w:hAnsi="BookAntiqua" w:cs="BookAntiqua"/>
        </w:rPr>
      </w:pPr>
      <w:r w:rsidRPr="0087592E">
        <w:rPr>
          <w:rFonts w:ascii="BookAntiqua" w:hAnsi="BookAntiqua" w:cs="BookAntiqua"/>
        </w:rPr>
        <w:t xml:space="preserve">There are no other HRSA/MCHB data collection activities that are evaluating the progress of </w:t>
      </w:r>
      <w:r>
        <w:rPr>
          <w:rFonts w:ascii="BookAntiqua" w:hAnsi="BookAntiqua" w:cs="BookAntiqua"/>
        </w:rPr>
        <w:t xml:space="preserve">these </w:t>
      </w:r>
      <w:r w:rsidRPr="0087592E">
        <w:rPr>
          <w:rFonts w:ascii="BookAntiqua" w:hAnsi="BookAntiqua" w:cs="BookAntiqua"/>
        </w:rPr>
        <w:t>Sickle Cell Disease Programs.  The information being collected is not available elsewhere</w:t>
      </w:r>
      <w:r>
        <w:rPr>
          <w:rFonts w:ascii="BookAntiqua" w:hAnsi="BookAntiqua" w:cs="BookAntiqua"/>
        </w:rPr>
        <w:t>.</w:t>
      </w:r>
      <w:r w:rsidRPr="0087592E">
        <w:rPr>
          <w:rFonts w:ascii="BookAntiqua" w:hAnsi="BookAntiqua" w:cs="BookAntiqua"/>
        </w:rPr>
        <w:t xml:space="preserve"> </w:t>
      </w:r>
    </w:p>
    <w:p w:rsidR="00E4391E" w:rsidRDefault="00E4391E" w:rsidP="00D254D8">
      <w:pPr>
        <w:pStyle w:val="NormalSS"/>
        <w:spacing w:line="276" w:lineRule="auto"/>
        <w:ind w:firstLine="0"/>
        <w:jc w:val="left"/>
        <w:rPr>
          <w:rFonts w:ascii="BookAntiqua" w:hAnsi="BookAntiqua" w:cs="BookAntiqua"/>
        </w:rPr>
      </w:pPr>
    </w:p>
    <w:p w:rsidR="00E4391E" w:rsidRPr="000A25C0" w:rsidRDefault="00E4391E" w:rsidP="00D254D8">
      <w:pPr>
        <w:autoSpaceDE w:val="0"/>
        <w:autoSpaceDN w:val="0"/>
        <w:adjustRightInd w:val="0"/>
        <w:rPr>
          <w:b/>
          <w:bCs/>
        </w:rPr>
      </w:pPr>
      <w:r w:rsidRPr="000A25C0">
        <w:rPr>
          <w:b/>
          <w:bCs/>
        </w:rPr>
        <w:t xml:space="preserve">5. </w:t>
      </w:r>
      <w:r w:rsidRPr="000A25C0">
        <w:rPr>
          <w:b/>
          <w:bCs/>
          <w:u w:val="single"/>
        </w:rPr>
        <w:t>Involvement of Small Entities</w:t>
      </w:r>
    </w:p>
    <w:p w:rsidR="00E4391E" w:rsidRDefault="00E4391E" w:rsidP="00D254D8">
      <w:pPr>
        <w:autoSpaceDE w:val="0"/>
        <w:autoSpaceDN w:val="0"/>
        <w:adjustRightInd w:val="0"/>
      </w:pPr>
      <w:r>
        <w:t>This activity does not impact small entities.</w:t>
      </w:r>
    </w:p>
    <w:p w:rsidR="00E4391E" w:rsidRPr="000A25C0" w:rsidRDefault="00E4391E" w:rsidP="00D254D8">
      <w:pPr>
        <w:autoSpaceDE w:val="0"/>
        <w:autoSpaceDN w:val="0"/>
        <w:adjustRightInd w:val="0"/>
        <w:rPr>
          <w:b/>
          <w:bCs/>
        </w:rPr>
      </w:pPr>
      <w:r w:rsidRPr="000A25C0">
        <w:rPr>
          <w:b/>
          <w:bCs/>
        </w:rPr>
        <w:t xml:space="preserve">6. </w:t>
      </w:r>
      <w:r w:rsidRPr="000A25C0">
        <w:rPr>
          <w:b/>
          <w:bCs/>
          <w:u w:val="single"/>
        </w:rPr>
        <w:t>Consequences if Information Collected Less Frequently</w:t>
      </w:r>
    </w:p>
    <w:p w:rsidR="00E4391E" w:rsidRDefault="00E4391E" w:rsidP="00D254D8">
      <w:pPr>
        <w:rPr>
          <w:b/>
        </w:rPr>
      </w:pPr>
      <w:r>
        <w:rPr>
          <w:b/>
        </w:rPr>
        <w:t xml:space="preserve">I.  </w:t>
      </w:r>
      <w:r w:rsidRPr="0048299A">
        <w:rPr>
          <w:b/>
        </w:rPr>
        <w:t xml:space="preserve">Sickle Cell Disease and Newborn Screening Program (SCDNBSP) </w:t>
      </w:r>
    </w:p>
    <w:p w:rsidR="00E4391E" w:rsidRDefault="00E4391E" w:rsidP="00676B4E">
      <w:pPr>
        <w:spacing w:line="240" w:lineRule="auto"/>
      </w:pPr>
      <w:r>
        <w:t xml:space="preserve">Data collection and assessment periods are designed to correspond with quarterly and annual reports to HRSA, allow ample time for participants to provide the requested information and for electronic file-based information to be abstracted. The determination of these periods was based on the experience of the NCEC over the last six years. These quarterly and annual reports are reviewed by HRSA program staff to allow for adjustments to be made prior to finalization and submission to meet the required </w:t>
      </w:r>
      <w:r>
        <w:lastRenderedPageBreak/>
        <w:t>deadlines. Failure to meet the reporting deadlines places continuation of the program in jeopardy.</w:t>
      </w:r>
    </w:p>
    <w:p w:rsidR="00E4391E" w:rsidRDefault="00E4391E" w:rsidP="006C5E5B">
      <w:pPr>
        <w:rPr>
          <w:b/>
        </w:rPr>
      </w:pPr>
      <w:r w:rsidRPr="00676B4E">
        <w:rPr>
          <w:b/>
        </w:rPr>
        <w:t>II. Sickle Cell Disease Treatment Demonstra</w:t>
      </w:r>
      <w:r>
        <w:rPr>
          <w:b/>
        </w:rPr>
        <w:t xml:space="preserve">tion Program (SCDTDP) </w:t>
      </w:r>
    </w:p>
    <w:p w:rsidR="00E4391E" w:rsidRPr="00B770DE" w:rsidRDefault="00E4391E" w:rsidP="00B770DE">
      <w:pPr>
        <w:spacing w:line="240" w:lineRule="auto"/>
        <w:rPr>
          <w:b/>
        </w:rPr>
      </w:pPr>
      <w:r w:rsidRPr="00676B4E">
        <w:t>Quality Improvement data, from the QI Instrument, will be collected on a monthly basis throughout the duration of the program. All other data</w:t>
      </w:r>
      <w:r w:rsidRPr="0044551C">
        <w:t xml:space="preserve"> </w:t>
      </w:r>
      <w:r>
        <w:t>will</w:t>
      </w:r>
      <w:r w:rsidRPr="0044551C">
        <w:t xml:space="preserve"> be collected at baseline during the patient’s first encounter at the </w:t>
      </w:r>
      <w:r>
        <w:t xml:space="preserve">program sites </w:t>
      </w:r>
      <w:r w:rsidRPr="0044551C">
        <w:t xml:space="preserve">after the initiation of the site’s participation in the program; data collection will then be repeated annually 12 months after the baseline assessment.  </w:t>
      </w:r>
      <w:r>
        <w:t>L</w:t>
      </w:r>
      <w:r w:rsidRPr="0044551C">
        <w:t>ess frequent assessments will not provide sufficient</w:t>
      </w:r>
      <w:r>
        <w:t xml:space="preserve"> </w:t>
      </w:r>
      <w:r w:rsidRPr="0044551C">
        <w:t xml:space="preserve">timely feedback to inform program design and improvements nor the required </w:t>
      </w:r>
      <w:r>
        <w:t xml:space="preserve">data </w:t>
      </w:r>
      <w:r w:rsidRPr="0044551C">
        <w:t>specified by the legislation</w:t>
      </w:r>
      <w:r>
        <w:t xml:space="preserve"> noted above.  </w:t>
      </w:r>
    </w:p>
    <w:p w:rsidR="00E4391E" w:rsidRPr="000A25C0" w:rsidRDefault="00E4391E" w:rsidP="00D254D8">
      <w:pPr>
        <w:autoSpaceDE w:val="0"/>
        <w:autoSpaceDN w:val="0"/>
        <w:adjustRightInd w:val="0"/>
        <w:rPr>
          <w:b/>
          <w:bCs/>
        </w:rPr>
      </w:pPr>
      <w:r w:rsidRPr="000A25C0">
        <w:rPr>
          <w:b/>
          <w:bCs/>
        </w:rPr>
        <w:t xml:space="preserve">7. </w:t>
      </w:r>
      <w:r w:rsidRPr="000A25C0">
        <w:rPr>
          <w:b/>
          <w:bCs/>
          <w:u w:val="single"/>
        </w:rPr>
        <w:t>Consistency with the Guidelines in 5 CFR 1320.5(d) (2)</w:t>
      </w:r>
      <w:r w:rsidRPr="000A25C0">
        <w:rPr>
          <w:b/>
          <w:bCs/>
        </w:rPr>
        <w:t xml:space="preserve">   </w:t>
      </w:r>
    </w:p>
    <w:p w:rsidR="00E4391E" w:rsidRDefault="00E4391E" w:rsidP="00B770DE">
      <w:pPr>
        <w:autoSpaceDE w:val="0"/>
        <w:autoSpaceDN w:val="0"/>
        <w:adjustRightInd w:val="0"/>
      </w:pPr>
      <w:r w:rsidRPr="00555A26">
        <w:t>This data collection request is fully consistent with the guidelines in 5 CFR 1320.5(d) (2).</w:t>
      </w:r>
    </w:p>
    <w:p w:rsidR="00E4391E" w:rsidRPr="000A25C0" w:rsidRDefault="00E4391E" w:rsidP="00D254D8">
      <w:pPr>
        <w:tabs>
          <w:tab w:val="left" w:pos="720"/>
        </w:tabs>
        <w:autoSpaceDE w:val="0"/>
        <w:autoSpaceDN w:val="0"/>
        <w:adjustRightInd w:val="0"/>
        <w:rPr>
          <w:b/>
          <w:bCs/>
        </w:rPr>
      </w:pPr>
      <w:r w:rsidRPr="000A25C0">
        <w:rPr>
          <w:b/>
          <w:bCs/>
        </w:rPr>
        <w:t xml:space="preserve">8. </w:t>
      </w:r>
      <w:r w:rsidRPr="000A25C0">
        <w:rPr>
          <w:b/>
          <w:bCs/>
          <w:u w:val="single"/>
        </w:rPr>
        <w:t>Consultation Outside of the Agency</w:t>
      </w:r>
    </w:p>
    <w:p w:rsidR="00E4391E" w:rsidRDefault="00E4391E" w:rsidP="001674FF">
      <w:pPr>
        <w:pStyle w:val="NormalSS"/>
        <w:ind w:firstLine="0"/>
        <w:jc w:val="left"/>
      </w:pPr>
      <w:bookmarkStart w:id="0" w:name="_Toc132018166"/>
      <w:bookmarkStart w:id="1" w:name="_Toc132433362"/>
      <w:bookmarkStart w:id="2" w:name="_Toc133208879"/>
      <w:r w:rsidRPr="00E10A92">
        <w:t xml:space="preserve">The notice required by 5 CFR 1320.8(d) was published in the </w:t>
      </w:r>
      <w:r w:rsidRPr="00E10A92">
        <w:rPr>
          <w:i/>
        </w:rPr>
        <w:t>Federal Register</w:t>
      </w:r>
      <w:r w:rsidRPr="00E10A92">
        <w:t xml:space="preserve"> on</w:t>
      </w:r>
      <w:bookmarkEnd w:id="0"/>
      <w:bookmarkEnd w:id="1"/>
      <w:bookmarkEnd w:id="2"/>
      <w:r w:rsidRPr="00E10A92">
        <w:rPr>
          <w:color w:val="FF0000"/>
        </w:rPr>
        <w:t xml:space="preserve"> </w:t>
      </w:r>
      <w:r w:rsidRPr="00E10A92">
        <w:t xml:space="preserve">August 26, 2010, </w:t>
      </w:r>
      <w:r>
        <w:t>Volume 75, Number 165,</w:t>
      </w:r>
      <w:r w:rsidRPr="00E10A92">
        <w:t xml:space="preserve"> and pages 52533 – 52534.</w:t>
      </w:r>
      <w:r>
        <w:t xml:space="preserve"> The 30-day </w:t>
      </w:r>
      <w:r w:rsidRPr="0035780C">
        <w:rPr>
          <w:i/>
        </w:rPr>
        <w:t>Federal Register</w:t>
      </w:r>
      <w:r>
        <w:t xml:space="preserve"> notice was published on April 14, 2011, Volume 76, Number 72, page 20993.  No comments were received. </w:t>
      </w:r>
      <w:bookmarkStart w:id="3" w:name="resolved"/>
      <w:bookmarkEnd w:id="3"/>
    </w:p>
    <w:p w:rsidR="00E4391E" w:rsidRDefault="00E4391E" w:rsidP="001674FF">
      <w:pPr>
        <w:pStyle w:val="NormalSS"/>
        <w:ind w:firstLine="0"/>
        <w:jc w:val="left"/>
      </w:pPr>
    </w:p>
    <w:p w:rsidR="00E4391E" w:rsidRPr="0019779B" w:rsidRDefault="00E4391E" w:rsidP="00F46617">
      <w:pPr>
        <w:numPr>
          <w:ilvl w:val="0"/>
          <w:numId w:val="10"/>
        </w:numPr>
        <w:rPr>
          <w:b/>
          <w:i/>
        </w:rPr>
      </w:pPr>
      <w:r w:rsidRPr="0019779B">
        <w:rPr>
          <w:b/>
          <w:i/>
        </w:rPr>
        <w:t xml:space="preserve">Sickle Cell Disease and Newborn Screening Program (SCDNBSP) </w:t>
      </w:r>
    </w:p>
    <w:p w:rsidR="00E4391E" w:rsidRDefault="00E4391E" w:rsidP="0019779B">
      <w:pPr>
        <w:pStyle w:val="NormalSS"/>
        <w:ind w:firstLine="0"/>
        <w:jc w:val="left"/>
      </w:pPr>
      <w:r>
        <w:t xml:space="preserve">The National Coordinating and Evaluation Center convened an Advisory Panel of grantees and NCEC Task Leaders to ensure that the data collection for the SCDNBSP would be relevant and appropriate with minimum burden to the patients and the programs administering the data collection forms. A roster of members of the Advisory Panel is presented below in </w:t>
      </w:r>
      <w:r w:rsidRPr="00676B4E">
        <w:t xml:space="preserve">Table 1. </w:t>
      </w:r>
      <w:r>
        <w:t xml:space="preserve">The panel revised and adapted existing data collection tools to create the </w:t>
      </w:r>
      <w:r w:rsidRPr="0039681C">
        <w:rPr>
          <w:szCs w:val="28"/>
        </w:rPr>
        <w:t>Minimum Database Project Sickle Cell Disease (MDP SCD) Questionnaire,</w:t>
      </w:r>
      <w:r>
        <w:t xml:space="preserve"> and </w:t>
      </w:r>
      <w:r w:rsidRPr="0039681C">
        <w:rPr>
          <w:szCs w:val="28"/>
        </w:rPr>
        <w:t>the Minimum Database Project Sickle Cell Trait/Carrier</w:t>
      </w:r>
      <w:r>
        <w:rPr>
          <w:szCs w:val="28"/>
        </w:rPr>
        <w:t xml:space="preserve"> (MDP SCT) Questionnaire.</w:t>
      </w:r>
    </w:p>
    <w:p w:rsidR="00E4391E" w:rsidRDefault="00E4391E" w:rsidP="00D254D8">
      <w:pPr>
        <w:pStyle w:val="NormalSS"/>
        <w:spacing w:line="276" w:lineRule="auto"/>
        <w:ind w:firstLine="0"/>
        <w:jc w:val="left"/>
      </w:pPr>
    </w:p>
    <w:tbl>
      <w:tblPr>
        <w:tblW w:w="10665" w:type="dxa"/>
        <w:jc w:val="center"/>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40"/>
        <w:gridCol w:w="2029"/>
        <w:gridCol w:w="1706"/>
        <w:gridCol w:w="1620"/>
        <w:gridCol w:w="2948"/>
        <w:gridCol w:w="22"/>
      </w:tblGrid>
      <w:tr w:rsidR="00E4391E" w:rsidRPr="00295116" w:rsidTr="0035780C">
        <w:trPr>
          <w:gridAfter w:val="1"/>
          <w:wAfter w:w="22" w:type="dxa"/>
          <w:jc w:val="center"/>
        </w:trPr>
        <w:tc>
          <w:tcPr>
            <w:tcW w:w="10643" w:type="dxa"/>
            <w:gridSpan w:val="5"/>
          </w:tcPr>
          <w:p w:rsidR="00E4391E" w:rsidRPr="00295116" w:rsidRDefault="00E4391E" w:rsidP="00D254D8">
            <w:pPr>
              <w:pStyle w:val="NoSpacing"/>
              <w:spacing w:line="276" w:lineRule="auto"/>
              <w:rPr>
                <w:b/>
                <w:sz w:val="22"/>
                <w:szCs w:val="22"/>
              </w:rPr>
            </w:pPr>
            <w:r w:rsidRPr="00295116">
              <w:rPr>
                <w:b/>
                <w:sz w:val="22"/>
                <w:szCs w:val="22"/>
              </w:rPr>
              <w:t>Table 1. SCDNBSP Advisory Panel</w:t>
            </w:r>
          </w:p>
        </w:tc>
      </w:tr>
      <w:tr w:rsidR="00E4391E" w:rsidRPr="00295116" w:rsidTr="0035780C">
        <w:trPr>
          <w:jc w:val="center"/>
        </w:trPr>
        <w:tc>
          <w:tcPr>
            <w:tcW w:w="2340" w:type="dxa"/>
          </w:tcPr>
          <w:p w:rsidR="00E4391E" w:rsidRPr="00295116" w:rsidRDefault="00E4391E" w:rsidP="00D254D8">
            <w:pPr>
              <w:pStyle w:val="NoSpacing"/>
              <w:spacing w:line="276" w:lineRule="auto"/>
              <w:rPr>
                <w:b/>
                <w:sz w:val="22"/>
                <w:szCs w:val="22"/>
              </w:rPr>
            </w:pPr>
            <w:r w:rsidRPr="00295116">
              <w:rPr>
                <w:b/>
                <w:sz w:val="22"/>
                <w:szCs w:val="22"/>
              </w:rPr>
              <w:t>Organization</w:t>
            </w:r>
          </w:p>
        </w:tc>
        <w:tc>
          <w:tcPr>
            <w:tcW w:w="2029" w:type="dxa"/>
          </w:tcPr>
          <w:p w:rsidR="00E4391E" w:rsidRPr="00295116" w:rsidRDefault="00E4391E" w:rsidP="00D254D8">
            <w:pPr>
              <w:pStyle w:val="NoSpacing"/>
              <w:spacing w:line="276" w:lineRule="auto"/>
              <w:rPr>
                <w:b/>
                <w:sz w:val="22"/>
                <w:szCs w:val="22"/>
              </w:rPr>
            </w:pPr>
            <w:r w:rsidRPr="00295116">
              <w:rPr>
                <w:b/>
                <w:sz w:val="22"/>
                <w:szCs w:val="22"/>
              </w:rPr>
              <w:t>Contact Name</w:t>
            </w:r>
          </w:p>
        </w:tc>
        <w:tc>
          <w:tcPr>
            <w:tcW w:w="1706" w:type="dxa"/>
          </w:tcPr>
          <w:p w:rsidR="00E4391E" w:rsidRPr="00295116" w:rsidRDefault="00E4391E" w:rsidP="00D254D8">
            <w:pPr>
              <w:pStyle w:val="NoSpacing"/>
              <w:spacing w:line="276" w:lineRule="auto"/>
              <w:rPr>
                <w:b/>
                <w:sz w:val="22"/>
                <w:szCs w:val="22"/>
              </w:rPr>
            </w:pPr>
            <w:r w:rsidRPr="00295116">
              <w:rPr>
                <w:b/>
                <w:sz w:val="22"/>
                <w:szCs w:val="22"/>
              </w:rPr>
              <w:t>Role</w:t>
            </w:r>
          </w:p>
        </w:tc>
        <w:tc>
          <w:tcPr>
            <w:tcW w:w="1620" w:type="dxa"/>
          </w:tcPr>
          <w:p w:rsidR="00E4391E" w:rsidRPr="00295116" w:rsidRDefault="00E4391E" w:rsidP="00D254D8">
            <w:pPr>
              <w:pStyle w:val="NoSpacing"/>
              <w:spacing w:line="276" w:lineRule="auto"/>
              <w:rPr>
                <w:b/>
                <w:sz w:val="22"/>
                <w:szCs w:val="22"/>
              </w:rPr>
            </w:pPr>
            <w:r w:rsidRPr="00295116">
              <w:rPr>
                <w:b/>
                <w:sz w:val="22"/>
                <w:szCs w:val="22"/>
              </w:rPr>
              <w:t>Phone Number</w:t>
            </w:r>
          </w:p>
        </w:tc>
        <w:tc>
          <w:tcPr>
            <w:tcW w:w="2970" w:type="dxa"/>
            <w:gridSpan w:val="2"/>
          </w:tcPr>
          <w:p w:rsidR="00E4391E" w:rsidRPr="00295116" w:rsidRDefault="00E4391E" w:rsidP="00D254D8">
            <w:pPr>
              <w:pStyle w:val="NoSpacing"/>
              <w:spacing w:line="276" w:lineRule="auto"/>
              <w:rPr>
                <w:b/>
                <w:sz w:val="22"/>
                <w:szCs w:val="22"/>
              </w:rPr>
            </w:pPr>
            <w:r w:rsidRPr="00295116">
              <w:rPr>
                <w:b/>
                <w:sz w:val="22"/>
                <w:szCs w:val="22"/>
              </w:rPr>
              <w:t>Email</w:t>
            </w:r>
          </w:p>
        </w:tc>
      </w:tr>
      <w:tr w:rsidR="00E4391E" w:rsidRPr="00295116" w:rsidTr="0035780C">
        <w:trPr>
          <w:gridAfter w:val="1"/>
          <w:wAfter w:w="22" w:type="dxa"/>
          <w:trHeight w:val="845"/>
          <w:jc w:val="center"/>
        </w:trPr>
        <w:tc>
          <w:tcPr>
            <w:tcW w:w="2340" w:type="dxa"/>
          </w:tcPr>
          <w:p w:rsidR="00E4391E" w:rsidRPr="00295116" w:rsidRDefault="00E4391E" w:rsidP="00676B4E">
            <w:pPr>
              <w:pStyle w:val="NoSpacing"/>
              <w:spacing w:line="276" w:lineRule="auto"/>
              <w:rPr>
                <w:sz w:val="22"/>
                <w:szCs w:val="22"/>
              </w:rPr>
            </w:pPr>
            <w:r w:rsidRPr="00295116">
              <w:rPr>
                <w:sz w:val="22"/>
                <w:szCs w:val="22"/>
              </w:rPr>
              <w:t>Brookdale Children's Hospital</w:t>
            </w:r>
          </w:p>
        </w:tc>
        <w:tc>
          <w:tcPr>
            <w:tcW w:w="2029" w:type="dxa"/>
          </w:tcPr>
          <w:p w:rsidR="00E4391E" w:rsidRPr="00295116" w:rsidRDefault="00E4391E" w:rsidP="00D254D8">
            <w:pPr>
              <w:pStyle w:val="NoSpacing"/>
              <w:spacing w:line="276" w:lineRule="auto"/>
              <w:rPr>
                <w:sz w:val="22"/>
                <w:szCs w:val="22"/>
              </w:rPr>
            </w:pPr>
            <w:r w:rsidRPr="00295116">
              <w:rPr>
                <w:sz w:val="22"/>
                <w:szCs w:val="22"/>
              </w:rPr>
              <w:t>Kusum Viswanathan, MD</w:t>
            </w:r>
          </w:p>
        </w:tc>
        <w:tc>
          <w:tcPr>
            <w:tcW w:w="1706" w:type="dxa"/>
          </w:tcPr>
          <w:p w:rsidR="00E4391E" w:rsidRPr="00295116" w:rsidRDefault="00E4391E" w:rsidP="00D254D8">
            <w:pPr>
              <w:pStyle w:val="NoSpacing"/>
              <w:spacing w:line="276" w:lineRule="auto"/>
              <w:rPr>
                <w:sz w:val="22"/>
                <w:szCs w:val="22"/>
              </w:rPr>
            </w:pPr>
            <w:r w:rsidRPr="00295116">
              <w:rPr>
                <w:sz w:val="22"/>
                <w:szCs w:val="22"/>
              </w:rPr>
              <w:t>Principal Investigator</w:t>
            </w:r>
            <w:r w:rsidRPr="00295116" w:rsidDel="0074107C">
              <w:rPr>
                <w:sz w:val="22"/>
                <w:szCs w:val="22"/>
              </w:rPr>
              <w:t xml:space="preserve"> </w:t>
            </w:r>
          </w:p>
        </w:tc>
        <w:tc>
          <w:tcPr>
            <w:tcW w:w="1620" w:type="dxa"/>
          </w:tcPr>
          <w:p w:rsidR="00E4391E" w:rsidRPr="00295116" w:rsidRDefault="00E4391E" w:rsidP="00D254D8">
            <w:pPr>
              <w:pStyle w:val="NoSpacing"/>
              <w:spacing w:line="276" w:lineRule="auto"/>
              <w:rPr>
                <w:sz w:val="22"/>
                <w:szCs w:val="22"/>
              </w:rPr>
            </w:pPr>
            <w:r w:rsidRPr="00295116">
              <w:rPr>
                <w:sz w:val="22"/>
                <w:szCs w:val="22"/>
              </w:rPr>
              <w:t>(718) 240-5904</w:t>
            </w:r>
          </w:p>
        </w:tc>
        <w:tc>
          <w:tcPr>
            <w:tcW w:w="2948" w:type="dxa"/>
          </w:tcPr>
          <w:p w:rsidR="00E4391E" w:rsidRPr="00295116" w:rsidRDefault="00424A3B" w:rsidP="00D254D8">
            <w:pPr>
              <w:pStyle w:val="NoSpacing"/>
              <w:spacing w:line="276" w:lineRule="auto"/>
              <w:rPr>
                <w:sz w:val="22"/>
                <w:szCs w:val="22"/>
              </w:rPr>
            </w:pPr>
            <w:hyperlink r:id="rId7" w:history="1">
              <w:r w:rsidR="00E4391E" w:rsidRPr="00295116">
                <w:rPr>
                  <w:sz w:val="22"/>
                  <w:szCs w:val="22"/>
                  <w:u w:val="single"/>
                </w:rPr>
                <w:t>Kviswana@brookdale.edu</w:t>
              </w:r>
            </w:hyperlink>
          </w:p>
        </w:tc>
      </w:tr>
      <w:tr w:rsidR="00E4391E" w:rsidRPr="00295116" w:rsidTr="0035780C">
        <w:trPr>
          <w:gridAfter w:val="1"/>
          <w:wAfter w:w="22" w:type="dxa"/>
          <w:jc w:val="center"/>
        </w:trPr>
        <w:tc>
          <w:tcPr>
            <w:tcW w:w="2340" w:type="dxa"/>
          </w:tcPr>
          <w:p w:rsidR="00E4391E" w:rsidRPr="00295116" w:rsidRDefault="00E4391E" w:rsidP="00D254D8">
            <w:pPr>
              <w:pStyle w:val="NoSpacing"/>
              <w:spacing w:line="276" w:lineRule="auto"/>
              <w:rPr>
                <w:sz w:val="22"/>
                <w:szCs w:val="22"/>
              </w:rPr>
            </w:pPr>
            <w:r w:rsidRPr="00295116">
              <w:rPr>
                <w:sz w:val="22"/>
                <w:szCs w:val="22"/>
              </w:rPr>
              <w:t>St. Jude Children's Research Hospital</w:t>
            </w:r>
            <w:r w:rsidRPr="00295116" w:rsidDel="00AE1A60">
              <w:rPr>
                <w:sz w:val="22"/>
                <w:szCs w:val="22"/>
              </w:rPr>
              <w:t xml:space="preserve"> </w:t>
            </w:r>
          </w:p>
        </w:tc>
        <w:tc>
          <w:tcPr>
            <w:tcW w:w="2029" w:type="dxa"/>
          </w:tcPr>
          <w:p w:rsidR="00E4391E" w:rsidRPr="00295116" w:rsidRDefault="00E4391E" w:rsidP="00D254D8">
            <w:pPr>
              <w:pStyle w:val="NoSpacing"/>
              <w:spacing w:line="276" w:lineRule="auto"/>
              <w:rPr>
                <w:color w:val="000000"/>
                <w:sz w:val="22"/>
                <w:szCs w:val="22"/>
              </w:rPr>
            </w:pPr>
            <w:r w:rsidRPr="00295116">
              <w:rPr>
                <w:color w:val="000000"/>
                <w:sz w:val="22"/>
                <w:szCs w:val="22"/>
              </w:rPr>
              <w:t>Yvonne Carroll, RN, JD</w:t>
            </w:r>
          </w:p>
        </w:tc>
        <w:tc>
          <w:tcPr>
            <w:tcW w:w="1706" w:type="dxa"/>
          </w:tcPr>
          <w:p w:rsidR="00E4391E" w:rsidRPr="00295116" w:rsidRDefault="00E4391E" w:rsidP="00D254D8">
            <w:pPr>
              <w:pStyle w:val="NoSpacing"/>
              <w:spacing w:line="276" w:lineRule="auto"/>
              <w:rPr>
                <w:sz w:val="22"/>
                <w:szCs w:val="22"/>
              </w:rPr>
            </w:pPr>
            <w:r w:rsidRPr="00295116">
              <w:rPr>
                <w:sz w:val="22"/>
                <w:szCs w:val="22"/>
              </w:rPr>
              <w:t>Director, Patient Services</w:t>
            </w:r>
          </w:p>
        </w:tc>
        <w:tc>
          <w:tcPr>
            <w:tcW w:w="1620" w:type="dxa"/>
          </w:tcPr>
          <w:p w:rsidR="00E4391E" w:rsidRPr="00295116" w:rsidRDefault="00E4391E" w:rsidP="00D254D8">
            <w:pPr>
              <w:pStyle w:val="NoSpacing"/>
              <w:spacing w:line="276" w:lineRule="auto"/>
              <w:rPr>
                <w:color w:val="000000"/>
                <w:sz w:val="22"/>
                <w:szCs w:val="22"/>
              </w:rPr>
            </w:pPr>
            <w:r w:rsidRPr="00295116">
              <w:rPr>
                <w:color w:val="000000"/>
                <w:sz w:val="22"/>
                <w:szCs w:val="22"/>
              </w:rPr>
              <w:t>(901) 595-5684</w:t>
            </w:r>
          </w:p>
        </w:tc>
        <w:tc>
          <w:tcPr>
            <w:tcW w:w="2948" w:type="dxa"/>
          </w:tcPr>
          <w:p w:rsidR="00E4391E" w:rsidRPr="00295116" w:rsidRDefault="00424A3B" w:rsidP="00D254D8">
            <w:pPr>
              <w:pStyle w:val="NoSpacing"/>
              <w:spacing w:line="276" w:lineRule="auto"/>
              <w:rPr>
                <w:color w:val="0000FF"/>
                <w:sz w:val="22"/>
                <w:szCs w:val="22"/>
                <w:u w:val="single"/>
              </w:rPr>
            </w:pPr>
            <w:hyperlink r:id="rId8" w:history="1">
              <w:r w:rsidR="00E4391E" w:rsidRPr="00295116">
                <w:rPr>
                  <w:color w:val="0000FF"/>
                  <w:sz w:val="22"/>
                  <w:szCs w:val="22"/>
                  <w:u w:val="single"/>
                </w:rPr>
                <w:t>yvonne.carroll@stjude.org</w:t>
              </w:r>
            </w:hyperlink>
          </w:p>
        </w:tc>
      </w:tr>
      <w:tr w:rsidR="00E4391E" w:rsidRPr="00295116" w:rsidTr="0035780C">
        <w:trPr>
          <w:gridAfter w:val="1"/>
          <w:wAfter w:w="22" w:type="dxa"/>
          <w:jc w:val="center"/>
        </w:trPr>
        <w:tc>
          <w:tcPr>
            <w:tcW w:w="2340" w:type="dxa"/>
          </w:tcPr>
          <w:p w:rsidR="00E4391E" w:rsidRPr="00295116" w:rsidRDefault="00E4391E" w:rsidP="00D254D8">
            <w:pPr>
              <w:pStyle w:val="NoSpacing"/>
              <w:spacing w:line="276" w:lineRule="auto"/>
              <w:rPr>
                <w:sz w:val="22"/>
                <w:szCs w:val="22"/>
              </w:rPr>
            </w:pPr>
            <w:r w:rsidRPr="00295116">
              <w:rPr>
                <w:color w:val="000000"/>
                <w:sz w:val="22"/>
                <w:szCs w:val="22"/>
              </w:rPr>
              <w:t>SCDAA, Mobile Chapter</w:t>
            </w:r>
          </w:p>
        </w:tc>
        <w:tc>
          <w:tcPr>
            <w:tcW w:w="2029" w:type="dxa"/>
          </w:tcPr>
          <w:p w:rsidR="00E4391E" w:rsidRPr="00295116" w:rsidRDefault="00E4391E" w:rsidP="00D254D8">
            <w:pPr>
              <w:pStyle w:val="NoSpacing"/>
              <w:spacing w:line="276" w:lineRule="auto"/>
              <w:rPr>
                <w:color w:val="000000"/>
                <w:sz w:val="22"/>
                <w:szCs w:val="22"/>
              </w:rPr>
            </w:pPr>
            <w:r w:rsidRPr="00295116">
              <w:rPr>
                <w:color w:val="000000"/>
                <w:sz w:val="22"/>
                <w:szCs w:val="22"/>
              </w:rPr>
              <w:t>Linda White Jones</w:t>
            </w:r>
          </w:p>
        </w:tc>
        <w:tc>
          <w:tcPr>
            <w:tcW w:w="1706" w:type="dxa"/>
          </w:tcPr>
          <w:p w:rsidR="00E4391E" w:rsidRPr="00295116" w:rsidRDefault="00E4391E" w:rsidP="00D254D8">
            <w:pPr>
              <w:pStyle w:val="NoSpacing"/>
              <w:spacing w:line="276" w:lineRule="auto"/>
              <w:rPr>
                <w:color w:val="000000"/>
                <w:sz w:val="22"/>
                <w:szCs w:val="22"/>
              </w:rPr>
            </w:pPr>
            <w:r w:rsidRPr="00295116">
              <w:rPr>
                <w:color w:val="000000"/>
                <w:sz w:val="22"/>
                <w:szCs w:val="22"/>
              </w:rPr>
              <w:t>Project Director</w:t>
            </w:r>
          </w:p>
        </w:tc>
        <w:tc>
          <w:tcPr>
            <w:tcW w:w="1620" w:type="dxa"/>
          </w:tcPr>
          <w:p w:rsidR="00E4391E" w:rsidRPr="00295116" w:rsidRDefault="00E4391E" w:rsidP="00D254D8">
            <w:pPr>
              <w:pStyle w:val="NoSpacing"/>
              <w:spacing w:line="276" w:lineRule="auto"/>
              <w:rPr>
                <w:color w:val="000000"/>
                <w:sz w:val="22"/>
                <w:szCs w:val="22"/>
              </w:rPr>
            </w:pPr>
            <w:r w:rsidRPr="00295116">
              <w:rPr>
                <w:color w:val="000000"/>
                <w:sz w:val="22"/>
                <w:szCs w:val="22"/>
              </w:rPr>
              <w:t>(251) 432-0301</w:t>
            </w:r>
          </w:p>
        </w:tc>
        <w:tc>
          <w:tcPr>
            <w:tcW w:w="2948" w:type="dxa"/>
          </w:tcPr>
          <w:p w:rsidR="00E4391E" w:rsidRPr="00295116" w:rsidRDefault="00424A3B" w:rsidP="00D254D8">
            <w:pPr>
              <w:pStyle w:val="NoSpacing"/>
              <w:spacing w:line="276" w:lineRule="auto"/>
              <w:rPr>
                <w:color w:val="0000FF"/>
                <w:sz w:val="22"/>
                <w:szCs w:val="22"/>
                <w:u w:val="single"/>
              </w:rPr>
            </w:pPr>
            <w:hyperlink r:id="rId9" w:history="1">
              <w:r w:rsidR="00E4391E" w:rsidRPr="00295116">
                <w:rPr>
                  <w:color w:val="0000FF"/>
                  <w:sz w:val="22"/>
                  <w:szCs w:val="22"/>
                  <w:u w:val="single"/>
                </w:rPr>
                <w:t>ljones@scdaamobile.org</w:t>
              </w:r>
            </w:hyperlink>
          </w:p>
        </w:tc>
      </w:tr>
      <w:tr w:rsidR="00E4391E" w:rsidRPr="00295116" w:rsidTr="0035780C">
        <w:trPr>
          <w:gridAfter w:val="1"/>
          <w:wAfter w:w="22" w:type="dxa"/>
          <w:jc w:val="center"/>
        </w:trPr>
        <w:tc>
          <w:tcPr>
            <w:tcW w:w="2340" w:type="dxa"/>
          </w:tcPr>
          <w:p w:rsidR="00E4391E" w:rsidRPr="00295116" w:rsidRDefault="00E4391E" w:rsidP="00D254D8">
            <w:pPr>
              <w:pStyle w:val="NoSpacing"/>
              <w:spacing w:line="276" w:lineRule="auto"/>
              <w:rPr>
                <w:sz w:val="22"/>
                <w:szCs w:val="22"/>
              </w:rPr>
            </w:pPr>
            <w:r w:rsidRPr="00295116">
              <w:rPr>
                <w:color w:val="000000"/>
                <w:sz w:val="22"/>
                <w:szCs w:val="22"/>
              </w:rPr>
              <w:t xml:space="preserve">Columbia University Medical Center </w:t>
            </w:r>
          </w:p>
        </w:tc>
        <w:tc>
          <w:tcPr>
            <w:tcW w:w="2029" w:type="dxa"/>
          </w:tcPr>
          <w:p w:rsidR="00E4391E" w:rsidRPr="00295116" w:rsidRDefault="00E4391E" w:rsidP="00D254D8">
            <w:pPr>
              <w:pStyle w:val="NoSpacing"/>
              <w:spacing w:line="276" w:lineRule="auto"/>
              <w:rPr>
                <w:color w:val="000000"/>
                <w:sz w:val="22"/>
                <w:szCs w:val="22"/>
              </w:rPr>
            </w:pPr>
            <w:r w:rsidRPr="00295116">
              <w:rPr>
                <w:color w:val="000000"/>
                <w:sz w:val="22"/>
                <w:szCs w:val="22"/>
              </w:rPr>
              <w:t>Nancy Green, MD</w:t>
            </w:r>
          </w:p>
        </w:tc>
        <w:tc>
          <w:tcPr>
            <w:tcW w:w="1706" w:type="dxa"/>
          </w:tcPr>
          <w:p w:rsidR="00E4391E" w:rsidRPr="00295116" w:rsidRDefault="00E4391E" w:rsidP="00D254D8">
            <w:pPr>
              <w:pStyle w:val="NoSpacing"/>
              <w:spacing w:line="276" w:lineRule="auto"/>
              <w:rPr>
                <w:color w:val="000000"/>
                <w:sz w:val="22"/>
                <w:szCs w:val="22"/>
              </w:rPr>
            </w:pPr>
            <w:r w:rsidRPr="00295116">
              <w:rPr>
                <w:color w:val="000000"/>
                <w:sz w:val="22"/>
                <w:szCs w:val="22"/>
              </w:rPr>
              <w:t>Principal Investigator</w:t>
            </w:r>
          </w:p>
        </w:tc>
        <w:tc>
          <w:tcPr>
            <w:tcW w:w="1620" w:type="dxa"/>
          </w:tcPr>
          <w:p w:rsidR="00E4391E" w:rsidRPr="00295116" w:rsidRDefault="00E4391E" w:rsidP="00D254D8">
            <w:pPr>
              <w:pStyle w:val="NoSpacing"/>
              <w:spacing w:line="276" w:lineRule="auto"/>
              <w:rPr>
                <w:color w:val="000000"/>
                <w:sz w:val="22"/>
                <w:szCs w:val="22"/>
              </w:rPr>
            </w:pPr>
            <w:r w:rsidRPr="00295116">
              <w:rPr>
                <w:color w:val="000000"/>
                <w:sz w:val="22"/>
                <w:szCs w:val="22"/>
              </w:rPr>
              <w:t>(212) 305-0494</w:t>
            </w:r>
          </w:p>
        </w:tc>
        <w:tc>
          <w:tcPr>
            <w:tcW w:w="2948" w:type="dxa"/>
          </w:tcPr>
          <w:p w:rsidR="00E4391E" w:rsidRPr="00295116" w:rsidRDefault="00424A3B" w:rsidP="00D254D8">
            <w:pPr>
              <w:pStyle w:val="NoSpacing"/>
              <w:spacing w:line="276" w:lineRule="auto"/>
              <w:rPr>
                <w:color w:val="0000FF"/>
                <w:sz w:val="22"/>
                <w:szCs w:val="22"/>
                <w:u w:val="single"/>
              </w:rPr>
            </w:pPr>
            <w:hyperlink r:id="rId10" w:history="1">
              <w:r w:rsidR="00E4391E" w:rsidRPr="00295116">
                <w:rPr>
                  <w:color w:val="0000FF"/>
                  <w:sz w:val="22"/>
                  <w:szCs w:val="22"/>
                  <w:u w:val="single"/>
                </w:rPr>
                <w:t>nsg11@columbia.edu</w:t>
              </w:r>
            </w:hyperlink>
          </w:p>
        </w:tc>
      </w:tr>
      <w:tr w:rsidR="00E4391E" w:rsidRPr="00295116" w:rsidTr="0035780C">
        <w:trPr>
          <w:gridAfter w:val="1"/>
          <w:wAfter w:w="22" w:type="dxa"/>
          <w:jc w:val="center"/>
        </w:trPr>
        <w:tc>
          <w:tcPr>
            <w:tcW w:w="2340" w:type="dxa"/>
          </w:tcPr>
          <w:p w:rsidR="00E4391E" w:rsidRPr="00295116" w:rsidRDefault="00E4391E" w:rsidP="00D254D8">
            <w:pPr>
              <w:pStyle w:val="NoSpacing"/>
              <w:spacing w:line="276" w:lineRule="auto"/>
              <w:rPr>
                <w:sz w:val="22"/>
                <w:szCs w:val="22"/>
              </w:rPr>
            </w:pPr>
            <w:r w:rsidRPr="00295116">
              <w:rPr>
                <w:color w:val="000000"/>
                <w:sz w:val="22"/>
                <w:szCs w:val="22"/>
              </w:rPr>
              <w:lastRenderedPageBreak/>
              <w:t xml:space="preserve">Sickle Cell Disease Foundation of Georgia </w:t>
            </w:r>
          </w:p>
        </w:tc>
        <w:tc>
          <w:tcPr>
            <w:tcW w:w="2029" w:type="dxa"/>
          </w:tcPr>
          <w:p w:rsidR="00E4391E" w:rsidRPr="00295116" w:rsidRDefault="00E4391E" w:rsidP="00D254D8">
            <w:pPr>
              <w:pStyle w:val="NoSpacing"/>
              <w:spacing w:line="276" w:lineRule="auto"/>
              <w:rPr>
                <w:color w:val="000000"/>
                <w:sz w:val="22"/>
                <w:szCs w:val="22"/>
              </w:rPr>
            </w:pPr>
            <w:r w:rsidRPr="00295116">
              <w:rPr>
                <w:color w:val="000000"/>
                <w:sz w:val="22"/>
                <w:szCs w:val="22"/>
              </w:rPr>
              <w:t>Janeth Spurlin</w:t>
            </w:r>
          </w:p>
        </w:tc>
        <w:tc>
          <w:tcPr>
            <w:tcW w:w="1706" w:type="dxa"/>
          </w:tcPr>
          <w:p w:rsidR="00E4391E" w:rsidRPr="00295116" w:rsidRDefault="00E4391E" w:rsidP="00D254D8">
            <w:pPr>
              <w:pStyle w:val="NoSpacing"/>
              <w:spacing w:line="276" w:lineRule="auto"/>
              <w:rPr>
                <w:color w:val="000000"/>
                <w:sz w:val="22"/>
                <w:szCs w:val="22"/>
              </w:rPr>
            </w:pPr>
            <w:r w:rsidRPr="00295116">
              <w:rPr>
                <w:color w:val="000000"/>
                <w:sz w:val="22"/>
                <w:szCs w:val="22"/>
              </w:rPr>
              <w:t>Patient Coordinator</w:t>
            </w:r>
          </w:p>
        </w:tc>
        <w:tc>
          <w:tcPr>
            <w:tcW w:w="1620" w:type="dxa"/>
          </w:tcPr>
          <w:p w:rsidR="00E4391E" w:rsidRPr="00295116" w:rsidRDefault="00E4391E" w:rsidP="00E773E4">
            <w:pPr>
              <w:pStyle w:val="NoSpacing"/>
              <w:spacing w:line="276" w:lineRule="auto"/>
              <w:rPr>
                <w:color w:val="000000"/>
                <w:sz w:val="22"/>
                <w:szCs w:val="22"/>
              </w:rPr>
            </w:pPr>
            <w:r w:rsidRPr="00295116">
              <w:rPr>
                <w:color w:val="000000"/>
                <w:sz w:val="22"/>
                <w:szCs w:val="22"/>
              </w:rPr>
              <w:t xml:space="preserve">(404) 755-1641 </w:t>
            </w:r>
            <w:r>
              <w:rPr>
                <w:color w:val="000000"/>
                <w:sz w:val="22"/>
                <w:szCs w:val="22"/>
              </w:rPr>
              <w:t>e</w:t>
            </w:r>
            <w:r w:rsidRPr="00295116">
              <w:rPr>
                <w:color w:val="000000"/>
                <w:sz w:val="22"/>
                <w:szCs w:val="22"/>
              </w:rPr>
              <w:t>x</w:t>
            </w:r>
            <w:r>
              <w:rPr>
                <w:color w:val="000000"/>
                <w:sz w:val="22"/>
                <w:szCs w:val="22"/>
              </w:rPr>
              <w:t xml:space="preserve">t. </w:t>
            </w:r>
            <w:r w:rsidRPr="00295116">
              <w:rPr>
                <w:color w:val="000000"/>
                <w:sz w:val="22"/>
                <w:szCs w:val="22"/>
              </w:rPr>
              <w:t>212</w:t>
            </w:r>
          </w:p>
        </w:tc>
        <w:tc>
          <w:tcPr>
            <w:tcW w:w="2948" w:type="dxa"/>
          </w:tcPr>
          <w:p w:rsidR="00E4391E" w:rsidRPr="00295116" w:rsidRDefault="00424A3B" w:rsidP="00D254D8">
            <w:pPr>
              <w:pStyle w:val="NoSpacing"/>
              <w:spacing w:line="276" w:lineRule="auto"/>
              <w:rPr>
                <w:color w:val="0000FF"/>
                <w:sz w:val="22"/>
                <w:szCs w:val="22"/>
                <w:u w:val="single"/>
              </w:rPr>
            </w:pPr>
            <w:hyperlink r:id="rId11" w:history="1">
              <w:r w:rsidR="00E4391E" w:rsidRPr="00295116">
                <w:rPr>
                  <w:color w:val="0000FF"/>
                  <w:sz w:val="22"/>
                  <w:szCs w:val="22"/>
                  <w:u w:val="single"/>
                </w:rPr>
                <w:t>j_spurlin@sicklecellatlaga.org</w:t>
              </w:r>
            </w:hyperlink>
          </w:p>
        </w:tc>
      </w:tr>
      <w:tr w:rsidR="00E4391E" w:rsidRPr="00295116" w:rsidTr="0035780C">
        <w:trPr>
          <w:gridAfter w:val="1"/>
          <w:wAfter w:w="22" w:type="dxa"/>
          <w:trHeight w:val="737"/>
          <w:jc w:val="center"/>
        </w:trPr>
        <w:tc>
          <w:tcPr>
            <w:tcW w:w="2340" w:type="dxa"/>
          </w:tcPr>
          <w:p w:rsidR="00E4391E" w:rsidRPr="00295116" w:rsidRDefault="00E4391E" w:rsidP="00D254D8">
            <w:pPr>
              <w:pStyle w:val="NoSpacing"/>
              <w:spacing w:line="276" w:lineRule="auto"/>
              <w:rPr>
                <w:color w:val="000000"/>
                <w:sz w:val="22"/>
                <w:szCs w:val="22"/>
              </w:rPr>
            </w:pPr>
            <w:r w:rsidRPr="00295116">
              <w:rPr>
                <w:color w:val="000000"/>
                <w:sz w:val="22"/>
                <w:szCs w:val="22"/>
              </w:rPr>
              <w:t>University of North Carolina at Greensboro</w:t>
            </w:r>
            <w:r w:rsidRPr="00295116" w:rsidDel="0074107C">
              <w:rPr>
                <w:color w:val="000000"/>
                <w:sz w:val="22"/>
                <w:szCs w:val="22"/>
              </w:rPr>
              <w:t xml:space="preserve"> </w:t>
            </w:r>
          </w:p>
          <w:p w:rsidR="00E4391E" w:rsidRPr="00295116" w:rsidRDefault="00E4391E" w:rsidP="00D254D8">
            <w:pPr>
              <w:pStyle w:val="NoSpacing"/>
              <w:spacing w:line="276" w:lineRule="auto"/>
              <w:rPr>
                <w:sz w:val="22"/>
                <w:szCs w:val="22"/>
              </w:rPr>
            </w:pPr>
          </w:p>
        </w:tc>
        <w:tc>
          <w:tcPr>
            <w:tcW w:w="2029" w:type="dxa"/>
          </w:tcPr>
          <w:p w:rsidR="00E4391E" w:rsidRPr="00295116" w:rsidRDefault="00E4391E" w:rsidP="00D254D8">
            <w:pPr>
              <w:pStyle w:val="NoSpacing"/>
              <w:spacing w:line="276" w:lineRule="auto"/>
              <w:rPr>
                <w:color w:val="000000"/>
                <w:sz w:val="22"/>
                <w:szCs w:val="22"/>
              </w:rPr>
            </w:pPr>
            <w:r w:rsidRPr="00295116">
              <w:rPr>
                <w:color w:val="000000"/>
                <w:sz w:val="22"/>
                <w:szCs w:val="22"/>
              </w:rPr>
              <w:t xml:space="preserve">Joseph Telfair, DrPH </w:t>
            </w:r>
          </w:p>
        </w:tc>
        <w:tc>
          <w:tcPr>
            <w:tcW w:w="1706" w:type="dxa"/>
          </w:tcPr>
          <w:p w:rsidR="00E4391E" w:rsidRPr="00295116" w:rsidRDefault="00E4391E" w:rsidP="00D254D8">
            <w:pPr>
              <w:pStyle w:val="NoSpacing"/>
              <w:spacing w:line="276" w:lineRule="auto"/>
              <w:rPr>
                <w:color w:val="000000"/>
                <w:sz w:val="22"/>
                <w:szCs w:val="22"/>
              </w:rPr>
            </w:pPr>
            <w:r w:rsidRPr="00295116">
              <w:rPr>
                <w:color w:val="000000"/>
                <w:sz w:val="22"/>
                <w:szCs w:val="22"/>
              </w:rPr>
              <w:t>Project Director</w:t>
            </w:r>
          </w:p>
        </w:tc>
        <w:tc>
          <w:tcPr>
            <w:tcW w:w="1620" w:type="dxa"/>
          </w:tcPr>
          <w:p w:rsidR="00E4391E" w:rsidRPr="00295116" w:rsidRDefault="00E4391E" w:rsidP="00D254D8">
            <w:pPr>
              <w:pStyle w:val="NoSpacing"/>
              <w:spacing w:line="276" w:lineRule="auto"/>
              <w:rPr>
                <w:color w:val="000000"/>
                <w:sz w:val="22"/>
                <w:szCs w:val="22"/>
              </w:rPr>
            </w:pPr>
            <w:r w:rsidRPr="00295116">
              <w:rPr>
                <w:color w:val="000000"/>
                <w:sz w:val="22"/>
                <w:szCs w:val="22"/>
              </w:rPr>
              <w:t>(336) 334-4777</w:t>
            </w:r>
          </w:p>
        </w:tc>
        <w:tc>
          <w:tcPr>
            <w:tcW w:w="2948" w:type="dxa"/>
          </w:tcPr>
          <w:p w:rsidR="00E4391E" w:rsidRPr="00295116" w:rsidRDefault="00424A3B" w:rsidP="00D254D8">
            <w:pPr>
              <w:pStyle w:val="NoSpacing"/>
              <w:spacing w:line="276" w:lineRule="auto"/>
              <w:rPr>
                <w:color w:val="0000FF"/>
                <w:sz w:val="22"/>
                <w:szCs w:val="22"/>
                <w:u w:val="single"/>
              </w:rPr>
            </w:pPr>
            <w:hyperlink r:id="rId12" w:history="1">
              <w:r w:rsidR="00E4391E" w:rsidRPr="00295116">
                <w:rPr>
                  <w:color w:val="0000FF"/>
                  <w:sz w:val="22"/>
                  <w:szCs w:val="22"/>
                  <w:u w:val="single"/>
                </w:rPr>
                <w:t>j_telfair@uncg.edu</w:t>
              </w:r>
            </w:hyperlink>
          </w:p>
        </w:tc>
      </w:tr>
    </w:tbl>
    <w:p w:rsidR="00E4391E" w:rsidRDefault="00E4391E" w:rsidP="00676B4E">
      <w:pPr>
        <w:ind w:left="1080"/>
        <w:rPr>
          <w:b/>
          <w:i/>
        </w:rPr>
      </w:pPr>
    </w:p>
    <w:p w:rsidR="00E4391E" w:rsidRDefault="00E4391E" w:rsidP="00676B4E">
      <w:pPr>
        <w:ind w:left="1080"/>
        <w:rPr>
          <w:b/>
          <w:i/>
        </w:rPr>
      </w:pPr>
    </w:p>
    <w:p w:rsidR="00E4391E" w:rsidRPr="00451926" w:rsidRDefault="00E4391E" w:rsidP="0010580B">
      <w:pPr>
        <w:numPr>
          <w:ilvl w:val="0"/>
          <w:numId w:val="10"/>
        </w:numPr>
        <w:autoSpaceDE w:val="0"/>
        <w:autoSpaceDN w:val="0"/>
        <w:adjustRightInd w:val="0"/>
        <w:spacing w:line="240" w:lineRule="auto"/>
      </w:pPr>
      <w:r w:rsidRPr="00451926">
        <w:rPr>
          <w:b/>
          <w:i/>
        </w:rPr>
        <w:t xml:space="preserve">Sickle Cell Disease Treatment Demonstration Program (SCDTDP) </w:t>
      </w:r>
    </w:p>
    <w:p w:rsidR="00E4391E" w:rsidRDefault="00E4391E" w:rsidP="00451926">
      <w:pPr>
        <w:autoSpaceDE w:val="0"/>
        <w:autoSpaceDN w:val="0"/>
        <w:adjustRightInd w:val="0"/>
        <w:spacing w:line="240" w:lineRule="auto"/>
        <w:ind w:left="1080"/>
      </w:pPr>
      <w:r>
        <w:t>F</w:t>
      </w:r>
      <w:r w:rsidRPr="0044551C">
        <w:t xml:space="preserve">or the purpose of ensuring that the data collection would be relevant and appropriate </w:t>
      </w:r>
      <w:r>
        <w:t xml:space="preserve">with </w:t>
      </w:r>
      <w:r w:rsidRPr="0044551C">
        <w:t>minimum burden to the patients and the organizations administering the data collection forms</w:t>
      </w:r>
      <w:r>
        <w:t>,</w:t>
      </w:r>
      <w:r w:rsidRPr="00451926">
        <w:rPr>
          <w:bCs/>
        </w:rPr>
        <w:t xml:space="preserve"> T</w:t>
      </w:r>
      <w:r w:rsidRPr="0044551C">
        <w:t>he N</w:t>
      </w:r>
      <w:r>
        <w:t xml:space="preserve">ational </w:t>
      </w:r>
      <w:r w:rsidRPr="0044551C">
        <w:t>C</w:t>
      </w:r>
      <w:r>
        <w:t xml:space="preserve">oordinating </w:t>
      </w:r>
      <w:r w:rsidRPr="0044551C">
        <w:t>C</w:t>
      </w:r>
      <w:r>
        <w:t>enter (NCC)</w:t>
      </w:r>
      <w:r w:rsidRPr="0044551C">
        <w:t xml:space="preserve"> convened a Technical Working Group comprised of representatives of the </w:t>
      </w:r>
      <w:r>
        <w:t>grantee</w:t>
      </w:r>
      <w:r w:rsidRPr="0044551C">
        <w:t xml:space="preserve"> Networks that were participating in the SCDTDP at that time as well as expert </w:t>
      </w:r>
      <w:r>
        <w:t>sickle cell disease</w:t>
      </w:r>
      <w:r w:rsidRPr="0044551C">
        <w:t xml:space="preserve"> scientists and researchers</w:t>
      </w:r>
      <w:r>
        <w:t>.</w:t>
      </w:r>
      <w:r w:rsidRPr="0044551C">
        <w:t xml:space="preserve">  A roster of the </w:t>
      </w:r>
      <w:r>
        <w:t xml:space="preserve">prior </w:t>
      </w:r>
      <w:r w:rsidRPr="0044551C">
        <w:t xml:space="preserve">Technical Working Group members is presented below in </w:t>
      </w:r>
      <w:r w:rsidRPr="00451926">
        <w:rPr>
          <w:bCs/>
        </w:rPr>
        <w:t>Table 2</w:t>
      </w:r>
      <w:r w:rsidRPr="00866325">
        <w:t>.</w:t>
      </w:r>
      <w:r w:rsidRPr="0044551C">
        <w:t xml:space="preserve">  Over the course of seven months</w:t>
      </w:r>
      <w:r>
        <w:t>,</w:t>
      </w:r>
      <w:r w:rsidRPr="0044551C">
        <w:t xml:space="preserve"> the Technical Working Group met monthly to develop a uniform data collection instrument (Individual Utilization Questionnaire) and to identify other instruments currently available and in use in SCD research that would meet the </w:t>
      </w:r>
      <w:r>
        <w:t xml:space="preserve">measurement </w:t>
      </w:r>
      <w:r w:rsidRPr="0044551C">
        <w:t>needs of the project.</w:t>
      </w:r>
      <w:r>
        <w:t xml:space="preserve">  </w:t>
      </w:r>
    </w:p>
    <w:p w:rsidR="00E4391E" w:rsidRDefault="00E4391E" w:rsidP="00E52906">
      <w:pPr>
        <w:spacing w:line="240" w:lineRule="auto"/>
        <w:rPr>
          <w:bCs/>
        </w:rPr>
      </w:pPr>
      <w:r>
        <w:rPr>
          <w:bCs/>
        </w:rPr>
        <w:t>The T</w:t>
      </w:r>
      <w:r w:rsidRPr="005A2B24">
        <w:rPr>
          <w:bCs/>
        </w:rPr>
        <w:t>echnical Working Group</w:t>
      </w:r>
      <w:r>
        <w:rPr>
          <w:bCs/>
        </w:rPr>
        <w:t xml:space="preserve"> will reconvene in fall of 2011 throughout the funding period, </w:t>
      </w:r>
      <w:r w:rsidRPr="005A2B24">
        <w:rPr>
          <w:bCs/>
        </w:rPr>
        <w:t xml:space="preserve">including representatives of the new network sites, to provide ongoing guidance and oversight to the data collection process. </w:t>
      </w:r>
    </w:p>
    <w:tbl>
      <w:tblPr>
        <w:tblW w:w="10861" w:type="dxa"/>
        <w:jc w:val="center"/>
        <w:tblInd w:w="-2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398"/>
        <w:gridCol w:w="2121"/>
        <w:gridCol w:w="1890"/>
        <w:gridCol w:w="1447"/>
        <w:gridCol w:w="3005"/>
      </w:tblGrid>
      <w:tr w:rsidR="00E4391E" w:rsidRPr="00295116" w:rsidTr="00A85799">
        <w:trPr>
          <w:trHeight w:val="328"/>
          <w:jc w:val="center"/>
        </w:trPr>
        <w:tc>
          <w:tcPr>
            <w:tcW w:w="10861" w:type="dxa"/>
            <w:gridSpan w:val="5"/>
          </w:tcPr>
          <w:p w:rsidR="00E4391E" w:rsidRPr="00295116" w:rsidRDefault="00E4391E" w:rsidP="0010580B">
            <w:pPr>
              <w:spacing w:after="0" w:line="360" w:lineRule="auto"/>
              <w:rPr>
                <w:b/>
                <w:bCs/>
                <w:u w:val="single"/>
              </w:rPr>
            </w:pPr>
            <w:r w:rsidRPr="00295116">
              <w:rPr>
                <w:b/>
                <w:bCs/>
                <w:sz w:val="22"/>
                <w:szCs w:val="22"/>
              </w:rPr>
              <w:t xml:space="preserve">Table 2. SCDTDP Technical Working Group Members </w:t>
            </w:r>
          </w:p>
        </w:tc>
      </w:tr>
      <w:tr w:rsidR="00E4391E" w:rsidRPr="00295116" w:rsidTr="00A85799">
        <w:trPr>
          <w:jc w:val="center"/>
        </w:trPr>
        <w:tc>
          <w:tcPr>
            <w:tcW w:w="2398" w:type="dxa"/>
          </w:tcPr>
          <w:p w:rsidR="00E4391E" w:rsidRPr="00295116" w:rsidRDefault="00E4391E" w:rsidP="0010580B">
            <w:pPr>
              <w:spacing w:after="0" w:line="360" w:lineRule="auto"/>
              <w:rPr>
                <w:b/>
                <w:bCs/>
              </w:rPr>
            </w:pPr>
            <w:r w:rsidRPr="00295116">
              <w:rPr>
                <w:b/>
                <w:bCs/>
                <w:sz w:val="22"/>
                <w:szCs w:val="22"/>
              </w:rPr>
              <w:t>Organization</w:t>
            </w:r>
          </w:p>
        </w:tc>
        <w:tc>
          <w:tcPr>
            <w:tcW w:w="2121" w:type="dxa"/>
          </w:tcPr>
          <w:p w:rsidR="00E4391E" w:rsidRPr="00295116" w:rsidRDefault="00E4391E" w:rsidP="0010580B">
            <w:pPr>
              <w:spacing w:after="0" w:line="360" w:lineRule="auto"/>
              <w:rPr>
                <w:b/>
                <w:bCs/>
              </w:rPr>
            </w:pPr>
            <w:r w:rsidRPr="00295116">
              <w:rPr>
                <w:b/>
                <w:bCs/>
                <w:sz w:val="22"/>
                <w:szCs w:val="22"/>
              </w:rPr>
              <w:t>Contact Person</w:t>
            </w:r>
          </w:p>
        </w:tc>
        <w:tc>
          <w:tcPr>
            <w:tcW w:w="1890" w:type="dxa"/>
          </w:tcPr>
          <w:p w:rsidR="00E4391E" w:rsidRPr="00295116" w:rsidRDefault="00E4391E" w:rsidP="0010580B">
            <w:pPr>
              <w:spacing w:after="0" w:line="360" w:lineRule="auto"/>
              <w:rPr>
                <w:b/>
                <w:bCs/>
              </w:rPr>
            </w:pPr>
            <w:r w:rsidRPr="00295116">
              <w:rPr>
                <w:b/>
                <w:bCs/>
                <w:sz w:val="22"/>
                <w:szCs w:val="22"/>
              </w:rPr>
              <w:t>Role</w:t>
            </w:r>
          </w:p>
        </w:tc>
        <w:tc>
          <w:tcPr>
            <w:tcW w:w="1447" w:type="dxa"/>
            <w:tcMar>
              <w:top w:w="0" w:type="dxa"/>
              <w:left w:w="108" w:type="dxa"/>
              <w:bottom w:w="0" w:type="dxa"/>
              <w:right w:w="108" w:type="dxa"/>
            </w:tcMar>
          </w:tcPr>
          <w:p w:rsidR="00E4391E" w:rsidRPr="00295116" w:rsidRDefault="00E4391E" w:rsidP="0010580B">
            <w:pPr>
              <w:spacing w:after="0" w:line="360" w:lineRule="auto"/>
              <w:rPr>
                <w:b/>
                <w:bCs/>
              </w:rPr>
            </w:pPr>
            <w:r w:rsidRPr="00295116">
              <w:rPr>
                <w:b/>
                <w:bCs/>
                <w:sz w:val="22"/>
                <w:szCs w:val="22"/>
              </w:rPr>
              <w:t>Phone Number</w:t>
            </w:r>
          </w:p>
        </w:tc>
        <w:tc>
          <w:tcPr>
            <w:tcW w:w="3005" w:type="dxa"/>
            <w:tcMar>
              <w:top w:w="0" w:type="dxa"/>
              <w:left w:w="108" w:type="dxa"/>
              <w:bottom w:w="0" w:type="dxa"/>
              <w:right w:w="108" w:type="dxa"/>
            </w:tcMar>
          </w:tcPr>
          <w:p w:rsidR="00E4391E" w:rsidRPr="00295116" w:rsidRDefault="00E4391E" w:rsidP="0010580B">
            <w:pPr>
              <w:spacing w:after="0" w:line="360" w:lineRule="auto"/>
              <w:rPr>
                <w:b/>
                <w:bCs/>
                <w:u w:val="single"/>
              </w:rPr>
            </w:pPr>
            <w:r w:rsidRPr="00295116">
              <w:rPr>
                <w:b/>
                <w:bCs/>
                <w:sz w:val="22"/>
                <w:szCs w:val="22"/>
                <w:u w:val="single"/>
              </w:rPr>
              <w:t xml:space="preserve">E-mail </w:t>
            </w:r>
          </w:p>
        </w:tc>
      </w:tr>
      <w:tr w:rsidR="00E4391E" w:rsidRPr="00295116" w:rsidTr="00A85799">
        <w:trPr>
          <w:trHeight w:val="1343"/>
          <w:jc w:val="center"/>
        </w:trPr>
        <w:tc>
          <w:tcPr>
            <w:tcW w:w="2398" w:type="dxa"/>
          </w:tcPr>
          <w:p w:rsidR="00E4391E" w:rsidRPr="00295116" w:rsidRDefault="00E4391E" w:rsidP="0010580B">
            <w:pPr>
              <w:pStyle w:val="NoSpacing1"/>
              <w:rPr>
                <w:sz w:val="22"/>
                <w:szCs w:val="22"/>
                <w:highlight w:val="yellow"/>
              </w:rPr>
            </w:pPr>
            <w:r w:rsidRPr="00295116">
              <w:rPr>
                <w:sz w:val="22"/>
                <w:szCs w:val="22"/>
              </w:rPr>
              <w:t>University of Alabama-Birmingham</w:t>
            </w:r>
          </w:p>
        </w:tc>
        <w:tc>
          <w:tcPr>
            <w:tcW w:w="2121" w:type="dxa"/>
          </w:tcPr>
          <w:p w:rsidR="00E4391E" w:rsidRPr="00295116" w:rsidRDefault="00E4391E" w:rsidP="0010580B">
            <w:pPr>
              <w:spacing w:after="0" w:line="360" w:lineRule="auto"/>
              <w:rPr>
                <w:rStyle w:val="spelle"/>
              </w:rPr>
            </w:pPr>
            <w:r w:rsidRPr="00295116">
              <w:rPr>
                <w:rStyle w:val="spelle"/>
                <w:sz w:val="22"/>
                <w:szCs w:val="22"/>
              </w:rPr>
              <w:t>Roy McDonald, MPH</w:t>
            </w:r>
          </w:p>
        </w:tc>
        <w:tc>
          <w:tcPr>
            <w:tcW w:w="1890" w:type="dxa"/>
          </w:tcPr>
          <w:p w:rsidR="00E4391E" w:rsidRPr="00295116" w:rsidRDefault="00E4391E" w:rsidP="0010580B">
            <w:pPr>
              <w:spacing w:line="360" w:lineRule="auto"/>
              <w:rPr>
                <w:highlight w:val="yellow"/>
              </w:rPr>
            </w:pPr>
            <w:r w:rsidRPr="00295116">
              <w:rPr>
                <w:sz w:val="22"/>
                <w:szCs w:val="22"/>
              </w:rPr>
              <w:t>Data Manager</w:t>
            </w:r>
          </w:p>
        </w:tc>
        <w:tc>
          <w:tcPr>
            <w:tcW w:w="1447" w:type="dxa"/>
            <w:tcMar>
              <w:top w:w="0" w:type="dxa"/>
              <w:left w:w="108" w:type="dxa"/>
              <w:bottom w:w="0" w:type="dxa"/>
              <w:right w:w="108" w:type="dxa"/>
            </w:tcMar>
          </w:tcPr>
          <w:p w:rsidR="00E4391E" w:rsidRPr="00295116" w:rsidRDefault="00E4391E" w:rsidP="0010580B">
            <w:pPr>
              <w:spacing w:line="360" w:lineRule="auto"/>
              <w:rPr>
                <w:highlight w:val="yellow"/>
              </w:rPr>
            </w:pPr>
            <w:r w:rsidRPr="00295116">
              <w:rPr>
                <w:sz w:val="22"/>
                <w:szCs w:val="22"/>
              </w:rPr>
              <w:t>205-939-5849</w:t>
            </w:r>
          </w:p>
        </w:tc>
        <w:tc>
          <w:tcPr>
            <w:tcW w:w="3005" w:type="dxa"/>
            <w:tcMar>
              <w:top w:w="0" w:type="dxa"/>
              <w:left w:w="108" w:type="dxa"/>
              <w:bottom w:w="0" w:type="dxa"/>
              <w:right w:w="108" w:type="dxa"/>
            </w:tcMar>
          </w:tcPr>
          <w:p w:rsidR="00E4391E" w:rsidRPr="00295116" w:rsidRDefault="00424A3B" w:rsidP="0010580B">
            <w:pPr>
              <w:spacing w:line="360" w:lineRule="auto"/>
              <w:rPr>
                <w:rStyle w:val="Hyperlink"/>
              </w:rPr>
            </w:pPr>
            <w:hyperlink r:id="rId13" w:history="1">
              <w:r w:rsidR="00E4391E" w:rsidRPr="00F57A28">
                <w:rPr>
                  <w:rStyle w:val="Hyperlink"/>
                  <w:sz w:val="22"/>
                  <w:szCs w:val="22"/>
                </w:rPr>
                <w:t>rmcdonald@peds.uab.edu</w:t>
              </w:r>
            </w:hyperlink>
          </w:p>
        </w:tc>
      </w:tr>
      <w:tr w:rsidR="00E4391E" w:rsidRPr="00295116" w:rsidTr="00A85799">
        <w:trPr>
          <w:trHeight w:val="1143"/>
          <w:jc w:val="center"/>
        </w:trPr>
        <w:tc>
          <w:tcPr>
            <w:tcW w:w="2398" w:type="dxa"/>
          </w:tcPr>
          <w:p w:rsidR="00E4391E" w:rsidRPr="00295116" w:rsidRDefault="00E4391E" w:rsidP="00676B4E">
            <w:pPr>
              <w:pStyle w:val="NoSpacing1"/>
              <w:rPr>
                <w:i/>
                <w:iCs/>
                <w:sz w:val="22"/>
                <w:szCs w:val="22"/>
              </w:rPr>
            </w:pPr>
            <w:r w:rsidRPr="00295116">
              <w:rPr>
                <w:sz w:val="22"/>
                <w:szCs w:val="22"/>
              </w:rPr>
              <w:t>University of Cincinnati</w:t>
            </w:r>
          </w:p>
        </w:tc>
        <w:tc>
          <w:tcPr>
            <w:tcW w:w="2121" w:type="dxa"/>
          </w:tcPr>
          <w:p w:rsidR="00E4391E" w:rsidRPr="00295116" w:rsidRDefault="00E4391E" w:rsidP="0010580B">
            <w:pPr>
              <w:spacing w:after="0" w:line="360" w:lineRule="auto"/>
            </w:pPr>
            <w:r w:rsidRPr="00295116">
              <w:rPr>
                <w:sz w:val="22"/>
                <w:szCs w:val="22"/>
              </w:rPr>
              <w:t xml:space="preserve">Thomas Webb, MD, MSc </w:t>
            </w:r>
          </w:p>
        </w:tc>
        <w:tc>
          <w:tcPr>
            <w:tcW w:w="1890" w:type="dxa"/>
          </w:tcPr>
          <w:p w:rsidR="00E4391E" w:rsidRPr="00295116" w:rsidRDefault="00E4391E" w:rsidP="0010580B">
            <w:pPr>
              <w:spacing w:after="0" w:line="360" w:lineRule="auto"/>
            </w:pPr>
            <w:r w:rsidRPr="00295116">
              <w:rPr>
                <w:sz w:val="22"/>
                <w:szCs w:val="22"/>
              </w:rPr>
              <w:t>P</w:t>
            </w:r>
            <w:r>
              <w:rPr>
                <w:sz w:val="22"/>
                <w:szCs w:val="22"/>
              </w:rPr>
              <w:t xml:space="preserve">rincipal </w:t>
            </w:r>
            <w:r w:rsidRPr="00295116">
              <w:rPr>
                <w:sz w:val="22"/>
                <w:szCs w:val="22"/>
              </w:rPr>
              <w:t>I</w:t>
            </w:r>
            <w:r>
              <w:rPr>
                <w:sz w:val="22"/>
                <w:szCs w:val="22"/>
              </w:rPr>
              <w:t>nvestigator</w:t>
            </w:r>
          </w:p>
        </w:tc>
        <w:tc>
          <w:tcPr>
            <w:tcW w:w="1447" w:type="dxa"/>
            <w:tcMar>
              <w:top w:w="0" w:type="dxa"/>
              <w:left w:w="108" w:type="dxa"/>
              <w:bottom w:w="0" w:type="dxa"/>
              <w:right w:w="108" w:type="dxa"/>
            </w:tcMar>
          </w:tcPr>
          <w:p w:rsidR="00E4391E" w:rsidRPr="00295116" w:rsidRDefault="00E4391E" w:rsidP="0010580B">
            <w:pPr>
              <w:spacing w:after="0" w:line="360" w:lineRule="auto"/>
            </w:pPr>
            <w:r w:rsidRPr="00295116">
              <w:rPr>
                <w:sz w:val="22"/>
                <w:szCs w:val="22"/>
              </w:rPr>
              <w:t>513.556.2870</w:t>
            </w:r>
          </w:p>
        </w:tc>
        <w:tc>
          <w:tcPr>
            <w:tcW w:w="3005" w:type="dxa"/>
            <w:tcMar>
              <w:top w:w="0" w:type="dxa"/>
              <w:left w:w="108" w:type="dxa"/>
              <w:bottom w:w="0" w:type="dxa"/>
              <w:right w:w="108" w:type="dxa"/>
            </w:tcMar>
          </w:tcPr>
          <w:p w:rsidR="00E4391E" w:rsidRPr="00676B4E" w:rsidRDefault="00424A3B" w:rsidP="0010580B">
            <w:pPr>
              <w:spacing w:after="0" w:line="360" w:lineRule="auto"/>
              <w:rPr>
                <w:color w:val="0000FF"/>
                <w:u w:val="single"/>
              </w:rPr>
            </w:pPr>
            <w:hyperlink r:id="rId14" w:history="1">
              <w:r w:rsidR="00E4391E" w:rsidRPr="00295116">
                <w:rPr>
                  <w:rStyle w:val="Hyperlink"/>
                  <w:sz w:val="22"/>
                  <w:szCs w:val="22"/>
                </w:rPr>
                <w:t>thomas.webb@uc.edu</w:t>
              </w:r>
            </w:hyperlink>
          </w:p>
        </w:tc>
      </w:tr>
      <w:tr w:rsidR="00E4391E" w:rsidRPr="00295116" w:rsidTr="00A85799">
        <w:trPr>
          <w:jc w:val="center"/>
        </w:trPr>
        <w:tc>
          <w:tcPr>
            <w:tcW w:w="2398" w:type="dxa"/>
          </w:tcPr>
          <w:p w:rsidR="00E4391E" w:rsidRPr="00295116" w:rsidRDefault="00E4391E" w:rsidP="0010580B">
            <w:pPr>
              <w:pStyle w:val="NoSpacing1"/>
              <w:rPr>
                <w:sz w:val="22"/>
                <w:szCs w:val="22"/>
              </w:rPr>
            </w:pPr>
            <w:r w:rsidRPr="00295116">
              <w:rPr>
                <w:sz w:val="22"/>
                <w:szCs w:val="22"/>
              </w:rPr>
              <w:t>Stedman-Wade</w:t>
            </w:r>
          </w:p>
          <w:p w:rsidR="00E4391E" w:rsidRPr="00295116" w:rsidRDefault="00E4391E" w:rsidP="0010580B">
            <w:pPr>
              <w:pStyle w:val="NoSpacing1"/>
              <w:rPr>
                <w:sz w:val="22"/>
                <w:szCs w:val="22"/>
              </w:rPr>
            </w:pPr>
          </w:p>
        </w:tc>
        <w:tc>
          <w:tcPr>
            <w:tcW w:w="2121" w:type="dxa"/>
          </w:tcPr>
          <w:p w:rsidR="00E4391E" w:rsidRPr="00295116" w:rsidRDefault="00E4391E" w:rsidP="0010580B">
            <w:pPr>
              <w:spacing w:after="0" w:line="360" w:lineRule="auto"/>
              <w:rPr>
                <w:lang w:val="nl-NL"/>
              </w:rPr>
            </w:pPr>
            <w:r w:rsidRPr="00295116">
              <w:rPr>
                <w:rStyle w:val="spelle"/>
                <w:sz w:val="22"/>
                <w:szCs w:val="22"/>
                <w:lang w:val="nl-NL"/>
              </w:rPr>
              <w:t>Dr. Kweku</w:t>
            </w:r>
            <w:r w:rsidRPr="00295116">
              <w:rPr>
                <w:sz w:val="22"/>
                <w:szCs w:val="22"/>
                <w:lang w:val="nl-NL"/>
              </w:rPr>
              <w:t xml:space="preserve"> </w:t>
            </w:r>
            <w:r w:rsidRPr="00295116">
              <w:rPr>
                <w:rStyle w:val="spelle"/>
                <w:sz w:val="22"/>
                <w:szCs w:val="22"/>
                <w:lang w:val="nl-NL"/>
              </w:rPr>
              <w:t>Laast,</w:t>
            </w:r>
            <w:r w:rsidRPr="00295116">
              <w:rPr>
                <w:sz w:val="22"/>
                <w:szCs w:val="22"/>
                <w:lang w:val="nl-NL"/>
              </w:rPr>
              <w:t xml:space="preserve"> MD, MPH</w:t>
            </w:r>
          </w:p>
        </w:tc>
        <w:tc>
          <w:tcPr>
            <w:tcW w:w="1890" w:type="dxa"/>
          </w:tcPr>
          <w:p w:rsidR="00E4391E" w:rsidRPr="00295116" w:rsidRDefault="00E4391E" w:rsidP="0010580B">
            <w:pPr>
              <w:spacing w:after="0" w:line="360" w:lineRule="auto"/>
            </w:pPr>
            <w:r w:rsidRPr="00295116">
              <w:rPr>
                <w:sz w:val="22"/>
                <w:szCs w:val="22"/>
              </w:rPr>
              <w:t>Principal Investigator</w:t>
            </w:r>
          </w:p>
        </w:tc>
        <w:tc>
          <w:tcPr>
            <w:tcW w:w="1447" w:type="dxa"/>
            <w:tcMar>
              <w:top w:w="0" w:type="dxa"/>
              <w:left w:w="108" w:type="dxa"/>
              <w:bottom w:w="0" w:type="dxa"/>
              <w:right w:w="108" w:type="dxa"/>
            </w:tcMar>
          </w:tcPr>
          <w:p w:rsidR="00E4391E" w:rsidRPr="00295116" w:rsidRDefault="00E4391E" w:rsidP="0010580B">
            <w:pPr>
              <w:spacing w:after="0" w:line="360" w:lineRule="auto"/>
            </w:pPr>
            <w:r w:rsidRPr="00295116">
              <w:rPr>
                <w:sz w:val="22"/>
                <w:szCs w:val="22"/>
              </w:rPr>
              <w:t>910.483.6694</w:t>
            </w:r>
          </w:p>
        </w:tc>
        <w:tc>
          <w:tcPr>
            <w:tcW w:w="3005" w:type="dxa"/>
            <w:tcMar>
              <w:top w:w="0" w:type="dxa"/>
              <w:left w:w="108" w:type="dxa"/>
              <w:bottom w:w="0" w:type="dxa"/>
              <w:right w:w="108" w:type="dxa"/>
            </w:tcMar>
          </w:tcPr>
          <w:p w:rsidR="00E4391E" w:rsidRPr="00295116" w:rsidRDefault="00424A3B" w:rsidP="0010580B">
            <w:pPr>
              <w:spacing w:after="0" w:line="360" w:lineRule="auto"/>
            </w:pPr>
            <w:hyperlink r:id="rId15" w:tgtFrame="_blank" w:history="1">
              <w:r w:rsidR="00E4391E" w:rsidRPr="00295116">
                <w:rPr>
                  <w:rStyle w:val="Hyperlink"/>
                  <w:sz w:val="22"/>
                  <w:szCs w:val="22"/>
                </w:rPr>
                <w:t>klaastmd@aol.com</w:t>
              </w:r>
            </w:hyperlink>
          </w:p>
        </w:tc>
      </w:tr>
      <w:tr w:rsidR="00E4391E" w:rsidRPr="00295116" w:rsidTr="00A85799">
        <w:trPr>
          <w:jc w:val="center"/>
        </w:trPr>
        <w:tc>
          <w:tcPr>
            <w:tcW w:w="2398" w:type="dxa"/>
          </w:tcPr>
          <w:p w:rsidR="00E4391E" w:rsidRPr="00295116" w:rsidRDefault="00E4391E" w:rsidP="0010580B">
            <w:pPr>
              <w:pStyle w:val="NoSpacing1"/>
              <w:rPr>
                <w:sz w:val="22"/>
                <w:szCs w:val="22"/>
              </w:rPr>
            </w:pPr>
            <w:r w:rsidRPr="00295116">
              <w:rPr>
                <w:sz w:val="22"/>
                <w:szCs w:val="22"/>
              </w:rPr>
              <w:t>Fayetteville State University</w:t>
            </w:r>
          </w:p>
        </w:tc>
        <w:tc>
          <w:tcPr>
            <w:tcW w:w="2121" w:type="dxa"/>
          </w:tcPr>
          <w:p w:rsidR="00E4391E" w:rsidRPr="00295116" w:rsidRDefault="00E4391E" w:rsidP="0010580B">
            <w:pPr>
              <w:spacing w:after="0" w:line="360" w:lineRule="auto"/>
            </w:pPr>
            <w:r w:rsidRPr="00295116">
              <w:rPr>
                <w:sz w:val="22"/>
                <w:szCs w:val="22"/>
              </w:rPr>
              <w:t>Akbar Aghajanian Ph.D.</w:t>
            </w:r>
            <w:r>
              <w:rPr>
                <w:sz w:val="22"/>
                <w:szCs w:val="22"/>
              </w:rPr>
              <w:t xml:space="preserve">    </w:t>
            </w:r>
          </w:p>
        </w:tc>
        <w:tc>
          <w:tcPr>
            <w:tcW w:w="1890" w:type="dxa"/>
          </w:tcPr>
          <w:p w:rsidR="00E4391E" w:rsidRPr="00295116" w:rsidRDefault="00E4391E" w:rsidP="0010580B">
            <w:pPr>
              <w:spacing w:after="0" w:line="360" w:lineRule="auto"/>
            </w:pPr>
            <w:r w:rsidRPr="00295116">
              <w:rPr>
                <w:sz w:val="22"/>
                <w:szCs w:val="22"/>
              </w:rPr>
              <w:t xml:space="preserve">Director, Research Center for Health </w:t>
            </w:r>
            <w:r w:rsidRPr="00295116">
              <w:rPr>
                <w:sz w:val="22"/>
                <w:szCs w:val="22"/>
              </w:rPr>
              <w:lastRenderedPageBreak/>
              <w:t>Disparities</w:t>
            </w:r>
          </w:p>
        </w:tc>
        <w:tc>
          <w:tcPr>
            <w:tcW w:w="1447" w:type="dxa"/>
            <w:tcMar>
              <w:top w:w="0" w:type="dxa"/>
              <w:left w:w="108" w:type="dxa"/>
              <w:bottom w:w="0" w:type="dxa"/>
              <w:right w:w="108" w:type="dxa"/>
            </w:tcMar>
          </w:tcPr>
          <w:p w:rsidR="00E4391E" w:rsidRPr="00295116" w:rsidRDefault="00E4391E" w:rsidP="0010580B">
            <w:pPr>
              <w:spacing w:after="0" w:line="360" w:lineRule="auto"/>
            </w:pPr>
            <w:r w:rsidRPr="00295116">
              <w:rPr>
                <w:sz w:val="22"/>
                <w:szCs w:val="22"/>
              </w:rPr>
              <w:lastRenderedPageBreak/>
              <w:t>910-672-2927</w:t>
            </w:r>
          </w:p>
        </w:tc>
        <w:tc>
          <w:tcPr>
            <w:tcW w:w="3005" w:type="dxa"/>
            <w:tcMar>
              <w:top w:w="0" w:type="dxa"/>
              <w:left w:w="108" w:type="dxa"/>
              <w:bottom w:w="0" w:type="dxa"/>
              <w:right w:w="108" w:type="dxa"/>
            </w:tcMar>
          </w:tcPr>
          <w:p w:rsidR="00E4391E" w:rsidRPr="00295116" w:rsidRDefault="00424A3B" w:rsidP="0010580B">
            <w:pPr>
              <w:spacing w:after="0" w:line="360" w:lineRule="auto"/>
            </w:pPr>
            <w:hyperlink r:id="rId16" w:history="1">
              <w:r w:rsidR="00E4391E" w:rsidRPr="00F57A28">
                <w:rPr>
                  <w:rStyle w:val="Hyperlink"/>
                  <w:sz w:val="22"/>
                  <w:szCs w:val="22"/>
                </w:rPr>
                <w:t>aaghajanian@uncfsu.edu</w:t>
              </w:r>
            </w:hyperlink>
          </w:p>
        </w:tc>
      </w:tr>
      <w:tr w:rsidR="00E4391E" w:rsidRPr="00295116" w:rsidTr="00A85799">
        <w:trPr>
          <w:jc w:val="center"/>
        </w:trPr>
        <w:tc>
          <w:tcPr>
            <w:tcW w:w="2398" w:type="dxa"/>
          </w:tcPr>
          <w:p w:rsidR="00E4391E" w:rsidRPr="00295116" w:rsidRDefault="00E4391E" w:rsidP="0010580B">
            <w:pPr>
              <w:pStyle w:val="NoSpacing1"/>
              <w:rPr>
                <w:sz w:val="22"/>
                <w:szCs w:val="22"/>
              </w:rPr>
            </w:pPr>
            <w:bookmarkStart w:id="4" w:name="OLE_LINK7"/>
            <w:bookmarkStart w:id="5" w:name="OLE_LINK8"/>
            <w:r w:rsidRPr="00295116">
              <w:rPr>
                <w:rStyle w:val="Hyperlink"/>
                <w:color w:val="auto"/>
                <w:sz w:val="22"/>
                <w:szCs w:val="22"/>
                <w:u w:val="none"/>
              </w:rPr>
              <w:lastRenderedPageBreak/>
              <w:t>Christian Community Health Center (CCHC)</w:t>
            </w:r>
            <w:bookmarkEnd w:id="4"/>
            <w:bookmarkEnd w:id="5"/>
          </w:p>
        </w:tc>
        <w:tc>
          <w:tcPr>
            <w:tcW w:w="2121" w:type="dxa"/>
          </w:tcPr>
          <w:p w:rsidR="00E4391E" w:rsidRPr="00295116" w:rsidRDefault="00E4391E" w:rsidP="0010580B">
            <w:pPr>
              <w:spacing w:after="0" w:line="360" w:lineRule="auto"/>
              <w:rPr>
                <w:rStyle w:val="spelle"/>
              </w:rPr>
            </w:pPr>
            <w:r w:rsidRPr="00295116">
              <w:rPr>
                <w:rStyle w:val="spelle"/>
                <w:sz w:val="22"/>
                <w:szCs w:val="22"/>
              </w:rPr>
              <w:t>Linda D. Drawhorn, MS, RN</w:t>
            </w:r>
          </w:p>
        </w:tc>
        <w:tc>
          <w:tcPr>
            <w:tcW w:w="1890" w:type="dxa"/>
          </w:tcPr>
          <w:p w:rsidR="00E4391E" w:rsidRPr="00295116" w:rsidRDefault="00E4391E" w:rsidP="0010580B">
            <w:pPr>
              <w:spacing w:after="0" w:line="360" w:lineRule="auto"/>
            </w:pPr>
            <w:r w:rsidRPr="00295116">
              <w:rPr>
                <w:sz w:val="22"/>
                <w:szCs w:val="22"/>
              </w:rPr>
              <w:t>Project Coordinator</w:t>
            </w:r>
          </w:p>
        </w:tc>
        <w:tc>
          <w:tcPr>
            <w:tcW w:w="1447" w:type="dxa"/>
            <w:tcMar>
              <w:top w:w="0" w:type="dxa"/>
              <w:left w:w="108" w:type="dxa"/>
              <w:bottom w:w="0" w:type="dxa"/>
              <w:right w:w="108" w:type="dxa"/>
            </w:tcMar>
          </w:tcPr>
          <w:p w:rsidR="00E4391E" w:rsidRPr="00295116" w:rsidRDefault="00E4391E" w:rsidP="0010580B">
            <w:pPr>
              <w:spacing w:after="0" w:line="360" w:lineRule="auto"/>
            </w:pPr>
            <w:r w:rsidRPr="00295116">
              <w:rPr>
                <w:sz w:val="22"/>
                <w:szCs w:val="22"/>
              </w:rPr>
              <w:t>773-298-2051</w:t>
            </w:r>
          </w:p>
        </w:tc>
        <w:tc>
          <w:tcPr>
            <w:tcW w:w="3005" w:type="dxa"/>
            <w:tcMar>
              <w:top w:w="0" w:type="dxa"/>
              <w:left w:w="108" w:type="dxa"/>
              <w:bottom w:w="0" w:type="dxa"/>
              <w:right w:w="108" w:type="dxa"/>
            </w:tcMar>
          </w:tcPr>
          <w:p w:rsidR="00E4391E" w:rsidRPr="00295116" w:rsidRDefault="00E4391E" w:rsidP="0010580B">
            <w:pPr>
              <w:spacing w:after="0" w:line="360" w:lineRule="auto"/>
              <w:rPr>
                <w:rStyle w:val="Hyperlink"/>
              </w:rPr>
            </w:pPr>
            <w:r w:rsidRPr="00295116">
              <w:rPr>
                <w:rStyle w:val="Hyperlink"/>
                <w:sz w:val="22"/>
                <w:szCs w:val="22"/>
              </w:rPr>
              <w:t>Linda.drawhorn@cchc-rchm.org</w:t>
            </w:r>
          </w:p>
        </w:tc>
      </w:tr>
      <w:tr w:rsidR="00E4391E" w:rsidRPr="00295116" w:rsidTr="00A85799">
        <w:trPr>
          <w:jc w:val="center"/>
        </w:trPr>
        <w:tc>
          <w:tcPr>
            <w:tcW w:w="2398" w:type="dxa"/>
          </w:tcPr>
          <w:p w:rsidR="00E4391E" w:rsidRPr="00295116" w:rsidRDefault="00E4391E" w:rsidP="0010580B">
            <w:pPr>
              <w:pStyle w:val="NoSpacing1"/>
              <w:rPr>
                <w:sz w:val="22"/>
                <w:szCs w:val="22"/>
              </w:rPr>
            </w:pPr>
            <w:r w:rsidRPr="00295116">
              <w:rPr>
                <w:sz w:val="22"/>
                <w:szCs w:val="22"/>
              </w:rPr>
              <w:t>S</w:t>
            </w:r>
            <w:r>
              <w:rPr>
                <w:sz w:val="22"/>
                <w:szCs w:val="22"/>
              </w:rPr>
              <w:t xml:space="preserve">ickle </w:t>
            </w:r>
            <w:r w:rsidRPr="00295116">
              <w:rPr>
                <w:sz w:val="22"/>
                <w:szCs w:val="22"/>
              </w:rPr>
              <w:t>C</w:t>
            </w:r>
            <w:r>
              <w:rPr>
                <w:sz w:val="22"/>
                <w:szCs w:val="22"/>
              </w:rPr>
              <w:t xml:space="preserve">ell </w:t>
            </w:r>
            <w:r w:rsidRPr="00295116">
              <w:rPr>
                <w:sz w:val="22"/>
                <w:szCs w:val="22"/>
              </w:rPr>
              <w:t>D</w:t>
            </w:r>
            <w:r>
              <w:rPr>
                <w:sz w:val="22"/>
                <w:szCs w:val="22"/>
              </w:rPr>
              <w:t xml:space="preserve">isease </w:t>
            </w:r>
            <w:r w:rsidRPr="00295116">
              <w:rPr>
                <w:sz w:val="22"/>
                <w:szCs w:val="22"/>
              </w:rPr>
              <w:t>A</w:t>
            </w:r>
            <w:r>
              <w:rPr>
                <w:sz w:val="22"/>
                <w:szCs w:val="22"/>
              </w:rPr>
              <w:t xml:space="preserve">ssociation of  </w:t>
            </w:r>
            <w:r w:rsidRPr="00295116">
              <w:rPr>
                <w:sz w:val="22"/>
                <w:szCs w:val="22"/>
              </w:rPr>
              <w:t>I</w:t>
            </w:r>
            <w:r>
              <w:rPr>
                <w:sz w:val="22"/>
                <w:szCs w:val="22"/>
              </w:rPr>
              <w:t>llinois</w:t>
            </w:r>
          </w:p>
        </w:tc>
        <w:tc>
          <w:tcPr>
            <w:tcW w:w="2121" w:type="dxa"/>
          </w:tcPr>
          <w:p w:rsidR="00E4391E" w:rsidRPr="00295116" w:rsidRDefault="00E4391E" w:rsidP="0010580B">
            <w:pPr>
              <w:pStyle w:val="NoSpacing1"/>
              <w:rPr>
                <w:sz w:val="22"/>
                <w:szCs w:val="22"/>
              </w:rPr>
            </w:pPr>
            <w:r w:rsidRPr="00295116">
              <w:rPr>
                <w:sz w:val="22"/>
                <w:szCs w:val="22"/>
              </w:rPr>
              <w:t>Valerie Beckley, MSW</w:t>
            </w:r>
          </w:p>
          <w:p w:rsidR="00E4391E" w:rsidRPr="00295116" w:rsidRDefault="00E4391E" w:rsidP="0010580B">
            <w:pPr>
              <w:pStyle w:val="NoSpacing1"/>
              <w:rPr>
                <w:i/>
                <w:sz w:val="22"/>
                <w:szCs w:val="22"/>
              </w:rPr>
            </w:pPr>
            <w:r w:rsidRPr="00295116">
              <w:rPr>
                <w:i/>
                <w:sz w:val="22"/>
                <w:szCs w:val="22"/>
              </w:rPr>
              <w:t xml:space="preserve">Deceased </w:t>
            </w:r>
          </w:p>
        </w:tc>
        <w:tc>
          <w:tcPr>
            <w:tcW w:w="1890" w:type="dxa"/>
          </w:tcPr>
          <w:p w:rsidR="00E4391E" w:rsidRPr="00295116" w:rsidRDefault="00E4391E" w:rsidP="0010580B">
            <w:pPr>
              <w:pStyle w:val="NoSpacing1"/>
              <w:rPr>
                <w:sz w:val="22"/>
                <w:szCs w:val="22"/>
              </w:rPr>
            </w:pPr>
            <w:r w:rsidRPr="00295116">
              <w:rPr>
                <w:sz w:val="22"/>
                <w:szCs w:val="22"/>
              </w:rPr>
              <w:t>Executive Director SCDAI</w:t>
            </w:r>
          </w:p>
        </w:tc>
        <w:tc>
          <w:tcPr>
            <w:tcW w:w="1447" w:type="dxa"/>
            <w:tcMar>
              <w:top w:w="0" w:type="dxa"/>
              <w:left w:w="108" w:type="dxa"/>
              <w:bottom w:w="0" w:type="dxa"/>
              <w:right w:w="108" w:type="dxa"/>
            </w:tcMar>
          </w:tcPr>
          <w:p w:rsidR="00E4391E" w:rsidRPr="00295116" w:rsidRDefault="00E4391E" w:rsidP="0010580B">
            <w:pPr>
              <w:pStyle w:val="NoSpacing1"/>
              <w:rPr>
                <w:sz w:val="22"/>
                <w:szCs w:val="22"/>
              </w:rPr>
            </w:pPr>
            <w:r w:rsidRPr="00295116">
              <w:rPr>
                <w:sz w:val="22"/>
                <w:szCs w:val="22"/>
              </w:rPr>
              <w:t>312-345-1100</w:t>
            </w:r>
          </w:p>
        </w:tc>
        <w:tc>
          <w:tcPr>
            <w:tcW w:w="3005" w:type="dxa"/>
            <w:tcMar>
              <w:top w:w="0" w:type="dxa"/>
              <w:left w:w="108" w:type="dxa"/>
              <w:bottom w:w="0" w:type="dxa"/>
              <w:right w:w="108" w:type="dxa"/>
            </w:tcMar>
          </w:tcPr>
          <w:p w:rsidR="00E4391E" w:rsidRPr="00295116" w:rsidRDefault="00424A3B" w:rsidP="0010580B">
            <w:pPr>
              <w:pStyle w:val="NoSpacing1"/>
              <w:rPr>
                <w:sz w:val="22"/>
                <w:szCs w:val="22"/>
              </w:rPr>
            </w:pPr>
            <w:hyperlink r:id="rId17" w:tgtFrame="_blank" w:history="1">
              <w:r w:rsidR="00E4391E" w:rsidRPr="00295116">
                <w:rPr>
                  <w:rStyle w:val="Hyperlink"/>
                  <w:sz w:val="22"/>
                  <w:szCs w:val="22"/>
                </w:rPr>
                <w:t>valerie.beckley@mgci.com</w:t>
              </w:r>
            </w:hyperlink>
          </w:p>
        </w:tc>
      </w:tr>
      <w:tr w:rsidR="00E4391E" w:rsidRPr="00295116" w:rsidTr="00A85799">
        <w:trPr>
          <w:jc w:val="center"/>
        </w:trPr>
        <w:tc>
          <w:tcPr>
            <w:tcW w:w="2398" w:type="dxa"/>
          </w:tcPr>
          <w:p w:rsidR="00E4391E" w:rsidRPr="00295116" w:rsidRDefault="00E4391E" w:rsidP="0010580B">
            <w:pPr>
              <w:pStyle w:val="NoSpacing1"/>
              <w:rPr>
                <w:sz w:val="22"/>
                <w:szCs w:val="22"/>
              </w:rPr>
            </w:pPr>
            <w:r w:rsidRPr="00295116">
              <w:rPr>
                <w:sz w:val="22"/>
                <w:szCs w:val="22"/>
              </w:rPr>
              <w:t xml:space="preserve">University of North Carolina at Greensboro </w:t>
            </w:r>
          </w:p>
        </w:tc>
        <w:tc>
          <w:tcPr>
            <w:tcW w:w="2121" w:type="dxa"/>
          </w:tcPr>
          <w:p w:rsidR="00E4391E" w:rsidRPr="00295116" w:rsidRDefault="00E4391E" w:rsidP="0010580B">
            <w:pPr>
              <w:spacing w:after="0" w:line="360" w:lineRule="auto"/>
            </w:pPr>
            <w:r w:rsidRPr="00295116">
              <w:rPr>
                <w:sz w:val="22"/>
                <w:szCs w:val="22"/>
              </w:rPr>
              <w:t>Joseph Telfair, DrPH, MSW, MPH</w:t>
            </w:r>
          </w:p>
        </w:tc>
        <w:tc>
          <w:tcPr>
            <w:tcW w:w="1890" w:type="dxa"/>
          </w:tcPr>
          <w:p w:rsidR="00E4391E" w:rsidRPr="00295116" w:rsidRDefault="00E4391E" w:rsidP="0010580B">
            <w:pPr>
              <w:spacing w:line="360" w:lineRule="auto"/>
            </w:pPr>
            <w:r w:rsidRPr="00295116">
              <w:rPr>
                <w:sz w:val="22"/>
                <w:szCs w:val="22"/>
              </w:rPr>
              <w:t>Project Director</w:t>
            </w:r>
          </w:p>
        </w:tc>
        <w:tc>
          <w:tcPr>
            <w:tcW w:w="1447" w:type="dxa"/>
            <w:tcMar>
              <w:top w:w="0" w:type="dxa"/>
              <w:left w:w="108" w:type="dxa"/>
              <w:bottom w:w="0" w:type="dxa"/>
              <w:right w:w="108" w:type="dxa"/>
            </w:tcMar>
          </w:tcPr>
          <w:p w:rsidR="00E4391E" w:rsidRPr="00295116" w:rsidRDefault="00E4391E" w:rsidP="0010580B">
            <w:pPr>
              <w:spacing w:line="360" w:lineRule="auto"/>
            </w:pPr>
            <w:r w:rsidRPr="00295116">
              <w:rPr>
                <w:sz w:val="22"/>
                <w:szCs w:val="22"/>
              </w:rPr>
              <w:t>336-334-4777</w:t>
            </w:r>
          </w:p>
        </w:tc>
        <w:tc>
          <w:tcPr>
            <w:tcW w:w="3005" w:type="dxa"/>
            <w:tcMar>
              <w:top w:w="0" w:type="dxa"/>
              <w:left w:w="108" w:type="dxa"/>
              <w:bottom w:w="0" w:type="dxa"/>
              <w:right w:w="108" w:type="dxa"/>
            </w:tcMar>
          </w:tcPr>
          <w:p w:rsidR="00E4391E" w:rsidRPr="00295116" w:rsidRDefault="00E4391E" w:rsidP="0010580B">
            <w:pPr>
              <w:spacing w:line="360" w:lineRule="auto"/>
            </w:pPr>
            <w:r w:rsidRPr="00295116">
              <w:rPr>
                <w:sz w:val="22"/>
                <w:szCs w:val="22"/>
              </w:rPr>
              <w:t>j_telfai@uncg.edu</w:t>
            </w:r>
          </w:p>
        </w:tc>
      </w:tr>
      <w:tr w:rsidR="00E4391E" w:rsidRPr="00295116" w:rsidTr="00A85799">
        <w:trPr>
          <w:jc w:val="center"/>
        </w:trPr>
        <w:tc>
          <w:tcPr>
            <w:tcW w:w="2398" w:type="dxa"/>
          </w:tcPr>
          <w:p w:rsidR="00E4391E" w:rsidRPr="00295116" w:rsidRDefault="00E4391E" w:rsidP="0010580B">
            <w:pPr>
              <w:pStyle w:val="NoSpacing1"/>
              <w:rPr>
                <w:sz w:val="22"/>
                <w:szCs w:val="22"/>
              </w:rPr>
            </w:pPr>
            <w:r w:rsidRPr="00295116">
              <w:rPr>
                <w:sz w:val="22"/>
                <w:szCs w:val="22"/>
              </w:rPr>
              <w:t>Meharry Medical College (MMC)</w:t>
            </w:r>
          </w:p>
        </w:tc>
        <w:tc>
          <w:tcPr>
            <w:tcW w:w="2121" w:type="dxa"/>
          </w:tcPr>
          <w:p w:rsidR="00E4391E" w:rsidRPr="00295116" w:rsidRDefault="00E4391E" w:rsidP="0010580B">
            <w:pPr>
              <w:spacing w:after="0" w:line="360" w:lineRule="auto"/>
            </w:pPr>
            <w:r w:rsidRPr="00295116">
              <w:rPr>
                <w:sz w:val="22"/>
                <w:szCs w:val="22"/>
              </w:rPr>
              <w:t>Maria del Pilar Aguinaga, PhD, CLDir</w:t>
            </w:r>
            <w:r>
              <w:rPr>
                <w:sz w:val="22"/>
                <w:szCs w:val="22"/>
              </w:rPr>
              <w:t xml:space="preserve"> </w:t>
            </w:r>
            <w:r w:rsidRPr="00295116">
              <w:rPr>
                <w:sz w:val="22"/>
                <w:szCs w:val="22"/>
              </w:rPr>
              <w:t>(NCA)</w:t>
            </w:r>
          </w:p>
        </w:tc>
        <w:tc>
          <w:tcPr>
            <w:tcW w:w="1890" w:type="dxa"/>
          </w:tcPr>
          <w:p w:rsidR="00E4391E" w:rsidRPr="00295116" w:rsidRDefault="00E4391E" w:rsidP="0010580B">
            <w:pPr>
              <w:spacing w:line="360" w:lineRule="auto"/>
            </w:pPr>
            <w:r w:rsidRPr="00295116">
              <w:rPr>
                <w:sz w:val="22"/>
                <w:szCs w:val="22"/>
              </w:rPr>
              <w:t xml:space="preserve">Clinical Advisor </w:t>
            </w:r>
          </w:p>
        </w:tc>
        <w:tc>
          <w:tcPr>
            <w:tcW w:w="1447" w:type="dxa"/>
            <w:tcMar>
              <w:top w:w="0" w:type="dxa"/>
              <w:left w:w="108" w:type="dxa"/>
              <w:bottom w:w="0" w:type="dxa"/>
              <w:right w:w="108" w:type="dxa"/>
            </w:tcMar>
          </w:tcPr>
          <w:p w:rsidR="00E4391E" w:rsidRPr="00295116" w:rsidRDefault="00E4391E" w:rsidP="0010580B">
            <w:pPr>
              <w:spacing w:line="360" w:lineRule="auto"/>
            </w:pPr>
            <w:r w:rsidRPr="00295116">
              <w:rPr>
                <w:sz w:val="22"/>
                <w:szCs w:val="22"/>
              </w:rPr>
              <w:t>615-327-6591</w:t>
            </w:r>
          </w:p>
        </w:tc>
        <w:tc>
          <w:tcPr>
            <w:tcW w:w="3005" w:type="dxa"/>
            <w:tcMar>
              <w:top w:w="0" w:type="dxa"/>
              <w:left w:w="108" w:type="dxa"/>
              <w:bottom w:w="0" w:type="dxa"/>
              <w:right w:w="108" w:type="dxa"/>
            </w:tcMar>
          </w:tcPr>
          <w:p w:rsidR="00E4391E" w:rsidRPr="00295116" w:rsidRDefault="00424A3B" w:rsidP="0010580B">
            <w:pPr>
              <w:spacing w:line="360" w:lineRule="auto"/>
            </w:pPr>
            <w:hyperlink r:id="rId18" w:history="1">
              <w:r w:rsidR="00E4391E" w:rsidRPr="00F57A28">
                <w:rPr>
                  <w:rStyle w:val="Hyperlink"/>
                  <w:sz w:val="22"/>
                  <w:szCs w:val="22"/>
                </w:rPr>
                <w:t>maguinaga@mmc.edu</w:t>
              </w:r>
            </w:hyperlink>
          </w:p>
        </w:tc>
      </w:tr>
      <w:tr w:rsidR="00E4391E" w:rsidRPr="00295116" w:rsidTr="00A85799">
        <w:trPr>
          <w:jc w:val="center"/>
        </w:trPr>
        <w:tc>
          <w:tcPr>
            <w:tcW w:w="2398" w:type="dxa"/>
          </w:tcPr>
          <w:p w:rsidR="00E4391E" w:rsidRPr="00295116" w:rsidRDefault="00E4391E" w:rsidP="0010580B">
            <w:pPr>
              <w:pStyle w:val="NoSpacing1"/>
              <w:rPr>
                <w:sz w:val="22"/>
                <w:szCs w:val="22"/>
              </w:rPr>
            </w:pPr>
            <w:r w:rsidRPr="00295116">
              <w:rPr>
                <w:sz w:val="22"/>
                <w:szCs w:val="22"/>
              </w:rPr>
              <w:t>National Heart, Lung and Blood Institute/Univ of Colorado Health Sciences Center</w:t>
            </w:r>
          </w:p>
        </w:tc>
        <w:tc>
          <w:tcPr>
            <w:tcW w:w="2121" w:type="dxa"/>
          </w:tcPr>
          <w:p w:rsidR="00E4391E" w:rsidRPr="00295116" w:rsidRDefault="00E4391E" w:rsidP="0010580B">
            <w:pPr>
              <w:spacing w:line="360" w:lineRule="auto"/>
            </w:pPr>
            <w:r w:rsidRPr="00295116">
              <w:rPr>
                <w:sz w:val="22"/>
                <w:szCs w:val="22"/>
              </w:rPr>
              <w:t>Kathryn Hassell, MD</w:t>
            </w:r>
          </w:p>
        </w:tc>
        <w:tc>
          <w:tcPr>
            <w:tcW w:w="1890" w:type="dxa"/>
          </w:tcPr>
          <w:p w:rsidR="00E4391E" w:rsidRPr="00295116" w:rsidRDefault="00E4391E" w:rsidP="0010580B">
            <w:pPr>
              <w:spacing w:line="360" w:lineRule="auto"/>
            </w:pPr>
            <w:r w:rsidRPr="00295116">
              <w:rPr>
                <w:sz w:val="22"/>
                <w:szCs w:val="22"/>
              </w:rPr>
              <w:t>Technical Working Group Chairperson</w:t>
            </w:r>
          </w:p>
        </w:tc>
        <w:tc>
          <w:tcPr>
            <w:tcW w:w="1447" w:type="dxa"/>
            <w:tcMar>
              <w:top w:w="0" w:type="dxa"/>
              <w:left w:w="108" w:type="dxa"/>
              <w:bottom w:w="0" w:type="dxa"/>
              <w:right w:w="108" w:type="dxa"/>
            </w:tcMar>
          </w:tcPr>
          <w:p w:rsidR="00E4391E" w:rsidRPr="00295116" w:rsidRDefault="00E4391E" w:rsidP="0010580B">
            <w:pPr>
              <w:spacing w:line="360" w:lineRule="auto"/>
            </w:pPr>
            <w:r w:rsidRPr="00295116">
              <w:rPr>
                <w:sz w:val="22"/>
                <w:szCs w:val="22"/>
              </w:rPr>
              <w:t>303-372-9071</w:t>
            </w:r>
          </w:p>
        </w:tc>
        <w:tc>
          <w:tcPr>
            <w:tcW w:w="3005" w:type="dxa"/>
            <w:tcMar>
              <w:top w:w="0" w:type="dxa"/>
              <w:left w:w="108" w:type="dxa"/>
              <w:bottom w:w="0" w:type="dxa"/>
              <w:right w:w="108" w:type="dxa"/>
            </w:tcMar>
          </w:tcPr>
          <w:p w:rsidR="00E4391E" w:rsidRPr="00295116" w:rsidRDefault="00424A3B" w:rsidP="0010580B">
            <w:pPr>
              <w:spacing w:after="0" w:line="360" w:lineRule="auto"/>
            </w:pPr>
            <w:hyperlink r:id="rId19" w:history="1">
              <w:r w:rsidR="00E4391E" w:rsidRPr="00295116">
                <w:rPr>
                  <w:rStyle w:val="Hyperlink"/>
                  <w:sz w:val="22"/>
                  <w:szCs w:val="22"/>
                </w:rPr>
                <w:t>hassellk@nhlbi.nih.gov</w:t>
              </w:r>
            </w:hyperlink>
          </w:p>
          <w:p w:rsidR="00E4391E" w:rsidRPr="00295116" w:rsidRDefault="00E4391E" w:rsidP="0010580B">
            <w:pPr>
              <w:spacing w:after="0" w:line="360" w:lineRule="auto"/>
            </w:pPr>
          </w:p>
        </w:tc>
      </w:tr>
      <w:tr w:rsidR="00E4391E" w:rsidRPr="00295116" w:rsidTr="00A85799">
        <w:trPr>
          <w:trHeight w:val="1285"/>
          <w:jc w:val="center"/>
        </w:trPr>
        <w:tc>
          <w:tcPr>
            <w:tcW w:w="2398" w:type="dxa"/>
          </w:tcPr>
          <w:p w:rsidR="00E4391E" w:rsidRPr="00295116" w:rsidRDefault="00E4391E" w:rsidP="0010580B">
            <w:pPr>
              <w:pStyle w:val="NoSpacing1"/>
              <w:rPr>
                <w:sz w:val="22"/>
                <w:szCs w:val="22"/>
              </w:rPr>
            </w:pPr>
            <w:r w:rsidRPr="00295116">
              <w:rPr>
                <w:sz w:val="22"/>
                <w:szCs w:val="22"/>
              </w:rPr>
              <w:t xml:space="preserve">Research </w:t>
            </w:r>
          </w:p>
          <w:p w:rsidR="00E4391E" w:rsidRPr="00295116" w:rsidRDefault="00E4391E" w:rsidP="0010580B">
            <w:pPr>
              <w:pStyle w:val="NoSpacing1"/>
              <w:rPr>
                <w:sz w:val="22"/>
                <w:szCs w:val="22"/>
              </w:rPr>
            </w:pPr>
            <w:r w:rsidRPr="00295116">
              <w:rPr>
                <w:sz w:val="22"/>
                <w:szCs w:val="22"/>
              </w:rPr>
              <w:t>Triangle</w:t>
            </w:r>
          </w:p>
          <w:p w:rsidR="00E4391E" w:rsidRPr="00295116" w:rsidRDefault="00E4391E" w:rsidP="0010580B">
            <w:pPr>
              <w:pStyle w:val="NoSpacing1"/>
              <w:rPr>
                <w:sz w:val="22"/>
                <w:szCs w:val="22"/>
              </w:rPr>
            </w:pPr>
            <w:r w:rsidRPr="00295116">
              <w:rPr>
                <w:sz w:val="22"/>
                <w:szCs w:val="22"/>
              </w:rPr>
              <w:t>Institute (RTI)</w:t>
            </w:r>
          </w:p>
        </w:tc>
        <w:tc>
          <w:tcPr>
            <w:tcW w:w="2121" w:type="dxa"/>
          </w:tcPr>
          <w:p w:rsidR="00E4391E" w:rsidRPr="00295116" w:rsidRDefault="00E4391E" w:rsidP="0010580B">
            <w:pPr>
              <w:pStyle w:val="NoSpacing1"/>
              <w:rPr>
                <w:sz w:val="22"/>
                <w:szCs w:val="22"/>
              </w:rPr>
            </w:pPr>
            <w:r w:rsidRPr="00295116">
              <w:rPr>
                <w:sz w:val="22"/>
                <w:szCs w:val="22"/>
              </w:rPr>
              <w:t>Marian Sullivan, MS, MPH</w:t>
            </w:r>
          </w:p>
        </w:tc>
        <w:tc>
          <w:tcPr>
            <w:tcW w:w="1890" w:type="dxa"/>
          </w:tcPr>
          <w:p w:rsidR="00E4391E" w:rsidRPr="00295116" w:rsidRDefault="00E4391E" w:rsidP="0010580B">
            <w:pPr>
              <w:pStyle w:val="NoSpacing1"/>
              <w:rPr>
                <w:sz w:val="22"/>
                <w:szCs w:val="22"/>
              </w:rPr>
            </w:pPr>
            <w:r w:rsidRPr="00295116">
              <w:rPr>
                <w:sz w:val="22"/>
                <w:szCs w:val="22"/>
              </w:rPr>
              <w:t>Project Manager</w:t>
            </w:r>
          </w:p>
        </w:tc>
        <w:tc>
          <w:tcPr>
            <w:tcW w:w="1447" w:type="dxa"/>
            <w:tcMar>
              <w:top w:w="0" w:type="dxa"/>
              <w:left w:w="108" w:type="dxa"/>
              <w:bottom w:w="0" w:type="dxa"/>
              <w:right w:w="108" w:type="dxa"/>
            </w:tcMar>
          </w:tcPr>
          <w:p w:rsidR="00E4391E" w:rsidRPr="00295116" w:rsidRDefault="00E4391E" w:rsidP="0010580B">
            <w:pPr>
              <w:pStyle w:val="NoSpacing1"/>
              <w:rPr>
                <w:sz w:val="22"/>
                <w:szCs w:val="22"/>
              </w:rPr>
            </w:pPr>
            <w:r w:rsidRPr="00295116">
              <w:rPr>
                <w:sz w:val="22"/>
                <w:szCs w:val="22"/>
              </w:rPr>
              <w:t>301-230-4677</w:t>
            </w:r>
          </w:p>
        </w:tc>
        <w:tc>
          <w:tcPr>
            <w:tcW w:w="3005" w:type="dxa"/>
            <w:tcMar>
              <w:top w:w="0" w:type="dxa"/>
              <w:left w:w="108" w:type="dxa"/>
              <w:bottom w:w="0" w:type="dxa"/>
              <w:right w:w="108" w:type="dxa"/>
            </w:tcMar>
          </w:tcPr>
          <w:p w:rsidR="00E4391E" w:rsidRPr="00295116" w:rsidRDefault="00424A3B" w:rsidP="0010580B">
            <w:pPr>
              <w:pStyle w:val="NoSpacing1"/>
              <w:rPr>
                <w:sz w:val="22"/>
                <w:szCs w:val="22"/>
              </w:rPr>
            </w:pPr>
            <w:hyperlink r:id="rId20" w:history="1">
              <w:r w:rsidR="00E4391E" w:rsidRPr="00295116">
                <w:rPr>
                  <w:rStyle w:val="Hyperlink"/>
                  <w:sz w:val="22"/>
                  <w:szCs w:val="22"/>
                </w:rPr>
                <w:t>msullivan@rti.org</w:t>
              </w:r>
            </w:hyperlink>
          </w:p>
        </w:tc>
      </w:tr>
    </w:tbl>
    <w:p w:rsidR="00E4391E" w:rsidRDefault="00E4391E" w:rsidP="00D254D8">
      <w:pPr>
        <w:rPr>
          <w:b/>
          <w:bCs/>
        </w:rPr>
      </w:pPr>
    </w:p>
    <w:p w:rsidR="00E4391E" w:rsidRPr="00D642EF" w:rsidRDefault="00E4391E" w:rsidP="0019779B">
      <w:pPr>
        <w:autoSpaceDE w:val="0"/>
        <w:autoSpaceDN w:val="0"/>
        <w:adjustRightInd w:val="0"/>
        <w:spacing w:line="240" w:lineRule="auto"/>
        <w:rPr>
          <w:b/>
          <w:bCs/>
          <w:color w:val="FF0000"/>
        </w:rPr>
      </w:pPr>
      <w:r>
        <w:rPr>
          <w:b/>
          <w:bCs/>
        </w:rPr>
        <w:t xml:space="preserve">9. </w:t>
      </w:r>
      <w:r w:rsidRPr="00D642EF">
        <w:rPr>
          <w:b/>
          <w:iCs/>
          <w:u w:val="single"/>
        </w:rPr>
        <w:t>Compensation of Respondents</w:t>
      </w:r>
      <w:r w:rsidRPr="00D642EF">
        <w:rPr>
          <w:b/>
          <w:iCs/>
        </w:rPr>
        <w:t xml:space="preserve"> </w:t>
      </w:r>
    </w:p>
    <w:p w:rsidR="00E4391E" w:rsidRDefault="00E4391E" w:rsidP="0019779B">
      <w:pPr>
        <w:pStyle w:val="NormalSS"/>
        <w:ind w:firstLine="0"/>
        <w:jc w:val="left"/>
        <w:rPr>
          <w:b/>
          <w:bCs/>
        </w:rPr>
      </w:pPr>
      <w:r>
        <w:t>R</w:t>
      </w:r>
      <w:r w:rsidRPr="00555A26">
        <w:t>espondents</w:t>
      </w:r>
      <w:r>
        <w:t xml:space="preserve"> will not be remunerated or compensated.</w:t>
      </w:r>
    </w:p>
    <w:p w:rsidR="00E4391E" w:rsidRDefault="00E4391E" w:rsidP="0019779B">
      <w:pPr>
        <w:keepNext/>
        <w:keepLines/>
        <w:autoSpaceDE w:val="0"/>
        <w:autoSpaceDN w:val="0"/>
        <w:adjustRightInd w:val="0"/>
        <w:spacing w:line="240" w:lineRule="auto"/>
        <w:rPr>
          <w:b/>
          <w:bCs/>
        </w:rPr>
      </w:pPr>
    </w:p>
    <w:p w:rsidR="00E4391E" w:rsidRDefault="00E4391E" w:rsidP="00F54B22">
      <w:pPr>
        <w:keepNext/>
        <w:keepLines/>
        <w:numPr>
          <w:ilvl w:val="0"/>
          <w:numId w:val="14"/>
        </w:numPr>
        <w:autoSpaceDE w:val="0"/>
        <w:autoSpaceDN w:val="0"/>
        <w:adjustRightInd w:val="0"/>
        <w:spacing w:line="240" w:lineRule="auto"/>
        <w:rPr>
          <w:b/>
          <w:bCs/>
          <w:u w:val="single"/>
        </w:rPr>
      </w:pPr>
      <w:r w:rsidRPr="00D642EF">
        <w:rPr>
          <w:b/>
          <w:bCs/>
          <w:u w:val="single"/>
        </w:rPr>
        <w:t>Assurance of Confidentiality</w:t>
      </w:r>
    </w:p>
    <w:p w:rsidR="00F54B22" w:rsidRPr="00F54B22" w:rsidRDefault="00F54B22" w:rsidP="00F54B22">
      <w:pPr>
        <w:keepNext/>
        <w:keepLines/>
        <w:autoSpaceDE w:val="0"/>
        <w:autoSpaceDN w:val="0"/>
        <w:adjustRightInd w:val="0"/>
        <w:spacing w:line="240" w:lineRule="auto"/>
        <w:rPr>
          <w:bCs/>
        </w:rPr>
      </w:pPr>
      <w:r>
        <w:rPr>
          <w:bCs/>
        </w:rPr>
        <w:t>The need for a Privacy Act System of Records Notice (SORN) was assessed.  It was determined that a SORN is not necessary for this data collection activity.</w:t>
      </w:r>
    </w:p>
    <w:p w:rsidR="00E4391E" w:rsidRDefault="00E4391E" w:rsidP="00F46617">
      <w:pPr>
        <w:numPr>
          <w:ilvl w:val="0"/>
          <w:numId w:val="11"/>
        </w:numPr>
        <w:spacing w:line="240" w:lineRule="auto"/>
        <w:rPr>
          <w:b/>
          <w:i/>
        </w:rPr>
      </w:pPr>
      <w:r w:rsidRPr="0019779B">
        <w:rPr>
          <w:b/>
          <w:i/>
        </w:rPr>
        <w:t xml:space="preserve">Sickle Cell Disease and Newborn Screening Program (SCDNBSP) </w:t>
      </w:r>
    </w:p>
    <w:p w:rsidR="00E4391E" w:rsidRDefault="00E4391E">
      <w:pPr>
        <w:spacing w:line="240" w:lineRule="auto"/>
        <w:ind w:left="360"/>
      </w:pPr>
      <w:r>
        <w:t xml:space="preserve">The project team will undertake the following measures to ensure confidentiality: </w:t>
      </w:r>
    </w:p>
    <w:p w:rsidR="00E4391E" w:rsidRDefault="00E4391E">
      <w:pPr>
        <w:pStyle w:val="ListParagraph"/>
        <w:numPr>
          <w:ilvl w:val="0"/>
          <w:numId w:val="23"/>
        </w:numPr>
        <w:spacing w:line="240" w:lineRule="auto"/>
        <w:rPr>
          <w:b/>
          <w:i/>
        </w:rPr>
      </w:pPr>
      <w:r>
        <w:t>Individuals will be assigned a random digit identifier. The linkage between the identifier and the patient/client name will be kept at the grantee networks and will not be reported to the National Coordinating and Evaluation Center</w:t>
      </w:r>
    </w:p>
    <w:p w:rsidR="00E4391E" w:rsidRDefault="00E4391E">
      <w:pPr>
        <w:pStyle w:val="ListParagraph"/>
        <w:numPr>
          <w:ilvl w:val="0"/>
          <w:numId w:val="23"/>
        </w:numPr>
        <w:spacing w:line="240" w:lineRule="auto"/>
        <w:rPr>
          <w:b/>
          <w:i/>
        </w:rPr>
      </w:pPr>
      <w:r>
        <w:t xml:space="preserve">All NCEC staff with access to data will undergo IRB and HIPPA training and certification </w:t>
      </w:r>
    </w:p>
    <w:p w:rsidR="00E4391E" w:rsidRDefault="00E4391E">
      <w:pPr>
        <w:pStyle w:val="ListParagraph"/>
        <w:numPr>
          <w:ilvl w:val="0"/>
          <w:numId w:val="23"/>
        </w:numPr>
        <w:spacing w:line="240" w:lineRule="auto"/>
        <w:rPr>
          <w:b/>
          <w:i/>
        </w:rPr>
      </w:pPr>
      <w:r>
        <w:t>Any paper copies of survey instruments with personal health information or personal identifiers will be kept in a locked file with the grantee networks.</w:t>
      </w:r>
    </w:p>
    <w:p w:rsidR="00E4391E" w:rsidRDefault="00E4391E">
      <w:pPr>
        <w:pStyle w:val="ListParagraph"/>
        <w:numPr>
          <w:ilvl w:val="0"/>
          <w:numId w:val="23"/>
        </w:numPr>
        <w:spacing w:line="240" w:lineRule="auto"/>
        <w:rPr>
          <w:b/>
          <w:i/>
        </w:rPr>
      </w:pPr>
      <w:r>
        <w:t>Electronic data will be encrypted and transmitted using Secure Socket Layer (SSL) technology. SSL is a file and data encryption protocol</w:t>
      </w:r>
      <w:r w:rsidRPr="00B94007">
        <w:rPr>
          <w:b/>
          <w:i/>
        </w:rPr>
        <w:t xml:space="preserve"> </w:t>
      </w:r>
    </w:p>
    <w:p w:rsidR="00E4391E" w:rsidRDefault="00E4391E">
      <w:pPr>
        <w:pStyle w:val="ListParagraph"/>
        <w:numPr>
          <w:ilvl w:val="0"/>
          <w:numId w:val="23"/>
        </w:numPr>
        <w:spacing w:line="240" w:lineRule="auto"/>
        <w:rPr>
          <w:b/>
          <w:bCs/>
        </w:rPr>
      </w:pPr>
      <w:r>
        <w:lastRenderedPageBreak/>
        <w:t xml:space="preserve">Responses reported in final reports will be reported in aggregate. </w:t>
      </w:r>
    </w:p>
    <w:p w:rsidR="00E4391E" w:rsidRPr="00E52906" w:rsidRDefault="00E4391E" w:rsidP="00F46617">
      <w:pPr>
        <w:numPr>
          <w:ilvl w:val="0"/>
          <w:numId w:val="11"/>
        </w:numPr>
        <w:spacing w:line="240" w:lineRule="auto"/>
        <w:rPr>
          <w:b/>
          <w:i/>
        </w:rPr>
      </w:pPr>
      <w:r w:rsidRPr="0010580B">
        <w:rPr>
          <w:b/>
          <w:i/>
        </w:rPr>
        <w:t>Sickle Cell Disease Treatment Demonstrati</w:t>
      </w:r>
      <w:r>
        <w:rPr>
          <w:b/>
          <w:i/>
        </w:rPr>
        <w:t xml:space="preserve">on Program (SCDTDP) </w:t>
      </w:r>
      <w:r w:rsidRPr="0010580B">
        <w:rPr>
          <w:b/>
          <w:i/>
        </w:rPr>
        <w:t xml:space="preserve"> </w:t>
      </w:r>
    </w:p>
    <w:p w:rsidR="00E4391E" w:rsidRDefault="00E4391E" w:rsidP="00E52906">
      <w:pPr>
        <w:keepNext/>
        <w:keepLines/>
        <w:autoSpaceDE w:val="0"/>
        <w:autoSpaceDN w:val="0"/>
        <w:adjustRightInd w:val="0"/>
        <w:spacing w:line="240" w:lineRule="auto"/>
      </w:pPr>
      <w:r>
        <w:t>The project team will undertake the following measures to ensure confidentiality:</w:t>
      </w:r>
    </w:p>
    <w:p w:rsidR="00E4391E" w:rsidRPr="0014621C" w:rsidRDefault="00E4391E" w:rsidP="00F46617">
      <w:pPr>
        <w:pStyle w:val="ListParagraph"/>
        <w:keepNext/>
        <w:keepLines/>
        <w:numPr>
          <w:ilvl w:val="0"/>
          <w:numId w:val="12"/>
        </w:numPr>
        <w:autoSpaceDE w:val="0"/>
        <w:autoSpaceDN w:val="0"/>
        <w:adjustRightInd w:val="0"/>
        <w:spacing w:line="240" w:lineRule="auto"/>
        <w:rPr>
          <w:b/>
          <w:bCs/>
        </w:rPr>
      </w:pPr>
      <w:r>
        <w:t>Individuals will be assigned a project ID number. The linkage between project ID number and patient/client name will be kept at sites and not reported to the National Coordinating Center.</w:t>
      </w:r>
    </w:p>
    <w:p w:rsidR="00E4391E" w:rsidRPr="0014621C" w:rsidRDefault="00E4391E" w:rsidP="00F46617">
      <w:pPr>
        <w:pStyle w:val="ListParagraph"/>
        <w:keepNext/>
        <w:keepLines/>
        <w:numPr>
          <w:ilvl w:val="0"/>
          <w:numId w:val="12"/>
        </w:numPr>
        <w:autoSpaceDE w:val="0"/>
        <w:autoSpaceDN w:val="0"/>
        <w:adjustRightInd w:val="0"/>
        <w:spacing w:line="240" w:lineRule="auto"/>
        <w:rPr>
          <w:b/>
          <w:bCs/>
        </w:rPr>
      </w:pPr>
      <w:r>
        <w:t>All NCC personnel with access to data will undergo IRB and HIPPA training and certification.</w:t>
      </w:r>
    </w:p>
    <w:p w:rsidR="00E4391E" w:rsidRPr="0014621C" w:rsidRDefault="00E4391E" w:rsidP="00F46617">
      <w:pPr>
        <w:pStyle w:val="ListParagraph"/>
        <w:keepNext/>
        <w:keepLines/>
        <w:numPr>
          <w:ilvl w:val="0"/>
          <w:numId w:val="12"/>
        </w:numPr>
        <w:autoSpaceDE w:val="0"/>
        <w:autoSpaceDN w:val="0"/>
        <w:adjustRightInd w:val="0"/>
        <w:spacing w:line="240" w:lineRule="auto"/>
        <w:rPr>
          <w:b/>
          <w:bCs/>
        </w:rPr>
      </w:pPr>
      <w:r>
        <w:t xml:space="preserve">Any hard copies of information (paper instruments) with personal health information will be kept in a locked file. A log of individuals seeking access to the information will be kept and maintained by the NCC Project Director. </w:t>
      </w:r>
    </w:p>
    <w:p w:rsidR="00E4391E" w:rsidRPr="006B60BC" w:rsidRDefault="00E4391E" w:rsidP="00F46617">
      <w:pPr>
        <w:pStyle w:val="ListParagraph"/>
        <w:keepNext/>
        <w:keepLines/>
        <w:numPr>
          <w:ilvl w:val="0"/>
          <w:numId w:val="12"/>
        </w:numPr>
        <w:autoSpaceDE w:val="0"/>
        <w:autoSpaceDN w:val="0"/>
        <w:adjustRightInd w:val="0"/>
        <w:spacing w:line="240" w:lineRule="auto"/>
        <w:rPr>
          <w:b/>
          <w:bCs/>
        </w:rPr>
      </w:pPr>
      <w:r>
        <w:t xml:space="preserve">Electronic data will be encrypted and transmitted using Secure Socket Layer (SSL) technology. SSL is a file and data encryption protocol. </w:t>
      </w:r>
    </w:p>
    <w:p w:rsidR="00E4391E" w:rsidRPr="006B60BC" w:rsidRDefault="00E4391E" w:rsidP="00F46617">
      <w:pPr>
        <w:pStyle w:val="ListParagraph"/>
        <w:keepNext/>
        <w:keepLines/>
        <w:numPr>
          <w:ilvl w:val="0"/>
          <w:numId w:val="12"/>
        </w:numPr>
        <w:autoSpaceDE w:val="0"/>
        <w:autoSpaceDN w:val="0"/>
        <w:adjustRightInd w:val="0"/>
        <w:spacing w:line="240" w:lineRule="auto"/>
        <w:rPr>
          <w:b/>
          <w:bCs/>
        </w:rPr>
      </w:pPr>
      <w:r>
        <w:t xml:space="preserve">Publicly accessible reports will only provide aggregate data. </w:t>
      </w:r>
    </w:p>
    <w:p w:rsidR="00E4391E" w:rsidRPr="00D642EF" w:rsidRDefault="00E4391E" w:rsidP="0019779B">
      <w:pPr>
        <w:autoSpaceDE w:val="0"/>
        <w:autoSpaceDN w:val="0"/>
        <w:adjustRightInd w:val="0"/>
        <w:spacing w:line="240" w:lineRule="auto"/>
        <w:rPr>
          <w:b/>
          <w:bCs/>
        </w:rPr>
      </w:pPr>
      <w:r w:rsidRPr="00D642EF">
        <w:rPr>
          <w:b/>
          <w:bCs/>
        </w:rPr>
        <w:t>11.</w:t>
      </w:r>
      <w:r>
        <w:rPr>
          <w:b/>
          <w:bCs/>
        </w:rPr>
        <w:t xml:space="preserve"> </w:t>
      </w:r>
      <w:r w:rsidRPr="00D642EF">
        <w:rPr>
          <w:b/>
          <w:bCs/>
          <w:u w:val="single"/>
        </w:rPr>
        <w:t>Questions of a Sensitive Nature</w:t>
      </w:r>
    </w:p>
    <w:p w:rsidR="00E4391E" w:rsidRPr="00B770DE" w:rsidRDefault="00E4391E" w:rsidP="00B770DE">
      <w:pPr>
        <w:pStyle w:val="NormalSS"/>
        <w:ind w:firstLine="0"/>
        <w:jc w:val="left"/>
      </w:pPr>
      <w:r>
        <w:t xml:space="preserve">There are no questions of a </w:t>
      </w:r>
      <w:r w:rsidRPr="009656B2">
        <w:t>sensitive nature</w:t>
      </w:r>
      <w:r>
        <w:t>.</w:t>
      </w:r>
    </w:p>
    <w:p w:rsidR="00E4391E" w:rsidRPr="006E6619" w:rsidRDefault="00E4391E" w:rsidP="00D254D8">
      <w:pPr>
        <w:autoSpaceDE w:val="0"/>
        <w:autoSpaceDN w:val="0"/>
        <w:adjustRightInd w:val="0"/>
        <w:rPr>
          <w:b/>
          <w:bCs/>
        </w:rPr>
      </w:pPr>
      <w:r w:rsidRPr="006E6619">
        <w:rPr>
          <w:b/>
          <w:bCs/>
        </w:rPr>
        <w:t xml:space="preserve">12. </w:t>
      </w:r>
      <w:r w:rsidRPr="006E6619">
        <w:rPr>
          <w:b/>
          <w:bCs/>
          <w:u w:val="single"/>
        </w:rPr>
        <w:t>Estimates of Annualized Hour Burden</w:t>
      </w:r>
    </w:p>
    <w:p w:rsidR="00E4391E" w:rsidRPr="00F5689C" w:rsidRDefault="00E4391E" w:rsidP="00F46617">
      <w:pPr>
        <w:numPr>
          <w:ilvl w:val="0"/>
          <w:numId w:val="13"/>
        </w:numPr>
        <w:spacing w:line="240" w:lineRule="auto"/>
        <w:rPr>
          <w:b/>
          <w:i/>
        </w:rPr>
      </w:pPr>
      <w:r w:rsidRPr="00F5689C">
        <w:rPr>
          <w:b/>
          <w:i/>
        </w:rPr>
        <w:t xml:space="preserve">Sickle Cell Disease and Newborn Screening Program (SCDNBSP) </w:t>
      </w:r>
    </w:p>
    <w:p w:rsidR="00E4391E" w:rsidRDefault="00E4391E" w:rsidP="00E52906">
      <w:pPr>
        <w:pStyle w:val="NoSpacing"/>
      </w:pPr>
      <w:r>
        <w:t xml:space="preserve">Data will be collected using two different instruments for SCDNBSP: the Minimum Dataset Project (MDP) Sickle Cell Disease Questionnaire and the MDP Sickle Cell Trait Questionnaire (see section 2).  </w:t>
      </w:r>
      <w:r w:rsidRPr="00065D24">
        <w:t>The total burden estimate per participant is shown below</w:t>
      </w:r>
      <w:r>
        <w:t xml:space="preserve"> in Table 3.  Wage rates were determined based on the 2009 National Occupational Employment and Wage Estimates from the Bureau of Labor Statistics for all occupations.</w:t>
      </w:r>
    </w:p>
    <w:p w:rsidR="00E4391E" w:rsidRDefault="00E4391E" w:rsidP="00065D24">
      <w:pPr>
        <w:pStyle w:val="NoSpacing"/>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5"/>
        <w:gridCol w:w="1306"/>
        <w:gridCol w:w="1228"/>
        <w:gridCol w:w="1094"/>
        <w:gridCol w:w="1017"/>
        <w:gridCol w:w="862"/>
        <w:gridCol w:w="766"/>
        <w:gridCol w:w="1078"/>
      </w:tblGrid>
      <w:tr w:rsidR="00E4391E" w:rsidRPr="004771A3">
        <w:tc>
          <w:tcPr>
            <w:tcW w:w="8856" w:type="dxa"/>
            <w:gridSpan w:val="8"/>
          </w:tcPr>
          <w:p w:rsidR="00E4391E" w:rsidRPr="009E1E76" w:rsidRDefault="00E4391E" w:rsidP="009E1E76">
            <w:pPr>
              <w:autoSpaceDE w:val="0"/>
              <w:autoSpaceDN w:val="0"/>
              <w:adjustRightInd w:val="0"/>
              <w:spacing w:line="240" w:lineRule="auto"/>
              <w:jc w:val="center"/>
              <w:rPr>
                <w:b/>
              </w:rPr>
            </w:pPr>
            <w:r>
              <w:rPr>
                <w:b/>
                <w:sz w:val="22"/>
                <w:szCs w:val="22"/>
              </w:rPr>
              <w:t>Table 3</w:t>
            </w:r>
            <w:r w:rsidRPr="009E1E76">
              <w:rPr>
                <w:b/>
                <w:sz w:val="22"/>
                <w:szCs w:val="22"/>
              </w:rPr>
              <w:t xml:space="preserve">. </w:t>
            </w:r>
            <w:r w:rsidRPr="009E1E76">
              <w:rPr>
                <w:b/>
                <w:bCs/>
                <w:sz w:val="22"/>
                <w:szCs w:val="22"/>
              </w:rPr>
              <w:t>Estimated Hour and Cost Burden of the Data Collection</w:t>
            </w:r>
          </w:p>
        </w:tc>
      </w:tr>
      <w:tr w:rsidR="00E4391E" w:rsidRPr="004771A3">
        <w:tc>
          <w:tcPr>
            <w:tcW w:w="1505" w:type="dxa"/>
          </w:tcPr>
          <w:p w:rsidR="00E4391E" w:rsidRPr="004771A3" w:rsidRDefault="00E4391E" w:rsidP="00D254D8">
            <w:pPr>
              <w:rPr>
                <w:b/>
                <w:sz w:val="20"/>
                <w:szCs w:val="20"/>
              </w:rPr>
            </w:pPr>
            <w:r w:rsidRPr="004771A3">
              <w:rPr>
                <w:b/>
                <w:sz w:val="20"/>
                <w:szCs w:val="20"/>
              </w:rPr>
              <w:t>Questionnaires</w:t>
            </w:r>
          </w:p>
        </w:tc>
        <w:tc>
          <w:tcPr>
            <w:tcW w:w="1306" w:type="dxa"/>
          </w:tcPr>
          <w:p w:rsidR="00E4391E" w:rsidRPr="004771A3" w:rsidRDefault="00E4391E" w:rsidP="00D254D8">
            <w:pPr>
              <w:rPr>
                <w:b/>
                <w:sz w:val="20"/>
                <w:szCs w:val="20"/>
              </w:rPr>
            </w:pPr>
            <w:r w:rsidRPr="004771A3">
              <w:rPr>
                <w:b/>
                <w:sz w:val="20"/>
                <w:szCs w:val="20"/>
              </w:rPr>
              <w:t>No. of Respondents</w:t>
            </w:r>
          </w:p>
        </w:tc>
        <w:tc>
          <w:tcPr>
            <w:tcW w:w="1228" w:type="dxa"/>
          </w:tcPr>
          <w:p w:rsidR="00E4391E" w:rsidRPr="004771A3" w:rsidRDefault="00E4391E" w:rsidP="00D254D8">
            <w:pPr>
              <w:rPr>
                <w:b/>
                <w:sz w:val="20"/>
                <w:szCs w:val="20"/>
              </w:rPr>
            </w:pPr>
            <w:r w:rsidRPr="004771A3">
              <w:rPr>
                <w:b/>
                <w:sz w:val="20"/>
                <w:szCs w:val="20"/>
              </w:rPr>
              <w:t>Responses per Respondent</w:t>
            </w:r>
          </w:p>
        </w:tc>
        <w:tc>
          <w:tcPr>
            <w:tcW w:w="1094" w:type="dxa"/>
          </w:tcPr>
          <w:p w:rsidR="00E4391E" w:rsidRPr="004771A3" w:rsidRDefault="00E4391E" w:rsidP="00D254D8">
            <w:pPr>
              <w:rPr>
                <w:b/>
                <w:sz w:val="20"/>
                <w:szCs w:val="20"/>
              </w:rPr>
            </w:pPr>
            <w:r w:rsidRPr="004771A3">
              <w:rPr>
                <w:b/>
                <w:sz w:val="20"/>
                <w:szCs w:val="20"/>
              </w:rPr>
              <w:t>Total Responses</w:t>
            </w:r>
          </w:p>
        </w:tc>
        <w:tc>
          <w:tcPr>
            <w:tcW w:w="1017" w:type="dxa"/>
          </w:tcPr>
          <w:p w:rsidR="00E4391E" w:rsidRPr="004771A3" w:rsidRDefault="00E4391E" w:rsidP="00D254D8">
            <w:pPr>
              <w:rPr>
                <w:b/>
                <w:sz w:val="20"/>
                <w:szCs w:val="20"/>
              </w:rPr>
            </w:pPr>
            <w:r w:rsidRPr="004771A3">
              <w:rPr>
                <w:b/>
                <w:sz w:val="20"/>
                <w:szCs w:val="20"/>
              </w:rPr>
              <w:t>Average Hours per Response</w:t>
            </w:r>
          </w:p>
        </w:tc>
        <w:tc>
          <w:tcPr>
            <w:tcW w:w="862" w:type="dxa"/>
          </w:tcPr>
          <w:p w:rsidR="00E4391E" w:rsidRPr="004771A3" w:rsidRDefault="00E4391E" w:rsidP="00D254D8">
            <w:pPr>
              <w:rPr>
                <w:b/>
                <w:sz w:val="20"/>
                <w:szCs w:val="20"/>
              </w:rPr>
            </w:pPr>
            <w:r w:rsidRPr="004771A3">
              <w:rPr>
                <w:b/>
                <w:sz w:val="20"/>
                <w:szCs w:val="20"/>
              </w:rPr>
              <w:t>Total Hour Burden</w:t>
            </w:r>
          </w:p>
        </w:tc>
        <w:tc>
          <w:tcPr>
            <w:tcW w:w="757" w:type="dxa"/>
          </w:tcPr>
          <w:p w:rsidR="00E4391E" w:rsidRPr="004771A3" w:rsidRDefault="00E4391E" w:rsidP="00D254D8">
            <w:pPr>
              <w:rPr>
                <w:b/>
                <w:sz w:val="20"/>
                <w:szCs w:val="20"/>
              </w:rPr>
            </w:pPr>
            <w:r w:rsidRPr="004771A3">
              <w:rPr>
                <w:b/>
                <w:sz w:val="20"/>
                <w:szCs w:val="20"/>
              </w:rPr>
              <w:t>Wage Rate</w:t>
            </w:r>
          </w:p>
        </w:tc>
        <w:tc>
          <w:tcPr>
            <w:tcW w:w="1087" w:type="dxa"/>
          </w:tcPr>
          <w:p w:rsidR="00E4391E" w:rsidRPr="004771A3" w:rsidRDefault="00E4391E" w:rsidP="00D254D8">
            <w:pPr>
              <w:rPr>
                <w:b/>
                <w:sz w:val="20"/>
                <w:szCs w:val="20"/>
              </w:rPr>
            </w:pPr>
            <w:r w:rsidRPr="004771A3">
              <w:rPr>
                <w:b/>
                <w:sz w:val="20"/>
                <w:szCs w:val="20"/>
              </w:rPr>
              <w:t>Total Hour Cost</w:t>
            </w:r>
          </w:p>
        </w:tc>
      </w:tr>
      <w:tr w:rsidR="00E4391E" w:rsidRPr="004771A3">
        <w:tc>
          <w:tcPr>
            <w:tcW w:w="1505" w:type="dxa"/>
          </w:tcPr>
          <w:p w:rsidR="00E4391E" w:rsidRPr="004771A3" w:rsidRDefault="00E4391E" w:rsidP="00D254D8">
            <w:pPr>
              <w:rPr>
                <w:sz w:val="20"/>
                <w:szCs w:val="20"/>
              </w:rPr>
            </w:pPr>
            <w:r w:rsidRPr="004771A3">
              <w:rPr>
                <w:sz w:val="20"/>
                <w:szCs w:val="20"/>
              </w:rPr>
              <w:t>MDP SCD Questionnaire</w:t>
            </w:r>
          </w:p>
        </w:tc>
        <w:tc>
          <w:tcPr>
            <w:tcW w:w="1306" w:type="dxa"/>
          </w:tcPr>
          <w:p w:rsidR="00E4391E" w:rsidRPr="00D6284E" w:rsidRDefault="00E4391E" w:rsidP="00D254D8">
            <w:pPr>
              <w:rPr>
                <w:sz w:val="20"/>
                <w:szCs w:val="20"/>
              </w:rPr>
            </w:pPr>
            <w:r w:rsidRPr="00D6284E">
              <w:rPr>
                <w:sz w:val="22"/>
              </w:rPr>
              <w:t>140</w:t>
            </w:r>
          </w:p>
        </w:tc>
        <w:tc>
          <w:tcPr>
            <w:tcW w:w="1228" w:type="dxa"/>
          </w:tcPr>
          <w:p w:rsidR="00E4391E" w:rsidRPr="00D6284E" w:rsidRDefault="00E4391E" w:rsidP="00D254D8">
            <w:pPr>
              <w:rPr>
                <w:sz w:val="20"/>
                <w:szCs w:val="20"/>
              </w:rPr>
            </w:pPr>
            <w:r w:rsidRPr="00D6284E">
              <w:rPr>
                <w:sz w:val="22"/>
              </w:rPr>
              <w:t>2</w:t>
            </w:r>
          </w:p>
        </w:tc>
        <w:tc>
          <w:tcPr>
            <w:tcW w:w="1094" w:type="dxa"/>
          </w:tcPr>
          <w:p w:rsidR="00E4391E" w:rsidRPr="00D6284E" w:rsidRDefault="00E4391E" w:rsidP="00D254D8">
            <w:pPr>
              <w:rPr>
                <w:sz w:val="20"/>
                <w:szCs w:val="20"/>
              </w:rPr>
            </w:pPr>
            <w:r w:rsidRPr="00D6284E">
              <w:rPr>
                <w:sz w:val="22"/>
              </w:rPr>
              <w:t>280</w:t>
            </w:r>
          </w:p>
        </w:tc>
        <w:tc>
          <w:tcPr>
            <w:tcW w:w="1017" w:type="dxa"/>
          </w:tcPr>
          <w:p w:rsidR="00E4391E" w:rsidRPr="003517D3" w:rsidRDefault="00E4391E" w:rsidP="00D254D8">
            <w:pPr>
              <w:rPr>
                <w:sz w:val="20"/>
                <w:szCs w:val="20"/>
              </w:rPr>
            </w:pPr>
            <w:r w:rsidRPr="009E6524">
              <w:rPr>
                <w:sz w:val="22"/>
              </w:rPr>
              <w:t>.45</w:t>
            </w:r>
          </w:p>
        </w:tc>
        <w:tc>
          <w:tcPr>
            <w:tcW w:w="862" w:type="dxa"/>
          </w:tcPr>
          <w:p w:rsidR="00E4391E" w:rsidRPr="00CE5688" w:rsidRDefault="00E4391E" w:rsidP="00D254D8">
            <w:pPr>
              <w:rPr>
                <w:sz w:val="20"/>
                <w:szCs w:val="20"/>
              </w:rPr>
            </w:pPr>
            <w:r w:rsidRPr="005A20B1">
              <w:rPr>
                <w:sz w:val="22"/>
              </w:rPr>
              <w:t>126</w:t>
            </w:r>
          </w:p>
        </w:tc>
        <w:tc>
          <w:tcPr>
            <w:tcW w:w="757" w:type="dxa"/>
          </w:tcPr>
          <w:p w:rsidR="00E4391E" w:rsidRPr="004771A3" w:rsidRDefault="00E4391E" w:rsidP="00D254D8">
            <w:pPr>
              <w:rPr>
                <w:sz w:val="20"/>
                <w:szCs w:val="20"/>
              </w:rPr>
            </w:pPr>
            <w:r>
              <w:rPr>
                <w:sz w:val="20"/>
                <w:szCs w:val="20"/>
              </w:rPr>
              <w:t>$20.90</w:t>
            </w:r>
          </w:p>
        </w:tc>
        <w:tc>
          <w:tcPr>
            <w:tcW w:w="1087" w:type="dxa"/>
          </w:tcPr>
          <w:p w:rsidR="00E4391E" w:rsidRPr="004771A3" w:rsidRDefault="00E4391E" w:rsidP="00D254D8">
            <w:pPr>
              <w:rPr>
                <w:sz w:val="20"/>
                <w:szCs w:val="20"/>
              </w:rPr>
            </w:pPr>
            <w:r>
              <w:rPr>
                <w:sz w:val="20"/>
                <w:szCs w:val="20"/>
              </w:rPr>
              <w:t>$2633.4</w:t>
            </w:r>
          </w:p>
        </w:tc>
      </w:tr>
      <w:tr w:rsidR="00E4391E" w:rsidRPr="004771A3">
        <w:tc>
          <w:tcPr>
            <w:tcW w:w="1505" w:type="dxa"/>
          </w:tcPr>
          <w:p w:rsidR="00E4391E" w:rsidRPr="004771A3" w:rsidRDefault="00E4391E" w:rsidP="00D254D8">
            <w:pPr>
              <w:rPr>
                <w:sz w:val="20"/>
                <w:szCs w:val="20"/>
              </w:rPr>
            </w:pPr>
            <w:r w:rsidRPr="004771A3">
              <w:rPr>
                <w:sz w:val="20"/>
                <w:szCs w:val="20"/>
              </w:rPr>
              <w:t>MDP SCT Questionnaire</w:t>
            </w:r>
          </w:p>
        </w:tc>
        <w:tc>
          <w:tcPr>
            <w:tcW w:w="1306" w:type="dxa"/>
          </w:tcPr>
          <w:p w:rsidR="00E4391E" w:rsidRPr="00D6284E" w:rsidRDefault="00E4391E" w:rsidP="00D254D8">
            <w:pPr>
              <w:rPr>
                <w:sz w:val="20"/>
                <w:szCs w:val="20"/>
              </w:rPr>
            </w:pPr>
            <w:r w:rsidRPr="00D6284E">
              <w:rPr>
                <w:sz w:val="22"/>
              </w:rPr>
              <w:t>1400</w:t>
            </w:r>
          </w:p>
        </w:tc>
        <w:tc>
          <w:tcPr>
            <w:tcW w:w="1228" w:type="dxa"/>
          </w:tcPr>
          <w:p w:rsidR="00E4391E" w:rsidRPr="00D6284E" w:rsidRDefault="00E4391E" w:rsidP="00D254D8">
            <w:pPr>
              <w:rPr>
                <w:sz w:val="20"/>
                <w:szCs w:val="20"/>
              </w:rPr>
            </w:pPr>
            <w:r w:rsidRPr="00D6284E">
              <w:rPr>
                <w:sz w:val="22"/>
              </w:rPr>
              <w:t>1</w:t>
            </w:r>
          </w:p>
        </w:tc>
        <w:tc>
          <w:tcPr>
            <w:tcW w:w="1094" w:type="dxa"/>
          </w:tcPr>
          <w:p w:rsidR="00E4391E" w:rsidRPr="00D6284E" w:rsidRDefault="00E4391E" w:rsidP="00D254D8">
            <w:pPr>
              <w:rPr>
                <w:sz w:val="20"/>
                <w:szCs w:val="20"/>
              </w:rPr>
            </w:pPr>
            <w:r w:rsidRPr="00D6284E">
              <w:rPr>
                <w:sz w:val="22"/>
              </w:rPr>
              <w:t>1400</w:t>
            </w:r>
          </w:p>
        </w:tc>
        <w:tc>
          <w:tcPr>
            <w:tcW w:w="1017" w:type="dxa"/>
          </w:tcPr>
          <w:p w:rsidR="00E4391E" w:rsidRPr="003517D3" w:rsidRDefault="00E4391E" w:rsidP="00D254D8">
            <w:pPr>
              <w:rPr>
                <w:sz w:val="20"/>
                <w:szCs w:val="20"/>
              </w:rPr>
            </w:pPr>
            <w:r w:rsidRPr="009E6524">
              <w:rPr>
                <w:sz w:val="22"/>
              </w:rPr>
              <w:t>.30</w:t>
            </w:r>
          </w:p>
        </w:tc>
        <w:tc>
          <w:tcPr>
            <w:tcW w:w="862" w:type="dxa"/>
          </w:tcPr>
          <w:p w:rsidR="00E4391E" w:rsidRPr="00CE5688" w:rsidRDefault="00E4391E" w:rsidP="00D254D8">
            <w:pPr>
              <w:rPr>
                <w:sz w:val="20"/>
                <w:szCs w:val="20"/>
              </w:rPr>
            </w:pPr>
            <w:r w:rsidRPr="005A20B1">
              <w:rPr>
                <w:sz w:val="22"/>
              </w:rPr>
              <w:t>420</w:t>
            </w:r>
          </w:p>
        </w:tc>
        <w:tc>
          <w:tcPr>
            <w:tcW w:w="757" w:type="dxa"/>
          </w:tcPr>
          <w:p w:rsidR="00E4391E" w:rsidRPr="004771A3" w:rsidRDefault="00E4391E" w:rsidP="00D254D8">
            <w:pPr>
              <w:rPr>
                <w:sz w:val="20"/>
                <w:szCs w:val="20"/>
              </w:rPr>
            </w:pPr>
            <w:r>
              <w:rPr>
                <w:sz w:val="20"/>
                <w:szCs w:val="20"/>
              </w:rPr>
              <w:t>$20.90</w:t>
            </w:r>
          </w:p>
        </w:tc>
        <w:tc>
          <w:tcPr>
            <w:tcW w:w="1087" w:type="dxa"/>
          </w:tcPr>
          <w:p w:rsidR="00E4391E" w:rsidRPr="004771A3" w:rsidRDefault="00E4391E" w:rsidP="00D254D8">
            <w:pPr>
              <w:rPr>
                <w:sz w:val="20"/>
                <w:szCs w:val="20"/>
              </w:rPr>
            </w:pPr>
            <w:r>
              <w:rPr>
                <w:sz w:val="20"/>
                <w:szCs w:val="20"/>
              </w:rPr>
              <w:t>$8778</w:t>
            </w:r>
          </w:p>
        </w:tc>
      </w:tr>
      <w:tr w:rsidR="00E4391E" w:rsidRPr="004771A3">
        <w:tc>
          <w:tcPr>
            <w:tcW w:w="1505" w:type="dxa"/>
          </w:tcPr>
          <w:p w:rsidR="00E4391E" w:rsidRPr="004771A3" w:rsidRDefault="00E4391E" w:rsidP="00D254D8">
            <w:pPr>
              <w:rPr>
                <w:sz w:val="20"/>
                <w:szCs w:val="20"/>
              </w:rPr>
            </w:pPr>
            <w:r w:rsidRPr="004771A3">
              <w:rPr>
                <w:sz w:val="20"/>
                <w:szCs w:val="20"/>
              </w:rPr>
              <w:t>Total</w:t>
            </w:r>
          </w:p>
        </w:tc>
        <w:tc>
          <w:tcPr>
            <w:tcW w:w="1306" w:type="dxa"/>
          </w:tcPr>
          <w:p w:rsidR="00E4391E" w:rsidRPr="004771A3" w:rsidRDefault="00E4391E" w:rsidP="00D254D8">
            <w:pPr>
              <w:rPr>
                <w:sz w:val="20"/>
                <w:szCs w:val="20"/>
              </w:rPr>
            </w:pPr>
            <w:r>
              <w:rPr>
                <w:sz w:val="20"/>
                <w:szCs w:val="20"/>
              </w:rPr>
              <w:t>1540</w:t>
            </w:r>
          </w:p>
        </w:tc>
        <w:tc>
          <w:tcPr>
            <w:tcW w:w="1228" w:type="dxa"/>
          </w:tcPr>
          <w:p w:rsidR="00E4391E" w:rsidRPr="004771A3" w:rsidRDefault="00E4391E" w:rsidP="00D254D8">
            <w:pPr>
              <w:rPr>
                <w:sz w:val="20"/>
                <w:szCs w:val="20"/>
              </w:rPr>
            </w:pPr>
          </w:p>
        </w:tc>
        <w:tc>
          <w:tcPr>
            <w:tcW w:w="1094" w:type="dxa"/>
          </w:tcPr>
          <w:p w:rsidR="00E4391E" w:rsidRPr="004771A3" w:rsidRDefault="00E4391E" w:rsidP="00D254D8">
            <w:pPr>
              <w:rPr>
                <w:sz w:val="20"/>
                <w:szCs w:val="20"/>
              </w:rPr>
            </w:pPr>
            <w:r>
              <w:rPr>
                <w:sz w:val="20"/>
                <w:szCs w:val="20"/>
              </w:rPr>
              <w:t>1680</w:t>
            </w:r>
          </w:p>
        </w:tc>
        <w:tc>
          <w:tcPr>
            <w:tcW w:w="1017" w:type="dxa"/>
          </w:tcPr>
          <w:p w:rsidR="00E4391E" w:rsidRPr="004771A3" w:rsidRDefault="00E4391E" w:rsidP="00D254D8">
            <w:pPr>
              <w:rPr>
                <w:sz w:val="20"/>
                <w:szCs w:val="20"/>
              </w:rPr>
            </w:pPr>
          </w:p>
        </w:tc>
        <w:tc>
          <w:tcPr>
            <w:tcW w:w="862" w:type="dxa"/>
          </w:tcPr>
          <w:p w:rsidR="00E4391E" w:rsidRPr="004771A3" w:rsidRDefault="00E4391E" w:rsidP="00D254D8">
            <w:pPr>
              <w:rPr>
                <w:sz w:val="20"/>
                <w:szCs w:val="20"/>
              </w:rPr>
            </w:pPr>
            <w:r>
              <w:rPr>
                <w:sz w:val="20"/>
                <w:szCs w:val="20"/>
              </w:rPr>
              <w:t>546</w:t>
            </w:r>
          </w:p>
        </w:tc>
        <w:tc>
          <w:tcPr>
            <w:tcW w:w="757" w:type="dxa"/>
          </w:tcPr>
          <w:p w:rsidR="00E4391E" w:rsidRPr="004771A3" w:rsidRDefault="00E4391E" w:rsidP="00D254D8">
            <w:pPr>
              <w:rPr>
                <w:sz w:val="20"/>
                <w:szCs w:val="20"/>
              </w:rPr>
            </w:pPr>
          </w:p>
        </w:tc>
        <w:tc>
          <w:tcPr>
            <w:tcW w:w="1087" w:type="dxa"/>
          </w:tcPr>
          <w:p w:rsidR="00E4391E" w:rsidRPr="004771A3" w:rsidRDefault="00E4391E" w:rsidP="00D254D8">
            <w:pPr>
              <w:rPr>
                <w:sz w:val="20"/>
                <w:szCs w:val="20"/>
              </w:rPr>
            </w:pPr>
            <w:r>
              <w:rPr>
                <w:sz w:val="20"/>
                <w:szCs w:val="20"/>
              </w:rPr>
              <w:t>$11,411.4</w:t>
            </w:r>
          </w:p>
        </w:tc>
      </w:tr>
    </w:tbl>
    <w:p w:rsidR="00E4391E" w:rsidRDefault="00E4391E" w:rsidP="00D254D8"/>
    <w:p w:rsidR="00E4391E" w:rsidRDefault="00E4391E" w:rsidP="00D254D8"/>
    <w:p w:rsidR="00E4391E" w:rsidRDefault="00E4391E" w:rsidP="00F46617">
      <w:pPr>
        <w:numPr>
          <w:ilvl w:val="0"/>
          <w:numId w:val="13"/>
        </w:numPr>
        <w:spacing w:line="240" w:lineRule="auto"/>
        <w:rPr>
          <w:b/>
          <w:i/>
        </w:rPr>
      </w:pPr>
      <w:r w:rsidRPr="0010580B">
        <w:rPr>
          <w:b/>
          <w:i/>
        </w:rPr>
        <w:lastRenderedPageBreak/>
        <w:t xml:space="preserve">Sickle Cell Disease Treatment Demonstration Program (SCDTDP) </w:t>
      </w:r>
    </w:p>
    <w:p w:rsidR="00E4391E" w:rsidRDefault="00E4391E" w:rsidP="00346B4F">
      <w:pPr>
        <w:pStyle w:val="NormalSS"/>
        <w:ind w:firstLine="0"/>
        <w:jc w:val="left"/>
        <w:rPr>
          <w:b/>
        </w:rPr>
      </w:pPr>
      <w:r w:rsidRPr="008D5E6B">
        <w:t xml:space="preserve">Table </w:t>
      </w:r>
      <w:r>
        <w:t>4</w:t>
      </w:r>
      <w:r w:rsidRPr="008D5E6B">
        <w:t xml:space="preserve"> </w:t>
      </w:r>
      <w:r>
        <w:t xml:space="preserve">summarizes the estimated hour burden and cost of data collection.  Data will be collected using the following instruments for SCDTDP: Utilization Questionnaire, the SF-36 for adults aged 18 and over; the PedsQL for adolescents and children and their parents; the Medical Home Family Index and the </w:t>
      </w:r>
      <w:r w:rsidRPr="00295116">
        <w:rPr>
          <w:sz w:val="22"/>
        </w:rPr>
        <w:t>Hemoglobinop</w:t>
      </w:r>
      <w:r>
        <w:rPr>
          <w:sz w:val="22"/>
        </w:rPr>
        <w:t>athies Emerging Populations (</w:t>
      </w:r>
      <w:r>
        <w:t xml:space="preserve">Family Communication) forms. Wage rates were determined based on the 2009 National Occupational Employment and Wage Estimates from the Bureau of Labor Statistics for all occupations. </w:t>
      </w:r>
    </w:p>
    <w:p w:rsidR="00E4391E" w:rsidRDefault="00E4391E" w:rsidP="00346B4F">
      <w:pPr>
        <w:autoSpaceDE w:val="0"/>
        <w:autoSpaceDN w:val="0"/>
        <w:adjustRightInd w:val="0"/>
        <w:spacing w:line="240" w:lineRule="auto"/>
        <w:rPr>
          <w:b/>
        </w:rPr>
      </w:pPr>
    </w:p>
    <w:p w:rsidR="00E4391E" w:rsidRPr="00346B4F" w:rsidRDefault="00E4391E" w:rsidP="00346B4F">
      <w:pPr>
        <w:autoSpaceDE w:val="0"/>
        <w:autoSpaceDN w:val="0"/>
        <w:adjustRightInd w:val="0"/>
        <w:spacing w:line="240" w:lineRule="auto"/>
        <w:rPr>
          <w:b/>
        </w:rPr>
      </w:pPr>
      <w:r w:rsidRPr="00346B4F">
        <w:rPr>
          <w:b/>
        </w:rPr>
        <w:t xml:space="preserve">Table 4. </w:t>
      </w:r>
      <w:r w:rsidRPr="00346B4F">
        <w:rPr>
          <w:b/>
          <w:bCs/>
        </w:rPr>
        <w:t xml:space="preserve">Estimated Burden Hours </w:t>
      </w:r>
    </w:p>
    <w:tbl>
      <w:tblPr>
        <w:tblW w:w="5185" w:type="pct"/>
        <w:jc w:val="center"/>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
        <w:gridCol w:w="2539"/>
        <w:gridCol w:w="1341"/>
        <w:gridCol w:w="1273"/>
        <w:gridCol w:w="1163"/>
        <w:gridCol w:w="1073"/>
        <w:gridCol w:w="1313"/>
      </w:tblGrid>
      <w:tr w:rsidR="00E4391E" w:rsidRPr="00295116" w:rsidTr="00B770DE">
        <w:trPr>
          <w:trHeight w:val="863"/>
          <w:jc w:val="center"/>
        </w:trPr>
        <w:tc>
          <w:tcPr>
            <w:tcW w:w="1645" w:type="pct"/>
            <w:gridSpan w:val="2"/>
          </w:tcPr>
          <w:p w:rsidR="00E4391E" w:rsidRPr="00295116" w:rsidRDefault="00E4391E" w:rsidP="00444072">
            <w:pPr>
              <w:pStyle w:val="NoSpacing1"/>
              <w:rPr>
                <w:sz w:val="22"/>
              </w:rPr>
            </w:pPr>
            <w:r w:rsidRPr="00295116">
              <w:rPr>
                <w:sz w:val="22"/>
              </w:rPr>
              <w:t>Questionnaires</w:t>
            </w:r>
          </w:p>
        </w:tc>
        <w:tc>
          <w:tcPr>
            <w:tcW w:w="730" w:type="pct"/>
          </w:tcPr>
          <w:p w:rsidR="00E4391E" w:rsidRPr="00295116" w:rsidRDefault="00E4391E" w:rsidP="00444072">
            <w:pPr>
              <w:pStyle w:val="NoSpacing1"/>
              <w:rPr>
                <w:sz w:val="22"/>
              </w:rPr>
            </w:pPr>
            <w:r w:rsidRPr="00295116">
              <w:rPr>
                <w:sz w:val="22"/>
              </w:rPr>
              <w:t>No. of Respondents</w:t>
            </w:r>
          </w:p>
        </w:tc>
        <w:tc>
          <w:tcPr>
            <w:tcW w:w="693" w:type="pct"/>
          </w:tcPr>
          <w:p w:rsidR="00E4391E" w:rsidRPr="00295116" w:rsidRDefault="00E4391E" w:rsidP="00444072">
            <w:pPr>
              <w:pStyle w:val="NoSpacing1"/>
              <w:rPr>
                <w:sz w:val="22"/>
              </w:rPr>
            </w:pPr>
            <w:r w:rsidRPr="00295116">
              <w:rPr>
                <w:sz w:val="22"/>
              </w:rPr>
              <w:t>Responses per Respondent</w:t>
            </w:r>
          </w:p>
        </w:tc>
        <w:tc>
          <w:tcPr>
            <w:tcW w:w="633" w:type="pct"/>
          </w:tcPr>
          <w:p w:rsidR="00E4391E" w:rsidRPr="00295116" w:rsidRDefault="00E4391E" w:rsidP="00444072">
            <w:pPr>
              <w:pStyle w:val="NoSpacing1"/>
              <w:rPr>
                <w:sz w:val="22"/>
              </w:rPr>
            </w:pPr>
            <w:r w:rsidRPr="00295116">
              <w:rPr>
                <w:sz w:val="22"/>
              </w:rPr>
              <w:t>Total Responses</w:t>
            </w:r>
          </w:p>
        </w:tc>
        <w:tc>
          <w:tcPr>
            <w:tcW w:w="584" w:type="pct"/>
          </w:tcPr>
          <w:p w:rsidR="00E4391E" w:rsidRPr="00295116" w:rsidRDefault="00E4391E" w:rsidP="00444072">
            <w:pPr>
              <w:pStyle w:val="NoSpacing1"/>
              <w:rPr>
                <w:sz w:val="22"/>
              </w:rPr>
            </w:pPr>
            <w:r w:rsidRPr="00295116">
              <w:rPr>
                <w:sz w:val="22"/>
              </w:rPr>
              <w:t>Average Hours per Response</w:t>
            </w:r>
          </w:p>
        </w:tc>
        <w:tc>
          <w:tcPr>
            <w:tcW w:w="715" w:type="pct"/>
          </w:tcPr>
          <w:p w:rsidR="00E4391E" w:rsidRPr="00295116" w:rsidRDefault="00E4391E" w:rsidP="00444072">
            <w:pPr>
              <w:pStyle w:val="NoSpacing1"/>
              <w:rPr>
                <w:sz w:val="22"/>
              </w:rPr>
            </w:pPr>
            <w:r w:rsidRPr="00295116">
              <w:rPr>
                <w:sz w:val="22"/>
              </w:rPr>
              <w:t>Total Hour Burden</w:t>
            </w:r>
          </w:p>
        </w:tc>
      </w:tr>
      <w:tr w:rsidR="00E4391E" w:rsidRPr="00295116" w:rsidTr="00B770DE">
        <w:trPr>
          <w:trHeight w:val="521"/>
          <w:jc w:val="center"/>
        </w:trPr>
        <w:tc>
          <w:tcPr>
            <w:tcW w:w="262" w:type="pct"/>
            <w:vMerge w:val="restart"/>
            <w:textDirection w:val="btLr"/>
          </w:tcPr>
          <w:p w:rsidR="00E4391E" w:rsidRPr="00295116" w:rsidRDefault="00E4391E" w:rsidP="00444072">
            <w:pPr>
              <w:pStyle w:val="NoSpacing1"/>
              <w:jc w:val="center"/>
              <w:rPr>
                <w:rFonts w:cs="Arial"/>
                <w:sz w:val="22"/>
              </w:rPr>
            </w:pPr>
            <w:r w:rsidRPr="00295116">
              <w:rPr>
                <w:rFonts w:cs="Arial"/>
                <w:sz w:val="22"/>
              </w:rPr>
              <w:t>SCDTDP</w:t>
            </w:r>
          </w:p>
        </w:tc>
        <w:tc>
          <w:tcPr>
            <w:tcW w:w="1383" w:type="pct"/>
          </w:tcPr>
          <w:p w:rsidR="00E4391E" w:rsidRPr="0092700A" w:rsidRDefault="00E4391E" w:rsidP="00444072">
            <w:pPr>
              <w:pStyle w:val="NoSpacing1"/>
              <w:rPr>
                <w:sz w:val="22"/>
              </w:rPr>
            </w:pPr>
            <w:r w:rsidRPr="0092700A">
              <w:rPr>
                <w:sz w:val="22"/>
              </w:rPr>
              <w:t>Utilization Questionnaire (pre-demonstration)</w:t>
            </w:r>
          </w:p>
        </w:tc>
        <w:tc>
          <w:tcPr>
            <w:tcW w:w="730" w:type="pct"/>
          </w:tcPr>
          <w:p w:rsidR="00E4391E" w:rsidRPr="00295116" w:rsidRDefault="00E4391E" w:rsidP="00444072">
            <w:pPr>
              <w:pStyle w:val="NoSpacing1"/>
              <w:rPr>
                <w:rFonts w:cs="Arial"/>
                <w:sz w:val="22"/>
              </w:rPr>
            </w:pPr>
            <w:r w:rsidRPr="00295116">
              <w:rPr>
                <w:rFonts w:cs="Arial"/>
                <w:sz w:val="22"/>
              </w:rPr>
              <w:t>900</w:t>
            </w:r>
          </w:p>
        </w:tc>
        <w:tc>
          <w:tcPr>
            <w:tcW w:w="693" w:type="pct"/>
          </w:tcPr>
          <w:p w:rsidR="00E4391E" w:rsidRPr="00295116" w:rsidRDefault="00E4391E" w:rsidP="00444072">
            <w:pPr>
              <w:pStyle w:val="NoSpacing1"/>
              <w:rPr>
                <w:rFonts w:cs="Arial"/>
                <w:sz w:val="22"/>
              </w:rPr>
            </w:pPr>
            <w:r w:rsidRPr="00295116">
              <w:rPr>
                <w:rFonts w:cs="Arial"/>
                <w:sz w:val="22"/>
              </w:rPr>
              <w:t>1</w:t>
            </w:r>
          </w:p>
        </w:tc>
        <w:tc>
          <w:tcPr>
            <w:tcW w:w="633" w:type="pct"/>
          </w:tcPr>
          <w:p w:rsidR="00E4391E" w:rsidRPr="00295116" w:rsidRDefault="00E4391E" w:rsidP="00444072">
            <w:pPr>
              <w:pStyle w:val="NoSpacing1"/>
              <w:rPr>
                <w:rFonts w:cs="Arial"/>
                <w:sz w:val="22"/>
              </w:rPr>
            </w:pPr>
            <w:r w:rsidRPr="00295116">
              <w:rPr>
                <w:rFonts w:cs="Arial"/>
                <w:sz w:val="22"/>
              </w:rPr>
              <w:t>900</w:t>
            </w:r>
          </w:p>
        </w:tc>
        <w:tc>
          <w:tcPr>
            <w:tcW w:w="584" w:type="pct"/>
          </w:tcPr>
          <w:p w:rsidR="00E4391E" w:rsidRPr="00295116" w:rsidRDefault="00E4391E" w:rsidP="00444072">
            <w:pPr>
              <w:pStyle w:val="NoSpacing1"/>
              <w:rPr>
                <w:rFonts w:cs="Arial"/>
                <w:sz w:val="22"/>
              </w:rPr>
            </w:pPr>
            <w:r w:rsidRPr="00295116">
              <w:rPr>
                <w:rFonts w:cs="Arial"/>
                <w:sz w:val="22"/>
              </w:rPr>
              <w:t>.75</w:t>
            </w:r>
          </w:p>
        </w:tc>
        <w:tc>
          <w:tcPr>
            <w:tcW w:w="715" w:type="pct"/>
          </w:tcPr>
          <w:p w:rsidR="00E4391E" w:rsidRPr="00295116" w:rsidRDefault="00E4391E" w:rsidP="00444072">
            <w:pPr>
              <w:pStyle w:val="NoSpacing1"/>
              <w:rPr>
                <w:rFonts w:cs="Arial"/>
                <w:sz w:val="22"/>
              </w:rPr>
            </w:pPr>
            <w:r w:rsidRPr="00295116">
              <w:rPr>
                <w:rFonts w:cs="Arial"/>
                <w:sz w:val="22"/>
              </w:rPr>
              <w:t xml:space="preserve">675 </w:t>
            </w:r>
          </w:p>
        </w:tc>
      </w:tr>
      <w:tr w:rsidR="00E4391E" w:rsidRPr="00295116" w:rsidTr="00B770DE">
        <w:trPr>
          <w:trHeight w:val="620"/>
          <w:jc w:val="center"/>
        </w:trPr>
        <w:tc>
          <w:tcPr>
            <w:tcW w:w="262" w:type="pct"/>
            <w:vMerge/>
          </w:tcPr>
          <w:p w:rsidR="00E4391E" w:rsidRPr="00295116" w:rsidRDefault="00E4391E" w:rsidP="00444072">
            <w:pPr>
              <w:pStyle w:val="NoSpacing1"/>
              <w:rPr>
                <w:rFonts w:cs="Arial"/>
                <w:sz w:val="22"/>
              </w:rPr>
            </w:pPr>
          </w:p>
        </w:tc>
        <w:tc>
          <w:tcPr>
            <w:tcW w:w="1383" w:type="pct"/>
          </w:tcPr>
          <w:p w:rsidR="00E4391E" w:rsidRPr="00295116" w:rsidRDefault="00E4391E" w:rsidP="00444072">
            <w:pPr>
              <w:pStyle w:val="NoSpacing1"/>
              <w:rPr>
                <w:rFonts w:cs="Arial"/>
                <w:sz w:val="22"/>
              </w:rPr>
            </w:pPr>
            <w:r w:rsidRPr="00295116">
              <w:rPr>
                <w:rFonts w:cs="Arial"/>
                <w:sz w:val="22"/>
              </w:rPr>
              <w:t>Utilization Questionnaire (post demonstration)</w:t>
            </w:r>
          </w:p>
        </w:tc>
        <w:tc>
          <w:tcPr>
            <w:tcW w:w="730" w:type="pct"/>
          </w:tcPr>
          <w:p w:rsidR="00E4391E" w:rsidRPr="00295116" w:rsidRDefault="00E4391E" w:rsidP="00444072">
            <w:pPr>
              <w:pStyle w:val="NoSpacing1"/>
              <w:rPr>
                <w:rFonts w:cs="Arial"/>
                <w:sz w:val="22"/>
              </w:rPr>
            </w:pPr>
            <w:r w:rsidRPr="00295116">
              <w:rPr>
                <w:rFonts w:cs="Arial"/>
                <w:sz w:val="22"/>
              </w:rPr>
              <w:t>900</w:t>
            </w:r>
          </w:p>
        </w:tc>
        <w:tc>
          <w:tcPr>
            <w:tcW w:w="693" w:type="pct"/>
          </w:tcPr>
          <w:p w:rsidR="00E4391E" w:rsidRPr="00295116" w:rsidRDefault="00E4391E" w:rsidP="00444072">
            <w:pPr>
              <w:pStyle w:val="NoSpacing1"/>
              <w:rPr>
                <w:rFonts w:cs="Arial"/>
                <w:sz w:val="22"/>
              </w:rPr>
            </w:pPr>
            <w:r w:rsidRPr="00295116">
              <w:rPr>
                <w:rFonts w:cs="Arial"/>
                <w:sz w:val="22"/>
              </w:rPr>
              <w:t>1</w:t>
            </w:r>
          </w:p>
        </w:tc>
        <w:tc>
          <w:tcPr>
            <w:tcW w:w="633" w:type="pct"/>
          </w:tcPr>
          <w:p w:rsidR="00E4391E" w:rsidRPr="00295116" w:rsidRDefault="00E4391E" w:rsidP="00444072">
            <w:pPr>
              <w:pStyle w:val="NoSpacing1"/>
              <w:rPr>
                <w:rFonts w:cs="Arial"/>
                <w:sz w:val="22"/>
              </w:rPr>
            </w:pPr>
            <w:r w:rsidRPr="00295116">
              <w:rPr>
                <w:rFonts w:cs="Arial"/>
                <w:sz w:val="22"/>
              </w:rPr>
              <w:t>900</w:t>
            </w:r>
          </w:p>
        </w:tc>
        <w:tc>
          <w:tcPr>
            <w:tcW w:w="584" w:type="pct"/>
          </w:tcPr>
          <w:p w:rsidR="00E4391E" w:rsidRPr="00295116" w:rsidRDefault="00E4391E" w:rsidP="00444072">
            <w:pPr>
              <w:pStyle w:val="NoSpacing1"/>
              <w:rPr>
                <w:rFonts w:cs="Arial"/>
                <w:sz w:val="22"/>
              </w:rPr>
            </w:pPr>
            <w:r w:rsidRPr="00295116">
              <w:rPr>
                <w:rFonts w:cs="Arial"/>
                <w:sz w:val="22"/>
              </w:rPr>
              <w:t xml:space="preserve">.50  </w:t>
            </w:r>
          </w:p>
        </w:tc>
        <w:tc>
          <w:tcPr>
            <w:tcW w:w="715" w:type="pct"/>
          </w:tcPr>
          <w:p w:rsidR="00E4391E" w:rsidRPr="00295116" w:rsidRDefault="00E4391E" w:rsidP="00444072">
            <w:pPr>
              <w:pStyle w:val="NoSpacing1"/>
              <w:rPr>
                <w:rFonts w:cs="Arial"/>
                <w:sz w:val="22"/>
              </w:rPr>
            </w:pPr>
            <w:r w:rsidRPr="00295116">
              <w:rPr>
                <w:rFonts w:cs="Arial"/>
                <w:sz w:val="22"/>
              </w:rPr>
              <w:t xml:space="preserve">450 </w:t>
            </w:r>
          </w:p>
        </w:tc>
      </w:tr>
      <w:tr w:rsidR="00E4391E" w:rsidRPr="00295116" w:rsidTr="00B770DE">
        <w:trPr>
          <w:trHeight w:val="539"/>
          <w:jc w:val="center"/>
        </w:trPr>
        <w:tc>
          <w:tcPr>
            <w:tcW w:w="262" w:type="pct"/>
            <w:vMerge/>
          </w:tcPr>
          <w:p w:rsidR="00E4391E" w:rsidRPr="00295116" w:rsidRDefault="00E4391E" w:rsidP="00444072">
            <w:pPr>
              <w:pStyle w:val="NoSpacing1"/>
              <w:rPr>
                <w:rFonts w:cs="Arial"/>
                <w:sz w:val="22"/>
              </w:rPr>
            </w:pPr>
          </w:p>
        </w:tc>
        <w:tc>
          <w:tcPr>
            <w:tcW w:w="1383" w:type="pct"/>
          </w:tcPr>
          <w:p w:rsidR="00E4391E" w:rsidRPr="00295116" w:rsidRDefault="00E4391E" w:rsidP="00444072">
            <w:pPr>
              <w:pStyle w:val="NoSpacing1"/>
              <w:rPr>
                <w:rFonts w:cs="Arial"/>
                <w:sz w:val="22"/>
              </w:rPr>
            </w:pPr>
            <w:r w:rsidRPr="00295116">
              <w:rPr>
                <w:rFonts w:cs="Arial"/>
                <w:sz w:val="22"/>
              </w:rPr>
              <w:t>SF-36 Health Survey for adults over 18 years of age</w:t>
            </w:r>
          </w:p>
        </w:tc>
        <w:tc>
          <w:tcPr>
            <w:tcW w:w="730" w:type="pct"/>
          </w:tcPr>
          <w:p w:rsidR="00E4391E" w:rsidRPr="00295116" w:rsidRDefault="00E4391E" w:rsidP="00444072">
            <w:pPr>
              <w:pStyle w:val="NoSpacing1"/>
              <w:rPr>
                <w:rFonts w:cs="Arial"/>
                <w:sz w:val="22"/>
              </w:rPr>
            </w:pPr>
            <w:r w:rsidRPr="00295116">
              <w:rPr>
                <w:rFonts w:cs="Arial"/>
                <w:sz w:val="22"/>
              </w:rPr>
              <w:t>630</w:t>
            </w:r>
          </w:p>
        </w:tc>
        <w:tc>
          <w:tcPr>
            <w:tcW w:w="693" w:type="pct"/>
          </w:tcPr>
          <w:p w:rsidR="00E4391E" w:rsidRPr="00295116" w:rsidRDefault="00E4391E" w:rsidP="00444072">
            <w:pPr>
              <w:pStyle w:val="NoSpacing1"/>
              <w:rPr>
                <w:rFonts w:cs="Arial"/>
                <w:sz w:val="22"/>
              </w:rPr>
            </w:pPr>
            <w:r w:rsidRPr="00295116">
              <w:rPr>
                <w:rFonts w:cs="Arial"/>
                <w:sz w:val="22"/>
              </w:rPr>
              <w:t>2</w:t>
            </w:r>
          </w:p>
        </w:tc>
        <w:tc>
          <w:tcPr>
            <w:tcW w:w="633" w:type="pct"/>
          </w:tcPr>
          <w:p w:rsidR="00E4391E" w:rsidRPr="00295116" w:rsidRDefault="00E4391E" w:rsidP="00444072">
            <w:pPr>
              <w:pStyle w:val="NoSpacing1"/>
              <w:rPr>
                <w:rFonts w:cs="Arial"/>
                <w:sz w:val="22"/>
              </w:rPr>
            </w:pPr>
            <w:r w:rsidRPr="00295116">
              <w:rPr>
                <w:rFonts w:cs="Arial"/>
                <w:sz w:val="22"/>
              </w:rPr>
              <w:t>1260</w:t>
            </w:r>
          </w:p>
        </w:tc>
        <w:tc>
          <w:tcPr>
            <w:tcW w:w="584" w:type="pct"/>
          </w:tcPr>
          <w:p w:rsidR="00E4391E" w:rsidRPr="00295116" w:rsidRDefault="00E4391E" w:rsidP="00444072">
            <w:pPr>
              <w:pStyle w:val="NoSpacing1"/>
              <w:rPr>
                <w:rFonts w:cs="Arial"/>
                <w:sz w:val="22"/>
              </w:rPr>
            </w:pPr>
            <w:r w:rsidRPr="00295116">
              <w:rPr>
                <w:rFonts w:cs="Arial"/>
                <w:sz w:val="22"/>
              </w:rPr>
              <w:t xml:space="preserve">.25 </w:t>
            </w:r>
          </w:p>
        </w:tc>
        <w:tc>
          <w:tcPr>
            <w:tcW w:w="715" w:type="pct"/>
          </w:tcPr>
          <w:p w:rsidR="00E4391E" w:rsidRPr="00295116" w:rsidRDefault="00E4391E" w:rsidP="00444072">
            <w:pPr>
              <w:pStyle w:val="NoSpacing1"/>
              <w:rPr>
                <w:rFonts w:cs="Arial"/>
                <w:sz w:val="22"/>
              </w:rPr>
            </w:pPr>
            <w:r w:rsidRPr="00295116">
              <w:rPr>
                <w:rFonts w:cs="Arial"/>
                <w:sz w:val="22"/>
              </w:rPr>
              <w:t>315</w:t>
            </w:r>
          </w:p>
        </w:tc>
      </w:tr>
      <w:tr w:rsidR="00E4391E" w:rsidRPr="00295116" w:rsidTr="00B770DE">
        <w:trPr>
          <w:trHeight w:val="1025"/>
          <w:jc w:val="center"/>
        </w:trPr>
        <w:tc>
          <w:tcPr>
            <w:tcW w:w="262" w:type="pct"/>
            <w:vMerge/>
          </w:tcPr>
          <w:p w:rsidR="00E4391E" w:rsidRPr="00295116" w:rsidRDefault="00E4391E" w:rsidP="00444072">
            <w:pPr>
              <w:pStyle w:val="NoSpacing1"/>
              <w:rPr>
                <w:rFonts w:cs="Arial"/>
                <w:sz w:val="22"/>
              </w:rPr>
            </w:pPr>
          </w:p>
        </w:tc>
        <w:tc>
          <w:tcPr>
            <w:tcW w:w="1383" w:type="pct"/>
          </w:tcPr>
          <w:p w:rsidR="00E4391E" w:rsidRPr="00295116" w:rsidRDefault="00E4391E" w:rsidP="00444072">
            <w:pPr>
              <w:pStyle w:val="NoSpacing1"/>
              <w:rPr>
                <w:rFonts w:cs="Arial"/>
                <w:sz w:val="22"/>
              </w:rPr>
            </w:pPr>
            <w:r w:rsidRPr="00295116">
              <w:rPr>
                <w:rFonts w:cs="Arial"/>
                <w:sz w:val="22"/>
              </w:rPr>
              <w:t>PedsQL for parents of children &amp; adolescents 18 years or younger*</w:t>
            </w:r>
          </w:p>
        </w:tc>
        <w:tc>
          <w:tcPr>
            <w:tcW w:w="730" w:type="pct"/>
          </w:tcPr>
          <w:p w:rsidR="00E4391E" w:rsidRPr="00295116" w:rsidRDefault="00E4391E" w:rsidP="00444072">
            <w:pPr>
              <w:pStyle w:val="NoSpacing1"/>
              <w:rPr>
                <w:rFonts w:cs="Arial"/>
                <w:sz w:val="22"/>
              </w:rPr>
            </w:pPr>
            <w:r w:rsidRPr="00295116">
              <w:rPr>
                <w:rFonts w:cs="Arial"/>
                <w:sz w:val="22"/>
              </w:rPr>
              <w:t>270</w:t>
            </w:r>
          </w:p>
        </w:tc>
        <w:tc>
          <w:tcPr>
            <w:tcW w:w="693" w:type="pct"/>
          </w:tcPr>
          <w:p w:rsidR="00E4391E" w:rsidRPr="00295116" w:rsidRDefault="00E4391E" w:rsidP="00444072">
            <w:pPr>
              <w:pStyle w:val="NoSpacing1"/>
              <w:rPr>
                <w:rFonts w:cs="Arial"/>
                <w:sz w:val="22"/>
              </w:rPr>
            </w:pPr>
            <w:r w:rsidRPr="00295116">
              <w:rPr>
                <w:rFonts w:cs="Arial"/>
                <w:sz w:val="22"/>
              </w:rPr>
              <w:t>2</w:t>
            </w:r>
          </w:p>
        </w:tc>
        <w:tc>
          <w:tcPr>
            <w:tcW w:w="633" w:type="pct"/>
          </w:tcPr>
          <w:p w:rsidR="00E4391E" w:rsidRPr="00295116" w:rsidRDefault="00E4391E" w:rsidP="00444072">
            <w:pPr>
              <w:pStyle w:val="NoSpacing1"/>
              <w:rPr>
                <w:rFonts w:cs="Arial"/>
                <w:sz w:val="22"/>
              </w:rPr>
            </w:pPr>
            <w:r w:rsidRPr="00295116">
              <w:rPr>
                <w:rFonts w:cs="Arial"/>
                <w:sz w:val="22"/>
              </w:rPr>
              <w:t>540</w:t>
            </w:r>
          </w:p>
        </w:tc>
        <w:tc>
          <w:tcPr>
            <w:tcW w:w="584" w:type="pct"/>
          </w:tcPr>
          <w:p w:rsidR="00E4391E" w:rsidRPr="00295116" w:rsidRDefault="00E4391E" w:rsidP="00444072">
            <w:pPr>
              <w:pStyle w:val="NoSpacing1"/>
              <w:rPr>
                <w:rFonts w:cs="Arial"/>
                <w:sz w:val="22"/>
              </w:rPr>
            </w:pPr>
            <w:r w:rsidRPr="00295116">
              <w:rPr>
                <w:rFonts w:cs="Arial"/>
                <w:sz w:val="22"/>
              </w:rPr>
              <w:t>.25</w:t>
            </w:r>
          </w:p>
        </w:tc>
        <w:tc>
          <w:tcPr>
            <w:tcW w:w="715" w:type="pct"/>
          </w:tcPr>
          <w:p w:rsidR="00E4391E" w:rsidRPr="00295116" w:rsidRDefault="00E4391E" w:rsidP="00444072">
            <w:pPr>
              <w:pStyle w:val="NoSpacing1"/>
              <w:rPr>
                <w:rFonts w:cs="Arial"/>
                <w:sz w:val="22"/>
              </w:rPr>
            </w:pPr>
            <w:r w:rsidRPr="00295116">
              <w:rPr>
                <w:rFonts w:cs="Arial"/>
                <w:sz w:val="22"/>
              </w:rPr>
              <w:t>135</w:t>
            </w:r>
          </w:p>
        </w:tc>
      </w:tr>
      <w:tr w:rsidR="00E4391E" w:rsidRPr="00295116" w:rsidTr="00B770DE">
        <w:trPr>
          <w:trHeight w:val="854"/>
          <w:jc w:val="center"/>
        </w:trPr>
        <w:tc>
          <w:tcPr>
            <w:tcW w:w="262" w:type="pct"/>
            <w:vMerge/>
          </w:tcPr>
          <w:p w:rsidR="00E4391E" w:rsidRPr="00295116" w:rsidRDefault="00E4391E" w:rsidP="00444072">
            <w:pPr>
              <w:pStyle w:val="NoSpacing1"/>
              <w:rPr>
                <w:rFonts w:cs="Arial"/>
                <w:sz w:val="22"/>
              </w:rPr>
            </w:pPr>
          </w:p>
        </w:tc>
        <w:tc>
          <w:tcPr>
            <w:tcW w:w="1383" w:type="pct"/>
          </w:tcPr>
          <w:p w:rsidR="00E4391E" w:rsidRPr="00295116" w:rsidRDefault="00E4391E" w:rsidP="00444072">
            <w:pPr>
              <w:pStyle w:val="NoSpacing1"/>
              <w:rPr>
                <w:rFonts w:cs="Arial"/>
                <w:sz w:val="22"/>
              </w:rPr>
            </w:pPr>
            <w:r w:rsidRPr="00295116">
              <w:rPr>
                <w:rFonts w:cs="Arial"/>
                <w:sz w:val="22"/>
              </w:rPr>
              <w:t>PedsQL for children &amp; adolescents 18 years or younger*</w:t>
            </w:r>
          </w:p>
        </w:tc>
        <w:tc>
          <w:tcPr>
            <w:tcW w:w="730" w:type="pct"/>
          </w:tcPr>
          <w:p w:rsidR="00E4391E" w:rsidRPr="00295116" w:rsidRDefault="00E4391E" w:rsidP="00444072">
            <w:pPr>
              <w:pStyle w:val="NoSpacing1"/>
              <w:rPr>
                <w:rFonts w:cs="Arial"/>
                <w:sz w:val="22"/>
              </w:rPr>
            </w:pPr>
            <w:r w:rsidRPr="00295116">
              <w:rPr>
                <w:rFonts w:cs="Arial"/>
                <w:sz w:val="22"/>
              </w:rPr>
              <w:t>225</w:t>
            </w:r>
          </w:p>
        </w:tc>
        <w:tc>
          <w:tcPr>
            <w:tcW w:w="693" w:type="pct"/>
          </w:tcPr>
          <w:p w:rsidR="00E4391E" w:rsidRPr="00295116" w:rsidRDefault="00E4391E" w:rsidP="00444072">
            <w:pPr>
              <w:pStyle w:val="NoSpacing1"/>
              <w:rPr>
                <w:rFonts w:cs="Arial"/>
                <w:sz w:val="22"/>
              </w:rPr>
            </w:pPr>
            <w:r w:rsidRPr="00295116">
              <w:rPr>
                <w:rFonts w:cs="Arial"/>
                <w:sz w:val="22"/>
              </w:rPr>
              <w:t>2</w:t>
            </w:r>
          </w:p>
        </w:tc>
        <w:tc>
          <w:tcPr>
            <w:tcW w:w="633" w:type="pct"/>
          </w:tcPr>
          <w:p w:rsidR="00E4391E" w:rsidRPr="00295116" w:rsidRDefault="00E4391E" w:rsidP="00444072">
            <w:pPr>
              <w:pStyle w:val="NoSpacing1"/>
              <w:rPr>
                <w:rFonts w:cs="Arial"/>
                <w:sz w:val="22"/>
              </w:rPr>
            </w:pPr>
            <w:r w:rsidRPr="00295116">
              <w:rPr>
                <w:rFonts w:cs="Arial"/>
                <w:sz w:val="22"/>
              </w:rPr>
              <w:t>450</w:t>
            </w:r>
          </w:p>
        </w:tc>
        <w:tc>
          <w:tcPr>
            <w:tcW w:w="584" w:type="pct"/>
          </w:tcPr>
          <w:p w:rsidR="00E4391E" w:rsidRPr="00295116" w:rsidRDefault="00E4391E" w:rsidP="00444072">
            <w:pPr>
              <w:pStyle w:val="NoSpacing1"/>
              <w:rPr>
                <w:rFonts w:cs="Arial"/>
                <w:sz w:val="22"/>
              </w:rPr>
            </w:pPr>
            <w:r w:rsidRPr="00295116">
              <w:rPr>
                <w:rFonts w:cs="Arial"/>
                <w:sz w:val="22"/>
              </w:rPr>
              <w:t>.25</w:t>
            </w:r>
          </w:p>
        </w:tc>
        <w:tc>
          <w:tcPr>
            <w:tcW w:w="715" w:type="pct"/>
          </w:tcPr>
          <w:p w:rsidR="00E4391E" w:rsidRPr="00295116" w:rsidRDefault="00E4391E" w:rsidP="00444072">
            <w:pPr>
              <w:pStyle w:val="NoSpacing1"/>
              <w:rPr>
                <w:rFonts w:cs="Arial"/>
                <w:sz w:val="22"/>
              </w:rPr>
            </w:pPr>
            <w:r w:rsidRPr="00295116">
              <w:rPr>
                <w:rFonts w:cs="Arial"/>
                <w:sz w:val="22"/>
              </w:rPr>
              <w:t>112.5</w:t>
            </w:r>
          </w:p>
        </w:tc>
      </w:tr>
      <w:tr w:rsidR="00E4391E" w:rsidRPr="00295116" w:rsidTr="00B770DE">
        <w:trPr>
          <w:trHeight w:val="881"/>
          <w:jc w:val="center"/>
        </w:trPr>
        <w:tc>
          <w:tcPr>
            <w:tcW w:w="262" w:type="pct"/>
            <w:vMerge/>
          </w:tcPr>
          <w:p w:rsidR="00E4391E" w:rsidRPr="00295116" w:rsidRDefault="00E4391E" w:rsidP="00444072">
            <w:pPr>
              <w:pStyle w:val="NoSpacing1"/>
              <w:rPr>
                <w:rFonts w:cs="Arial"/>
                <w:sz w:val="22"/>
              </w:rPr>
            </w:pPr>
          </w:p>
        </w:tc>
        <w:tc>
          <w:tcPr>
            <w:tcW w:w="1383" w:type="pct"/>
          </w:tcPr>
          <w:p w:rsidR="00E4391E" w:rsidRPr="00295116" w:rsidRDefault="00E4391E" w:rsidP="00444072">
            <w:pPr>
              <w:pStyle w:val="NoSpacing1"/>
              <w:rPr>
                <w:rFonts w:cs="Arial"/>
                <w:sz w:val="22"/>
              </w:rPr>
            </w:pPr>
            <w:r w:rsidRPr="00295116">
              <w:rPr>
                <w:rFonts w:cs="Arial"/>
                <w:sz w:val="22"/>
              </w:rPr>
              <w:t>The Medical Home Family Index (Health Care Satisfaction)</w:t>
            </w:r>
          </w:p>
        </w:tc>
        <w:tc>
          <w:tcPr>
            <w:tcW w:w="730" w:type="pct"/>
          </w:tcPr>
          <w:p w:rsidR="00E4391E" w:rsidRPr="00295116" w:rsidRDefault="00E4391E" w:rsidP="00444072">
            <w:pPr>
              <w:pStyle w:val="NoSpacing1"/>
              <w:rPr>
                <w:rFonts w:cs="Arial"/>
                <w:sz w:val="22"/>
              </w:rPr>
            </w:pPr>
            <w:r w:rsidRPr="00295116">
              <w:rPr>
                <w:rFonts w:cs="Arial"/>
                <w:sz w:val="22"/>
              </w:rPr>
              <w:t>900</w:t>
            </w:r>
          </w:p>
        </w:tc>
        <w:tc>
          <w:tcPr>
            <w:tcW w:w="693" w:type="pct"/>
          </w:tcPr>
          <w:p w:rsidR="00E4391E" w:rsidRPr="00295116" w:rsidRDefault="00E4391E" w:rsidP="00444072">
            <w:pPr>
              <w:pStyle w:val="NoSpacing1"/>
              <w:rPr>
                <w:rFonts w:cs="Arial"/>
                <w:sz w:val="22"/>
              </w:rPr>
            </w:pPr>
            <w:r w:rsidRPr="00295116">
              <w:rPr>
                <w:rFonts w:cs="Arial"/>
                <w:sz w:val="22"/>
              </w:rPr>
              <w:t>2</w:t>
            </w:r>
          </w:p>
        </w:tc>
        <w:tc>
          <w:tcPr>
            <w:tcW w:w="633" w:type="pct"/>
          </w:tcPr>
          <w:p w:rsidR="00E4391E" w:rsidRPr="00295116" w:rsidRDefault="00E4391E" w:rsidP="00444072">
            <w:pPr>
              <w:pStyle w:val="NoSpacing1"/>
              <w:rPr>
                <w:rFonts w:cs="Arial"/>
                <w:sz w:val="22"/>
              </w:rPr>
            </w:pPr>
            <w:r w:rsidRPr="00295116">
              <w:rPr>
                <w:rFonts w:cs="Arial"/>
                <w:sz w:val="22"/>
              </w:rPr>
              <w:t>1800</w:t>
            </w:r>
          </w:p>
        </w:tc>
        <w:tc>
          <w:tcPr>
            <w:tcW w:w="584" w:type="pct"/>
          </w:tcPr>
          <w:p w:rsidR="00E4391E" w:rsidRPr="00295116" w:rsidRDefault="00E4391E" w:rsidP="00444072">
            <w:pPr>
              <w:pStyle w:val="NoSpacing1"/>
              <w:rPr>
                <w:rFonts w:cs="Arial"/>
                <w:sz w:val="22"/>
              </w:rPr>
            </w:pPr>
            <w:r w:rsidRPr="00295116">
              <w:rPr>
                <w:rFonts w:cs="Arial"/>
                <w:sz w:val="22"/>
              </w:rPr>
              <w:t xml:space="preserve">.25 </w:t>
            </w:r>
          </w:p>
        </w:tc>
        <w:tc>
          <w:tcPr>
            <w:tcW w:w="715" w:type="pct"/>
          </w:tcPr>
          <w:p w:rsidR="00E4391E" w:rsidRPr="00295116" w:rsidRDefault="00E4391E" w:rsidP="00444072">
            <w:pPr>
              <w:pStyle w:val="NoSpacing1"/>
              <w:rPr>
                <w:rFonts w:cs="Arial"/>
                <w:sz w:val="22"/>
              </w:rPr>
            </w:pPr>
            <w:r w:rsidRPr="00295116">
              <w:rPr>
                <w:rFonts w:cs="Arial"/>
                <w:sz w:val="22"/>
              </w:rPr>
              <w:t>450</w:t>
            </w:r>
          </w:p>
        </w:tc>
      </w:tr>
      <w:tr w:rsidR="00E4391E" w:rsidRPr="00295116" w:rsidTr="00B770DE">
        <w:trPr>
          <w:trHeight w:val="881"/>
          <w:jc w:val="center"/>
        </w:trPr>
        <w:tc>
          <w:tcPr>
            <w:tcW w:w="262" w:type="pct"/>
            <w:vMerge/>
          </w:tcPr>
          <w:p w:rsidR="00E4391E" w:rsidRPr="00295116" w:rsidRDefault="00E4391E" w:rsidP="00444072">
            <w:pPr>
              <w:pStyle w:val="NoSpacing1"/>
              <w:rPr>
                <w:rFonts w:cs="Arial"/>
                <w:sz w:val="22"/>
              </w:rPr>
            </w:pPr>
          </w:p>
        </w:tc>
        <w:tc>
          <w:tcPr>
            <w:tcW w:w="1383" w:type="pct"/>
          </w:tcPr>
          <w:p w:rsidR="00E4391E" w:rsidRPr="00761772" w:rsidRDefault="00E4391E" w:rsidP="00444072">
            <w:pPr>
              <w:pStyle w:val="NoSpacing1"/>
              <w:rPr>
                <w:sz w:val="22"/>
              </w:rPr>
            </w:pPr>
            <w:r w:rsidRPr="00761772">
              <w:rPr>
                <w:sz w:val="22"/>
              </w:rPr>
              <w:t>QI Instrument</w:t>
            </w:r>
          </w:p>
        </w:tc>
        <w:tc>
          <w:tcPr>
            <w:tcW w:w="730" w:type="pct"/>
          </w:tcPr>
          <w:p w:rsidR="00E4391E" w:rsidRPr="00761772" w:rsidRDefault="00E4391E" w:rsidP="00444072">
            <w:pPr>
              <w:pStyle w:val="NoSpacing1"/>
              <w:rPr>
                <w:rFonts w:cs="Arial"/>
                <w:sz w:val="22"/>
              </w:rPr>
            </w:pPr>
            <w:r w:rsidRPr="00761772">
              <w:rPr>
                <w:rFonts w:cs="Arial"/>
                <w:sz w:val="22"/>
              </w:rPr>
              <w:t>9</w:t>
            </w:r>
          </w:p>
        </w:tc>
        <w:tc>
          <w:tcPr>
            <w:tcW w:w="693" w:type="pct"/>
          </w:tcPr>
          <w:p w:rsidR="00E4391E" w:rsidRPr="00761772" w:rsidRDefault="00E4391E" w:rsidP="00444072">
            <w:pPr>
              <w:pStyle w:val="NoSpacing1"/>
              <w:rPr>
                <w:rFonts w:cs="Arial"/>
                <w:sz w:val="22"/>
              </w:rPr>
            </w:pPr>
            <w:r w:rsidRPr="00761772">
              <w:rPr>
                <w:rFonts w:cs="Arial"/>
                <w:sz w:val="22"/>
              </w:rPr>
              <w:t>12</w:t>
            </w:r>
          </w:p>
        </w:tc>
        <w:tc>
          <w:tcPr>
            <w:tcW w:w="633" w:type="pct"/>
          </w:tcPr>
          <w:p w:rsidR="00E4391E" w:rsidRPr="00761772" w:rsidRDefault="00E4391E" w:rsidP="00444072">
            <w:pPr>
              <w:pStyle w:val="NoSpacing1"/>
              <w:rPr>
                <w:rFonts w:cs="Arial"/>
                <w:sz w:val="22"/>
              </w:rPr>
            </w:pPr>
            <w:r w:rsidRPr="00761772">
              <w:rPr>
                <w:rFonts w:cs="Arial"/>
                <w:sz w:val="22"/>
              </w:rPr>
              <w:t>108</w:t>
            </w:r>
          </w:p>
        </w:tc>
        <w:tc>
          <w:tcPr>
            <w:tcW w:w="584" w:type="pct"/>
          </w:tcPr>
          <w:p w:rsidR="00E4391E" w:rsidRPr="00761772" w:rsidRDefault="00E4391E" w:rsidP="00444072">
            <w:pPr>
              <w:pStyle w:val="NoSpacing1"/>
              <w:rPr>
                <w:rFonts w:cs="Arial"/>
                <w:sz w:val="22"/>
              </w:rPr>
            </w:pPr>
            <w:r w:rsidRPr="00761772">
              <w:rPr>
                <w:rFonts w:cs="Arial"/>
                <w:sz w:val="22"/>
              </w:rPr>
              <w:t>4</w:t>
            </w:r>
          </w:p>
        </w:tc>
        <w:tc>
          <w:tcPr>
            <w:tcW w:w="715" w:type="pct"/>
          </w:tcPr>
          <w:p w:rsidR="00E4391E" w:rsidRPr="00761772" w:rsidRDefault="00E4391E" w:rsidP="00444072">
            <w:pPr>
              <w:pStyle w:val="NoSpacing1"/>
              <w:rPr>
                <w:rFonts w:cs="Arial"/>
                <w:sz w:val="22"/>
              </w:rPr>
            </w:pPr>
            <w:r w:rsidRPr="00761772">
              <w:rPr>
                <w:rFonts w:cs="Arial"/>
                <w:sz w:val="22"/>
              </w:rPr>
              <w:t>432</w:t>
            </w:r>
          </w:p>
        </w:tc>
      </w:tr>
      <w:tr w:rsidR="00E4391E" w:rsidRPr="00295116" w:rsidTr="00B770DE">
        <w:trPr>
          <w:trHeight w:val="881"/>
          <w:jc w:val="center"/>
        </w:trPr>
        <w:tc>
          <w:tcPr>
            <w:tcW w:w="262" w:type="pct"/>
          </w:tcPr>
          <w:p w:rsidR="00E4391E" w:rsidRPr="00295116" w:rsidRDefault="00E4391E" w:rsidP="00444072">
            <w:pPr>
              <w:pStyle w:val="NoSpacing1"/>
              <w:rPr>
                <w:rFonts w:cs="Arial"/>
                <w:sz w:val="22"/>
              </w:rPr>
            </w:pPr>
          </w:p>
        </w:tc>
        <w:tc>
          <w:tcPr>
            <w:tcW w:w="1383" w:type="pct"/>
          </w:tcPr>
          <w:p w:rsidR="00E4391E" w:rsidRPr="00295116" w:rsidRDefault="00E4391E" w:rsidP="00444072">
            <w:pPr>
              <w:pStyle w:val="NoSpacing1"/>
              <w:rPr>
                <w:rFonts w:cs="Arial"/>
                <w:sz w:val="22"/>
              </w:rPr>
            </w:pPr>
            <w:r w:rsidRPr="00295116">
              <w:rPr>
                <w:sz w:val="22"/>
              </w:rPr>
              <w:t>Hemoglobinopathies Emerging Populations Form</w:t>
            </w:r>
            <w:r>
              <w:rPr>
                <w:sz w:val="22"/>
              </w:rPr>
              <w:t xml:space="preserve"> (Client Family Communication)</w:t>
            </w:r>
          </w:p>
        </w:tc>
        <w:tc>
          <w:tcPr>
            <w:tcW w:w="730" w:type="pct"/>
          </w:tcPr>
          <w:p w:rsidR="00E4391E" w:rsidRPr="00295116" w:rsidRDefault="00E4391E" w:rsidP="00444072">
            <w:pPr>
              <w:pStyle w:val="NoSpacing1"/>
              <w:rPr>
                <w:rFonts w:cs="Arial"/>
                <w:sz w:val="22"/>
              </w:rPr>
            </w:pPr>
            <w:r>
              <w:rPr>
                <w:rFonts w:cs="Arial"/>
                <w:sz w:val="22"/>
              </w:rPr>
              <w:t>900</w:t>
            </w:r>
          </w:p>
        </w:tc>
        <w:tc>
          <w:tcPr>
            <w:tcW w:w="693" w:type="pct"/>
          </w:tcPr>
          <w:p w:rsidR="00E4391E" w:rsidRPr="00295116" w:rsidRDefault="00E4391E" w:rsidP="00444072">
            <w:pPr>
              <w:pStyle w:val="NoSpacing1"/>
              <w:rPr>
                <w:rFonts w:cs="Arial"/>
                <w:sz w:val="22"/>
              </w:rPr>
            </w:pPr>
            <w:r>
              <w:rPr>
                <w:rFonts w:cs="Arial"/>
                <w:sz w:val="22"/>
              </w:rPr>
              <w:t>2</w:t>
            </w:r>
          </w:p>
        </w:tc>
        <w:tc>
          <w:tcPr>
            <w:tcW w:w="633" w:type="pct"/>
          </w:tcPr>
          <w:p w:rsidR="00E4391E" w:rsidRPr="00295116" w:rsidRDefault="00E4391E" w:rsidP="00444072">
            <w:pPr>
              <w:pStyle w:val="NoSpacing1"/>
              <w:rPr>
                <w:rFonts w:cs="Arial"/>
                <w:sz w:val="22"/>
              </w:rPr>
            </w:pPr>
            <w:r>
              <w:rPr>
                <w:rFonts w:cs="Arial"/>
                <w:sz w:val="22"/>
              </w:rPr>
              <w:t>1800</w:t>
            </w:r>
          </w:p>
        </w:tc>
        <w:tc>
          <w:tcPr>
            <w:tcW w:w="584" w:type="pct"/>
          </w:tcPr>
          <w:p w:rsidR="00E4391E" w:rsidRPr="00295116" w:rsidRDefault="00E4391E" w:rsidP="00444072">
            <w:pPr>
              <w:pStyle w:val="NoSpacing1"/>
              <w:rPr>
                <w:rFonts w:cs="Arial"/>
                <w:sz w:val="22"/>
              </w:rPr>
            </w:pPr>
            <w:r>
              <w:rPr>
                <w:rFonts w:cs="Arial"/>
                <w:sz w:val="22"/>
              </w:rPr>
              <w:t>.20</w:t>
            </w:r>
          </w:p>
        </w:tc>
        <w:tc>
          <w:tcPr>
            <w:tcW w:w="715" w:type="pct"/>
          </w:tcPr>
          <w:p w:rsidR="00E4391E" w:rsidRPr="00295116" w:rsidRDefault="00E4391E" w:rsidP="00444072">
            <w:pPr>
              <w:pStyle w:val="NoSpacing1"/>
              <w:rPr>
                <w:rFonts w:cs="Arial"/>
                <w:sz w:val="22"/>
              </w:rPr>
            </w:pPr>
            <w:r>
              <w:rPr>
                <w:rFonts w:cs="Arial"/>
                <w:sz w:val="22"/>
              </w:rPr>
              <w:t>360</w:t>
            </w:r>
          </w:p>
        </w:tc>
      </w:tr>
      <w:tr w:rsidR="00E4391E" w:rsidRPr="00295116" w:rsidTr="00B770DE">
        <w:trPr>
          <w:trHeight w:val="314"/>
          <w:jc w:val="center"/>
        </w:trPr>
        <w:tc>
          <w:tcPr>
            <w:tcW w:w="1645" w:type="pct"/>
            <w:gridSpan w:val="2"/>
            <w:vAlign w:val="center"/>
          </w:tcPr>
          <w:p w:rsidR="00E4391E" w:rsidRPr="00295116" w:rsidRDefault="00E4391E" w:rsidP="00444072">
            <w:pPr>
              <w:pStyle w:val="NoSpacing1"/>
              <w:rPr>
                <w:sz w:val="22"/>
              </w:rPr>
            </w:pPr>
            <w:r w:rsidRPr="00295116">
              <w:rPr>
                <w:sz w:val="22"/>
              </w:rPr>
              <w:t>Total</w:t>
            </w:r>
          </w:p>
        </w:tc>
        <w:tc>
          <w:tcPr>
            <w:tcW w:w="730" w:type="pct"/>
            <w:vAlign w:val="center"/>
          </w:tcPr>
          <w:p w:rsidR="00E4391E" w:rsidRPr="00295116" w:rsidRDefault="00E4391E" w:rsidP="00444072">
            <w:pPr>
              <w:pStyle w:val="NoSpacing1"/>
              <w:rPr>
                <w:sz w:val="22"/>
              </w:rPr>
            </w:pPr>
            <w:r w:rsidRPr="00295116">
              <w:rPr>
                <w:sz w:val="22"/>
              </w:rPr>
              <w:t xml:space="preserve"> </w:t>
            </w:r>
            <w:r>
              <w:rPr>
                <w:sz w:val="22"/>
              </w:rPr>
              <w:t>4734</w:t>
            </w:r>
          </w:p>
        </w:tc>
        <w:tc>
          <w:tcPr>
            <w:tcW w:w="693" w:type="pct"/>
            <w:shd w:val="pct12" w:color="auto" w:fill="auto"/>
            <w:vAlign w:val="center"/>
          </w:tcPr>
          <w:p w:rsidR="00E4391E" w:rsidRPr="00295116" w:rsidRDefault="00E4391E" w:rsidP="00444072">
            <w:pPr>
              <w:pStyle w:val="NoSpacing1"/>
              <w:rPr>
                <w:sz w:val="22"/>
              </w:rPr>
            </w:pPr>
          </w:p>
        </w:tc>
        <w:tc>
          <w:tcPr>
            <w:tcW w:w="633" w:type="pct"/>
            <w:vAlign w:val="center"/>
          </w:tcPr>
          <w:p w:rsidR="00E4391E" w:rsidRPr="00295116" w:rsidRDefault="00E4391E" w:rsidP="00444072">
            <w:pPr>
              <w:pStyle w:val="NoSpacing1"/>
              <w:rPr>
                <w:sz w:val="22"/>
              </w:rPr>
            </w:pPr>
            <w:r>
              <w:rPr>
                <w:sz w:val="22"/>
              </w:rPr>
              <w:t>7758</w:t>
            </w:r>
          </w:p>
        </w:tc>
        <w:tc>
          <w:tcPr>
            <w:tcW w:w="584" w:type="pct"/>
            <w:shd w:val="pct12" w:color="auto" w:fill="auto"/>
            <w:vAlign w:val="center"/>
          </w:tcPr>
          <w:p w:rsidR="00E4391E" w:rsidRPr="00295116" w:rsidRDefault="00E4391E" w:rsidP="00444072">
            <w:pPr>
              <w:pStyle w:val="NoSpacing1"/>
              <w:rPr>
                <w:sz w:val="22"/>
              </w:rPr>
            </w:pPr>
          </w:p>
        </w:tc>
        <w:tc>
          <w:tcPr>
            <w:tcW w:w="715" w:type="pct"/>
            <w:vAlign w:val="center"/>
          </w:tcPr>
          <w:p w:rsidR="00E4391E" w:rsidRPr="00295116" w:rsidRDefault="00E4391E" w:rsidP="00445326">
            <w:pPr>
              <w:pStyle w:val="NoSpacing1"/>
              <w:rPr>
                <w:sz w:val="22"/>
              </w:rPr>
            </w:pPr>
            <w:r>
              <w:rPr>
                <w:sz w:val="22"/>
              </w:rPr>
              <w:t>2929.5</w:t>
            </w:r>
          </w:p>
        </w:tc>
      </w:tr>
    </w:tbl>
    <w:p w:rsidR="00E4391E" w:rsidRDefault="00E4391E" w:rsidP="00346B4F">
      <w:pPr>
        <w:spacing w:after="0"/>
      </w:pPr>
    </w:p>
    <w:p w:rsidR="00E4391E" w:rsidRDefault="00E4391E" w:rsidP="00346B4F">
      <w:pPr>
        <w:spacing w:after="0"/>
      </w:pPr>
    </w:p>
    <w:p w:rsidR="00E4391E" w:rsidRPr="000B75A2" w:rsidRDefault="00E4391E" w:rsidP="00346B4F">
      <w:pPr>
        <w:spacing w:after="0"/>
      </w:pPr>
      <w:r>
        <w:t xml:space="preserve">* Only one form is completed by respondent based on age and responder.  </w:t>
      </w:r>
    </w:p>
    <w:p w:rsidR="00E4391E" w:rsidRDefault="00E4391E" w:rsidP="00346B4F">
      <w:pPr>
        <w:spacing w:line="240" w:lineRule="auto"/>
        <w:rPr>
          <w:b/>
          <w:i/>
        </w:rPr>
      </w:pPr>
      <w:r w:rsidRPr="00346B4F">
        <w:rPr>
          <w:b/>
          <w:i/>
        </w:rPr>
        <w:t xml:space="preserve"> </w:t>
      </w:r>
    </w:p>
    <w:p w:rsidR="00E4391E" w:rsidRDefault="00E4391E" w:rsidP="00D938C9">
      <w:pPr>
        <w:pStyle w:val="ListParagraph"/>
      </w:pPr>
      <w:r w:rsidRPr="00DA45F1">
        <w:lastRenderedPageBreak/>
        <w:t>The estimates of burden for the SF-36, the PedsQL</w:t>
      </w:r>
      <w:r>
        <w:t>,</w:t>
      </w:r>
      <w:r w:rsidRPr="00DA45F1">
        <w:t xml:space="preserve"> and the Medical Home Family Index were derived from published estimates of administering these instruments.</w:t>
      </w:r>
      <w:r w:rsidRPr="00DD0224">
        <w:rPr>
          <w:rStyle w:val="FootnoteReference"/>
          <w:sz w:val="32"/>
          <w:szCs w:val="32"/>
        </w:rPr>
        <w:footnoteReference w:id="2"/>
      </w:r>
      <w:r w:rsidRPr="00DD0224">
        <w:rPr>
          <w:sz w:val="32"/>
          <w:szCs w:val="32"/>
        </w:rPr>
        <w:t xml:space="preserve"> </w:t>
      </w:r>
      <w:r>
        <w:t xml:space="preserve"> T</w:t>
      </w:r>
      <w:r w:rsidRPr="003836F6">
        <w:t>he Utilization Form</w:t>
      </w:r>
      <w:r>
        <w:t xml:space="preserve"> was </w:t>
      </w:r>
      <w:r w:rsidRPr="003836F6">
        <w:t>pre-tested</w:t>
      </w:r>
      <w:r>
        <w:t xml:space="preserve"> with 9 respondents and the estimates of burden are based on the results of those assessments.  We are in the process of developing similar measures that have similar data collection burden as these measures detailed in this application. We will pay particular attention that the data collection burden for these new measures will be the same or less as the current measures for both programs.  </w:t>
      </w:r>
    </w:p>
    <w:p w:rsidR="00E4391E" w:rsidRDefault="00E4391E" w:rsidP="00761772">
      <w:pPr>
        <w:spacing w:line="240" w:lineRule="auto"/>
      </w:pPr>
    </w:p>
    <w:p w:rsidR="00E4391E" w:rsidRDefault="00E4391E" w:rsidP="00F46617">
      <w:pPr>
        <w:numPr>
          <w:ilvl w:val="0"/>
          <w:numId w:val="13"/>
        </w:numPr>
        <w:spacing w:line="240" w:lineRule="auto"/>
        <w:rPr>
          <w:b/>
          <w:i/>
        </w:rPr>
      </w:pPr>
      <w:r>
        <w:rPr>
          <w:b/>
          <w:i/>
        </w:rPr>
        <w:t>Combined Table</w:t>
      </w:r>
    </w:p>
    <w:p w:rsidR="00E4391E" w:rsidRPr="00D23D91" w:rsidRDefault="00E4391E" w:rsidP="00D23D91">
      <w:pPr>
        <w:spacing w:line="240" w:lineRule="auto"/>
      </w:pPr>
      <w:r>
        <w:t>Table 5 represents the total burden from both the Sickle Cell Disease and Newborn Screening (SCDNBSP) and the Sickle Cell Disease Treatment Demonstration Program (SCDTDP) Measurement and Quality Improvement Activities.</w:t>
      </w:r>
    </w:p>
    <w:tbl>
      <w:tblPr>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0"/>
        <w:gridCol w:w="1306"/>
        <w:gridCol w:w="1228"/>
        <w:gridCol w:w="1094"/>
        <w:gridCol w:w="1017"/>
        <w:gridCol w:w="861"/>
        <w:gridCol w:w="766"/>
        <w:gridCol w:w="1116"/>
      </w:tblGrid>
      <w:tr w:rsidR="00E4391E" w:rsidRPr="004771A3" w:rsidTr="00E5342E">
        <w:tc>
          <w:tcPr>
            <w:tcW w:w="9438" w:type="dxa"/>
            <w:gridSpan w:val="8"/>
          </w:tcPr>
          <w:p w:rsidR="00E4391E" w:rsidRPr="009E1E76" w:rsidRDefault="00E4391E" w:rsidP="00346B4F">
            <w:pPr>
              <w:autoSpaceDE w:val="0"/>
              <w:autoSpaceDN w:val="0"/>
              <w:adjustRightInd w:val="0"/>
              <w:spacing w:line="240" w:lineRule="auto"/>
              <w:jc w:val="center"/>
              <w:rPr>
                <w:b/>
              </w:rPr>
            </w:pPr>
            <w:r>
              <w:rPr>
                <w:b/>
                <w:sz w:val="22"/>
                <w:szCs w:val="22"/>
              </w:rPr>
              <w:t>Table 5</w:t>
            </w:r>
            <w:r w:rsidRPr="009E1E76">
              <w:rPr>
                <w:b/>
                <w:sz w:val="22"/>
                <w:szCs w:val="22"/>
              </w:rPr>
              <w:t xml:space="preserve">. </w:t>
            </w:r>
            <w:r w:rsidRPr="009E1E76">
              <w:rPr>
                <w:b/>
                <w:bCs/>
                <w:sz w:val="22"/>
                <w:szCs w:val="22"/>
              </w:rPr>
              <w:t>Estimated Hour and Cost Burden of the Data Collection</w:t>
            </w:r>
          </w:p>
        </w:tc>
      </w:tr>
      <w:tr w:rsidR="00E4391E" w:rsidRPr="004771A3" w:rsidTr="00E5342E">
        <w:tc>
          <w:tcPr>
            <w:tcW w:w="2050" w:type="dxa"/>
          </w:tcPr>
          <w:p w:rsidR="00E4391E" w:rsidRPr="004771A3" w:rsidRDefault="00E4391E" w:rsidP="00346B4F">
            <w:pPr>
              <w:rPr>
                <w:b/>
                <w:sz w:val="20"/>
                <w:szCs w:val="20"/>
              </w:rPr>
            </w:pPr>
            <w:r w:rsidRPr="004771A3">
              <w:rPr>
                <w:b/>
                <w:sz w:val="20"/>
                <w:szCs w:val="20"/>
              </w:rPr>
              <w:t>Questionnaires</w:t>
            </w:r>
          </w:p>
        </w:tc>
        <w:tc>
          <w:tcPr>
            <w:tcW w:w="1306" w:type="dxa"/>
          </w:tcPr>
          <w:p w:rsidR="00E4391E" w:rsidRPr="004771A3" w:rsidRDefault="00E4391E" w:rsidP="00346B4F">
            <w:pPr>
              <w:rPr>
                <w:b/>
                <w:sz w:val="20"/>
                <w:szCs w:val="20"/>
              </w:rPr>
            </w:pPr>
            <w:r w:rsidRPr="004771A3">
              <w:rPr>
                <w:b/>
                <w:sz w:val="20"/>
                <w:szCs w:val="20"/>
              </w:rPr>
              <w:t>No. of Respondents</w:t>
            </w:r>
          </w:p>
        </w:tc>
        <w:tc>
          <w:tcPr>
            <w:tcW w:w="1228" w:type="dxa"/>
          </w:tcPr>
          <w:p w:rsidR="00E4391E" w:rsidRPr="004771A3" w:rsidRDefault="00E4391E" w:rsidP="00346B4F">
            <w:pPr>
              <w:rPr>
                <w:b/>
                <w:sz w:val="20"/>
                <w:szCs w:val="20"/>
              </w:rPr>
            </w:pPr>
            <w:r w:rsidRPr="004771A3">
              <w:rPr>
                <w:b/>
                <w:sz w:val="20"/>
                <w:szCs w:val="20"/>
              </w:rPr>
              <w:t>Responses per Respondent</w:t>
            </w:r>
          </w:p>
        </w:tc>
        <w:tc>
          <w:tcPr>
            <w:tcW w:w="1094" w:type="dxa"/>
          </w:tcPr>
          <w:p w:rsidR="00E4391E" w:rsidRPr="004771A3" w:rsidRDefault="00E4391E" w:rsidP="00346B4F">
            <w:pPr>
              <w:rPr>
                <w:b/>
                <w:sz w:val="20"/>
                <w:szCs w:val="20"/>
              </w:rPr>
            </w:pPr>
            <w:r w:rsidRPr="004771A3">
              <w:rPr>
                <w:b/>
                <w:sz w:val="20"/>
                <w:szCs w:val="20"/>
              </w:rPr>
              <w:t>Total Responses</w:t>
            </w:r>
          </w:p>
        </w:tc>
        <w:tc>
          <w:tcPr>
            <w:tcW w:w="1017" w:type="dxa"/>
          </w:tcPr>
          <w:p w:rsidR="00E4391E" w:rsidRPr="004771A3" w:rsidRDefault="00E4391E" w:rsidP="00346B4F">
            <w:pPr>
              <w:rPr>
                <w:b/>
                <w:sz w:val="20"/>
                <w:szCs w:val="20"/>
              </w:rPr>
            </w:pPr>
            <w:r w:rsidRPr="004771A3">
              <w:rPr>
                <w:b/>
                <w:sz w:val="20"/>
                <w:szCs w:val="20"/>
              </w:rPr>
              <w:t>Average Hours per Response</w:t>
            </w:r>
          </w:p>
        </w:tc>
        <w:tc>
          <w:tcPr>
            <w:tcW w:w="861" w:type="dxa"/>
          </w:tcPr>
          <w:p w:rsidR="00E4391E" w:rsidRPr="004771A3" w:rsidRDefault="00E4391E" w:rsidP="00346B4F">
            <w:pPr>
              <w:rPr>
                <w:b/>
                <w:sz w:val="20"/>
                <w:szCs w:val="20"/>
              </w:rPr>
            </w:pPr>
            <w:r w:rsidRPr="004771A3">
              <w:rPr>
                <w:b/>
                <w:sz w:val="20"/>
                <w:szCs w:val="20"/>
              </w:rPr>
              <w:t>Total Hour Burden</w:t>
            </w:r>
          </w:p>
        </w:tc>
        <w:tc>
          <w:tcPr>
            <w:tcW w:w="766" w:type="dxa"/>
          </w:tcPr>
          <w:p w:rsidR="00E4391E" w:rsidRPr="004771A3" w:rsidRDefault="00E4391E" w:rsidP="00346B4F">
            <w:pPr>
              <w:rPr>
                <w:b/>
                <w:sz w:val="20"/>
                <w:szCs w:val="20"/>
              </w:rPr>
            </w:pPr>
            <w:r w:rsidRPr="004771A3">
              <w:rPr>
                <w:b/>
                <w:sz w:val="20"/>
                <w:szCs w:val="20"/>
              </w:rPr>
              <w:t>Wage Rate</w:t>
            </w:r>
          </w:p>
        </w:tc>
        <w:tc>
          <w:tcPr>
            <w:tcW w:w="1116" w:type="dxa"/>
          </w:tcPr>
          <w:p w:rsidR="00E4391E" w:rsidRPr="004771A3" w:rsidRDefault="00E4391E" w:rsidP="00346B4F">
            <w:pPr>
              <w:rPr>
                <w:b/>
                <w:sz w:val="20"/>
                <w:szCs w:val="20"/>
              </w:rPr>
            </w:pPr>
            <w:r w:rsidRPr="004771A3">
              <w:rPr>
                <w:b/>
                <w:sz w:val="20"/>
                <w:szCs w:val="20"/>
              </w:rPr>
              <w:t>Total Hour Cost</w:t>
            </w:r>
          </w:p>
        </w:tc>
      </w:tr>
      <w:tr w:rsidR="00E4391E" w:rsidRPr="004771A3" w:rsidTr="00E5342E">
        <w:tc>
          <w:tcPr>
            <w:tcW w:w="2050" w:type="dxa"/>
          </w:tcPr>
          <w:p w:rsidR="00E4391E" w:rsidRPr="004771A3" w:rsidRDefault="00E4391E" w:rsidP="00346B4F">
            <w:pPr>
              <w:rPr>
                <w:sz w:val="20"/>
                <w:szCs w:val="20"/>
              </w:rPr>
            </w:pPr>
            <w:r w:rsidRPr="004771A3">
              <w:rPr>
                <w:sz w:val="20"/>
                <w:szCs w:val="20"/>
              </w:rPr>
              <w:t>MDP SCD Questionnaire</w:t>
            </w:r>
          </w:p>
        </w:tc>
        <w:tc>
          <w:tcPr>
            <w:tcW w:w="1306" w:type="dxa"/>
          </w:tcPr>
          <w:p w:rsidR="00E4391E" w:rsidRPr="00D6284E" w:rsidRDefault="00E4391E" w:rsidP="00346B4F">
            <w:pPr>
              <w:rPr>
                <w:sz w:val="20"/>
                <w:szCs w:val="20"/>
              </w:rPr>
            </w:pPr>
            <w:r w:rsidRPr="00D6284E">
              <w:rPr>
                <w:sz w:val="22"/>
              </w:rPr>
              <w:t>140</w:t>
            </w:r>
          </w:p>
        </w:tc>
        <w:tc>
          <w:tcPr>
            <w:tcW w:w="1228" w:type="dxa"/>
          </w:tcPr>
          <w:p w:rsidR="00E4391E" w:rsidRPr="00D6284E" w:rsidRDefault="00E4391E" w:rsidP="00346B4F">
            <w:pPr>
              <w:rPr>
                <w:sz w:val="20"/>
                <w:szCs w:val="20"/>
              </w:rPr>
            </w:pPr>
            <w:r w:rsidRPr="00D6284E">
              <w:rPr>
                <w:sz w:val="22"/>
              </w:rPr>
              <w:t>2</w:t>
            </w:r>
          </w:p>
        </w:tc>
        <w:tc>
          <w:tcPr>
            <w:tcW w:w="1094" w:type="dxa"/>
          </w:tcPr>
          <w:p w:rsidR="00E4391E" w:rsidRPr="00D6284E" w:rsidRDefault="00E4391E" w:rsidP="00346B4F">
            <w:pPr>
              <w:rPr>
                <w:sz w:val="20"/>
                <w:szCs w:val="20"/>
              </w:rPr>
            </w:pPr>
            <w:r w:rsidRPr="00D6284E">
              <w:rPr>
                <w:sz w:val="22"/>
              </w:rPr>
              <w:t>280</w:t>
            </w:r>
          </w:p>
        </w:tc>
        <w:tc>
          <w:tcPr>
            <w:tcW w:w="1017" w:type="dxa"/>
          </w:tcPr>
          <w:p w:rsidR="00E4391E" w:rsidRPr="003517D3" w:rsidRDefault="00E4391E" w:rsidP="00346B4F">
            <w:pPr>
              <w:rPr>
                <w:sz w:val="20"/>
                <w:szCs w:val="20"/>
              </w:rPr>
            </w:pPr>
            <w:r w:rsidRPr="009E6524">
              <w:rPr>
                <w:sz w:val="22"/>
              </w:rPr>
              <w:t>.45</w:t>
            </w:r>
          </w:p>
        </w:tc>
        <w:tc>
          <w:tcPr>
            <w:tcW w:w="861" w:type="dxa"/>
          </w:tcPr>
          <w:p w:rsidR="00E4391E" w:rsidRPr="00CE5688" w:rsidRDefault="00E4391E" w:rsidP="00346B4F">
            <w:pPr>
              <w:rPr>
                <w:sz w:val="20"/>
                <w:szCs w:val="20"/>
              </w:rPr>
            </w:pPr>
            <w:r w:rsidRPr="005A20B1">
              <w:rPr>
                <w:sz w:val="22"/>
              </w:rPr>
              <w:t>126</w:t>
            </w:r>
          </w:p>
        </w:tc>
        <w:tc>
          <w:tcPr>
            <w:tcW w:w="766" w:type="dxa"/>
          </w:tcPr>
          <w:p w:rsidR="00E4391E" w:rsidRPr="004771A3" w:rsidRDefault="00E4391E" w:rsidP="00346B4F">
            <w:pPr>
              <w:rPr>
                <w:sz w:val="20"/>
                <w:szCs w:val="20"/>
              </w:rPr>
            </w:pPr>
            <w:r>
              <w:rPr>
                <w:sz w:val="20"/>
                <w:szCs w:val="20"/>
              </w:rPr>
              <w:t>$20.90</w:t>
            </w:r>
          </w:p>
        </w:tc>
        <w:tc>
          <w:tcPr>
            <w:tcW w:w="1116" w:type="dxa"/>
          </w:tcPr>
          <w:p w:rsidR="00E4391E" w:rsidRPr="004771A3" w:rsidRDefault="00E4391E" w:rsidP="00346B4F">
            <w:pPr>
              <w:rPr>
                <w:sz w:val="20"/>
                <w:szCs w:val="20"/>
              </w:rPr>
            </w:pPr>
            <w:r>
              <w:rPr>
                <w:sz w:val="20"/>
                <w:szCs w:val="20"/>
              </w:rPr>
              <w:t>$2633.4</w:t>
            </w:r>
          </w:p>
        </w:tc>
      </w:tr>
      <w:tr w:rsidR="00E4391E" w:rsidRPr="004771A3" w:rsidTr="00E5342E">
        <w:tc>
          <w:tcPr>
            <w:tcW w:w="2050" w:type="dxa"/>
          </w:tcPr>
          <w:p w:rsidR="00E4391E" w:rsidRPr="004771A3" w:rsidRDefault="00E4391E" w:rsidP="00346B4F">
            <w:pPr>
              <w:rPr>
                <w:sz w:val="20"/>
                <w:szCs w:val="20"/>
              </w:rPr>
            </w:pPr>
            <w:r w:rsidRPr="004771A3">
              <w:rPr>
                <w:sz w:val="20"/>
                <w:szCs w:val="20"/>
              </w:rPr>
              <w:t>MDP SCT Questionnaire</w:t>
            </w:r>
          </w:p>
        </w:tc>
        <w:tc>
          <w:tcPr>
            <w:tcW w:w="1306" w:type="dxa"/>
          </w:tcPr>
          <w:p w:rsidR="00E4391E" w:rsidRPr="00D6284E" w:rsidRDefault="00E4391E" w:rsidP="00346B4F">
            <w:pPr>
              <w:rPr>
                <w:sz w:val="20"/>
                <w:szCs w:val="20"/>
              </w:rPr>
            </w:pPr>
            <w:r w:rsidRPr="00D6284E">
              <w:rPr>
                <w:sz w:val="22"/>
              </w:rPr>
              <w:t>1400</w:t>
            </w:r>
          </w:p>
        </w:tc>
        <w:tc>
          <w:tcPr>
            <w:tcW w:w="1228" w:type="dxa"/>
          </w:tcPr>
          <w:p w:rsidR="00E4391E" w:rsidRPr="00D6284E" w:rsidRDefault="00E4391E" w:rsidP="00346B4F">
            <w:pPr>
              <w:rPr>
                <w:sz w:val="20"/>
                <w:szCs w:val="20"/>
              </w:rPr>
            </w:pPr>
            <w:r w:rsidRPr="00D6284E">
              <w:rPr>
                <w:sz w:val="22"/>
              </w:rPr>
              <w:t>1</w:t>
            </w:r>
          </w:p>
        </w:tc>
        <w:tc>
          <w:tcPr>
            <w:tcW w:w="1094" w:type="dxa"/>
          </w:tcPr>
          <w:p w:rsidR="00E4391E" w:rsidRPr="00D6284E" w:rsidRDefault="00E4391E" w:rsidP="00346B4F">
            <w:pPr>
              <w:rPr>
                <w:sz w:val="20"/>
                <w:szCs w:val="20"/>
              </w:rPr>
            </w:pPr>
            <w:r w:rsidRPr="00D6284E">
              <w:rPr>
                <w:sz w:val="22"/>
              </w:rPr>
              <w:t>1400</w:t>
            </w:r>
          </w:p>
        </w:tc>
        <w:tc>
          <w:tcPr>
            <w:tcW w:w="1017" w:type="dxa"/>
          </w:tcPr>
          <w:p w:rsidR="00E4391E" w:rsidRPr="003517D3" w:rsidRDefault="00E4391E" w:rsidP="00346B4F">
            <w:pPr>
              <w:rPr>
                <w:sz w:val="20"/>
                <w:szCs w:val="20"/>
              </w:rPr>
            </w:pPr>
            <w:r w:rsidRPr="009E6524">
              <w:rPr>
                <w:sz w:val="22"/>
              </w:rPr>
              <w:t>.30</w:t>
            </w:r>
          </w:p>
        </w:tc>
        <w:tc>
          <w:tcPr>
            <w:tcW w:w="861" w:type="dxa"/>
          </w:tcPr>
          <w:p w:rsidR="00E4391E" w:rsidRPr="00CE5688" w:rsidRDefault="00E4391E" w:rsidP="00346B4F">
            <w:pPr>
              <w:rPr>
                <w:sz w:val="20"/>
                <w:szCs w:val="20"/>
              </w:rPr>
            </w:pPr>
            <w:r w:rsidRPr="005A20B1">
              <w:rPr>
                <w:sz w:val="22"/>
              </w:rPr>
              <w:t>420</w:t>
            </w:r>
          </w:p>
        </w:tc>
        <w:tc>
          <w:tcPr>
            <w:tcW w:w="766" w:type="dxa"/>
          </w:tcPr>
          <w:p w:rsidR="00E4391E" w:rsidRPr="004771A3" w:rsidRDefault="00E4391E" w:rsidP="00346B4F">
            <w:pPr>
              <w:rPr>
                <w:sz w:val="20"/>
                <w:szCs w:val="20"/>
              </w:rPr>
            </w:pPr>
            <w:r>
              <w:rPr>
                <w:sz w:val="20"/>
                <w:szCs w:val="20"/>
              </w:rPr>
              <w:t>$20.90</w:t>
            </w:r>
          </w:p>
        </w:tc>
        <w:tc>
          <w:tcPr>
            <w:tcW w:w="1116" w:type="dxa"/>
          </w:tcPr>
          <w:p w:rsidR="00E4391E" w:rsidRPr="004771A3" w:rsidRDefault="00E4391E" w:rsidP="00346B4F">
            <w:pPr>
              <w:rPr>
                <w:sz w:val="20"/>
                <w:szCs w:val="20"/>
              </w:rPr>
            </w:pPr>
            <w:r>
              <w:rPr>
                <w:sz w:val="20"/>
                <w:szCs w:val="20"/>
              </w:rPr>
              <w:t>$8778</w:t>
            </w:r>
          </w:p>
        </w:tc>
      </w:tr>
      <w:tr w:rsidR="00E4391E" w:rsidRPr="004771A3" w:rsidTr="00E5342E">
        <w:tc>
          <w:tcPr>
            <w:tcW w:w="2050" w:type="dxa"/>
          </w:tcPr>
          <w:p w:rsidR="00E4391E" w:rsidRPr="0092700A" w:rsidRDefault="00E4391E" w:rsidP="00346B4F">
            <w:pPr>
              <w:pStyle w:val="NoSpacing1"/>
              <w:rPr>
                <w:sz w:val="22"/>
              </w:rPr>
            </w:pPr>
            <w:r w:rsidRPr="0092700A">
              <w:rPr>
                <w:sz w:val="22"/>
              </w:rPr>
              <w:t>Utilization Questionnaire (pre-demonstration)</w:t>
            </w:r>
          </w:p>
        </w:tc>
        <w:tc>
          <w:tcPr>
            <w:tcW w:w="1306" w:type="dxa"/>
          </w:tcPr>
          <w:p w:rsidR="00E4391E" w:rsidRPr="00295116" w:rsidRDefault="00E4391E" w:rsidP="00346B4F">
            <w:pPr>
              <w:pStyle w:val="NoSpacing1"/>
              <w:rPr>
                <w:rFonts w:cs="Arial"/>
                <w:sz w:val="22"/>
              </w:rPr>
            </w:pPr>
            <w:r w:rsidRPr="00295116">
              <w:rPr>
                <w:rFonts w:cs="Arial"/>
                <w:sz w:val="22"/>
              </w:rPr>
              <w:t>900</w:t>
            </w:r>
          </w:p>
        </w:tc>
        <w:tc>
          <w:tcPr>
            <w:tcW w:w="1228" w:type="dxa"/>
          </w:tcPr>
          <w:p w:rsidR="00E4391E" w:rsidRPr="00295116" w:rsidRDefault="00E4391E" w:rsidP="00346B4F">
            <w:pPr>
              <w:pStyle w:val="NoSpacing1"/>
              <w:rPr>
                <w:rFonts w:cs="Arial"/>
                <w:sz w:val="22"/>
              </w:rPr>
            </w:pPr>
            <w:r w:rsidRPr="00295116">
              <w:rPr>
                <w:rFonts w:cs="Arial"/>
                <w:sz w:val="22"/>
              </w:rPr>
              <w:t>1</w:t>
            </w:r>
          </w:p>
        </w:tc>
        <w:tc>
          <w:tcPr>
            <w:tcW w:w="1094" w:type="dxa"/>
          </w:tcPr>
          <w:p w:rsidR="00E4391E" w:rsidRPr="00295116" w:rsidRDefault="00E4391E" w:rsidP="00346B4F">
            <w:pPr>
              <w:pStyle w:val="NoSpacing1"/>
              <w:rPr>
                <w:rFonts w:cs="Arial"/>
                <w:sz w:val="22"/>
              </w:rPr>
            </w:pPr>
            <w:r w:rsidRPr="00295116">
              <w:rPr>
                <w:rFonts w:cs="Arial"/>
                <w:sz w:val="22"/>
              </w:rPr>
              <w:t>900</w:t>
            </w:r>
          </w:p>
        </w:tc>
        <w:tc>
          <w:tcPr>
            <w:tcW w:w="1017" w:type="dxa"/>
          </w:tcPr>
          <w:p w:rsidR="00E4391E" w:rsidRPr="00295116" w:rsidRDefault="00E4391E" w:rsidP="00346B4F">
            <w:pPr>
              <w:pStyle w:val="NoSpacing1"/>
              <w:rPr>
                <w:rFonts w:cs="Arial"/>
                <w:sz w:val="22"/>
              </w:rPr>
            </w:pPr>
            <w:r w:rsidRPr="00295116">
              <w:rPr>
                <w:rFonts w:cs="Arial"/>
                <w:sz w:val="22"/>
              </w:rPr>
              <w:t>.75</w:t>
            </w:r>
          </w:p>
        </w:tc>
        <w:tc>
          <w:tcPr>
            <w:tcW w:w="861" w:type="dxa"/>
          </w:tcPr>
          <w:p w:rsidR="00E4391E" w:rsidRPr="00295116" w:rsidRDefault="00E4391E" w:rsidP="00346B4F">
            <w:pPr>
              <w:pStyle w:val="NoSpacing1"/>
              <w:rPr>
                <w:rFonts w:cs="Arial"/>
                <w:sz w:val="22"/>
              </w:rPr>
            </w:pPr>
            <w:r w:rsidRPr="00295116">
              <w:rPr>
                <w:rFonts w:cs="Arial"/>
                <w:sz w:val="22"/>
              </w:rPr>
              <w:t xml:space="preserve">675 </w:t>
            </w:r>
          </w:p>
        </w:tc>
        <w:tc>
          <w:tcPr>
            <w:tcW w:w="766" w:type="dxa"/>
          </w:tcPr>
          <w:p w:rsidR="00E4391E" w:rsidRDefault="00E4391E" w:rsidP="00346B4F">
            <w:pPr>
              <w:rPr>
                <w:sz w:val="20"/>
                <w:szCs w:val="20"/>
              </w:rPr>
            </w:pPr>
            <w:r>
              <w:rPr>
                <w:sz w:val="20"/>
                <w:szCs w:val="20"/>
              </w:rPr>
              <w:t>$20.90</w:t>
            </w:r>
          </w:p>
        </w:tc>
        <w:tc>
          <w:tcPr>
            <w:tcW w:w="1116" w:type="dxa"/>
          </w:tcPr>
          <w:p w:rsidR="00E4391E" w:rsidRDefault="00E4391E" w:rsidP="00346B4F">
            <w:pPr>
              <w:rPr>
                <w:sz w:val="20"/>
                <w:szCs w:val="20"/>
              </w:rPr>
            </w:pPr>
            <w:r>
              <w:rPr>
                <w:sz w:val="20"/>
                <w:szCs w:val="20"/>
              </w:rPr>
              <w:t>$14,107.5</w:t>
            </w:r>
          </w:p>
        </w:tc>
      </w:tr>
      <w:tr w:rsidR="00E4391E" w:rsidRPr="004771A3" w:rsidTr="00E5342E">
        <w:tc>
          <w:tcPr>
            <w:tcW w:w="2050" w:type="dxa"/>
          </w:tcPr>
          <w:p w:rsidR="00E4391E" w:rsidRPr="00295116" w:rsidRDefault="00E4391E" w:rsidP="00346B4F">
            <w:pPr>
              <w:pStyle w:val="NoSpacing1"/>
              <w:rPr>
                <w:rFonts w:cs="Arial"/>
                <w:sz w:val="22"/>
              </w:rPr>
            </w:pPr>
            <w:r w:rsidRPr="00295116">
              <w:rPr>
                <w:rFonts w:cs="Arial"/>
                <w:sz w:val="22"/>
              </w:rPr>
              <w:t>Utilization Questionnaire (post demonstration)</w:t>
            </w:r>
          </w:p>
        </w:tc>
        <w:tc>
          <w:tcPr>
            <w:tcW w:w="1306" w:type="dxa"/>
          </w:tcPr>
          <w:p w:rsidR="00E4391E" w:rsidRPr="00295116" w:rsidRDefault="00E4391E" w:rsidP="00346B4F">
            <w:pPr>
              <w:pStyle w:val="NoSpacing1"/>
              <w:rPr>
                <w:rFonts w:cs="Arial"/>
                <w:sz w:val="22"/>
              </w:rPr>
            </w:pPr>
            <w:r w:rsidRPr="00295116">
              <w:rPr>
                <w:rFonts w:cs="Arial"/>
                <w:sz w:val="22"/>
              </w:rPr>
              <w:t>900</w:t>
            </w:r>
          </w:p>
        </w:tc>
        <w:tc>
          <w:tcPr>
            <w:tcW w:w="1228" w:type="dxa"/>
          </w:tcPr>
          <w:p w:rsidR="00E4391E" w:rsidRPr="00295116" w:rsidRDefault="00E4391E" w:rsidP="00346B4F">
            <w:pPr>
              <w:pStyle w:val="NoSpacing1"/>
              <w:rPr>
                <w:rFonts w:cs="Arial"/>
                <w:sz w:val="22"/>
              </w:rPr>
            </w:pPr>
            <w:r w:rsidRPr="00295116">
              <w:rPr>
                <w:rFonts w:cs="Arial"/>
                <w:sz w:val="22"/>
              </w:rPr>
              <w:t>1</w:t>
            </w:r>
          </w:p>
        </w:tc>
        <w:tc>
          <w:tcPr>
            <w:tcW w:w="1094" w:type="dxa"/>
          </w:tcPr>
          <w:p w:rsidR="00E4391E" w:rsidRPr="00295116" w:rsidRDefault="00E4391E" w:rsidP="00346B4F">
            <w:pPr>
              <w:pStyle w:val="NoSpacing1"/>
              <w:rPr>
                <w:rFonts w:cs="Arial"/>
                <w:sz w:val="22"/>
              </w:rPr>
            </w:pPr>
            <w:r w:rsidRPr="00295116">
              <w:rPr>
                <w:rFonts w:cs="Arial"/>
                <w:sz w:val="22"/>
              </w:rPr>
              <w:t>900</w:t>
            </w:r>
          </w:p>
        </w:tc>
        <w:tc>
          <w:tcPr>
            <w:tcW w:w="1017" w:type="dxa"/>
          </w:tcPr>
          <w:p w:rsidR="00E4391E" w:rsidRPr="00295116" w:rsidRDefault="00E4391E" w:rsidP="00346B4F">
            <w:pPr>
              <w:pStyle w:val="NoSpacing1"/>
              <w:rPr>
                <w:rFonts w:cs="Arial"/>
                <w:sz w:val="22"/>
              </w:rPr>
            </w:pPr>
            <w:r w:rsidRPr="00295116">
              <w:rPr>
                <w:rFonts w:cs="Arial"/>
                <w:sz w:val="22"/>
              </w:rPr>
              <w:t xml:space="preserve">.50  </w:t>
            </w:r>
          </w:p>
        </w:tc>
        <w:tc>
          <w:tcPr>
            <w:tcW w:w="861" w:type="dxa"/>
          </w:tcPr>
          <w:p w:rsidR="00E4391E" w:rsidRPr="00295116" w:rsidRDefault="00E4391E" w:rsidP="00346B4F">
            <w:pPr>
              <w:pStyle w:val="NoSpacing1"/>
              <w:rPr>
                <w:rFonts w:cs="Arial"/>
                <w:sz w:val="22"/>
              </w:rPr>
            </w:pPr>
            <w:r w:rsidRPr="00295116">
              <w:rPr>
                <w:rFonts w:cs="Arial"/>
                <w:sz w:val="22"/>
              </w:rPr>
              <w:t xml:space="preserve">450 </w:t>
            </w:r>
          </w:p>
        </w:tc>
        <w:tc>
          <w:tcPr>
            <w:tcW w:w="766" w:type="dxa"/>
          </w:tcPr>
          <w:p w:rsidR="00E4391E" w:rsidRDefault="00E4391E" w:rsidP="00346B4F">
            <w:pPr>
              <w:rPr>
                <w:sz w:val="20"/>
                <w:szCs w:val="20"/>
              </w:rPr>
            </w:pPr>
            <w:r>
              <w:rPr>
                <w:sz w:val="20"/>
                <w:szCs w:val="20"/>
              </w:rPr>
              <w:t>$20.90</w:t>
            </w:r>
          </w:p>
        </w:tc>
        <w:tc>
          <w:tcPr>
            <w:tcW w:w="1116" w:type="dxa"/>
          </w:tcPr>
          <w:p w:rsidR="00E4391E" w:rsidRDefault="00E4391E" w:rsidP="00346B4F">
            <w:pPr>
              <w:rPr>
                <w:sz w:val="20"/>
                <w:szCs w:val="20"/>
              </w:rPr>
            </w:pPr>
            <w:r>
              <w:rPr>
                <w:sz w:val="20"/>
                <w:szCs w:val="20"/>
              </w:rPr>
              <w:t>$9,405</w:t>
            </w:r>
          </w:p>
        </w:tc>
      </w:tr>
      <w:tr w:rsidR="00E4391E" w:rsidRPr="004771A3" w:rsidTr="00E5342E">
        <w:tc>
          <w:tcPr>
            <w:tcW w:w="2050" w:type="dxa"/>
          </w:tcPr>
          <w:p w:rsidR="00E4391E" w:rsidRPr="00295116" w:rsidRDefault="00E4391E" w:rsidP="00346B4F">
            <w:pPr>
              <w:pStyle w:val="NoSpacing1"/>
              <w:rPr>
                <w:rFonts w:cs="Arial"/>
                <w:sz w:val="22"/>
              </w:rPr>
            </w:pPr>
            <w:r w:rsidRPr="00295116">
              <w:rPr>
                <w:rFonts w:cs="Arial"/>
                <w:sz w:val="22"/>
              </w:rPr>
              <w:t>SF-36 Health Survey for adults over 18 years of age</w:t>
            </w:r>
          </w:p>
        </w:tc>
        <w:tc>
          <w:tcPr>
            <w:tcW w:w="1306" w:type="dxa"/>
          </w:tcPr>
          <w:p w:rsidR="00E4391E" w:rsidRPr="00295116" w:rsidRDefault="00E4391E" w:rsidP="00346B4F">
            <w:pPr>
              <w:pStyle w:val="NoSpacing1"/>
              <w:rPr>
                <w:rFonts w:cs="Arial"/>
                <w:sz w:val="22"/>
              </w:rPr>
            </w:pPr>
            <w:r w:rsidRPr="00295116">
              <w:rPr>
                <w:rFonts w:cs="Arial"/>
                <w:sz w:val="22"/>
              </w:rPr>
              <w:t>630</w:t>
            </w:r>
          </w:p>
        </w:tc>
        <w:tc>
          <w:tcPr>
            <w:tcW w:w="1228" w:type="dxa"/>
          </w:tcPr>
          <w:p w:rsidR="00E4391E" w:rsidRPr="00295116" w:rsidRDefault="00E4391E" w:rsidP="00346B4F">
            <w:pPr>
              <w:pStyle w:val="NoSpacing1"/>
              <w:rPr>
                <w:rFonts w:cs="Arial"/>
                <w:sz w:val="22"/>
              </w:rPr>
            </w:pPr>
            <w:r w:rsidRPr="00295116">
              <w:rPr>
                <w:rFonts w:cs="Arial"/>
                <w:sz w:val="22"/>
              </w:rPr>
              <w:t>2</w:t>
            </w:r>
          </w:p>
        </w:tc>
        <w:tc>
          <w:tcPr>
            <w:tcW w:w="1094" w:type="dxa"/>
          </w:tcPr>
          <w:p w:rsidR="00E4391E" w:rsidRPr="00295116" w:rsidRDefault="00E4391E" w:rsidP="00346B4F">
            <w:pPr>
              <w:pStyle w:val="NoSpacing1"/>
              <w:rPr>
                <w:rFonts w:cs="Arial"/>
                <w:sz w:val="22"/>
              </w:rPr>
            </w:pPr>
            <w:r w:rsidRPr="00295116">
              <w:rPr>
                <w:rFonts w:cs="Arial"/>
                <w:sz w:val="22"/>
              </w:rPr>
              <w:t>1260</w:t>
            </w:r>
          </w:p>
        </w:tc>
        <w:tc>
          <w:tcPr>
            <w:tcW w:w="1017" w:type="dxa"/>
          </w:tcPr>
          <w:p w:rsidR="00E4391E" w:rsidRPr="00295116" w:rsidRDefault="00E4391E" w:rsidP="00346B4F">
            <w:pPr>
              <w:pStyle w:val="NoSpacing1"/>
              <w:rPr>
                <w:rFonts w:cs="Arial"/>
                <w:sz w:val="22"/>
              </w:rPr>
            </w:pPr>
            <w:r w:rsidRPr="00295116">
              <w:rPr>
                <w:rFonts w:cs="Arial"/>
                <w:sz w:val="22"/>
              </w:rPr>
              <w:t xml:space="preserve">.25 </w:t>
            </w:r>
          </w:p>
        </w:tc>
        <w:tc>
          <w:tcPr>
            <w:tcW w:w="861" w:type="dxa"/>
          </w:tcPr>
          <w:p w:rsidR="00E4391E" w:rsidRPr="00295116" w:rsidRDefault="00E4391E" w:rsidP="00346B4F">
            <w:pPr>
              <w:pStyle w:val="NoSpacing1"/>
              <w:rPr>
                <w:rFonts w:cs="Arial"/>
                <w:sz w:val="22"/>
              </w:rPr>
            </w:pPr>
            <w:r w:rsidRPr="00295116">
              <w:rPr>
                <w:rFonts w:cs="Arial"/>
                <w:sz w:val="22"/>
              </w:rPr>
              <w:t>315</w:t>
            </w:r>
          </w:p>
        </w:tc>
        <w:tc>
          <w:tcPr>
            <w:tcW w:w="766" w:type="dxa"/>
          </w:tcPr>
          <w:p w:rsidR="00E4391E" w:rsidRDefault="00E4391E" w:rsidP="00346B4F">
            <w:pPr>
              <w:rPr>
                <w:sz w:val="20"/>
                <w:szCs w:val="20"/>
              </w:rPr>
            </w:pPr>
            <w:r>
              <w:rPr>
                <w:sz w:val="20"/>
                <w:szCs w:val="20"/>
              </w:rPr>
              <w:t>$20.90</w:t>
            </w:r>
          </w:p>
        </w:tc>
        <w:tc>
          <w:tcPr>
            <w:tcW w:w="1116" w:type="dxa"/>
          </w:tcPr>
          <w:p w:rsidR="00E4391E" w:rsidRDefault="00E4391E" w:rsidP="00346B4F">
            <w:pPr>
              <w:rPr>
                <w:sz w:val="20"/>
                <w:szCs w:val="20"/>
              </w:rPr>
            </w:pPr>
            <w:r>
              <w:rPr>
                <w:sz w:val="20"/>
                <w:szCs w:val="20"/>
              </w:rPr>
              <w:t>$6,583.5</w:t>
            </w:r>
          </w:p>
        </w:tc>
      </w:tr>
      <w:tr w:rsidR="00E4391E" w:rsidRPr="004771A3" w:rsidTr="00E5342E">
        <w:tc>
          <w:tcPr>
            <w:tcW w:w="2050" w:type="dxa"/>
          </w:tcPr>
          <w:p w:rsidR="00E4391E" w:rsidRPr="00295116" w:rsidRDefault="00E4391E" w:rsidP="00346B4F">
            <w:pPr>
              <w:pStyle w:val="NoSpacing1"/>
              <w:rPr>
                <w:rFonts w:cs="Arial"/>
                <w:sz w:val="22"/>
              </w:rPr>
            </w:pPr>
            <w:r w:rsidRPr="00295116">
              <w:rPr>
                <w:rFonts w:cs="Arial"/>
                <w:sz w:val="22"/>
              </w:rPr>
              <w:t>PedsQL for parents of children &amp; adolescents 18 years or younger*</w:t>
            </w:r>
          </w:p>
        </w:tc>
        <w:tc>
          <w:tcPr>
            <w:tcW w:w="1306" w:type="dxa"/>
          </w:tcPr>
          <w:p w:rsidR="00E4391E" w:rsidRPr="00295116" w:rsidRDefault="00E4391E" w:rsidP="00346B4F">
            <w:pPr>
              <w:pStyle w:val="NoSpacing1"/>
              <w:rPr>
                <w:rFonts w:cs="Arial"/>
                <w:sz w:val="22"/>
              </w:rPr>
            </w:pPr>
            <w:r w:rsidRPr="00295116">
              <w:rPr>
                <w:rFonts w:cs="Arial"/>
                <w:sz w:val="22"/>
              </w:rPr>
              <w:t>270</w:t>
            </w:r>
          </w:p>
        </w:tc>
        <w:tc>
          <w:tcPr>
            <w:tcW w:w="1228" w:type="dxa"/>
          </w:tcPr>
          <w:p w:rsidR="00E4391E" w:rsidRPr="00295116" w:rsidRDefault="00E4391E" w:rsidP="00346B4F">
            <w:pPr>
              <w:pStyle w:val="NoSpacing1"/>
              <w:rPr>
                <w:rFonts w:cs="Arial"/>
                <w:sz w:val="22"/>
              </w:rPr>
            </w:pPr>
            <w:r w:rsidRPr="00295116">
              <w:rPr>
                <w:rFonts w:cs="Arial"/>
                <w:sz w:val="22"/>
              </w:rPr>
              <w:t>2</w:t>
            </w:r>
          </w:p>
        </w:tc>
        <w:tc>
          <w:tcPr>
            <w:tcW w:w="1094" w:type="dxa"/>
          </w:tcPr>
          <w:p w:rsidR="00E4391E" w:rsidRPr="00295116" w:rsidRDefault="00E4391E" w:rsidP="00346B4F">
            <w:pPr>
              <w:pStyle w:val="NoSpacing1"/>
              <w:rPr>
                <w:rFonts w:cs="Arial"/>
                <w:sz w:val="22"/>
              </w:rPr>
            </w:pPr>
            <w:r w:rsidRPr="00295116">
              <w:rPr>
                <w:rFonts w:cs="Arial"/>
                <w:sz w:val="22"/>
              </w:rPr>
              <w:t>540</w:t>
            </w:r>
          </w:p>
        </w:tc>
        <w:tc>
          <w:tcPr>
            <w:tcW w:w="1017" w:type="dxa"/>
          </w:tcPr>
          <w:p w:rsidR="00E4391E" w:rsidRPr="00295116" w:rsidRDefault="00E4391E" w:rsidP="00346B4F">
            <w:pPr>
              <w:pStyle w:val="NoSpacing1"/>
              <w:rPr>
                <w:rFonts w:cs="Arial"/>
                <w:sz w:val="22"/>
              </w:rPr>
            </w:pPr>
            <w:r w:rsidRPr="00295116">
              <w:rPr>
                <w:rFonts w:cs="Arial"/>
                <w:sz w:val="22"/>
              </w:rPr>
              <w:t>.25</w:t>
            </w:r>
          </w:p>
        </w:tc>
        <w:tc>
          <w:tcPr>
            <w:tcW w:w="861" w:type="dxa"/>
          </w:tcPr>
          <w:p w:rsidR="00E4391E" w:rsidRPr="00295116" w:rsidRDefault="00E4391E" w:rsidP="00346B4F">
            <w:pPr>
              <w:pStyle w:val="NoSpacing1"/>
              <w:rPr>
                <w:rFonts w:cs="Arial"/>
                <w:sz w:val="22"/>
              </w:rPr>
            </w:pPr>
            <w:r w:rsidRPr="00295116">
              <w:rPr>
                <w:rFonts w:cs="Arial"/>
                <w:sz w:val="22"/>
              </w:rPr>
              <w:t>135</w:t>
            </w:r>
          </w:p>
        </w:tc>
        <w:tc>
          <w:tcPr>
            <w:tcW w:w="766" w:type="dxa"/>
          </w:tcPr>
          <w:p w:rsidR="00E4391E" w:rsidRDefault="00E4391E" w:rsidP="00346B4F">
            <w:pPr>
              <w:rPr>
                <w:sz w:val="20"/>
                <w:szCs w:val="20"/>
              </w:rPr>
            </w:pPr>
            <w:r>
              <w:rPr>
                <w:sz w:val="20"/>
                <w:szCs w:val="20"/>
              </w:rPr>
              <w:t>$20.90</w:t>
            </w:r>
          </w:p>
        </w:tc>
        <w:tc>
          <w:tcPr>
            <w:tcW w:w="1116" w:type="dxa"/>
          </w:tcPr>
          <w:p w:rsidR="00E4391E" w:rsidRDefault="00E4391E" w:rsidP="00346B4F">
            <w:pPr>
              <w:rPr>
                <w:sz w:val="20"/>
                <w:szCs w:val="20"/>
              </w:rPr>
            </w:pPr>
            <w:r>
              <w:rPr>
                <w:sz w:val="20"/>
                <w:szCs w:val="20"/>
              </w:rPr>
              <w:t>$2,821.5</w:t>
            </w:r>
          </w:p>
        </w:tc>
      </w:tr>
      <w:tr w:rsidR="00E4391E" w:rsidRPr="004771A3" w:rsidTr="00E5342E">
        <w:tc>
          <w:tcPr>
            <w:tcW w:w="2050" w:type="dxa"/>
          </w:tcPr>
          <w:p w:rsidR="00E4391E" w:rsidRPr="00295116" w:rsidRDefault="00E4391E" w:rsidP="00346B4F">
            <w:pPr>
              <w:pStyle w:val="NoSpacing1"/>
              <w:rPr>
                <w:rFonts w:cs="Arial"/>
                <w:sz w:val="22"/>
              </w:rPr>
            </w:pPr>
            <w:r w:rsidRPr="00295116">
              <w:rPr>
                <w:rFonts w:cs="Arial"/>
                <w:sz w:val="22"/>
              </w:rPr>
              <w:lastRenderedPageBreak/>
              <w:t>PedsQL for children &amp; adolescents 18 years or younger*</w:t>
            </w:r>
          </w:p>
        </w:tc>
        <w:tc>
          <w:tcPr>
            <w:tcW w:w="1306" w:type="dxa"/>
          </w:tcPr>
          <w:p w:rsidR="00E4391E" w:rsidRPr="00295116" w:rsidRDefault="00E4391E" w:rsidP="00346B4F">
            <w:pPr>
              <w:pStyle w:val="NoSpacing1"/>
              <w:rPr>
                <w:rFonts w:cs="Arial"/>
                <w:sz w:val="22"/>
              </w:rPr>
            </w:pPr>
            <w:r w:rsidRPr="00295116">
              <w:rPr>
                <w:rFonts w:cs="Arial"/>
                <w:sz w:val="22"/>
              </w:rPr>
              <w:t>225</w:t>
            </w:r>
          </w:p>
        </w:tc>
        <w:tc>
          <w:tcPr>
            <w:tcW w:w="1228" w:type="dxa"/>
          </w:tcPr>
          <w:p w:rsidR="00E4391E" w:rsidRPr="00295116" w:rsidRDefault="00E4391E" w:rsidP="00346B4F">
            <w:pPr>
              <w:pStyle w:val="NoSpacing1"/>
              <w:rPr>
                <w:rFonts w:cs="Arial"/>
                <w:sz w:val="22"/>
              </w:rPr>
            </w:pPr>
            <w:r w:rsidRPr="00295116">
              <w:rPr>
                <w:rFonts w:cs="Arial"/>
                <w:sz w:val="22"/>
              </w:rPr>
              <w:t>2</w:t>
            </w:r>
          </w:p>
        </w:tc>
        <w:tc>
          <w:tcPr>
            <w:tcW w:w="1094" w:type="dxa"/>
          </w:tcPr>
          <w:p w:rsidR="00E4391E" w:rsidRPr="00295116" w:rsidRDefault="00E4391E" w:rsidP="00346B4F">
            <w:pPr>
              <w:pStyle w:val="NoSpacing1"/>
              <w:rPr>
                <w:rFonts w:cs="Arial"/>
                <w:sz w:val="22"/>
              </w:rPr>
            </w:pPr>
            <w:r w:rsidRPr="00295116">
              <w:rPr>
                <w:rFonts w:cs="Arial"/>
                <w:sz w:val="22"/>
              </w:rPr>
              <w:t>450</w:t>
            </w:r>
          </w:p>
        </w:tc>
        <w:tc>
          <w:tcPr>
            <w:tcW w:w="1017" w:type="dxa"/>
          </w:tcPr>
          <w:p w:rsidR="00E4391E" w:rsidRPr="00295116" w:rsidRDefault="00E4391E" w:rsidP="00346B4F">
            <w:pPr>
              <w:pStyle w:val="NoSpacing1"/>
              <w:rPr>
                <w:rFonts w:cs="Arial"/>
                <w:sz w:val="22"/>
              </w:rPr>
            </w:pPr>
            <w:r w:rsidRPr="00295116">
              <w:rPr>
                <w:rFonts w:cs="Arial"/>
                <w:sz w:val="22"/>
              </w:rPr>
              <w:t>.25</w:t>
            </w:r>
          </w:p>
        </w:tc>
        <w:tc>
          <w:tcPr>
            <w:tcW w:w="861" w:type="dxa"/>
          </w:tcPr>
          <w:p w:rsidR="00E4391E" w:rsidRPr="00295116" w:rsidRDefault="00E4391E" w:rsidP="00346B4F">
            <w:pPr>
              <w:pStyle w:val="NoSpacing1"/>
              <w:rPr>
                <w:rFonts w:cs="Arial"/>
                <w:sz w:val="22"/>
              </w:rPr>
            </w:pPr>
            <w:r w:rsidRPr="00295116">
              <w:rPr>
                <w:rFonts w:cs="Arial"/>
                <w:sz w:val="22"/>
              </w:rPr>
              <w:t>112.5</w:t>
            </w:r>
          </w:p>
        </w:tc>
        <w:tc>
          <w:tcPr>
            <w:tcW w:w="766" w:type="dxa"/>
          </w:tcPr>
          <w:p w:rsidR="00E4391E" w:rsidRDefault="00E4391E" w:rsidP="00346B4F">
            <w:pPr>
              <w:rPr>
                <w:sz w:val="20"/>
                <w:szCs w:val="20"/>
              </w:rPr>
            </w:pPr>
            <w:r>
              <w:rPr>
                <w:sz w:val="20"/>
                <w:szCs w:val="20"/>
              </w:rPr>
              <w:t>$20.90</w:t>
            </w:r>
          </w:p>
        </w:tc>
        <w:tc>
          <w:tcPr>
            <w:tcW w:w="1116" w:type="dxa"/>
          </w:tcPr>
          <w:p w:rsidR="00E4391E" w:rsidRDefault="00E4391E" w:rsidP="00346B4F">
            <w:pPr>
              <w:rPr>
                <w:sz w:val="20"/>
                <w:szCs w:val="20"/>
              </w:rPr>
            </w:pPr>
            <w:r>
              <w:rPr>
                <w:sz w:val="20"/>
                <w:szCs w:val="20"/>
              </w:rPr>
              <w:t>$2,351.25</w:t>
            </w:r>
          </w:p>
        </w:tc>
      </w:tr>
      <w:tr w:rsidR="00E4391E" w:rsidRPr="004771A3" w:rsidTr="00E5342E">
        <w:tc>
          <w:tcPr>
            <w:tcW w:w="2050" w:type="dxa"/>
          </w:tcPr>
          <w:p w:rsidR="00E4391E" w:rsidRPr="00295116" w:rsidRDefault="00E4391E" w:rsidP="00346B4F">
            <w:pPr>
              <w:pStyle w:val="NoSpacing1"/>
              <w:rPr>
                <w:rFonts w:cs="Arial"/>
                <w:sz w:val="22"/>
              </w:rPr>
            </w:pPr>
            <w:r w:rsidRPr="00295116">
              <w:rPr>
                <w:rFonts w:cs="Arial"/>
                <w:sz w:val="22"/>
              </w:rPr>
              <w:t>The Medical Home Family Index (Health Care Satisfaction)</w:t>
            </w:r>
          </w:p>
        </w:tc>
        <w:tc>
          <w:tcPr>
            <w:tcW w:w="1306" w:type="dxa"/>
          </w:tcPr>
          <w:p w:rsidR="00E4391E" w:rsidRPr="00295116" w:rsidRDefault="00E4391E" w:rsidP="00346B4F">
            <w:pPr>
              <w:pStyle w:val="NoSpacing1"/>
              <w:rPr>
                <w:rFonts w:cs="Arial"/>
                <w:sz w:val="22"/>
              </w:rPr>
            </w:pPr>
            <w:r w:rsidRPr="00295116">
              <w:rPr>
                <w:rFonts w:cs="Arial"/>
                <w:sz w:val="22"/>
              </w:rPr>
              <w:t>900</w:t>
            </w:r>
          </w:p>
        </w:tc>
        <w:tc>
          <w:tcPr>
            <w:tcW w:w="1228" w:type="dxa"/>
          </w:tcPr>
          <w:p w:rsidR="00E4391E" w:rsidRPr="00295116" w:rsidRDefault="00E4391E" w:rsidP="00346B4F">
            <w:pPr>
              <w:pStyle w:val="NoSpacing1"/>
              <w:rPr>
                <w:rFonts w:cs="Arial"/>
                <w:sz w:val="22"/>
              </w:rPr>
            </w:pPr>
            <w:r w:rsidRPr="00295116">
              <w:rPr>
                <w:rFonts w:cs="Arial"/>
                <w:sz w:val="22"/>
              </w:rPr>
              <w:t>2</w:t>
            </w:r>
          </w:p>
        </w:tc>
        <w:tc>
          <w:tcPr>
            <w:tcW w:w="1094" w:type="dxa"/>
          </w:tcPr>
          <w:p w:rsidR="00E4391E" w:rsidRPr="00295116" w:rsidRDefault="00E4391E" w:rsidP="00346B4F">
            <w:pPr>
              <w:pStyle w:val="NoSpacing1"/>
              <w:rPr>
                <w:rFonts w:cs="Arial"/>
                <w:sz w:val="22"/>
              </w:rPr>
            </w:pPr>
            <w:r w:rsidRPr="00295116">
              <w:rPr>
                <w:rFonts w:cs="Arial"/>
                <w:sz w:val="22"/>
              </w:rPr>
              <w:t>1800</w:t>
            </w:r>
          </w:p>
        </w:tc>
        <w:tc>
          <w:tcPr>
            <w:tcW w:w="1017" w:type="dxa"/>
          </w:tcPr>
          <w:p w:rsidR="00E4391E" w:rsidRPr="00295116" w:rsidRDefault="00E4391E" w:rsidP="00346B4F">
            <w:pPr>
              <w:pStyle w:val="NoSpacing1"/>
              <w:rPr>
                <w:rFonts w:cs="Arial"/>
                <w:sz w:val="22"/>
              </w:rPr>
            </w:pPr>
            <w:r w:rsidRPr="00295116">
              <w:rPr>
                <w:rFonts w:cs="Arial"/>
                <w:sz w:val="22"/>
              </w:rPr>
              <w:t xml:space="preserve">.25 </w:t>
            </w:r>
          </w:p>
        </w:tc>
        <w:tc>
          <w:tcPr>
            <w:tcW w:w="861" w:type="dxa"/>
          </w:tcPr>
          <w:p w:rsidR="00E4391E" w:rsidRPr="00295116" w:rsidRDefault="00E4391E" w:rsidP="00346B4F">
            <w:pPr>
              <w:pStyle w:val="NoSpacing1"/>
              <w:rPr>
                <w:rFonts w:cs="Arial"/>
                <w:sz w:val="22"/>
              </w:rPr>
            </w:pPr>
            <w:r w:rsidRPr="00295116">
              <w:rPr>
                <w:rFonts w:cs="Arial"/>
                <w:sz w:val="22"/>
              </w:rPr>
              <w:t>450</w:t>
            </w:r>
          </w:p>
        </w:tc>
        <w:tc>
          <w:tcPr>
            <w:tcW w:w="766" w:type="dxa"/>
          </w:tcPr>
          <w:p w:rsidR="00E4391E" w:rsidRDefault="00E4391E" w:rsidP="00346B4F">
            <w:pPr>
              <w:rPr>
                <w:sz w:val="20"/>
                <w:szCs w:val="20"/>
              </w:rPr>
            </w:pPr>
            <w:r>
              <w:rPr>
                <w:sz w:val="20"/>
                <w:szCs w:val="20"/>
              </w:rPr>
              <w:t>$20.90</w:t>
            </w:r>
          </w:p>
        </w:tc>
        <w:tc>
          <w:tcPr>
            <w:tcW w:w="1116" w:type="dxa"/>
          </w:tcPr>
          <w:p w:rsidR="00E4391E" w:rsidRDefault="00E4391E" w:rsidP="00346B4F">
            <w:pPr>
              <w:rPr>
                <w:sz w:val="20"/>
                <w:szCs w:val="20"/>
              </w:rPr>
            </w:pPr>
            <w:r>
              <w:rPr>
                <w:sz w:val="20"/>
                <w:szCs w:val="20"/>
              </w:rPr>
              <w:t>$9,405</w:t>
            </w:r>
          </w:p>
        </w:tc>
      </w:tr>
      <w:tr w:rsidR="00E4391E" w:rsidRPr="004771A3" w:rsidTr="00E5342E">
        <w:tc>
          <w:tcPr>
            <w:tcW w:w="2050" w:type="dxa"/>
          </w:tcPr>
          <w:p w:rsidR="00E4391E" w:rsidRPr="00761772" w:rsidRDefault="00E4391E" w:rsidP="00444072">
            <w:pPr>
              <w:pStyle w:val="NoSpacing1"/>
              <w:rPr>
                <w:sz w:val="22"/>
              </w:rPr>
            </w:pPr>
            <w:r w:rsidRPr="00761772">
              <w:rPr>
                <w:sz w:val="22"/>
              </w:rPr>
              <w:t>The QI Instrument</w:t>
            </w:r>
          </w:p>
        </w:tc>
        <w:tc>
          <w:tcPr>
            <w:tcW w:w="1306" w:type="dxa"/>
          </w:tcPr>
          <w:p w:rsidR="00E4391E" w:rsidRPr="00761772" w:rsidRDefault="00E4391E" w:rsidP="00444072">
            <w:pPr>
              <w:pStyle w:val="NoSpacing1"/>
              <w:rPr>
                <w:rFonts w:cs="Arial"/>
                <w:sz w:val="22"/>
              </w:rPr>
            </w:pPr>
            <w:r w:rsidRPr="00761772">
              <w:rPr>
                <w:rFonts w:cs="Arial"/>
                <w:sz w:val="22"/>
              </w:rPr>
              <w:t>9</w:t>
            </w:r>
          </w:p>
        </w:tc>
        <w:tc>
          <w:tcPr>
            <w:tcW w:w="1228" w:type="dxa"/>
          </w:tcPr>
          <w:p w:rsidR="00E4391E" w:rsidRPr="00761772" w:rsidRDefault="00E4391E" w:rsidP="00444072">
            <w:pPr>
              <w:pStyle w:val="NoSpacing1"/>
              <w:rPr>
                <w:rFonts w:cs="Arial"/>
                <w:sz w:val="22"/>
              </w:rPr>
            </w:pPr>
            <w:r w:rsidRPr="00761772">
              <w:rPr>
                <w:rFonts w:cs="Arial"/>
                <w:sz w:val="22"/>
              </w:rPr>
              <w:t>12</w:t>
            </w:r>
          </w:p>
        </w:tc>
        <w:tc>
          <w:tcPr>
            <w:tcW w:w="1094" w:type="dxa"/>
          </w:tcPr>
          <w:p w:rsidR="00E4391E" w:rsidRPr="00761772" w:rsidRDefault="00E4391E" w:rsidP="00444072">
            <w:pPr>
              <w:pStyle w:val="NoSpacing1"/>
              <w:rPr>
                <w:rFonts w:cs="Arial"/>
                <w:sz w:val="22"/>
              </w:rPr>
            </w:pPr>
            <w:r w:rsidRPr="00761772">
              <w:rPr>
                <w:rFonts w:cs="Arial"/>
                <w:sz w:val="22"/>
              </w:rPr>
              <w:t>108</w:t>
            </w:r>
          </w:p>
        </w:tc>
        <w:tc>
          <w:tcPr>
            <w:tcW w:w="1017" w:type="dxa"/>
          </w:tcPr>
          <w:p w:rsidR="00E4391E" w:rsidRPr="00761772" w:rsidRDefault="00E4391E" w:rsidP="00444072">
            <w:pPr>
              <w:pStyle w:val="NoSpacing1"/>
              <w:rPr>
                <w:rFonts w:cs="Arial"/>
                <w:sz w:val="22"/>
              </w:rPr>
            </w:pPr>
            <w:r w:rsidRPr="00761772">
              <w:rPr>
                <w:rFonts w:cs="Arial"/>
                <w:sz w:val="22"/>
              </w:rPr>
              <w:t>4</w:t>
            </w:r>
          </w:p>
        </w:tc>
        <w:tc>
          <w:tcPr>
            <w:tcW w:w="861" w:type="dxa"/>
          </w:tcPr>
          <w:p w:rsidR="00E4391E" w:rsidRPr="00761772" w:rsidRDefault="00E4391E" w:rsidP="00444072">
            <w:pPr>
              <w:pStyle w:val="NoSpacing1"/>
              <w:rPr>
                <w:rFonts w:cs="Arial"/>
                <w:sz w:val="22"/>
              </w:rPr>
            </w:pPr>
            <w:r w:rsidRPr="00761772">
              <w:rPr>
                <w:rFonts w:cs="Arial"/>
                <w:sz w:val="22"/>
              </w:rPr>
              <w:t>432</w:t>
            </w:r>
          </w:p>
        </w:tc>
        <w:tc>
          <w:tcPr>
            <w:tcW w:w="766" w:type="dxa"/>
          </w:tcPr>
          <w:p w:rsidR="00E4391E" w:rsidRPr="00761772" w:rsidRDefault="00E4391E" w:rsidP="00346B4F">
            <w:pPr>
              <w:rPr>
                <w:sz w:val="20"/>
                <w:szCs w:val="20"/>
              </w:rPr>
            </w:pPr>
            <w:r w:rsidRPr="00761772">
              <w:rPr>
                <w:sz w:val="20"/>
                <w:szCs w:val="20"/>
              </w:rPr>
              <w:t>$20.90</w:t>
            </w:r>
          </w:p>
        </w:tc>
        <w:tc>
          <w:tcPr>
            <w:tcW w:w="1116" w:type="dxa"/>
          </w:tcPr>
          <w:p w:rsidR="00E4391E" w:rsidRPr="00761772" w:rsidRDefault="00E4391E" w:rsidP="00346B4F">
            <w:pPr>
              <w:rPr>
                <w:sz w:val="20"/>
                <w:szCs w:val="20"/>
              </w:rPr>
            </w:pPr>
            <w:r w:rsidRPr="00761772">
              <w:rPr>
                <w:sz w:val="20"/>
                <w:szCs w:val="20"/>
              </w:rPr>
              <w:t>$9,028.80</w:t>
            </w:r>
          </w:p>
        </w:tc>
      </w:tr>
      <w:tr w:rsidR="00E4391E" w:rsidRPr="004771A3" w:rsidTr="00E5342E">
        <w:tc>
          <w:tcPr>
            <w:tcW w:w="2050" w:type="dxa"/>
          </w:tcPr>
          <w:p w:rsidR="00E4391E" w:rsidRPr="00295116" w:rsidRDefault="00E4391E" w:rsidP="00346B4F">
            <w:pPr>
              <w:pStyle w:val="NoSpacing1"/>
              <w:rPr>
                <w:rFonts w:cs="Arial"/>
                <w:sz w:val="22"/>
              </w:rPr>
            </w:pPr>
            <w:r w:rsidRPr="00295116">
              <w:rPr>
                <w:sz w:val="22"/>
              </w:rPr>
              <w:t>Hemoglobinopathies Emerging Populations Form</w:t>
            </w:r>
            <w:r>
              <w:rPr>
                <w:sz w:val="22"/>
              </w:rPr>
              <w:t xml:space="preserve"> (Client Family Communication)</w:t>
            </w:r>
          </w:p>
        </w:tc>
        <w:tc>
          <w:tcPr>
            <w:tcW w:w="1306" w:type="dxa"/>
          </w:tcPr>
          <w:p w:rsidR="00E4391E" w:rsidRPr="00295116" w:rsidRDefault="00E4391E" w:rsidP="00346B4F">
            <w:pPr>
              <w:pStyle w:val="NoSpacing1"/>
              <w:rPr>
                <w:rFonts w:cs="Arial"/>
                <w:sz w:val="22"/>
              </w:rPr>
            </w:pPr>
            <w:r>
              <w:rPr>
                <w:rFonts w:cs="Arial"/>
                <w:sz w:val="22"/>
              </w:rPr>
              <w:t>900</w:t>
            </w:r>
          </w:p>
        </w:tc>
        <w:tc>
          <w:tcPr>
            <w:tcW w:w="1228" w:type="dxa"/>
          </w:tcPr>
          <w:p w:rsidR="00E4391E" w:rsidRPr="00295116" w:rsidRDefault="00E4391E" w:rsidP="00346B4F">
            <w:pPr>
              <w:pStyle w:val="NoSpacing1"/>
              <w:rPr>
                <w:rFonts w:cs="Arial"/>
                <w:sz w:val="22"/>
              </w:rPr>
            </w:pPr>
            <w:r>
              <w:rPr>
                <w:rFonts w:cs="Arial"/>
                <w:sz w:val="22"/>
              </w:rPr>
              <w:t>2</w:t>
            </w:r>
          </w:p>
        </w:tc>
        <w:tc>
          <w:tcPr>
            <w:tcW w:w="1094" w:type="dxa"/>
          </w:tcPr>
          <w:p w:rsidR="00E4391E" w:rsidRPr="00295116" w:rsidRDefault="00E4391E" w:rsidP="00346B4F">
            <w:pPr>
              <w:pStyle w:val="NoSpacing1"/>
              <w:rPr>
                <w:rFonts w:cs="Arial"/>
                <w:sz w:val="22"/>
              </w:rPr>
            </w:pPr>
            <w:r>
              <w:rPr>
                <w:rFonts w:cs="Arial"/>
                <w:sz w:val="22"/>
              </w:rPr>
              <w:t>1800</w:t>
            </w:r>
          </w:p>
        </w:tc>
        <w:tc>
          <w:tcPr>
            <w:tcW w:w="1017" w:type="dxa"/>
          </w:tcPr>
          <w:p w:rsidR="00E4391E" w:rsidRPr="00295116" w:rsidRDefault="00E4391E" w:rsidP="00346B4F">
            <w:pPr>
              <w:pStyle w:val="NoSpacing1"/>
              <w:rPr>
                <w:rFonts w:cs="Arial"/>
                <w:sz w:val="22"/>
              </w:rPr>
            </w:pPr>
            <w:r>
              <w:rPr>
                <w:rFonts w:cs="Arial"/>
                <w:sz w:val="22"/>
              </w:rPr>
              <w:t>.20</w:t>
            </w:r>
          </w:p>
        </w:tc>
        <w:tc>
          <w:tcPr>
            <w:tcW w:w="861" w:type="dxa"/>
          </w:tcPr>
          <w:p w:rsidR="00E4391E" w:rsidRPr="00295116" w:rsidRDefault="00E4391E" w:rsidP="00346B4F">
            <w:pPr>
              <w:pStyle w:val="NoSpacing1"/>
              <w:rPr>
                <w:rFonts w:cs="Arial"/>
                <w:sz w:val="22"/>
              </w:rPr>
            </w:pPr>
            <w:r>
              <w:rPr>
                <w:rFonts w:cs="Arial"/>
                <w:sz w:val="22"/>
              </w:rPr>
              <w:t>360</w:t>
            </w:r>
          </w:p>
        </w:tc>
        <w:tc>
          <w:tcPr>
            <w:tcW w:w="766" w:type="dxa"/>
          </w:tcPr>
          <w:p w:rsidR="00E4391E" w:rsidRDefault="00E4391E" w:rsidP="00346B4F">
            <w:pPr>
              <w:rPr>
                <w:sz w:val="20"/>
                <w:szCs w:val="20"/>
              </w:rPr>
            </w:pPr>
            <w:r>
              <w:rPr>
                <w:sz w:val="20"/>
                <w:szCs w:val="20"/>
              </w:rPr>
              <w:t>$20.90</w:t>
            </w:r>
          </w:p>
        </w:tc>
        <w:tc>
          <w:tcPr>
            <w:tcW w:w="1116" w:type="dxa"/>
          </w:tcPr>
          <w:p w:rsidR="00E4391E" w:rsidRDefault="00E4391E" w:rsidP="00346B4F">
            <w:pPr>
              <w:rPr>
                <w:sz w:val="20"/>
                <w:szCs w:val="20"/>
              </w:rPr>
            </w:pPr>
            <w:r>
              <w:rPr>
                <w:sz w:val="20"/>
                <w:szCs w:val="20"/>
              </w:rPr>
              <w:t>$7,524</w:t>
            </w:r>
          </w:p>
        </w:tc>
      </w:tr>
      <w:tr w:rsidR="00E4391E" w:rsidRPr="004771A3" w:rsidTr="00E5342E">
        <w:tc>
          <w:tcPr>
            <w:tcW w:w="2050" w:type="dxa"/>
          </w:tcPr>
          <w:p w:rsidR="00E4391E" w:rsidRPr="004771A3" w:rsidRDefault="00E4391E" w:rsidP="00346B4F">
            <w:pPr>
              <w:rPr>
                <w:sz w:val="20"/>
                <w:szCs w:val="20"/>
              </w:rPr>
            </w:pPr>
            <w:r w:rsidRPr="004771A3">
              <w:rPr>
                <w:sz w:val="20"/>
                <w:szCs w:val="20"/>
              </w:rPr>
              <w:t>Total</w:t>
            </w:r>
          </w:p>
        </w:tc>
        <w:tc>
          <w:tcPr>
            <w:tcW w:w="1306" w:type="dxa"/>
          </w:tcPr>
          <w:p w:rsidR="00E4391E" w:rsidRPr="004771A3" w:rsidRDefault="00E4391E" w:rsidP="00346B4F">
            <w:pPr>
              <w:rPr>
                <w:sz w:val="20"/>
                <w:szCs w:val="20"/>
              </w:rPr>
            </w:pPr>
            <w:r>
              <w:rPr>
                <w:sz w:val="20"/>
                <w:szCs w:val="20"/>
              </w:rPr>
              <w:t>6,274</w:t>
            </w:r>
          </w:p>
        </w:tc>
        <w:tc>
          <w:tcPr>
            <w:tcW w:w="1228" w:type="dxa"/>
          </w:tcPr>
          <w:p w:rsidR="00E4391E" w:rsidRPr="004771A3" w:rsidRDefault="00E4391E" w:rsidP="00346B4F">
            <w:pPr>
              <w:rPr>
                <w:sz w:val="20"/>
                <w:szCs w:val="20"/>
              </w:rPr>
            </w:pPr>
          </w:p>
        </w:tc>
        <w:tc>
          <w:tcPr>
            <w:tcW w:w="1094" w:type="dxa"/>
          </w:tcPr>
          <w:p w:rsidR="00E4391E" w:rsidRPr="004771A3" w:rsidRDefault="00E4391E" w:rsidP="00346B4F">
            <w:pPr>
              <w:rPr>
                <w:sz w:val="20"/>
                <w:szCs w:val="20"/>
              </w:rPr>
            </w:pPr>
            <w:r>
              <w:rPr>
                <w:sz w:val="20"/>
                <w:szCs w:val="20"/>
              </w:rPr>
              <w:t>9,438</w:t>
            </w:r>
          </w:p>
        </w:tc>
        <w:tc>
          <w:tcPr>
            <w:tcW w:w="1017" w:type="dxa"/>
          </w:tcPr>
          <w:p w:rsidR="00E4391E" w:rsidRPr="004771A3" w:rsidRDefault="00E4391E" w:rsidP="00346B4F">
            <w:pPr>
              <w:rPr>
                <w:sz w:val="20"/>
                <w:szCs w:val="20"/>
              </w:rPr>
            </w:pPr>
          </w:p>
        </w:tc>
        <w:tc>
          <w:tcPr>
            <w:tcW w:w="861" w:type="dxa"/>
          </w:tcPr>
          <w:p w:rsidR="00E4391E" w:rsidRPr="004771A3" w:rsidRDefault="00E4391E" w:rsidP="00346B4F">
            <w:pPr>
              <w:rPr>
                <w:sz w:val="20"/>
                <w:szCs w:val="20"/>
              </w:rPr>
            </w:pPr>
            <w:r>
              <w:rPr>
                <w:sz w:val="20"/>
                <w:szCs w:val="20"/>
              </w:rPr>
              <w:t>3,475.5</w:t>
            </w:r>
          </w:p>
        </w:tc>
        <w:tc>
          <w:tcPr>
            <w:tcW w:w="766" w:type="dxa"/>
          </w:tcPr>
          <w:p w:rsidR="00E4391E" w:rsidRPr="004771A3" w:rsidRDefault="00E4391E" w:rsidP="00346B4F">
            <w:pPr>
              <w:rPr>
                <w:sz w:val="20"/>
                <w:szCs w:val="20"/>
              </w:rPr>
            </w:pPr>
            <w:r>
              <w:rPr>
                <w:sz w:val="20"/>
                <w:szCs w:val="20"/>
              </w:rPr>
              <w:t>$20.90</w:t>
            </w:r>
          </w:p>
        </w:tc>
        <w:tc>
          <w:tcPr>
            <w:tcW w:w="1116" w:type="dxa"/>
          </w:tcPr>
          <w:p w:rsidR="00E4391E" w:rsidRPr="004771A3" w:rsidRDefault="00E4391E" w:rsidP="00567A57">
            <w:pPr>
              <w:rPr>
                <w:sz w:val="20"/>
                <w:szCs w:val="20"/>
              </w:rPr>
            </w:pPr>
            <w:r>
              <w:rPr>
                <w:sz w:val="20"/>
                <w:szCs w:val="20"/>
              </w:rPr>
              <w:t>$72,637.95</w:t>
            </w:r>
          </w:p>
        </w:tc>
      </w:tr>
    </w:tbl>
    <w:p w:rsidR="00E4391E" w:rsidRDefault="00E4391E" w:rsidP="00B63FED">
      <w:pPr>
        <w:spacing w:line="240" w:lineRule="auto"/>
      </w:pPr>
    </w:p>
    <w:p w:rsidR="00E4391E" w:rsidRPr="006E6619" w:rsidRDefault="00E4391E" w:rsidP="00B63FED">
      <w:pPr>
        <w:spacing w:line="240" w:lineRule="auto"/>
        <w:rPr>
          <w:b/>
          <w:bCs/>
        </w:rPr>
      </w:pPr>
      <w:r w:rsidRPr="003836F6">
        <w:t xml:space="preserve"> </w:t>
      </w:r>
      <w:r w:rsidRPr="006E6619">
        <w:rPr>
          <w:b/>
          <w:bCs/>
        </w:rPr>
        <w:t xml:space="preserve">13. </w:t>
      </w:r>
      <w:r w:rsidRPr="006E6619">
        <w:rPr>
          <w:b/>
          <w:bCs/>
          <w:u w:val="single"/>
        </w:rPr>
        <w:t>Estimates of Annualized Cost Burden to Respondents</w:t>
      </w:r>
    </w:p>
    <w:p w:rsidR="00E4391E" w:rsidRDefault="00E4391E" w:rsidP="00B63FED">
      <w:pPr>
        <w:spacing w:line="240" w:lineRule="auto"/>
        <w:rPr>
          <w:b/>
          <w:bCs/>
        </w:rPr>
      </w:pPr>
      <w:r>
        <w:t xml:space="preserve">There are no capital or startup costs associated with data collection.  </w:t>
      </w:r>
    </w:p>
    <w:p w:rsidR="00E4391E" w:rsidRPr="00937E89" w:rsidRDefault="00E4391E" w:rsidP="00B63FED">
      <w:pPr>
        <w:autoSpaceDE w:val="0"/>
        <w:autoSpaceDN w:val="0"/>
        <w:adjustRightInd w:val="0"/>
        <w:spacing w:line="240" w:lineRule="auto"/>
        <w:rPr>
          <w:b/>
          <w:bCs/>
        </w:rPr>
      </w:pPr>
      <w:r w:rsidRPr="00937E89">
        <w:rPr>
          <w:b/>
          <w:bCs/>
        </w:rPr>
        <w:t xml:space="preserve">14. </w:t>
      </w:r>
      <w:r w:rsidRPr="00937E89">
        <w:rPr>
          <w:b/>
          <w:bCs/>
          <w:u w:val="single"/>
        </w:rPr>
        <w:t>Estimates of Annualized Cost to the Government</w:t>
      </w:r>
    </w:p>
    <w:p w:rsidR="00E4391E" w:rsidRPr="00B63FED" w:rsidRDefault="00E4391E" w:rsidP="00B63FED">
      <w:pPr>
        <w:spacing w:line="240" w:lineRule="auto"/>
        <w:rPr>
          <w:b/>
          <w:i/>
        </w:rPr>
      </w:pPr>
      <w:r w:rsidRPr="00B63FED">
        <w:rPr>
          <w:b/>
          <w:i/>
        </w:rPr>
        <w:t>I. Sickle Cell Disease and Newborn Screen</w:t>
      </w:r>
      <w:r>
        <w:rPr>
          <w:b/>
          <w:i/>
        </w:rPr>
        <w:t xml:space="preserve">ing Program (SCDNBSP) </w:t>
      </w:r>
      <w:r w:rsidRPr="00B63FED">
        <w:rPr>
          <w:b/>
          <w:i/>
        </w:rPr>
        <w:t xml:space="preserve"> </w:t>
      </w:r>
    </w:p>
    <w:p w:rsidR="00E4391E" w:rsidRDefault="00E4391E" w:rsidP="00B63FED">
      <w:pPr>
        <w:spacing w:line="240" w:lineRule="auto"/>
      </w:pPr>
      <w:r w:rsidRPr="00636507">
        <w:t xml:space="preserve">The </w:t>
      </w:r>
      <w:r>
        <w:t>National Coordinating and Evaluation Center</w:t>
      </w:r>
      <w:r w:rsidRPr="00636507">
        <w:t xml:space="preserve"> is a cooperative agreement with HRSA</w:t>
      </w:r>
      <w:r>
        <w:t xml:space="preserve">.  </w:t>
      </w:r>
      <w:r w:rsidRPr="00636507">
        <w:t>The estimated cost to the Government for collecting these data is based on the portion of the cooperative agreement that is devoted to the data collection a</w:t>
      </w:r>
      <w:r>
        <w:t>nd analysis</w:t>
      </w:r>
      <w:r w:rsidRPr="00636507">
        <w:t xml:space="preserve"> efforts that includes personnel, supplies and </w:t>
      </w:r>
      <w:r>
        <w:t xml:space="preserve">other </w:t>
      </w:r>
      <w:r w:rsidRPr="00636507">
        <w:t>resources. The estimated cost to the government for three years is $1,011,000.</w:t>
      </w:r>
    </w:p>
    <w:p w:rsidR="00E4391E" w:rsidRDefault="00E4391E" w:rsidP="00B63FED">
      <w:pPr>
        <w:spacing w:line="240" w:lineRule="auto"/>
        <w:rPr>
          <w:b/>
          <w:i/>
        </w:rPr>
      </w:pPr>
      <w:r w:rsidRPr="00B63FED">
        <w:rPr>
          <w:b/>
          <w:i/>
        </w:rPr>
        <w:t xml:space="preserve">II. Sickle Cell Disease Treatment Demonstration Program (SCDTDP) </w:t>
      </w:r>
    </w:p>
    <w:p w:rsidR="00E4391E" w:rsidRDefault="00E4391E" w:rsidP="00B63FED">
      <w:pPr>
        <w:tabs>
          <w:tab w:val="left" w:pos="6030"/>
        </w:tabs>
        <w:autoSpaceDE w:val="0"/>
        <w:autoSpaceDN w:val="0"/>
        <w:adjustRightInd w:val="0"/>
        <w:spacing w:after="0" w:line="240" w:lineRule="auto"/>
      </w:pPr>
      <w:r>
        <w:t>The cost of the contractor to gather data as part of the Sickle Cell Disease Treatment Program is approximately $200,000 annually as well as the cost for one FTE GS-13 at 20% time at $20,000 to monitor the project.  The total annual costs for this collection of information are approximately $220,000. The estimated cost for three years is $660,000.</w:t>
      </w:r>
    </w:p>
    <w:p w:rsidR="00E4391E" w:rsidRDefault="00E4391E" w:rsidP="00B63FED">
      <w:pPr>
        <w:tabs>
          <w:tab w:val="left" w:pos="6030"/>
        </w:tabs>
        <w:autoSpaceDE w:val="0"/>
        <w:autoSpaceDN w:val="0"/>
        <w:adjustRightInd w:val="0"/>
        <w:spacing w:after="0" w:line="240" w:lineRule="auto"/>
      </w:pPr>
    </w:p>
    <w:p w:rsidR="00E4391E" w:rsidRDefault="00E4391E" w:rsidP="00B63FED">
      <w:pPr>
        <w:tabs>
          <w:tab w:val="left" w:pos="6030"/>
        </w:tabs>
        <w:autoSpaceDE w:val="0"/>
        <w:autoSpaceDN w:val="0"/>
        <w:adjustRightInd w:val="0"/>
        <w:spacing w:after="0" w:line="240" w:lineRule="auto"/>
      </w:pPr>
      <w:r>
        <w:t>The total estimated costs for both measurement strategies to the government for three years are $1,671,000.</w:t>
      </w:r>
    </w:p>
    <w:p w:rsidR="00E4391E" w:rsidRDefault="00E4391E" w:rsidP="00B63FED">
      <w:pPr>
        <w:spacing w:line="240" w:lineRule="auto"/>
        <w:rPr>
          <w:b/>
          <w:bCs/>
        </w:rPr>
      </w:pPr>
    </w:p>
    <w:p w:rsidR="00E4391E" w:rsidRPr="004170EB" w:rsidRDefault="00E4391E" w:rsidP="00B63FED">
      <w:pPr>
        <w:spacing w:line="240" w:lineRule="auto"/>
        <w:rPr>
          <w:b/>
          <w:bCs/>
        </w:rPr>
      </w:pPr>
      <w:r w:rsidRPr="004170EB">
        <w:rPr>
          <w:b/>
          <w:bCs/>
        </w:rPr>
        <w:t xml:space="preserve">15. </w:t>
      </w:r>
      <w:r w:rsidRPr="004170EB">
        <w:rPr>
          <w:b/>
          <w:bCs/>
          <w:u w:val="single"/>
        </w:rPr>
        <w:t>Changes in Burden</w:t>
      </w:r>
    </w:p>
    <w:p w:rsidR="00E4391E" w:rsidRDefault="00E4391E" w:rsidP="00D254D8">
      <w:pPr>
        <w:autoSpaceDE w:val="0"/>
        <w:autoSpaceDN w:val="0"/>
        <w:adjustRightInd w:val="0"/>
      </w:pPr>
      <w:r w:rsidRPr="008959FE">
        <w:t xml:space="preserve">This is a new </w:t>
      </w:r>
      <w:r>
        <w:t>collection activity.</w:t>
      </w:r>
    </w:p>
    <w:p w:rsidR="00E4391E" w:rsidRPr="004170EB" w:rsidRDefault="00E4391E" w:rsidP="00D254D8">
      <w:pPr>
        <w:tabs>
          <w:tab w:val="left" w:pos="720"/>
        </w:tabs>
        <w:autoSpaceDE w:val="0"/>
        <w:autoSpaceDN w:val="0"/>
        <w:adjustRightInd w:val="0"/>
        <w:rPr>
          <w:b/>
          <w:bCs/>
        </w:rPr>
      </w:pPr>
      <w:r w:rsidRPr="004170EB">
        <w:rPr>
          <w:b/>
          <w:bCs/>
        </w:rPr>
        <w:t xml:space="preserve">16. </w:t>
      </w:r>
      <w:r w:rsidRPr="004170EB">
        <w:rPr>
          <w:b/>
          <w:bCs/>
          <w:u w:val="single"/>
        </w:rPr>
        <w:t>Time Schedule, Publication, and Reporting Plans</w:t>
      </w:r>
    </w:p>
    <w:p w:rsidR="00E4391E" w:rsidRDefault="00E4391E" w:rsidP="00D254D8">
      <w:r>
        <w:lastRenderedPageBreak/>
        <w:t xml:space="preserve">The proposed schedule for the information collection is shown below in </w:t>
      </w:r>
      <w:r w:rsidRPr="00761772">
        <w:t xml:space="preserve">Table 6.   </w:t>
      </w:r>
    </w:p>
    <w:p w:rsidR="00E4391E" w:rsidRPr="007B1996" w:rsidRDefault="00E4391E" w:rsidP="00D254D8">
      <w:pPr>
        <w:rPr>
          <w:b/>
        </w:rPr>
      </w:pPr>
      <w:r w:rsidRPr="007B1996">
        <w:rPr>
          <w:b/>
        </w:rPr>
        <w:t>Table</w:t>
      </w:r>
      <w:r>
        <w:rPr>
          <w:b/>
        </w:rPr>
        <w:t xml:space="preserve"> 6</w:t>
      </w:r>
      <w:r w:rsidRPr="007B1996">
        <w:rPr>
          <w:b/>
        </w:rPr>
        <w:t>:  Estimated Time Schedule for Data Collection, Analysis and Publication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4183"/>
      </w:tblGrid>
      <w:tr w:rsidR="00E4391E" w:rsidRPr="00CF7577">
        <w:tc>
          <w:tcPr>
            <w:tcW w:w="4673" w:type="dxa"/>
          </w:tcPr>
          <w:p w:rsidR="00E4391E" w:rsidRPr="00CF7577" w:rsidRDefault="00E4391E" w:rsidP="00D254D8">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sz w:val="18"/>
                <w:szCs w:val="18"/>
              </w:rPr>
            </w:pPr>
            <w:r w:rsidRPr="00CF7577">
              <w:rPr>
                <w:b/>
                <w:sz w:val="18"/>
                <w:szCs w:val="18"/>
              </w:rPr>
              <w:t>Activity</w:t>
            </w:r>
          </w:p>
        </w:tc>
        <w:tc>
          <w:tcPr>
            <w:tcW w:w="4183" w:type="dxa"/>
          </w:tcPr>
          <w:p w:rsidR="00E4391E" w:rsidRPr="00CF7577" w:rsidRDefault="00E4391E" w:rsidP="00D254D8">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sz w:val="18"/>
                <w:szCs w:val="18"/>
              </w:rPr>
            </w:pPr>
            <w:r w:rsidRPr="00CF7577">
              <w:rPr>
                <w:b/>
                <w:sz w:val="18"/>
                <w:szCs w:val="18"/>
              </w:rPr>
              <w:t>Time Schedule</w:t>
            </w:r>
          </w:p>
        </w:tc>
      </w:tr>
      <w:tr w:rsidR="00E4391E" w:rsidRPr="00CF7577">
        <w:tc>
          <w:tcPr>
            <w:tcW w:w="4673" w:type="dxa"/>
          </w:tcPr>
          <w:p w:rsidR="00E4391E" w:rsidRPr="00CF7577" w:rsidRDefault="00E4391E" w:rsidP="00D254D8">
            <w:pPr>
              <w:pStyle w:val="NoSpacing"/>
              <w:spacing w:line="276" w:lineRule="auto"/>
              <w:rPr>
                <w:sz w:val="18"/>
                <w:szCs w:val="18"/>
              </w:rPr>
            </w:pPr>
            <w:r w:rsidRPr="00CF7577">
              <w:rPr>
                <w:sz w:val="18"/>
                <w:szCs w:val="18"/>
              </w:rPr>
              <w:t>Receipt of OMB Approval</w:t>
            </w:r>
          </w:p>
        </w:tc>
        <w:tc>
          <w:tcPr>
            <w:tcW w:w="4183" w:type="dxa"/>
          </w:tcPr>
          <w:p w:rsidR="00E4391E" w:rsidRPr="00CF7577" w:rsidRDefault="00E4391E" w:rsidP="006B5FB6">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18"/>
                <w:szCs w:val="18"/>
              </w:rPr>
            </w:pPr>
            <w:r w:rsidRPr="00CF7577">
              <w:rPr>
                <w:sz w:val="18"/>
                <w:szCs w:val="18"/>
              </w:rPr>
              <w:t xml:space="preserve">Estimated </w:t>
            </w:r>
            <w:r>
              <w:rPr>
                <w:sz w:val="18"/>
                <w:szCs w:val="18"/>
              </w:rPr>
              <w:t>January 2012</w:t>
            </w:r>
          </w:p>
        </w:tc>
      </w:tr>
      <w:tr w:rsidR="00E4391E" w:rsidRPr="00CF7577">
        <w:tc>
          <w:tcPr>
            <w:tcW w:w="4673" w:type="dxa"/>
          </w:tcPr>
          <w:p w:rsidR="00E4391E" w:rsidRPr="00CF7577" w:rsidRDefault="00E4391E" w:rsidP="00D254D8">
            <w:pPr>
              <w:pStyle w:val="NoSpacing"/>
              <w:spacing w:line="276" w:lineRule="auto"/>
              <w:rPr>
                <w:sz w:val="18"/>
                <w:szCs w:val="18"/>
              </w:rPr>
            </w:pPr>
            <w:r>
              <w:rPr>
                <w:sz w:val="18"/>
                <w:szCs w:val="18"/>
              </w:rPr>
              <w:t>SCDNBSP and SCDTDP Patient Enrollment and Field Questionnaires</w:t>
            </w:r>
          </w:p>
        </w:tc>
        <w:tc>
          <w:tcPr>
            <w:tcW w:w="4183" w:type="dxa"/>
          </w:tcPr>
          <w:p w:rsidR="00E4391E" w:rsidRPr="00CF7577" w:rsidRDefault="00E4391E" w:rsidP="00817985">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18"/>
                <w:szCs w:val="18"/>
              </w:rPr>
            </w:pPr>
            <w:r>
              <w:rPr>
                <w:sz w:val="18"/>
                <w:szCs w:val="18"/>
              </w:rPr>
              <w:t>January /February 2012</w:t>
            </w:r>
          </w:p>
        </w:tc>
      </w:tr>
      <w:tr w:rsidR="00E4391E" w:rsidRPr="00CF7577">
        <w:tc>
          <w:tcPr>
            <w:tcW w:w="4673" w:type="dxa"/>
          </w:tcPr>
          <w:p w:rsidR="00E4391E" w:rsidRPr="00CF7577" w:rsidRDefault="00E4391E" w:rsidP="00D254D8">
            <w:pPr>
              <w:pStyle w:val="NoSpacing"/>
              <w:spacing w:line="276" w:lineRule="auto"/>
              <w:rPr>
                <w:sz w:val="18"/>
                <w:szCs w:val="18"/>
              </w:rPr>
            </w:pPr>
            <w:r w:rsidRPr="00CF7577">
              <w:rPr>
                <w:sz w:val="18"/>
                <w:szCs w:val="18"/>
              </w:rPr>
              <w:t>Implementation of NCEC MDP Data Collection Protocols</w:t>
            </w:r>
          </w:p>
        </w:tc>
        <w:tc>
          <w:tcPr>
            <w:tcW w:w="4183" w:type="dxa"/>
          </w:tcPr>
          <w:p w:rsidR="00E4391E" w:rsidRPr="00CF7577" w:rsidRDefault="00E4391E" w:rsidP="00D254D8">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18"/>
                <w:szCs w:val="18"/>
              </w:rPr>
            </w:pPr>
            <w:r>
              <w:rPr>
                <w:sz w:val="18"/>
                <w:szCs w:val="18"/>
              </w:rPr>
              <w:t>January/February 2012</w:t>
            </w:r>
          </w:p>
        </w:tc>
      </w:tr>
      <w:tr w:rsidR="00E4391E" w:rsidRPr="00CF7577">
        <w:tc>
          <w:tcPr>
            <w:tcW w:w="4673" w:type="dxa"/>
          </w:tcPr>
          <w:p w:rsidR="00E4391E" w:rsidRPr="00CF7577" w:rsidRDefault="00E4391E" w:rsidP="00D254D8">
            <w:pPr>
              <w:pStyle w:val="NoSpacing"/>
              <w:spacing w:line="276" w:lineRule="auto"/>
              <w:rPr>
                <w:sz w:val="18"/>
                <w:szCs w:val="18"/>
              </w:rPr>
            </w:pPr>
            <w:r w:rsidRPr="00CF7577">
              <w:rPr>
                <w:sz w:val="18"/>
                <w:szCs w:val="18"/>
              </w:rPr>
              <w:t>Data Analysis and Reporting</w:t>
            </w:r>
          </w:p>
        </w:tc>
        <w:tc>
          <w:tcPr>
            <w:tcW w:w="4183" w:type="dxa"/>
          </w:tcPr>
          <w:p w:rsidR="00E4391E" w:rsidRPr="00CF7577" w:rsidRDefault="00E4391E" w:rsidP="00D254D8">
            <w:pPr>
              <w:pStyle w:val="NoSpacing"/>
              <w:spacing w:line="276" w:lineRule="auto"/>
              <w:rPr>
                <w:sz w:val="18"/>
                <w:szCs w:val="18"/>
              </w:rPr>
            </w:pPr>
            <w:r w:rsidRPr="00CF7577">
              <w:rPr>
                <w:sz w:val="18"/>
                <w:szCs w:val="18"/>
              </w:rPr>
              <w:t>Bi-Annually (April and October) through the funded period 2011-201</w:t>
            </w:r>
            <w:r>
              <w:rPr>
                <w:sz w:val="18"/>
                <w:szCs w:val="18"/>
              </w:rPr>
              <w:t>5</w:t>
            </w:r>
          </w:p>
        </w:tc>
      </w:tr>
      <w:tr w:rsidR="00E4391E" w:rsidRPr="00CF7577">
        <w:tc>
          <w:tcPr>
            <w:tcW w:w="4673" w:type="dxa"/>
          </w:tcPr>
          <w:p w:rsidR="00E4391E" w:rsidRPr="00CF7577" w:rsidRDefault="00E4391E" w:rsidP="00D254D8">
            <w:pPr>
              <w:pStyle w:val="NoSpacing"/>
              <w:spacing w:line="276" w:lineRule="auto"/>
              <w:rPr>
                <w:sz w:val="18"/>
                <w:szCs w:val="18"/>
              </w:rPr>
            </w:pPr>
            <w:r>
              <w:rPr>
                <w:sz w:val="18"/>
                <w:szCs w:val="18"/>
              </w:rPr>
              <w:t>Final</w:t>
            </w:r>
            <w:r w:rsidRPr="00CF7577">
              <w:rPr>
                <w:sz w:val="18"/>
                <w:szCs w:val="18"/>
              </w:rPr>
              <w:t xml:space="preserve"> Report to HRSA</w:t>
            </w:r>
            <w:r>
              <w:rPr>
                <w:sz w:val="18"/>
                <w:szCs w:val="18"/>
              </w:rPr>
              <w:t>/MCHB</w:t>
            </w:r>
          </w:p>
        </w:tc>
        <w:tc>
          <w:tcPr>
            <w:tcW w:w="4183" w:type="dxa"/>
          </w:tcPr>
          <w:p w:rsidR="00E4391E" w:rsidRPr="00CF7577" w:rsidRDefault="00E4391E" w:rsidP="00D254D8">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18"/>
                <w:szCs w:val="18"/>
              </w:rPr>
            </w:pPr>
            <w:r w:rsidRPr="00CF7577">
              <w:rPr>
                <w:sz w:val="18"/>
                <w:szCs w:val="18"/>
              </w:rPr>
              <w:t>Annual (June) through the funded period 2011-201</w:t>
            </w:r>
            <w:r>
              <w:rPr>
                <w:sz w:val="18"/>
                <w:szCs w:val="18"/>
              </w:rPr>
              <w:t>5</w:t>
            </w:r>
          </w:p>
        </w:tc>
      </w:tr>
    </w:tbl>
    <w:p w:rsidR="00E4391E" w:rsidRDefault="00E4391E" w:rsidP="009E6B72">
      <w:pPr>
        <w:autoSpaceDE w:val="0"/>
        <w:autoSpaceDN w:val="0"/>
        <w:adjustRightInd w:val="0"/>
        <w:rPr>
          <w:b/>
          <w:bCs/>
        </w:rPr>
      </w:pPr>
    </w:p>
    <w:p w:rsidR="00E4391E" w:rsidRDefault="00E4391E" w:rsidP="009E6B72">
      <w:pPr>
        <w:autoSpaceDE w:val="0"/>
        <w:autoSpaceDN w:val="0"/>
        <w:adjustRightInd w:val="0"/>
        <w:rPr>
          <w:b/>
          <w:bCs/>
        </w:rPr>
      </w:pPr>
      <w:r w:rsidRPr="00366448">
        <w:rPr>
          <w:b/>
          <w:bCs/>
        </w:rPr>
        <w:t xml:space="preserve">17. </w:t>
      </w:r>
      <w:r>
        <w:rPr>
          <w:b/>
          <w:bCs/>
        </w:rPr>
        <w:t>Exemption for Display of Expiration Date</w:t>
      </w:r>
    </w:p>
    <w:p w:rsidR="00E4391E" w:rsidRDefault="00E4391E" w:rsidP="00D254D8">
      <w:r>
        <w:t>The expiration date will be displayed.</w:t>
      </w:r>
    </w:p>
    <w:p w:rsidR="00E4391E" w:rsidRDefault="00E4391E" w:rsidP="00D254D8">
      <w:pPr>
        <w:pStyle w:val="aft-12"/>
        <w:spacing w:line="276" w:lineRule="auto"/>
        <w:ind w:firstLine="0"/>
        <w:rPr>
          <w:b/>
          <w:bCs/>
        </w:rPr>
      </w:pPr>
      <w:r w:rsidRPr="0041613A">
        <w:rPr>
          <w:b/>
          <w:bCs/>
        </w:rPr>
        <w:t xml:space="preserve">18.  </w:t>
      </w:r>
      <w:r>
        <w:rPr>
          <w:b/>
          <w:bCs/>
        </w:rPr>
        <w:t>Certifications</w:t>
      </w:r>
    </w:p>
    <w:p w:rsidR="00E4391E" w:rsidRDefault="00E4391E" w:rsidP="00D254D8">
      <w:pPr>
        <w:rPr>
          <w:rStyle w:val="BodyTextFi"/>
        </w:rPr>
      </w:pPr>
      <w:r>
        <w:rPr>
          <w:rStyle w:val="BodyTextFi"/>
        </w:rPr>
        <w:t>This information collection fully complies with the guidelines in 5 CFR 1320.9.</w:t>
      </w:r>
      <w:bookmarkStart w:id="6" w:name="_GoBack"/>
      <w:bookmarkEnd w:id="6"/>
    </w:p>
    <w:sectPr w:rsidR="00E4391E" w:rsidSect="00637939">
      <w:footerReference w:type="default" r:id="rId21"/>
      <w:endnotePr>
        <w:numFmt w:val="decimal"/>
      </w:end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C49" w:rsidRDefault="00C36C49" w:rsidP="00637939">
      <w:pPr>
        <w:spacing w:after="0" w:line="240" w:lineRule="auto"/>
      </w:pPr>
      <w:r>
        <w:separator/>
      </w:r>
    </w:p>
  </w:endnote>
  <w:endnote w:type="continuationSeparator" w:id="0">
    <w:p w:rsidR="00C36C49" w:rsidRDefault="00C36C49" w:rsidP="00637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1E" w:rsidRDefault="00424A3B">
    <w:pPr>
      <w:pStyle w:val="Footer"/>
      <w:jc w:val="right"/>
    </w:pPr>
    <w:fldSimple w:instr=" PAGE   \* MERGEFORMAT ">
      <w:r w:rsidR="00556A59">
        <w:rPr>
          <w:noProof/>
        </w:rPr>
        <w:t>20</w:t>
      </w:r>
    </w:fldSimple>
  </w:p>
  <w:p w:rsidR="00E4391E" w:rsidRDefault="00E43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C49" w:rsidRDefault="00C36C49" w:rsidP="00637939">
      <w:pPr>
        <w:spacing w:after="0" w:line="240" w:lineRule="auto"/>
      </w:pPr>
      <w:r>
        <w:separator/>
      </w:r>
    </w:p>
  </w:footnote>
  <w:footnote w:type="continuationSeparator" w:id="0">
    <w:p w:rsidR="00C36C49" w:rsidRDefault="00C36C49" w:rsidP="00637939">
      <w:pPr>
        <w:spacing w:after="0" w:line="240" w:lineRule="auto"/>
      </w:pPr>
      <w:r>
        <w:continuationSeparator/>
      </w:r>
    </w:p>
  </w:footnote>
  <w:footnote w:id="1">
    <w:p w:rsidR="00E4391E" w:rsidRDefault="00E4391E">
      <w:pPr>
        <w:pStyle w:val="FootnoteText"/>
      </w:pPr>
      <w:r>
        <w:rPr>
          <w:rStyle w:val="FootnoteReference"/>
        </w:rPr>
        <w:footnoteRef/>
      </w:r>
      <w:r>
        <w:t xml:space="preserve"> The Breakthrough Series: IHI’s Collaborative Model for Achieving Breakthrough Improvement. </w:t>
      </w:r>
      <w:r w:rsidRPr="006055E6">
        <w:rPr>
          <w:i/>
        </w:rPr>
        <w:t>Diabetes Spectrum</w:t>
      </w:r>
      <w:r>
        <w:t>. Volume 17, Number 2, 2004. Paper available upon request.</w:t>
      </w:r>
    </w:p>
  </w:footnote>
  <w:footnote w:id="2">
    <w:p w:rsidR="00E4391E" w:rsidRDefault="00E4391E" w:rsidP="00346B4F">
      <w:pPr>
        <w:pStyle w:val="FootnoteText"/>
      </w:pPr>
      <w:r>
        <w:rPr>
          <w:rStyle w:val="FootnoteReference"/>
        </w:rPr>
        <w:footnoteRef/>
      </w:r>
      <w:r>
        <w:t xml:space="preserve"> SF-36 : </w:t>
      </w:r>
      <w:hyperlink r:id="rId1" w:history="1">
        <w:r w:rsidRPr="008062C9">
          <w:rPr>
            <w:rStyle w:val="Hyperlink"/>
          </w:rPr>
          <w:t>http://www.rand.org/health/surveys_tools/mos/mos_core_36item.html</w:t>
        </w:r>
      </w:hyperlink>
      <w:r>
        <w:t xml:space="preserve">; PedsQL: </w:t>
      </w:r>
      <w:hyperlink r:id="rId2" w:history="1">
        <w:r w:rsidRPr="008062C9">
          <w:rPr>
            <w:rStyle w:val="Hyperlink"/>
          </w:rPr>
          <w:t>http://www.pedsql.org/about_pedsql.html</w:t>
        </w:r>
      </w:hyperlink>
      <w:r>
        <w:t xml:space="preserve">; Medical Home Family Index: </w:t>
      </w:r>
      <w:r w:rsidRPr="00B770DE">
        <w:rPr>
          <w:u w:val="single"/>
        </w:rPr>
        <w:t>http://www.medicalhomeimprovement.org/outcomes.htm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4752F1"/>
    <w:multiLevelType w:val="hybridMultilevel"/>
    <w:tmpl w:val="603C3FF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131A24"/>
    <w:multiLevelType w:val="hybridMultilevel"/>
    <w:tmpl w:val="3E3CD5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733DD3"/>
    <w:multiLevelType w:val="hybridMultilevel"/>
    <w:tmpl w:val="230A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32D28"/>
    <w:multiLevelType w:val="hybridMultilevel"/>
    <w:tmpl w:val="A2ECB5D0"/>
    <w:lvl w:ilvl="0" w:tplc="04090017">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520026E"/>
    <w:multiLevelType w:val="hybridMultilevel"/>
    <w:tmpl w:val="9C142ECA"/>
    <w:lvl w:ilvl="0" w:tplc="E1A63F02">
      <w:start w:val="1"/>
      <w:numFmt w:val="lowerLetter"/>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6A12DFD"/>
    <w:multiLevelType w:val="hybridMultilevel"/>
    <w:tmpl w:val="E750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B219E"/>
    <w:multiLevelType w:val="hybridMultilevel"/>
    <w:tmpl w:val="8EBA16D6"/>
    <w:lvl w:ilvl="0" w:tplc="73C23430">
      <w:start w:val="1"/>
      <w:numFmt w:val="bullet"/>
      <w:pStyle w:val="bullets"/>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B90AD6"/>
    <w:multiLevelType w:val="hybridMultilevel"/>
    <w:tmpl w:val="AAFE497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2C00EA"/>
    <w:multiLevelType w:val="hybridMultilevel"/>
    <w:tmpl w:val="3C18C326"/>
    <w:lvl w:ilvl="0" w:tplc="BF106CA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B991020"/>
    <w:multiLevelType w:val="hybridMultilevel"/>
    <w:tmpl w:val="04D484B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DBB7C17"/>
    <w:multiLevelType w:val="hybridMultilevel"/>
    <w:tmpl w:val="6502657E"/>
    <w:lvl w:ilvl="0" w:tplc="6434B3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48003B"/>
    <w:multiLevelType w:val="hybridMultilevel"/>
    <w:tmpl w:val="68CA89C0"/>
    <w:lvl w:ilvl="0" w:tplc="0742C74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29D3AFA"/>
    <w:multiLevelType w:val="hybridMultilevel"/>
    <w:tmpl w:val="31F87A48"/>
    <w:lvl w:ilvl="0" w:tplc="B7A4B2DE">
      <w:start w:val="1"/>
      <w:numFmt w:val="decimal"/>
      <w:pStyle w:val="bulletsnumbered"/>
      <w:lvlText w:val="(%1)."/>
      <w:lvlJc w:val="righ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43CB0E57"/>
    <w:multiLevelType w:val="hybridMultilevel"/>
    <w:tmpl w:val="475CF624"/>
    <w:lvl w:ilvl="0" w:tplc="2DCE8B8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68B031E"/>
    <w:multiLevelType w:val="hybridMultilevel"/>
    <w:tmpl w:val="A89E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1BF56C8"/>
    <w:multiLevelType w:val="hybridMultilevel"/>
    <w:tmpl w:val="68CA89C0"/>
    <w:lvl w:ilvl="0" w:tplc="0742C74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3827697"/>
    <w:multiLevelType w:val="hybridMultilevel"/>
    <w:tmpl w:val="7F160DE8"/>
    <w:lvl w:ilvl="0" w:tplc="8D06BB5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51A6B72"/>
    <w:multiLevelType w:val="hybridMultilevel"/>
    <w:tmpl w:val="A2C6392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D800BCD"/>
    <w:multiLevelType w:val="hybridMultilevel"/>
    <w:tmpl w:val="E070ACC4"/>
    <w:lvl w:ilvl="0" w:tplc="49A6EE72">
      <w:start w:val="1"/>
      <w:numFmt w:val="bullet"/>
      <w:lvlText w:val=""/>
      <w:lvlJc w:val="left"/>
      <w:pPr>
        <w:tabs>
          <w:tab w:val="num" w:pos="36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C656C4"/>
    <w:multiLevelType w:val="hybridMultilevel"/>
    <w:tmpl w:val="DC4CF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6921DDA"/>
    <w:multiLevelType w:val="hybridMultilevel"/>
    <w:tmpl w:val="E626FEE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F41DDA"/>
    <w:multiLevelType w:val="hybridMultilevel"/>
    <w:tmpl w:val="7128A9F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F9E2BFE"/>
    <w:multiLevelType w:val="hybridMultilevel"/>
    <w:tmpl w:val="68CA89C0"/>
    <w:lvl w:ilvl="0" w:tplc="0742C74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18"/>
  </w:num>
  <w:num w:numId="3">
    <w:abstractNumId w:val="6"/>
  </w:num>
  <w:num w:numId="4">
    <w:abstractNumId w:val="8"/>
  </w:num>
  <w:num w:numId="5">
    <w:abstractNumId w:val="12"/>
  </w:num>
  <w:num w:numId="6">
    <w:abstractNumId w:val="12"/>
    <w:lvlOverride w:ilvl="0">
      <w:startOverride w:val="1"/>
    </w:lvlOverride>
  </w:num>
  <w:num w:numId="7">
    <w:abstractNumId w:val="13"/>
  </w:num>
  <w:num w:numId="8">
    <w:abstractNumId w:val="21"/>
  </w:num>
  <w:num w:numId="9">
    <w:abstractNumId w:val="10"/>
  </w:num>
  <w:num w:numId="10">
    <w:abstractNumId w:val="11"/>
  </w:num>
  <w:num w:numId="11">
    <w:abstractNumId w:val="15"/>
  </w:num>
  <w:num w:numId="12">
    <w:abstractNumId w:val="3"/>
  </w:num>
  <w:num w:numId="13">
    <w:abstractNumId w:val="22"/>
  </w:num>
  <w:num w:numId="14">
    <w:abstractNumId w:val="17"/>
  </w:num>
  <w:num w:numId="15">
    <w:abstractNumId w:val="9"/>
  </w:num>
  <w:num w:numId="16">
    <w:abstractNumId w:val="2"/>
  </w:num>
  <w:num w:numId="17">
    <w:abstractNumId w:val="1"/>
  </w:num>
  <w:num w:numId="18">
    <w:abstractNumId w:val="7"/>
  </w:num>
  <w:num w:numId="19">
    <w:abstractNumId w:val="5"/>
  </w:num>
  <w:num w:numId="20">
    <w:abstractNumId w:val="14"/>
  </w:num>
  <w:num w:numId="21">
    <w:abstractNumId w:val="19"/>
  </w:num>
  <w:num w:numId="22">
    <w:abstractNumId w:val="20"/>
  </w:num>
  <w:num w:numId="23">
    <w:abstractNumId w:val="4"/>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6F7B0E"/>
    <w:rsid w:val="00000886"/>
    <w:rsid w:val="00007F82"/>
    <w:rsid w:val="000125D4"/>
    <w:rsid w:val="0002708C"/>
    <w:rsid w:val="00047379"/>
    <w:rsid w:val="00055CFA"/>
    <w:rsid w:val="00056FD5"/>
    <w:rsid w:val="00065D24"/>
    <w:rsid w:val="00082F1A"/>
    <w:rsid w:val="00084035"/>
    <w:rsid w:val="000A163E"/>
    <w:rsid w:val="000A19CA"/>
    <w:rsid w:val="000A25C0"/>
    <w:rsid w:val="000B75A2"/>
    <w:rsid w:val="000D0195"/>
    <w:rsid w:val="000D5C37"/>
    <w:rsid w:val="000E1CA6"/>
    <w:rsid w:val="000E4F88"/>
    <w:rsid w:val="000F1C26"/>
    <w:rsid w:val="000F2871"/>
    <w:rsid w:val="000F4AA7"/>
    <w:rsid w:val="000F5349"/>
    <w:rsid w:val="00100E7E"/>
    <w:rsid w:val="0010580B"/>
    <w:rsid w:val="00114026"/>
    <w:rsid w:val="00120364"/>
    <w:rsid w:val="00124F7C"/>
    <w:rsid w:val="0014621C"/>
    <w:rsid w:val="00164774"/>
    <w:rsid w:val="00164C1B"/>
    <w:rsid w:val="001674FF"/>
    <w:rsid w:val="00176D47"/>
    <w:rsid w:val="00180314"/>
    <w:rsid w:val="00183356"/>
    <w:rsid w:val="0018393C"/>
    <w:rsid w:val="001939B4"/>
    <w:rsid w:val="0019779B"/>
    <w:rsid w:val="001A0A11"/>
    <w:rsid w:val="001A6340"/>
    <w:rsid w:val="001C34D8"/>
    <w:rsid w:val="001E6025"/>
    <w:rsid w:val="001E65C8"/>
    <w:rsid w:val="001F2DBC"/>
    <w:rsid w:val="001F5EB1"/>
    <w:rsid w:val="002008FC"/>
    <w:rsid w:val="002113FA"/>
    <w:rsid w:val="00211440"/>
    <w:rsid w:val="00215F5A"/>
    <w:rsid w:val="002217A3"/>
    <w:rsid w:val="00243262"/>
    <w:rsid w:val="002575C2"/>
    <w:rsid w:val="00262BC1"/>
    <w:rsid w:val="00271E3A"/>
    <w:rsid w:val="00284112"/>
    <w:rsid w:val="00295116"/>
    <w:rsid w:val="002B258D"/>
    <w:rsid w:val="002B2FA4"/>
    <w:rsid w:val="002D61CC"/>
    <w:rsid w:val="002E04DC"/>
    <w:rsid w:val="002F1960"/>
    <w:rsid w:val="002F429D"/>
    <w:rsid w:val="003129CE"/>
    <w:rsid w:val="00332501"/>
    <w:rsid w:val="003365E4"/>
    <w:rsid w:val="00341373"/>
    <w:rsid w:val="0034194B"/>
    <w:rsid w:val="00345EDA"/>
    <w:rsid w:val="00346B4F"/>
    <w:rsid w:val="003517D3"/>
    <w:rsid w:val="0035780C"/>
    <w:rsid w:val="00366448"/>
    <w:rsid w:val="00366EDB"/>
    <w:rsid w:val="003836F6"/>
    <w:rsid w:val="00393A19"/>
    <w:rsid w:val="0039681C"/>
    <w:rsid w:val="003A15F3"/>
    <w:rsid w:val="003D0E1E"/>
    <w:rsid w:val="003D7D7C"/>
    <w:rsid w:val="003F1AF8"/>
    <w:rsid w:val="004004A6"/>
    <w:rsid w:val="00414B5A"/>
    <w:rsid w:val="0041613A"/>
    <w:rsid w:val="004170EB"/>
    <w:rsid w:val="00421BB5"/>
    <w:rsid w:val="00424A3B"/>
    <w:rsid w:val="00444072"/>
    <w:rsid w:val="00445326"/>
    <w:rsid w:val="0044551C"/>
    <w:rsid w:val="00451926"/>
    <w:rsid w:val="004575EB"/>
    <w:rsid w:val="00470540"/>
    <w:rsid w:val="004771A3"/>
    <w:rsid w:val="00481B04"/>
    <w:rsid w:val="0048299A"/>
    <w:rsid w:val="004850A3"/>
    <w:rsid w:val="004A00E6"/>
    <w:rsid w:val="004B6027"/>
    <w:rsid w:val="004C46DD"/>
    <w:rsid w:val="004C5A98"/>
    <w:rsid w:val="004D25E0"/>
    <w:rsid w:val="004D39B8"/>
    <w:rsid w:val="004D7484"/>
    <w:rsid w:val="004E52F8"/>
    <w:rsid w:val="004E625D"/>
    <w:rsid w:val="004E7095"/>
    <w:rsid w:val="004E7EA5"/>
    <w:rsid w:val="004F1794"/>
    <w:rsid w:val="005051F7"/>
    <w:rsid w:val="005144BF"/>
    <w:rsid w:val="00517B0C"/>
    <w:rsid w:val="00520CC9"/>
    <w:rsid w:val="00552775"/>
    <w:rsid w:val="00555A26"/>
    <w:rsid w:val="00556A59"/>
    <w:rsid w:val="00564174"/>
    <w:rsid w:val="00567A57"/>
    <w:rsid w:val="005857C5"/>
    <w:rsid w:val="005A138B"/>
    <w:rsid w:val="005A20B1"/>
    <w:rsid w:val="005A2B24"/>
    <w:rsid w:val="005C75AC"/>
    <w:rsid w:val="005C79CC"/>
    <w:rsid w:val="005D7A24"/>
    <w:rsid w:val="005E40A9"/>
    <w:rsid w:val="005E72D8"/>
    <w:rsid w:val="005F3B38"/>
    <w:rsid w:val="005F7E0C"/>
    <w:rsid w:val="006055E6"/>
    <w:rsid w:val="00607F6B"/>
    <w:rsid w:val="00611FD8"/>
    <w:rsid w:val="006121E0"/>
    <w:rsid w:val="0062175D"/>
    <w:rsid w:val="00636507"/>
    <w:rsid w:val="00637939"/>
    <w:rsid w:val="006415A4"/>
    <w:rsid w:val="006460E6"/>
    <w:rsid w:val="00662F8D"/>
    <w:rsid w:val="00676B4E"/>
    <w:rsid w:val="00683477"/>
    <w:rsid w:val="006960BC"/>
    <w:rsid w:val="006B5FB6"/>
    <w:rsid w:val="006B60BC"/>
    <w:rsid w:val="006C5E5B"/>
    <w:rsid w:val="006C6877"/>
    <w:rsid w:val="006C68A8"/>
    <w:rsid w:val="006D4AE4"/>
    <w:rsid w:val="006D5970"/>
    <w:rsid w:val="006D6643"/>
    <w:rsid w:val="006E4D96"/>
    <w:rsid w:val="006E6619"/>
    <w:rsid w:val="006F73D5"/>
    <w:rsid w:val="006F7B0E"/>
    <w:rsid w:val="006F7F1F"/>
    <w:rsid w:val="00700B31"/>
    <w:rsid w:val="00711049"/>
    <w:rsid w:val="00721574"/>
    <w:rsid w:val="0073438F"/>
    <w:rsid w:val="007359B3"/>
    <w:rsid w:val="0074107C"/>
    <w:rsid w:val="00752E3E"/>
    <w:rsid w:val="00756469"/>
    <w:rsid w:val="00761772"/>
    <w:rsid w:val="00797E1E"/>
    <w:rsid w:val="007A0ACA"/>
    <w:rsid w:val="007A4760"/>
    <w:rsid w:val="007A675A"/>
    <w:rsid w:val="007B1996"/>
    <w:rsid w:val="007B679A"/>
    <w:rsid w:val="007C2820"/>
    <w:rsid w:val="007C5813"/>
    <w:rsid w:val="007C5BFD"/>
    <w:rsid w:val="007D2A58"/>
    <w:rsid w:val="007D479F"/>
    <w:rsid w:val="007D5C2A"/>
    <w:rsid w:val="007E5875"/>
    <w:rsid w:val="007F2DAC"/>
    <w:rsid w:val="008062C9"/>
    <w:rsid w:val="00806F2F"/>
    <w:rsid w:val="008149FE"/>
    <w:rsid w:val="00817985"/>
    <w:rsid w:val="00843EF6"/>
    <w:rsid w:val="00866325"/>
    <w:rsid w:val="00872FBD"/>
    <w:rsid w:val="0087592E"/>
    <w:rsid w:val="00876803"/>
    <w:rsid w:val="00884109"/>
    <w:rsid w:val="00885101"/>
    <w:rsid w:val="008855AB"/>
    <w:rsid w:val="008913AB"/>
    <w:rsid w:val="008959FE"/>
    <w:rsid w:val="008B1A9E"/>
    <w:rsid w:val="008B4C25"/>
    <w:rsid w:val="008D5E6B"/>
    <w:rsid w:val="008D6D73"/>
    <w:rsid w:val="008E02C3"/>
    <w:rsid w:val="008E119E"/>
    <w:rsid w:val="009057C9"/>
    <w:rsid w:val="00911F31"/>
    <w:rsid w:val="00912A34"/>
    <w:rsid w:val="00915107"/>
    <w:rsid w:val="0092700A"/>
    <w:rsid w:val="009317B2"/>
    <w:rsid w:val="00937E89"/>
    <w:rsid w:val="00940A71"/>
    <w:rsid w:val="009532EA"/>
    <w:rsid w:val="009579C4"/>
    <w:rsid w:val="009624CA"/>
    <w:rsid w:val="009656B2"/>
    <w:rsid w:val="009723A3"/>
    <w:rsid w:val="0097348F"/>
    <w:rsid w:val="00974353"/>
    <w:rsid w:val="00976997"/>
    <w:rsid w:val="00982675"/>
    <w:rsid w:val="00987D09"/>
    <w:rsid w:val="009A6A05"/>
    <w:rsid w:val="009E1E76"/>
    <w:rsid w:val="009E2A59"/>
    <w:rsid w:val="009E6524"/>
    <w:rsid w:val="009E6B72"/>
    <w:rsid w:val="009F315B"/>
    <w:rsid w:val="009F4CF7"/>
    <w:rsid w:val="009F6C49"/>
    <w:rsid w:val="00A01679"/>
    <w:rsid w:val="00A02F4F"/>
    <w:rsid w:val="00A04E38"/>
    <w:rsid w:val="00A12999"/>
    <w:rsid w:val="00A129E6"/>
    <w:rsid w:val="00A16932"/>
    <w:rsid w:val="00A21EAB"/>
    <w:rsid w:val="00A32817"/>
    <w:rsid w:val="00A73091"/>
    <w:rsid w:val="00A775DB"/>
    <w:rsid w:val="00A836CC"/>
    <w:rsid w:val="00A85799"/>
    <w:rsid w:val="00A9069C"/>
    <w:rsid w:val="00AA3136"/>
    <w:rsid w:val="00AB1802"/>
    <w:rsid w:val="00AB5F95"/>
    <w:rsid w:val="00AC22C9"/>
    <w:rsid w:val="00AD60ED"/>
    <w:rsid w:val="00AD68A2"/>
    <w:rsid w:val="00AE1A60"/>
    <w:rsid w:val="00AE6B2D"/>
    <w:rsid w:val="00AF66FF"/>
    <w:rsid w:val="00B23501"/>
    <w:rsid w:val="00B41BF3"/>
    <w:rsid w:val="00B4542B"/>
    <w:rsid w:val="00B53041"/>
    <w:rsid w:val="00B63FED"/>
    <w:rsid w:val="00B6509D"/>
    <w:rsid w:val="00B70008"/>
    <w:rsid w:val="00B7497E"/>
    <w:rsid w:val="00B770DE"/>
    <w:rsid w:val="00B914A0"/>
    <w:rsid w:val="00B94007"/>
    <w:rsid w:val="00BA6FAB"/>
    <w:rsid w:val="00BB54BD"/>
    <w:rsid w:val="00BB5DB3"/>
    <w:rsid w:val="00BC08E5"/>
    <w:rsid w:val="00BE0EA3"/>
    <w:rsid w:val="00BE1FEC"/>
    <w:rsid w:val="00BF39AD"/>
    <w:rsid w:val="00C027AC"/>
    <w:rsid w:val="00C2433A"/>
    <w:rsid w:val="00C2470C"/>
    <w:rsid w:val="00C27231"/>
    <w:rsid w:val="00C36C49"/>
    <w:rsid w:val="00C627F5"/>
    <w:rsid w:val="00C85827"/>
    <w:rsid w:val="00C96BAE"/>
    <w:rsid w:val="00CB0727"/>
    <w:rsid w:val="00CD5AD3"/>
    <w:rsid w:val="00CE322D"/>
    <w:rsid w:val="00CE5688"/>
    <w:rsid w:val="00CE6552"/>
    <w:rsid w:val="00CF1FCC"/>
    <w:rsid w:val="00CF370E"/>
    <w:rsid w:val="00CF7577"/>
    <w:rsid w:val="00D04527"/>
    <w:rsid w:val="00D07262"/>
    <w:rsid w:val="00D23D91"/>
    <w:rsid w:val="00D254D8"/>
    <w:rsid w:val="00D26EA7"/>
    <w:rsid w:val="00D30892"/>
    <w:rsid w:val="00D37184"/>
    <w:rsid w:val="00D44629"/>
    <w:rsid w:val="00D47006"/>
    <w:rsid w:val="00D6284E"/>
    <w:rsid w:val="00D63999"/>
    <w:rsid w:val="00D642EF"/>
    <w:rsid w:val="00D74CA4"/>
    <w:rsid w:val="00D75811"/>
    <w:rsid w:val="00D90587"/>
    <w:rsid w:val="00D938C9"/>
    <w:rsid w:val="00D97668"/>
    <w:rsid w:val="00D97A6D"/>
    <w:rsid w:val="00DA45F1"/>
    <w:rsid w:val="00DA70A2"/>
    <w:rsid w:val="00DA774F"/>
    <w:rsid w:val="00DB101F"/>
    <w:rsid w:val="00DB1E80"/>
    <w:rsid w:val="00DB2A62"/>
    <w:rsid w:val="00DC4352"/>
    <w:rsid w:val="00DD0224"/>
    <w:rsid w:val="00DD04D8"/>
    <w:rsid w:val="00DE0903"/>
    <w:rsid w:val="00E020FC"/>
    <w:rsid w:val="00E03A3D"/>
    <w:rsid w:val="00E042D5"/>
    <w:rsid w:val="00E10A92"/>
    <w:rsid w:val="00E11D12"/>
    <w:rsid w:val="00E15EAB"/>
    <w:rsid w:val="00E34F76"/>
    <w:rsid w:val="00E42869"/>
    <w:rsid w:val="00E4391E"/>
    <w:rsid w:val="00E44CED"/>
    <w:rsid w:val="00E52906"/>
    <w:rsid w:val="00E5342E"/>
    <w:rsid w:val="00E55300"/>
    <w:rsid w:val="00E773E4"/>
    <w:rsid w:val="00E931D1"/>
    <w:rsid w:val="00E96FD6"/>
    <w:rsid w:val="00EA5986"/>
    <w:rsid w:val="00EB7088"/>
    <w:rsid w:val="00EC180D"/>
    <w:rsid w:val="00ED11AF"/>
    <w:rsid w:val="00EE3940"/>
    <w:rsid w:val="00EE4659"/>
    <w:rsid w:val="00EF6F55"/>
    <w:rsid w:val="00F0075C"/>
    <w:rsid w:val="00F067CC"/>
    <w:rsid w:val="00F12D1B"/>
    <w:rsid w:val="00F15BB3"/>
    <w:rsid w:val="00F21E55"/>
    <w:rsid w:val="00F27C66"/>
    <w:rsid w:val="00F41145"/>
    <w:rsid w:val="00F46617"/>
    <w:rsid w:val="00F54B22"/>
    <w:rsid w:val="00F5689C"/>
    <w:rsid w:val="00F57A28"/>
    <w:rsid w:val="00F628A5"/>
    <w:rsid w:val="00F63537"/>
    <w:rsid w:val="00F63635"/>
    <w:rsid w:val="00F81F85"/>
    <w:rsid w:val="00F86D9A"/>
    <w:rsid w:val="00FA709B"/>
    <w:rsid w:val="00FB08B2"/>
    <w:rsid w:val="00FC6609"/>
    <w:rsid w:val="00FD3C44"/>
    <w:rsid w:val="00FF4796"/>
    <w:rsid w:val="00FF6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B1"/>
    <w:pPr>
      <w:spacing w:after="200" w:line="276" w:lineRule="auto"/>
    </w:pPr>
    <w:rPr>
      <w:sz w:val="24"/>
      <w:szCs w:val="24"/>
    </w:rPr>
  </w:style>
  <w:style w:type="paragraph" w:styleId="Heading1">
    <w:name w:val="heading 1"/>
    <w:basedOn w:val="Normal"/>
    <w:next w:val="Normal"/>
    <w:link w:val="Heading1Char"/>
    <w:uiPriority w:val="99"/>
    <w:qFormat/>
    <w:rsid w:val="001F5EB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1F5EB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1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1F5EB1"/>
    <w:rPr>
      <w:rFonts w:ascii="Cambria" w:hAnsi="Cambria"/>
      <w:b/>
      <w:i/>
      <w:sz w:val="28"/>
    </w:rPr>
  </w:style>
  <w:style w:type="character" w:styleId="Hyperlink">
    <w:name w:val="Hyperlink"/>
    <w:basedOn w:val="DefaultParagraphFont"/>
    <w:uiPriority w:val="99"/>
    <w:rsid w:val="001F5EB1"/>
    <w:rPr>
      <w:rFonts w:cs="Times New Roman"/>
      <w:color w:val="0000FF"/>
      <w:u w:val="single"/>
    </w:rPr>
  </w:style>
  <w:style w:type="paragraph" w:customStyle="1" w:styleId="NormalSS">
    <w:name w:val="NormalSS"/>
    <w:basedOn w:val="Normal"/>
    <w:uiPriority w:val="99"/>
    <w:rsid w:val="001F5EB1"/>
    <w:pPr>
      <w:tabs>
        <w:tab w:val="left" w:pos="432"/>
      </w:tabs>
      <w:spacing w:after="0" w:line="240" w:lineRule="auto"/>
      <w:ind w:firstLine="432"/>
      <w:jc w:val="both"/>
    </w:pPr>
    <w:rPr>
      <w:rFonts w:eastAsia="Times New Roman"/>
      <w:szCs w:val="20"/>
    </w:rPr>
  </w:style>
  <w:style w:type="paragraph" w:customStyle="1" w:styleId="ColorfulList-Accent11">
    <w:name w:val="Colorful List - Accent 11"/>
    <w:basedOn w:val="Normal"/>
    <w:uiPriority w:val="99"/>
    <w:rsid w:val="001F5EB1"/>
    <w:pPr>
      <w:ind w:left="720"/>
    </w:pPr>
  </w:style>
  <w:style w:type="table" w:styleId="TableGrid">
    <w:name w:val="Table Grid"/>
    <w:basedOn w:val="TableNormal"/>
    <w:uiPriority w:val="99"/>
    <w:rsid w:val="001F5EB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_"/>
    <w:uiPriority w:val="99"/>
    <w:rsid w:val="001F5EB1"/>
    <w:pPr>
      <w:autoSpaceDE w:val="0"/>
      <w:autoSpaceDN w:val="0"/>
      <w:adjustRightInd w:val="0"/>
      <w:ind w:left="-1440"/>
    </w:pPr>
    <w:rPr>
      <w:rFonts w:eastAsia="Times New Roman"/>
      <w:sz w:val="24"/>
      <w:szCs w:val="24"/>
    </w:rPr>
  </w:style>
  <w:style w:type="paragraph" w:styleId="CommentText">
    <w:name w:val="annotation text"/>
    <w:basedOn w:val="Normal"/>
    <w:link w:val="CommentTextChar"/>
    <w:uiPriority w:val="99"/>
    <w:semiHidden/>
    <w:rsid w:val="001F5EB1"/>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locked/>
    <w:rsid w:val="001F5EB1"/>
    <w:rPr>
      <w:rFonts w:eastAsia="Times New Roman"/>
    </w:rPr>
  </w:style>
  <w:style w:type="character" w:styleId="CommentReference">
    <w:name w:val="annotation reference"/>
    <w:basedOn w:val="DefaultParagraphFont"/>
    <w:uiPriority w:val="99"/>
    <w:semiHidden/>
    <w:rsid w:val="001F5EB1"/>
    <w:rPr>
      <w:rFonts w:cs="Times New Roman"/>
      <w:sz w:val="16"/>
    </w:rPr>
  </w:style>
  <w:style w:type="paragraph" w:styleId="CommentSubject">
    <w:name w:val="annotation subject"/>
    <w:basedOn w:val="CommentText"/>
    <w:next w:val="CommentText"/>
    <w:link w:val="CommentSubjectChar"/>
    <w:uiPriority w:val="99"/>
    <w:semiHidden/>
    <w:rsid w:val="001F5EB1"/>
    <w:pPr>
      <w:spacing w:after="200" w:line="276" w:lineRule="auto"/>
    </w:pPr>
    <w:rPr>
      <w:b/>
      <w:bCs/>
    </w:rPr>
  </w:style>
  <w:style w:type="character" w:customStyle="1" w:styleId="CommentSubjectChar">
    <w:name w:val="Comment Subject Char"/>
    <w:basedOn w:val="CommentTextChar"/>
    <w:link w:val="CommentSubject"/>
    <w:uiPriority w:val="99"/>
    <w:semiHidden/>
    <w:locked/>
    <w:rsid w:val="001F5EB1"/>
    <w:rPr>
      <w:b/>
    </w:rPr>
  </w:style>
  <w:style w:type="paragraph" w:styleId="BalloonText">
    <w:name w:val="Balloon Text"/>
    <w:basedOn w:val="Normal"/>
    <w:link w:val="BalloonTextChar"/>
    <w:uiPriority w:val="99"/>
    <w:semiHidden/>
    <w:rsid w:val="001F5EB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F5EB1"/>
    <w:rPr>
      <w:rFonts w:ascii="Tahoma" w:hAnsi="Tahoma"/>
      <w:sz w:val="16"/>
    </w:rPr>
  </w:style>
  <w:style w:type="paragraph" w:customStyle="1" w:styleId="BulletLAST">
    <w:name w:val="Bullet (LAST)"/>
    <w:basedOn w:val="Normal"/>
    <w:next w:val="Normal"/>
    <w:uiPriority w:val="99"/>
    <w:rsid w:val="001F5EB1"/>
    <w:pPr>
      <w:tabs>
        <w:tab w:val="left" w:pos="360"/>
      </w:tabs>
      <w:spacing w:after="180" w:line="240" w:lineRule="auto"/>
      <w:ind w:left="792" w:right="360" w:hanging="360"/>
      <w:jc w:val="both"/>
    </w:pPr>
    <w:rPr>
      <w:rFonts w:eastAsia="Times New Roman"/>
    </w:rPr>
  </w:style>
  <w:style w:type="paragraph" w:customStyle="1" w:styleId="heading1text">
    <w:name w:val="heading 1 text"/>
    <w:basedOn w:val="Normal"/>
    <w:link w:val="heading1textChar"/>
    <w:uiPriority w:val="99"/>
    <w:rsid w:val="001F5EB1"/>
    <w:pPr>
      <w:spacing w:before="240" w:after="240" w:line="240" w:lineRule="auto"/>
    </w:pPr>
  </w:style>
  <w:style w:type="character" w:customStyle="1" w:styleId="heading1textChar">
    <w:name w:val="heading 1 text Char"/>
    <w:link w:val="heading1text"/>
    <w:uiPriority w:val="99"/>
    <w:locked/>
    <w:rsid w:val="001F5EB1"/>
    <w:rPr>
      <w:sz w:val="24"/>
      <w:lang w:val="en-US" w:eastAsia="en-US"/>
    </w:rPr>
  </w:style>
  <w:style w:type="paragraph" w:customStyle="1" w:styleId="ColorfulShading-Accent11">
    <w:name w:val="Colorful Shading - Accent 11"/>
    <w:hidden/>
    <w:uiPriority w:val="99"/>
    <w:semiHidden/>
    <w:rsid w:val="001F5EB1"/>
    <w:rPr>
      <w:sz w:val="24"/>
      <w:szCs w:val="24"/>
    </w:rPr>
  </w:style>
  <w:style w:type="paragraph" w:customStyle="1" w:styleId="aft-12">
    <w:name w:val="aft-12"/>
    <w:basedOn w:val="Normal"/>
    <w:uiPriority w:val="99"/>
    <w:rsid w:val="001F5EB1"/>
    <w:pPr>
      <w:spacing w:before="240" w:after="240" w:line="240" w:lineRule="auto"/>
      <w:ind w:firstLine="360"/>
    </w:pPr>
    <w:rPr>
      <w:rFonts w:eastAsia="Times New Roman"/>
      <w:sz w:val="22"/>
      <w:szCs w:val="20"/>
      <w:lang w:val="en-CA"/>
    </w:rPr>
  </w:style>
  <w:style w:type="paragraph" w:styleId="NoSpacing">
    <w:name w:val="No Spacing"/>
    <w:link w:val="NoSpacingChar"/>
    <w:uiPriority w:val="99"/>
    <w:qFormat/>
    <w:rsid w:val="001F5EB1"/>
    <w:rPr>
      <w:sz w:val="24"/>
      <w:szCs w:val="24"/>
    </w:rPr>
  </w:style>
  <w:style w:type="paragraph" w:styleId="Header">
    <w:name w:val="header"/>
    <w:basedOn w:val="Normal"/>
    <w:link w:val="HeaderChar"/>
    <w:uiPriority w:val="99"/>
    <w:rsid w:val="001F5EB1"/>
    <w:pPr>
      <w:tabs>
        <w:tab w:val="center" w:pos="4680"/>
        <w:tab w:val="right" w:pos="9360"/>
      </w:tabs>
    </w:pPr>
  </w:style>
  <w:style w:type="character" w:customStyle="1" w:styleId="HeaderChar">
    <w:name w:val="Header Char"/>
    <w:basedOn w:val="DefaultParagraphFont"/>
    <w:link w:val="Header"/>
    <w:uiPriority w:val="99"/>
    <w:semiHidden/>
    <w:locked/>
    <w:rsid w:val="001F5EB1"/>
    <w:rPr>
      <w:sz w:val="24"/>
    </w:rPr>
  </w:style>
  <w:style w:type="paragraph" w:styleId="Footer">
    <w:name w:val="footer"/>
    <w:basedOn w:val="Normal"/>
    <w:link w:val="FooterChar"/>
    <w:uiPriority w:val="99"/>
    <w:rsid w:val="001F5EB1"/>
    <w:pPr>
      <w:tabs>
        <w:tab w:val="center" w:pos="4680"/>
        <w:tab w:val="right" w:pos="9360"/>
      </w:tabs>
    </w:pPr>
  </w:style>
  <w:style w:type="character" w:customStyle="1" w:styleId="FooterChar">
    <w:name w:val="Footer Char"/>
    <w:basedOn w:val="DefaultParagraphFont"/>
    <w:link w:val="Footer"/>
    <w:uiPriority w:val="99"/>
    <w:locked/>
    <w:rsid w:val="001F5EB1"/>
    <w:rPr>
      <w:sz w:val="24"/>
    </w:rPr>
  </w:style>
  <w:style w:type="paragraph" w:styleId="FootnoteText">
    <w:name w:val="footnote text"/>
    <w:basedOn w:val="Normal"/>
    <w:link w:val="FootnoteTextChar"/>
    <w:uiPriority w:val="99"/>
    <w:semiHidden/>
    <w:rsid w:val="001F5EB1"/>
    <w:rPr>
      <w:sz w:val="20"/>
      <w:szCs w:val="20"/>
    </w:rPr>
  </w:style>
  <w:style w:type="character" w:customStyle="1" w:styleId="FootnoteTextChar">
    <w:name w:val="Footnote Text Char"/>
    <w:basedOn w:val="DefaultParagraphFont"/>
    <w:link w:val="FootnoteText"/>
    <w:uiPriority w:val="99"/>
    <w:semiHidden/>
    <w:locked/>
    <w:rsid w:val="001F5EB1"/>
    <w:rPr>
      <w:rFonts w:cs="Times New Roman"/>
    </w:rPr>
  </w:style>
  <w:style w:type="character" w:styleId="FootnoteReference">
    <w:name w:val="footnote reference"/>
    <w:basedOn w:val="DefaultParagraphFont"/>
    <w:uiPriority w:val="99"/>
    <w:semiHidden/>
    <w:rsid w:val="001F5EB1"/>
    <w:rPr>
      <w:rFonts w:cs="Times New Roman"/>
      <w:vertAlign w:val="superscript"/>
    </w:rPr>
  </w:style>
  <w:style w:type="paragraph" w:customStyle="1" w:styleId="sitetitle">
    <w:name w:val="sitetitle"/>
    <w:basedOn w:val="Normal"/>
    <w:uiPriority w:val="99"/>
    <w:rsid w:val="001F5EB1"/>
    <w:pPr>
      <w:spacing w:before="100" w:beforeAutospacing="1" w:after="100" w:afterAutospacing="1" w:line="240" w:lineRule="auto"/>
    </w:pPr>
    <w:rPr>
      <w:rFonts w:eastAsia="Times New Roman"/>
    </w:rPr>
  </w:style>
  <w:style w:type="character" w:customStyle="1" w:styleId="NoSpacingChar">
    <w:name w:val="No Spacing Char"/>
    <w:link w:val="NoSpacing"/>
    <w:uiPriority w:val="99"/>
    <w:locked/>
    <w:rsid w:val="001F5EB1"/>
    <w:rPr>
      <w:sz w:val="24"/>
      <w:lang w:val="en-US" w:eastAsia="en-US"/>
    </w:rPr>
  </w:style>
  <w:style w:type="character" w:customStyle="1" w:styleId="spelle">
    <w:name w:val="spelle"/>
    <w:basedOn w:val="DefaultParagraphFont"/>
    <w:uiPriority w:val="99"/>
    <w:rsid w:val="001F5EB1"/>
    <w:rPr>
      <w:rFonts w:cs="Times New Roman"/>
    </w:rPr>
  </w:style>
  <w:style w:type="character" w:customStyle="1" w:styleId="go">
    <w:name w:val="go"/>
    <w:basedOn w:val="DefaultParagraphFont"/>
    <w:uiPriority w:val="99"/>
    <w:rsid w:val="001F5EB1"/>
    <w:rPr>
      <w:rFonts w:cs="Times New Roman"/>
    </w:rPr>
  </w:style>
  <w:style w:type="character" w:styleId="PageNumber">
    <w:name w:val="page number"/>
    <w:basedOn w:val="DefaultParagraphFont"/>
    <w:uiPriority w:val="99"/>
    <w:rsid w:val="001F5EB1"/>
    <w:rPr>
      <w:rFonts w:cs="Times New Roman"/>
    </w:rPr>
  </w:style>
  <w:style w:type="paragraph" w:customStyle="1" w:styleId="ExhibitTitle">
    <w:name w:val="Exhibit Title"/>
    <w:uiPriority w:val="99"/>
    <w:rsid w:val="001F5EB1"/>
    <w:pPr>
      <w:keepNext/>
      <w:keepLines/>
      <w:spacing w:after="60"/>
      <w:ind w:left="1440" w:hanging="1440"/>
    </w:pPr>
    <w:rPr>
      <w:rFonts w:ascii="Arial" w:eastAsia="Times New Roman" w:hAnsi="Arial"/>
      <w:b/>
      <w:szCs w:val="20"/>
    </w:rPr>
  </w:style>
  <w:style w:type="paragraph" w:customStyle="1" w:styleId="TableHeaders">
    <w:name w:val="Table Headers"/>
    <w:basedOn w:val="Normal"/>
    <w:uiPriority w:val="99"/>
    <w:rsid w:val="001F5EB1"/>
    <w:pPr>
      <w:keepNext/>
      <w:spacing w:before="40" w:after="40" w:line="240" w:lineRule="auto"/>
      <w:jc w:val="center"/>
    </w:pPr>
    <w:rPr>
      <w:rFonts w:ascii="Arial" w:eastAsia="Times New Roman" w:hAnsi="Arial"/>
      <w:b/>
      <w:sz w:val="20"/>
      <w:szCs w:val="20"/>
    </w:rPr>
  </w:style>
  <w:style w:type="paragraph" w:customStyle="1" w:styleId="bodytextpsg">
    <w:name w:val="body text_psg"/>
    <w:basedOn w:val="Normal"/>
    <w:link w:val="bodytextpsgChar"/>
    <w:uiPriority w:val="99"/>
    <w:rsid w:val="001F5EB1"/>
    <w:pPr>
      <w:spacing w:after="240" w:line="240" w:lineRule="auto"/>
      <w:ind w:firstLine="360"/>
    </w:pPr>
    <w:rPr>
      <w:rFonts w:eastAsia="Batang"/>
      <w:sz w:val="22"/>
      <w:szCs w:val="22"/>
      <w:lang w:val="en-GB"/>
    </w:rPr>
  </w:style>
  <w:style w:type="character" w:customStyle="1" w:styleId="bodytextpsgChar">
    <w:name w:val="body text_psg Char"/>
    <w:link w:val="bodytextpsg"/>
    <w:uiPriority w:val="99"/>
    <w:locked/>
    <w:rsid w:val="001F5EB1"/>
    <w:rPr>
      <w:rFonts w:eastAsia="Batang"/>
      <w:sz w:val="22"/>
      <w:lang w:val="en-GB"/>
    </w:rPr>
  </w:style>
  <w:style w:type="paragraph" w:customStyle="1" w:styleId="bullets">
    <w:name w:val="bullets"/>
    <w:aliases w:val="bu"/>
    <w:basedOn w:val="Normal"/>
    <w:link w:val="bulletsChar"/>
    <w:uiPriority w:val="99"/>
    <w:rsid w:val="001F5EB1"/>
    <w:pPr>
      <w:numPr>
        <w:numId w:val="3"/>
      </w:numPr>
      <w:tabs>
        <w:tab w:val="clear" w:pos="720"/>
      </w:tabs>
      <w:spacing w:after="40" w:line="240" w:lineRule="auto"/>
    </w:pPr>
    <w:rPr>
      <w:rFonts w:eastAsia="Times New Roman"/>
      <w:bCs/>
      <w:iCs/>
      <w:sz w:val="22"/>
      <w:szCs w:val="20"/>
      <w:lang w:val="fr-FR"/>
    </w:rPr>
  </w:style>
  <w:style w:type="character" w:customStyle="1" w:styleId="bulletsChar">
    <w:name w:val="bullets Char"/>
    <w:aliases w:val="bu Char Char"/>
    <w:link w:val="bullets"/>
    <w:uiPriority w:val="99"/>
    <w:locked/>
    <w:rsid w:val="001F5EB1"/>
    <w:rPr>
      <w:rFonts w:eastAsia="Times New Roman"/>
      <w:sz w:val="22"/>
      <w:lang w:val="fr-FR"/>
    </w:rPr>
  </w:style>
  <w:style w:type="character" w:customStyle="1" w:styleId="BodyTextFi">
    <w:name w:val="Body Text Fi"/>
    <w:uiPriority w:val="99"/>
    <w:rsid w:val="001F5EB1"/>
  </w:style>
  <w:style w:type="paragraph" w:styleId="NormalWeb">
    <w:name w:val="Normal (Web)"/>
    <w:basedOn w:val="Normal"/>
    <w:uiPriority w:val="99"/>
    <w:semiHidden/>
    <w:rsid w:val="008B4C25"/>
    <w:pPr>
      <w:spacing w:before="100" w:beforeAutospacing="1" w:after="100" w:afterAutospacing="1" w:line="240" w:lineRule="auto"/>
    </w:pPr>
    <w:rPr>
      <w:rFonts w:eastAsia="Times New Roman"/>
    </w:rPr>
  </w:style>
  <w:style w:type="paragraph" w:styleId="BodyText">
    <w:name w:val="Body Text"/>
    <w:basedOn w:val="Normal"/>
    <w:link w:val="BodyTextChar"/>
    <w:uiPriority w:val="99"/>
    <w:rsid w:val="00B4542B"/>
    <w:pPr>
      <w:spacing w:after="120" w:line="240" w:lineRule="auto"/>
    </w:pPr>
    <w:rPr>
      <w:rFonts w:eastAsia="Times New Roman"/>
      <w:sz w:val="20"/>
      <w:szCs w:val="20"/>
    </w:rPr>
  </w:style>
  <w:style w:type="character" w:customStyle="1" w:styleId="BodyTextChar">
    <w:name w:val="Body Text Char"/>
    <w:basedOn w:val="DefaultParagraphFont"/>
    <w:link w:val="BodyText"/>
    <w:uiPriority w:val="99"/>
    <w:locked/>
    <w:rsid w:val="00B4542B"/>
    <w:rPr>
      <w:rFonts w:eastAsia="Times New Roman"/>
    </w:rPr>
  </w:style>
  <w:style w:type="paragraph" w:customStyle="1" w:styleId="BodyText1">
    <w:name w:val="Body Text1"/>
    <w:aliases w:val="bt,body tx,indent,flush"/>
    <w:basedOn w:val="Normal"/>
    <w:uiPriority w:val="99"/>
    <w:rsid w:val="007F2DAC"/>
    <w:pPr>
      <w:spacing w:after="240" w:line="360" w:lineRule="atLeast"/>
    </w:pPr>
    <w:rPr>
      <w:rFonts w:eastAsia="Times New Roman"/>
      <w:szCs w:val="20"/>
    </w:rPr>
  </w:style>
  <w:style w:type="paragraph" w:customStyle="1" w:styleId="bulletsnumbered">
    <w:name w:val="bullets_numbered"/>
    <w:basedOn w:val="bullets"/>
    <w:uiPriority w:val="99"/>
    <w:rsid w:val="007F2DAC"/>
    <w:pPr>
      <w:numPr>
        <w:numId w:val="5"/>
      </w:numPr>
      <w:spacing w:after="120"/>
    </w:pPr>
    <w:rPr>
      <w:bCs w:val="0"/>
      <w:iCs w:val="0"/>
      <w:sz w:val="24"/>
      <w:lang w:val="en-US"/>
    </w:rPr>
  </w:style>
  <w:style w:type="paragraph" w:customStyle="1" w:styleId="bulletsnumbered1stlevel">
    <w:name w:val="bullets_numbered 1st level"/>
    <w:basedOn w:val="bulletsnumbered"/>
    <w:uiPriority w:val="99"/>
    <w:rsid w:val="007F2DAC"/>
    <w:pPr>
      <w:ind w:left="1512"/>
    </w:pPr>
  </w:style>
  <w:style w:type="paragraph" w:styleId="ListParagraph">
    <w:name w:val="List Paragraph"/>
    <w:basedOn w:val="Normal"/>
    <w:uiPriority w:val="99"/>
    <w:qFormat/>
    <w:rsid w:val="00341373"/>
    <w:pPr>
      <w:ind w:left="720"/>
      <w:contextualSpacing/>
    </w:pPr>
  </w:style>
  <w:style w:type="paragraph" w:customStyle="1" w:styleId="NoSpacing1">
    <w:name w:val="No Spacing1"/>
    <w:uiPriority w:val="99"/>
    <w:rsid w:val="0010580B"/>
    <w:rPr>
      <w:sz w:val="24"/>
      <w:szCs w:val="24"/>
    </w:rPr>
  </w:style>
  <w:style w:type="paragraph" w:styleId="Revision">
    <w:name w:val="Revision"/>
    <w:hidden/>
    <w:uiPriority w:val="99"/>
    <w:semiHidden/>
    <w:rsid w:val="00FF4796"/>
    <w:rPr>
      <w:sz w:val="24"/>
      <w:szCs w:val="24"/>
    </w:rPr>
  </w:style>
</w:styles>
</file>

<file path=word/webSettings.xml><?xml version="1.0" encoding="utf-8"?>
<w:webSettings xmlns:r="http://schemas.openxmlformats.org/officeDocument/2006/relationships" xmlns:w="http://schemas.openxmlformats.org/wordprocessingml/2006/main">
  <w:divs>
    <w:div w:id="1902903837">
      <w:marLeft w:val="0"/>
      <w:marRight w:val="0"/>
      <w:marTop w:val="0"/>
      <w:marBottom w:val="0"/>
      <w:divBdr>
        <w:top w:val="none" w:sz="0" w:space="0" w:color="auto"/>
        <w:left w:val="none" w:sz="0" w:space="0" w:color="auto"/>
        <w:bottom w:val="none" w:sz="0" w:space="0" w:color="auto"/>
        <w:right w:val="none" w:sz="0" w:space="0" w:color="auto"/>
      </w:divBdr>
    </w:div>
    <w:div w:id="1902903838">
      <w:marLeft w:val="0"/>
      <w:marRight w:val="0"/>
      <w:marTop w:val="0"/>
      <w:marBottom w:val="0"/>
      <w:divBdr>
        <w:top w:val="none" w:sz="0" w:space="0" w:color="auto"/>
        <w:left w:val="none" w:sz="0" w:space="0" w:color="auto"/>
        <w:bottom w:val="none" w:sz="0" w:space="0" w:color="auto"/>
        <w:right w:val="none" w:sz="0" w:space="0" w:color="auto"/>
      </w:divBdr>
    </w:div>
    <w:div w:id="1902903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vonne.carroll@stjude.org" TargetMode="External"/><Relationship Id="rId13" Type="http://schemas.openxmlformats.org/officeDocument/2006/relationships/hyperlink" Target="mailto:rmcdonald@peds.uab.edu" TargetMode="External"/><Relationship Id="rId18" Type="http://schemas.openxmlformats.org/officeDocument/2006/relationships/hyperlink" Target="mailto:maguinaga@mmc.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Kviswana@brookdale.edu" TargetMode="External"/><Relationship Id="rId12" Type="http://schemas.openxmlformats.org/officeDocument/2006/relationships/hyperlink" Target="mailto:j_telfair@uncg.edu" TargetMode="External"/><Relationship Id="rId17" Type="http://schemas.openxmlformats.org/officeDocument/2006/relationships/hyperlink" Target="mailto:valerie.beckley@mgci.com" TargetMode="External"/><Relationship Id="rId2" Type="http://schemas.openxmlformats.org/officeDocument/2006/relationships/styles" Target="styles.xml"/><Relationship Id="rId16" Type="http://schemas.openxmlformats.org/officeDocument/2006/relationships/hyperlink" Target="mailto:aaghajanian@uncfsu.edu" TargetMode="External"/><Relationship Id="rId20" Type="http://schemas.openxmlformats.org/officeDocument/2006/relationships/hyperlink" Target="mailto:msullivan@rt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_spurlin@sicklecellatlaga.org" TargetMode="External"/><Relationship Id="rId5" Type="http://schemas.openxmlformats.org/officeDocument/2006/relationships/footnotes" Target="footnotes.xml"/><Relationship Id="rId15" Type="http://schemas.openxmlformats.org/officeDocument/2006/relationships/hyperlink" Target="mailto:klaastmd@aol.com" TargetMode="External"/><Relationship Id="rId23" Type="http://schemas.openxmlformats.org/officeDocument/2006/relationships/theme" Target="theme/theme1.xml"/><Relationship Id="rId10" Type="http://schemas.openxmlformats.org/officeDocument/2006/relationships/hyperlink" Target="mailto:nsg11@columbia.edu" TargetMode="External"/><Relationship Id="rId19" Type="http://schemas.openxmlformats.org/officeDocument/2006/relationships/hyperlink" Target="mailto:hassellk@nhlbi.nih.gov" TargetMode="External"/><Relationship Id="rId4" Type="http://schemas.openxmlformats.org/officeDocument/2006/relationships/webSettings" Target="webSettings.xml"/><Relationship Id="rId9" Type="http://schemas.openxmlformats.org/officeDocument/2006/relationships/hyperlink" Target="mailto:ljones@scdaamobile.org" TargetMode="External"/><Relationship Id="rId14" Type="http://schemas.openxmlformats.org/officeDocument/2006/relationships/hyperlink" Target="mailto:thomas.webb@uc.ed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dsql.org/about_pedsql.html" TargetMode="External"/><Relationship Id="rId1" Type="http://schemas.openxmlformats.org/officeDocument/2006/relationships/hyperlink" Target="http://www.rand.org/health/surveys_tools/mos/mos_core_36item.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6710</Words>
  <Characters>38251</Characters>
  <Application>Microsoft Office Word</Application>
  <DocSecurity>0</DocSecurity>
  <Lines>318</Lines>
  <Paragraphs>89</Paragraphs>
  <ScaleCrop>false</ScaleCrop>
  <Company>UNCG</Company>
  <LinksUpToDate>false</LinksUpToDate>
  <CharactersWithSpaces>44872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Resources and Services Administration/Maternal and Child Health Bureau</dc:title>
  <dc:creator>EDU</dc:creator>
  <cp:lastModifiedBy>bbarker</cp:lastModifiedBy>
  <cp:revision>2</cp:revision>
  <cp:lastPrinted>2011-03-16T13:05:00Z</cp:lastPrinted>
  <dcterms:created xsi:type="dcterms:W3CDTF">2011-12-12T21:33:00Z</dcterms:created>
  <dcterms:modified xsi:type="dcterms:W3CDTF">2011-12-12T21:33:00Z</dcterms:modified>
</cp:coreProperties>
</file>