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3E" w:rsidRPr="00A51DF8" w:rsidRDefault="00B05ACA" w:rsidP="000C0D3E">
      <w:pPr>
        <w:pStyle w:val="Heading2"/>
        <w:tabs>
          <w:tab w:val="left" w:pos="900"/>
        </w:tabs>
        <w:ind w:right="-180"/>
        <w:rPr>
          <w:rFonts w:asciiTheme="majorBidi" w:hAnsiTheme="majorBidi" w:cstheme="majorBidi"/>
        </w:rPr>
      </w:pPr>
      <w:r w:rsidRPr="00A51DF8">
        <w:rPr>
          <w:rFonts w:asciiTheme="majorBidi" w:hAnsiTheme="majorBidi" w:cstheme="majorBidi"/>
          <w:sz w:val="28"/>
        </w:rPr>
        <w:t>Request for Approval under the “Generic Clearance for the Collection of Routine Customer Feedback” (OMB Control Number: 0935-0179)</w:t>
      </w:r>
    </w:p>
    <w:p w:rsidR="00B05ACA" w:rsidRPr="006C2C23" w:rsidRDefault="00643138" w:rsidP="00A51DF8">
      <w:pPr>
        <w:rPr>
          <w:rFonts w:cstheme="majorBidi"/>
          <w:b/>
          <w:sz w:val="24"/>
          <w:szCs w:val="24"/>
        </w:rPr>
      </w:pPr>
      <w:r w:rsidRPr="00643138">
        <w:rPr>
          <w:rFonts w:asciiTheme="majorBidi" w:hAnsiTheme="majorBidi" w:cstheme="majorBidi"/>
          <w:b/>
          <w:noProof/>
          <w:sz w:val="24"/>
          <w:szCs w:val="24"/>
        </w:rPr>
        <w:pict>
          <v:line id="_x0000_s1026" style="position:absolute;z-index:251657216" from="0,0" to="468pt,0" o:allowincell="f" strokeweight="1.5pt"/>
        </w:pict>
      </w:r>
      <w:r w:rsidR="00B05ACA" w:rsidRPr="006C2C23">
        <w:rPr>
          <w:rFonts w:asciiTheme="majorBidi" w:hAnsiTheme="majorBidi" w:cstheme="majorBidi"/>
          <w:b/>
          <w:sz w:val="24"/>
          <w:szCs w:val="24"/>
        </w:rPr>
        <w:t>TITLE OF INFORMATION COLLECTION:</w:t>
      </w:r>
      <w:r w:rsidR="00B05ACA" w:rsidRPr="006C2C23">
        <w:rPr>
          <w:rFonts w:asciiTheme="majorBidi" w:hAnsiTheme="majorBidi" w:cstheme="majorBidi"/>
          <w:sz w:val="24"/>
          <w:szCs w:val="24"/>
        </w:rPr>
        <w:t xml:space="preserve">  </w:t>
      </w:r>
      <w:r w:rsidR="00AD030D" w:rsidRPr="006C2C23">
        <w:rPr>
          <w:rFonts w:cstheme="majorBidi"/>
          <w:sz w:val="24"/>
          <w:szCs w:val="24"/>
        </w:rPr>
        <w:t>Customer Satisfaction with Health IT Literacy Guide</w:t>
      </w:r>
      <w:r w:rsidR="000C0D3E" w:rsidRPr="006C2C23">
        <w:rPr>
          <w:rFonts w:cstheme="majorBidi"/>
          <w:sz w:val="24"/>
          <w:szCs w:val="24"/>
        </w:rPr>
        <w:t xml:space="preserve"> </w:t>
      </w:r>
    </w:p>
    <w:p w:rsidR="00DE17C0" w:rsidRDefault="00DE17C0" w:rsidP="001A552F">
      <w:pPr>
        <w:pStyle w:val="bodytext"/>
        <w:rPr>
          <w:rFonts w:asciiTheme="majorBidi" w:hAnsiTheme="majorBidi" w:cstheme="majorBidi"/>
          <w:b/>
          <w:szCs w:val="24"/>
        </w:rPr>
      </w:pPr>
    </w:p>
    <w:p w:rsidR="00A51DF8" w:rsidRDefault="00B05ACA" w:rsidP="001A552F">
      <w:pPr>
        <w:pStyle w:val="bodytext"/>
        <w:rPr>
          <w:rFonts w:asciiTheme="majorBidi" w:hAnsiTheme="majorBidi" w:cstheme="majorBidi"/>
          <w:b/>
          <w:szCs w:val="24"/>
        </w:rPr>
      </w:pPr>
      <w:r w:rsidRPr="00A51DF8">
        <w:rPr>
          <w:rFonts w:asciiTheme="majorBidi" w:hAnsiTheme="majorBidi" w:cstheme="majorBidi"/>
          <w:b/>
          <w:szCs w:val="24"/>
        </w:rPr>
        <w:t xml:space="preserve">PURPOSE:  </w:t>
      </w:r>
    </w:p>
    <w:p w:rsidR="00DF44CD" w:rsidRDefault="004826CE">
      <w:pPr>
        <w:tabs>
          <w:tab w:val="left" w:pos="360"/>
        </w:tabs>
        <w:spacing w:line="240" w:lineRule="auto"/>
        <w:rPr>
          <w:sz w:val="24"/>
          <w:szCs w:val="24"/>
        </w:rPr>
      </w:pPr>
      <w:r w:rsidRPr="005075D1">
        <w:rPr>
          <w:sz w:val="24"/>
          <w:szCs w:val="24"/>
        </w:rPr>
        <w:t xml:space="preserve">The Agency for Healthcare Research and Quality (AHRQ) is a lead Federal agency in developing and disseminating evidence and evidence-based tools on how health </w:t>
      </w:r>
      <w:r w:rsidR="00A279C4">
        <w:rPr>
          <w:sz w:val="24"/>
          <w:szCs w:val="24"/>
        </w:rPr>
        <w:t>information technology (</w:t>
      </w:r>
      <w:r w:rsidRPr="005075D1">
        <w:rPr>
          <w:sz w:val="24"/>
          <w:szCs w:val="24"/>
        </w:rPr>
        <w:t>IT</w:t>
      </w:r>
      <w:r w:rsidR="00A279C4">
        <w:rPr>
          <w:sz w:val="24"/>
          <w:szCs w:val="24"/>
        </w:rPr>
        <w:t>)</w:t>
      </w:r>
      <w:r w:rsidRPr="005075D1">
        <w:rPr>
          <w:sz w:val="24"/>
          <w:szCs w:val="24"/>
        </w:rPr>
        <w:t xml:space="preserve"> can improve health care quality, safety, efficiency, and effectiveness. </w:t>
      </w:r>
    </w:p>
    <w:p w:rsidR="00DF44CD" w:rsidRDefault="004826CE">
      <w:pPr>
        <w:pStyle w:val="bodytext"/>
        <w:spacing w:line="240" w:lineRule="auto"/>
        <w:rPr>
          <w:rFonts w:asciiTheme="minorHAnsi" w:hAnsiTheme="minorHAnsi"/>
          <w:szCs w:val="24"/>
        </w:rPr>
      </w:pPr>
      <w:r w:rsidRPr="005075D1">
        <w:rPr>
          <w:rFonts w:asciiTheme="minorHAnsi" w:hAnsiTheme="minorHAnsi"/>
          <w:szCs w:val="24"/>
        </w:rPr>
        <w:t xml:space="preserve">In support of </w:t>
      </w:r>
      <w:r w:rsidR="00334AE3">
        <w:rPr>
          <w:rFonts w:asciiTheme="minorHAnsi" w:hAnsiTheme="minorHAnsi"/>
          <w:szCs w:val="24"/>
        </w:rPr>
        <w:t>its</w:t>
      </w:r>
      <w:r w:rsidR="00334AE3" w:rsidRPr="005075D1">
        <w:rPr>
          <w:rFonts w:asciiTheme="minorHAnsi" w:hAnsiTheme="minorHAnsi"/>
          <w:szCs w:val="24"/>
        </w:rPr>
        <w:t xml:space="preserve"> </w:t>
      </w:r>
      <w:r w:rsidRPr="005075D1">
        <w:rPr>
          <w:rFonts w:asciiTheme="minorHAnsi" w:hAnsiTheme="minorHAnsi"/>
          <w:szCs w:val="24"/>
        </w:rPr>
        <w:t>health IT initiative, AHRQ developed the National Resource Center (NRC) for Health IT Web site. This site contains a range of information and evidence-based tools that support the health IT initiative’s work and aims.</w:t>
      </w:r>
    </w:p>
    <w:p w:rsidR="00DF44CD" w:rsidRDefault="00A45FEA">
      <w:pPr>
        <w:pStyle w:val="bodytextpsg"/>
        <w:spacing w:line="240" w:lineRule="auto"/>
        <w:ind w:firstLine="0"/>
        <w:rPr>
          <w:rFonts w:asciiTheme="minorHAnsi" w:hAnsiTheme="minorHAnsi"/>
          <w:sz w:val="24"/>
          <w:szCs w:val="24"/>
        </w:rPr>
      </w:pPr>
      <w:r w:rsidRPr="006800D3">
        <w:rPr>
          <w:rFonts w:asciiTheme="minorHAnsi" w:hAnsiTheme="minorHAnsi" w:cs="Arial"/>
          <w:sz w:val="24"/>
          <w:szCs w:val="24"/>
        </w:rPr>
        <w:t>With this project</w:t>
      </w:r>
      <w:r w:rsidR="00334AE3">
        <w:rPr>
          <w:rFonts w:asciiTheme="minorHAnsi" w:hAnsiTheme="minorHAnsi" w:cs="Arial"/>
          <w:sz w:val="24"/>
          <w:szCs w:val="24"/>
        </w:rPr>
        <w:t>,</w:t>
      </w:r>
      <w:r w:rsidRPr="006800D3">
        <w:rPr>
          <w:rFonts w:asciiTheme="minorHAnsi" w:hAnsiTheme="minorHAnsi" w:cs="Arial"/>
          <w:sz w:val="24"/>
          <w:szCs w:val="24"/>
        </w:rPr>
        <w:t xml:space="preserve"> AHRQ is collecting feedback regarding the tools available on the </w:t>
      </w:r>
      <w:r w:rsidR="005B5EF5">
        <w:rPr>
          <w:rFonts w:asciiTheme="minorHAnsi" w:hAnsiTheme="minorHAnsi" w:cs="Arial"/>
          <w:sz w:val="24"/>
          <w:szCs w:val="24"/>
        </w:rPr>
        <w:t>W</w:t>
      </w:r>
      <w:r w:rsidR="005B5EF5" w:rsidRPr="006800D3">
        <w:rPr>
          <w:rFonts w:asciiTheme="minorHAnsi" w:hAnsiTheme="minorHAnsi" w:cs="Arial"/>
          <w:sz w:val="24"/>
          <w:szCs w:val="24"/>
        </w:rPr>
        <w:t xml:space="preserve">eb </w:t>
      </w:r>
      <w:r w:rsidRPr="006800D3">
        <w:rPr>
          <w:rFonts w:asciiTheme="minorHAnsi" w:hAnsiTheme="minorHAnsi" w:cs="Arial"/>
          <w:sz w:val="24"/>
          <w:szCs w:val="24"/>
        </w:rPr>
        <w:t xml:space="preserve">site. The purpose of this project is to gather qualitative feedback </w:t>
      </w:r>
      <w:r w:rsidR="00A279C4">
        <w:rPr>
          <w:rFonts w:asciiTheme="minorHAnsi" w:hAnsiTheme="minorHAnsi" w:cs="Arial"/>
          <w:sz w:val="24"/>
          <w:szCs w:val="24"/>
        </w:rPr>
        <w:t xml:space="preserve">for </w:t>
      </w:r>
      <w:r w:rsidRPr="006800D3">
        <w:rPr>
          <w:rFonts w:asciiTheme="minorHAnsi" w:hAnsiTheme="minorHAnsi" w:cs="Arial"/>
          <w:sz w:val="24"/>
          <w:szCs w:val="24"/>
        </w:rPr>
        <w:t xml:space="preserve">one of the tools available on the NRC site: the Health IT Literacy Guide. </w:t>
      </w:r>
      <w:r w:rsidR="006800D3" w:rsidRPr="006800D3">
        <w:rPr>
          <w:rFonts w:asciiTheme="minorHAnsi" w:hAnsiTheme="minorHAnsi"/>
          <w:sz w:val="24"/>
          <w:szCs w:val="24"/>
        </w:rPr>
        <w:t xml:space="preserve">Published in 2007, the guide </w:t>
      </w:r>
      <w:r w:rsidR="006800D3">
        <w:rPr>
          <w:rFonts w:asciiTheme="minorHAnsi" w:hAnsiTheme="minorHAnsi"/>
          <w:sz w:val="24"/>
          <w:szCs w:val="24"/>
        </w:rPr>
        <w:t xml:space="preserve">is intended to </w:t>
      </w:r>
      <w:r w:rsidR="006800D3" w:rsidRPr="006800D3">
        <w:rPr>
          <w:rFonts w:asciiTheme="minorHAnsi" w:hAnsiTheme="minorHAnsi"/>
          <w:sz w:val="24"/>
          <w:szCs w:val="24"/>
        </w:rPr>
        <w:t>promote</w:t>
      </w:r>
      <w:r w:rsidR="006800D3">
        <w:rPr>
          <w:rFonts w:asciiTheme="minorHAnsi" w:hAnsiTheme="minorHAnsi"/>
          <w:sz w:val="24"/>
          <w:szCs w:val="24"/>
        </w:rPr>
        <w:t xml:space="preserve"> </w:t>
      </w:r>
      <w:r w:rsidR="006800D3" w:rsidRPr="006800D3">
        <w:rPr>
          <w:rFonts w:asciiTheme="minorHAnsi" w:hAnsiTheme="minorHAnsi"/>
          <w:sz w:val="24"/>
          <w:szCs w:val="24"/>
        </w:rPr>
        <w:t xml:space="preserve">the use of “accessible software design” principles and design for limited literacy adults, featuring principles of accessible and usable health IT, a listing of Web resources addressing many related topics, and a “checklist” to help assess whether a system adheres to important accessibility and limited-literacy design principles. </w:t>
      </w:r>
    </w:p>
    <w:p w:rsidR="00DF44CD" w:rsidRDefault="00334AE3">
      <w:pPr>
        <w:pStyle w:val="bodytext"/>
        <w:spacing w:line="240" w:lineRule="auto"/>
        <w:rPr>
          <w:rFonts w:asciiTheme="minorHAnsi" w:hAnsiTheme="minorHAnsi" w:cs="Arial"/>
          <w:szCs w:val="24"/>
        </w:rPr>
      </w:pPr>
      <w:r>
        <w:rPr>
          <w:rFonts w:asciiTheme="minorHAnsi" w:hAnsiTheme="minorHAnsi" w:cs="Arial"/>
          <w:szCs w:val="24"/>
        </w:rPr>
        <w:br/>
      </w:r>
      <w:r w:rsidR="004826CE" w:rsidRPr="005075D1">
        <w:rPr>
          <w:rFonts w:asciiTheme="minorHAnsi" w:hAnsiTheme="minorHAnsi" w:cs="Arial"/>
          <w:szCs w:val="24"/>
        </w:rPr>
        <w:t>The goals of the project are to: (1) determine how useful and easy to use the Health IT Literacy Guide is for its intended audiences and (2) to provide specific recommendations for revising it, including how the</w:t>
      </w:r>
      <w:r>
        <w:rPr>
          <w:rFonts w:asciiTheme="minorHAnsi" w:hAnsiTheme="minorHAnsi" w:cs="Arial"/>
          <w:szCs w:val="24"/>
        </w:rPr>
        <w:t xml:space="preserve"> recommended</w:t>
      </w:r>
      <w:r w:rsidR="004826CE" w:rsidRPr="005075D1">
        <w:rPr>
          <w:rFonts w:asciiTheme="minorHAnsi" w:hAnsiTheme="minorHAnsi" w:cs="Arial"/>
          <w:szCs w:val="24"/>
        </w:rPr>
        <w:t xml:space="preserve"> changes should be implemented</w:t>
      </w:r>
      <w:r w:rsidR="00916B3B" w:rsidRPr="005075D1">
        <w:rPr>
          <w:rFonts w:asciiTheme="minorHAnsi" w:hAnsiTheme="minorHAnsi" w:cs="Arial"/>
          <w:szCs w:val="24"/>
        </w:rPr>
        <w:t>, how the Guide should be maintained, and whether the tool should be kept at all</w:t>
      </w:r>
      <w:r w:rsidR="00CF211A" w:rsidRPr="005075D1">
        <w:rPr>
          <w:rFonts w:asciiTheme="minorHAnsi" w:hAnsiTheme="minorHAnsi" w:cs="Arial"/>
          <w:szCs w:val="24"/>
        </w:rPr>
        <w:t xml:space="preserve"> on the site.</w:t>
      </w:r>
    </w:p>
    <w:p w:rsidR="00DF44CD" w:rsidRDefault="00A45FEA">
      <w:pPr>
        <w:pStyle w:val="bodytext"/>
        <w:spacing w:line="240" w:lineRule="auto"/>
        <w:rPr>
          <w:rFonts w:asciiTheme="minorHAnsi" w:hAnsiTheme="minorHAnsi" w:cs="Arial"/>
        </w:rPr>
      </w:pPr>
      <w:r w:rsidRPr="005075D1">
        <w:rPr>
          <w:rFonts w:asciiTheme="minorHAnsi" w:hAnsiTheme="minorHAnsi" w:cs="Arial"/>
        </w:rPr>
        <w:t xml:space="preserve">To achieve these goals AHRQ will conduct seven (7) focus group discussions of </w:t>
      </w:r>
      <w:r w:rsidR="006800D3">
        <w:rPr>
          <w:rFonts w:asciiTheme="minorHAnsi" w:hAnsiTheme="minorHAnsi" w:cs="Arial"/>
        </w:rPr>
        <w:t>8</w:t>
      </w:r>
      <w:r w:rsidRPr="005075D1">
        <w:rPr>
          <w:rFonts w:asciiTheme="minorHAnsi" w:hAnsiTheme="minorHAnsi" w:cs="Arial"/>
        </w:rPr>
        <w:t xml:space="preserve"> to </w:t>
      </w:r>
      <w:r w:rsidR="006800D3">
        <w:rPr>
          <w:rFonts w:asciiTheme="minorHAnsi" w:hAnsiTheme="minorHAnsi" w:cs="Arial"/>
        </w:rPr>
        <w:t>10</w:t>
      </w:r>
      <w:r w:rsidRPr="005075D1">
        <w:rPr>
          <w:rFonts w:asciiTheme="minorHAnsi" w:hAnsiTheme="minorHAnsi" w:cs="Arial"/>
        </w:rPr>
        <w:t xml:space="preserve"> participants</w:t>
      </w:r>
      <w:r w:rsidR="006F6535">
        <w:rPr>
          <w:rFonts w:asciiTheme="minorHAnsi" w:hAnsiTheme="minorHAnsi" w:cs="Arial"/>
        </w:rPr>
        <w:t xml:space="preserve"> </w:t>
      </w:r>
      <w:r w:rsidR="006F6535" w:rsidRPr="00A470C4">
        <w:rPr>
          <w:rFonts w:asciiTheme="minorHAnsi" w:hAnsiTheme="minorHAnsi" w:cs="Arial"/>
        </w:rPr>
        <w:t>(see Attachment A for the</w:t>
      </w:r>
      <w:r w:rsidR="000F6207" w:rsidRPr="000F6207">
        <w:rPr>
          <w:rFonts w:asciiTheme="minorHAnsi" w:hAnsiTheme="minorHAnsi"/>
        </w:rPr>
        <w:t xml:space="preserve"> Focus Group Moderator Guide)</w:t>
      </w:r>
      <w:r w:rsidRPr="005075D1">
        <w:rPr>
          <w:rFonts w:asciiTheme="minorHAnsi" w:hAnsiTheme="minorHAnsi" w:cs="Arial"/>
        </w:rPr>
        <w:t xml:space="preserve">.  </w:t>
      </w:r>
      <w:r w:rsidR="006800D3">
        <w:rPr>
          <w:rFonts w:asciiTheme="minorHAnsi" w:hAnsiTheme="minorHAnsi" w:cs="Arial"/>
        </w:rPr>
        <w:t xml:space="preserve">Segmentation of the groups </w:t>
      </w:r>
      <w:r w:rsidR="00520C1C">
        <w:rPr>
          <w:rFonts w:asciiTheme="minorHAnsi" w:hAnsiTheme="minorHAnsi" w:cs="Arial"/>
        </w:rPr>
        <w:t>is</w:t>
      </w:r>
      <w:r w:rsidR="006800D3">
        <w:rPr>
          <w:rFonts w:asciiTheme="minorHAnsi" w:hAnsiTheme="minorHAnsi" w:cs="Arial"/>
        </w:rPr>
        <w:t xml:space="preserve"> presented in Table 1, below.</w:t>
      </w:r>
      <w:r w:rsidR="00520C1C">
        <w:rPr>
          <w:rFonts w:asciiTheme="minorHAnsi" w:hAnsiTheme="minorHAnsi" w:cs="Arial"/>
        </w:rPr>
        <w:t xml:space="preserve"> Participants will be assigned to groups based on segment, geographic location, and schedule.</w:t>
      </w:r>
    </w:p>
    <w:p w:rsidR="00DF44CD" w:rsidRDefault="006800D3">
      <w:pPr>
        <w:pStyle w:val="HeadingOMB2"/>
        <w:rPr>
          <w:rFonts w:asciiTheme="minorHAnsi" w:hAnsiTheme="minorHAnsi" w:cs="Arial"/>
          <w:bCs w:val="0"/>
          <w:i w:val="0"/>
        </w:rPr>
      </w:pPr>
      <w:r w:rsidRPr="006800D3">
        <w:rPr>
          <w:rFonts w:asciiTheme="minorHAnsi" w:hAnsiTheme="minorHAnsi" w:cs="Arial"/>
          <w:bCs w:val="0"/>
          <w:i w:val="0"/>
        </w:rPr>
        <w:t>Table 1: Proposed Focus Group Segmentation</w:t>
      </w:r>
      <w:r w:rsidR="00520C1C">
        <w:rPr>
          <w:rFonts w:asciiTheme="minorHAnsi" w:hAnsiTheme="minorHAnsi" w:cs="Arial"/>
          <w:bCs w:val="0"/>
          <w:i w:val="0"/>
        </w:rPr>
        <w:t xml:space="preserve"> (n=7)</w:t>
      </w:r>
    </w:p>
    <w:tbl>
      <w:tblPr>
        <w:tblStyle w:val="TableGrid"/>
        <w:tblW w:w="0" w:type="auto"/>
        <w:tblLayout w:type="fixed"/>
        <w:tblLook w:val="04A0"/>
      </w:tblPr>
      <w:tblGrid>
        <w:gridCol w:w="2538"/>
        <w:gridCol w:w="2880"/>
        <w:gridCol w:w="3690"/>
      </w:tblGrid>
      <w:tr w:rsidR="006800D3" w:rsidRPr="006800D3" w:rsidTr="00520C1C">
        <w:trPr>
          <w:trHeight w:val="773"/>
        </w:trPr>
        <w:tc>
          <w:tcPr>
            <w:tcW w:w="2538" w:type="dxa"/>
            <w:shd w:val="pct12" w:color="auto" w:fill="auto"/>
          </w:tcPr>
          <w:p w:rsidR="00DF44CD" w:rsidRDefault="006800D3">
            <w:pPr>
              <w:pStyle w:val="HeadingOMB2"/>
              <w:jc w:val="center"/>
              <w:rPr>
                <w:rFonts w:asciiTheme="minorHAnsi" w:hAnsiTheme="minorHAnsi" w:cs="Arial"/>
                <w:bCs w:val="0"/>
                <w:i w:val="0"/>
              </w:rPr>
            </w:pPr>
            <w:r w:rsidRPr="006800D3">
              <w:rPr>
                <w:rFonts w:asciiTheme="minorHAnsi" w:hAnsiTheme="minorHAnsi" w:cs="Arial"/>
                <w:bCs w:val="0"/>
                <w:i w:val="0"/>
              </w:rPr>
              <w:t>Segment</w:t>
            </w:r>
          </w:p>
        </w:tc>
        <w:tc>
          <w:tcPr>
            <w:tcW w:w="2880" w:type="dxa"/>
            <w:shd w:val="pct12" w:color="auto" w:fill="auto"/>
          </w:tcPr>
          <w:p w:rsidR="00DF44CD" w:rsidRDefault="006800D3">
            <w:pPr>
              <w:pStyle w:val="HeadingOMB2"/>
              <w:jc w:val="center"/>
              <w:rPr>
                <w:rFonts w:asciiTheme="minorHAnsi" w:hAnsiTheme="minorHAnsi" w:cs="Arial"/>
                <w:bCs w:val="0"/>
                <w:i w:val="0"/>
              </w:rPr>
            </w:pPr>
            <w:r w:rsidRPr="006800D3">
              <w:rPr>
                <w:rFonts w:asciiTheme="minorHAnsi" w:hAnsiTheme="minorHAnsi" w:cs="Arial"/>
                <w:bCs w:val="0"/>
                <w:i w:val="0"/>
              </w:rPr>
              <w:t>Number of Groups</w:t>
            </w:r>
          </w:p>
        </w:tc>
        <w:tc>
          <w:tcPr>
            <w:tcW w:w="3690" w:type="dxa"/>
            <w:shd w:val="pct12" w:color="auto" w:fill="auto"/>
          </w:tcPr>
          <w:p w:rsidR="00DF44CD" w:rsidRDefault="006800D3">
            <w:pPr>
              <w:pStyle w:val="HeadingOMB2"/>
              <w:jc w:val="center"/>
              <w:rPr>
                <w:rFonts w:asciiTheme="minorHAnsi" w:hAnsiTheme="minorHAnsi" w:cs="Arial"/>
                <w:bCs w:val="0"/>
                <w:i w:val="0"/>
              </w:rPr>
            </w:pPr>
            <w:r w:rsidRPr="006800D3">
              <w:rPr>
                <w:rFonts w:asciiTheme="minorHAnsi" w:hAnsiTheme="minorHAnsi" w:cs="Arial"/>
                <w:bCs w:val="0"/>
                <w:i w:val="0"/>
              </w:rPr>
              <w:t>Proposed Data Collection Method</w:t>
            </w:r>
            <w:r w:rsidR="00520C1C" w:rsidRPr="00520C1C">
              <w:rPr>
                <w:rFonts w:asciiTheme="minorHAnsi" w:hAnsiTheme="minorHAnsi" w:cs="Arial"/>
                <w:bCs w:val="0"/>
                <w:i w:val="0"/>
              </w:rPr>
              <w:t>*</w:t>
            </w:r>
          </w:p>
        </w:tc>
      </w:tr>
      <w:tr w:rsidR="006800D3" w:rsidTr="006800D3">
        <w:tc>
          <w:tcPr>
            <w:tcW w:w="2538" w:type="dxa"/>
          </w:tcPr>
          <w:p w:rsidR="00DF44CD" w:rsidRDefault="006800D3" w:rsidP="00334AE3">
            <w:pPr>
              <w:pStyle w:val="HeadingOMB2"/>
              <w:rPr>
                <w:rFonts w:asciiTheme="minorHAnsi" w:hAnsiTheme="minorHAnsi" w:cs="Arial"/>
                <w:b w:val="0"/>
                <w:i w:val="0"/>
              </w:rPr>
            </w:pPr>
            <w:r>
              <w:rPr>
                <w:rFonts w:asciiTheme="minorHAnsi" w:hAnsiTheme="minorHAnsi" w:cs="Arial"/>
                <w:b w:val="0"/>
                <w:i w:val="0"/>
              </w:rPr>
              <w:t>Developers</w:t>
            </w:r>
          </w:p>
        </w:tc>
        <w:tc>
          <w:tcPr>
            <w:tcW w:w="2880" w:type="dxa"/>
          </w:tcPr>
          <w:p w:rsidR="00AE77B0" w:rsidRDefault="00520C1C" w:rsidP="00AE77B0">
            <w:pPr>
              <w:pStyle w:val="HeadingOMB2"/>
              <w:jc w:val="center"/>
              <w:rPr>
                <w:rFonts w:asciiTheme="minorHAnsi" w:hAnsiTheme="minorHAnsi" w:cs="Arial"/>
                <w:b w:val="0"/>
                <w:i w:val="0"/>
              </w:rPr>
            </w:pPr>
            <w:r>
              <w:rPr>
                <w:rFonts w:asciiTheme="minorHAnsi" w:hAnsiTheme="minorHAnsi" w:cs="Arial"/>
                <w:b w:val="0"/>
                <w:i w:val="0"/>
              </w:rPr>
              <w:t>4</w:t>
            </w:r>
          </w:p>
        </w:tc>
        <w:tc>
          <w:tcPr>
            <w:tcW w:w="3690" w:type="dxa"/>
          </w:tcPr>
          <w:p w:rsidR="00DF44CD" w:rsidRDefault="00520C1C">
            <w:pPr>
              <w:pStyle w:val="HeadingOMB2"/>
              <w:rPr>
                <w:rFonts w:asciiTheme="minorHAnsi" w:hAnsiTheme="minorHAnsi" w:cs="Arial"/>
                <w:b w:val="0"/>
                <w:i w:val="0"/>
              </w:rPr>
            </w:pPr>
            <w:r>
              <w:rPr>
                <w:rFonts w:asciiTheme="minorHAnsi" w:hAnsiTheme="minorHAnsi" w:cs="Arial"/>
                <w:b w:val="0"/>
                <w:i w:val="0"/>
              </w:rPr>
              <w:t>3 in-person, 1 online using WebEx or similar technology</w:t>
            </w:r>
          </w:p>
        </w:tc>
      </w:tr>
      <w:tr w:rsidR="006800D3" w:rsidTr="006800D3">
        <w:tc>
          <w:tcPr>
            <w:tcW w:w="2538" w:type="dxa"/>
          </w:tcPr>
          <w:p w:rsidR="00DF44CD" w:rsidRDefault="006800D3">
            <w:pPr>
              <w:pStyle w:val="HeadingOMB2"/>
              <w:rPr>
                <w:rFonts w:asciiTheme="minorHAnsi" w:hAnsiTheme="minorHAnsi" w:cs="Arial"/>
                <w:b w:val="0"/>
                <w:i w:val="0"/>
              </w:rPr>
            </w:pPr>
            <w:r>
              <w:rPr>
                <w:rFonts w:asciiTheme="minorHAnsi" w:hAnsiTheme="minorHAnsi" w:cs="Arial"/>
                <w:b w:val="0"/>
                <w:i w:val="0"/>
              </w:rPr>
              <w:t>Purchasers</w:t>
            </w:r>
          </w:p>
        </w:tc>
        <w:tc>
          <w:tcPr>
            <w:tcW w:w="2880" w:type="dxa"/>
          </w:tcPr>
          <w:p w:rsidR="00AE77B0" w:rsidRDefault="00520C1C" w:rsidP="00AE77B0">
            <w:pPr>
              <w:pStyle w:val="HeadingOMB2"/>
              <w:jc w:val="center"/>
              <w:rPr>
                <w:rFonts w:asciiTheme="minorHAnsi" w:hAnsiTheme="minorHAnsi" w:cs="Arial"/>
                <w:b w:val="0"/>
                <w:i w:val="0"/>
              </w:rPr>
            </w:pPr>
            <w:r>
              <w:rPr>
                <w:rFonts w:asciiTheme="minorHAnsi" w:hAnsiTheme="minorHAnsi" w:cs="Arial"/>
                <w:b w:val="0"/>
                <w:i w:val="0"/>
              </w:rPr>
              <w:t>3</w:t>
            </w:r>
          </w:p>
        </w:tc>
        <w:tc>
          <w:tcPr>
            <w:tcW w:w="3690" w:type="dxa"/>
          </w:tcPr>
          <w:p w:rsidR="00DF44CD" w:rsidRDefault="00520C1C">
            <w:pPr>
              <w:pStyle w:val="HeadingOMB2"/>
              <w:rPr>
                <w:rFonts w:asciiTheme="minorHAnsi" w:hAnsiTheme="minorHAnsi" w:cs="Arial"/>
                <w:b w:val="0"/>
                <w:i w:val="0"/>
              </w:rPr>
            </w:pPr>
            <w:r>
              <w:rPr>
                <w:rFonts w:asciiTheme="minorHAnsi" w:hAnsiTheme="minorHAnsi" w:cs="Arial"/>
                <w:b w:val="0"/>
                <w:i w:val="0"/>
              </w:rPr>
              <w:t>2 in</w:t>
            </w:r>
            <w:r w:rsidR="00A279C4">
              <w:rPr>
                <w:rFonts w:asciiTheme="minorHAnsi" w:hAnsiTheme="minorHAnsi" w:cs="Arial"/>
                <w:b w:val="0"/>
                <w:i w:val="0"/>
              </w:rPr>
              <w:t>-</w:t>
            </w:r>
            <w:r>
              <w:rPr>
                <w:rFonts w:asciiTheme="minorHAnsi" w:hAnsiTheme="minorHAnsi" w:cs="Arial"/>
                <w:b w:val="0"/>
                <w:i w:val="0"/>
              </w:rPr>
              <w:t>person, 1 online using WebEx or similar technology</w:t>
            </w:r>
          </w:p>
        </w:tc>
      </w:tr>
    </w:tbl>
    <w:p w:rsidR="00DF44CD" w:rsidRDefault="00520C1C">
      <w:pPr>
        <w:pStyle w:val="HeadingOMB2"/>
        <w:rPr>
          <w:rFonts w:asciiTheme="minorHAnsi" w:hAnsiTheme="minorHAnsi" w:cs="Arial"/>
          <w:b w:val="0"/>
          <w:i w:val="0"/>
        </w:rPr>
      </w:pPr>
      <w:r>
        <w:rPr>
          <w:rFonts w:asciiTheme="minorHAnsi" w:hAnsiTheme="minorHAnsi" w:cs="Arial"/>
          <w:b w:val="0"/>
          <w:i w:val="0"/>
        </w:rPr>
        <w:t xml:space="preserve">* Proposed data collection methods may change given logistics and scheduling. </w:t>
      </w:r>
    </w:p>
    <w:p w:rsidR="00DF44CD" w:rsidRDefault="00DF44CD">
      <w:pPr>
        <w:pStyle w:val="HeadingOMB2"/>
        <w:rPr>
          <w:rFonts w:asciiTheme="minorHAnsi" w:hAnsiTheme="minorHAnsi"/>
          <w:b w:val="0"/>
          <w:i w:val="0"/>
        </w:rPr>
      </w:pPr>
    </w:p>
    <w:p w:rsidR="00DF44CD" w:rsidRDefault="00751BE8">
      <w:pPr>
        <w:pStyle w:val="bodytext"/>
        <w:spacing w:line="240" w:lineRule="auto"/>
        <w:rPr>
          <w:rFonts w:asciiTheme="minorHAnsi" w:hAnsiTheme="minorHAnsi" w:cstheme="majorBidi"/>
          <w:bCs/>
        </w:rPr>
      </w:pPr>
      <w:r w:rsidRPr="00A51DF8">
        <w:rPr>
          <w:rFonts w:asciiTheme="minorHAnsi" w:hAnsiTheme="minorHAnsi" w:cstheme="majorBidi"/>
          <w:bCs/>
        </w:rPr>
        <w:t>Specifically, the focus group</w:t>
      </w:r>
      <w:r w:rsidR="006D3D31">
        <w:rPr>
          <w:rFonts w:asciiTheme="minorHAnsi" w:hAnsiTheme="minorHAnsi" w:cstheme="majorBidi"/>
          <w:bCs/>
        </w:rPr>
        <w:t>s</w:t>
      </w:r>
      <w:r w:rsidRPr="00A51DF8">
        <w:rPr>
          <w:rFonts w:asciiTheme="minorHAnsi" w:hAnsiTheme="minorHAnsi" w:cstheme="majorBidi"/>
          <w:bCs/>
        </w:rPr>
        <w:t xml:space="preserve"> will assist in answering the following: </w:t>
      </w:r>
    </w:p>
    <w:p w:rsidR="00DF44CD" w:rsidRDefault="00751BE8">
      <w:pPr>
        <w:pStyle w:val="ListNumber"/>
        <w:rPr>
          <w:rFonts w:asciiTheme="minorHAnsi" w:hAnsiTheme="minorHAnsi" w:cstheme="majorBidi"/>
        </w:rPr>
      </w:pPr>
      <w:r w:rsidRPr="00751BE8">
        <w:rPr>
          <w:rFonts w:asciiTheme="minorHAnsi" w:hAnsiTheme="minorHAnsi" w:cstheme="majorBidi"/>
        </w:rPr>
        <w:lastRenderedPageBreak/>
        <w:t xml:space="preserve">To what extent does the </w:t>
      </w:r>
      <w:r w:rsidR="00A45FEA" w:rsidRPr="00A45FEA">
        <w:rPr>
          <w:rFonts w:asciiTheme="minorHAnsi" w:hAnsiTheme="minorHAnsi" w:cstheme="majorBidi"/>
          <w:iCs/>
        </w:rPr>
        <w:t>Health IT Literacy Guide</w:t>
      </w:r>
      <w:r w:rsidRPr="00751BE8">
        <w:rPr>
          <w:rFonts w:asciiTheme="minorHAnsi" w:hAnsiTheme="minorHAnsi" w:cstheme="majorBidi"/>
        </w:rPr>
        <w:t xml:space="preserve"> aid developers in </w:t>
      </w:r>
      <w:r w:rsidR="00334AE3">
        <w:rPr>
          <w:rFonts w:asciiTheme="minorHAnsi" w:hAnsiTheme="minorHAnsi" w:cstheme="majorBidi"/>
        </w:rPr>
        <w:t>designing</w:t>
      </w:r>
      <w:r w:rsidR="00334AE3" w:rsidRPr="00751BE8">
        <w:rPr>
          <w:rFonts w:asciiTheme="minorHAnsi" w:hAnsiTheme="minorHAnsi" w:cstheme="majorBidi"/>
        </w:rPr>
        <w:t xml:space="preserve"> </w:t>
      </w:r>
      <w:r w:rsidRPr="00751BE8">
        <w:rPr>
          <w:rFonts w:asciiTheme="minorHAnsi" w:hAnsiTheme="minorHAnsi" w:cstheme="majorBidi"/>
        </w:rPr>
        <w:t>health IT applications that are accessible to adults with different levels of health literacy?  How satisfied with the Guide are developers of health IT?</w:t>
      </w:r>
    </w:p>
    <w:p w:rsidR="00DF44CD" w:rsidRDefault="00751BE8">
      <w:pPr>
        <w:pStyle w:val="ListNumber"/>
        <w:rPr>
          <w:rFonts w:asciiTheme="minorHAnsi" w:hAnsiTheme="minorHAnsi" w:cstheme="majorBidi"/>
        </w:rPr>
      </w:pPr>
      <w:r w:rsidRPr="00751BE8">
        <w:rPr>
          <w:rFonts w:asciiTheme="minorHAnsi" w:hAnsiTheme="minorHAnsi" w:cstheme="majorBidi"/>
        </w:rPr>
        <w:t xml:space="preserve">To what extent does the </w:t>
      </w:r>
      <w:r w:rsidR="00A45FEA" w:rsidRPr="00A45FEA">
        <w:rPr>
          <w:rFonts w:asciiTheme="minorHAnsi" w:hAnsiTheme="minorHAnsi" w:cstheme="majorBidi"/>
          <w:iCs/>
        </w:rPr>
        <w:t>Health IT Literacy Guide</w:t>
      </w:r>
      <w:r w:rsidRPr="00751BE8">
        <w:rPr>
          <w:rFonts w:asciiTheme="minorHAnsi" w:hAnsiTheme="minorHAnsi" w:cstheme="majorBidi"/>
        </w:rPr>
        <w:t xml:space="preserve"> aid purchasers in selecting health IT applications that are accessible to adults with different levels of health literacy? How satisfied with the Guide are purchasers of health IT?</w:t>
      </w:r>
    </w:p>
    <w:p w:rsidR="00DF44CD" w:rsidRDefault="00751BE8">
      <w:pPr>
        <w:pStyle w:val="ListNumber"/>
        <w:rPr>
          <w:rFonts w:asciiTheme="minorHAnsi" w:hAnsiTheme="minorHAnsi"/>
          <w:szCs w:val="24"/>
        </w:rPr>
      </w:pPr>
      <w:r w:rsidRPr="005075D1">
        <w:rPr>
          <w:rFonts w:asciiTheme="minorHAnsi" w:hAnsiTheme="minorHAnsi" w:cstheme="majorBidi"/>
          <w:szCs w:val="24"/>
        </w:rPr>
        <w:t xml:space="preserve">In what ways can the </w:t>
      </w:r>
      <w:r w:rsidRPr="005075D1">
        <w:rPr>
          <w:rFonts w:asciiTheme="minorHAnsi" w:hAnsiTheme="minorHAnsi" w:cstheme="majorBidi"/>
          <w:iCs/>
          <w:szCs w:val="24"/>
        </w:rPr>
        <w:t>Health IT Literacy Guide</w:t>
      </w:r>
      <w:r w:rsidRPr="005075D1">
        <w:rPr>
          <w:rFonts w:asciiTheme="minorHAnsi" w:hAnsiTheme="minorHAnsi" w:cstheme="majorBidi"/>
          <w:szCs w:val="24"/>
        </w:rPr>
        <w:t xml:space="preserve"> be improved or updated to be more timely, relevant and useful to developers in </w:t>
      </w:r>
      <w:r w:rsidR="00E252F6">
        <w:rPr>
          <w:rFonts w:asciiTheme="minorHAnsi" w:hAnsiTheme="minorHAnsi" w:cstheme="majorBidi"/>
          <w:szCs w:val="24"/>
        </w:rPr>
        <w:t>designing</w:t>
      </w:r>
      <w:r w:rsidR="00B55FE2" w:rsidRPr="005075D1">
        <w:rPr>
          <w:rFonts w:asciiTheme="minorHAnsi" w:hAnsiTheme="minorHAnsi" w:cstheme="majorBidi"/>
          <w:szCs w:val="24"/>
        </w:rPr>
        <w:t xml:space="preserve"> </w:t>
      </w:r>
      <w:r w:rsidRPr="005075D1">
        <w:rPr>
          <w:rFonts w:asciiTheme="minorHAnsi" w:hAnsiTheme="minorHAnsi" w:cstheme="majorBidi"/>
          <w:szCs w:val="24"/>
        </w:rPr>
        <w:t xml:space="preserve">health IT applications that are accessible to adults with different levels of health literacy? </w:t>
      </w:r>
    </w:p>
    <w:p w:rsidR="00DF44CD" w:rsidRDefault="00751BE8">
      <w:pPr>
        <w:pStyle w:val="ListNumber"/>
        <w:rPr>
          <w:rFonts w:asciiTheme="minorHAnsi" w:hAnsiTheme="minorHAnsi" w:cstheme="majorBidi"/>
        </w:rPr>
      </w:pPr>
      <w:r w:rsidRPr="00A279C4">
        <w:rPr>
          <w:rFonts w:asciiTheme="minorHAnsi" w:hAnsiTheme="minorHAnsi" w:cstheme="majorBidi"/>
        </w:rPr>
        <w:t>In what ways can the Health IT Literacy Guide be improved or updated to be more timely, relevant and useful to purchasers in selecting health IT applications that are accessible to adults with different levels of health literacy?</w:t>
      </w:r>
    </w:p>
    <w:p w:rsidR="00DF44CD" w:rsidRDefault="00950491">
      <w:pPr>
        <w:spacing w:line="240" w:lineRule="auto"/>
        <w:rPr>
          <w:sz w:val="24"/>
          <w:szCs w:val="24"/>
        </w:rPr>
      </w:pPr>
      <w:r w:rsidRPr="00520C1C">
        <w:rPr>
          <w:sz w:val="24"/>
          <w:szCs w:val="24"/>
        </w:rPr>
        <w:t>Contact materials for recruiting participants and scheduling interviews are included as Attachment</w:t>
      </w:r>
      <w:r w:rsidR="000E3252">
        <w:rPr>
          <w:sz w:val="24"/>
          <w:szCs w:val="24"/>
        </w:rPr>
        <w:t xml:space="preserve"> B</w:t>
      </w:r>
      <w:r w:rsidRPr="00520C1C">
        <w:rPr>
          <w:sz w:val="24"/>
          <w:szCs w:val="24"/>
        </w:rPr>
        <w:t xml:space="preserve"> </w:t>
      </w:r>
      <w:r>
        <w:rPr>
          <w:sz w:val="24"/>
          <w:szCs w:val="24"/>
        </w:rPr>
        <w:t xml:space="preserve">and </w:t>
      </w:r>
      <w:r w:rsidRPr="00520C1C">
        <w:rPr>
          <w:sz w:val="24"/>
          <w:szCs w:val="24"/>
        </w:rPr>
        <w:t xml:space="preserve">Attachment </w:t>
      </w:r>
      <w:r>
        <w:rPr>
          <w:sz w:val="24"/>
          <w:szCs w:val="24"/>
        </w:rPr>
        <w:t>C</w:t>
      </w:r>
      <w:r w:rsidR="000E3252">
        <w:rPr>
          <w:sz w:val="24"/>
          <w:szCs w:val="24"/>
        </w:rPr>
        <w:t>,</w:t>
      </w:r>
      <w:r>
        <w:rPr>
          <w:sz w:val="24"/>
          <w:szCs w:val="24"/>
        </w:rPr>
        <w:t xml:space="preserve"> and the participant consent from </w:t>
      </w:r>
      <w:proofErr w:type="gramStart"/>
      <w:r>
        <w:rPr>
          <w:sz w:val="24"/>
          <w:szCs w:val="24"/>
        </w:rPr>
        <w:t>is</w:t>
      </w:r>
      <w:proofErr w:type="gramEnd"/>
      <w:r>
        <w:rPr>
          <w:sz w:val="24"/>
          <w:szCs w:val="24"/>
        </w:rPr>
        <w:t xml:space="preserve"> also included as Attachment D</w:t>
      </w:r>
      <w:r w:rsidR="00513621">
        <w:rPr>
          <w:sz w:val="24"/>
          <w:szCs w:val="24"/>
        </w:rPr>
        <w:t>.</w:t>
      </w:r>
      <w:r w:rsidR="00520C1C" w:rsidRPr="00520C1C">
        <w:rPr>
          <w:sz w:val="24"/>
          <w:szCs w:val="24"/>
        </w:rPr>
        <w:t xml:space="preserve"> </w:t>
      </w:r>
    </w:p>
    <w:p w:rsidR="004826CE" w:rsidRPr="005075D1" w:rsidRDefault="00A45FEA" w:rsidP="005B5EF5">
      <w:pPr>
        <w:pStyle w:val="HeadingOMB2"/>
        <w:rPr>
          <w:rFonts w:asciiTheme="minorHAnsi" w:hAnsiTheme="minorHAnsi"/>
          <w:b w:val="0"/>
          <w:i w:val="0"/>
        </w:rPr>
      </w:pPr>
      <w:r w:rsidRPr="005075D1">
        <w:rPr>
          <w:rFonts w:asciiTheme="minorHAnsi" w:hAnsiTheme="minorHAnsi"/>
          <w:b w:val="0"/>
          <w:i w:val="0"/>
        </w:rPr>
        <w:t xml:space="preserve">This study is being conducted by AHRQ through its contractors, RTI International and </w:t>
      </w:r>
      <w:proofErr w:type="spellStart"/>
      <w:r w:rsidRPr="005075D1">
        <w:rPr>
          <w:rFonts w:asciiTheme="minorHAnsi" w:hAnsiTheme="minorHAnsi"/>
          <w:b w:val="0"/>
          <w:i w:val="0"/>
        </w:rPr>
        <w:t>CommunicateHealth</w:t>
      </w:r>
      <w:proofErr w:type="spellEnd"/>
      <w:r w:rsidRPr="005075D1">
        <w:rPr>
          <w:rFonts w:asciiTheme="minorHAnsi" w:hAnsiTheme="minorHAnsi"/>
          <w:b w:val="0"/>
          <w:i w:val="0"/>
        </w:rPr>
        <w:t xml:space="preserve">, pursuant to AHRQ’s statutory authority to conduct and support research on healthcare and on systems for the delivery of such care, including activities with respect to health care technologies.  42 U.S.C. </w:t>
      </w:r>
      <w:proofErr w:type="gramStart"/>
      <w:r w:rsidRPr="005075D1">
        <w:rPr>
          <w:rFonts w:asciiTheme="minorHAnsi" w:hAnsiTheme="minorHAnsi"/>
          <w:b w:val="0"/>
          <w:i w:val="0"/>
        </w:rPr>
        <w:t>299a(</w:t>
      </w:r>
      <w:proofErr w:type="gramEnd"/>
      <w:r w:rsidRPr="005075D1">
        <w:rPr>
          <w:rFonts w:asciiTheme="minorHAnsi" w:hAnsiTheme="minorHAnsi"/>
          <w:b w:val="0"/>
          <w:i w:val="0"/>
        </w:rPr>
        <w:t>a)(5).</w:t>
      </w:r>
    </w:p>
    <w:p w:rsidR="006E5EA4" w:rsidRPr="00A51DF8" w:rsidRDefault="006E5EA4" w:rsidP="000E07EF">
      <w:pPr>
        <w:pStyle w:val="ListNumber"/>
        <w:numPr>
          <w:ilvl w:val="0"/>
          <w:numId w:val="0"/>
        </w:numPr>
        <w:rPr>
          <w:rFonts w:asciiTheme="minorHAnsi" w:hAnsiTheme="minorHAnsi" w:cstheme="majorBidi"/>
        </w:rPr>
      </w:pPr>
    </w:p>
    <w:p w:rsidR="006E5EA4" w:rsidRPr="00A51DF8" w:rsidRDefault="00B05ACA" w:rsidP="00EA30F9">
      <w:pPr>
        <w:pStyle w:val="Header"/>
        <w:tabs>
          <w:tab w:val="clear" w:pos="4320"/>
          <w:tab w:val="clear" w:pos="8640"/>
        </w:tabs>
        <w:rPr>
          <w:rFonts w:asciiTheme="majorBidi" w:hAnsiTheme="majorBidi" w:cstheme="majorBidi"/>
        </w:rPr>
      </w:pPr>
      <w:r w:rsidRPr="00A51DF8">
        <w:rPr>
          <w:rFonts w:asciiTheme="majorBidi" w:hAnsiTheme="majorBidi" w:cstheme="majorBidi"/>
          <w:b/>
        </w:rPr>
        <w:t>DESCRIPTION OF RESPONDENTS</w:t>
      </w:r>
      <w:r w:rsidRPr="00A51DF8">
        <w:rPr>
          <w:rFonts w:asciiTheme="majorBidi" w:hAnsiTheme="majorBidi" w:cstheme="majorBidi"/>
        </w:rPr>
        <w:t xml:space="preserve">: </w:t>
      </w:r>
    </w:p>
    <w:p w:rsidR="00EA30F9" w:rsidRPr="00A51DF8" w:rsidRDefault="00EA30F9" w:rsidP="00EA30F9">
      <w:pPr>
        <w:pStyle w:val="Header"/>
        <w:tabs>
          <w:tab w:val="clear" w:pos="4320"/>
          <w:tab w:val="clear" w:pos="8640"/>
        </w:tabs>
        <w:rPr>
          <w:rFonts w:asciiTheme="majorBidi" w:hAnsiTheme="majorBidi" w:cstheme="majorBidi"/>
          <w:i/>
          <w:snapToGrid/>
        </w:rPr>
      </w:pPr>
    </w:p>
    <w:p w:rsidR="006E5EA4" w:rsidRPr="00A51DF8" w:rsidRDefault="006E5EA4" w:rsidP="000E07EF">
      <w:pPr>
        <w:pStyle w:val="bodytext"/>
        <w:rPr>
          <w:rFonts w:asciiTheme="minorHAnsi" w:hAnsiTheme="minorHAnsi" w:cstheme="majorBidi"/>
          <w:bCs/>
        </w:rPr>
      </w:pPr>
      <w:r w:rsidRPr="00A51DF8">
        <w:rPr>
          <w:rFonts w:asciiTheme="minorHAnsi" w:hAnsiTheme="minorHAnsi" w:cstheme="majorBidi"/>
          <w:bCs/>
        </w:rPr>
        <w:t xml:space="preserve">Respondents will be developers and purchasers of health IT and are defined as: </w:t>
      </w:r>
    </w:p>
    <w:p w:rsidR="006E5EA4" w:rsidRPr="00A51DF8" w:rsidRDefault="006E5EA4" w:rsidP="006E5EA4">
      <w:pPr>
        <w:pStyle w:val="bodytext"/>
        <w:numPr>
          <w:ilvl w:val="0"/>
          <w:numId w:val="10"/>
        </w:numPr>
        <w:rPr>
          <w:rFonts w:asciiTheme="minorHAnsi" w:hAnsiTheme="minorHAnsi" w:cstheme="majorBidi"/>
          <w:bCs/>
        </w:rPr>
      </w:pPr>
      <w:r w:rsidRPr="00A51DF8">
        <w:rPr>
          <w:rFonts w:asciiTheme="minorHAnsi" w:hAnsiTheme="minorHAnsi" w:cstheme="majorBidi"/>
          <w:bCs/>
        </w:rPr>
        <w:t xml:space="preserve">Developers are those working for health IT vendors or organizations that create health IT </w:t>
      </w:r>
      <w:r w:rsidR="00226CE7">
        <w:rPr>
          <w:rFonts w:asciiTheme="minorHAnsi" w:hAnsiTheme="minorHAnsi" w:cstheme="majorBidi"/>
          <w:bCs/>
        </w:rPr>
        <w:t>applications</w:t>
      </w:r>
      <w:r w:rsidR="00226CE7" w:rsidRPr="00A51DF8">
        <w:rPr>
          <w:rFonts w:asciiTheme="minorHAnsi" w:hAnsiTheme="minorHAnsi" w:cstheme="majorBidi"/>
          <w:bCs/>
        </w:rPr>
        <w:t xml:space="preserve"> </w:t>
      </w:r>
      <w:r w:rsidRPr="00A51DF8">
        <w:rPr>
          <w:rFonts w:asciiTheme="minorHAnsi" w:hAnsiTheme="minorHAnsi" w:cstheme="majorBidi"/>
          <w:bCs/>
        </w:rPr>
        <w:t xml:space="preserve">used </w:t>
      </w:r>
      <w:r w:rsidR="00226CE7">
        <w:rPr>
          <w:rFonts w:asciiTheme="minorHAnsi" w:hAnsiTheme="minorHAnsi" w:cstheme="majorBidi"/>
          <w:bCs/>
        </w:rPr>
        <w:t>by consumers</w:t>
      </w:r>
      <w:r w:rsidRPr="00A51DF8">
        <w:rPr>
          <w:rFonts w:asciiTheme="minorHAnsi" w:hAnsiTheme="minorHAnsi" w:cstheme="majorBidi"/>
          <w:bCs/>
        </w:rPr>
        <w:t xml:space="preserve">. They may also include researchers, many of whom are also developing or evaluating </w:t>
      </w:r>
      <w:r w:rsidR="00226CE7">
        <w:rPr>
          <w:rFonts w:asciiTheme="minorHAnsi" w:hAnsiTheme="minorHAnsi" w:cstheme="majorBidi"/>
          <w:bCs/>
        </w:rPr>
        <w:t>health IT applications</w:t>
      </w:r>
      <w:r w:rsidR="00226CE7" w:rsidRPr="00A51DF8">
        <w:rPr>
          <w:rFonts w:asciiTheme="minorHAnsi" w:hAnsiTheme="minorHAnsi" w:cstheme="majorBidi"/>
          <w:bCs/>
        </w:rPr>
        <w:t xml:space="preserve"> </w:t>
      </w:r>
      <w:r w:rsidRPr="00A51DF8">
        <w:rPr>
          <w:rFonts w:asciiTheme="minorHAnsi" w:hAnsiTheme="minorHAnsi" w:cstheme="majorBidi"/>
          <w:bCs/>
        </w:rPr>
        <w:t xml:space="preserve">aimed at health care consumers. </w:t>
      </w:r>
    </w:p>
    <w:p w:rsidR="006E5EA4" w:rsidRPr="00A51DF8" w:rsidRDefault="006E5EA4" w:rsidP="00B55FE2">
      <w:pPr>
        <w:pStyle w:val="bullets"/>
        <w:numPr>
          <w:ilvl w:val="0"/>
          <w:numId w:val="10"/>
        </w:numPr>
        <w:rPr>
          <w:rFonts w:asciiTheme="minorHAnsi" w:hAnsiTheme="minorHAnsi" w:cstheme="majorBidi"/>
          <w:bCs/>
        </w:rPr>
      </w:pPr>
      <w:r w:rsidRPr="00A51DF8">
        <w:rPr>
          <w:rFonts w:asciiTheme="minorHAnsi" w:hAnsiTheme="minorHAnsi" w:cstheme="majorBidi"/>
          <w:bCs/>
        </w:rPr>
        <w:t xml:space="preserve">Purchasers are those working </w:t>
      </w:r>
      <w:r w:rsidR="00A279C4">
        <w:rPr>
          <w:rFonts w:asciiTheme="minorHAnsi" w:hAnsiTheme="minorHAnsi" w:cstheme="majorBidi"/>
          <w:bCs/>
        </w:rPr>
        <w:t>for</w:t>
      </w:r>
      <w:r w:rsidR="00A279C4" w:rsidRPr="00A51DF8">
        <w:rPr>
          <w:rFonts w:asciiTheme="minorHAnsi" w:hAnsiTheme="minorHAnsi" w:cstheme="majorBidi"/>
          <w:bCs/>
        </w:rPr>
        <w:t xml:space="preserve"> </w:t>
      </w:r>
      <w:r w:rsidRPr="00A51DF8">
        <w:rPr>
          <w:rFonts w:asciiTheme="minorHAnsi" w:hAnsiTheme="minorHAnsi" w:cstheme="majorBidi"/>
          <w:bCs/>
        </w:rPr>
        <w:t xml:space="preserve">organizations involved in the selection of health IT </w:t>
      </w:r>
      <w:r w:rsidR="00226CE7">
        <w:rPr>
          <w:rFonts w:asciiTheme="minorHAnsi" w:hAnsiTheme="minorHAnsi" w:cstheme="majorBidi"/>
          <w:bCs/>
        </w:rPr>
        <w:t>applications</w:t>
      </w:r>
      <w:r w:rsidRPr="00A51DF8">
        <w:rPr>
          <w:rFonts w:asciiTheme="minorHAnsi" w:hAnsiTheme="minorHAnsi" w:cstheme="majorBidi"/>
          <w:bCs/>
        </w:rPr>
        <w:t xml:space="preserve"> for use by consumers, often in coordination with health care providers (e.g., hospitals, physician practices, and community health centers). They also include health plans, pharmaceutical companies,</w:t>
      </w:r>
      <w:r w:rsidR="00B55FE2">
        <w:rPr>
          <w:rFonts w:asciiTheme="minorHAnsi" w:hAnsiTheme="minorHAnsi" w:cstheme="majorBidi"/>
          <w:bCs/>
        </w:rPr>
        <w:t xml:space="preserve"> consulting firms,</w:t>
      </w:r>
      <w:r w:rsidRPr="00A51DF8">
        <w:rPr>
          <w:rFonts w:asciiTheme="minorHAnsi" w:hAnsiTheme="minorHAnsi" w:cstheme="majorBidi"/>
          <w:bCs/>
        </w:rPr>
        <w:t xml:space="preserve"> foundations, other nonprofit organizations, and government purchasers at the Federal, State, and local levels.</w:t>
      </w:r>
    </w:p>
    <w:p w:rsidR="006E5EA4" w:rsidRPr="00A51DF8" w:rsidRDefault="00751BE8" w:rsidP="000E07EF">
      <w:pPr>
        <w:pStyle w:val="bodytext"/>
        <w:rPr>
          <w:rFonts w:asciiTheme="minorHAnsi" w:hAnsiTheme="minorHAnsi" w:cstheme="majorBidi"/>
          <w:bCs/>
        </w:rPr>
      </w:pPr>
      <w:r>
        <w:rPr>
          <w:rFonts w:asciiTheme="minorHAnsi" w:hAnsiTheme="minorHAnsi" w:cstheme="majorBidi"/>
          <w:bCs/>
        </w:rPr>
        <w:t>T</w:t>
      </w:r>
      <w:r w:rsidR="000E07EF">
        <w:rPr>
          <w:rFonts w:asciiTheme="minorHAnsi" w:hAnsiTheme="minorHAnsi" w:cstheme="majorBidi"/>
          <w:bCs/>
        </w:rPr>
        <w:t xml:space="preserve">he focus groups </w:t>
      </w:r>
      <w:r w:rsidR="006E5EA4" w:rsidRPr="00A51DF8">
        <w:rPr>
          <w:rFonts w:asciiTheme="minorHAnsi" w:hAnsiTheme="minorHAnsi" w:cstheme="majorBidi"/>
          <w:bCs/>
        </w:rPr>
        <w:t xml:space="preserve">will target developers and purchasers who are involved in the design or selection of highly interactive </w:t>
      </w:r>
      <w:r w:rsidR="006D3D31">
        <w:rPr>
          <w:rFonts w:asciiTheme="minorHAnsi" w:hAnsiTheme="minorHAnsi" w:cstheme="majorBidi"/>
          <w:bCs/>
        </w:rPr>
        <w:t>consumer health IT applications</w:t>
      </w:r>
      <w:r w:rsidR="006E5EA4" w:rsidRPr="00A51DF8">
        <w:rPr>
          <w:rFonts w:asciiTheme="minorHAnsi" w:hAnsiTheme="minorHAnsi" w:cstheme="majorBidi"/>
          <w:bCs/>
        </w:rPr>
        <w:t xml:space="preserve">, intended primarily for use by patients or consumers, which incorporate both patient interaction and patient-specific feedback. We will not target developers </w:t>
      </w:r>
      <w:r w:rsidR="008D0A0F">
        <w:rPr>
          <w:rFonts w:asciiTheme="minorHAnsi" w:hAnsiTheme="minorHAnsi" w:cstheme="majorBidi"/>
          <w:bCs/>
        </w:rPr>
        <w:t>or</w:t>
      </w:r>
      <w:r w:rsidR="008D0A0F" w:rsidRPr="00A51DF8">
        <w:rPr>
          <w:rFonts w:asciiTheme="minorHAnsi" w:hAnsiTheme="minorHAnsi" w:cstheme="majorBidi"/>
          <w:bCs/>
        </w:rPr>
        <w:t xml:space="preserve"> </w:t>
      </w:r>
      <w:r w:rsidR="006E5EA4" w:rsidRPr="00A51DF8">
        <w:rPr>
          <w:rFonts w:asciiTheme="minorHAnsi" w:hAnsiTheme="minorHAnsi" w:cstheme="majorBidi"/>
          <w:bCs/>
        </w:rPr>
        <w:t xml:space="preserve">purchasers of systems that offer minimal tailoring or minimal feedback to the patient or consumer. </w:t>
      </w:r>
    </w:p>
    <w:p w:rsidR="00B05ACA" w:rsidRPr="00A51DF8" w:rsidRDefault="00B05ACA" w:rsidP="00B05ACA">
      <w:pPr>
        <w:rPr>
          <w:rFonts w:asciiTheme="majorBidi" w:hAnsiTheme="majorBidi" w:cstheme="majorBidi"/>
          <w:b/>
        </w:rPr>
      </w:pPr>
      <w:r w:rsidRPr="00A51DF8">
        <w:rPr>
          <w:rFonts w:asciiTheme="majorBidi" w:hAnsiTheme="majorBidi" w:cstheme="majorBidi"/>
          <w:b/>
        </w:rPr>
        <w:t>TYPE OF COLLECTION:</w:t>
      </w:r>
      <w:r w:rsidRPr="00A51DF8">
        <w:rPr>
          <w:rFonts w:asciiTheme="majorBidi" w:hAnsiTheme="majorBidi" w:cstheme="majorBidi"/>
        </w:rPr>
        <w:t xml:space="preserve"> (Check </w:t>
      </w:r>
      <w:r w:rsidR="00E85695">
        <w:rPr>
          <w:rFonts w:asciiTheme="majorBidi" w:hAnsiTheme="majorBidi" w:cstheme="majorBidi"/>
        </w:rPr>
        <w:t>all that apply</w:t>
      </w:r>
      <w:r w:rsidRPr="00A51DF8">
        <w:rPr>
          <w:rFonts w:asciiTheme="majorBidi" w:hAnsiTheme="majorBidi" w:cstheme="majorBidi"/>
        </w:rPr>
        <w:t>)</w:t>
      </w:r>
    </w:p>
    <w:p w:rsidR="00B05ACA" w:rsidRPr="00A51DF8" w:rsidRDefault="00B05ACA" w:rsidP="00B05ACA">
      <w:pPr>
        <w:pStyle w:val="BodyTextIndent"/>
        <w:tabs>
          <w:tab w:val="left" w:pos="360"/>
        </w:tabs>
        <w:ind w:left="0"/>
        <w:rPr>
          <w:rFonts w:asciiTheme="majorBidi" w:hAnsiTheme="majorBidi" w:cstheme="majorBidi"/>
          <w:bCs/>
          <w:sz w:val="16"/>
          <w:szCs w:val="16"/>
        </w:rPr>
      </w:pPr>
    </w:p>
    <w:p w:rsidR="00B05ACA" w:rsidRPr="00A51DF8" w:rsidRDefault="00B05ACA" w:rsidP="00B05ACA">
      <w:pPr>
        <w:pStyle w:val="BodyTextIndent"/>
        <w:tabs>
          <w:tab w:val="left" w:pos="360"/>
        </w:tabs>
        <w:ind w:left="0"/>
        <w:rPr>
          <w:rFonts w:asciiTheme="majorBidi" w:hAnsiTheme="majorBidi" w:cstheme="majorBidi"/>
          <w:bCs/>
          <w:sz w:val="24"/>
        </w:rPr>
      </w:pPr>
      <w:r w:rsidRPr="00A51DF8">
        <w:rPr>
          <w:rFonts w:asciiTheme="majorBidi" w:hAnsiTheme="majorBidi" w:cstheme="majorBidi"/>
          <w:bCs/>
          <w:sz w:val="24"/>
        </w:rPr>
        <w:t xml:space="preserve">[ ] Customer Comment Card/Complaint Form </w:t>
      </w:r>
      <w:r w:rsidRPr="00A51DF8">
        <w:rPr>
          <w:rFonts w:asciiTheme="majorBidi" w:hAnsiTheme="majorBidi" w:cstheme="majorBidi"/>
          <w:bCs/>
          <w:sz w:val="24"/>
        </w:rPr>
        <w:tab/>
        <w:t xml:space="preserve">[ ] Customer Satisfaction Survey    </w:t>
      </w:r>
    </w:p>
    <w:p w:rsidR="00B05ACA" w:rsidRPr="00A51DF8" w:rsidRDefault="00B05ACA" w:rsidP="00B05ACA">
      <w:pPr>
        <w:pStyle w:val="BodyTextIndent"/>
        <w:tabs>
          <w:tab w:val="left" w:pos="360"/>
        </w:tabs>
        <w:ind w:left="0"/>
        <w:rPr>
          <w:rFonts w:asciiTheme="majorBidi" w:hAnsiTheme="majorBidi" w:cstheme="majorBidi"/>
          <w:bCs/>
          <w:sz w:val="24"/>
        </w:rPr>
      </w:pPr>
      <w:r w:rsidRPr="00A51DF8">
        <w:rPr>
          <w:rFonts w:asciiTheme="majorBidi" w:hAnsiTheme="majorBidi" w:cstheme="majorBidi"/>
          <w:bCs/>
          <w:sz w:val="24"/>
        </w:rPr>
        <w:t>[ ] Usability Testing (e.g., Website or Software</w:t>
      </w:r>
      <w:r w:rsidR="005B5EF5">
        <w:rPr>
          <w:rFonts w:asciiTheme="majorBidi" w:hAnsiTheme="majorBidi" w:cstheme="majorBidi"/>
          <w:bCs/>
          <w:sz w:val="24"/>
        </w:rPr>
        <w:t>)</w:t>
      </w:r>
      <w:r w:rsidRPr="00A51DF8">
        <w:rPr>
          <w:rFonts w:asciiTheme="majorBidi" w:hAnsiTheme="majorBidi" w:cstheme="majorBidi"/>
          <w:bCs/>
          <w:sz w:val="24"/>
        </w:rPr>
        <w:tab/>
        <w:t>[ ] Small Discussion Group</w:t>
      </w:r>
    </w:p>
    <w:p w:rsidR="00B05ACA" w:rsidRPr="00A51DF8" w:rsidRDefault="00B05ACA" w:rsidP="00D507EA">
      <w:pPr>
        <w:pStyle w:val="BodyTextIndent"/>
        <w:tabs>
          <w:tab w:val="left" w:pos="360"/>
        </w:tabs>
        <w:ind w:left="5040" w:hanging="5040"/>
        <w:rPr>
          <w:rFonts w:asciiTheme="majorBidi" w:hAnsiTheme="majorBidi" w:cstheme="majorBidi"/>
          <w:bCs/>
          <w:sz w:val="24"/>
        </w:rPr>
      </w:pPr>
      <w:r w:rsidRPr="00A51DF8">
        <w:rPr>
          <w:rFonts w:asciiTheme="majorBidi" w:hAnsiTheme="majorBidi" w:cstheme="majorBidi"/>
          <w:bCs/>
          <w:sz w:val="24"/>
        </w:rPr>
        <w:t>[</w:t>
      </w:r>
      <w:r w:rsidR="006E5EA4" w:rsidRPr="00A51DF8">
        <w:rPr>
          <w:rFonts w:asciiTheme="majorBidi" w:hAnsiTheme="majorBidi" w:cstheme="majorBidi"/>
          <w:bCs/>
          <w:sz w:val="24"/>
        </w:rPr>
        <w:t>X] Focus</w:t>
      </w:r>
      <w:r w:rsidRPr="00A51DF8">
        <w:rPr>
          <w:rFonts w:asciiTheme="majorBidi" w:hAnsiTheme="majorBidi" w:cstheme="majorBidi"/>
          <w:bCs/>
          <w:sz w:val="24"/>
        </w:rPr>
        <w:t xml:space="preserve"> Group  </w:t>
      </w:r>
      <w:r w:rsidRPr="00A51DF8">
        <w:rPr>
          <w:rFonts w:asciiTheme="majorBidi" w:hAnsiTheme="majorBidi" w:cstheme="majorBidi"/>
          <w:bCs/>
          <w:sz w:val="24"/>
        </w:rPr>
        <w:tab/>
      </w:r>
      <w:r w:rsidR="000E3252" w:rsidRPr="00A51DF8">
        <w:rPr>
          <w:rFonts w:asciiTheme="majorBidi" w:hAnsiTheme="majorBidi" w:cstheme="majorBidi"/>
          <w:bCs/>
          <w:sz w:val="24"/>
        </w:rPr>
        <w:t>[</w:t>
      </w:r>
      <w:r w:rsidR="000E3252">
        <w:rPr>
          <w:rFonts w:asciiTheme="majorBidi" w:hAnsiTheme="majorBidi" w:cstheme="majorBidi"/>
          <w:bCs/>
          <w:sz w:val="24"/>
        </w:rPr>
        <w:t>X</w:t>
      </w:r>
      <w:r w:rsidRPr="00A51DF8">
        <w:rPr>
          <w:rFonts w:asciiTheme="majorBidi" w:hAnsiTheme="majorBidi" w:cstheme="majorBidi"/>
          <w:bCs/>
          <w:sz w:val="24"/>
        </w:rPr>
        <w:t>] Other:</w:t>
      </w:r>
      <w:r w:rsidRPr="00A51DF8">
        <w:rPr>
          <w:rFonts w:asciiTheme="majorBidi" w:hAnsiTheme="majorBidi" w:cstheme="majorBidi"/>
          <w:bCs/>
          <w:sz w:val="24"/>
          <w:u w:val="single"/>
        </w:rPr>
        <w:t xml:space="preserve"> </w:t>
      </w:r>
      <w:r w:rsidR="000E3252">
        <w:rPr>
          <w:rFonts w:asciiTheme="majorBidi" w:hAnsiTheme="majorBidi" w:cstheme="majorBidi"/>
          <w:bCs/>
          <w:sz w:val="24"/>
          <w:u w:val="single"/>
        </w:rPr>
        <w:t>Screening instrument (questionnaire) for participation in Focus Group</w:t>
      </w:r>
    </w:p>
    <w:p w:rsidR="00B05ACA" w:rsidRPr="00A51DF8" w:rsidRDefault="00B05ACA" w:rsidP="00B05ACA">
      <w:pPr>
        <w:pStyle w:val="Header"/>
        <w:tabs>
          <w:tab w:val="clear" w:pos="4320"/>
          <w:tab w:val="clear" w:pos="8640"/>
        </w:tabs>
        <w:rPr>
          <w:rFonts w:asciiTheme="majorBidi" w:hAnsiTheme="majorBidi" w:cstheme="majorBidi"/>
        </w:rPr>
      </w:pPr>
    </w:p>
    <w:p w:rsidR="00B05ACA" w:rsidRPr="00A51DF8" w:rsidRDefault="00B05ACA" w:rsidP="00B05ACA">
      <w:pPr>
        <w:rPr>
          <w:rFonts w:asciiTheme="majorBidi" w:hAnsiTheme="majorBidi" w:cstheme="majorBidi"/>
          <w:b/>
        </w:rPr>
      </w:pPr>
      <w:r w:rsidRPr="00A51DF8">
        <w:rPr>
          <w:rFonts w:asciiTheme="majorBidi" w:hAnsiTheme="majorBidi" w:cstheme="majorBidi"/>
          <w:b/>
        </w:rPr>
        <w:t>CERTIFICATION:</w:t>
      </w:r>
    </w:p>
    <w:p w:rsidR="00B05ACA" w:rsidRPr="00A51DF8" w:rsidRDefault="00B05ACA" w:rsidP="00B05ACA">
      <w:pPr>
        <w:rPr>
          <w:rFonts w:asciiTheme="majorBidi" w:hAnsiTheme="majorBidi" w:cstheme="majorBidi"/>
        </w:rPr>
      </w:pPr>
      <w:r w:rsidRPr="00A51DF8">
        <w:rPr>
          <w:rFonts w:asciiTheme="majorBidi" w:hAnsiTheme="majorBidi" w:cstheme="majorBidi"/>
        </w:rPr>
        <w:t xml:space="preserve">I certify the following to be true: </w:t>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 xml:space="preserve">The collection is voluntary. </w:t>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The collection is low-burden for respondents and low-cost for the Federal Government.</w:t>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 xml:space="preserve">The collection is non-controversial and does </w:t>
      </w:r>
      <w:r w:rsidRPr="00A51DF8">
        <w:rPr>
          <w:rFonts w:asciiTheme="majorBidi" w:hAnsiTheme="majorBidi" w:cstheme="majorBidi"/>
          <w:u w:val="single"/>
        </w:rPr>
        <w:t>not</w:t>
      </w:r>
      <w:r w:rsidRPr="00A51DF8">
        <w:rPr>
          <w:rFonts w:asciiTheme="majorBidi" w:hAnsiTheme="majorBidi" w:cstheme="majorBidi"/>
        </w:rPr>
        <w:t xml:space="preserve"> raise issues of concern to other federal agencies.</w:t>
      </w:r>
      <w:r w:rsidRPr="00A51DF8">
        <w:rPr>
          <w:rFonts w:asciiTheme="majorBidi" w:hAnsiTheme="majorBidi" w:cstheme="majorBidi"/>
        </w:rPr>
        <w:tab/>
      </w:r>
      <w:r w:rsidRPr="00A51DF8">
        <w:rPr>
          <w:rFonts w:asciiTheme="majorBidi" w:hAnsiTheme="majorBidi" w:cstheme="majorBidi"/>
        </w:rPr>
        <w:tab/>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 xml:space="preserve">The results are </w:t>
      </w:r>
      <w:r w:rsidRPr="00A51DF8">
        <w:rPr>
          <w:rFonts w:asciiTheme="majorBidi" w:hAnsiTheme="majorBidi" w:cstheme="majorBidi"/>
          <w:u w:val="single"/>
        </w:rPr>
        <w:t>not</w:t>
      </w:r>
      <w:r w:rsidRPr="00A51DF8">
        <w:rPr>
          <w:rFonts w:asciiTheme="majorBidi" w:hAnsiTheme="majorBidi" w:cstheme="majorBidi"/>
        </w:rPr>
        <w:t xml:space="preserve"> intended to be disseminated to the public.</w:t>
      </w:r>
      <w:r w:rsidRPr="00A51DF8">
        <w:rPr>
          <w:rFonts w:asciiTheme="majorBidi" w:hAnsiTheme="majorBidi" w:cstheme="majorBidi"/>
        </w:rPr>
        <w:tab/>
      </w:r>
      <w:r w:rsidRPr="00A51DF8">
        <w:rPr>
          <w:rFonts w:asciiTheme="majorBidi" w:hAnsiTheme="majorBidi" w:cstheme="majorBidi"/>
        </w:rPr>
        <w:tab/>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 xml:space="preserve">Information gathered will not be used for the purpose of </w:t>
      </w:r>
      <w:r w:rsidRPr="00A51DF8">
        <w:rPr>
          <w:rFonts w:asciiTheme="majorBidi" w:hAnsiTheme="majorBidi" w:cstheme="majorBidi"/>
          <w:u w:val="single"/>
        </w:rPr>
        <w:t>substantially</w:t>
      </w:r>
      <w:r w:rsidRPr="00A51DF8">
        <w:rPr>
          <w:rFonts w:asciiTheme="majorBidi" w:hAnsiTheme="majorBidi" w:cstheme="majorBidi"/>
        </w:rPr>
        <w:t xml:space="preserve"> informing </w:t>
      </w:r>
      <w:r w:rsidRPr="00A51DF8">
        <w:rPr>
          <w:rFonts w:asciiTheme="majorBidi" w:hAnsiTheme="majorBidi" w:cstheme="majorBidi"/>
          <w:u w:val="single"/>
        </w:rPr>
        <w:t xml:space="preserve">influential </w:t>
      </w:r>
      <w:r w:rsidRPr="00A51DF8">
        <w:rPr>
          <w:rFonts w:asciiTheme="majorBidi" w:hAnsiTheme="majorBidi" w:cstheme="majorBidi"/>
        </w:rPr>
        <w:t xml:space="preserve">policy decisions. </w:t>
      </w:r>
    </w:p>
    <w:p w:rsidR="00B05ACA" w:rsidRPr="00A51DF8" w:rsidRDefault="00B05ACA" w:rsidP="00B05ACA">
      <w:pPr>
        <w:pStyle w:val="ListParagraph"/>
        <w:numPr>
          <w:ilvl w:val="0"/>
          <w:numId w:val="1"/>
        </w:numPr>
        <w:spacing w:after="0" w:line="240" w:lineRule="auto"/>
        <w:rPr>
          <w:rFonts w:asciiTheme="majorBidi" w:hAnsiTheme="majorBidi" w:cstheme="majorBidi"/>
        </w:rPr>
      </w:pPr>
      <w:r w:rsidRPr="00A51DF8">
        <w:rPr>
          <w:rFonts w:asciiTheme="majorBidi" w:hAnsiTheme="majorBidi" w:cstheme="majorBidi"/>
        </w:rPr>
        <w:t>The collection is targeted to the solicitation of opinions from respondents who have experience with the program or may have experience with the program in the future.</w:t>
      </w:r>
    </w:p>
    <w:p w:rsidR="00B05ACA" w:rsidRPr="00A51DF8" w:rsidRDefault="00B05ACA" w:rsidP="00B05ACA">
      <w:pPr>
        <w:rPr>
          <w:rFonts w:asciiTheme="majorBidi" w:hAnsiTheme="majorBidi" w:cstheme="majorBidi"/>
        </w:rPr>
      </w:pPr>
    </w:p>
    <w:p w:rsidR="00B05ACA" w:rsidRPr="00A51DF8" w:rsidRDefault="006E5EA4" w:rsidP="00B05ACA">
      <w:pPr>
        <w:rPr>
          <w:rFonts w:asciiTheme="majorBidi" w:hAnsiTheme="majorBidi" w:cstheme="majorBidi"/>
        </w:rPr>
      </w:pPr>
      <w:r w:rsidRPr="00885521">
        <w:rPr>
          <w:rFonts w:asciiTheme="majorBidi" w:hAnsiTheme="majorBidi" w:cstheme="majorBidi"/>
        </w:rPr>
        <w:t>Name:</w:t>
      </w:r>
      <w:r w:rsidR="000E3252" w:rsidRPr="000E3252">
        <w:rPr>
          <w:rFonts w:asciiTheme="majorBidi" w:hAnsiTheme="majorBidi" w:cstheme="majorBidi"/>
        </w:rPr>
        <w:t xml:space="preserve"> </w:t>
      </w:r>
      <w:r w:rsidR="001664BA" w:rsidRPr="000E3252">
        <w:rPr>
          <w:rFonts w:asciiTheme="majorBidi" w:hAnsiTheme="majorBidi" w:cstheme="majorBidi"/>
          <w:u w:val="single"/>
        </w:rPr>
        <w:t>Doris Lefkowitz</w:t>
      </w:r>
    </w:p>
    <w:p w:rsidR="00B05ACA" w:rsidRPr="00A51DF8" w:rsidRDefault="00B05ACA" w:rsidP="00B05ACA">
      <w:pPr>
        <w:pStyle w:val="ListParagraph"/>
        <w:ind w:left="360"/>
        <w:rPr>
          <w:rFonts w:asciiTheme="majorBidi" w:hAnsiTheme="majorBidi" w:cstheme="majorBidi"/>
        </w:rPr>
      </w:pPr>
    </w:p>
    <w:p w:rsidR="00B05ACA" w:rsidRPr="00A51DF8" w:rsidRDefault="00B05ACA" w:rsidP="00B05ACA">
      <w:pPr>
        <w:rPr>
          <w:rFonts w:asciiTheme="majorBidi" w:hAnsiTheme="majorBidi" w:cstheme="majorBidi"/>
        </w:rPr>
      </w:pPr>
      <w:r w:rsidRPr="00A51DF8">
        <w:rPr>
          <w:rFonts w:asciiTheme="majorBidi" w:hAnsiTheme="majorBidi" w:cstheme="majorBidi"/>
        </w:rPr>
        <w:t>To assist review, please provide answers to the following question:</w:t>
      </w:r>
    </w:p>
    <w:p w:rsidR="00B05ACA" w:rsidRPr="00A51DF8" w:rsidRDefault="00B05ACA" w:rsidP="00B05ACA">
      <w:pPr>
        <w:rPr>
          <w:rFonts w:asciiTheme="majorBidi" w:hAnsiTheme="majorBidi" w:cstheme="majorBidi"/>
          <w:b/>
        </w:rPr>
      </w:pPr>
      <w:r w:rsidRPr="00A51DF8">
        <w:rPr>
          <w:rFonts w:asciiTheme="majorBidi" w:hAnsiTheme="majorBidi" w:cstheme="majorBidi"/>
          <w:b/>
        </w:rPr>
        <w:t>Personally Identifiable Information:</w:t>
      </w:r>
    </w:p>
    <w:p w:rsidR="00B05ACA" w:rsidRPr="00A51DF8" w:rsidRDefault="00B05ACA" w:rsidP="00B05ACA">
      <w:pPr>
        <w:pStyle w:val="ListParagraph"/>
        <w:numPr>
          <w:ilvl w:val="0"/>
          <w:numId w:val="4"/>
        </w:numPr>
        <w:spacing w:after="0" w:line="240" w:lineRule="auto"/>
        <w:rPr>
          <w:rFonts w:asciiTheme="majorBidi" w:hAnsiTheme="majorBidi" w:cstheme="majorBidi"/>
        </w:rPr>
      </w:pPr>
      <w:r w:rsidRPr="00A51DF8">
        <w:rPr>
          <w:rFonts w:asciiTheme="majorBidi" w:hAnsiTheme="majorBidi" w:cstheme="majorBidi"/>
        </w:rPr>
        <w:t>Is personally identifiable i</w:t>
      </w:r>
      <w:r w:rsidR="006E5EA4" w:rsidRPr="00A51DF8">
        <w:rPr>
          <w:rFonts w:asciiTheme="majorBidi" w:hAnsiTheme="majorBidi" w:cstheme="majorBidi"/>
        </w:rPr>
        <w:t>nformation (PII) collected?  [X</w:t>
      </w:r>
      <w:r w:rsidRPr="00A51DF8">
        <w:rPr>
          <w:rFonts w:asciiTheme="majorBidi" w:hAnsiTheme="majorBidi" w:cstheme="majorBidi"/>
        </w:rPr>
        <w:t xml:space="preserve">] Yes  [ ]  No </w:t>
      </w:r>
    </w:p>
    <w:p w:rsidR="00B05ACA" w:rsidRPr="00A51DF8" w:rsidRDefault="00B05ACA" w:rsidP="00B05ACA">
      <w:pPr>
        <w:pStyle w:val="ListParagraph"/>
        <w:numPr>
          <w:ilvl w:val="0"/>
          <w:numId w:val="4"/>
        </w:numPr>
        <w:spacing w:after="0" w:line="240" w:lineRule="auto"/>
        <w:rPr>
          <w:rFonts w:asciiTheme="majorBidi" w:hAnsiTheme="majorBidi" w:cstheme="majorBidi"/>
        </w:rPr>
      </w:pPr>
      <w:r w:rsidRPr="00DE17C0">
        <w:rPr>
          <w:rFonts w:asciiTheme="majorBidi" w:hAnsiTheme="majorBidi" w:cstheme="majorBidi"/>
        </w:rPr>
        <w:t xml:space="preserve">If </w:t>
      </w:r>
      <w:proofErr w:type="gramStart"/>
      <w:r w:rsidRPr="00DE17C0">
        <w:rPr>
          <w:rFonts w:asciiTheme="majorBidi" w:hAnsiTheme="majorBidi" w:cstheme="majorBidi"/>
        </w:rPr>
        <w:t>Yes</w:t>
      </w:r>
      <w:proofErr w:type="gramEnd"/>
      <w:r w:rsidRPr="00DE17C0">
        <w:rPr>
          <w:rFonts w:asciiTheme="majorBidi" w:hAnsiTheme="majorBidi" w:cstheme="majorBidi"/>
        </w:rPr>
        <w:t>, is the information that will be collected included in records that are subject to the Pri</w:t>
      </w:r>
      <w:r w:rsidR="006E5EA4" w:rsidRPr="00DE17C0">
        <w:rPr>
          <w:rFonts w:asciiTheme="majorBidi" w:hAnsiTheme="majorBidi" w:cstheme="majorBidi"/>
        </w:rPr>
        <w:t>vacy Ac</w:t>
      </w:r>
      <w:r w:rsidR="00775DBC" w:rsidRPr="00DE17C0">
        <w:rPr>
          <w:rFonts w:asciiTheme="majorBidi" w:hAnsiTheme="majorBidi" w:cstheme="majorBidi"/>
        </w:rPr>
        <w:t>t of 1974?   [  ] Yes</w:t>
      </w:r>
      <w:r w:rsidR="00775DBC" w:rsidRPr="00A51DF8">
        <w:rPr>
          <w:rFonts w:asciiTheme="majorBidi" w:hAnsiTheme="majorBidi" w:cstheme="majorBidi"/>
        </w:rPr>
        <w:t xml:space="preserve"> [X</w:t>
      </w:r>
      <w:r w:rsidRPr="00A51DF8">
        <w:rPr>
          <w:rFonts w:asciiTheme="majorBidi" w:hAnsiTheme="majorBidi" w:cstheme="majorBidi"/>
        </w:rPr>
        <w:t xml:space="preserve">] No   </w:t>
      </w:r>
    </w:p>
    <w:p w:rsidR="00B05ACA" w:rsidRPr="00A51DF8" w:rsidRDefault="00B05ACA" w:rsidP="00B05ACA">
      <w:pPr>
        <w:pStyle w:val="ListParagraph"/>
        <w:numPr>
          <w:ilvl w:val="0"/>
          <w:numId w:val="4"/>
        </w:numPr>
        <w:spacing w:after="0" w:line="240" w:lineRule="auto"/>
        <w:rPr>
          <w:rFonts w:asciiTheme="majorBidi" w:hAnsiTheme="majorBidi" w:cstheme="majorBidi"/>
        </w:rPr>
      </w:pPr>
      <w:r w:rsidRPr="00A51DF8">
        <w:rPr>
          <w:rFonts w:asciiTheme="majorBidi" w:hAnsiTheme="majorBidi" w:cstheme="majorBidi"/>
        </w:rPr>
        <w:t>If Applicable, has a System or Records Notice been published?  [  ] Yes  [  ] No</w:t>
      </w:r>
    </w:p>
    <w:p w:rsidR="00B05ACA" w:rsidRPr="00A51DF8" w:rsidRDefault="00B05ACA" w:rsidP="00B05ACA">
      <w:pPr>
        <w:pStyle w:val="ListParagraph"/>
        <w:ind w:left="0"/>
        <w:rPr>
          <w:rFonts w:asciiTheme="majorBidi" w:hAnsiTheme="majorBidi" w:cstheme="majorBidi"/>
          <w:b/>
        </w:rPr>
      </w:pPr>
    </w:p>
    <w:p w:rsidR="00B05ACA" w:rsidRPr="00A51DF8" w:rsidRDefault="00B05ACA" w:rsidP="00B05ACA">
      <w:pPr>
        <w:pStyle w:val="ListParagraph"/>
        <w:ind w:left="0"/>
        <w:rPr>
          <w:rFonts w:asciiTheme="majorBidi" w:hAnsiTheme="majorBidi" w:cstheme="majorBidi"/>
          <w:b/>
        </w:rPr>
      </w:pPr>
      <w:r w:rsidRPr="00A51DF8">
        <w:rPr>
          <w:rFonts w:asciiTheme="majorBidi" w:hAnsiTheme="majorBidi" w:cstheme="majorBidi"/>
          <w:b/>
        </w:rPr>
        <w:t>Gifts or Payments:</w:t>
      </w:r>
    </w:p>
    <w:p w:rsidR="00E85695" w:rsidRDefault="00B05ACA" w:rsidP="00B05ACA">
      <w:pPr>
        <w:rPr>
          <w:rFonts w:asciiTheme="majorBidi" w:hAnsiTheme="majorBidi" w:cstheme="majorBidi"/>
        </w:rPr>
      </w:pPr>
      <w:r w:rsidRPr="00A51DF8">
        <w:rPr>
          <w:rFonts w:asciiTheme="majorBidi" w:hAnsiTheme="majorBidi" w:cstheme="majorBidi"/>
        </w:rPr>
        <w:t>Is an incentive (e.g., money or reimbursement of expenses, token of appreciation</w:t>
      </w:r>
      <w:r w:rsidR="006E5EA4" w:rsidRPr="00A51DF8">
        <w:rPr>
          <w:rFonts w:asciiTheme="majorBidi" w:hAnsiTheme="majorBidi" w:cstheme="majorBidi"/>
        </w:rPr>
        <w:t xml:space="preserve">) provided to participants? </w:t>
      </w:r>
    </w:p>
    <w:p w:rsidR="00B05ACA" w:rsidRDefault="006E5EA4" w:rsidP="00B05ACA">
      <w:pPr>
        <w:rPr>
          <w:rFonts w:asciiTheme="majorBidi" w:hAnsiTheme="majorBidi" w:cstheme="majorBidi"/>
        </w:rPr>
      </w:pPr>
      <w:r w:rsidRPr="00A51DF8">
        <w:rPr>
          <w:rFonts w:asciiTheme="majorBidi" w:hAnsiTheme="majorBidi" w:cstheme="majorBidi"/>
        </w:rPr>
        <w:t xml:space="preserve"> [X</w:t>
      </w:r>
      <w:r w:rsidR="00B05ACA" w:rsidRPr="00A51DF8">
        <w:rPr>
          <w:rFonts w:asciiTheme="majorBidi" w:hAnsiTheme="majorBidi" w:cstheme="majorBidi"/>
        </w:rPr>
        <w:t xml:space="preserve">] Yes [  ] No  </w:t>
      </w:r>
    </w:p>
    <w:p w:rsidR="00520C1C" w:rsidRPr="00520C1C" w:rsidRDefault="00520C1C" w:rsidP="00443370">
      <w:pPr>
        <w:rPr>
          <w:sz w:val="24"/>
          <w:szCs w:val="24"/>
        </w:rPr>
      </w:pPr>
      <w:r w:rsidRPr="006957BA">
        <w:rPr>
          <w:sz w:val="24"/>
          <w:szCs w:val="24"/>
        </w:rPr>
        <w:t>AHRQ will offer eligible persons $</w:t>
      </w:r>
      <w:r w:rsidR="00443370">
        <w:rPr>
          <w:sz w:val="24"/>
          <w:szCs w:val="24"/>
        </w:rPr>
        <w:t>150</w:t>
      </w:r>
      <w:r w:rsidRPr="006957BA">
        <w:rPr>
          <w:sz w:val="24"/>
          <w:szCs w:val="24"/>
        </w:rPr>
        <w:t xml:space="preserve"> as an incentive to participate in the focus groups.  This is currently the standard payment</w:t>
      </w:r>
      <w:r w:rsidR="00443370">
        <w:rPr>
          <w:sz w:val="24"/>
          <w:szCs w:val="24"/>
        </w:rPr>
        <w:t xml:space="preserve"> to health IT professionals</w:t>
      </w:r>
      <w:r w:rsidRPr="006957BA">
        <w:rPr>
          <w:sz w:val="24"/>
          <w:szCs w:val="24"/>
        </w:rPr>
        <w:t xml:space="preserve"> for participation in focus groups lasting up to 90 minutes.  In order to take part in these activities, participants will have to find transportation to a centrally-located facility</w:t>
      </w:r>
      <w:r>
        <w:rPr>
          <w:sz w:val="24"/>
          <w:szCs w:val="24"/>
        </w:rPr>
        <w:t xml:space="preserve"> or make </w:t>
      </w:r>
      <w:proofErr w:type="gramStart"/>
      <w:r>
        <w:rPr>
          <w:sz w:val="24"/>
          <w:szCs w:val="24"/>
        </w:rPr>
        <w:t>themselves</w:t>
      </w:r>
      <w:proofErr w:type="gramEnd"/>
      <w:r>
        <w:rPr>
          <w:sz w:val="24"/>
          <w:szCs w:val="24"/>
        </w:rPr>
        <w:t xml:space="preserve"> available online at a particular time</w:t>
      </w:r>
      <w:r w:rsidRPr="006957BA">
        <w:rPr>
          <w:sz w:val="24"/>
          <w:szCs w:val="24"/>
        </w:rPr>
        <w:t xml:space="preserve">.  Although it may be possible to conduct this study while providing a smaller incentive amount to participants, experience suggests that doing so would increase the resources needed for recruiting participants with the desired background, thus increasing the overall project cost to the government. </w:t>
      </w:r>
    </w:p>
    <w:p w:rsidR="00B05ACA" w:rsidRDefault="00B05ACA" w:rsidP="00B05ACA">
      <w:pPr>
        <w:rPr>
          <w:rFonts w:asciiTheme="majorBidi" w:hAnsiTheme="majorBidi" w:cstheme="majorBidi"/>
        </w:rPr>
      </w:pPr>
      <w:r w:rsidRPr="00A51DF8">
        <w:rPr>
          <w:rFonts w:asciiTheme="majorBidi" w:hAnsiTheme="majorBidi" w:cstheme="majorBidi"/>
          <w:b/>
        </w:rPr>
        <w:lastRenderedPageBreak/>
        <w:t>BURDEN HOURS</w:t>
      </w:r>
      <w:r w:rsidRPr="00A51DF8">
        <w:rPr>
          <w:rFonts w:asciiTheme="majorBidi" w:hAnsiTheme="majorBidi" w:cstheme="majorBidi"/>
        </w:rPr>
        <w:t xml:space="preserve"> </w:t>
      </w:r>
    </w:p>
    <w:p w:rsidR="00B672CC" w:rsidRDefault="000E3252">
      <w:pPr>
        <w:spacing w:after="0" w:line="240" w:lineRule="auto"/>
        <w:rPr>
          <w:rFonts w:asciiTheme="majorBidi" w:hAnsiTheme="majorBidi" w:cstheme="majorBidi"/>
        </w:rPr>
      </w:pPr>
      <w:r>
        <w:rPr>
          <w:rFonts w:asciiTheme="majorBidi" w:hAnsiTheme="majorBidi" w:cstheme="majorBidi"/>
        </w:rPr>
        <w:t>Screening Instrument</w:t>
      </w:r>
    </w:p>
    <w:tbl>
      <w:tblPr>
        <w:tblStyle w:val="TableGrid"/>
        <w:tblW w:w="9661" w:type="dxa"/>
        <w:tblLayout w:type="fixed"/>
        <w:tblLook w:val="01E0"/>
      </w:tblPr>
      <w:tblGrid>
        <w:gridCol w:w="5418"/>
        <w:gridCol w:w="1530"/>
        <w:gridCol w:w="1710"/>
        <w:gridCol w:w="1003"/>
      </w:tblGrid>
      <w:tr w:rsidR="000E3252" w:rsidRPr="00A51DF8" w:rsidTr="00B672CC">
        <w:trPr>
          <w:trHeight w:val="274"/>
        </w:trPr>
        <w:tc>
          <w:tcPr>
            <w:tcW w:w="5418" w:type="dxa"/>
          </w:tcPr>
          <w:p w:rsidR="000E3252" w:rsidRPr="00A51DF8" w:rsidRDefault="000E3252" w:rsidP="000E3252">
            <w:pPr>
              <w:rPr>
                <w:rFonts w:asciiTheme="majorBidi" w:hAnsiTheme="majorBidi" w:cstheme="majorBidi"/>
                <w:b/>
              </w:rPr>
            </w:pPr>
            <w:r w:rsidRPr="00A51DF8">
              <w:rPr>
                <w:rFonts w:asciiTheme="majorBidi" w:hAnsiTheme="majorBidi" w:cstheme="majorBidi"/>
                <w:b/>
              </w:rPr>
              <w:t xml:space="preserve">Category of Respondent </w:t>
            </w:r>
          </w:p>
        </w:tc>
        <w:tc>
          <w:tcPr>
            <w:tcW w:w="1530" w:type="dxa"/>
          </w:tcPr>
          <w:p w:rsidR="000E3252" w:rsidRPr="00A51DF8" w:rsidRDefault="000E3252" w:rsidP="00B672CC">
            <w:pPr>
              <w:rPr>
                <w:rFonts w:asciiTheme="majorBidi" w:hAnsiTheme="majorBidi" w:cstheme="majorBidi"/>
                <w:b/>
              </w:rPr>
            </w:pPr>
            <w:r w:rsidRPr="00A51DF8">
              <w:rPr>
                <w:rFonts w:asciiTheme="majorBidi" w:hAnsiTheme="majorBidi" w:cstheme="majorBidi"/>
                <w:b/>
              </w:rPr>
              <w:t>No. of Respondents</w:t>
            </w:r>
          </w:p>
        </w:tc>
        <w:tc>
          <w:tcPr>
            <w:tcW w:w="1710" w:type="dxa"/>
          </w:tcPr>
          <w:p w:rsidR="000E3252" w:rsidRPr="00A51DF8" w:rsidRDefault="000E3252" w:rsidP="00B672CC">
            <w:pPr>
              <w:rPr>
                <w:rFonts w:asciiTheme="majorBidi" w:hAnsiTheme="majorBidi" w:cstheme="majorBidi"/>
                <w:b/>
              </w:rPr>
            </w:pPr>
            <w:r w:rsidRPr="00A51DF8">
              <w:rPr>
                <w:rFonts w:asciiTheme="majorBidi" w:hAnsiTheme="majorBidi" w:cstheme="majorBidi"/>
                <w:b/>
              </w:rPr>
              <w:t>Participation Time</w:t>
            </w:r>
          </w:p>
        </w:tc>
        <w:tc>
          <w:tcPr>
            <w:tcW w:w="1003" w:type="dxa"/>
          </w:tcPr>
          <w:p w:rsidR="000E3252" w:rsidRPr="00A51DF8" w:rsidRDefault="000E3252" w:rsidP="00B672CC">
            <w:pPr>
              <w:rPr>
                <w:rFonts w:asciiTheme="majorBidi" w:hAnsiTheme="majorBidi" w:cstheme="majorBidi"/>
                <w:b/>
              </w:rPr>
            </w:pPr>
            <w:r w:rsidRPr="00A51DF8">
              <w:rPr>
                <w:rFonts w:asciiTheme="majorBidi" w:hAnsiTheme="majorBidi" w:cstheme="majorBidi"/>
                <w:b/>
              </w:rPr>
              <w:t>Burden</w:t>
            </w:r>
            <w:r>
              <w:rPr>
                <w:rFonts w:asciiTheme="majorBidi" w:hAnsiTheme="majorBidi" w:cstheme="majorBidi"/>
                <w:b/>
              </w:rPr>
              <w:t xml:space="preserve">        Hours</w:t>
            </w:r>
          </w:p>
        </w:tc>
      </w:tr>
      <w:tr w:rsidR="000E3252" w:rsidRPr="00A51DF8" w:rsidTr="00B672CC">
        <w:trPr>
          <w:trHeight w:val="274"/>
        </w:trPr>
        <w:tc>
          <w:tcPr>
            <w:tcW w:w="5418" w:type="dxa"/>
          </w:tcPr>
          <w:p w:rsidR="000E3252" w:rsidRPr="00A51DF8" w:rsidRDefault="000E3252" w:rsidP="00B672CC">
            <w:pPr>
              <w:rPr>
                <w:rFonts w:asciiTheme="majorBidi" w:hAnsiTheme="majorBidi" w:cstheme="majorBidi"/>
              </w:rPr>
            </w:pPr>
            <w:r>
              <w:t>Private Sector</w:t>
            </w:r>
          </w:p>
        </w:tc>
        <w:tc>
          <w:tcPr>
            <w:tcW w:w="1530" w:type="dxa"/>
          </w:tcPr>
          <w:p w:rsidR="000E3252" w:rsidRPr="00A51DF8" w:rsidRDefault="000E3252" w:rsidP="00B672CC">
            <w:pPr>
              <w:rPr>
                <w:rFonts w:asciiTheme="majorBidi" w:hAnsiTheme="majorBidi" w:cstheme="majorBidi"/>
              </w:rPr>
            </w:pPr>
            <w:r>
              <w:rPr>
                <w:rFonts w:asciiTheme="majorBidi" w:hAnsiTheme="majorBidi" w:cstheme="majorBidi"/>
              </w:rPr>
              <w:t>126</w:t>
            </w:r>
          </w:p>
        </w:tc>
        <w:tc>
          <w:tcPr>
            <w:tcW w:w="1710" w:type="dxa"/>
          </w:tcPr>
          <w:p w:rsidR="000E3252" w:rsidRPr="00A51DF8" w:rsidRDefault="000E3252" w:rsidP="00B672CC">
            <w:pPr>
              <w:rPr>
                <w:rFonts w:asciiTheme="majorBidi" w:hAnsiTheme="majorBidi" w:cstheme="majorBidi"/>
              </w:rPr>
            </w:pPr>
            <w:r>
              <w:rPr>
                <w:rFonts w:asciiTheme="majorBidi" w:hAnsiTheme="majorBidi" w:cstheme="majorBidi"/>
              </w:rPr>
              <w:t>5</w:t>
            </w:r>
            <w:r w:rsidRPr="00A51DF8">
              <w:rPr>
                <w:rFonts w:asciiTheme="majorBidi" w:hAnsiTheme="majorBidi" w:cstheme="majorBidi"/>
              </w:rPr>
              <w:t xml:space="preserve"> minutes</w:t>
            </w:r>
          </w:p>
        </w:tc>
        <w:tc>
          <w:tcPr>
            <w:tcW w:w="1003" w:type="dxa"/>
          </w:tcPr>
          <w:p w:rsidR="000E3252" w:rsidRPr="00A51DF8" w:rsidRDefault="000E3252" w:rsidP="00B672CC">
            <w:pPr>
              <w:rPr>
                <w:rFonts w:asciiTheme="majorBidi" w:hAnsiTheme="majorBidi" w:cstheme="majorBidi"/>
              </w:rPr>
            </w:pPr>
            <w:r>
              <w:rPr>
                <w:rFonts w:asciiTheme="majorBidi" w:hAnsiTheme="majorBidi" w:cstheme="majorBidi"/>
              </w:rPr>
              <w:t>11</w:t>
            </w:r>
          </w:p>
        </w:tc>
      </w:tr>
      <w:tr w:rsidR="000E3252" w:rsidRPr="00A51DF8" w:rsidTr="00B672CC">
        <w:trPr>
          <w:trHeight w:val="289"/>
        </w:trPr>
        <w:tc>
          <w:tcPr>
            <w:tcW w:w="5418" w:type="dxa"/>
          </w:tcPr>
          <w:p w:rsidR="000E3252" w:rsidRPr="00A51DF8" w:rsidRDefault="000E3252" w:rsidP="00B672CC">
            <w:pPr>
              <w:rPr>
                <w:rFonts w:asciiTheme="majorBidi" w:hAnsiTheme="majorBidi" w:cstheme="majorBidi"/>
                <w:b/>
              </w:rPr>
            </w:pPr>
            <w:r w:rsidRPr="00A51DF8">
              <w:rPr>
                <w:rFonts w:asciiTheme="majorBidi" w:hAnsiTheme="majorBidi" w:cstheme="majorBidi"/>
                <w:b/>
              </w:rPr>
              <w:t>Totals</w:t>
            </w:r>
          </w:p>
        </w:tc>
        <w:tc>
          <w:tcPr>
            <w:tcW w:w="1530" w:type="dxa"/>
          </w:tcPr>
          <w:p w:rsidR="000E3252" w:rsidRPr="00A51DF8" w:rsidRDefault="000E3252" w:rsidP="00B672CC">
            <w:pPr>
              <w:rPr>
                <w:rFonts w:asciiTheme="majorBidi" w:hAnsiTheme="majorBidi" w:cstheme="majorBidi"/>
                <w:b/>
              </w:rPr>
            </w:pPr>
            <w:r>
              <w:rPr>
                <w:rFonts w:asciiTheme="majorBidi" w:hAnsiTheme="majorBidi" w:cstheme="majorBidi"/>
                <w:b/>
              </w:rPr>
              <w:t>126</w:t>
            </w:r>
          </w:p>
        </w:tc>
        <w:tc>
          <w:tcPr>
            <w:tcW w:w="1710" w:type="dxa"/>
          </w:tcPr>
          <w:p w:rsidR="000E3252" w:rsidRPr="00A51DF8" w:rsidRDefault="000E3252" w:rsidP="00B672CC">
            <w:pPr>
              <w:rPr>
                <w:rFonts w:asciiTheme="majorBidi" w:hAnsiTheme="majorBidi" w:cstheme="majorBidi"/>
                <w:b/>
                <w:bCs/>
              </w:rPr>
            </w:pPr>
            <w:r>
              <w:rPr>
                <w:rFonts w:asciiTheme="majorBidi" w:hAnsiTheme="majorBidi" w:cstheme="majorBidi"/>
                <w:b/>
                <w:bCs/>
              </w:rPr>
              <w:t>5</w:t>
            </w:r>
            <w:r w:rsidRPr="00A51DF8">
              <w:rPr>
                <w:rFonts w:asciiTheme="majorBidi" w:hAnsiTheme="majorBidi" w:cstheme="majorBidi"/>
                <w:b/>
                <w:bCs/>
              </w:rPr>
              <w:t xml:space="preserve"> minutes</w:t>
            </w:r>
          </w:p>
        </w:tc>
        <w:tc>
          <w:tcPr>
            <w:tcW w:w="1003" w:type="dxa"/>
          </w:tcPr>
          <w:p w:rsidR="000E3252" w:rsidRPr="00A51DF8" w:rsidRDefault="000E3252" w:rsidP="000E3252">
            <w:pPr>
              <w:rPr>
                <w:rFonts w:asciiTheme="majorBidi" w:hAnsiTheme="majorBidi" w:cstheme="majorBidi"/>
                <w:b/>
              </w:rPr>
            </w:pPr>
            <w:r>
              <w:rPr>
                <w:rFonts w:asciiTheme="majorBidi" w:hAnsiTheme="majorBidi" w:cstheme="majorBidi"/>
                <w:b/>
              </w:rPr>
              <w:t>11</w:t>
            </w:r>
          </w:p>
        </w:tc>
      </w:tr>
    </w:tbl>
    <w:p w:rsidR="00B672CC" w:rsidRDefault="00B672CC">
      <w:pPr>
        <w:spacing w:after="0" w:line="240" w:lineRule="auto"/>
        <w:rPr>
          <w:rFonts w:asciiTheme="majorBidi" w:hAnsiTheme="majorBidi" w:cstheme="majorBidi"/>
          <w:i/>
        </w:rPr>
      </w:pPr>
    </w:p>
    <w:p w:rsidR="00B672CC" w:rsidRDefault="000E3252">
      <w:pPr>
        <w:spacing w:after="0" w:line="240" w:lineRule="auto"/>
        <w:rPr>
          <w:rFonts w:asciiTheme="majorBidi" w:hAnsiTheme="majorBidi" w:cstheme="majorBidi"/>
        </w:rPr>
      </w:pPr>
      <w:r>
        <w:rPr>
          <w:rFonts w:asciiTheme="majorBidi" w:hAnsiTheme="majorBidi" w:cstheme="majorBidi"/>
        </w:rPr>
        <w:t>Focus Groups</w:t>
      </w:r>
    </w:p>
    <w:tbl>
      <w:tblPr>
        <w:tblStyle w:val="TableGrid"/>
        <w:tblW w:w="9661" w:type="dxa"/>
        <w:tblLayout w:type="fixed"/>
        <w:tblLook w:val="01E0"/>
      </w:tblPr>
      <w:tblGrid>
        <w:gridCol w:w="5418"/>
        <w:gridCol w:w="1530"/>
        <w:gridCol w:w="1710"/>
        <w:gridCol w:w="1003"/>
      </w:tblGrid>
      <w:tr w:rsidR="00B05ACA" w:rsidRPr="00A51DF8" w:rsidTr="000E07EF">
        <w:trPr>
          <w:trHeight w:val="274"/>
        </w:trPr>
        <w:tc>
          <w:tcPr>
            <w:tcW w:w="5418" w:type="dxa"/>
          </w:tcPr>
          <w:p w:rsidR="00B05ACA" w:rsidRPr="00A51DF8" w:rsidRDefault="00B05ACA" w:rsidP="000E3252">
            <w:pPr>
              <w:rPr>
                <w:rFonts w:asciiTheme="majorBidi" w:hAnsiTheme="majorBidi" w:cstheme="majorBidi"/>
                <w:b/>
              </w:rPr>
            </w:pPr>
            <w:r w:rsidRPr="00A51DF8">
              <w:rPr>
                <w:rFonts w:asciiTheme="majorBidi" w:hAnsiTheme="majorBidi" w:cstheme="majorBidi"/>
                <w:b/>
              </w:rPr>
              <w:t xml:space="preserve">Category of Respondent </w:t>
            </w:r>
          </w:p>
        </w:tc>
        <w:tc>
          <w:tcPr>
            <w:tcW w:w="1530" w:type="dxa"/>
          </w:tcPr>
          <w:p w:rsidR="00B05ACA" w:rsidRPr="00A51DF8" w:rsidRDefault="00B05ACA" w:rsidP="000E07EF">
            <w:pPr>
              <w:rPr>
                <w:rFonts w:asciiTheme="majorBidi" w:hAnsiTheme="majorBidi" w:cstheme="majorBidi"/>
                <w:b/>
              </w:rPr>
            </w:pPr>
            <w:r w:rsidRPr="00A51DF8">
              <w:rPr>
                <w:rFonts w:asciiTheme="majorBidi" w:hAnsiTheme="majorBidi" w:cstheme="majorBidi"/>
                <w:b/>
              </w:rPr>
              <w:t>No. of Respondents</w:t>
            </w:r>
          </w:p>
        </w:tc>
        <w:tc>
          <w:tcPr>
            <w:tcW w:w="1710" w:type="dxa"/>
          </w:tcPr>
          <w:p w:rsidR="00B05ACA" w:rsidRPr="00A51DF8" w:rsidRDefault="00B05ACA" w:rsidP="000E07EF">
            <w:pPr>
              <w:rPr>
                <w:rFonts w:asciiTheme="majorBidi" w:hAnsiTheme="majorBidi" w:cstheme="majorBidi"/>
                <w:b/>
              </w:rPr>
            </w:pPr>
            <w:r w:rsidRPr="00A51DF8">
              <w:rPr>
                <w:rFonts w:asciiTheme="majorBidi" w:hAnsiTheme="majorBidi" w:cstheme="majorBidi"/>
                <w:b/>
              </w:rPr>
              <w:t>Participation Time</w:t>
            </w:r>
          </w:p>
        </w:tc>
        <w:tc>
          <w:tcPr>
            <w:tcW w:w="1003" w:type="dxa"/>
          </w:tcPr>
          <w:p w:rsidR="00B05ACA" w:rsidRPr="00A51DF8" w:rsidRDefault="00B05ACA" w:rsidP="000E07EF">
            <w:pPr>
              <w:rPr>
                <w:rFonts w:asciiTheme="majorBidi" w:hAnsiTheme="majorBidi" w:cstheme="majorBidi"/>
                <w:b/>
              </w:rPr>
            </w:pPr>
            <w:r w:rsidRPr="00A51DF8">
              <w:rPr>
                <w:rFonts w:asciiTheme="majorBidi" w:hAnsiTheme="majorBidi" w:cstheme="majorBidi"/>
                <w:b/>
              </w:rPr>
              <w:t>Burden</w:t>
            </w:r>
            <w:r w:rsidR="001664BA">
              <w:rPr>
                <w:rFonts w:asciiTheme="majorBidi" w:hAnsiTheme="majorBidi" w:cstheme="majorBidi"/>
                <w:b/>
              </w:rPr>
              <w:t xml:space="preserve">        Hours</w:t>
            </w:r>
          </w:p>
        </w:tc>
      </w:tr>
      <w:tr w:rsidR="00B05ACA" w:rsidRPr="00A51DF8" w:rsidTr="000E07EF">
        <w:trPr>
          <w:trHeight w:val="274"/>
        </w:trPr>
        <w:tc>
          <w:tcPr>
            <w:tcW w:w="5418" w:type="dxa"/>
          </w:tcPr>
          <w:p w:rsidR="00B05ACA" w:rsidRPr="00A51DF8" w:rsidRDefault="001664BA" w:rsidP="000E07EF">
            <w:pPr>
              <w:rPr>
                <w:rFonts w:asciiTheme="majorBidi" w:hAnsiTheme="majorBidi" w:cstheme="majorBidi"/>
              </w:rPr>
            </w:pPr>
            <w:r>
              <w:t>Private Sector</w:t>
            </w:r>
          </w:p>
        </w:tc>
        <w:tc>
          <w:tcPr>
            <w:tcW w:w="1530" w:type="dxa"/>
          </w:tcPr>
          <w:p w:rsidR="00B05ACA" w:rsidRPr="00A51DF8" w:rsidRDefault="001664BA" w:rsidP="000E07EF">
            <w:pPr>
              <w:rPr>
                <w:rFonts w:asciiTheme="majorBidi" w:hAnsiTheme="majorBidi" w:cstheme="majorBidi"/>
              </w:rPr>
            </w:pPr>
            <w:r>
              <w:rPr>
                <w:rFonts w:asciiTheme="majorBidi" w:hAnsiTheme="majorBidi" w:cstheme="majorBidi"/>
              </w:rPr>
              <w:t>63</w:t>
            </w:r>
          </w:p>
        </w:tc>
        <w:tc>
          <w:tcPr>
            <w:tcW w:w="1710" w:type="dxa"/>
          </w:tcPr>
          <w:p w:rsidR="00B05ACA" w:rsidRPr="00A51DF8" w:rsidRDefault="00EA30F9" w:rsidP="000E07EF">
            <w:pPr>
              <w:rPr>
                <w:rFonts w:asciiTheme="majorBidi" w:hAnsiTheme="majorBidi" w:cstheme="majorBidi"/>
              </w:rPr>
            </w:pPr>
            <w:r w:rsidRPr="00A51DF8">
              <w:rPr>
                <w:rFonts w:asciiTheme="majorBidi" w:hAnsiTheme="majorBidi" w:cstheme="majorBidi"/>
              </w:rPr>
              <w:t>90 minutes</w:t>
            </w:r>
          </w:p>
        </w:tc>
        <w:tc>
          <w:tcPr>
            <w:tcW w:w="1003" w:type="dxa"/>
          </w:tcPr>
          <w:p w:rsidR="00B05ACA" w:rsidRPr="00A51DF8" w:rsidRDefault="001664BA" w:rsidP="000E07EF">
            <w:pPr>
              <w:rPr>
                <w:rFonts w:asciiTheme="majorBidi" w:hAnsiTheme="majorBidi" w:cstheme="majorBidi"/>
              </w:rPr>
            </w:pPr>
            <w:r>
              <w:rPr>
                <w:rFonts w:asciiTheme="majorBidi" w:hAnsiTheme="majorBidi" w:cstheme="majorBidi"/>
              </w:rPr>
              <w:t>95</w:t>
            </w:r>
          </w:p>
        </w:tc>
      </w:tr>
      <w:tr w:rsidR="00B05ACA" w:rsidRPr="00A51DF8" w:rsidTr="000E07EF">
        <w:trPr>
          <w:trHeight w:val="289"/>
        </w:trPr>
        <w:tc>
          <w:tcPr>
            <w:tcW w:w="5418" w:type="dxa"/>
          </w:tcPr>
          <w:p w:rsidR="00B05ACA" w:rsidRPr="00A51DF8" w:rsidRDefault="00B05ACA" w:rsidP="000E07EF">
            <w:pPr>
              <w:rPr>
                <w:rFonts w:asciiTheme="majorBidi" w:hAnsiTheme="majorBidi" w:cstheme="majorBidi"/>
                <w:b/>
              </w:rPr>
            </w:pPr>
            <w:r w:rsidRPr="00A51DF8">
              <w:rPr>
                <w:rFonts w:asciiTheme="majorBidi" w:hAnsiTheme="majorBidi" w:cstheme="majorBidi"/>
                <w:b/>
              </w:rPr>
              <w:t>Totals</w:t>
            </w:r>
          </w:p>
        </w:tc>
        <w:tc>
          <w:tcPr>
            <w:tcW w:w="1530" w:type="dxa"/>
          </w:tcPr>
          <w:p w:rsidR="00B05ACA" w:rsidRPr="00A51DF8" w:rsidRDefault="001664BA" w:rsidP="000E07EF">
            <w:pPr>
              <w:rPr>
                <w:rFonts w:asciiTheme="majorBidi" w:hAnsiTheme="majorBidi" w:cstheme="majorBidi"/>
                <w:b/>
              </w:rPr>
            </w:pPr>
            <w:r>
              <w:rPr>
                <w:rFonts w:asciiTheme="majorBidi" w:hAnsiTheme="majorBidi" w:cstheme="majorBidi"/>
                <w:b/>
              </w:rPr>
              <w:t>63</w:t>
            </w:r>
          </w:p>
        </w:tc>
        <w:tc>
          <w:tcPr>
            <w:tcW w:w="1710" w:type="dxa"/>
          </w:tcPr>
          <w:p w:rsidR="00B05ACA" w:rsidRPr="00A51DF8" w:rsidRDefault="00EA30F9" w:rsidP="000E07EF">
            <w:pPr>
              <w:rPr>
                <w:rFonts w:asciiTheme="majorBidi" w:hAnsiTheme="majorBidi" w:cstheme="majorBidi"/>
                <w:b/>
                <w:bCs/>
              </w:rPr>
            </w:pPr>
            <w:r w:rsidRPr="00A51DF8">
              <w:rPr>
                <w:rFonts w:asciiTheme="majorBidi" w:hAnsiTheme="majorBidi" w:cstheme="majorBidi"/>
                <w:b/>
                <w:bCs/>
              </w:rPr>
              <w:t>90 minutes</w:t>
            </w:r>
          </w:p>
        </w:tc>
        <w:tc>
          <w:tcPr>
            <w:tcW w:w="1003" w:type="dxa"/>
          </w:tcPr>
          <w:p w:rsidR="00B05ACA" w:rsidRPr="00A51DF8" w:rsidRDefault="001664BA" w:rsidP="000E07EF">
            <w:pPr>
              <w:rPr>
                <w:rFonts w:asciiTheme="majorBidi" w:hAnsiTheme="majorBidi" w:cstheme="majorBidi"/>
                <w:b/>
              </w:rPr>
            </w:pPr>
            <w:r>
              <w:rPr>
                <w:rFonts w:asciiTheme="majorBidi" w:hAnsiTheme="majorBidi" w:cstheme="majorBidi"/>
                <w:b/>
              </w:rPr>
              <w:t>95</w:t>
            </w:r>
          </w:p>
        </w:tc>
      </w:tr>
    </w:tbl>
    <w:p w:rsidR="00B05ACA" w:rsidRPr="00A51DF8" w:rsidRDefault="00B05ACA" w:rsidP="00B05ACA">
      <w:pPr>
        <w:rPr>
          <w:rFonts w:asciiTheme="majorBidi" w:hAnsiTheme="majorBidi" w:cstheme="majorBidi"/>
        </w:rPr>
      </w:pPr>
    </w:p>
    <w:p w:rsidR="00B05ACA" w:rsidRPr="00A51DF8" w:rsidRDefault="00B05ACA" w:rsidP="00A51DF8">
      <w:pPr>
        <w:rPr>
          <w:rFonts w:asciiTheme="majorBidi" w:hAnsiTheme="majorBidi" w:cstheme="majorBidi"/>
          <w:b/>
        </w:rPr>
      </w:pPr>
      <w:r w:rsidRPr="00A51DF8">
        <w:rPr>
          <w:rFonts w:asciiTheme="majorBidi" w:hAnsiTheme="majorBidi" w:cstheme="majorBidi"/>
          <w:b/>
        </w:rPr>
        <w:t xml:space="preserve">FEDERAL COST:  </w:t>
      </w:r>
      <w:r w:rsidRPr="00A51DF8">
        <w:rPr>
          <w:rFonts w:asciiTheme="majorBidi" w:hAnsiTheme="majorBidi" w:cstheme="majorBidi"/>
        </w:rPr>
        <w:t xml:space="preserve">The estimated annual cost to the Federal government </w:t>
      </w:r>
      <w:r w:rsidR="00A51DF8" w:rsidRPr="00A51DF8">
        <w:rPr>
          <w:rFonts w:asciiTheme="majorBidi" w:hAnsiTheme="majorBidi" w:cstheme="majorBidi"/>
        </w:rPr>
        <w:t>is $</w:t>
      </w:r>
      <w:r w:rsidR="000E3252">
        <w:rPr>
          <w:rFonts w:asciiTheme="majorBidi" w:hAnsiTheme="majorBidi" w:cstheme="majorBidi"/>
          <w:u w:val="single"/>
        </w:rPr>
        <w:t>170</w:t>
      </w:r>
      <w:r w:rsidR="00A51DF8" w:rsidRPr="00A51DF8">
        <w:rPr>
          <w:rFonts w:asciiTheme="majorBidi" w:hAnsiTheme="majorBidi" w:cstheme="majorBidi"/>
          <w:u w:val="single"/>
        </w:rPr>
        <w:t>,</w:t>
      </w:r>
      <w:r w:rsidR="00A51DF8">
        <w:rPr>
          <w:rFonts w:asciiTheme="majorBidi" w:hAnsiTheme="majorBidi" w:cstheme="majorBidi"/>
          <w:u w:val="single"/>
        </w:rPr>
        <w:t>000</w:t>
      </w:r>
    </w:p>
    <w:p w:rsidR="00B05ACA" w:rsidRPr="00A51DF8" w:rsidRDefault="00B05ACA" w:rsidP="00B05ACA">
      <w:pPr>
        <w:rPr>
          <w:rFonts w:asciiTheme="majorBidi" w:hAnsiTheme="majorBidi" w:cstheme="majorBidi"/>
          <w:b/>
          <w:bCs/>
          <w:u w:val="single"/>
        </w:rPr>
      </w:pPr>
    </w:p>
    <w:p w:rsidR="00B05ACA" w:rsidRPr="00A51DF8" w:rsidRDefault="00B05ACA" w:rsidP="00B05ACA">
      <w:pPr>
        <w:rPr>
          <w:rFonts w:asciiTheme="majorBidi" w:hAnsiTheme="majorBidi" w:cstheme="majorBidi"/>
          <w:b/>
        </w:rPr>
      </w:pPr>
      <w:r w:rsidRPr="00A51DF8">
        <w:rPr>
          <w:rFonts w:asciiTheme="majorBidi" w:hAnsiTheme="majorBidi" w:cstheme="majorBidi"/>
          <w:b/>
          <w:bCs/>
          <w:u w:val="single"/>
        </w:rPr>
        <w:t xml:space="preserve">If you are conducting a focus group, survey, or plan to employ statistical methods, </w:t>
      </w:r>
      <w:proofErr w:type="gramStart"/>
      <w:r w:rsidRPr="00A51DF8">
        <w:rPr>
          <w:rFonts w:asciiTheme="majorBidi" w:hAnsiTheme="majorBidi" w:cstheme="majorBidi"/>
          <w:b/>
          <w:bCs/>
          <w:u w:val="single"/>
        </w:rPr>
        <w:t>please  provide</w:t>
      </w:r>
      <w:proofErr w:type="gramEnd"/>
      <w:r w:rsidRPr="00A51DF8">
        <w:rPr>
          <w:rFonts w:asciiTheme="majorBidi" w:hAnsiTheme="majorBidi" w:cstheme="majorBidi"/>
          <w:b/>
          <w:bCs/>
          <w:u w:val="single"/>
        </w:rPr>
        <w:t xml:space="preserve"> answers to the following questions:</w:t>
      </w:r>
    </w:p>
    <w:p w:rsidR="00B05ACA" w:rsidRPr="00A51DF8" w:rsidRDefault="00B05ACA" w:rsidP="00B05ACA">
      <w:pPr>
        <w:rPr>
          <w:rFonts w:asciiTheme="majorBidi" w:hAnsiTheme="majorBidi" w:cstheme="majorBidi"/>
          <w:b/>
        </w:rPr>
      </w:pPr>
      <w:r w:rsidRPr="00A51DF8">
        <w:rPr>
          <w:rFonts w:asciiTheme="majorBidi" w:hAnsiTheme="majorBidi" w:cstheme="majorBidi"/>
          <w:b/>
        </w:rPr>
        <w:t>The selection of your targeted respondents</w:t>
      </w:r>
    </w:p>
    <w:p w:rsidR="00B05ACA" w:rsidRPr="00A51DF8" w:rsidRDefault="00B05ACA" w:rsidP="00B05ACA">
      <w:pPr>
        <w:pStyle w:val="ListParagraph"/>
        <w:numPr>
          <w:ilvl w:val="0"/>
          <w:numId w:val="2"/>
        </w:numPr>
        <w:spacing w:after="0" w:line="240" w:lineRule="auto"/>
        <w:rPr>
          <w:rFonts w:asciiTheme="majorBidi" w:hAnsiTheme="majorBidi" w:cstheme="majorBidi"/>
        </w:rPr>
      </w:pPr>
      <w:r w:rsidRPr="00A51DF8">
        <w:rPr>
          <w:rFonts w:asciiTheme="majorBidi" w:hAnsiTheme="majorBidi" w:cstheme="majorBidi"/>
        </w:rPr>
        <w:t xml:space="preserve">Do you have a customer list or something similar that defines the universe of potential respondents and do you have a sampling plan for selecting </w:t>
      </w:r>
      <w:r w:rsidR="00EA30F9" w:rsidRPr="00A51DF8">
        <w:rPr>
          <w:rFonts w:asciiTheme="majorBidi" w:hAnsiTheme="majorBidi" w:cstheme="majorBidi"/>
        </w:rPr>
        <w:t>from this unive</w:t>
      </w:r>
      <w:r w:rsidR="001B6437" w:rsidRPr="00A51DF8">
        <w:rPr>
          <w:rFonts w:asciiTheme="majorBidi" w:hAnsiTheme="majorBidi" w:cstheme="majorBidi"/>
        </w:rPr>
        <w:t>rse?</w:t>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r>
      <w:r w:rsidR="001B6437" w:rsidRPr="00A51DF8">
        <w:rPr>
          <w:rFonts w:asciiTheme="majorBidi" w:hAnsiTheme="majorBidi" w:cstheme="majorBidi"/>
        </w:rPr>
        <w:tab/>
        <w:t>[</w:t>
      </w:r>
      <w:r w:rsidR="000E07EF">
        <w:rPr>
          <w:rFonts w:asciiTheme="majorBidi" w:hAnsiTheme="majorBidi" w:cstheme="majorBidi"/>
        </w:rPr>
        <w:t>] Yes</w:t>
      </w:r>
      <w:r w:rsidR="000E07EF">
        <w:rPr>
          <w:rFonts w:asciiTheme="majorBidi" w:hAnsiTheme="majorBidi" w:cstheme="majorBidi"/>
        </w:rPr>
        <w:tab/>
        <w:t>[</w:t>
      </w:r>
      <w:r w:rsidR="00226CE7">
        <w:rPr>
          <w:rFonts w:asciiTheme="majorBidi" w:hAnsiTheme="majorBidi" w:cstheme="majorBidi"/>
        </w:rPr>
        <w:t>X</w:t>
      </w:r>
      <w:r w:rsidRPr="00A51DF8">
        <w:rPr>
          <w:rFonts w:asciiTheme="majorBidi" w:hAnsiTheme="majorBidi" w:cstheme="majorBidi"/>
        </w:rPr>
        <w:t>] No</w:t>
      </w:r>
    </w:p>
    <w:p w:rsidR="00B05ACA" w:rsidRPr="00A51DF8" w:rsidRDefault="00B05ACA" w:rsidP="00B05ACA">
      <w:pPr>
        <w:pStyle w:val="ListParagraph"/>
        <w:rPr>
          <w:rFonts w:asciiTheme="majorBidi" w:hAnsiTheme="majorBidi" w:cstheme="majorBidi"/>
        </w:rPr>
      </w:pPr>
    </w:p>
    <w:p w:rsidR="00B05ACA" w:rsidRPr="00A51DF8" w:rsidRDefault="00B05ACA" w:rsidP="00B05ACA">
      <w:pPr>
        <w:rPr>
          <w:rFonts w:asciiTheme="majorBidi" w:hAnsiTheme="majorBidi" w:cstheme="majorBidi"/>
        </w:rPr>
      </w:pPr>
      <w:r w:rsidRPr="00A51DF8">
        <w:rPr>
          <w:rFonts w:asciiTheme="majorBidi" w:hAnsiTheme="majorBidi" w:cstheme="majorBidi"/>
        </w:rPr>
        <w:t>If the answer is yes, please provide a description of both below (or attach the sampling plan)?   If the answer is no, please provide a description of how you plan to identify your potential group of respondents and how you will select them?</w:t>
      </w:r>
    </w:p>
    <w:p w:rsidR="00AE77B0" w:rsidRDefault="00EA30F9" w:rsidP="00AE77B0">
      <w:pPr>
        <w:pStyle w:val="Default"/>
        <w:rPr>
          <w:rFonts w:asciiTheme="minorHAnsi" w:hAnsiTheme="minorHAnsi" w:cstheme="majorBidi"/>
        </w:rPr>
      </w:pPr>
      <w:r w:rsidRPr="00DE17C0">
        <w:rPr>
          <w:rFonts w:asciiTheme="minorHAnsi" w:hAnsiTheme="minorHAnsi" w:cstheme="majorBidi"/>
        </w:rPr>
        <w:t>An initial list of organizations from which to recruit respondents</w:t>
      </w:r>
      <w:r w:rsidR="00F627BD" w:rsidRPr="00DE17C0">
        <w:rPr>
          <w:rFonts w:asciiTheme="minorHAnsi" w:hAnsiTheme="minorHAnsi" w:cstheme="majorBidi"/>
        </w:rPr>
        <w:t xml:space="preserve"> (</w:t>
      </w:r>
      <w:r w:rsidR="00F627BD" w:rsidRPr="00DE17C0">
        <w:rPr>
          <w:rFonts w:asciiTheme="minorHAnsi" w:hAnsiTheme="minorHAnsi" w:cstheme="majorBidi"/>
          <w:bCs/>
        </w:rPr>
        <w:t xml:space="preserve">developers and purchasers of </w:t>
      </w:r>
      <w:r w:rsidR="00154FC7" w:rsidRPr="00DE17C0">
        <w:rPr>
          <w:rFonts w:asciiTheme="minorHAnsi" w:hAnsiTheme="minorHAnsi" w:cstheme="majorBidi"/>
          <w:bCs/>
        </w:rPr>
        <w:t xml:space="preserve">consumer </w:t>
      </w:r>
      <w:r w:rsidR="00F627BD" w:rsidRPr="00DE17C0">
        <w:rPr>
          <w:rFonts w:asciiTheme="minorHAnsi" w:hAnsiTheme="minorHAnsi" w:cstheme="majorBidi"/>
          <w:bCs/>
        </w:rPr>
        <w:t>health IT</w:t>
      </w:r>
      <w:r w:rsidR="00F627BD" w:rsidRPr="00DE17C0">
        <w:rPr>
          <w:rFonts w:asciiTheme="minorHAnsi" w:hAnsiTheme="minorHAnsi" w:cstheme="majorBidi"/>
        </w:rPr>
        <w:t>)</w:t>
      </w:r>
      <w:r w:rsidR="00334AE3">
        <w:rPr>
          <w:rFonts w:asciiTheme="minorHAnsi" w:hAnsiTheme="minorHAnsi" w:cstheme="majorBidi"/>
        </w:rPr>
        <w:t>,</w:t>
      </w:r>
      <w:r w:rsidR="00F627BD" w:rsidRPr="00DE17C0">
        <w:rPr>
          <w:rFonts w:asciiTheme="minorHAnsi" w:hAnsiTheme="minorHAnsi" w:cstheme="majorBidi"/>
        </w:rPr>
        <w:t xml:space="preserve"> </w:t>
      </w:r>
      <w:r w:rsidRPr="00DE17C0">
        <w:rPr>
          <w:rFonts w:asciiTheme="minorHAnsi" w:hAnsiTheme="minorHAnsi" w:cstheme="majorBidi"/>
        </w:rPr>
        <w:t xml:space="preserve">will be developed </w:t>
      </w:r>
      <w:r w:rsidR="000E07EF" w:rsidRPr="00DE17C0">
        <w:rPr>
          <w:rFonts w:asciiTheme="minorHAnsi" w:hAnsiTheme="minorHAnsi" w:cstheme="majorBidi"/>
        </w:rPr>
        <w:t>during</w:t>
      </w:r>
      <w:r w:rsidRPr="00DE17C0">
        <w:rPr>
          <w:rFonts w:asciiTheme="minorHAnsi" w:hAnsiTheme="minorHAnsi" w:cstheme="majorBidi"/>
        </w:rPr>
        <w:t xml:space="preserve"> </w:t>
      </w:r>
      <w:r w:rsidR="00F627BD" w:rsidRPr="00DE17C0">
        <w:rPr>
          <w:rFonts w:asciiTheme="minorHAnsi" w:hAnsiTheme="minorHAnsi" w:cstheme="majorBidi"/>
        </w:rPr>
        <w:t>earlier</w:t>
      </w:r>
      <w:r w:rsidRPr="00DE17C0">
        <w:rPr>
          <w:rFonts w:asciiTheme="minorHAnsi" w:hAnsiTheme="minorHAnsi" w:cstheme="majorBidi"/>
        </w:rPr>
        <w:t xml:space="preserve"> tasks</w:t>
      </w:r>
      <w:r w:rsidR="001B6437" w:rsidRPr="00DE17C0">
        <w:rPr>
          <w:rFonts w:asciiTheme="minorHAnsi" w:hAnsiTheme="minorHAnsi" w:cstheme="majorBidi"/>
        </w:rPr>
        <w:t xml:space="preserve"> in the </w:t>
      </w:r>
      <w:r w:rsidR="00334AE3">
        <w:rPr>
          <w:rFonts w:asciiTheme="minorHAnsi" w:hAnsiTheme="minorHAnsi" w:cstheme="majorBidi"/>
        </w:rPr>
        <w:t>project</w:t>
      </w:r>
      <w:r w:rsidRPr="00DE17C0">
        <w:rPr>
          <w:rFonts w:asciiTheme="minorHAnsi" w:hAnsiTheme="minorHAnsi" w:cstheme="majorBidi"/>
        </w:rPr>
        <w:t xml:space="preserve">. </w:t>
      </w:r>
      <w:r w:rsidR="00DE17C0" w:rsidRPr="00DE17C0">
        <w:rPr>
          <w:rFonts w:asciiTheme="minorHAnsi" w:hAnsiTheme="minorHAnsi" w:cstheme="majorBidi"/>
        </w:rPr>
        <w:t xml:space="preserve">These tasks include an environmental scan that will identify best practices </w:t>
      </w:r>
      <w:r w:rsidR="00DE17C0" w:rsidRPr="00DE17C0">
        <w:rPr>
          <w:rFonts w:asciiTheme="minorHAnsi" w:hAnsiTheme="minorHAnsi"/>
        </w:rPr>
        <w:t>pertaining to developing accessible health IT products and a series of interviews with experts in the areas of health literacy, consumer health IT, usability, and human-computer interaction (HCI).</w:t>
      </w:r>
      <w:r w:rsidR="00DE17C0">
        <w:rPr>
          <w:rFonts w:asciiTheme="minorHAnsi" w:hAnsiTheme="minorHAnsi"/>
        </w:rPr>
        <w:t xml:space="preserve"> </w:t>
      </w:r>
      <w:r w:rsidRPr="00DE17C0">
        <w:rPr>
          <w:rFonts w:asciiTheme="minorHAnsi" w:hAnsiTheme="minorHAnsi" w:cstheme="majorBidi"/>
        </w:rPr>
        <w:t>Types of organizations</w:t>
      </w:r>
      <w:r w:rsidR="000E07EF" w:rsidRPr="00DE17C0">
        <w:rPr>
          <w:rFonts w:asciiTheme="minorHAnsi" w:hAnsiTheme="minorHAnsi" w:cstheme="majorBidi"/>
        </w:rPr>
        <w:t xml:space="preserve"> already identified</w:t>
      </w:r>
      <w:r w:rsidRPr="00DE17C0">
        <w:rPr>
          <w:rFonts w:asciiTheme="minorHAnsi" w:hAnsiTheme="minorHAnsi" w:cstheme="majorBidi"/>
        </w:rPr>
        <w:t xml:space="preserve"> from which potential respondents will be recruited</w:t>
      </w:r>
      <w:r w:rsidRPr="00A51DF8">
        <w:rPr>
          <w:rFonts w:asciiTheme="minorHAnsi" w:hAnsiTheme="minorHAnsi" w:cstheme="majorBidi"/>
        </w:rPr>
        <w:t xml:space="preserve"> include:</w:t>
      </w:r>
      <w:r w:rsidR="00334AE3">
        <w:rPr>
          <w:rFonts w:asciiTheme="minorHAnsi" w:hAnsiTheme="minorHAnsi" w:cstheme="majorBidi"/>
          <w:lang w:bidi="he-IL"/>
        </w:rPr>
        <w:t xml:space="preserve"> </w:t>
      </w:r>
      <w:r w:rsidRPr="00A51DF8">
        <w:rPr>
          <w:rFonts w:asciiTheme="minorHAnsi" w:hAnsiTheme="minorHAnsi" w:cstheme="majorBidi"/>
          <w:lang w:bidi="he-IL"/>
        </w:rPr>
        <w:t>Federal health IT purchasers, health plans, universities</w:t>
      </w:r>
      <w:r w:rsidR="00334AE3">
        <w:rPr>
          <w:rFonts w:asciiTheme="minorHAnsi" w:hAnsiTheme="minorHAnsi" w:cstheme="majorBidi"/>
          <w:lang w:bidi="he-IL"/>
        </w:rPr>
        <w:t xml:space="preserve">, and </w:t>
      </w:r>
      <w:r w:rsidR="00334AE3" w:rsidRPr="00A51DF8">
        <w:rPr>
          <w:rFonts w:asciiTheme="minorHAnsi" w:hAnsiTheme="minorHAnsi" w:cstheme="majorBidi"/>
          <w:lang w:bidi="he-IL"/>
        </w:rPr>
        <w:t>professional organizations</w:t>
      </w:r>
      <w:r w:rsidRPr="00A51DF8">
        <w:rPr>
          <w:rFonts w:asciiTheme="minorHAnsi" w:hAnsiTheme="minorHAnsi" w:cstheme="majorBidi"/>
          <w:lang w:bidi="he-IL"/>
        </w:rPr>
        <w:t xml:space="preserve"> representing the target audiences (e.g., Association of Medical Directors of Information Systems [AMDIS]; Health Information Management Systems Society</w:t>
      </w:r>
      <w:r w:rsidRPr="00A51DF8">
        <w:rPr>
          <w:rFonts w:asciiTheme="minorHAnsi" w:hAnsiTheme="minorHAnsi" w:cstheme="majorBidi"/>
          <w:color w:val="1F497D"/>
          <w:lang w:bidi="he-IL"/>
        </w:rPr>
        <w:t xml:space="preserve"> [</w:t>
      </w:r>
      <w:r w:rsidRPr="00A51DF8">
        <w:rPr>
          <w:rFonts w:asciiTheme="minorHAnsi" w:hAnsiTheme="minorHAnsi" w:cstheme="majorBidi"/>
          <w:lang w:bidi="he-IL"/>
        </w:rPr>
        <w:t>HI</w:t>
      </w:r>
      <w:r w:rsidRPr="00A51DF8">
        <w:rPr>
          <w:rFonts w:asciiTheme="minorHAnsi" w:hAnsiTheme="minorHAnsi" w:cstheme="majorBidi"/>
        </w:rPr>
        <w:t>MSS], American Medical Informatics Association [AMIA], American Association of Family Physicians [AAFP]) .</w:t>
      </w:r>
    </w:p>
    <w:p w:rsidR="00EA30F9" w:rsidRPr="00A51DF8" w:rsidRDefault="00EA30F9" w:rsidP="00DB6998">
      <w:pPr>
        <w:pStyle w:val="bodytext"/>
        <w:rPr>
          <w:rFonts w:asciiTheme="minorHAnsi" w:hAnsiTheme="minorHAnsi" w:cstheme="majorBidi"/>
        </w:rPr>
      </w:pPr>
      <w:r w:rsidRPr="00A51DF8">
        <w:rPr>
          <w:rFonts w:asciiTheme="minorHAnsi" w:hAnsiTheme="minorHAnsi" w:cstheme="majorBidi"/>
        </w:rPr>
        <w:t>Organizations will be asked to distribute information about the focus group oppor</w:t>
      </w:r>
      <w:r w:rsidR="00DB6998">
        <w:rPr>
          <w:rFonts w:asciiTheme="minorHAnsi" w:hAnsiTheme="minorHAnsi" w:cstheme="majorBidi"/>
        </w:rPr>
        <w:t>tunities by email (</w:t>
      </w:r>
      <w:r w:rsidR="004826CE">
        <w:rPr>
          <w:rFonts w:asciiTheme="minorHAnsi" w:hAnsiTheme="minorHAnsi" w:cstheme="majorBidi"/>
        </w:rPr>
        <w:t xml:space="preserve">see Attachment </w:t>
      </w:r>
      <w:r w:rsidR="006F6535">
        <w:rPr>
          <w:rFonts w:asciiTheme="minorHAnsi" w:hAnsiTheme="minorHAnsi" w:cstheme="majorBidi"/>
        </w:rPr>
        <w:t>B</w:t>
      </w:r>
      <w:r w:rsidR="00DB6998">
        <w:rPr>
          <w:rFonts w:asciiTheme="minorHAnsi" w:hAnsiTheme="minorHAnsi" w:cstheme="majorBidi"/>
        </w:rPr>
        <w:t xml:space="preserve">) </w:t>
      </w:r>
      <w:r w:rsidRPr="00A51DF8">
        <w:rPr>
          <w:rFonts w:asciiTheme="minorHAnsi" w:hAnsiTheme="minorHAnsi" w:cstheme="majorBidi"/>
        </w:rPr>
        <w:t xml:space="preserve">through their </w:t>
      </w:r>
      <w:proofErr w:type="spellStart"/>
      <w:r w:rsidRPr="00A51DF8">
        <w:rPr>
          <w:rFonts w:asciiTheme="minorHAnsi" w:hAnsiTheme="minorHAnsi" w:cstheme="majorBidi"/>
        </w:rPr>
        <w:t>listservs</w:t>
      </w:r>
      <w:proofErr w:type="spellEnd"/>
      <w:r w:rsidRPr="00A51DF8">
        <w:rPr>
          <w:rFonts w:asciiTheme="minorHAnsi" w:hAnsiTheme="minorHAnsi" w:cstheme="majorBidi"/>
        </w:rPr>
        <w:t xml:space="preserve"> and/or membership lists. The information will include a toll-free number for interested individuals to call that will be staffed by study staff who will then screen participants</w:t>
      </w:r>
      <w:r w:rsidR="000E07EF">
        <w:rPr>
          <w:rFonts w:asciiTheme="minorHAnsi" w:hAnsiTheme="minorHAnsi" w:cstheme="majorBidi"/>
        </w:rPr>
        <w:t xml:space="preserve"> for suitability</w:t>
      </w:r>
      <w:r w:rsidRPr="00A51DF8">
        <w:rPr>
          <w:rFonts w:asciiTheme="minorHAnsi" w:hAnsiTheme="minorHAnsi" w:cstheme="majorBidi"/>
        </w:rPr>
        <w:t xml:space="preserve"> </w:t>
      </w:r>
      <w:r w:rsidR="00DB6998">
        <w:rPr>
          <w:rFonts w:asciiTheme="minorHAnsi" w:hAnsiTheme="minorHAnsi" w:cstheme="majorBidi"/>
        </w:rPr>
        <w:t>using a screening instrument</w:t>
      </w:r>
      <w:r w:rsidR="000E3252">
        <w:rPr>
          <w:rFonts w:asciiTheme="minorHAnsi" w:hAnsiTheme="minorHAnsi" w:cstheme="majorBidi"/>
        </w:rPr>
        <w:t xml:space="preserve"> (See Attachment C)</w:t>
      </w:r>
      <w:r w:rsidR="00DB6998">
        <w:rPr>
          <w:rFonts w:asciiTheme="minorHAnsi" w:hAnsiTheme="minorHAnsi" w:cstheme="majorBidi"/>
        </w:rPr>
        <w:t xml:space="preserve"> </w:t>
      </w:r>
      <w:r w:rsidRPr="00A51DF8">
        <w:rPr>
          <w:rFonts w:asciiTheme="minorHAnsi" w:hAnsiTheme="minorHAnsi" w:cstheme="majorBidi"/>
        </w:rPr>
        <w:t xml:space="preserve">and schedule them to participate if eligible. </w:t>
      </w:r>
    </w:p>
    <w:p w:rsidR="00B05ACA" w:rsidRPr="00A51DF8" w:rsidRDefault="00B05ACA" w:rsidP="00B05ACA">
      <w:pPr>
        <w:rPr>
          <w:rFonts w:asciiTheme="majorBidi" w:hAnsiTheme="majorBidi" w:cstheme="majorBidi"/>
          <w:b/>
        </w:rPr>
      </w:pPr>
      <w:r w:rsidRPr="00A51DF8">
        <w:rPr>
          <w:rFonts w:asciiTheme="majorBidi" w:hAnsiTheme="majorBidi" w:cstheme="majorBidi"/>
          <w:b/>
        </w:rPr>
        <w:lastRenderedPageBreak/>
        <w:t>Administration of the Instrument</w:t>
      </w:r>
    </w:p>
    <w:p w:rsidR="00B05ACA" w:rsidRPr="00A51DF8" w:rsidRDefault="00B05ACA" w:rsidP="00B05ACA">
      <w:pPr>
        <w:pStyle w:val="ListParagraph"/>
        <w:numPr>
          <w:ilvl w:val="0"/>
          <w:numId w:val="3"/>
        </w:numPr>
        <w:spacing w:after="0" w:line="240" w:lineRule="auto"/>
        <w:rPr>
          <w:rFonts w:asciiTheme="majorBidi" w:hAnsiTheme="majorBidi" w:cstheme="majorBidi"/>
        </w:rPr>
      </w:pPr>
      <w:r w:rsidRPr="00A51DF8">
        <w:rPr>
          <w:rFonts w:asciiTheme="majorBidi" w:hAnsiTheme="majorBidi" w:cstheme="majorBidi"/>
        </w:rPr>
        <w:t>How will you collect the information? (Check all that apply)</w:t>
      </w:r>
    </w:p>
    <w:p w:rsidR="00B05ACA" w:rsidRPr="00A51DF8" w:rsidRDefault="001B6437" w:rsidP="00B05ACA">
      <w:pPr>
        <w:ind w:left="720"/>
        <w:rPr>
          <w:rFonts w:asciiTheme="majorBidi" w:hAnsiTheme="majorBidi" w:cstheme="majorBidi"/>
        </w:rPr>
      </w:pPr>
      <w:r w:rsidRPr="00A51DF8">
        <w:rPr>
          <w:rFonts w:asciiTheme="majorBidi" w:hAnsiTheme="majorBidi" w:cstheme="majorBidi"/>
        </w:rPr>
        <w:t>[X</w:t>
      </w:r>
      <w:r w:rsidR="00B05ACA" w:rsidRPr="00A51DF8">
        <w:rPr>
          <w:rFonts w:asciiTheme="majorBidi" w:hAnsiTheme="majorBidi" w:cstheme="majorBidi"/>
        </w:rPr>
        <w:t xml:space="preserve">] Web-based or other forms of Social Media </w:t>
      </w:r>
    </w:p>
    <w:p w:rsidR="00B05ACA" w:rsidRPr="00A51DF8" w:rsidRDefault="00C628EB" w:rsidP="00B05ACA">
      <w:pPr>
        <w:ind w:left="720"/>
        <w:rPr>
          <w:rFonts w:asciiTheme="majorBidi" w:hAnsiTheme="majorBidi" w:cstheme="majorBidi"/>
        </w:rPr>
      </w:pPr>
      <w:r w:rsidRPr="00A51DF8">
        <w:rPr>
          <w:rFonts w:asciiTheme="majorBidi" w:hAnsiTheme="majorBidi" w:cstheme="majorBidi"/>
        </w:rPr>
        <w:t>[</w:t>
      </w:r>
      <w:r>
        <w:rPr>
          <w:rFonts w:asciiTheme="majorBidi" w:hAnsiTheme="majorBidi" w:cstheme="majorBidi"/>
        </w:rPr>
        <w:t>X</w:t>
      </w:r>
      <w:r w:rsidR="00B05ACA" w:rsidRPr="00A51DF8">
        <w:rPr>
          <w:rFonts w:asciiTheme="majorBidi" w:hAnsiTheme="majorBidi" w:cstheme="majorBidi"/>
        </w:rPr>
        <w:t>] Telephone</w:t>
      </w:r>
      <w:r w:rsidR="00B05ACA" w:rsidRPr="00A51DF8">
        <w:rPr>
          <w:rFonts w:asciiTheme="majorBidi" w:hAnsiTheme="majorBidi" w:cstheme="majorBidi"/>
        </w:rPr>
        <w:tab/>
      </w:r>
    </w:p>
    <w:p w:rsidR="00B05ACA" w:rsidRPr="00A51DF8" w:rsidRDefault="001B6437" w:rsidP="00B05ACA">
      <w:pPr>
        <w:ind w:left="720"/>
        <w:rPr>
          <w:rFonts w:asciiTheme="majorBidi" w:hAnsiTheme="majorBidi" w:cstheme="majorBidi"/>
        </w:rPr>
      </w:pPr>
      <w:r w:rsidRPr="00A51DF8">
        <w:rPr>
          <w:rFonts w:asciiTheme="majorBidi" w:hAnsiTheme="majorBidi" w:cstheme="majorBidi"/>
        </w:rPr>
        <w:t>[X</w:t>
      </w:r>
      <w:r w:rsidR="00B05ACA" w:rsidRPr="00A51DF8">
        <w:rPr>
          <w:rFonts w:asciiTheme="majorBidi" w:hAnsiTheme="majorBidi" w:cstheme="majorBidi"/>
        </w:rPr>
        <w:t>] In-person</w:t>
      </w:r>
      <w:r w:rsidR="00B05ACA" w:rsidRPr="00A51DF8">
        <w:rPr>
          <w:rFonts w:asciiTheme="majorBidi" w:hAnsiTheme="majorBidi" w:cstheme="majorBidi"/>
        </w:rPr>
        <w:tab/>
      </w:r>
    </w:p>
    <w:p w:rsidR="00B05ACA" w:rsidRPr="00A51DF8" w:rsidRDefault="00B05ACA" w:rsidP="00B05ACA">
      <w:pPr>
        <w:ind w:left="720"/>
        <w:rPr>
          <w:rFonts w:asciiTheme="majorBidi" w:hAnsiTheme="majorBidi" w:cstheme="majorBidi"/>
        </w:rPr>
      </w:pPr>
      <w:r w:rsidRPr="00A51DF8">
        <w:rPr>
          <w:rFonts w:asciiTheme="majorBidi" w:hAnsiTheme="majorBidi" w:cstheme="majorBidi"/>
        </w:rPr>
        <w:t xml:space="preserve">[  ] Mail </w:t>
      </w:r>
    </w:p>
    <w:p w:rsidR="00B05ACA" w:rsidRPr="00A51DF8" w:rsidRDefault="00B05ACA" w:rsidP="00B05ACA">
      <w:pPr>
        <w:ind w:left="720"/>
        <w:rPr>
          <w:rFonts w:asciiTheme="majorBidi" w:hAnsiTheme="majorBidi" w:cstheme="majorBidi"/>
        </w:rPr>
      </w:pPr>
      <w:r w:rsidRPr="00A51DF8">
        <w:rPr>
          <w:rFonts w:asciiTheme="majorBidi" w:hAnsiTheme="majorBidi" w:cstheme="majorBidi"/>
        </w:rPr>
        <w:t>[  ] Other, Explain</w:t>
      </w:r>
    </w:p>
    <w:p w:rsidR="00B05ACA" w:rsidRPr="00A51DF8" w:rsidRDefault="00B05ACA" w:rsidP="00B05ACA">
      <w:pPr>
        <w:pStyle w:val="ListParagraph"/>
        <w:numPr>
          <w:ilvl w:val="0"/>
          <w:numId w:val="3"/>
        </w:numPr>
        <w:spacing w:after="0" w:line="240" w:lineRule="auto"/>
        <w:rPr>
          <w:rFonts w:asciiTheme="majorBidi" w:hAnsiTheme="majorBidi" w:cstheme="majorBidi"/>
        </w:rPr>
      </w:pPr>
      <w:r w:rsidRPr="00A51DF8">
        <w:rPr>
          <w:rFonts w:asciiTheme="majorBidi" w:hAnsiTheme="majorBidi" w:cstheme="majorBidi"/>
        </w:rPr>
        <w:t>Will interviewe</w:t>
      </w:r>
      <w:r w:rsidR="001B6437" w:rsidRPr="00A51DF8">
        <w:rPr>
          <w:rFonts w:asciiTheme="majorBidi" w:hAnsiTheme="majorBidi" w:cstheme="majorBidi"/>
        </w:rPr>
        <w:t>rs or facilitators be used?  [X</w:t>
      </w:r>
      <w:r w:rsidRPr="00A51DF8">
        <w:rPr>
          <w:rFonts w:asciiTheme="majorBidi" w:hAnsiTheme="majorBidi" w:cstheme="majorBidi"/>
        </w:rPr>
        <w:t>] Yes [  ] No</w:t>
      </w:r>
    </w:p>
    <w:p w:rsidR="00785CDA" w:rsidRPr="00DE17C0" w:rsidRDefault="00B05ACA" w:rsidP="00DE17C0">
      <w:pPr>
        <w:pStyle w:val="ListParagraph"/>
        <w:ind w:left="360"/>
        <w:rPr>
          <w:rFonts w:asciiTheme="majorBidi" w:hAnsiTheme="majorBidi" w:cstheme="majorBidi"/>
        </w:rPr>
      </w:pPr>
      <w:r w:rsidRPr="00A51DF8">
        <w:rPr>
          <w:rFonts w:asciiTheme="majorBidi" w:hAnsiTheme="majorBidi" w:cstheme="majorBidi"/>
        </w:rPr>
        <w:t xml:space="preserve"> </w:t>
      </w:r>
    </w:p>
    <w:p w:rsidR="00785CDA" w:rsidRPr="00785CDA" w:rsidRDefault="00A45FEA" w:rsidP="00785CDA">
      <w:pPr>
        <w:pStyle w:val="HeadingOMB2"/>
        <w:rPr>
          <w:rFonts w:ascii="Times New Roman" w:hAnsi="Times New Roman"/>
          <w:i w:val="0"/>
          <w:sz w:val="22"/>
          <w:szCs w:val="22"/>
        </w:rPr>
      </w:pPr>
      <w:bookmarkStart w:id="0" w:name="_Toc279403347"/>
      <w:r w:rsidRPr="00A45FEA">
        <w:rPr>
          <w:rFonts w:ascii="Times New Roman" w:hAnsi="Times New Roman"/>
          <w:i w:val="0"/>
          <w:sz w:val="22"/>
          <w:szCs w:val="22"/>
        </w:rPr>
        <w:t>List of Attachments</w:t>
      </w:r>
      <w:bookmarkEnd w:id="0"/>
    </w:p>
    <w:p w:rsidR="0093322C" w:rsidRDefault="00785CDA" w:rsidP="0093322C">
      <w:r>
        <w:br/>
        <w:t>Attachment A –</w:t>
      </w:r>
      <w:r w:rsidR="004826CE">
        <w:t xml:space="preserve"> </w:t>
      </w:r>
      <w:r w:rsidR="006F6535">
        <w:t xml:space="preserve">Focus Group Moderator Guide </w:t>
      </w:r>
    </w:p>
    <w:p w:rsidR="00785CDA" w:rsidRPr="008F7FCB" w:rsidRDefault="00785CDA" w:rsidP="00785CDA">
      <w:r w:rsidRPr="008F7FCB">
        <w:t xml:space="preserve">Attachment </w:t>
      </w:r>
      <w:r w:rsidR="002262E6">
        <w:t xml:space="preserve">B </w:t>
      </w:r>
      <w:r>
        <w:t>–</w:t>
      </w:r>
      <w:r w:rsidRPr="008F7FCB">
        <w:t xml:space="preserve"> </w:t>
      </w:r>
      <w:r w:rsidR="006F6535">
        <w:t xml:space="preserve">Text for Initial Participant Email </w:t>
      </w:r>
    </w:p>
    <w:p w:rsidR="000E3252" w:rsidRDefault="00785CDA" w:rsidP="00DE17C0">
      <w:r w:rsidRPr="008F7FCB">
        <w:t xml:space="preserve">Attachment </w:t>
      </w:r>
      <w:r w:rsidR="002262E6">
        <w:t xml:space="preserve">C </w:t>
      </w:r>
      <w:r>
        <w:t xml:space="preserve">– </w:t>
      </w:r>
      <w:r w:rsidR="000E3252">
        <w:t>Screening Instrument for Focus Groups</w:t>
      </w:r>
    </w:p>
    <w:p w:rsidR="00DE17C0" w:rsidRPr="00DE17C0" w:rsidRDefault="000E3252" w:rsidP="00DE17C0">
      <w:r>
        <w:t xml:space="preserve">Attachment D – </w:t>
      </w:r>
      <w:r w:rsidR="006F6535">
        <w:t xml:space="preserve">Focus Group Consent Form </w:t>
      </w:r>
    </w:p>
    <w:p w:rsidR="00771C32" w:rsidRPr="005B5EF5" w:rsidRDefault="00771C32">
      <w:pPr>
        <w:rPr>
          <w:rFonts w:asciiTheme="majorBidi" w:hAnsiTheme="majorBidi" w:cstheme="majorBidi"/>
          <w:b/>
        </w:rPr>
      </w:pPr>
    </w:p>
    <w:sectPr w:rsidR="00771C32" w:rsidRPr="005B5EF5" w:rsidSect="00B05ACA">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2D7" w:rsidRPr="00DE17C0" w:rsidRDefault="002742D7" w:rsidP="00DE17C0">
      <w:pPr>
        <w:spacing w:after="0" w:line="240" w:lineRule="auto"/>
      </w:pPr>
      <w:r>
        <w:separator/>
      </w:r>
    </w:p>
  </w:endnote>
  <w:endnote w:type="continuationSeparator" w:id="0">
    <w:p w:rsidR="002742D7" w:rsidRPr="00DE17C0" w:rsidRDefault="002742D7" w:rsidP="00DE1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1360"/>
      <w:docPartObj>
        <w:docPartGallery w:val="Page Numbers (Bottom of Page)"/>
        <w:docPartUnique/>
      </w:docPartObj>
    </w:sdtPr>
    <w:sdtEndPr>
      <w:rPr>
        <w:sz w:val="20"/>
        <w:szCs w:val="20"/>
      </w:rPr>
    </w:sdtEndPr>
    <w:sdtContent>
      <w:p w:rsidR="00B672CC" w:rsidRPr="00CC7E89" w:rsidRDefault="00643138">
        <w:pPr>
          <w:pStyle w:val="Footer"/>
          <w:jc w:val="center"/>
          <w:rPr>
            <w:sz w:val="20"/>
            <w:szCs w:val="20"/>
          </w:rPr>
        </w:pPr>
        <w:r w:rsidRPr="00AE77B0">
          <w:rPr>
            <w:sz w:val="20"/>
            <w:szCs w:val="20"/>
          </w:rPr>
          <w:fldChar w:fldCharType="begin"/>
        </w:r>
        <w:r w:rsidR="00B672CC" w:rsidRPr="00AE77B0">
          <w:rPr>
            <w:sz w:val="20"/>
            <w:szCs w:val="20"/>
          </w:rPr>
          <w:instrText xml:space="preserve"> PAGE   \* MERGEFORMAT </w:instrText>
        </w:r>
        <w:r w:rsidRPr="00AE77B0">
          <w:rPr>
            <w:sz w:val="20"/>
            <w:szCs w:val="20"/>
          </w:rPr>
          <w:fldChar w:fldCharType="separate"/>
        </w:r>
        <w:r w:rsidR="004C5CB1">
          <w:rPr>
            <w:noProof/>
            <w:sz w:val="20"/>
            <w:szCs w:val="20"/>
          </w:rPr>
          <w:t>1</w:t>
        </w:r>
        <w:r w:rsidRPr="00AE77B0">
          <w:rPr>
            <w:sz w:val="20"/>
            <w:szCs w:val="20"/>
          </w:rPr>
          <w:fldChar w:fldCharType="end"/>
        </w:r>
      </w:p>
    </w:sdtContent>
  </w:sdt>
  <w:p w:rsidR="00B672CC" w:rsidRDefault="00B67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2D7" w:rsidRPr="00DE17C0" w:rsidRDefault="002742D7" w:rsidP="00DE17C0">
      <w:pPr>
        <w:spacing w:after="0" w:line="240" w:lineRule="auto"/>
      </w:pPr>
      <w:r>
        <w:separator/>
      </w:r>
    </w:p>
  </w:footnote>
  <w:footnote w:type="continuationSeparator" w:id="0">
    <w:p w:rsidR="002742D7" w:rsidRPr="00DE17C0" w:rsidRDefault="002742D7" w:rsidP="00DE17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D441C30"/>
    <w:lvl w:ilvl="0">
      <w:start w:val="1"/>
      <w:numFmt w:val="decimal"/>
      <w:pStyle w:val="ListNumber"/>
      <w:lvlText w:val="%1."/>
      <w:lvlJc w:val="left"/>
      <w:pPr>
        <w:tabs>
          <w:tab w:val="num" w:pos="360"/>
        </w:tabs>
        <w:ind w:left="360" w:hanging="360"/>
      </w:p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877C4A"/>
    <w:multiLevelType w:val="singleLevel"/>
    <w:tmpl w:val="96EA2A50"/>
    <w:lvl w:ilvl="0">
      <w:start w:val="1"/>
      <w:numFmt w:val="bullet"/>
      <w:pStyle w:val="bullets"/>
      <w:lvlText w:val=""/>
      <w:lvlJc w:val="left"/>
      <w:pPr>
        <w:ind w:left="1080" w:hanging="360"/>
      </w:pPr>
      <w:rPr>
        <w:rFonts w:ascii="Symbol" w:hAnsi="Symbol" w:hint="default"/>
        <w:sz w:val="24"/>
      </w:rPr>
    </w:lvl>
  </w:abstractNum>
  <w:abstractNum w:abstractNumId="4">
    <w:nsid w:val="31C757CD"/>
    <w:multiLevelType w:val="hybridMultilevel"/>
    <w:tmpl w:val="273446A6"/>
    <w:lvl w:ilvl="0" w:tplc="9630567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413E6"/>
    <w:multiLevelType w:val="hybridMultilevel"/>
    <w:tmpl w:val="B9A80B6E"/>
    <w:lvl w:ilvl="0" w:tplc="A24A839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B08D8"/>
    <w:multiLevelType w:val="hybridMultilevel"/>
    <w:tmpl w:val="D2ACB586"/>
    <w:lvl w:ilvl="0" w:tplc="BB7071A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EB2569"/>
    <w:multiLevelType w:val="hybridMultilevel"/>
    <w:tmpl w:val="D0CA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8552B"/>
    <w:multiLevelType w:val="hybridMultilevel"/>
    <w:tmpl w:val="A1A81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2"/>
  </w:num>
  <w:num w:numId="5">
    <w:abstractNumId w:val="3"/>
  </w:num>
  <w:num w:numId="6">
    <w:abstractNumId w:val="0"/>
  </w:num>
  <w:num w:numId="7">
    <w:abstractNumId w:val="0"/>
    <w:lvlOverride w:ilvl="0">
      <w:startOverride w:val="1"/>
    </w:lvlOverride>
  </w:num>
  <w:num w:numId="8">
    <w:abstractNumId w:val="8"/>
  </w:num>
  <w:num w:numId="9">
    <w:abstractNumId w:val="0"/>
    <w:lvlOverride w:ilvl="0">
      <w:startOverride w:val="1"/>
    </w:lvlOverride>
  </w:num>
  <w:num w:numId="10">
    <w:abstractNumId w:val="7"/>
  </w:num>
  <w:num w:numId="11">
    <w:abstractNumId w:val="4"/>
  </w:num>
  <w:num w:numId="12">
    <w:abstractNumId w:val="6"/>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5ACA"/>
    <w:rsid w:val="00023FF9"/>
    <w:rsid w:val="000B25AF"/>
    <w:rsid w:val="000C0D3E"/>
    <w:rsid w:val="000E07EF"/>
    <w:rsid w:val="000E3252"/>
    <w:rsid w:val="000F3895"/>
    <w:rsid w:val="000F6207"/>
    <w:rsid w:val="00154FC7"/>
    <w:rsid w:val="001664BA"/>
    <w:rsid w:val="00186F9F"/>
    <w:rsid w:val="001A552F"/>
    <w:rsid w:val="001B6437"/>
    <w:rsid w:val="001D3B97"/>
    <w:rsid w:val="002223D2"/>
    <w:rsid w:val="002262E6"/>
    <w:rsid w:val="00226CE7"/>
    <w:rsid w:val="002552D1"/>
    <w:rsid w:val="002742D7"/>
    <w:rsid w:val="002C66A4"/>
    <w:rsid w:val="00334AE3"/>
    <w:rsid w:val="00346EAA"/>
    <w:rsid w:val="003B13FD"/>
    <w:rsid w:val="003B738D"/>
    <w:rsid w:val="003F16BB"/>
    <w:rsid w:val="004250DA"/>
    <w:rsid w:val="00443370"/>
    <w:rsid w:val="004826CE"/>
    <w:rsid w:val="0049090D"/>
    <w:rsid w:val="004C5CB1"/>
    <w:rsid w:val="004E1A07"/>
    <w:rsid w:val="004E7A77"/>
    <w:rsid w:val="005075D1"/>
    <w:rsid w:val="00513621"/>
    <w:rsid w:val="00520C1C"/>
    <w:rsid w:val="00536318"/>
    <w:rsid w:val="00567492"/>
    <w:rsid w:val="005B5EF5"/>
    <w:rsid w:val="005F4BF6"/>
    <w:rsid w:val="0062780F"/>
    <w:rsid w:val="00643138"/>
    <w:rsid w:val="006701F3"/>
    <w:rsid w:val="006800D3"/>
    <w:rsid w:val="006B205A"/>
    <w:rsid w:val="006C2C23"/>
    <w:rsid w:val="006D3D31"/>
    <w:rsid w:val="006E5EA4"/>
    <w:rsid w:val="006F6535"/>
    <w:rsid w:val="00751BE8"/>
    <w:rsid w:val="00764C2F"/>
    <w:rsid w:val="00771C32"/>
    <w:rsid w:val="00775DBC"/>
    <w:rsid w:val="00785CDA"/>
    <w:rsid w:val="007979DE"/>
    <w:rsid w:val="007A0A67"/>
    <w:rsid w:val="007B4476"/>
    <w:rsid w:val="007E34C8"/>
    <w:rsid w:val="00833275"/>
    <w:rsid w:val="00885521"/>
    <w:rsid w:val="0089328D"/>
    <w:rsid w:val="008D0A0F"/>
    <w:rsid w:val="008D1B6E"/>
    <w:rsid w:val="00916B3B"/>
    <w:rsid w:val="00924416"/>
    <w:rsid w:val="0093322C"/>
    <w:rsid w:val="00950491"/>
    <w:rsid w:val="00A10AEA"/>
    <w:rsid w:val="00A279C4"/>
    <w:rsid w:val="00A35259"/>
    <w:rsid w:val="00A45FEA"/>
    <w:rsid w:val="00A470C4"/>
    <w:rsid w:val="00A51DF8"/>
    <w:rsid w:val="00A856D8"/>
    <w:rsid w:val="00AA0FE6"/>
    <w:rsid w:val="00AD030D"/>
    <w:rsid w:val="00AE77B0"/>
    <w:rsid w:val="00B05ACA"/>
    <w:rsid w:val="00B55FE2"/>
    <w:rsid w:val="00B672CC"/>
    <w:rsid w:val="00BC20CD"/>
    <w:rsid w:val="00BC29A3"/>
    <w:rsid w:val="00C628EB"/>
    <w:rsid w:val="00C82015"/>
    <w:rsid w:val="00CC66F9"/>
    <w:rsid w:val="00CC7E89"/>
    <w:rsid w:val="00CF211A"/>
    <w:rsid w:val="00D507EA"/>
    <w:rsid w:val="00D5710F"/>
    <w:rsid w:val="00D70112"/>
    <w:rsid w:val="00D804A7"/>
    <w:rsid w:val="00DB3C81"/>
    <w:rsid w:val="00DB6998"/>
    <w:rsid w:val="00DC52EA"/>
    <w:rsid w:val="00DD57D7"/>
    <w:rsid w:val="00DE0A80"/>
    <w:rsid w:val="00DE17C0"/>
    <w:rsid w:val="00DF44CD"/>
    <w:rsid w:val="00E063F5"/>
    <w:rsid w:val="00E252F6"/>
    <w:rsid w:val="00E25561"/>
    <w:rsid w:val="00E35657"/>
    <w:rsid w:val="00E57D1F"/>
    <w:rsid w:val="00E65DF6"/>
    <w:rsid w:val="00E85695"/>
    <w:rsid w:val="00EA30F9"/>
    <w:rsid w:val="00ED1F29"/>
    <w:rsid w:val="00F33C94"/>
    <w:rsid w:val="00F627BD"/>
    <w:rsid w:val="00F741B0"/>
    <w:rsid w:val="00F762B1"/>
    <w:rsid w:val="00FD4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1">
    <w:name w:val="heading 1"/>
    <w:basedOn w:val="Normal"/>
    <w:next w:val="Normal"/>
    <w:link w:val="Heading1Char"/>
    <w:uiPriority w:val="9"/>
    <w:qFormat/>
    <w:rsid w:val="009332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uiPriority w:val="99"/>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w:basedOn w:val="Normal"/>
    <w:rsid w:val="000C0D3E"/>
    <w:pPr>
      <w:spacing w:after="240" w:line="300" w:lineRule="exact"/>
    </w:pPr>
    <w:rPr>
      <w:rFonts w:ascii="Times New Roman" w:eastAsia="Times New Roman" w:hAnsi="Times New Roman" w:cs="Times New Roman"/>
      <w:sz w:val="24"/>
      <w:szCs w:val="20"/>
    </w:rPr>
  </w:style>
  <w:style w:type="paragraph" w:customStyle="1" w:styleId="bullets">
    <w:name w:val="bullets"/>
    <w:basedOn w:val="Normal"/>
    <w:rsid w:val="000C0D3E"/>
    <w:pPr>
      <w:numPr>
        <w:numId w:val="5"/>
      </w:numPr>
      <w:spacing w:after="240" w:line="240" w:lineRule="auto"/>
      <w:ind w:left="720"/>
    </w:pPr>
    <w:rPr>
      <w:rFonts w:ascii="Times New Roman" w:eastAsia="Times New Roman" w:hAnsi="Times New Roman" w:cs="Times New Roman"/>
      <w:sz w:val="24"/>
      <w:szCs w:val="20"/>
    </w:rPr>
  </w:style>
  <w:style w:type="paragraph" w:styleId="ListNumber">
    <w:name w:val="List Number"/>
    <w:basedOn w:val="Normal"/>
    <w:rsid w:val="000C0D3E"/>
    <w:pPr>
      <w:numPr>
        <w:numId w:val="6"/>
      </w:numPr>
      <w:spacing w:after="24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26CE7"/>
    <w:rPr>
      <w:sz w:val="16"/>
      <w:szCs w:val="16"/>
    </w:rPr>
  </w:style>
  <w:style w:type="paragraph" w:styleId="CommentText">
    <w:name w:val="annotation text"/>
    <w:basedOn w:val="Normal"/>
    <w:link w:val="CommentTextChar"/>
    <w:uiPriority w:val="99"/>
    <w:semiHidden/>
    <w:unhideWhenUsed/>
    <w:rsid w:val="00226CE7"/>
    <w:pPr>
      <w:spacing w:line="240" w:lineRule="auto"/>
    </w:pPr>
    <w:rPr>
      <w:sz w:val="20"/>
      <w:szCs w:val="20"/>
    </w:rPr>
  </w:style>
  <w:style w:type="character" w:customStyle="1" w:styleId="CommentTextChar">
    <w:name w:val="Comment Text Char"/>
    <w:basedOn w:val="DefaultParagraphFont"/>
    <w:link w:val="CommentText"/>
    <w:uiPriority w:val="99"/>
    <w:semiHidden/>
    <w:rsid w:val="00226CE7"/>
    <w:rPr>
      <w:sz w:val="20"/>
      <w:szCs w:val="20"/>
    </w:rPr>
  </w:style>
  <w:style w:type="paragraph" w:styleId="CommentSubject">
    <w:name w:val="annotation subject"/>
    <w:basedOn w:val="CommentText"/>
    <w:next w:val="CommentText"/>
    <w:link w:val="CommentSubjectChar"/>
    <w:uiPriority w:val="99"/>
    <w:semiHidden/>
    <w:unhideWhenUsed/>
    <w:rsid w:val="00226CE7"/>
    <w:rPr>
      <w:b/>
      <w:bCs/>
    </w:rPr>
  </w:style>
  <w:style w:type="character" w:customStyle="1" w:styleId="CommentSubjectChar">
    <w:name w:val="Comment Subject Char"/>
    <w:basedOn w:val="CommentTextChar"/>
    <w:link w:val="CommentSubject"/>
    <w:uiPriority w:val="99"/>
    <w:semiHidden/>
    <w:rsid w:val="00226CE7"/>
    <w:rPr>
      <w:b/>
      <w:bCs/>
    </w:rPr>
  </w:style>
  <w:style w:type="paragraph" w:styleId="BalloonText">
    <w:name w:val="Balloon Text"/>
    <w:basedOn w:val="Normal"/>
    <w:link w:val="BalloonTextChar"/>
    <w:uiPriority w:val="99"/>
    <w:semiHidden/>
    <w:unhideWhenUsed/>
    <w:rsid w:val="00226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E7"/>
    <w:rPr>
      <w:rFonts w:ascii="Tahoma" w:hAnsi="Tahoma" w:cs="Tahoma"/>
      <w:sz w:val="16"/>
      <w:szCs w:val="16"/>
    </w:rPr>
  </w:style>
  <w:style w:type="paragraph" w:customStyle="1" w:styleId="HeadingOMB2">
    <w:name w:val="Heading OMB2"/>
    <w:basedOn w:val="Heading2"/>
    <w:qFormat/>
    <w:rsid w:val="00785CDA"/>
    <w:pPr>
      <w:jc w:val="left"/>
    </w:pPr>
    <w:rPr>
      <w:rFonts w:ascii="Arial" w:hAnsi="Arial"/>
      <w:i/>
      <w:iCs/>
    </w:rPr>
  </w:style>
  <w:style w:type="paragraph" w:customStyle="1" w:styleId="AppHeading1">
    <w:name w:val="App Heading 1"/>
    <w:basedOn w:val="Heading1"/>
    <w:uiPriority w:val="99"/>
    <w:rsid w:val="0093322C"/>
    <w:pPr>
      <w:keepLines w:val="0"/>
      <w:spacing w:before="240" w:after="240" w:line="240" w:lineRule="auto"/>
      <w:jc w:val="center"/>
      <w:outlineLvl w:val="9"/>
    </w:pPr>
    <w:rPr>
      <w:rFonts w:ascii="Times New Roman" w:eastAsia="MS Mincho" w:hAnsi="Times New Roman" w:cs="Times New Roman"/>
      <w:bCs w:val="0"/>
      <w:caps/>
      <w:color w:val="auto"/>
      <w:kern w:val="28"/>
      <w:sz w:val="24"/>
    </w:rPr>
  </w:style>
  <w:style w:type="character" w:customStyle="1" w:styleId="Heading1Char">
    <w:name w:val="Heading 1 Char"/>
    <w:basedOn w:val="DefaultParagraphFont"/>
    <w:link w:val="Heading1"/>
    <w:uiPriority w:val="9"/>
    <w:rsid w:val="0093322C"/>
    <w:rPr>
      <w:rFonts w:asciiTheme="majorHAnsi" w:eastAsiaTheme="majorEastAsia" w:hAnsiTheme="majorHAnsi" w:cstheme="majorBidi"/>
      <w:b/>
      <w:bCs/>
      <w:color w:val="365F91" w:themeColor="accent1" w:themeShade="BF"/>
      <w:sz w:val="28"/>
      <w:szCs w:val="28"/>
    </w:rPr>
  </w:style>
  <w:style w:type="paragraph" w:customStyle="1" w:styleId="bodytextpsg">
    <w:name w:val="body text_psg"/>
    <w:basedOn w:val="Normal"/>
    <w:link w:val="bodytextpsgChar"/>
    <w:rsid w:val="006800D3"/>
    <w:pPr>
      <w:spacing w:after="0" w:line="480" w:lineRule="auto"/>
      <w:ind w:firstLine="360"/>
    </w:pPr>
    <w:rPr>
      <w:rFonts w:ascii="Garamond" w:eastAsia="Times New Roman" w:hAnsi="Garamond" w:cs="Times New Roman"/>
    </w:rPr>
  </w:style>
  <w:style w:type="character" w:customStyle="1" w:styleId="bodytextpsgChar">
    <w:name w:val="body text_psg Char"/>
    <w:basedOn w:val="DefaultParagraphFont"/>
    <w:link w:val="bodytextpsg"/>
    <w:locked/>
    <w:rsid w:val="006800D3"/>
    <w:rPr>
      <w:rFonts w:ascii="Garamond" w:eastAsia="Times New Roman" w:hAnsi="Garamond" w:cs="Times New Roman"/>
    </w:rPr>
  </w:style>
  <w:style w:type="paragraph" w:customStyle="1" w:styleId="Default">
    <w:name w:val="Default"/>
    <w:rsid w:val="00DE17C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DE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574F-AED9-4F73-8E10-1FFF417D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cp:lastPrinted>2011-08-17T14:49:00Z</cp:lastPrinted>
  <dcterms:created xsi:type="dcterms:W3CDTF">2011-09-13T17:58:00Z</dcterms:created>
  <dcterms:modified xsi:type="dcterms:W3CDTF">2011-09-13T17:58:00Z</dcterms:modified>
</cp:coreProperties>
</file>