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1A5D56">
        <w:rPr>
          <w:sz w:val="28"/>
        </w:rPr>
        <w:t xml:space="preserve"> </w:t>
      </w:r>
      <w:r w:rsidR="009F34C6">
        <w:rPr>
          <w:sz w:val="28"/>
        </w:rPr>
        <w:t>0935</w:t>
      </w:r>
      <w:r>
        <w:rPr>
          <w:sz w:val="28"/>
        </w:rPr>
        <w:t>-</w:t>
      </w:r>
      <w:r w:rsidR="009F34C6">
        <w:rPr>
          <w:sz w:val="28"/>
        </w:rPr>
        <w:t>0179</w:t>
      </w:r>
      <w:r>
        <w:rPr>
          <w:sz w:val="28"/>
        </w:rPr>
        <w:t>)</w:t>
      </w:r>
    </w:p>
    <w:p w:rsidR="00E50293" w:rsidRPr="009239AA" w:rsidRDefault="000033EC"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D607EE">
        <w:t>Stakeholder Information Needs and Satisfaction with National Quality Strategy Outreach Activities</w:t>
      </w:r>
    </w:p>
    <w:p w:rsidR="005E714A" w:rsidRDefault="005E714A"/>
    <w:p w:rsidR="005F542F" w:rsidRDefault="00F15956" w:rsidP="005F542F">
      <w:pPr>
        <w:spacing w:after="120"/>
      </w:pPr>
      <w:r>
        <w:rPr>
          <w:b/>
        </w:rPr>
        <w:t>PURPOSE</w:t>
      </w:r>
      <w:r w:rsidRPr="009239AA">
        <w:rPr>
          <w:b/>
        </w:rPr>
        <w:t>:</w:t>
      </w:r>
      <w:r w:rsidR="00C14CC4" w:rsidRPr="009239AA">
        <w:rPr>
          <w:b/>
        </w:rPr>
        <w:t xml:space="preserve">  </w:t>
      </w:r>
      <w:r w:rsidR="005F542F">
        <w:t>The National Quality Strategy (NQS) seeks feedback from self-identified stakeholders (see respondent description below) on the awareness and perceptions of the Strategy’s aims, priorities and efforts to improve the quality of health and health care for all Americans. The online survey described in this request would provide needed input on the extent to which outreach activities and products are meeting current needs for stakeholders, and collect ideas for other resources which would help advance NQS aims and priorities.</w:t>
      </w:r>
    </w:p>
    <w:p w:rsidR="00C8488C" w:rsidRDefault="00C8488C" w:rsidP="00434E33">
      <w:pPr>
        <w:pStyle w:val="Header"/>
        <w:tabs>
          <w:tab w:val="clear" w:pos="4320"/>
          <w:tab w:val="clear" w:pos="8640"/>
        </w:tabs>
        <w:rPr>
          <w:b/>
        </w:rPr>
      </w:pPr>
    </w:p>
    <w:p w:rsidR="00A46422" w:rsidRPr="0001385C" w:rsidRDefault="00434E33" w:rsidP="0001385C">
      <w:pPr>
        <w:pStyle w:val="Header"/>
        <w:tabs>
          <w:tab w:val="clear" w:pos="4320"/>
          <w:tab w:val="clear" w:pos="8640"/>
        </w:tabs>
        <w:rPr>
          <w:snapToGrid/>
        </w:rPr>
      </w:pPr>
      <w:r w:rsidRPr="00434E33">
        <w:rPr>
          <w:b/>
        </w:rPr>
        <w:t>DESCRIPTION OF RESPONDENTS</w:t>
      </w:r>
      <w:r>
        <w:t xml:space="preserve">: </w:t>
      </w:r>
      <w:r w:rsidR="005F542F">
        <w:t xml:space="preserve"> Respondents will be stakeholders for the NQS includ</w:t>
      </w:r>
      <w:r w:rsidR="0001385C">
        <w:t>ing</w:t>
      </w:r>
      <w:r w:rsidR="005F542F">
        <w:t xml:space="preserve"> </w:t>
      </w:r>
      <w:r w:rsidR="0001385C">
        <w:t xml:space="preserve">health care providers, purchasers, and payers; </w:t>
      </w:r>
      <w:r w:rsidR="005F542F">
        <w:t>representatives from Federal, state, and</w:t>
      </w:r>
      <w:r w:rsidR="0001385C">
        <w:t xml:space="preserve"> tribal government; and</w:t>
      </w:r>
      <w:r w:rsidR="005F542F">
        <w:t xml:space="preserve"> industry organizations involved in population health and health care.</w:t>
      </w:r>
      <w:r w:rsidR="0001385C">
        <w:t xml:space="preserve"> </w:t>
      </w:r>
      <w:r w:rsidR="00A46422">
        <w:t>The NQS team has collected approximately 1,750 email addresses of self-identified stakeholders as a result of registration rosters</w:t>
      </w:r>
      <w:r w:rsidR="0001385C">
        <w:t xml:space="preserve"> from three recent webinars</w:t>
      </w:r>
      <w:r w:rsidR="00A46422">
        <w:t>. Anticipating an average industry response of one-third for online surveys, a total of 600 people are expected to participate, the majority of whom would have participated in a webinar.</w:t>
      </w:r>
      <w:r w:rsidR="0001385C">
        <w:t xml:space="preserve"> </w:t>
      </w:r>
      <w:r w:rsidR="0001385C">
        <w:rPr>
          <w:snapToGrid/>
        </w:rPr>
        <w:t xml:space="preserve">. In addition, 9,000+ people are signed up for NQS posts from the </w:t>
      </w:r>
      <w:proofErr w:type="spellStart"/>
      <w:r w:rsidR="0001385C">
        <w:rPr>
          <w:snapToGrid/>
        </w:rPr>
        <w:t>GovDelivery</w:t>
      </w:r>
      <w:proofErr w:type="spellEnd"/>
      <w:r w:rsidR="0001385C">
        <w:rPr>
          <w:snapToGrid/>
        </w:rPr>
        <w:t xml:space="preserve"> listserv, and these people will also be invited to respond to the survey.</w:t>
      </w:r>
    </w:p>
    <w:p w:rsidR="00A46422" w:rsidRDefault="00A46422" w:rsidP="00A46422"/>
    <w:p w:rsidR="00A46422" w:rsidRDefault="00A46422" w:rsidP="00A46422">
      <w:r>
        <w:t xml:space="preserve">Analysis of 1761 unique email addresses from webinar registrants by domain extensions is presented in the table below. </w:t>
      </w:r>
    </w:p>
    <w:p w:rsidR="00A46422" w:rsidRDefault="00A46422" w:rsidP="00A46422"/>
    <w:p w:rsidR="00A46422" w:rsidRDefault="00A46422" w:rsidP="00A46422">
      <w:r>
        <w:t>Registrants for NQS Webinars by Domain Extension</w:t>
      </w:r>
    </w:p>
    <w:tbl>
      <w:tblPr>
        <w:tblStyle w:val="TableGrid"/>
        <w:tblW w:w="0" w:type="auto"/>
        <w:tblLook w:val="04A0" w:firstRow="1" w:lastRow="0" w:firstColumn="1" w:lastColumn="0" w:noHBand="0" w:noVBand="1"/>
      </w:tblPr>
      <w:tblGrid>
        <w:gridCol w:w="3192"/>
        <w:gridCol w:w="3192"/>
        <w:gridCol w:w="3192"/>
      </w:tblGrid>
      <w:tr w:rsidR="00A46422" w:rsidTr="00231742">
        <w:tc>
          <w:tcPr>
            <w:tcW w:w="3192" w:type="dxa"/>
          </w:tcPr>
          <w:p w:rsidR="00A46422" w:rsidRDefault="00A46422" w:rsidP="00231742">
            <w:pPr>
              <w:jc w:val="right"/>
            </w:pPr>
            <w:r>
              <w:t>Domain Extension</w:t>
            </w:r>
          </w:p>
        </w:tc>
        <w:tc>
          <w:tcPr>
            <w:tcW w:w="3192" w:type="dxa"/>
          </w:tcPr>
          <w:p w:rsidR="00A46422" w:rsidRDefault="00A46422" w:rsidP="00231742">
            <w:pPr>
              <w:jc w:val="right"/>
            </w:pPr>
            <w:r>
              <w:t>Number</w:t>
            </w:r>
          </w:p>
        </w:tc>
        <w:tc>
          <w:tcPr>
            <w:tcW w:w="3192" w:type="dxa"/>
          </w:tcPr>
          <w:p w:rsidR="00A46422" w:rsidRDefault="00A46422" w:rsidP="00231742">
            <w:pPr>
              <w:jc w:val="right"/>
            </w:pPr>
            <w:r>
              <w:t>Percent</w:t>
            </w:r>
          </w:p>
        </w:tc>
      </w:tr>
      <w:tr w:rsidR="00A46422" w:rsidTr="00231742">
        <w:tc>
          <w:tcPr>
            <w:tcW w:w="3192" w:type="dxa"/>
          </w:tcPr>
          <w:p w:rsidR="00A46422" w:rsidRDefault="00A46422" w:rsidP="00231742">
            <w:pPr>
              <w:jc w:val="right"/>
            </w:pPr>
            <w:r>
              <w:t>.</w:t>
            </w:r>
            <w:proofErr w:type="spellStart"/>
            <w:r>
              <w:t>gov</w:t>
            </w:r>
            <w:proofErr w:type="spellEnd"/>
            <w:r>
              <w:t xml:space="preserve"> or  .mil</w:t>
            </w:r>
          </w:p>
        </w:tc>
        <w:tc>
          <w:tcPr>
            <w:tcW w:w="3192" w:type="dxa"/>
          </w:tcPr>
          <w:p w:rsidR="00A46422" w:rsidRDefault="00A46422" w:rsidP="00231742">
            <w:pPr>
              <w:jc w:val="right"/>
            </w:pPr>
            <w:r>
              <w:t>256</w:t>
            </w:r>
          </w:p>
        </w:tc>
        <w:tc>
          <w:tcPr>
            <w:tcW w:w="3192" w:type="dxa"/>
          </w:tcPr>
          <w:p w:rsidR="00A46422" w:rsidRDefault="00A46422" w:rsidP="00231742">
            <w:pPr>
              <w:jc w:val="right"/>
            </w:pPr>
            <w:r>
              <w:t>12</w:t>
            </w:r>
          </w:p>
        </w:tc>
      </w:tr>
      <w:tr w:rsidR="00A46422" w:rsidTr="00231742">
        <w:tc>
          <w:tcPr>
            <w:tcW w:w="3192" w:type="dxa"/>
          </w:tcPr>
          <w:p w:rsidR="00A46422" w:rsidRDefault="00A46422" w:rsidP="00231742">
            <w:pPr>
              <w:jc w:val="right"/>
            </w:pPr>
            <w:r>
              <w:t xml:space="preserve">.us </w:t>
            </w:r>
          </w:p>
        </w:tc>
        <w:tc>
          <w:tcPr>
            <w:tcW w:w="3192" w:type="dxa"/>
          </w:tcPr>
          <w:p w:rsidR="00A46422" w:rsidRDefault="00A46422" w:rsidP="00231742">
            <w:pPr>
              <w:jc w:val="right"/>
            </w:pPr>
            <w:r>
              <w:t>37</w:t>
            </w:r>
          </w:p>
        </w:tc>
        <w:tc>
          <w:tcPr>
            <w:tcW w:w="3192" w:type="dxa"/>
          </w:tcPr>
          <w:p w:rsidR="00A46422" w:rsidRDefault="00A46422" w:rsidP="00231742">
            <w:pPr>
              <w:jc w:val="right"/>
            </w:pPr>
            <w:r>
              <w:t>2</w:t>
            </w:r>
          </w:p>
        </w:tc>
      </w:tr>
      <w:tr w:rsidR="00A46422" w:rsidTr="00231742">
        <w:tc>
          <w:tcPr>
            <w:tcW w:w="3192" w:type="dxa"/>
          </w:tcPr>
          <w:p w:rsidR="00A46422" w:rsidRDefault="00A46422" w:rsidP="00231742">
            <w:pPr>
              <w:jc w:val="right"/>
            </w:pPr>
            <w:r>
              <w:t>.com</w:t>
            </w:r>
          </w:p>
        </w:tc>
        <w:tc>
          <w:tcPr>
            <w:tcW w:w="3192" w:type="dxa"/>
          </w:tcPr>
          <w:p w:rsidR="00A46422" w:rsidRDefault="00A46422" w:rsidP="00231742">
            <w:pPr>
              <w:jc w:val="right"/>
            </w:pPr>
            <w:r>
              <w:t>637</w:t>
            </w:r>
          </w:p>
        </w:tc>
        <w:tc>
          <w:tcPr>
            <w:tcW w:w="3192" w:type="dxa"/>
          </w:tcPr>
          <w:p w:rsidR="00A46422" w:rsidRDefault="00A46422" w:rsidP="00231742">
            <w:pPr>
              <w:jc w:val="right"/>
            </w:pPr>
            <w:r>
              <w:t>36</w:t>
            </w:r>
          </w:p>
        </w:tc>
      </w:tr>
      <w:tr w:rsidR="00A46422" w:rsidTr="00231742">
        <w:tc>
          <w:tcPr>
            <w:tcW w:w="3192" w:type="dxa"/>
          </w:tcPr>
          <w:p w:rsidR="00A46422" w:rsidRDefault="00A46422" w:rsidP="00231742">
            <w:pPr>
              <w:jc w:val="right"/>
            </w:pPr>
            <w:r>
              <w:t>.org</w:t>
            </w:r>
          </w:p>
        </w:tc>
        <w:tc>
          <w:tcPr>
            <w:tcW w:w="3192" w:type="dxa"/>
          </w:tcPr>
          <w:p w:rsidR="00A46422" w:rsidRDefault="00A46422" w:rsidP="00231742">
            <w:pPr>
              <w:jc w:val="right"/>
            </w:pPr>
            <w:r>
              <w:t>613</w:t>
            </w:r>
          </w:p>
        </w:tc>
        <w:tc>
          <w:tcPr>
            <w:tcW w:w="3192" w:type="dxa"/>
          </w:tcPr>
          <w:p w:rsidR="00A46422" w:rsidRDefault="00A46422" w:rsidP="00231742">
            <w:pPr>
              <w:jc w:val="right"/>
            </w:pPr>
            <w:r>
              <w:t>36</w:t>
            </w:r>
          </w:p>
        </w:tc>
      </w:tr>
      <w:tr w:rsidR="00A46422" w:rsidTr="00231742">
        <w:tc>
          <w:tcPr>
            <w:tcW w:w="3192" w:type="dxa"/>
          </w:tcPr>
          <w:p w:rsidR="00A46422" w:rsidRDefault="00A46422" w:rsidP="00231742">
            <w:pPr>
              <w:jc w:val="right"/>
            </w:pPr>
            <w:r>
              <w:t>.</w:t>
            </w:r>
            <w:proofErr w:type="spellStart"/>
            <w:r>
              <w:t>edu</w:t>
            </w:r>
            <w:proofErr w:type="spellEnd"/>
          </w:p>
        </w:tc>
        <w:tc>
          <w:tcPr>
            <w:tcW w:w="3192" w:type="dxa"/>
          </w:tcPr>
          <w:p w:rsidR="00A46422" w:rsidRDefault="00A46422" w:rsidP="00231742">
            <w:pPr>
              <w:jc w:val="right"/>
            </w:pPr>
            <w:r>
              <w:t>163</w:t>
            </w:r>
          </w:p>
        </w:tc>
        <w:tc>
          <w:tcPr>
            <w:tcW w:w="3192" w:type="dxa"/>
          </w:tcPr>
          <w:p w:rsidR="00A46422" w:rsidRDefault="00A46422" w:rsidP="00231742">
            <w:pPr>
              <w:jc w:val="right"/>
            </w:pPr>
            <w:r>
              <w:t>9</w:t>
            </w:r>
          </w:p>
        </w:tc>
      </w:tr>
      <w:tr w:rsidR="00A46422" w:rsidTr="00231742">
        <w:tc>
          <w:tcPr>
            <w:tcW w:w="3192" w:type="dxa"/>
          </w:tcPr>
          <w:p w:rsidR="00A46422" w:rsidRDefault="00A46422" w:rsidP="00231742">
            <w:pPr>
              <w:jc w:val="right"/>
            </w:pPr>
            <w:r>
              <w:t>Other</w:t>
            </w:r>
          </w:p>
        </w:tc>
        <w:tc>
          <w:tcPr>
            <w:tcW w:w="3192" w:type="dxa"/>
          </w:tcPr>
          <w:p w:rsidR="00A46422" w:rsidRDefault="00A46422" w:rsidP="00231742">
            <w:pPr>
              <w:jc w:val="right"/>
            </w:pPr>
            <w:r>
              <w:t>75</w:t>
            </w:r>
          </w:p>
        </w:tc>
        <w:tc>
          <w:tcPr>
            <w:tcW w:w="3192" w:type="dxa"/>
          </w:tcPr>
          <w:p w:rsidR="00A46422" w:rsidRDefault="00A46422" w:rsidP="00231742">
            <w:pPr>
              <w:jc w:val="right"/>
            </w:pPr>
            <w:r>
              <w:t>4</w:t>
            </w:r>
          </w:p>
        </w:tc>
      </w:tr>
      <w:tr w:rsidR="00A46422" w:rsidTr="00231742">
        <w:tc>
          <w:tcPr>
            <w:tcW w:w="3192" w:type="dxa"/>
          </w:tcPr>
          <w:p w:rsidR="00A46422" w:rsidRDefault="00A46422" w:rsidP="00231742">
            <w:pPr>
              <w:jc w:val="right"/>
            </w:pPr>
            <w:r>
              <w:t>Total</w:t>
            </w:r>
          </w:p>
        </w:tc>
        <w:tc>
          <w:tcPr>
            <w:tcW w:w="3192" w:type="dxa"/>
          </w:tcPr>
          <w:p w:rsidR="00A46422" w:rsidRDefault="00A46422" w:rsidP="00231742">
            <w:pPr>
              <w:jc w:val="right"/>
            </w:pPr>
            <w:r>
              <w:t>1761</w:t>
            </w:r>
          </w:p>
        </w:tc>
        <w:tc>
          <w:tcPr>
            <w:tcW w:w="3192" w:type="dxa"/>
          </w:tcPr>
          <w:p w:rsidR="00A46422" w:rsidRDefault="00A46422" w:rsidP="00231742">
            <w:pPr>
              <w:jc w:val="right"/>
            </w:pPr>
            <w:r>
              <w:t>100</w:t>
            </w:r>
          </w:p>
        </w:tc>
      </w:tr>
    </w:tbl>
    <w:p w:rsidR="00A46422" w:rsidRDefault="00A46422" w:rsidP="00A46422"/>
    <w:p w:rsidR="00A46422" w:rsidRDefault="00A46422" w:rsidP="00A46422">
      <w:pPr>
        <w:pStyle w:val="Header"/>
        <w:tabs>
          <w:tab w:val="clear" w:pos="4320"/>
          <w:tab w:val="clear" w:pos="8640"/>
        </w:tabs>
        <w:rPr>
          <w:snapToGrid/>
        </w:rPr>
      </w:pPr>
      <w:r>
        <w:rPr>
          <w:snapToGrid/>
        </w:rPr>
        <w:t>These proportions of webinar registrants were used to calculate burden hours</w:t>
      </w:r>
    </w:p>
    <w:p w:rsidR="00A46422" w:rsidRDefault="00A46422" w:rsidP="00A46422"/>
    <w:p w:rsidR="00A46422" w:rsidRPr="00434E33" w:rsidRDefault="00A46422" w:rsidP="00434E33">
      <w:pPr>
        <w:pStyle w:val="Header"/>
        <w:tabs>
          <w:tab w:val="clear" w:pos="4320"/>
          <w:tab w:val="clear" w:pos="8640"/>
        </w:tabs>
        <w:rPr>
          <w:i/>
          <w:snapToGrid/>
        </w:rPr>
      </w:pP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F542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1363D">
        <w:rPr>
          <w:bCs/>
          <w:sz w:val="24"/>
        </w:rPr>
        <w:t xml:space="preserve"> </w:t>
      </w:r>
      <w:r w:rsidR="001C085D">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lastRenderedPageBreak/>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EA4042" w:rsidP="009C13B9">
      <w:r w:rsidRPr="00EA4042">
        <w:rPr>
          <w:b/>
        </w:rPr>
        <w:t>Name:</w:t>
      </w:r>
      <w:r>
        <w:t xml:space="preserve"> </w:t>
      </w:r>
      <w:r w:rsidR="005C141F">
        <w:t>Nancy Wilson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44C4D">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44C4D">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4C4D" w:rsidTr="00D90A7B">
        <w:trPr>
          <w:trHeight w:val="274"/>
        </w:trPr>
        <w:tc>
          <w:tcPr>
            <w:tcW w:w="5418" w:type="dxa"/>
          </w:tcPr>
          <w:p w:rsidR="00B44C4D" w:rsidRPr="0001027E" w:rsidRDefault="00B44C4D" w:rsidP="00D90A7B">
            <w:pPr>
              <w:rPr>
                <w:b/>
              </w:rPr>
            </w:pPr>
            <w:r w:rsidRPr="0001027E">
              <w:rPr>
                <w:b/>
              </w:rPr>
              <w:t xml:space="preserve">Category of Respondent </w:t>
            </w:r>
          </w:p>
        </w:tc>
        <w:tc>
          <w:tcPr>
            <w:tcW w:w="1530" w:type="dxa"/>
          </w:tcPr>
          <w:p w:rsidR="00B44C4D" w:rsidRPr="0001027E" w:rsidRDefault="00B44C4D" w:rsidP="00D90A7B">
            <w:pPr>
              <w:rPr>
                <w:b/>
              </w:rPr>
            </w:pPr>
            <w:r w:rsidRPr="0001027E">
              <w:rPr>
                <w:b/>
              </w:rPr>
              <w:t>No. of Respondents</w:t>
            </w:r>
          </w:p>
        </w:tc>
        <w:tc>
          <w:tcPr>
            <w:tcW w:w="1710" w:type="dxa"/>
          </w:tcPr>
          <w:p w:rsidR="00B44C4D" w:rsidRPr="0001027E" w:rsidRDefault="00B44C4D" w:rsidP="00D90A7B">
            <w:pPr>
              <w:rPr>
                <w:b/>
              </w:rPr>
            </w:pPr>
            <w:r w:rsidRPr="0001027E">
              <w:rPr>
                <w:b/>
              </w:rPr>
              <w:t>Participation Time</w:t>
            </w:r>
          </w:p>
        </w:tc>
        <w:tc>
          <w:tcPr>
            <w:tcW w:w="1003" w:type="dxa"/>
          </w:tcPr>
          <w:p w:rsidR="00B44C4D" w:rsidRPr="0001027E" w:rsidRDefault="00B44C4D" w:rsidP="00D90A7B">
            <w:pPr>
              <w:rPr>
                <w:b/>
              </w:rPr>
            </w:pPr>
            <w:r w:rsidRPr="0001027E">
              <w:rPr>
                <w:b/>
              </w:rPr>
              <w:t>Burden</w:t>
            </w:r>
          </w:p>
        </w:tc>
      </w:tr>
      <w:tr w:rsidR="00B44C4D" w:rsidTr="00D90A7B">
        <w:trPr>
          <w:trHeight w:val="274"/>
        </w:trPr>
        <w:tc>
          <w:tcPr>
            <w:tcW w:w="5418" w:type="dxa"/>
          </w:tcPr>
          <w:p w:rsidR="00B44C4D" w:rsidRDefault="00687A0A" w:rsidP="001857F8">
            <w:r>
              <w:t>Individuals or organizations</w:t>
            </w:r>
          </w:p>
        </w:tc>
        <w:tc>
          <w:tcPr>
            <w:tcW w:w="1530" w:type="dxa"/>
          </w:tcPr>
          <w:p w:rsidR="00B44C4D" w:rsidRDefault="00687A0A" w:rsidP="00D90A7B">
            <w:pPr>
              <w:jc w:val="right"/>
            </w:pPr>
            <w:r>
              <w:t>600</w:t>
            </w:r>
          </w:p>
        </w:tc>
        <w:tc>
          <w:tcPr>
            <w:tcW w:w="1710" w:type="dxa"/>
          </w:tcPr>
          <w:p w:rsidR="00687A0A" w:rsidRDefault="00B44C4D" w:rsidP="00D90A7B">
            <w:pPr>
              <w:jc w:val="right"/>
            </w:pPr>
            <w:r>
              <w:t xml:space="preserve">0.17 </w:t>
            </w:r>
            <w:proofErr w:type="spellStart"/>
            <w:r>
              <w:t>hr</w:t>
            </w:r>
            <w:proofErr w:type="spellEnd"/>
            <w:r w:rsidR="00687A0A">
              <w:t xml:space="preserve"> </w:t>
            </w:r>
          </w:p>
          <w:p w:rsidR="00B44C4D" w:rsidRDefault="00687A0A" w:rsidP="00D90A7B">
            <w:pPr>
              <w:jc w:val="right"/>
            </w:pPr>
            <w:r>
              <w:t>(1</w:t>
            </w:r>
            <w:r w:rsidR="006E63C9">
              <w:t>0</w:t>
            </w:r>
            <w:r>
              <w:t xml:space="preserve"> minutes)</w:t>
            </w:r>
          </w:p>
        </w:tc>
        <w:tc>
          <w:tcPr>
            <w:tcW w:w="1003" w:type="dxa"/>
          </w:tcPr>
          <w:p w:rsidR="00B44C4D" w:rsidRDefault="00687A0A" w:rsidP="0024734A">
            <w:pPr>
              <w:jc w:val="right"/>
            </w:pPr>
            <w:r>
              <w:t>10</w:t>
            </w:r>
            <w:r w:rsidR="0024734A">
              <w:t>0</w:t>
            </w:r>
            <w:r>
              <w:t xml:space="preserve"> </w:t>
            </w:r>
            <w:proofErr w:type="spellStart"/>
            <w:r w:rsidR="00B44C4D">
              <w:t>hrs</w:t>
            </w:r>
            <w:proofErr w:type="spellEnd"/>
          </w:p>
        </w:tc>
        <w:bookmarkStart w:id="0" w:name="_GoBack"/>
        <w:bookmarkEnd w:id="0"/>
      </w:tr>
      <w:tr w:rsidR="00B44C4D" w:rsidTr="00D90A7B">
        <w:trPr>
          <w:trHeight w:val="289"/>
        </w:trPr>
        <w:tc>
          <w:tcPr>
            <w:tcW w:w="5418" w:type="dxa"/>
          </w:tcPr>
          <w:p w:rsidR="00B44C4D" w:rsidRPr="0001027E" w:rsidRDefault="00B44C4D" w:rsidP="00D90A7B">
            <w:pPr>
              <w:rPr>
                <w:b/>
              </w:rPr>
            </w:pPr>
            <w:r w:rsidRPr="0001027E">
              <w:rPr>
                <w:b/>
              </w:rPr>
              <w:t>Totals</w:t>
            </w:r>
          </w:p>
        </w:tc>
        <w:tc>
          <w:tcPr>
            <w:tcW w:w="1530" w:type="dxa"/>
          </w:tcPr>
          <w:p w:rsidR="00B44C4D" w:rsidRPr="0001027E" w:rsidRDefault="009A6263" w:rsidP="00D90A7B">
            <w:pPr>
              <w:jc w:val="right"/>
              <w:rPr>
                <w:b/>
              </w:rPr>
            </w:pPr>
            <w:r>
              <w:rPr>
                <w:b/>
              </w:rPr>
              <w:t>600</w:t>
            </w:r>
          </w:p>
        </w:tc>
        <w:tc>
          <w:tcPr>
            <w:tcW w:w="1710" w:type="dxa"/>
          </w:tcPr>
          <w:p w:rsidR="00B44C4D" w:rsidRDefault="00B44C4D" w:rsidP="00D90A7B">
            <w:pPr>
              <w:jc w:val="right"/>
            </w:pPr>
          </w:p>
        </w:tc>
        <w:tc>
          <w:tcPr>
            <w:tcW w:w="1003" w:type="dxa"/>
          </w:tcPr>
          <w:p w:rsidR="00B44C4D" w:rsidRPr="0001027E" w:rsidRDefault="008B3518" w:rsidP="0024734A">
            <w:pPr>
              <w:jc w:val="right"/>
              <w:rPr>
                <w:b/>
              </w:rPr>
            </w:pPr>
            <w:r>
              <w:rPr>
                <w:b/>
              </w:rPr>
              <w:t>10</w:t>
            </w:r>
            <w:r w:rsidR="0024734A">
              <w:rPr>
                <w:b/>
              </w:rPr>
              <w:t>0</w:t>
            </w:r>
            <w:r w:rsidR="00573D18">
              <w:rPr>
                <w:b/>
              </w:rPr>
              <w:t xml:space="preserve"> </w:t>
            </w:r>
            <w:proofErr w:type="spellStart"/>
            <w:r w:rsidR="00B44C4D">
              <w:rPr>
                <w:b/>
              </w:rPr>
              <w:t>hrs</w:t>
            </w:r>
            <w:proofErr w:type="spellEnd"/>
          </w:p>
        </w:tc>
      </w:tr>
    </w:tbl>
    <w:p w:rsidR="00F3170F" w:rsidRDefault="00F3170F" w:rsidP="00F3170F"/>
    <w:p w:rsidR="00441434" w:rsidRDefault="00441434" w:rsidP="00F3170F"/>
    <w:p w:rsidR="005C141F" w:rsidRDefault="005C141F" w:rsidP="005C141F">
      <w:pPr>
        <w:rPr>
          <w:b/>
        </w:rPr>
      </w:pPr>
      <w:r w:rsidRPr="003E78B8">
        <w:rPr>
          <w:b/>
        </w:rPr>
        <w:t xml:space="preserve">FEDERAL COST:  </w:t>
      </w:r>
      <w:r w:rsidRPr="003E78B8">
        <w:t>The estimated annual cost to the Federal government is $</w:t>
      </w:r>
      <w:r w:rsidR="006E63C9">
        <w:t>4</w:t>
      </w:r>
      <w:r w:rsidR="00C23608">
        <w:t>,</w:t>
      </w:r>
      <w:r w:rsidR="006E63C9">
        <w:t>686</w:t>
      </w:r>
      <w:r w:rsidRPr="003E78B8">
        <w:t xml:space="preserve">.00, which includes 1) </w:t>
      </w:r>
      <w:r w:rsidR="00C23608">
        <w:t>$4,34</w:t>
      </w:r>
      <w:r w:rsidRPr="003E78B8">
        <w:t xml:space="preserve">0 in instrument development, fielding, and analysis, and 2) </w:t>
      </w:r>
      <w:r w:rsidR="00C23608">
        <w:t>$</w:t>
      </w:r>
      <w:r w:rsidR="006E63C9">
        <w:t>346 (6</w:t>
      </w:r>
      <w:r w:rsidR="00C23608">
        <w:t xml:space="preserve"> hours at the GS-14</w:t>
      </w:r>
      <w:r w:rsidRPr="003E78B8">
        <w:t xml:space="preserve"> level) in project management and oversight.</w:t>
      </w:r>
      <w:r>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607EE">
        <w:t>x</w:t>
      </w:r>
      <w:r>
        <w:t>] Yes</w:t>
      </w:r>
      <w:r>
        <w:tab/>
        <w:t>[ ]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6422" w:rsidRDefault="00A46422" w:rsidP="00687A0A">
      <w:pPr>
        <w:pStyle w:val="ListParagraph"/>
        <w:ind w:left="0"/>
      </w:pPr>
      <w:r>
        <w:t xml:space="preserve">We </w:t>
      </w:r>
      <w:r w:rsidRPr="00F71F70">
        <w:t xml:space="preserve">will create a single </w:t>
      </w:r>
      <w:r>
        <w:t xml:space="preserve">“customer” </w:t>
      </w:r>
      <w:r w:rsidRPr="00F71F70">
        <w:t xml:space="preserve">list of survey </w:t>
      </w:r>
      <w:r>
        <w:t xml:space="preserve">invitation </w:t>
      </w:r>
      <w:r w:rsidRPr="00F71F70">
        <w:t xml:space="preserve">recipients containing names and email addresses from the </w:t>
      </w:r>
      <w:r>
        <w:t xml:space="preserve">webinar registrants and </w:t>
      </w:r>
      <w:proofErr w:type="spellStart"/>
      <w:r>
        <w:t>GovDelivery</w:t>
      </w:r>
      <w:proofErr w:type="spellEnd"/>
      <w:r>
        <w:t xml:space="preserve"> listserv. </w:t>
      </w:r>
    </w:p>
    <w:p w:rsidR="00A46422" w:rsidRDefault="00A46422" w:rsidP="00687A0A">
      <w:pPr>
        <w:pStyle w:val="ListParagraph"/>
        <w:ind w:left="0"/>
      </w:pPr>
      <w:r>
        <w:t xml:space="preserve">We will send an email announcement containing a link to the survey to this audience along with two reminder emails. </w:t>
      </w:r>
    </w:p>
    <w:p w:rsidR="00A46422" w:rsidRDefault="00A46422" w:rsidP="00687A0A">
      <w:pPr>
        <w:pStyle w:val="ListParagraph"/>
        <w:ind w:left="0"/>
      </w:pPr>
    </w:p>
    <w:p w:rsidR="00D607EE" w:rsidRDefault="00D607EE" w:rsidP="00D607EE"/>
    <w:p w:rsidR="00D607EE" w:rsidRDefault="00D607EE" w:rsidP="00D607EE">
      <w:pPr>
        <w:spacing w:after="120"/>
      </w:pPr>
      <w:r>
        <w:t xml:space="preserve">The Agency for Healthcare Research and Quality (AHRQ), the parent agency for the National Quality Strategy, may offer additional support in distributing the survey. </w:t>
      </w:r>
    </w:p>
    <w:p w:rsidR="00D607EE" w:rsidRDefault="00D607EE" w:rsidP="00D607EE"/>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D607EE">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D607EE">
        <w:t>x</w:t>
      </w:r>
      <w:r>
        <w:t>] No</w:t>
      </w:r>
    </w:p>
    <w:p w:rsidR="00687A0A" w:rsidRDefault="00687A0A" w:rsidP="00F24CFC">
      <w:pPr>
        <w:pStyle w:val="ListParagraph"/>
        <w:ind w:left="360"/>
      </w:pPr>
    </w:p>
    <w:p w:rsidR="00687A0A" w:rsidRDefault="00687A0A" w:rsidP="00F24CFC">
      <w:pPr>
        <w:pStyle w:val="ListParagraph"/>
        <w:ind w:left="360"/>
        <w:rPr>
          <w:b/>
        </w:rPr>
      </w:pPr>
      <w:r>
        <w:rPr>
          <w:b/>
        </w:rPr>
        <w:t>List of Attachments</w:t>
      </w:r>
    </w:p>
    <w:p w:rsidR="00687A0A" w:rsidRDefault="00687A0A" w:rsidP="00F24CFC">
      <w:pPr>
        <w:pStyle w:val="ListParagraph"/>
        <w:ind w:left="360"/>
        <w:rPr>
          <w:b/>
        </w:rPr>
      </w:pPr>
    </w:p>
    <w:p w:rsidR="00687A0A" w:rsidRPr="00687A0A" w:rsidRDefault="00687A0A" w:rsidP="00687A0A">
      <w:pPr>
        <w:pStyle w:val="Heading1"/>
        <w:spacing w:before="120"/>
        <w:ind w:left="360"/>
        <w:rPr>
          <w:b w:val="0"/>
        </w:rPr>
      </w:pPr>
      <w:r w:rsidRPr="00687A0A">
        <w:t>Attachment A</w:t>
      </w:r>
      <w:r>
        <w:rPr>
          <w:b w:val="0"/>
        </w:rPr>
        <w:t>--</w:t>
      </w:r>
      <w:r w:rsidRPr="00687A0A">
        <w:rPr>
          <w:b w:val="0"/>
        </w:rPr>
        <w:t>National Quality Strategy Stakeholder Survey of Awareness,</w:t>
      </w:r>
    </w:p>
    <w:p w:rsidR="00687A0A" w:rsidRPr="00687A0A" w:rsidRDefault="00687A0A" w:rsidP="00687A0A">
      <w:pPr>
        <w:pStyle w:val="Heading1"/>
        <w:spacing w:before="120"/>
        <w:ind w:left="360"/>
        <w:rPr>
          <w:b w:val="0"/>
        </w:rPr>
      </w:pPr>
      <w:r w:rsidRPr="00687A0A">
        <w:rPr>
          <w:b w:val="0"/>
        </w:rPr>
        <w:t>Information Needs and Satisfaction</w:t>
      </w:r>
    </w:p>
    <w:p w:rsidR="00687A0A" w:rsidRPr="00BE2F4A" w:rsidRDefault="00687A0A" w:rsidP="00687A0A">
      <w:pPr>
        <w:ind w:left="1800" w:hanging="1800"/>
        <w:rPr>
          <w:rFonts w:cstheme="minorHAnsi"/>
          <w:b/>
        </w:rPr>
      </w:pPr>
    </w:p>
    <w:p w:rsidR="00F24CFC" w:rsidRDefault="00F24CFC" w:rsidP="00F24CFC">
      <w:pPr>
        <w:pStyle w:val="ListParagraph"/>
        <w:ind w:left="360"/>
      </w:pPr>
      <w:r>
        <w:t xml:space="preserve"> </w:t>
      </w:r>
    </w:p>
    <w:sectPr w:rsidR="00F24CF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BF3" w:rsidRDefault="00DB6BF3">
      <w:r>
        <w:separator/>
      </w:r>
    </w:p>
  </w:endnote>
  <w:endnote w:type="continuationSeparator" w:id="0">
    <w:p w:rsidR="00DB6BF3" w:rsidRDefault="00DB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4734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BF3" w:rsidRDefault="00DB6BF3">
      <w:r>
        <w:separator/>
      </w:r>
    </w:p>
  </w:footnote>
  <w:footnote w:type="continuationSeparator" w:id="0">
    <w:p w:rsidR="00DB6BF3" w:rsidRDefault="00DB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5AA"/>
    <w:rsid w:val="000033EC"/>
    <w:rsid w:val="0001385C"/>
    <w:rsid w:val="00023A57"/>
    <w:rsid w:val="00047A64"/>
    <w:rsid w:val="00067329"/>
    <w:rsid w:val="000B2838"/>
    <w:rsid w:val="000D44CA"/>
    <w:rsid w:val="000E200B"/>
    <w:rsid w:val="000F68BE"/>
    <w:rsid w:val="001857F8"/>
    <w:rsid w:val="001927A4"/>
    <w:rsid w:val="00194AC6"/>
    <w:rsid w:val="001A23B0"/>
    <w:rsid w:val="001A25CC"/>
    <w:rsid w:val="001A5D56"/>
    <w:rsid w:val="001B0AAA"/>
    <w:rsid w:val="001C085D"/>
    <w:rsid w:val="001C39F7"/>
    <w:rsid w:val="002252CE"/>
    <w:rsid w:val="00237B48"/>
    <w:rsid w:val="0024521E"/>
    <w:rsid w:val="0024734A"/>
    <w:rsid w:val="00263C3D"/>
    <w:rsid w:val="00267076"/>
    <w:rsid w:val="00274D0B"/>
    <w:rsid w:val="002B3C95"/>
    <w:rsid w:val="002D0B92"/>
    <w:rsid w:val="003468B9"/>
    <w:rsid w:val="00354B76"/>
    <w:rsid w:val="003D5BBE"/>
    <w:rsid w:val="003E3C61"/>
    <w:rsid w:val="003F1C5B"/>
    <w:rsid w:val="00434E33"/>
    <w:rsid w:val="00441434"/>
    <w:rsid w:val="0045264C"/>
    <w:rsid w:val="004876EC"/>
    <w:rsid w:val="004D6E14"/>
    <w:rsid w:val="005009B0"/>
    <w:rsid w:val="00573D18"/>
    <w:rsid w:val="005A1006"/>
    <w:rsid w:val="005C141F"/>
    <w:rsid w:val="005E714A"/>
    <w:rsid w:val="005F542F"/>
    <w:rsid w:val="006140A0"/>
    <w:rsid w:val="00636621"/>
    <w:rsid w:val="00642B49"/>
    <w:rsid w:val="00683104"/>
    <w:rsid w:val="006832D9"/>
    <w:rsid w:val="00687A0A"/>
    <w:rsid w:val="0069403B"/>
    <w:rsid w:val="006E63C9"/>
    <w:rsid w:val="006F3DDE"/>
    <w:rsid w:val="00704678"/>
    <w:rsid w:val="007425E7"/>
    <w:rsid w:val="00771B1B"/>
    <w:rsid w:val="0079276C"/>
    <w:rsid w:val="007F3F8D"/>
    <w:rsid w:val="00802607"/>
    <w:rsid w:val="008101A5"/>
    <w:rsid w:val="00812434"/>
    <w:rsid w:val="00822664"/>
    <w:rsid w:val="00843796"/>
    <w:rsid w:val="00895229"/>
    <w:rsid w:val="008B3518"/>
    <w:rsid w:val="008F0203"/>
    <w:rsid w:val="008F50D4"/>
    <w:rsid w:val="00922E1B"/>
    <w:rsid w:val="009239AA"/>
    <w:rsid w:val="00935ADA"/>
    <w:rsid w:val="00946B6C"/>
    <w:rsid w:val="00955A71"/>
    <w:rsid w:val="0096108F"/>
    <w:rsid w:val="009A6263"/>
    <w:rsid w:val="009C13B9"/>
    <w:rsid w:val="009D01A2"/>
    <w:rsid w:val="009F34C6"/>
    <w:rsid w:val="009F5923"/>
    <w:rsid w:val="00A403BB"/>
    <w:rsid w:val="00A46422"/>
    <w:rsid w:val="00A674DF"/>
    <w:rsid w:val="00A83AA6"/>
    <w:rsid w:val="00AE1809"/>
    <w:rsid w:val="00B44C4D"/>
    <w:rsid w:val="00B80D76"/>
    <w:rsid w:val="00BA2105"/>
    <w:rsid w:val="00BA7E06"/>
    <w:rsid w:val="00BB43B5"/>
    <w:rsid w:val="00BB6219"/>
    <w:rsid w:val="00BD290F"/>
    <w:rsid w:val="00BD59C6"/>
    <w:rsid w:val="00C1363D"/>
    <w:rsid w:val="00C14CC4"/>
    <w:rsid w:val="00C23608"/>
    <w:rsid w:val="00C33C52"/>
    <w:rsid w:val="00C40D8B"/>
    <w:rsid w:val="00C8407A"/>
    <w:rsid w:val="00C8488C"/>
    <w:rsid w:val="00C86E91"/>
    <w:rsid w:val="00CA2650"/>
    <w:rsid w:val="00CB1078"/>
    <w:rsid w:val="00CC6FAF"/>
    <w:rsid w:val="00D24698"/>
    <w:rsid w:val="00D607EE"/>
    <w:rsid w:val="00D6383F"/>
    <w:rsid w:val="00DA7125"/>
    <w:rsid w:val="00DB59D0"/>
    <w:rsid w:val="00DB6BF3"/>
    <w:rsid w:val="00DC33D3"/>
    <w:rsid w:val="00E26329"/>
    <w:rsid w:val="00E40B50"/>
    <w:rsid w:val="00E50293"/>
    <w:rsid w:val="00E65FFC"/>
    <w:rsid w:val="00E80951"/>
    <w:rsid w:val="00E86CC6"/>
    <w:rsid w:val="00EA4042"/>
    <w:rsid w:val="00EB56B3"/>
    <w:rsid w:val="00ED6492"/>
    <w:rsid w:val="00EE7AF5"/>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75C6-3C68-44F4-BE14-A45A856D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813</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erwin.brown</cp:lastModifiedBy>
  <cp:revision>4</cp:revision>
  <cp:lastPrinted>2010-10-04T16:59:00Z</cp:lastPrinted>
  <dcterms:created xsi:type="dcterms:W3CDTF">2014-08-18T19:14:00Z</dcterms:created>
  <dcterms:modified xsi:type="dcterms:W3CDTF">2014-08-20T19:56:00Z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