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FD6" w:rsidRDefault="00982FD6">
      <w:pPr>
        <w:pStyle w:val="DocumentLabel"/>
      </w:pPr>
      <w:r>
        <w:t>Me</w:t>
      </w:r>
      <w:r>
        <w:rPr>
          <w:spacing w:val="-90"/>
        </w:rPr>
        <w:t>m</w:t>
      </w:r>
      <w:r>
        <w:t>o</w:t>
      </w:r>
    </w:p>
    <w:p w:rsidR="00982FD6" w:rsidRDefault="00982FD6" w:rsidP="00754E17">
      <w:pPr>
        <w:pStyle w:val="MessageHeaderFirst"/>
        <w:ind w:left="1440" w:right="-90"/>
      </w:pPr>
      <w:r>
        <w:rPr>
          <w:rStyle w:val="MessageHeaderLabel"/>
          <w:spacing w:val="-25"/>
        </w:rPr>
        <w:t>T</w:t>
      </w:r>
      <w:r>
        <w:rPr>
          <w:rStyle w:val="MessageHeaderLabel"/>
        </w:rPr>
        <w:t>o:</w:t>
      </w:r>
      <w:r>
        <w:tab/>
      </w:r>
      <w:r w:rsidR="003E0C07">
        <w:t>The OMB Desk Officer</w:t>
      </w:r>
      <w:r>
        <w:t xml:space="preserve"> </w:t>
      </w:r>
    </w:p>
    <w:p w:rsidR="00982FD6" w:rsidRDefault="00982FD6" w:rsidP="00754E17">
      <w:pPr>
        <w:pStyle w:val="MessageHeader"/>
        <w:ind w:left="1440" w:right="-90"/>
      </w:pPr>
      <w:r>
        <w:rPr>
          <w:rStyle w:val="MessageHeaderLabel"/>
        </w:rPr>
        <w:t>From:</w:t>
      </w:r>
      <w:r>
        <w:tab/>
      </w:r>
      <w:r w:rsidR="00106004">
        <w:t>Carolyn Scott</w:t>
      </w:r>
      <w:r>
        <w:t xml:space="preserve">, Division of Clinical and </w:t>
      </w:r>
      <w:r w:rsidR="007E5C21">
        <w:t>Operational</w:t>
      </w:r>
      <w:r>
        <w:t xml:space="preserve"> Performance, MDBG, C</w:t>
      </w:r>
      <w:r w:rsidR="007E5C21">
        <w:t>P</w:t>
      </w:r>
      <w:r>
        <w:t>C</w:t>
      </w:r>
    </w:p>
    <w:p w:rsidR="003E0C07" w:rsidRDefault="00982FD6" w:rsidP="003E0C07">
      <w:pPr>
        <w:pStyle w:val="MessageHeader"/>
        <w:ind w:left="1440" w:right="-90"/>
      </w:pPr>
      <w:r>
        <w:rPr>
          <w:rStyle w:val="MessageHeaderLabel"/>
        </w:rPr>
        <w:t>CC:</w:t>
      </w:r>
      <w:r>
        <w:tab/>
      </w:r>
      <w:r w:rsidR="003E0C07">
        <w:t>William Parham</w:t>
      </w:r>
      <w:r>
        <w:t>, OSORA</w:t>
      </w:r>
    </w:p>
    <w:p w:rsidR="003E0C07" w:rsidRDefault="003E0C07" w:rsidP="003E0C07">
      <w:pPr>
        <w:pStyle w:val="MessageHeader"/>
        <w:ind w:left="0" w:right="-90" w:firstLine="0"/>
      </w:pPr>
      <w:r>
        <w:t xml:space="preserve">                            Martique Jones, OSORA</w:t>
      </w:r>
    </w:p>
    <w:p w:rsidR="00982FD6" w:rsidRDefault="00982FD6" w:rsidP="00754E17">
      <w:pPr>
        <w:pStyle w:val="MessageHeader"/>
        <w:ind w:left="1440" w:right="-90"/>
      </w:pPr>
      <w:r>
        <w:rPr>
          <w:rStyle w:val="MessageHeaderLabel"/>
        </w:rPr>
        <w:t>Date:</w:t>
      </w:r>
      <w:r>
        <w:tab/>
      </w:r>
      <w:fldSimple w:instr=" TIME \@ &quot;MMMM d, yyyy&quot; ">
        <w:r w:rsidR="00A92A7F">
          <w:rPr>
            <w:noProof/>
          </w:rPr>
          <w:t>April 12, 2011</w:t>
        </w:r>
      </w:fldSimple>
    </w:p>
    <w:p w:rsidR="00982FD6" w:rsidRDefault="00982FD6" w:rsidP="00754E17">
      <w:pPr>
        <w:pStyle w:val="MessageHeaderLast"/>
        <w:spacing w:after="0"/>
        <w:ind w:left="1440" w:right="-90"/>
      </w:pPr>
      <w:r>
        <w:rPr>
          <w:rStyle w:val="MessageHeaderLabel"/>
        </w:rPr>
        <w:t>Re:</w:t>
      </w:r>
      <w:r>
        <w:tab/>
      </w:r>
      <w:r w:rsidR="009D515D">
        <w:t xml:space="preserve">Non-material/non-substantive changes to </w:t>
      </w:r>
      <w:r w:rsidR="00754E17">
        <w:t>Complaints Resolution Survey Instrument</w:t>
      </w:r>
    </w:p>
    <w:p w:rsidR="00982FD6" w:rsidRDefault="00754E17" w:rsidP="00754E17">
      <w:pPr>
        <w:ind w:left="720" w:right="-90"/>
      </w:pPr>
      <w:r>
        <w:t xml:space="preserve">Based upon the findings from the Pilot Test of the survey, </w:t>
      </w:r>
      <w:r w:rsidR="009D515D">
        <w:t>non-material and non-substantive changes</w:t>
      </w:r>
      <w:r>
        <w:t xml:space="preserve"> </w:t>
      </w:r>
      <w:r w:rsidR="009D515D">
        <w:t xml:space="preserve">to our currently approved </w:t>
      </w:r>
      <w:r>
        <w:t>Complaints Resolution Survey Instrument (</w:t>
      </w:r>
      <w:r w:rsidR="009D515D">
        <w:t>CMS-10</w:t>
      </w:r>
      <w:r>
        <w:t>308) have been identified</w:t>
      </w:r>
      <w:r w:rsidR="009D515D">
        <w:t xml:space="preserve">.  An explanation for each change is listed below.  </w:t>
      </w:r>
      <w:r w:rsidR="00845DB7">
        <w:t>In addition, a red-line document that identifies each change is provided</w:t>
      </w:r>
      <w:r w:rsidR="00106004">
        <w:t xml:space="preserve">, along with a final version. </w:t>
      </w:r>
      <w:r w:rsidR="00B62107">
        <w:t xml:space="preserve">These changes do not </w:t>
      </w:r>
      <w:r w:rsidR="00623C89">
        <w:t xml:space="preserve">increase, decrease, or otherwise </w:t>
      </w:r>
      <w:r w:rsidR="00B62107">
        <w:t>change the burden associated with this data collection.</w:t>
      </w:r>
    </w:p>
    <w:p w:rsidR="001F498F" w:rsidRDefault="001F498F" w:rsidP="00754E17">
      <w:pPr>
        <w:ind w:left="720" w:right="-605"/>
      </w:pPr>
    </w:p>
    <w:tbl>
      <w:tblPr>
        <w:tblStyle w:val="TableGrid"/>
        <w:tblW w:w="5000" w:type="pct"/>
        <w:tblLook w:val="01E0"/>
      </w:tblPr>
      <w:tblGrid>
        <w:gridCol w:w="3748"/>
        <w:gridCol w:w="5828"/>
      </w:tblGrid>
      <w:tr w:rsidR="00754E17" w:rsidRPr="001F498F" w:rsidTr="00E56314">
        <w:trPr>
          <w:trHeight w:val="512"/>
          <w:tblHeader/>
        </w:trPr>
        <w:tc>
          <w:tcPr>
            <w:tcW w:w="1957" w:type="pct"/>
            <w:shd w:val="clear" w:color="auto" w:fill="D9D9D9"/>
            <w:vAlign w:val="center"/>
          </w:tcPr>
          <w:p w:rsidR="00E56314" w:rsidRDefault="00754E17" w:rsidP="00E56314">
            <w:pPr>
              <w:ind w:left="90" w:right="0"/>
              <w:jc w:val="center"/>
              <w:rPr>
                <w:b/>
                <w:bCs/>
              </w:rPr>
            </w:pPr>
            <w:r>
              <w:rPr>
                <w:b/>
                <w:bCs/>
              </w:rPr>
              <w:t>Non-Material/Non-Substantive</w:t>
            </w:r>
          </w:p>
          <w:p w:rsidR="00754E17" w:rsidRPr="001F498F" w:rsidRDefault="00754E17" w:rsidP="00E56314">
            <w:pPr>
              <w:ind w:left="90" w:right="0"/>
              <w:jc w:val="center"/>
              <w:rPr>
                <w:rFonts w:cs="Arial"/>
                <w:b/>
              </w:rPr>
            </w:pPr>
            <w:r>
              <w:rPr>
                <w:b/>
                <w:bCs/>
              </w:rPr>
              <w:t>Changes</w:t>
            </w:r>
          </w:p>
        </w:tc>
        <w:tc>
          <w:tcPr>
            <w:tcW w:w="3043" w:type="pct"/>
            <w:shd w:val="clear" w:color="auto" w:fill="D9D9D9"/>
            <w:vAlign w:val="center"/>
          </w:tcPr>
          <w:p w:rsidR="00754E17" w:rsidRPr="001F498F" w:rsidRDefault="00754E17" w:rsidP="00E56314">
            <w:pPr>
              <w:ind w:left="32" w:right="90"/>
              <w:jc w:val="center"/>
              <w:rPr>
                <w:rFonts w:cs="Arial"/>
                <w:b/>
              </w:rPr>
            </w:pPr>
            <w:r w:rsidRPr="001F498F">
              <w:rPr>
                <w:rFonts w:cs="Arial"/>
                <w:b/>
              </w:rPr>
              <w:t>Explanation</w:t>
            </w:r>
          </w:p>
        </w:tc>
      </w:tr>
      <w:tr w:rsidR="00754E17" w:rsidRPr="001F498F" w:rsidTr="00754E17">
        <w:tc>
          <w:tcPr>
            <w:tcW w:w="1957" w:type="pct"/>
          </w:tcPr>
          <w:p w:rsidR="00754E17" w:rsidRPr="001F498F" w:rsidRDefault="00754E17" w:rsidP="00E56314">
            <w:pPr>
              <w:ind w:left="90" w:right="0"/>
              <w:rPr>
                <w:rFonts w:cs="Arial"/>
              </w:rPr>
            </w:pPr>
            <w:r>
              <w:t xml:space="preserve">Updates to Survey </w:t>
            </w:r>
            <w:r w:rsidR="00E56314">
              <w:t>Instrument Introduction</w:t>
            </w:r>
          </w:p>
        </w:tc>
        <w:tc>
          <w:tcPr>
            <w:tcW w:w="3043" w:type="pct"/>
          </w:tcPr>
          <w:p w:rsidR="00D8011B" w:rsidRDefault="00A179F3" w:rsidP="00E56314">
            <w:pPr>
              <w:ind w:left="32" w:right="90"/>
            </w:pPr>
            <w:r>
              <w:t>As a response to beneficiary questions that were received during the Pilot Test, language was added to define a complaint as a</w:t>
            </w:r>
            <w:r w:rsidR="00D8011B">
              <w:t xml:space="preserve">ny call made to </w:t>
            </w:r>
            <w:r w:rsidR="002C42DD">
              <w:t>1-800-Medicare.</w:t>
            </w:r>
          </w:p>
          <w:p w:rsidR="00624C7E" w:rsidRDefault="00624C7E" w:rsidP="00A179F3">
            <w:pPr>
              <w:ind w:left="32" w:right="90"/>
            </w:pPr>
          </w:p>
          <w:p w:rsidR="00754E17" w:rsidRDefault="00A179F3" w:rsidP="00A179F3">
            <w:pPr>
              <w:ind w:left="32" w:right="90"/>
              <w:rPr>
                <w:rFonts w:ascii="Calibri" w:eastAsiaTheme="minorHAnsi" w:hAnsi="Calibri"/>
                <w:sz w:val="22"/>
                <w:szCs w:val="22"/>
              </w:rPr>
            </w:pPr>
            <w:r>
              <w:t xml:space="preserve">The text of the introduction was also refined to more clearly explain the purpose of the survey and </w:t>
            </w:r>
            <w:r w:rsidR="00916EE1">
              <w:t xml:space="preserve">to </w:t>
            </w:r>
            <w:r>
              <w:t xml:space="preserve">instruct beneficiary representatives on how to respond to </w:t>
            </w:r>
            <w:r w:rsidR="00916EE1">
              <w:t>questions that pertain to the beneficiary’s perspective or experience</w:t>
            </w:r>
            <w:r w:rsidR="00754E17">
              <w:t>.     </w:t>
            </w:r>
          </w:p>
        </w:tc>
      </w:tr>
      <w:tr w:rsidR="005B3BFF" w:rsidRPr="001F498F" w:rsidTr="00754E17">
        <w:tc>
          <w:tcPr>
            <w:tcW w:w="1957" w:type="pct"/>
          </w:tcPr>
          <w:p w:rsidR="005B3BFF" w:rsidRDefault="005B3BFF" w:rsidP="00E56314">
            <w:pPr>
              <w:ind w:left="90" w:right="0"/>
              <w:rPr>
                <w:rFonts w:cs="Arial"/>
              </w:rPr>
            </w:pPr>
            <w:r>
              <w:rPr>
                <w:rFonts w:cs="Arial"/>
              </w:rPr>
              <w:t>Updates to Survey Tool</w:t>
            </w:r>
          </w:p>
        </w:tc>
        <w:tc>
          <w:tcPr>
            <w:tcW w:w="3043" w:type="pct"/>
          </w:tcPr>
          <w:p w:rsidR="005B3BFF" w:rsidRDefault="005B3BFF" w:rsidP="005B3BFF">
            <w:pPr>
              <w:ind w:left="32" w:right="90"/>
              <w:rPr>
                <w:rFonts w:cs="Arial"/>
              </w:rPr>
            </w:pPr>
            <w:r>
              <w:rPr>
                <w:rFonts w:cs="Arial"/>
              </w:rPr>
              <w:t xml:space="preserve">Updates were made to the survey tool. Questions were refined to target beneficiary responses. During the Pilot Test it was found that beneficiaries were confused or unclear on the intention behind some of the questions. </w:t>
            </w:r>
          </w:p>
          <w:p w:rsidR="005B3BFF" w:rsidRDefault="005B3BFF" w:rsidP="005B3BFF">
            <w:pPr>
              <w:ind w:left="32" w:right="90"/>
              <w:rPr>
                <w:rFonts w:cs="Arial"/>
              </w:rPr>
            </w:pPr>
          </w:p>
          <w:p w:rsidR="005B3BFF" w:rsidRDefault="005B3BFF" w:rsidP="005B3BFF">
            <w:pPr>
              <w:ind w:left="32" w:right="90"/>
              <w:rPr>
                <w:rFonts w:cs="Arial"/>
              </w:rPr>
            </w:pPr>
            <w:r>
              <w:rPr>
                <w:rFonts w:cs="Arial"/>
              </w:rPr>
              <w:t xml:space="preserve">For example, </w:t>
            </w:r>
            <w:r w:rsidR="00F71C4C">
              <w:rPr>
                <w:rFonts w:cs="Arial"/>
              </w:rPr>
              <w:t xml:space="preserve">during the Pilot Test respondents </w:t>
            </w:r>
            <w:r>
              <w:rPr>
                <w:rFonts w:cs="Arial"/>
              </w:rPr>
              <w:t xml:space="preserve">at times confused the subject of the question. In an effort to provide more specific language, “the plan” was replaced with the actual name of the beneficiary’s plan wherever possible in the survey. This change is intended to help beneficiary’s more confidently respond regarding their satisfaction with the plan and their experiences.  </w:t>
            </w:r>
          </w:p>
          <w:p w:rsidR="00437C1F" w:rsidRDefault="00437C1F" w:rsidP="005B3BFF">
            <w:pPr>
              <w:ind w:left="32" w:right="90"/>
              <w:rPr>
                <w:rFonts w:cs="Arial"/>
              </w:rPr>
            </w:pPr>
          </w:p>
          <w:p w:rsidR="00437C1F" w:rsidRDefault="00437C1F" w:rsidP="005B3BFF">
            <w:pPr>
              <w:ind w:left="32" w:right="90"/>
              <w:rPr>
                <w:rFonts w:cs="Arial"/>
              </w:rPr>
            </w:pPr>
            <w:r>
              <w:rPr>
                <w:rFonts w:cs="Arial"/>
              </w:rPr>
              <w:t xml:space="preserve">A red-lined document that identifies each change is provided. These changes do not increase, decrease, or otherwise change the burden associated with this data collection. </w:t>
            </w:r>
          </w:p>
          <w:p w:rsidR="005B3BFF" w:rsidRDefault="005B3BFF" w:rsidP="005B3BFF">
            <w:pPr>
              <w:ind w:left="32" w:right="90"/>
              <w:rPr>
                <w:rFonts w:cs="Arial"/>
              </w:rPr>
            </w:pPr>
          </w:p>
          <w:p w:rsidR="005B3BFF" w:rsidRDefault="005B3BFF" w:rsidP="00437C1F">
            <w:pPr>
              <w:ind w:left="32" w:right="90"/>
              <w:rPr>
                <w:rFonts w:cs="Arial"/>
              </w:rPr>
            </w:pPr>
          </w:p>
        </w:tc>
      </w:tr>
    </w:tbl>
    <w:p w:rsidR="007935B8" w:rsidRPr="007935B8" w:rsidRDefault="007935B8" w:rsidP="00754E17">
      <w:pPr>
        <w:ind w:left="720" w:right="-605"/>
      </w:pPr>
    </w:p>
    <w:p w:rsidR="00982FD6" w:rsidRPr="007935B8" w:rsidRDefault="00982FD6" w:rsidP="00754E17">
      <w:pPr>
        <w:ind w:left="720" w:right="-605"/>
      </w:pPr>
      <w:r w:rsidRPr="007935B8">
        <w:t xml:space="preserve">Please contact me at </w:t>
      </w:r>
      <w:hyperlink r:id="rId7" w:history="1">
        <w:r w:rsidRPr="007935B8">
          <w:rPr>
            <w:rStyle w:val="Hyperlink"/>
          </w:rPr>
          <w:t>Alice.Leemartin@cms.hhs.gov</w:t>
        </w:r>
      </w:hyperlink>
      <w:r w:rsidRPr="007935B8">
        <w:t xml:space="preserve"> or 410 786-1103 if you have any questions.  Thank you for your assistance.</w:t>
      </w:r>
    </w:p>
    <w:sectPr w:rsidR="00982FD6" w:rsidRPr="007935B8" w:rsidSect="00754E17">
      <w:footerReference w:type="even" r:id="rId8"/>
      <w:footerReference w:type="default" r:id="rId9"/>
      <w:footerReference w:type="first" r:id="rId10"/>
      <w:pgSz w:w="12240" w:h="15840" w:code="1"/>
      <w:pgMar w:top="1440" w:right="1440" w:bottom="720" w:left="1440" w:header="720" w:footer="10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5B8" w:rsidRDefault="00EF65B8">
      <w:r>
        <w:separator/>
      </w:r>
    </w:p>
  </w:endnote>
  <w:endnote w:type="continuationSeparator" w:id="0">
    <w:p w:rsidR="00EF65B8" w:rsidRDefault="00EF65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5B8" w:rsidRDefault="00CB1412">
    <w:pPr>
      <w:pStyle w:val="Footer"/>
      <w:framePr w:wrap="around" w:vAnchor="text" w:hAnchor="margin" w:xAlign="center" w:y="1"/>
      <w:rPr>
        <w:rStyle w:val="PageNumber"/>
      </w:rPr>
    </w:pPr>
    <w:r>
      <w:rPr>
        <w:rStyle w:val="PageNumber"/>
      </w:rPr>
      <w:fldChar w:fldCharType="begin"/>
    </w:r>
    <w:r w:rsidR="00EF65B8">
      <w:rPr>
        <w:rStyle w:val="PageNumber"/>
      </w:rPr>
      <w:instrText xml:space="preserve">PAGE  </w:instrText>
    </w:r>
    <w:r>
      <w:rPr>
        <w:rStyle w:val="PageNumber"/>
      </w:rPr>
      <w:fldChar w:fldCharType="separate"/>
    </w:r>
    <w:r w:rsidR="00EF65B8">
      <w:rPr>
        <w:rStyle w:val="PageNumber"/>
        <w:noProof/>
      </w:rPr>
      <w:t>1</w:t>
    </w:r>
    <w:r>
      <w:rPr>
        <w:rStyle w:val="PageNumber"/>
      </w:rPr>
      <w:fldChar w:fldCharType="end"/>
    </w:r>
  </w:p>
  <w:p w:rsidR="00EF65B8" w:rsidRDefault="00EF65B8">
    <w:pPr>
      <w:pStyle w:val="Footer"/>
    </w:pPr>
  </w:p>
  <w:p w:rsidR="00EF65B8" w:rsidRDefault="00EF65B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5B8" w:rsidRPr="001F6B80" w:rsidRDefault="00EF65B8" w:rsidP="001F6B80">
    <w:pPr>
      <w:autoSpaceDE w:val="0"/>
      <w:autoSpaceDN w:val="0"/>
      <w:adjustRightInd w:val="0"/>
      <w:jc w:val="center"/>
      <w:rPr>
        <w:rFonts w:ascii="Times New Roman" w:hAnsi="Times New Roman"/>
        <w:b/>
        <w:bCs/>
        <w:i/>
        <w:iCs/>
        <w:sz w:val="16"/>
        <w:szCs w:val="16"/>
      </w:rPr>
    </w:pPr>
    <w:r w:rsidRPr="001F6B80">
      <w:rPr>
        <w:rFonts w:ascii="Times New Roman" w:hAnsi="Times New Roman"/>
        <w:b/>
        <w:bCs/>
        <w:i/>
        <w:iCs/>
        <w:sz w:val="16"/>
        <w:szCs w:val="16"/>
      </w:rPr>
      <w:t xml:space="preserve">Page </w:t>
    </w:r>
    <w:r w:rsidR="00CB1412" w:rsidRPr="001F6B80">
      <w:rPr>
        <w:rFonts w:ascii="Times New Roman" w:hAnsi="Times New Roman"/>
        <w:b/>
        <w:bCs/>
        <w:i/>
        <w:iCs/>
        <w:sz w:val="16"/>
        <w:szCs w:val="16"/>
      </w:rPr>
      <w:fldChar w:fldCharType="begin"/>
    </w:r>
    <w:r w:rsidRPr="001F6B80">
      <w:rPr>
        <w:rFonts w:ascii="Times New Roman" w:hAnsi="Times New Roman"/>
        <w:b/>
        <w:bCs/>
        <w:i/>
        <w:iCs/>
        <w:sz w:val="16"/>
        <w:szCs w:val="16"/>
      </w:rPr>
      <w:instrText xml:space="preserve"> PAGE </w:instrText>
    </w:r>
    <w:r w:rsidR="00CB1412" w:rsidRPr="001F6B80">
      <w:rPr>
        <w:rFonts w:ascii="Times New Roman" w:hAnsi="Times New Roman"/>
        <w:b/>
        <w:bCs/>
        <w:i/>
        <w:iCs/>
        <w:sz w:val="16"/>
        <w:szCs w:val="16"/>
      </w:rPr>
      <w:fldChar w:fldCharType="separate"/>
    </w:r>
    <w:r w:rsidR="00437C1F">
      <w:rPr>
        <w:rFonts w:ascii="Times New Roman" w:hAnsi="Times New Roman"/>
        <w:b/>
        <w:bCs/>
        <w:i/>
        <w:iCs/>
        <w:noProof/>
        <w:sz w:val="16"/>
        <w:szCs w:val="16"/>
      </w:rPr>
      <w:t>2</w:t>
    </w:r>
    <w:r w:rsidR="00CB1412" w:rsidRPr="001F6B80">
      <w:rPr>
        <w:rFonts w:ascii="Times New Roman" w:hAnsi="Times New Roman"/>
        <w:b/>
        <w:bCs/>
        <w:i/>
        <w:iCs/>
        <w:sz w:val="16"/>
        <w:szCs w:val="16"/>
      </w:rPr>
      <w:fldChar w:fldCharType="end"/>
    </w:r>
    <w:r w:rsidRPr="001F6B80">
      <w:rPr>
        <w:rFonts w:ascii="Times New Roman" w:hAnsi="Times New Roman"/>
        <w:b/>
        <w:bCs/>
        <w:i/>
        <w:iCs/>
        <w:sz w:val="16"/>
        <w:szCs w:val="16"/>
      </w:rPr>
      <w:t xml:space="preserve"> of </w:t>
    </w:r>
    <w:r w:rsidR="00CB1412" w:rsidRPr="001F6B80">
      <w:rPr>
        <w:rFonts w:ascii="Times New Roman" w:hAnsi="Times New Roman"/>
        <w:b/>
        <w:bCs/>
        <w:i/>
        <w:iCs/>
        <w:sz w:val="16"/>
        <w:szCs w:val="16"/>
      </w:rPr>
      <w:fldChar w:fldCharType="begin"/>
    </w:r>
    <w:r w:rsidRPr="001F6B80">
      <w:rPr>
        <w:rFonts w:ascii="Times New Roman" w:hAnsi="Times New Roman"/>
        <w:b/>
        <w:bCs/>
        <w:i/>
        <w:iCs/>
        <w:sz w:val="16"/>
        <w:szCs w:val="16"/>
      </w:rPr>
      <w:instrText xml:space="preserve"> NUMPAGES </w:instrText>
    </w:r>
    <w:r w:rsidR="00CB1412" w:rsidRPr="001F6B80">
      <w:rPr>
        <w:rFonts w:ascii="Times New Roman" w:hAnsi="Times New Roman"/>
        <w:b/>
        <w:bCs/>
        <w:i/>
        <w:iCs/>
        <w:sz w:val="16"/>
        <w:szCs w:val="16"/>
      </w:rPr>
      <w:fldChar w:fldCharType="separate"/>
    </w:r>
    <w:r w:rsidR="001B4420">
      <w:rPr>
        <w:rFonts w:ascii="Times New Roman" w:hAnsi="Times New Roman"/>
        <w:b/>
        <w:bCs/>
        <w:i/>
        <w:iCs/>
        <w:noProof/>
        <w:sz w:val="16"/>
        <w:szCs w:val="16"/>
      </w:rPr>
      <w:t>1</w:t>
    </w:r>
    <w:r w:rsidR="00CB1412" w:rsidRPr="001F6B80">
      <w:rPr>
        <w:rFonts w:ascii="Times New Roman" w:hAnsi="Times New Roman"/>
        <w:b/>
        <w:bCs/>
        <w:i/>
        <w:iCs/>
        <w:sz w:val="16"/>
        <w:szCs w:val="16"/>
      </w:rPr>
      <w:fldChar w:fldCharType="end"/>
    </w:r>
  </w:p>
  <w:p w:rsidR="00EF65B8" w:rsidRPr="001F6B80" w:rsidRDefault="00EF65B8" w:rsidP="001F6B80">
    <w:pPr>
      <w:autoSpaceDE w:val="0"/>
      <w:autoSpaceDN w:val="0"/>
      <w:adjustRightInd w:val="0"/>
      <w:jc w:val="center"/>
      <w:rPr>
        <w:rFonts w:ascii="Times New Roman" w:hAnsi="Times New Roman"/>
        <w:b/>
        <w:bCs/>
        <w:i/>
        <w:iCs/>
        <w:sz w:val="16"/>
        <w:szCs w:val="16"/>
      </w:rPr>
    </w:pPr>
    <w:r w:rsidRPr="001F6B80">
      <w:rPr>
        <w:rFonts w:ascii="Times New Roman" w:hAnsi="Times New Roman"/>
        <w:b/>
        <w:bCs/>
        <w:i/>
        <w:iCs/>
        <w:sz w:val="16"/>
        <w:szCs w:val="16"/>
      </w:rPr>
      <w:t>INFORMATION NOT RELEASABLE TO THE PUBLIC UNLESS AUTHORIZED BY LAW:</w:t>
    </w:r>
  </w:p>
  <w:p w:rsidR="00EF65B8" w:rsidRPr="001F6B80" w:rsidRDefault="00EF65B8" w:rsidP="001F6B80">
    <w:pPr>
      <w:autoSpaceDE w:val="0"/>
      <w:autoSpaceDN w:val="0"/>
      <w:adjustRightInd w:val="0"/>
      <w:rPr>
        <w:rFonts w:ascii="Times New Roman" w:hAnsi="Times New Roman"/>
        <w:i/>
        <w:iCs/>
        <w:sz w:val="16"/>
        <w:szCs w:val="16"/>
      </w:rPr>
    </w:pPr>
    <w:r w:rsidRPr="001F6B80">
      <w:rPr>
        <w:rFonts w:ascii="Times New Roman" w:hAnsi="Times New Roman"/>
        <w:i/>
        <w:iCs/>
        <w:sz w:val="16"/>
        <w:szCs w:val="16"/>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p w:rsidR="00EF65B8" w:rsidRDefault="00EF65B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5B8" w:rsidRPr="001F6B80" w:rsidRDefault="00EF65B8" w:rsidP="001F6B80">
    <w:pPr>
      <w:autoSpaceDE w:val="0"/>
      <w:autoSpaceDN w:val="0"/>
      <w:adjustRightInd w:val="0"/>
      <w:jc w:val="center"/>
      <w:rPr>
        <w:rFonts w:ascii="Times New Roman" w:hAnsi="Times New Roman"/>
        <w:b/>
        <w:bCs/>
        <w:i/>
        <w:iCs/>
        <w:sz w:val="16"/>
        <w:szCs w:val="16"/>
      </w:rPr>
    </w:pPr>
    <w:r w:rsidRPr="001F6B80">
      <w:rPr>
        <w:rFonts w:ascii="Times New Roman" w:hAnsi="Times New Roman"/>
        <w:b/>
        <w:bCs/>
        <w:i/>
        <w:iCs/>
        <w:sz w:val="16"/>
        <w:szCs w:val="16"/>
      </w:rPr>
      <w:t xml:space="preserve">Page </w:t>
    </w:r>
    <w:r w:rsidR="00CB1412" w:rsidRPr="001F6B80">
      <w:rPr>
        <w:rFonts w:ascii="Times New Roman" w:hAnsi="Times New Roman"/>
        <w:b/>
        <w:bCs/>
        <w:i/>
        <w:iCs/>
        <w:sz w:val="16"/>
        <w:szCs w:val="16"/>
      </w:rPr>
      <w:fldChar w:fldCharType="begin"/>
    </w:r>
    <w:r w:rsidRPr="001F6B80">
      <w:rPr>
        <w:rFonts w:ascii="Times New Roman" w:hAnsi="Times New Roman"/>
        <w:b/>
        <w:bCs/>
        <w:i/>
        <w:iCs/>
        <w:sz w:val="16"/>
        <w:szCs w:val="16"/>
      </w:rPr>
      <w:instrText xml:space="preserve"> PAGE </w:instrText>
    </w:r>
    <w:r w:rsidR="00CB1412" w:rsidRPr="001F6B80">
      <w:rPr>
        <w:rFonts w:ascii="Times New Roman" w:hAnsi="Times New Roman"/>
        <w:b/>
        <w:bCs/>
        <w:i/>
        <w:iCs/>
        <w:sz w:val="16"/>
        <w:szCs w:val="16"/>
      </w:rPr>
      <w:fldChar w:fldCharType="separate"/>
    </w:r>
    <w:r w:rsidR="0039148E">
      <w:rPr>
        <w:rFonts w:ascii="Times New Roman" w:hAnsi="Times New Roman"/>
        <w:b/>
        <w:bCs/>
        <w:i/>
        <w:iCs/>
        <w:noProof/>
        <w:sz w:val="16"/>
        <w:szCs w:val="16"/>
      </w:rPr>
      <w:t>1</w:t>
    </w:r>
    <w:r w:rsidR="00CB1412" w:rsidRPr="001F6B80">
      <w:rPr>
        <w:rFonts w:ascii="Times New Roman" w:hAnsi="Times New Roman"/>
        <w:b/>
        <w:bCs/>
        <w:i/>
        <w:iCs/>
        <w:sz w:val="16"/>
        <w:szCs w:val="16"/>
      </w:rPr>
      <w:fldChar w:fldCharType="end"/>
    </w:r>
    <w:r w:rsidRPr="001F6B80">
      <w:rPr>
        <w:rFonts w:ascii="Times New Roman" w:hAnsi="Times New Roman"/>
        <w:b/>
        <w:bCs/>
        <w:i/>
        <w:iCs/>
        <w:sz w:val="16"/>
        <w:szCs w:val="16"/>
      </w:rPr>
      <w:t xml:space="preserve"> of </w:t>
    </w:r>
    <w:r w:rsidR="00CB1412" w:rsidRPr="001F6B80">
      <w:rPr>
        <w:rFonts w:ascii="Times New Roman" w:hAnsi="Times New Roman"/>
        <w:b/>
        <w:bCs/>
        <w:i/>
        <w:iCs/>
        <w:sz w:val="16"/>
        <w:szCs w:val="16"/>
      </w:rPr>
      <w:fldChar w:fldCharType="begin"/>
    </w:r>
    <w:r w:rsidRPr="001F6B80">
      <w:rPr>
        <w:rFonts w:ascii="Times New Roman" w:hAnsi="Times New Roman"/>
        <w:b/>
        <w:bCs/>
        <w:i/>
        <w:iCs/>
        <w:sz w:val="16"/>
        <w:szCs w:val="16"/>
      </w:rPr>
      <w:instrText xml:space="preserve"> NUMPAGES </w:instrText>
    </w:r>
    <w:r w:rsidR="00CB1412" w:rsidRPr="001F6B80">
      <w:rPr>
        <w:rFonts w:ascii="Times New Roman" w:hAnsi="Times New Roman"/>
        <w:b/>
        <w:bCs/>
        <w:i/>
        <w:iCs/>
        <w:sz w:val="16"/>
        <w:szCs w:val="16"/>
      </w:rPr>
      <w:fldChar w:fldCharType="separate"/>
    </w:r>
    <w:r w:rsidR="0039148E">
      <w:rPr>
        <w:rFonts w:ascii="Times New Roman" w:hAnsi="Times New Roman"/>
        <w:b/>
        <w:bCs/>
        <w:i/>
        <w:iCs/>
        <w:noProof/>
        <w:sz w:val="16"/>
        <w:szCs w:val="16"/>
      </w:rPr>
      <w:t>1</w:t>
    </w:r>
    <w:r w:rsidR="00CB1412" w:rsidRPr="001F6B80">
      <w:rPr>
        <w:rFonts w:ascii="Times New Roman" w:hAnsi="Times New Roman"/>
        <w:b/>
        <w:bCs/>
        <w:i/>
        <w:iCs/>
        <w:sz w:val="16"/>
        <w:szCs w:val="16"/>
      </w:rPr>
      <w:fldChar w:fldCharType="end"/>
    </w:r>
  </w:p>
  <w:p w:rsidR="00EF65B8" w:rsidRPr="001F6B80" w:rsidRDefault="00EF65B8" w:rsidP="001F6B80">
    <w:pPr>
      <w:autoSpaceDE w:val="0"/>
      <w:autoSpaceDN w:val="0"/>
      <w:adjustRightInd w:val="0"/>
      <w:jc w:val="center"/>
      <w:rPr>
        <w:rFonts w:ascii="Times New Roman" w:hAnsi="Times New Roman"/>
        <w:b/>
        <w:bCs/>
        <w:i/>
        <w:iCs/>
        <w:sz w:val="16"/>
        <w:szCs w:val="16"/>
      </w:rPr>
    </w:pPr>
    <w:r w:rsidRPr="001F6B80">
      <w:rPr>
        <w:rFonts w:ascii="Times New Roman" w:hAnsi="Times New Roman"/>
        <w:b/>
        <w:bCs/>
        <w:i/>
        <w:iCs/>
        <w:sz w:val="16"/>
        <w:szCs w:val="16"/>
      </w:rPr>
      <w:t>INFORMATION NOT RELEASABLE TO THE PUBLIC UNLESS AUTHORIZED BY LAW:</w:t>
    </w:r>
  </w:p>
  <w:p w:rsidR="00EF65B8" w:rsidRPr="001F6B80" w:rsidRDefault="00EF65B8" w:rsidP="001F6B80">
    <w:pPr>
      <w:autoSpaceDE w:val="0"/>
      <w:autoSpaceDN w:val="0"/>
      <w:adjustRightInd w:val="0"/>
      <w:rPr>
        <w:rFonts w:ascii="Times New Roman" w:hAnsi="Times New Roman"/>
        <w:i/>
        <w:iCs/>
        <w:sz w:val="16"/>
        <w:szCs w:val="16"/>
      </w:rPr>
    </w:pPr>
    <w:r w:rsidRPr="001F6B80">
      <w:rPr>
        <w:rFonts w:ascii="Times New Roman" w:hAnsi="Times New Roman"/>
        <w:sz w:val="16"/>
        <w:szCs w:val="16"/>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5B8" w:rsidRDefault="00EF65B8">
      <w:r>
        <w:separator/>
      </w:r>
    </w:p>
  </w:footnote>
  <w:footnote w:type="continuationSeparator" w:id="0">
    <w:p w:rsidR="00EF65B8" w:rsidRDefault="00EF65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F774B"/>
    <w:multiLevelType w:val="hybridMultilevel"/>
    <w:tmpl w:val="94366A2C"/>
    <w:lvl w:ilvl="0" w:tplc="29C84B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EFF121F"/>
    <w:multiLevelType w:val="hybridMultilevel"/>
    <w:tmpl w:val="C902F6DA"/>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cs="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cs="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cs="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2">
    <w:nsid w:val="261C4A22"/>
    <w:multiLevelType w:val="hybridMultilevel"/>
    <w:tmpl w:val="73448E14"/>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cs="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cs="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cs="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3">
    <w:nsid w:val="28BF6D36"/>
    <w:multiLevelType w:val="hybridMultilevel"/>
    <w:tmpl w:val="1CAE8F5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545D14"/>
    <w:multiLevelType w:val="hybridMultilevel"/>
    <w:tmpl w:val="F36AD124"/>
    <w:lvl w:ilvl="0" w:tplc="FFFFFFF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4FE600A8"/>
    <w:multiLevelType w:val="multilevel"/>
    <w:tmpl w:val="F36AD12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54602E81"/>
    <w:multiLevelType w:val="hybridMultilevel"/>
    <w:tmpl w:val="6BA63A50"/>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cs="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cs="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cs="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7">
    <w:nsid w:val="559C11C5"/>
    <w:multiLevelType w:val="hybridMultilevel"/>
    <w:tmpl w:val="E65E23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6BF03594"/>
    <w:multiLevelType w:val="hybridMultilevel"/>
    <w:tmpl w:val="1B7E2662"/>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0"/>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961FB8"/>
    <w:rsid w:val="00041171"/>
    <w:rsid w:val="000E26F7"/>
    <w:rsid w:val="00100E8A"/>
    <w:rsid w:val="00106004"/>
    <w:rsid w:val="001660D7"/>
    <w:rsid w:val="00181DCF"/>
    <w:rsid w:val="001B4420"/>
    <w:rsid w:val="001B484D"/>
    <w:rsid w:val="001C709D"/>
    <w:rsid w:val="001D329E"/>
    <w:rsid w:val="001F498F"/>
    <w:rsid w:val="001F6B80"/>
    <w:rsid w:val="00217F1D"/>
    <w:rsid w:val="0028522A"/>
    <w:rsid w:val="002860C7"/>
    <w:rsid w:val="00290DC9"/>
    <w:rsid w:val="002C42DD"/>
    <w:rsid w:val="00314024"/>
    <w:rsid w:val="00373B51"/>
    <w:rsid w:val="0039148E"/>
    <w:rsid w:val="003C2E1A"/>
    <w:rsid w:val="003E0C07"/>
    <w:rsid w:val="003F0E0C"/>
    <w:rsid w:val="00411A33"/>
    <w:rsid w:val="00413E0F"/>
    <w:rsid w:val="004332C0"/>
    <w:rsid w:val="00437C1F"/>
    <w:rsid w:val="0045366B"/>
    <w:rsid w:val="004B0278"/>
    <w:rsid w:val="005515EA"/>
    <w:rsid w:val="0056653D"/>
    <w:rsid w:val="005850DD"/>
    <w:rsid w:val="005B3BFF"/>
    <w:rsid w:val="005D304F"/>
    <w:rsid w:val="006005D7"/>
    <w:rsid w:val="00603965"/>
    <w:rsid w:val="00616E56"/>
    <w:rsid w:val="00623C89"/>
    <w:rsid w:val="00624C7E"/>
    <w:rsid w:val="00626382"/>
    <w:rsid w:val="006505B2"/>
    <w:rsid w:val="006A1584"/>
    <w:rsid w:val="00711273"/>
    <w:rsid w:val="00754E17"/>
    <w:rsid w:val="00757653"/>
    <w:rsid w:val="007723A3"/>
    <w:rsid w:val="00782E4B"/>
    <w:rsid w:val="007935B8"/>
    <w:rsid w:val="007E5C21"/>
    <w:rsid w:val="00845DB7"/>
    <w:rsid w:val="00886798"/>
    <w:rsid w:val="008A4AE5"/>
    <w:rsid w:val="008C03A1"/>
    <w:rsid w:val="008D62DC"/>
    <w:rsid w:val="009047C5"/>
    <w:rsid w:val="00916EE1"/>
    <w:rsid w:val="00945CA7"/>
    <w:rsid w:val="00961FB8"/>
    <w:rsid w:val="00980FD5"/>
    <w:rsid w:val="00982FD6"/>
    <w:rsid w:val="00993D46"/>
    <w:rsid w:val="009C7615"/>
    <w:rsid w:val="009D515D"/>
    <w:rsid w:val="009F3720"/>
    <w:rsid w:val="00A179F3"/>
    <w:rsid w:val="00A5099E"/>
    <w:rsid w:val="00A738F0"/>
    <w:rsid w:val="00A92A7F"/>
    <w:rsid w:val="00AC2009"/>
    <w:rsid w:val="00AE5600"/>
    <w:rsid w:val="00AF3A26"/>
    <w:rsid w:val="00B02B8C"/>
    <w:rsid w:val="00B14E43"/>
    <w:rsid w:val="00B62107"/>
    <w:rsid w:val="00B922B3"/>
    <w:rsid w:val="00BD7CC9"/>
    <w:rsid w:val="00BF2924"/>
    <w:rsid w:val="00C028CE"/>
    <w:rsid w:val="00C212B2"/>
    <w:rsid w:val="00C55492"/>
    <w:rsid w:val="00CB1412"/>
    <w:rsid w:val="00CC5C35"/>
    <w:rsid w:val="00CC7EDD"/>
    <w:rsid w:val="00CD5222"/>
    <w:rsid w:val="00D5556A"/>
    <w:rsid w:val="00D605AA"/>
    <w:rsid w:val="00D615F4"/>
    <w:rsid w:val="00D8011B"/>
    <w:rsid w:val="00D84F14"/>
    <w:rsid w:val="00DD0F61"/>
    <w:rsid w:val="00DF6227"/>
    <w:rsid w:val="00E0268A"/>
    <w:rsid w:val="00E22FA7"/>
    <w:rsid w:val="00E56314"/>
    <w:rsid w:val="00E67674"/>
    <w:rsid w:val="00EC67AE"/>
    <w:rsid w:val="00EF65B8"/>
    <w:rsid w:val="00F30081"/>
    <w:rsid w:val="00F44E4F"/>
    <w:rsid w:val="00F71C4C"/>
    <w:rsid w:val="00F97A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7CC9"/>
    <w:pPr>
      <w:ind w:left="835" w:right="835"/>
    </w:pPr>
    <w:rPr>
      <w:rFonts w:ascii="Arial" w:hAnsi="Arial"/>
      <w:spacing w:val="-5"/>
    </w:rPr>
  </w:style>
  <w:style w:type="paragraph" w:styleId="Heading1">
    <w:name w:val="heading 1"/>
    <w:basedOn w:val="Normal"/>
    <w:next w:val="BodyText"/>
    <w:qFormat/>
    <w:rsid w:val="00BD7CC9"/>
    <w:pPr>
      <w:keepNext/>
      <w:keepLines/>
      <w:spacing w:after="220" w:line="200" w:lineRule="atLeast"/>
      <w:outlineLvl w:val="0"/>
    </w:pPr>
    <w:rPr>
      <w:rFonts w:ascii="Arial Black" w:hAnsi="Arial Black"/>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D7CC9"/>
    <w:pPr>
      <w:spacing w:after="220" w:line="180" w:lineRule="atLeast"/>
      <w:jc w:val="both"/>
    </w:pPr>
  </w:style>
  <w:style w:type="paragraph" w:customStyle="1" w:styleId="DocumentLabel">
    <w:name w:val="Document Label"/>
    <w:basedOn w:val="Normal"/>
    <w:next w:val="Normal"/>
    <w:rsid w:val="00BD7CC9"/>
    <w:pPr>
      <w:keepNext/>
      <w:keepLines/>
      <w:spacing w:before="400" w:after="120" w:line="240" w:lineRule="atLeast"/>
      <w:ind w:left="0"/>
    </w:pPr>
    <w:rPr>
      <w:rFonts w:ascii="Arial Black" w:hAnsi="Arial Black"/>
      <w:kern w:val="28"/>
      <w:sz w:val="96"/>
    </w:rPr>
  </w:style>
  <w:style w:type="paragraph" w:styleId="Footer">
    <w:name w:val="footer"/>
    <w:basedOn w:val="Normal"/>
    <w:rsid w:val="00BD7CC9"/>
    <w:pPr>
      <w:keepLines/>
      <w:tabs>
        <w:tab w:val="center" w:pos="4320"/>
        <w:tab w:val="right" w:pos="8640"/>
      </w:tabs>
      <w:spacing w:before="600" w:line="180" w:lineRule="atLeast"/>
      <w:jc w:val="both"/>
    </w:pPr>
    <w:rPr>
      <w:sz w:val="18"/>
    </w:rPr>
  </w:style>
  <w:style w:type="paragraph" w:styleId="MessageHeader">
    <w:name w:val="Message Header"/>
    <w:basedOn w:val="BodyText"/>
    <w:rsid w:val="00BD7CC9"/>
    <w:pPr>
      <w:keepLines/>
      <w:spacing w:after="120"/>
      <w:ind w:left="1555" w:hanging="720"/>
      <w:jc w:val="left"/>
    </w:pPr>
  </w:style>
  <w:style w:type="paragraph" w:customStyle="1" w:styleId="MessageHeaderFirst">
    <w:name w:val="Message Header First"/>
    <w:basedOn w:val="MessageHeader"/>
    <w:next w:val="MessageHeader"/>
    <w:rsid w:val="00BD7CC9"/>
    <w:pPr>
      <w:spacing w:before="220"/>
    </w:pPr>
  </w:style>
  <w:style w:type="character" w:customStyle="1" w:styleId="MessageHeaderLabel">
    <w:name w:val="Message Header Label"/>
    <w:rsid w:val="00BD7CC9"/>
    <w:rPr>
      <w:rFonts w:ascii="Arial Black" w:hAnsi="Arial Black"/>
      <w:spacing w:val="-10"/>
      <w:sz w:val="18"/>
    </w:rPr>
  </w:style>
  <w:style w:type="paragraph" w:customStyle="1" w:styleId="MessageHeaderLast">
    <w:name w:val="Message Header Last"/>
    <w:basedOn w:val="MessageHeader"/>
    <w:next w:val="BodyText"/>
    <w:rsid w:val="00BD7CC9"/>
    <w:pPr>
      <w:pBdr>
        <w:bottom w:val="single" w:sz="6" w:space="15" w:color="auto"/>
      </w:pBdr>
      <w:spacing w:after="320"/>
    </w:pPr>
  </w:style>
  <w:style w:type="character" w:styleId="PageNumber">
    <w:name w:val="page number"/>
    <w:rsid w:val="00BD7CC9"/>
    <w:rPr>
      <w:sz w:val="18"/>
    </w:rPr>
  </w:style>
  <w:style w:type="character" w:customStyle="1" w:styleId="Superscript">
    <w:name w:val="Superscript"/>
    <w:rsid w:val="00BD7CC9"/>
    <w:rPr>
      <w:b/>
      <w:vertAlign w:val="superscript"/>
    </w:rPr>
  </w:style>
  <w:style w:type="character" w:styleId="Hyperlink">
    <w:name w:val="Hyperlink"/>
    <w:basedOn w:val="DefaultParagraphFont"/>
    <w:rsid w:val="00BD7CC9"/>
    <w:rPr>
      <w:color w:val="0000FF"/>
      <w:u w:val="single"/>
    </w:rPr>
  </w:style>
  <w:style w:type="paragraph" w:styleId="BalloonText">
    <w:name w:val="Balloon Text"/>
    <w:basedOn w:val="Normal"/>
    <w:semiHidden/>
    <w:rsid w:val="00BD7CC9"/>
    <w:rPr>
      <w:rFonts w:ascii="Tahoma" w:hAnsi="Tahoma" w:cs="Tahoma"/>
      <w:sz w:val="16"/>
      <w:szCs w:val="16"/>
    </w:rPr>
  </w:style>
  <w:style w:type="table" w:styleId="TableGrid">
    <w:name w:val="Table Grid"/>
    <w:basedOn w:val="TableNormal"/>
    <w:rsid w:val="007935B8"/>
    <w:pPr>
      <w:ind w:left="835" w:right="83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45CA7"/>
    <w:pPr>
      <w:autoSpaceDE w:val="0"/>
      <w:autoSpaceDN w:val="0"/>
      <w:adjustRightInd w:val="0"/>
    </w:pPr>
    <w:rPr>
      <w:color w:val="000000"/>
      <w:sz w:val="24"/>
      <w:szCs w:val="24"/>
    </w:rPr>
  </w:style>
  <w:style w:type="paragraph" w:styleId="Header">
    <w:name w:val="header"/>
    <w:basedOn w:val="Normal"/>
    <w:rsid w:val="001F6B80"/>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ice.Leemartin@cms.hh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314</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Memo</vt:lpstr>
    </vt:vector>
  </TitlesOfParts>
  <Company>CMS</Company>
  <LinksUpToDate>false</LinksUpToDate>
  <CharactersWithSpaces>2249</CharactersWithSpaces>
  <SharedDoc>false</SharedDoc>
  <HLinks>
    <vt:vector size="6" baseType="variant">
      <vt:variant>
        <vt:i4>6750290</vt:i4>
      </vt:variant>
      <vt:variant>
        <vt:i4>3</vt:i4>
      </vt:variant>
      <vt:variant>
        <vt:i4>0</vt:i4>
      </vt:variant>
      <vt:variant>
        <vt:i4>5</vt:i4>
      </vt:variant>
      <vt:variant>
        <vt:lpwstr>mailto:Alice.Leemartin@cms.hhs.gov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CMS</dc:creator>
  <cp:keywords/>
  <dc:description/>
  <cp:lastModifiedBy>CMS</cp:lastModifiedBy>
  <cp:revision>2</cp:revision>
  <cp:lastPrinted>2011-03-29T13:50:00Z</cp:lastPrinted>
  <dcterms:created xsi:type="dcterms:W3CDTF">2011-04-12T18:04:00Z</dcterms:created>
  <dcterms:modified xsi:type="dcterms:W3CDTF">2011-04-12T18:04:00Z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-1567880722</vt:i4>
  </property>
  <property fmtid="{D5CDD505-2E9C-101B-9397-08002B2CF9AE}" pid="4" name="_EmailSubject">
    <vt:lpwstr>IMPAQ Non-Material Changes</vt:lpwstr>
  </property>
  <property fmtid="{D5CDD505-2E9C-101B-9397-08002B2CF9AE}" pid="5" name="_AuthorEmail">
    <vt:lpwstr>Carolyn.Scott@cms.hhs.gov</vt:lpwstr>
  </property>
  <property fmtid="{D5CDD505-2E9C-101B-9397-08002B2CF9AE}" pid="6" name="_AuthorEmailDisplayName">
    <vt:lpwstr>Scott, Carolyn (CMS/CM)</vt:lpwstr>
  </property>
  <property fmtid="{D5CDD505-2E9C-101B-9397-08002B2CF9AE}" pid="7" name="_PreviousAdHocReviewCycleID">
    <vt:i4>-1122887802</vt:i4>
  </property>
  <property fmtid="{D5CDD505-2E9C-101B-9397-08002B2CF9AE}" pid="8" name="_ReviewingToolsShownOnce">
    <vt:lpwstr/>
  </property>
</Properties>
</file>