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FDC" w:rsidRDefault="00D34FDC">
      <w:pPr>
        <w:rPr>
          <w:b/>
          <w:bCs/>
        </w:rPr>
      </w:pPr>
      <w:r>
        <w:rPr>
          <w:b/>
          <w:bCs/>
        </w:rPr>
        <w:t>SUPPORTING STATEMENT</w:t>
      </w:r>
    </w:p>
    <w:p w:rsidR="00D34FDC" w:rsidRDefault="00CF544A">
      <w:pPr>
        <w:rPr>
          <w:b/>
          <w:bCs/>
        </w:rPr>
      </w:pPr>
      <w:r>
        <w:rPr>
          <w:b/>
          <w:bCs/>
        </w:rPr>
        <w:t>2010 Survey of State Court Criminal Appeals (SSCCA)</w:t>
      </w:r>
    </w:p>
    <w:p w:rsidR="00D34FDC" w:rsidRDefault="00D34FDC"/>
    <w:p w:rsidR="0089470B" w:rsidRPr="0070677B" w:rsidRDefault="00D62652" w:rsidP="0089470B">
      <w:pPr>
        <w:rPr>
          <w:color w:val="000000"/>
        </w:rPr>
      </w:pPr>
      <w:r w:rsidRPr="0089470B">
        <w:t>The Bureau of Justice Statistics (</w:t>
      </w:r>
      <w:r w:rsidR="00D34FDC" w:rsidRPr="0089470B">
        <w:t>BJS</w:t>
      </w:r>
      <w:r w:rsidRPr="0089470B">
        <w:t>)</w:t>
      </w:r>
      <w:r w:rsidR="00D34FDC" w:rsidRPr="0089470B">
        <w:t xml:space="preserve"> proposes to implement a </w:t>
      </w:r>
      <w:r w:rsidR="00CF544A" w:rsidRPr="0089470B">
        <w:t xml:space="preserve">survey of state court criminal cases on appeal. </w:t>
      </w:r>
      <w:r w:rsidR="0089470B" w:rsidRPr="0089470B">
        <w:t xml:space="preserve">In 2008, </w:t>
      </w:r>
      <w:r w:rsidR="0089470B" w:rsidRPr="0089470B">
        <w:rPr>
          <w:color w:val="000000"/>
        </w:rPr>
        <w:t xml:space="preserve">BJS awarded funds to design and develop a survey capable of obtaining statistical information on criminal appeals in state intermediate appellate courts and courts of last resort. </w:t>
      </w:r>
      <w:r w:rsidR="0089470B">
        <w:rPr>
          <w:color w:val="000000"/>
        </w:rPr>
        <w:t xml:space="preserve">The 2010 SSCCA will build on the design and development project by focusing </w:t>
      </w:r>
      <w:r w:rsidR="0089470B" w:rsidRPr="0089470B">
        <w:rPr>
          <w:color w:val="000000"/>
        </w:rPr>
        <w:t xml:space="preserve">on criminal appeals disposed in calendar year 2010 and </w:t>
      </w:r>
      <w:r w:rsidR="0089470B">
        <w:rPr>
          <w:color w:val="000000"/>
        </w:rPr>
        <w:t>will aim</w:t>
      </w:r>
      <w:r w:rsidR="0089470B" w:rsidRPr="0089470B">
        <w:rPr>
          <w:color w:val="000000"/>
        </w:rPr>
        <w:t xml:space="preserve"> to obtain information on certain key case characteristics</w:t>
      </w:r>
      <w:r w:rsidR="0089470B">
        <w:rPr>
          <w:color w:val="000000"/>
        </w:rPr>
        <w:t xml:space="preserve"> of these appeals. Some of the information collected will include</w:t>
      </w:r>
      <w:r w:rsidR="0089470B" w:rsidRPr="0089470B">
        <w:rPr>
          <w:color w:val="000000"/>
        </w:rPr>
        <w:t xml:space="preserve"> the types of criminal cases appealed to state intermediate appellate cou</w:t>
      </w:r>
      <w:r w:rsidR="0089470B">
        <w:rPr>
          <w:color w:val="000000"/>
        </w:rPr>
        <w:t xml:space="preserve">rts and courts of last resort, </w:t>
      </w:r>
      <w:r w:rsidR="0070677B">
        <w:rPr>
          <w:color w:val="000000"/>
        </w:rPr>
        <w:t xml:space="preserve">the legal issues raised on appeal, </w:t>
      </w:r>
      <w:r w:rsidR="0070677B">
        <w:t xml:space="preserve">the impact of the appellate process on trial court outcomes, the extent that appellate claims are decided on the merits, and case processing time  for criminal appeals. The 2010 SSCCA will also examine all death penalty cases decided on appeal in 2010 as well as cases that were adjudicated </w:t>
      </w:r>
      <w:r w:rsidR="00416EC8">
        <w:t xml:space="preserve">in both </w:t>
      </w:r>
      <w:r w:rsidR="0070677B">
        <w:t xml:space="preserve">intermediate appellate </w:t>
      </w:r>
      <w:r w:rsidR="00416EC8">
        <w:t xml:space="preserve">courts and </w:t>
      </w:r>
      <w:r w:rsidR="0070677B">
        <w:t xml:space="preserve">courts of last resort. </w:t>
      </w:r>
    </w:p>
    <w:p w:rsidR="0031153F" w:rsidRDefault="0031153F"/>
    <w:p w:rsidR="00D34FDC" w:rsidRDefault="00D34FDC">
      <w:r>
        <w:rPr>
          <w:b/>
          <w:bCs/>
        </w:rPr>
        <w:t>A.  Justification</w:t>
      </w:r>
    </w:p>
    <w:p w:rsidR="00D34FDC" w:rsidRDefault="00D34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rsidR="00D34FDC" w:rsidRPr="002E6D86" w:rsidRDefault="00D34FDC" w:rsidP="002E6D86">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2E6D86">
        <w:rPr>
          <w:u w:val="single"/>
        </w:rPr>
        <w:t>Necessity of Information Collection</w:t>
      </w:r>
    </w:p>
    <w:p w:rsidR="002E6D86" w:rsidRDefault="002E6D86" w:rsidP="002E6D8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E6D86" w:rsidRPr="00034DA0" w:rsidRDefault="00A117F7" w:rsidP="00034DA0">
      <w:r w:rsidRPr="00034DA0">
        <w:fldChar w:fldCharType="begin"/>
      </w:r>
      <w:r w:rsidR="002E6D86" w:rsidRPr="00034DA0">
        <w:instrText xml:space="preserve"> SEQ CHAPTER \h \r 1</w:instrText>
      </w:r>
      <w:r w:rsidRPr="00034DA0">
        <w:fldChar w:fldCharType="end"/>
      </w:r>
      <w:r w:rsidR="002E6D86" w:rsidRPr="00034DA0">
        <w:t>Under Title 42, United States Code, Section 3732 (see Attach</w:t>
      </w:r>
      <w:r w:rsidR="002E6D86" w:rsidRPr="00034DA0">
        <w:softHyphen/>
        <w:t>ment A), the Bureau of Justice Statistics (BJS) is directed to collect and analyze statistical information concerning the operation of the criminal justice system at the Federal, State and loca</w:t>
      </w:r>
      <w:r w:rsidR="00CC18DC" w:rsidRPr="00034DA0">
        <w:t xml:space="preserve">l levels. </w:t>
      </w:r>
      <w:r w:rsidR="002E6D86" w:rsidRPr="00034DA0">
        <w:t>An essential component of the crimi</w:t>
      </w:r>
      <w:r w:rsidR="002E6D86" w:rsidRPr="00034DA0">
        <w:softHyphen/>
        <w:t>nal justice system is the judicial system.</w:t>
      </w:r>
    </w:p>
    <w:p w:rsidR="002E6D86" w:rsidRPr="00034DA0" w:rsidRDefault="002E6D86" w:rsidP="00034D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10FAC" w:rsidRDefault="00A72A8E" w:rsidP="00895355">
      <w:pPr>
        <w:pStyle w:val="Default"/>
        <w:rPr>
          <w:rFonts w:ascii="Times New Roman" w:hAnsi="Times New Roman" w:cs="Times New Roman"/>
        </w:rPr>
      </w:pPr>
      <w:r>
        <w:rPr>
          <w:rFonts w:ascii="Times New Roman" w:hAnsi="Times New Roman" w:cs="Times New Roman"/>
        </w:rPr>
        <w:t xml:space="preserve">Presently, BJS sponsors several </w:t>
      </w:r>
      <w:r w:rsidR="000426C4">
        <w:rPr>
          <w:rFonts w:ascii="Times New Roman" w:hAnsi="Times New Roman" w:cs="Times New Roman"/>
        </w:rPr>
        <w:t>data collection series</w:t>
      </w:r>
      <w:r>
        <w:rPr>
          <w:rFonts w:ascii="Times New Roman" w:hAnsi="Times New Roman" w:cs="Times New Roman"/>
        </w:rPr>
        <w:t xml:space="preserve"> that focus on criminal case processing in the nation’s trial courts.  These programs include </w:t>
      </w:r>
      <w:r w:rsidR="000426C4">
        <w:rPr>
          <w:rFonts w:ascii="Times New Roman" w:hAnsi="Times New Roman" w:cs="Times New Roman"/>
        </w:rPr>
        <w:t xml:space="preserve">State Court Processing Statistics </w:t>
      </w:r>
      <w:r w:rsidR="00472EC7">
        <w:rPr>
          <w:rFonts w:ascii="Times New Roman" w:hAnsi="Times New Roman" w:cs="Times New Roman"/>
        </w:rPr>
        <w:t xml:space="preserve">(SCPS) </w:t>
      </w:r>
      <w:r w:rsidR="000426C4">
        <w:rPr>
          <w:rFonts w:ascii="Times New Roman" w:hAnsi="Times New Roman" w:cs="Times New Roman"/>
        </w:rPr>
        <w:t>and the National Judicial Reporting Program</w:t>
      </w:r>
      <w:r w:rsidR="00472EC7">
        <w:rPr>
          <w:rFonts w:ascii="Times New Roman" w:hAnsi="Times New Roman" w:cs="Times New Roman"/>
        </w:rPr>
        <w:t xml:space="preserve"> (NJRP)</w:t>
      </w:r>
      <w:r w:rsidR="000426C4">
        <w:rPr>
          <w:rFonts w:ascii="Times New Roman" w:hAnsi="Times New Roman" w:cs="Times New Roman"/>
        </w:rPr>
        <w:t>.</w:t>
      </w:r>
      <w:r w:rsidR="00472EC7">
        <w:rPr>
          <w:rFonts w:ascii="Times New Roman" w:hAnsi="Times New Roman" w:cs="Times New Roman"/>
        </w:rPr>
        <w:t xml:space="preserve"> SCPS examines felony case processing from initial appearance through pretrial release, adjudication, and sentencing in a sample of the nation’s 75 most populous counties, while NJRP collects information on </w:t>
      </w:r>
      <w:r w:rsidR="00BC3DA8">
        <w:rPr>
          <w:rFonts w:ascii="Times New Roman" w:hAnsi="Times New Roman" w:cs="Times New Roman"/>
        </w:rPr>
        <w:t xml:space="preserve">the </w:t>
      </w:r>
      <w:r w:rsidR="00472EC7">
        <w:rPr>
          <w:rFonts w:ascii="Times New Roman" w:hAnsi="Times New Roman" w:cs="Times New Roman"/>
        </w:rPr>
        <w:t>sentencing of convicted felons in a national sample of counties.</w:t>
      </w:r>
      <w:r w:rsidR="00472EC7">
        <w:rPr>
          <w:rStyle w:val="FootnoteReference"/>
          <w:rFonts w:ascii="Times New Roman" w:hAnsi="Times New Roman" w:cs="Times New Roman"/>
        </w:rPr>
        <w:footnoteReference w:id="1"/>
      </w:r>
      <w:r w:rsidR="00472EC7">
        <w:rPr>
          <w:rFonts w:ascii="Times New Roman" w:hAnsi="Times New Roman" w:cs="Times New Roman"/>
        </w:rPr>
        <w:t xml:space="preserve"> Neither programs track convicted persons who decide to file an </w:t>
      </w:r>
      <w:r w:rsidR="00472EC7" w:rsidRPr="00110FAC">
        <w:rPr>
          <w:rFonts w:ascii="Times New Roman" w:hAnsi="Times New Roman" w:cs="Times New Roman"/>
        </w:rPr>
        <w:t xml:space="preserve">appeal in the nation’s </w:t>
      </w:r>
      <w:r w:rsidR="00C40F8A" w:rsidRPr="00110FAC">
        <w:rPr>
          <w:rFonts w:ascii="Times New Roman" w:hAnsi="Times New Roman" w:cs="Times New Roman"/>
        </w:rPr>
        <w:t>intermediate</w:t>
      </w:r>
      <w:r w:rsidR="00472EC7" w:rsidRPr="00110FAC">
        <w:rPr>
          <w:rFonts w:ascii="Times New Roman" w:hAnsi="Times New Roman" w:cs="Times New Roman"/>
        </w:rPr>
        <w:t xml:space="preserve"> appellate courts or courts of last resort</w:t>
      </w:r>
      <w:r w:rsidR="00C40F8A" w:rsidRPr="00110FAC">
        <w:rPr>
          <w:rFonts w:ascii="Times New Roman" w:hAnsi="Times New Roman" w:cs="Times New Roman"/>
        </w:rPr>
        <w:t xml:space="preserve">. For these reasons, BJS </w:t>
      </w:r>
      <w:r w:rsidR="00895355" w:rsidRPr="00110FAC">
        <w:rPr>
          <w:rFonts w:ascii="Times New Roman" w:hAnsi="Times New Roman" w:cs="Times New Roman"/>
        </w:rPr>
        <w:t xml:space="preserve">currently </w:t>
      </w:r>
      <w:r w:rsidR="00BC3DA8" w:rsidRPr="00110FAC">
        <w:rPr>
          <w:rFonts w:ascii="Times New Roman" w:hAnsi="Times New Roman" w:cs="Times New Roman"/>
        </w:rPr>
        <w:t xml:space="preserve">does not have the capacity to </w:t>
      </w:r>
      <w:r w:rsidR="00C40F8A" w:rsidRPr="00110FAC">
        <w:rPr>
          <w:rFonts w:ascii="Times New Roman" w:hAnsi="Times New Roman" w:cs="Times New Roman"/>
        </w:rPr>
        <w:t xml:space="preserve">provide statistical information on the impact of the appellate process on </w:t>
      </w:r>
      <w:r w:rsidR="00BC3DA8" w:rsidRPr="00110FAC">
        <w:rPr>
          <w:rFonts w:ascii="Times New Roman" w:hAnsi="Times New Roman" w:cs="Times New Roman"/>
        </w:rPr>
        <w:t>criminal cases</w:t>
      </w:r>
      <w:r w:rsidR="00C40F8A" w:rsidRPr="00110FAC">
        <w:rPr>
          <w:rFonts w:ascii="Times New Roman" w:hAnsi="Times New Roman" w:cs="Times New Roman"/>
        </w:rPr>
        <w:t xml:space="preserve"> in state courts. </w:t>
      </w:r>
    </w:p>
    <w:p w:rsidR="00110FAC" w:rsidRDefault="00110FAC" w:rsidP="00895355">
      <w:pPr>
        <w:pStyle w:val="Default"/>
        <w:rPr>
          <w:rFonts w:ascii="Times New Roman" w:hAnsi="Times New Roman" w:cs="Times New Roman"/>
        </w:rPr>
      </w:pPr>
    </w:p>
    <w:p w:rsidR="003E3C86" w:rsidRDefault="00895355" w:rsidP="00034DA0">
      <w:pPr>
        <w:pStyle w:val="Default"/>
        <w:rPr>
          <w:rFonts w:ascii="Times New Roman" w:hAnsi="Times New Roman" w:cs="Times New Roman"/>
        </w:rPr>
      </w:pPr>
      <w:r w:rsidRPr="00110FAC">
        <w:rPr>
          <w:rFonts w:ascii="Times New Roman" w:hAnsi="Times New Roman" w:cs="Times New Roman"/>
        </w:rPr>
        <w:t xml:space="preserve">The importance of obtaining criminal appellate data was </w:t>
      </w:r>
      <w:r w:rsidR="001551EA">
        <w:rPr>
          <w:rFonts w:ascii="Times New Roman" w:hAnsi="Times New Roman" w:cs="Times New Roman"/>
        </w:rPr>
        <w:t>noted</w:t>
      </w:r>
      <w:r w:rsidRPr="00110FAC">
        <w:rPr>
          <w:rFonts w:ascii="Times New Roman" w:hAnsi="Times New Roman" w:cs="Times New Roman"/>
        </w:rPr>
        <w:t xml:space="preserve"> </w:t>
      </w:r>
      <w:r w:rsidR="00110FAC" w:rsidRPr="00110FAC">
        <w:rPr>
          <w:rFonts w:ascii="Times New Roman" w:hAnsi="Times New Roman" w:cs="Times New Roman"/>
        </w:rPr>
        <w:t xml:space="preserve">in 2008 when BJS convened a multidisciplinary workshop for professionals </w:t>
      </w:r>
      <w:r w:rsidR="00110FAC">
        <w:rPr>
          <w:rFonts w:ascii="Times New Roman" w:hAnsi="Times New Roman" w:cs="Times New Roman"/>
        </w:rPr>
        <w:t xml:space="preserve">on the use of its </w:t>
      </w:r>
      <w:r w:rsidR="003E3C86">
        <w:rPr>
          <w:rFonts w:ascii="Times New Roman" w:hAnsi="Times New Roman" w:cs="Times New Roman"/>
        </w:rPr>
        <w:t>statistical publications and programs</w:t>
      </w:r>
      <w:r w:rsidR="00110FAC" w:rsidRPr="00110FAC">
        <w:rPr>
          <w:rFonts w:ascii="Times New Roman" w:hAnsi="Times New Roman" w:cs="Times New Roman"/>
        </w:rPr>
        <w:t>.</w:t>
      </w:r>
      <w:r w:rsidR="003E3C86">
        <w:rPr>
          <w:rStyle w:val="FootnoteReference"/>
          <w:rFonts w:ascii="Times New Roman" w:hAnsi="Times New Roman" w:cs="Times New Roman"/>
        </w:rPr>
        <w:footnoteReference w:id="2"/>
      </w:r>
      <w:r w:rsidR="00110FAC" w:rsidRPr="00110FAC">
        <w:rPr>
          <w:rFonts w:ascii="Times New Roman" w:hAnsi="Times New Roman" w:cs="Times New Roman"/>
        </w:rPr>
        <w:t xml:space="preserve"> </w:t>
      </w:r>
      <w:r w:rsidR="003E3C86">
        <w:rPr>
          <w:rFonts w:ascii="Times New Roman" w:hAnsi="Times New Roman" w:cs="Times New Roman"/>
        </w:rPr>
        <w:t xml:space="preserve">At this workshop, comments were made about the need to examine criminal cases on appeal to better understand the rates that criminal cases are affirmed or reversed on appeal as well as the extent that death penalty cases are upheld on appeal. In addition, the Committee on </w:t>
      </w:r>
      <w:r w:rsidR="002922B8">
        <w:rPr>
          <w:rFonts w:ascii="Times New Roman" w:hAnsi="Times New Roman" w:cs="Times New Roman"/>
        </w:rPr>
        <w:t xml:space="preserve">National Statistics (CNSTAT) report on BJS programs stressed the need for BJS to </w:t>
      </w:r>
      <w:r w:rsidR="00767F65">
        <w:rPr>
          <w:rFonts w:ascii="Times New Roman" w:hAnsi="Times New Roman" w:cs="Times New Roman"/>
        </w:rPr>
        <w:t xml:space="preserve">augment its </w:t>
      </w:r>
      <w:r w:rsidR="00767F65">
        <w:rPr>
          <w:rFonts w:ascii="Times New Roman" w:hAnsi="Times New Roman" w:cs="Times New Roman"/>
        </w:rPr>
        <w:lastRenderedPageBreak/>
        <w:t xml:space="preserve">prosecution and adjudication research agenda by </w:t>
      </w:r>
      <w:r w:rsidR="002922B8">
        <w:rPr>
          <w:rFonts w:ascii="Times New Roman" w:hAnsi="Times New Roman" w:cs="Times New Roman"/>
        </w:rPr>
        <w:t>build</w:t>
      </w:r>
      <w:r w:rsidR="00767F65">
        <w:rPr>
          <w:rFonts w:ascii="Times New Roman" w:hAnsi="Times New Roman" w:cs="Times New Roman"/>
        </w:rPr>
        <w:t>ing</w:t>
      </w:r>
      <w:r w:rsidR="002922B8">
        <w:rPr>
          <w:rFonts w:ascii="Times New Roman" w:hAnsi="Times New Roman" w:cs="Times New Roman"/>
        </w:rPr>
        <w:t xml:space="preserve"> representative samples of </w:t>
      </w:r>
      <w:r w:rsidR="00767F65">
        <w:rPr>
          <w:rFonts w:ascii="Times New Roman" w:hAnsi="Times New Roman" w:cs="Times New Roman"/>
        </w:rPr>
        <w:t xml:space="preserve">state </w:t>
      </w:r>
      <w:r w:rsidR="002922B8">
        <w:rPr>
          <w:rFonts w:ascii="Times New Roman" w:hAnsi="Times New Roman" w:cs="Times New Roman"/>
        </w:rPr>
        <w:t>courts</w:t>
      </w:r>
      <w:r w:rsidR="001551EA">
        <w:rPr>
          <w:rFonts w:ascii="Times New Roman" w:hAnsi="Times New Roman" w:cs="Times New Roman"/>
        </w:rPr>
        <w:t>, including both trial and appellate courts</w:t>
      </w:r>
      <w:r w:rsidR="00767F65">
        <w:rPr>
          <w:rFonts w:ascii="Times New Roman" w:hAnsi="Times New Roman" w:cs="Times New Roman"/>
        </w:rPr>
        <w:t>.</w:t>
      </w:r>
      <w:r w:rsidR="002404D4">
        <w:rPr>
          <w:rStyle w:val="FootnoteReference"/>
          <w:rFonts w:ascii="Times New Roman" w:hAnsi="Times New Roman" w:cs="Times New Roman"/>
        </w:rPr>
        <w:footnoteReference w:id="3"/>
      </w:r>
      <w:r w:rsidR="00767F65">
        <w:rPr>
          <w:rFonts w:ascii="Times New Roman" w:hAnsi="Times New Roman" w:cs="Times New Roman"/>
        </w:rPr>
        <w:t xml:space="preserve"> </w:t>
      </w:r>
    </w:p>
    <w:p w:rsidR="00DC0427" w:rsidRPr="00034DA0" w:rsidRDefault="00DC0427" w:rsidP="00034DA0">
      <w:pPr>
        <w:pStyle w:val="Default"/>
        <w:rPr>
          <w:rFonts w:ascii="Times New Roman" w:hAnsi="Times New Roman" w:cs="Times New Roman"/>
        </w:rPr>
      </w:pPr>
    </w:p>
    <w:p w:rsidR="00D34FDC" w:rsidRPr="00A31A14" w:rsidRDefault="00D34FDC" w:rsidP="00A31A14">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A31A14">
        <w:rPr>
          <w:u w:val="single"/>
        </w:rPr>
        <w:t>Needs and Uses</w:t>
      </w:r>
    </w:p>
    <w:p w:rsidR="004B028E" w:rsidRDefault="004B028E" w:rsidP="001966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551EA" w:rsidRPr="00034DA0" w:rsidRDefault="001551EA" w:rsidP="001551EA">
      <w:pPr>
        <w:pStyle w:val="Default"/>
        <w:rPr>
          <w:rFonts w:ascii="Times New Roman" w:hAnsi="Times New Roman" w:cs="Times New Roman"/>
        </w:rPr>
      </w:pPr>
      <w:r w:rsidRPr="00034DA0">
        <w:rPr>
          <w:rFonts w:ascii="Times New Roman" w:hAnsi="Times New Roman" w:cs="Times New Roman"/>
        </w:rPr>
        <w:t xml:space="preserve">In 2008, </w:t>
      </w:r>
      <w:r>
        <w:rPr>
          <w:rFonts w:ascii="Times New Roman" w:hAnsi="Times New Roman" w:cs="Times New Roman"/>
        </w:rPr>
        <w:t>BJS</w:t>
      </w:r>
      <w:r w:rsidRPr="00034DA0">
        <w:rPr>
          <w:rFonts w:ascii="Times New Roman" w:hAnsi="Times New Roman" w:cs="Times New Roman"/>
        </w:rPr>
        <w:t xml:space="preserve"> </w:t>
      </w:r>
      <w:r>
        <w:rPr>
          <w:rFonts w:ascii="Times New Roman" w:hAnsi="Times New Roman" w:cs="Times New Roman"/>
        </w:rPr>
        <w:t xml:space="preserve">began the process of addressing this important gap in its prosecution and adjudication programs by </w:t>
      </w:r>
      <w:r w:rsidRPr="00034DA0">
        <w:rPr>
          <w:rFonts w:ascii="Times New Roman" w:hAnsi="Times New Roman" w:cs="Times New Roman"/>
        </w:rPr>
        <w:t>sponsor</w:t>
      </w:r>
      <w:r>
        <w:rPr>
          <w:rFonts w:ascii="Times New Roman" w:hAnsi="Times New Roman" w:cs="Times New Roman"/>
        </w:rPr>
        <w:t>ing</w:t>
      </w:r>
      <w:r w:rsidRPr="00034DA0">
        <w:rPr>
          <w:rFonts w:ascii="Times New Roman" w:hAnsi="Times New Roman" w:cs="Times New Roman"/>
        </w:rPr>
        <w:t xml:space="preserve"> a design and development effort aimed at developing an implementation plan for examining </w:t>
      </w:r>
      <w:r>
        <w:rPr>
          <w:rFonts w:ascii="Times New Roman" w:hAnsi="Times New Roman" w:cs="Times New Roman"/>
        </w:rPr>
        <w:t xml:space="preserve">a national sample of </w:t>
      </w:r>
      <w:r w:rsidRPr="00034DA0">
        <w:rPr>
          <w:rFonts w:ascii="Times New Roman" w:hAnsi="Times New Roman" w:cs="Times New Roman"/>
        </w:rPr>
        <w:t xml:space="preserve">criminal appeals </w:t>
      </w:r>
      <w:r>
        <w:rPr>
          <w:rFonts w:ascii="Times New Roman" w:hAnsi="Times New Roman" w:cs="Times New Roman"/>
        </w:rPr>
        <w:t xml:space="preserve">disposed </w:t>
      </w:r>
      <w:r w:rsidRPr="00034DA0">
        <w:rPr>
          <w:rFonts w:ascii="Times New Roman" w:hAnsi="Times New Roman" w:cs="Times New Roman"/>
        </w:rPr>
        <w:t>in state intermediate appellate courts and courts of last resort</w:t>
      </w:r>
      <w:r>
        <w:rPr>
          <w:rFonts w:ascii="Times New Roman" w:hAnsi="Times New Roman" w:cs="Times New Roman"/>
        </w:rPr>
        <w:t xml:space="preserve"> (see attachment 1</w:t>
      </w:r>
      <w:r w:rsidRPr="00034DA0">
        <w:rPr>
          <w:rFonts w:ascii="Times New Roman" w:hAnsi="Times New Roman" w:cs="Times New Roman"/>
        </w:rPr>
        <w:t xml:space="preserve">). This project resulted in several recommendations </w:t>
      </w:r>
      <w:r>
        <w:rPr>
          <w:rFonts w:ascii="Times New Roman" w:hAnsi="Times New Roman" w:cs="Times New Roman"/>
        </w:rPr>
        <w:t>to</w:t>
      </w:r>
      <w:r w:rsidRPr="00034DA0">
        <w:rPr>
          <w:rFonts w:ascii="Times New Roman" w:hAnsi="Times New Roman" w:cs="Times New Roman"/>
        </w:rPr>
        <w:t xml:space="preserve"> implement a national survey of criminal appeals.</w:t>
      </w:r>
      <w:r w:rsidRPr="00034DA0">
        <w:rPr>
          <w:rStyle w:val="FootnoteReference"/>
          <w:rFonts w:ascii="Times New Roman" w:hAnsi="Times New Roman" w:cs="Times New Roman"/>
        </w:rPr>
        <w:footnoteReference w:id="4"/>
      </w:r>
      <w:r w:rsidRPr="00034DA0">
        <w:rPr>
          <w:rFonts w:ascii="Times New Roman" w:hAnsi="Times New Roman" w:cs="Times New Roman"/>
        </w:rPr>
        <w:t xml:space="preserve"> As a result of this effort, BJS </w:t>
      </w:r>
      <w:r>
        <w:rPr>
          <w:rFonts w:ascii="Times New Roman" w:hAnsi="Times New Roman" w:cs="Times New Roman"/>
        </w:rPr>
        <w:t>has funded a data collection effort</w:t>
      </w:r>
      <w:r w:rsidRPr="00034DA0">
        <w:rPr>
          <w:rFonts w:ascii="Times New Roman" w:hAnsi="Times New Roman" w:cs="Times New Roman"/>
        </w:rPr>
        <w:t xml:space="preserve"> aimed at collecting appeals data from a nationally representative sample of criminal cases disposed in all of the nation’s 143 state intermediate appellate courts and courts of last resort.</w:t>
      </w:r>
      <w:r>
        <w:rPr>
          <w:rFonts w:ascii="Times New Roman" w:hAnsi="Times New Roman" w:cs="Times New Roman"/>
        </w:rPr>
        <w:t xml:space="preserve"> </w:t>
      </w:r>
      <w:r w:rsidRPr="00034DA0">
        <w:rPr>
          <w:rFonts w:ascii="Times New Roman" w:hAnsi="Times New Roman" w:cs="Times New Roman"/>
        </w:rPr>
        <w:t xml:space="preserve"> The purpose of this project will be to provide current data on the appellate courts’ processing of criminal appeals as well as add to the knowledge of the criminal justice field by obtaining empirical data on key characteristics of criminal appeals, the manners in which appellate courts dispose of criminal appeals, the processing times for criminal appeals, and the impact of appellate litigation on the trial court outcomes of criminal cases. </w:t>
      </w:r>
      <w:r>
        <w:rPr>
          <w:rFonts w:ascii="Times New Roman" w:hAnsi="Times New Roman" w:cs="Times New Roman"/>
        </w:rPr>
        <w:t>The National Center for State Courts (NCSC) has been awarded funds to collect data for this project. The primary r</w:t>
      </w:r>
      <w:r w:rsidRPr="00034DA0">
        <w:rPr>
          <w:rFonts w:ascii="Times New Roman" w:hAnsi="Times New Roman" w:cs="Times New Roman"/>
        </w:rPr>
        <w:t xml:space="preserve">esearch questions that </w:t>
      </w:r>
      <w:r>
        <w:rPr>
          <w:rFonts w:ascii="Times New Roman" w:hAnsi="Times New Roman" w:cs="Times New Roman"/>
        </w:rPr>
        <w:t>this project will address include</w:t>
      </w:r>
      <w:r w:rsidRPr="00034DA0">
        <w:rPr>
          <w:rFonts w:ascii="Times New Roman" w:hAnsi="Times New Roman" w:cs="Times New Roman"/>
        </w:rPr>
        <w:t xml:space="preserve">: </w:t>
      </w:r>
    </w:p>
    <w:p w:rsidR="001551EA" w:rsidRPr="00034DA0" w:rsidRDefault="001551EA" w:rsidP="001551EA">
      <w:pPr>
        <w:pStyle w:val="Default"/>
        <w:rPr>
          <w:rFonts w:ascii="Times New Roman" w:hAnsi="Times New Roman" w:cs="Times New Roman"/>
        </w:rPr>
      </w:pPr>
    </w:p>
    <w:p w:rsidR="001551EA" w:rsidRPr="00034DA0" w:rsidRDefault="001551EA" w:rsidP="001551EA">
      <w:pPr>
        <w:pStyle w:val="Default"/>
        <w:numPr>
          <w:ilvl w:val="0"/>
          <w:numId w:val="8"/>
        </w:numPr>
        <w:rPr>
          <w:rFonts w:ascii="Times New Roman" w:hAnsi="Times New Roman" w:cs="Times New Roman"/>
        </w:rPr>
      </w:pPr>
      <w:r w:rsidRPr="00034DA0">
        <w:rPr>
          <w:rFonts w:ascii="Times New Roman" w:hAnsi="Times New Roman" w:cs="Times New Roman"/>
        </w:rPr>
        <w:t xml:space="preserve">Of those cases appealed, how many are decided in favor of the criminal defendant? </w:t>
      </w:r>
    </w:p>
    <w:p w:rsidR="001551EA" w:rsidRPr="00034DA0" w:rsidRDefault="001551EA" w:rsidP="001551EA">
      <w:pPr>
        <w:pStyle w:val="Default"/>
        <w:numPr>
          <w:ilvl w:val="0"/>
          <w:numId w:val="8"/>
        </w:numPr>
        <w:rPr>
          <w:rFonts w:ascii="Times New Roman" w:hAnsi="Times New Roman" w:cs="Times New Roman"/>
        </w:rPr>
      </w:pPr>
      <w:r w:rsidRPr="00034DA0">
        <w:rPr>
          <w:rFonts w:ascii="Times New Roman" w:hAnsi="Times New Roman" w:cs="Times New Roman"/>
        </w:rPr>
        <w:t xml:space="preserve">How often is the trial court decision affirmed, reversed, modified, or remanded for a new trial at the intermediate appellate court level? </w:t>
      </w:r>
    </w:p>
    <w:p w:rsidR="001551EA" w:rsidRPr="00034DA0" w:rsidRDefault="001551EA" w:rsidP="001551EA">
      <w:pPr>
        <w:pStyle w:val="Default"/>
        <w:numPr>
          <w:ilvl w:val="0"/>
          <w:numId w:val="8"/>
        </w:numPr>
        <w:rPr>
          <w:rFonts w:ascii="Times New Roman" w:hAnsi="Times New Roman" w:cs="Times New Roman"/>
        </w:rPr>
      </w:pPr>
      <w:r w:rsidRPr="00034DA0">
        <w:rPr>
          <w:rFonts w:ascii="Times New Roman" w:hAnsi="Times New Roman" w:cs="Times New Roman"/>
        </w:rPr>
        <w:t xml:space="preserve">If the case is then appealed to the court of last resort from the intermediate appellate court, what types of appeals are accepted by the court of last resort? </w:t>
      </w:r>
    </w:p>
    <w:p w:rsidR="001551EA" w:rsidRPr="00034DA0" w:rsidRDefault="001551EA" w:rsidP="001551EA">
      <w:pPr>
        <w:pStyle w:val="Default"/>
        <w:numPr>
          <w:ilvl w:val="0"/>
          <w:numId w:val="8"/>
        </w:numPr>
        <w:rPr>
          <w:rFonts w:ascii="Times New Roman" w:hAnsi="Times New Roman" w:cs="Times New Roman"/>
        </w:rPr>
      </w:pPr>
      <w:r w:rsidRPr="00034DA0">
        <w:rPr>
          <w:rFonts w:ascii="Times New Roman" w:hAnsi="Times New Roman" w:cs="Times New Roman"/>
        </w:rPr>
        <w:t xml:space="preserve">How often does the court of last resort affirm, reverse, or modify the findings of the intermediate appellate court? </w:t>
      </w:r>
    </w:p>
    <w:p w:rsidR="00A71AA9" w:rsidRDefault="001551EA" w:rsidP="001551EA">
      <w:pPr>
        <w:pStyle w:val="Default"/>
        <w:numPr>
          <w:ilvl w:val="0"/>
          <w:numId w:val="8"/>
        </w:numPr>
        <w:rPr>
          <w:rFonts w:ascii="Times New Roman" w:hAnsi="Times New Roman" w:cs="Times New Roman"/>
        </w:rPr>
      </w:pPr>
      <w:r>
        <w:rPr>
          <w:rFonts w:ascii="Times New Roman" w:hAnsi="Times New Roman" w:cs="Times New Roman"/>
        </w:rPr>
        <w:t xml:space="preserve">How expeditious are intermediate appellate courts or courts of last resort in disposing of their criminal appeals? What differences in case processing time occur in terms of reaching key appellate benchmarks such as filing the trial court record, transcripts, appellate court briefs, oral arguments, and final decisions? </w:t>
      </w:r>
    </w:p>
    <w:p w:rsidR="001551EA" w:rsidRPr="00034DA0" w:rsidRDefault="001551EA" w:rsidP="001551EA">
      <w:pPr>
        <w:pStyle w:val="Default"/>
        <w:numPr>
          <w:ilvl w:val="0"/>
          <w:numId w:val="8"/>
        </w:numPr>
        <w:rPr>
          <w:rFonts w:ascii="Times New Roman" w:hAnsi="Times New Roman" w:cs="Times New Roman"/>
        </w:rPr>
      </w:pPr>
      <w:r w:rsidRPr="00034DA0">
        <w:rPr>
          <w:rFonts w:ascii="Times New Roman" w:hAnsi="Times New Roman" w:cs="Times New Roman"/>
        </w:rPr>
        <w:t>What types of legal issues are raised on appeal?</w:t>
      </w:r>
    </w:p>
    <w:p w:rsidR="001551EA" w:rsidRPr="00034DA0" w:rsidRDefault="001551EA" w:rsidP="001551EA">
      <w:pPr>
        <w:pStyle w:val="Default"/>
        <w:numPr>
          <w:ilvl w:val="0"/>
          <w:numId w:val="8"/>
        </w:numPr>
        <w:rPr>
          <w:rFonts w:ascii="Times New Roman" w:hAnsi="Times New Roman" w:cs="Times New Roman"/>
        </w:rPr>
      </w:pPr>
      <w:r w:rsidRPr="00034DA0">
        <w:rPr>
          <w:rFonts w:ascii="Times New Roman" w:hAnsi="Times New Roman" w:cs="Times New Roman"/>
        </w:rPr>
        <w:t>What are the characteristics of death penalty cases decided on appeal? How many death penalty cases are reversed or affirmed on appeal? How much time does it take to resolve a death penalty case on appeal?</w:t>
      </w:r>
    </w:p>
    <w:p w:rsidR="001551EA" w:rsidRDefault="001551EA" w:rsidP="001551EA">
      <w:pPr>
        <w:pStyle w:val="Default"/>
        <w:rPr>
          <w:rFonts w:ascii="Times New Roman" w:hAnsi="Times New Roman" w:cs="Times New Roman"/>
        </w:rPr>
      </w:pPr>
    </w:p>
    <w:p w:rsidR="001551EA" w:rsidRPr="00034DA0" w:rsidRDefault="001551EA" w:rsidP="001551EA">
      <w:pPr>
        <w:pStyle w:val="Default"/>
        <w:rPr>
          <w:rFonts w:ascii="Times New Roman" w:hAnsi="Times New Roman" w:cs="Times New Roman"/>
        </w:rPr>
      </w:pPr>
      <w:r w:rsidRPr="001551EA">
        <w:rPr>
          <w:rFonts w:ascii="Times New Roman" w:hAnsi="Times New Roman" w:cs="Times New Roman"/>
        </w:rPr>
        <w:t xml:space="preserve">The proposed study seeks to address </w:t>
      </w:r>
      <w:r>
        <w:rPr>
          <w:rFonts w:ascii="Times New Roman" w:hAnsi="Times New Roman" w:cs="Times New Roman"/>
        </w:rPr>
        <w:t xml:space="preserve">these questions </w:t>
      </w:r>
      <w:r w:rsidRPr="001551EA">
        <w:rPr>
          <w:rFonts w:ascii="Times New Roman" w:hAnsi="Times New Roman" w:cs="Times New Roman"/>
        </w:rPr>
        <w:t>by capturing key</w:t>
      </w:r>
      <w:r w:rsidRPr="00034DA0">
        <w:rPr>
          <w:rFonts w:ascii="Times New Roman" w:hAnsi="Times New Roman" w:cs="Times New Roman"/>
        </w:rPr>
        <w:t xml:space="preserve"> components of criminal </w:t>
      </w:r>
      <w:r>
        <w:rPr>
          <w:rFonts w:ascii="Times New Roman" w:hAnsi="Times New Roman" w:cs="Times New Roman"/>
        </w:rPr>
        <w:t xml:space="preserve">appellate litigation </w:t>
      </w:r>
      <w:r w:rsidRPr="00034DA0">
        <w:rPr>
          <w:rFonts w:ascii="Times New Roman" w:hAnsi="Times New Roman" w:cs="Times New Roman"/>
        </w:rPr>
        <w:t xml:space="preserve">that are useful and applicable to the legal community. Some of the data elements captured include </w:t>
      </w:r>
      <w:r>
        <w:rPr>
          <w:rFonts w:ascii="Times New Roman" w:hAnsi="Times New Roman" w:cs="Times New Roman"/>
        </w:rPr>
        <w:t xml:space="preserve">(1) case type litigated on appeal </w:t>
      </w:r>
      <w:r w:rsidRPr="00034DA0">
        <w:rPr>
          <w:rFonts w:ascii="Times New Roman" w:hAnsi="Times New Roman" w:cs="Times New Roman"/>
        </w:rPr>
        <w:t xml:space="preserve">(2) whether the appeal was dismissed prior to being decided on the merits, (3) the appellate court’s decision to affirm, reverse, or modify trial court outcomes, (4) the decision method, including whether the appeal ended in a full opinion, memorandum, or summary/dispositional order, (5) legal or factual issues raised on appeal, and (6) different stages of appellate case processing (e.g., filing of notice of appeal, </w:t>
      </w:r>
      <w:r w:rsidRPr="00034DA0">
        <w:rPr>
          <w:rFonts w:ascii="Times New Roman" w:hAnsi="Times New Roman" w:cs="Times New Roman"/>
        </w:rPr>
        <w:lastRenderedPageBreak/>
        <w:t>generation of trial court record/transcript, oral argument) and time spent at each of these different stages.</w:t>
      </w:r>
    </w:p>
    <w:p w:rsidR="000D4D22" w:rsidRDefault="000D4D22" w:rsidP="000D4D22">
      <w:pPr>
        <w:pStyle w:val="Default"/>
        <w:rPr>
          <w:rFonts w:ascii="Times New Roman" w:hAnsi="Times New Roman" w:cs="Times New Roman"/>
        </w:rPr>
      </w:pPr>
    </w:p>
    <w:p w:rsidR="00910464" w:rsidRDefault="001551EA" w:rsidP="00C454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C454B8">
        <w:t xml:space="preserve">SSCCA will </w:t>
      </w:r>
      <w:r w:rsidR="009A24EE">
        <w:t xml:space="preserve">be able to </w:t>
      </w:r>
      <w:r w:rsidR="00152F72">
        <w:t xml:space="preserve">provide </w:t>
      </w:r>
      <w:r w:rsidR="009A24EE">
        <w:t xml:space="preserve">important information about criminal case processing </w:t>
      </w:r>
      <w:r w:rsidR="00C454B8">
        <w:t>to appellate court judges and administrators as well as to prosecutors and defense attorneys engaged in criminal litigation in the nation’s appellate courts. The ability of the SSCCA to inform appellate court judges, managers, and administrators will be of particular importance</w:t>
      </w:r>
      <w:r w:rsidR="00152F72">
        <w:t xml:space="preserve"> </w:t>
      </w:r>
      <w:r w:rsidR="00A34A98">
        <w:t xml:space="preserve">because </w:t>
      </w:r>
      <w:r w:rsidR="00910464">
        <w:t>e</w:t>
      </w:r>
      <w:r w:rsidR="00C454B8">
        <w:t xml:space="preserve">fforts to collect comprehensive data on the disposition of criminal appeals from a national sample of cases disposed in state intermediate appellate courts and courts of last resort </w:t>
      </w:r>
      <w:r w:rsidR="00123342">
        <w:t>have been</w:t>
      </w:r>
      <w:r w:rsidR="00910464">
        <w:t xml:space="preserve"> extremely rare. </w:t>
      </w:r>
      <w:r w:rsidR="00C454B8" w:rsidRPr="00034DA0">
        <w:t xml:space="preserve">Consequently, detailed information on criminal appeals </w:t>
      </w:r>
      <w:r w:rsidR="00123342">
        <w:t xml:space="preserve">has previously </w:t>
      </w:r>
      <w:r w:rsidR="00C454B8" w:rsidRPr="00034DA0">
        <w:t xml:space="preserve">come from the infrequent special surveys that have been conducted. One of the most comprehensive is the </w:t>
      </w:r>
      <w:r w:rsidR="00C454B8" w:rsidRPr="00034DA0">
        <w:rPr>
          <w:i/>
          <w:iCs/>
        </w:rPr>
        <w:t>State Supreme Court Data Project</w:t>
      </w:r>
      <w:r w:rsidR="00C454B8" w:rsidRPr="00034DA0">
        <w:t>, funded by the National Science Foundation, which created a database on State Supreme Court decisions in all fifty states from the 1995 through 1998 sessions.</w:t>
      </w:r>
      <w:r w:rsidR="00C454B8">
        <w:rPr>
          <w:rStyle w:val="FootnoteReference"/>
        </w:rPr>
        <w:footnoteReference w:id="5"/>
      </w:r>
      <w:r w:rsidR="00C454B8" w:rsidRPr="00034DA0">
        <w:t xml:space="preserve"> Although this project provided important information about the appellate process, it only focused on state courts of last resort</w:t>
      </w:r>
      <w:r w:rsidR="00C454B8">
        <w:t xml:space="preserve"> </w:t>
      </w:r>
      <w:r w:rsidR="00C454B8" w:rsidRPr="00034DA0">
        <w:t>and did not attempt to ascertain the nature of criminal appellate litigation in the nation’s intermediate appellate courts.</w:t>
      </w:r>
      <w:r w:rsidR="00C454B8" w:rsidRPr="00034DA0">
        <w:rPr>
          <w:rStyle w:val="FootnoteReference"/>
        </w:rPr>
        <w:footnoteReference w:id="6"/>
      </w:r>
      <w:r w:rsidR="00C454B8" w:rsidRPr="00034DA0">
        <w:t xml:space="preserve"> </w:t>
      </w:r>
    </w:p>
    <w:p w:rsidR="00910464" w:rsidRDefault="00910464" w:rsidP="00C454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454B8" w:rsidRDefault="00C454B8" w:rsidP="00C454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34DA0">
        <w:t>Other studies on appellate litigation have focused either on ci</w:t>
      </w:r>
      <w:r>
        <w:t xml:space="preserve">vil appeals or have examined </w:t>
      </w:r>
      <w:r w:rsidRPr="00034DA0">
        <w:t xml:space="preserve">criminal appellate litigation in a relatively </w:t>
      </w:r>
      <w:r w:rsidR="00442052">
        <w:t>limited</w:t>
      </w:r>
      <w:r w:rsidRPr="00034DA0">
        <w:t xml:space="preserve"> number of jurisdictions.</w:t>
      </w:r>
      <w:r w:rsidR="00910464">
        <w:t xml:space="preserve"> For example, </w:t>
      </w:r>
      <w:r w:rsidR="00641216">
        <w:t xml:space="preserve">NCSC has conducted several studies focusing on case processing time </w:t>
      </w:r>
      <w:r w:rsidR="00123342">
        <w:t>for</w:t>
      </w:r>
      <w:r w:rsidR="00641216">
        <w:t xml:space="preserve"> </w:t>
      </w:r>
      <w:r w:rsidR="00123342">
        <w:t xml:space="preserve">criminal appeals disposed </w:t>
      </w:r>
      <w:r w:rsidR="00910464">
        <w:t xml:space="preserve">in the intermediate appellate courts </w:t>
      </w:r>
      <w:r w:rsidR="00123342">
        <w:t xml:space="preserve">and courts of last resort of </w:t>
      </w:r>
      <w:r w:rsidR="00641216">
        <w:t>five states.</w:t>
      </w:r>
      <w:r w:rsidR="00641216" w:rsidRPr="00034DA0">
        <w:rPr>
          <w:rStyle w:val="FootnoteReference"/>
        </w:rPr>
        <w:footnoteReference w:id="7"/>
      </w:r>
      <w:r w:rsidR="00641216">
        <w:t xml:space="preserve"> While these studies provided an important overview of the factors influencing case processing time in criminal appeals, they were not national in scope and did not address important research questions related to the rates appellate courts affirmed or reversed criminal cases on appeal. </w:t>
      </w:r>
    </w:p>
    <w:p w:rsidR="00123342" w:rsidRDefault="00123342" w:rsidP="00C454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06ED9" w:rsidRDefault="00123342" w:rsidP="00C454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One systematic overview of appellate litigation occurred in the civil area where BJS </w:t>
      </w:r>
      <w:r w:rsidR="00506ED9">
        <w:t xml:space="preserve">collected information on a sample of cases concluded by trial in state courts that </w:t>
      </w:r>
      <w:r w:rsidR="002766D9">
        <w:t>were appealed to an intermediate appellate court or court of last resort.</w:t>
      </w:r>
      <w:r w:rsidR="00506ED9">
        <w:rPr>
          <w:rStyle w:val="FootnoteReference"/>
        </w:rPr>
        <w:footnoteReference w:id="8"/>
      </w:r>
      <w:r w:rsidR="00506ED9">
        <w:t xml:space="preserve"> </w:t>
      </w:r>
      <w:r w:rsidR="00525C6A">
        <w:t>The civil appeals</w:t>
      </w:r>
      <w:r w:rsidR="009C21C8">
        <w:t xml:space="preserve"> data were utilized to examine the overall rates of appeal in civil trials as well as the percentage of civil trials decided on the merits that affirmed or reversed trial court outcomes.</w:t>
      </w:r>
      <w:r w:rsidR="00896BDB">
        <w:t xml:space="preserve"> These appellate data have also generated interest among empirical legal scholars who have analyzed them for the purpose of seeing which party (e.g., plaintiff or defendant) was more likely to prevail on appeal. </w:t>
      </w:r>
      <w:r w:rsidR="00896BDB">
        <w:rPr>
          <w:rStyle w:val="FootnoteReference"/>
        </w:rPr>
        <w:footnoteReference w:id="9"/>
      </w:r>
      <w:r w:rsidR="009C21C8">
        <w:t xml:space="preserve"> </w:t>
      </w:r>
    </w:p>
    <w:p w:rsidR="00C454B8" w:rsidRDefault="00C454B8" w:rsidP="00CC2B2C">
      <w:pPr>
        <w:pStyle w:val="Default"/>
        <w:rPr>
          <w:rFonts w:ascii="Times New Roman" w:hAnsi="Times New Roman" w:cs="Times New Roman"/>
        </w:rPr>
      </w:pPr>
    </w:p>
    <w:p w:rsidR="00B82D08" w:rsidRDefault="00896BDB" w:rsidP="00CC2B2C">
      <w:pPr>
        <w:pStyle w:val="Default"/>
        <w:rPr>
          <w:rFonts w:ascii="Times New Roman" w:hAnsi="Times New Roman" w:cs="Times New Roman"/>
        </w:rPr>
      </w:pPr>
      <w:r w:rsidRPr="00896BDB">
        <w:rPr>
          <w:rFonts w:ascii="Times New Roman" w:hAnsi="Times New Roman" w:cs="Times New Roman"/>
        </w:rPr>
        <w:lastRenderedPageBreak/>
        <w:t xml:space="preserve">Given the dearth of </w:t>
      </w:r>
      <w:r w:rsidR="00B82D08">
        <w:rPr>
          <w:rFonts w:ascii="Times New Roman" w:hAnsi="Times New Roman" w:cs="Times New Roman"/>
        </w:rPr>
        <w:t>studies</w:t>
      </w:r>
      <w:r w:rsidRPr="00896BDB">
        <w:rPr>
          <w:rFonts w:ascii="Times New Roman" w:hAnsi="Times New Roman" w:cs="Times New Roman"/>
        </w:rPr>
        <w:t xml:space="preserve"> in the area of criminal appeals, findings from the SSCCA </w:t>
      </w:r>
      <w:r w:rsidR="00442052">
        <w:rPr>
          <w:rFonts w:ascii="Times New Roman" w:hAnsi="Times New Roman" w:cs="Times New Roman"/>
        </w:rPr>
        <w:t xml:space="preserve">will </w:t>
      </w:r>
      <w:r w:rsidR="00B82D08">
        <w:rPr>
          <w:rFonts w:ascii="Times New Roman" w:hAnsi="Times New Roman" w:cs="Times New Roman"/>
        </w:rPr>
        <w:t xml:space="preserve">provide a great deal of information about the appellate process to </w:t>
      </w:r>
      <w:r w:rsidRPr="00896BDB">
        <w:rPr>
          <w:rFonts w:ascii="Times New Roman" w:hAnsi="Times New Roman" w:cs="Times New Roman"/>
        </w:rPr>
        <w:t xml:space="preserve">judges at both the intermediate appellate court and court of last resort levels, appellate court clerks, prosecutors, public defenders, and lawyers engaged in criminal appellate </w:t>
      </w:r>
      <w:r w:rsidR="00525C6A">
        <w:rPr>
          <w:rFonts w:ascii="Times New Roman" w:hAnsi="Times New Roman" w:cs="Times New Roman"/>
        </w:rPr>
        <w:t>defense</w:t>
      </w:r>
      <w:r w:rsidRPr="00896BDB">
        <w:rPr>
          <w:rFonts w:ascii="Times New Roman" w:hAnsi="Times New Roman" w:cs="Times New Roman"/>
        </w:rPr>
        <w:t xml:space="preserve">. </w:t>
      </w:r>
      <w:r w:rsidR="00B82D08">
        <w:rPr>
          <w:rFonts w:ascii="Times New Roman" w:hAnsi="Times New Roman" w:cs="Times New Roman"/>
        </w:rPr>
        <w:t xml:space="preserve">These appellate court practitioners will be able to use the SSCCA as a benchmark for examining how their courts compare in </w:t>
      </w:r>
      <w:r w:rsidR="005B5D65">
        <w:rPr>
          <w:rFonts w:ascii="Times New Roman" w:hAnsi="Times New Roman" w:cs="Times New Roman"/>
        </w:rPr>
        <w:t xml:space="preserve">several key areas including the </w:t>
      </w:r>
      <w:r w:rsidR="00882E1B">
        <w:rPr>
          <w:rFonts w:ascii="Times New Roman" w:hAnsi="Times New Roman" w:cs="Times New Roman"/>
        </w:rPr>
        <w:t xml:space="preserve">types of cases appealed, </w:t>
      </w:r>
      <w:r w:rsidR="00B82D08">
        <w:rPr>
          <w:rFonts w:ascii="Times New Roman" w:hAnsi="Times New Roman" w:cs="Times New Roman"/>
        </w:rPr>
        <w:t>case</w:t>
      </w:r>
      <w:r w:rsidR="00882E1B">
        <w:rPr>
          <w:rFonts w:ascii="Times New Roman" w:hAnsi="Times New Roman" w:cs="Times New Roman"/>
        </w:rPr>
        <w:t>load</w:t>
      </w:r>
      <w:r w:rsidR="00B82D08">
        <w:rPr>
          <w:rFonts w:ascii="Times New Roman" w:hAnsi="Times New Roman" w:cs="Times New Roman"/>
        </w:rPr>
        <w:t xml:space="preserve"> attrition, affirmance and reversal rates, </w:t>
      </w:r>
      <w:r w:rsidR="00882E1B">
        <w:rPr>
          <w:rFonts w:ascii="Times New Roman" w:hAnsi="Times New Roman" w:cs="Times New Roman"/>
        </w:rPr>
        <w:t xml:space="preserve">and </w:t>
      </w:r>
      <w:r w:rsidR="00B82D08">
        <w:rPr>
          <w:rFonts w:ascii="Times New Roman" w:hAnsi="Times New Roman" w:cs="Times New Roman"/>
        </w:rPr>
        <w:t>case processing time</w:t>
      </w:r>
      <w:r w:rsidR="00882E1B">
        <w:rPr>
          <w:rFonts w:ascii="Times New Roman" w:hAnsi="Times New Roman" w:cs="Times New Roman"/>
        </w:rPr>
        <w:t xml:space="preserve">. They should also be able to use the SSCCA to inform best practices and procedures in areas such as electronic filing. Many appellate courts are moving toward </w:t>
      </w:r>
      <w:r w:rsidR="005B5D65">
        <w:rPr>
          <w:rFonts w:ascii="Times New Roman" w:hAnsi="Times New Roman" w:cs="Times New Roman"/>
        </w:rPr>
        <w:t>electronic filing systems; however, they are unable to assess at this time whether their time rules for filing paper documents sh</w:t>
      </w:r>
      <w:r w:rsidR="00525C6A">
        <w:rPr>
          <w:rFonts w:ascii="Times New Roman" w:hAnsi="Times New Roman" w:cs="Times New Roman"/>
        </w:rPr>
        <w:t>ould apply to electronic filing systems</w:t>
      </w:r>
      <w:r w:rsidR="005B5D65">
        <w:rPr>
          <w:rFonts w:ascii="Times New Roman" w:hAnsi="Times New Roman" w:cs="Times New Roman"/>
        </w:rPr>
        <w:t xml:space="preserve">. By being able to ascertain through the SSCCA the average time parties require to file key documents such as the </w:t>
      </w:r>
      <w:r w:rsidR="00525C6A">
        <w:rPr>
          <w:rFonts w:ascii="Times New Roman" w:hAnsi="Times New Roman" w:cs="Times New Roman"/>
        </w:rPr>
        <w:t xml:space="preserve">trial court </w:t>
      </w:r>
      <w:r w:rsidR="005B5D65">
        <w:rPr>
          <w:rFonts w:ascii="Times New Roman" w:hAnsi="Times New Roman" w:cs="Times New Roman"/>
        </w:rPr>
        <w:t xml:space="preserve">record, transcript, or briefs, appellate courts will be better positioned </w:t>
      </w:r>
      <w:r w:rsidR="00525C6A">
        <w:rPr>
          <w:rFonts w:ascii="Times New Roman" w:hAnsi="Times New Roman" w:cs="Times New Roman"/>
        </w:rPr>
        <w:t xml:space="preserve">implement electronic filing systems that comport with the actual time parties expend filing key documentation. </w:t>
      </w:r>
    </w:p>
    <w:p w:rsidR="00896BDB" w:rsidRDefault="00896BDB" w:rsidP="00CC2B2C">
      <w:pPr>
        <w:pStyle w:val="Default"/>
        <w:rPr>
          <w:rFonts w:ascii="Times New Roman" w:hAnsi="Times New Roman" w:cs="Times New Roman"/>
        </w:rPr>
      </w:pPr>
    </w:p>
    <w:p w:rsidR="0079663F" w:rsidRDefault="000D4D22" w:rsidP="00CC2B2C">
      <w:pPr>
        <w:pStyle w:val="Default"/>
        <w:rPr>
          <w:rFonts w:ascii="Times New Roman" w:hAnsi="Times New Roman" w:cs="Times New Roman"/>
        </w:rPr>
      </w:pPr>
      <w:r>
        <w:rPr>
          <w:rFonts w:ascii="Times New Roman" w:hAnsi="Times New Roman" w:cs="Times New Roman"/>
        </w:rPr>
        <w:t xml:space="preserve">In addition to providing empirical information </w:t>
      </w:r>
      <w:r w:rsidR="00C066D2">
        <w:rPr>
          <w:rFonts w:ascii="Times New Roman" w:hAnsi="Times New Roman" w:cs="Times New Roman"/>
        </w:rPr>
        <w:t xml:space="preserve">to the </w:t>
      </w:r>
      <w:r w:rsidR="00C454B8">
        <w:rPr>
          <w:rFonts w:ascii="Times New Roman" w:hAnsi="Times New Roman" w:cs="Times New Roman"/>
        </w:rPr>
        <w:t>judges</w:t>
      </w:r>
      <w:r w:rsidR="00C066D2">
        <w:rPr>
          <w:rFonts w:ascii="Times New Roman" w:hAnsi="Times New Roman" w:cs="Times New Roman"/>
        </w:rPr>
        <w:t xml:space="preserve">, managers, and lawyers who practice or work in the nation’s appellate courts, </w:t>
      </w:r>
      <w:r>
        <w:rPr>
          <w:rFonts w:ascii="Times New Roman" w:hAnsi="Times New Roman" w:cs="Times New Roman"/>
        </w:rPr>
        <w:t xml:space="preserve">the SSCCA will provide </w:t>
      </w:r>
      <w:r w:rsidR="00133C67">
        <w:rPr>
          <w:rFonts w:ascii="Times New Roman" w:hAnsi="Times New Roman" w:cs="Times New Roman"/>
        </w:rPr>
        <w:t xml:space="preserve">a </w:t>
      </w:r>
      <w:r w:rsidR="00C066D2">
        <w:rPr>
          <w:rFonts w:ascii="Times New Roman" w:hAnsi="Times New Roman" w:cs="Times New Roman"/>
        </w:rPr>
        <w:t xml:space="preserve">better understanding of how frequently criminal convictions are upheld or overturned on appeal. This information is particularly important </w:t>
      </w:r>
      <w:r w:rsidR="006B38C7">
        <w:rPr>
          <w:rFonts w:ascii="Times New Roman" w:hAnsi="Times New Roman" w:cs="Times New Roman"/>
        </w:rPr>
        <w:t xml:space="preserve">for </w:t>
      </w:r>
      <w:r w:rsidR="00C066D2">
        <w:rPr>
          <w:rFonts w:ascii="Times New Roman" w:hAnsi="Times New Roman" w:cs="Times New Roman"/>
        </w:rPr>
        <w:t xml:space="preserve">death penalty </w:t>
      </w:r>
      <w:r w:rsidR="00DD5616">
        <w:rPr>
          <w:rFonts w:ascii="Times New Roman" w:hAnsi="Times New Roman" w:cs="Times New Roman"/>
        </w:rPr>
        <w:t>cases whose imposition has become increasingly controversial</w:t>
      </w:r>
      <w:r w:rsidR="00133C67">
        <w:rPr>
          <w:rFonts w:ascii="Times New Roman" w:hAnsi="Times New Roman" w:cs="Times New Roman"/>
        </w:rPr>
        <w:t xml:space="preserve"> </w:t>
      </w:r>
      <w:r w:rsidR="00DD5616">
        <w:rPr>
          <w:rFonts w:ascii="Times New Roman" w:hAnsi="Times New Roman" w:cs="Times New Roman"/>
        </w:rPr>
        <w:t xml:space="preserve">in light </w:t>
      </w:r>
      <w:r w:rsidR="00314D92">
        <w:rPr>
          <w:rFonts w:ascii="Times New Roman" w:hAnsi="Times New Roman" w:cs="Times New Roman"/>
        </w:rPr>
        <w:t xml:space="preserve">of </w:t>
      </w:r>
      <w:r w:rsidR="00DD5616">
        <w:rPr>
          <w:rFonts w:ascii="Times New Roman" w:hAnsi="Times New Roman" w:cs="Times New Roman"/>
        </w:rPr>
        <w:t>DNA evidence leading to the exoneration of persons sentenced to death.</w:t>
      </w:r>
      <w:r w:rsidR="00896BDB">
        <w:rPr>
          <w:rStyle w:val="FootnoteReference"/>
          <w:rFonts w:ascii="Times New Roman" w:hAnsi="Times New Roman" w:cs="Times New Roman"/>
        </w:rPr>
        <w:footnoteReference w:id="10"/>
      </w:r>
      <w:r w:rsidR="00896BDB">
        <w:rPr>
          <w:rFonts w:ascii="Times New Roman" w:hAnsi="Times New Roman" w:cs="Times New Roman"/>
        </w:rPr>
        <w:t xml:space="preserve"> </w:t>
      </w:r>
      <w:r w:rsidR="00DD5616">
        <w:rPr>
          <w:rFonts w:ascii="Times New Roman" w:hAnsi="Times New Roman" w:cs="Times New Roman"/>
        </w:rPr>
        <w:t xml:space="preserve">The SSCCA will provide a national level overview of how many death sentences were overturned on appeal in 2010 and the amount of time courts spend adjudicating these cases. Since the SSCCA will collect information on all death penalty appeals disposed in 2010, it will allow for comparisons of death penalty litigation across the nation’s appellate courts. </w:t>
      </w:r>
    </w:p>
    <w:p w:rsidR="00CC4E84" w:rsidRPr="00CC2B2C" w:rsidRDefault="00CC4E84" w:rsidP="00CC2B2C">
      <w:pPr>
        <w:pStyle w:val="Default"/>
        <w:rPr>
          <w:rFonts w:ascii="Times New Roman" w:hAnsi="Times New Roman" w:cs="Times New Roman"/>
        </w:rPr>
      </w:pPr>
    </w:p>
    <w:p w:rsidR="00D34FDC" w:rsidRPr="0010727E" w:rsidRDefault="00D34FDC" w:rsidP="00A31A14">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10727E">
        <w:rPr>
          <w:u w:val="single"/>
        </w:rPr>
        <w:t>Use of Information Technology</w:t>
      </w:r>
    </w:p>
    <w:p w:rsidR="00A31A14" w:rsidRDefault="00A31A14" w:rsidP="00A31A1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D77C57" w:rsidRDefault="00390F64" w:rsidP="006B38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SSCCA will utilize a variety of information technology applications including online case management systems and data extracts of docketing information to minimize respondent burden. </w:t>
      </w:r>
      <w:r w:rsidR="00BD5AA8">
        <w:t xml:space="preserve">Through the use of these information systems, NCSC staff will be able to </w:t>
      </w:r>
      <w:r w:rsidR="00BC448B" w:rsidRPr="00B554A5">
        <w:t xml:space="preserve"> code the data elements and case documents used to gather the information required for this project</w:t>
      </w:r>
      <w:r w:rsidR="00BD5AA8">
        <w:t xml:space="preserve"> and negate the need for the respondent appellate courts to actually </w:t>
      </w:r>
      <w:r w:rsidR="006939E8">
        <w:t>collect information</w:t>
      </w:r>
      <w:r w:rsidR="00BD5AA8">
        <w:t xml:space="preserve"> </w:t>
      </w:r>
      <w:r w:rsidR="00D70E29">
        <w:t xml:space="preserve">from </w:t>
      </w:r>
      <w:r w:rsidR="00BD5AA8">
        <w:t>the sampled criminal appeals</w:t>
      </w:r>
      <w:r w:rsidR="00BC448B" w:rsidRPr="00B554A5">
        <w:t>.</w:t>
      </w:r>
      <w:r w:rsidR="00BC448B">
        <w:t xml:space="preserve"> </w:t>
      </w:r>
      <w:r w:rsidR="00D70E29">
        <w:t>The data collection</w:t>
      </w:r>
      <w:r w:rsidR="00130D28">
        <w:t xml:space="preserve"> </w:t>
      </w:r>
      <w:r w:rsidR="00D70E29">
        <w:t>will utilize online-accessible case management systems now available in many appellate courts, with the capacity to provide detailed information about appellate cases</w:t>
      </w:r>
      <w:r w:rsidR="00486738">
        <w:t xml:space="preserve">. </w:t>
      </w:r>
      <w:r w:rsidR="00D70E29">
        <w:t>A</w:t>
      </w:r>
      <w:r w:rsidR="006B38C7">
        <w:t>ppellate courts w</w:t>
      </w:r>
      <w:r w:rsidR="00D70E29">
        <w:t>ith these capabilities w</w:t>
      </w:r>
      <w:r w:rsidR="006B38C7">
        <w:t>ill provide</w:t>
      </w:r>
      <w:r w:rsidR="00BC448B">
        <w:t xml:space="preserve"> NCSC </w:t>
      </w:r>
      <w:r w:rsidR="00130D28">
        <w:t xml:space="preserve">staff with </w:t>
      </w:r>
      <w:r w:rsidR="006B38C7">
        <w:t xml:space="preserve">online access </w:t>
      </w:r>
      <w:r w:rsidR="00BC448B">
        <w:t xml:space="preserve">of </w:t>
      </w:r>
      <w:r w:rsidR="006B38C7">
        <w:t>their appellate data</w:t>
      </w:r>
      <w:r w:rsidR="00442052">
        <w:t xml:space="preserve"> for the purpose of data collection</w:t>
      </w:r>
      <w:r w:rsidR="006B38C7">
        <w:t xml:space="preserve">. </w:t>
      </w:r>
      <w:r w:rsidR="00BD5AA8">
        <w:t xml:space="preserve">Upon accessing these online systems, NCSC staff will use the information available in these systems to code the various aspects of these criminal </w:t>
      </w:r>
      <w:r w:rsidR="006939E8">
        <w:t>appellate</w:t>
      </w:r>
      <w:r w:rsidR="00BD5AA8">
        <w:t xml:space="preserve"> cases. </w:t>
      </w:r>
      <w:r w:rsidR="00130D28">
        <w:t xml:space="preserve">In addition, </w:t>
      </w:r>
      <w:r w:rsidR="00442052">
        <w:t>appellate courts with the capacity of providing electronic extracts of their docketing information will be asked to transfer these materials electronically to NCSC</w:t>
      </w:r>
      <w:r w:rsidR="00130D28">
        <w:t xml:space="preserve">. </w:t>
      </w:r>
      <w:r w:rsidR="006939E8">
        <w:t>By</w:t>
      </w:r>
      <w:r w:rsidR="00BD5AA8">
        <w:t xml:space="preserve"> </w:t>
      </w:r>
      <w:r w:rsidR="006939E8">
        <w:t xml:space="preserve">utilizing </w:t>
      </w:r>
      <w:r w:rsidR="00BD5AA8">
        <w:t xml:space="preserve">these information technology approaches, the respondent appellate courts will not need to expend their limited staff resources coding the selected cases for the SSCCA data collection. </w:t>
      </w:r>
    </w:p>
    <w:p w:rsidR="00D77C57" w:rsidRDefault="00D77C57" w:rsidP="00D77C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B38C7" w:rsidRDefault="0010727E" w:rsidP="00F96EF8">
      <w:pPr>
        <w:autoSpaceDE w:val="0"/>
        <w:autoSpaceDN w:val="0"/>
        <w:adjustRightInd w:val="0"/>
      </w:pPr>
      <w:r>
        <w:t>T</w:t>
      </w:r>
      <w:r w:rsidR="00E10339">
        <w:t xml:space="preserve">he publication of </w:t>
      </w:r>
      <w:r w:rsidR="006B38C7">
        <w:t>the 2010 SSCCA</w:t>
      </w:r>
      <w:r w:rsidR="00016DB4">
        <w:t xml:space="preserve"> findings</w:t>
      </w:r>
      <w:r w:rsidR="00D34FDC">
        <w:t xml:space="preserve"> will be generated in both printed </w:t>
      </w:r>
      <w:r w:rsidR="00D34FDC">
        <w:rPr>
          <w:i/>
          <w:iCs/>
        </w:rPr>
        <w:t>and</w:t>
      </w:r>
      <w:r w:rsidR="00D34FDC">
        <w:t xml:space="preserve"> electronic formats.  </w:t>
      </w:r>
      <w:r w:rsidR="006B38C7">
        <w:t xml:space="preserve">The SSCCA report will be available on the BJS webpage in a PDF file and the tables in </w:t>
      </w:r>
      <w:r w:rsidR="006B38C7">
        <w:lastRenderedPageBreak/>
        <w:t>this report will be available on the BJS webpage in an Excel format.</w:t>
      </w:r>
      <w:r w:rsidR="0079663F">
        <w:t xml:space="preserve"> </w:t>
      </w:r>
      <w:r w:rsidR="000D439A">
        <w:t>Lastly</w:t>
      </w:r>
      <w:r w:rsidR="006B38C7">
        <w:t xml:space="preserve">, the data for SSCCA will be available for downloading and further </w:t>
      </w:r>
      <w:r w:rsidR="006B38C7" w:rsidRPr="00525C6A">
        <w:t>analysis</w:t>
      </w:r>
      <w:r w:rsidR="006B38C7">
        <w:t xml:space="preserve"> at the Inter-University Consortium for Political and Social Research</w:t>
      </w:r>
      <w:r w:rsidR="00860D37">
        <w:t xml:space="preserve"> (ICPSR)</w:t>
      </w:r>
      <w:r w:rsidR="006B38C7">
        <w:t xml:space="preserve">.  This will enable researchers to download electronic versions of the SSCCA data for further analysis.  </w:t>
      </w:r>
    </w:p>
    <w:p w:rsidR="00D34FDC" w:rsidRDefault="00D34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FDC" w:rsidRPr="006362F6" w:rsidRDefault="00D34FDC" w:rsidP="006362F6">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6362F6">
        <w:rPr>
          <w:u w:val="single"/>
        </w:rPr>
        <w:t xml:space="preserve">Efforts to Identify Duplication </w:t>
      </w:r>
    </w:p>
    <w:p w:rsidR="006362F6" w:rsidRDefault="006362F6" w:rsidP="006362F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B27B29" w:rsidRPr="0015723F" w:rsidRDefault="0015723F" w:rsidP="0015723F">
      <w:pPr>
        <w:pStyle w:val="Default"/>
        <w:rPr>
          <w:rFonts w:ascii="Times New Roman" w:hAnsi="Times New Roman" w:cs="Times New Roman"/>
        </w:rPr>
      </w:pPr>
      <w:r>
        <w:rPr>
          <w:rFonts w:ascii="Times New Roman" w:hAnsi="Times New Roman" w:cs="Times New Roman"/>
        </w:rPr>
        <w:t xml:space="preserve">As discussed in the “needs and uses” section, there have been relatively few empirical attempts to obtain criminal </w:t>
      </w:r>
      <w:r w:rsidR="00AA2567">
        <w:rPr>
          <w:rFonts w:ascii="Times New Roman" w:hAnsi="Times New Roman" w:cs="Times New Roman"/>
        </w:rPr>
        <w:t>appellate</w:t>
      </w:r>
      <w:r>
        <w:rPr>
          <w:rFonts w:ascii="Times New Roman" w:hAnsi="Times New Roman" w:cs="Times New Roman"/>
        </w:rPr>
        <w:t xml:space="preserve"> data at the national level. One of the few studies on criminal case processing </w:t>
      </w:r>
      <w:r w:rsidR="00442052">
        <w:rPr>
          <w:rFonts w:ascii="Times New Roman" w:hAnsi="Times New Roman" w:cs="Times New Roman"/>
        </w:rPr>
        <w:t xml:space="preserve">in appellate courts </w:t>
      </w:r>
      <w:r>
        <w:rPr>
          <w:rFonts w:ascii="Times New Roman" w:hAnsi="Times New Roman" w:cs="Times New Roman"/>
        </w:rPr>
        <w:t>was the conduct by the National Science Foundation from 1995 through 1998. While this study illuminated key aspects of criminal appeals</w:t>
      </w:r>
      <w:r w:rsidR="00AA2567">
        <w:rPr>
          <w:rFonts w:ascii="Times New Roman" w:hAnsi="Times New Roman" w:cs="Times New Roman"/>
        </w:rPr>
        <w:t xml:space="preserve"> process</w:t>
      </w:r>
      <w:r>
        <w:rPr>
          <w:rFonts w:ascii="Times New Roman" w:hAnsi="Times New Roman" w:cs="Times New Roman"/>
        </w:rPr>
        <w:t xml:space="preserve">, it focused only on courts of last resort at the exclusion of intermediate appellate courts and </w:t>
      </w:r>
      <w:r w:rsidR="00AA2567">
        <w:rPr>
          <w:rFonts w:ascii="Times New Roman" w:hAnsi="Times New Roman" w:cs="Times New Roman"/>
        </w:rPr>
        <w:t>is now relatively dated. Other studies conducted in the area of criminal appeals have focused on appellate activity in a relatively small number of courts</w:t>
      </w:r>
      <w:r w:rsidR="00442052">
        <w:rPr>
          <w:rFonts w:ascii="Times New Roman" w:hAnsi="Times New Roman" w:cs="Times New Roman"/>
        </w:rPr>
        <w:t>, were restricted to an examination of case processing time,</w:t>
      </w:r>
      <w:r w:rsidR="00AA2567">
        <w:rPr>
          <w:rFonts w:ascii="Times New Roman" w:hAnsi="Times New Roman" w:cs="Times New Roman"/>
        </w:rPr>
        <w:t xml:space="preserve"> and have excluded a variety of key case outcomes such as the rates in which criminal cases are affirmed or reversed on appeal. The only multisite study of appeals that examined a variety of case outcome components </w:t>
      </w:r>
      <w:r w:rsidR="00442052">
        <w:rPr>
          <w:rFonts w:ascii="Times New Roman" w:hAnsi="Times New Roman" w:cs="Times New Roman"/>
        </w:rPr>
        <w:t xml:space="preserve">in intermediate appellate courts and courts of last resort </w:t>
      </w:r>
      <w:r w:rsidR="00AA2567">
        <w:rPr>
          <w:rFonts w:ascii="Times New Roman" w:hAnsi="Times New Roman" w:cs="Times New Roman"/>
        </w:rPr>
        <w:t>was the BJS Civil Trials on Appeal Study</w:t>
      </w:r>
      <w:r w:rsidR="00442052">
        <w:rPr>
          <w:rFonts w:ascii="Times New Roman" w:hAnsi="Times New Roman" w:cs="Times New Roman"/>
        </w:rPr>
        <w:t xml:space="preserve">; however this study focused on </w:t>
      </w:r>
      <w:r w:rsidR="00AA2567">
        <w:rPr>
          <w:rFonts w:ascii="Times New Roman" w:hAnsi="Times New Roman" w:cs="Times New Roman"/>
        </w:rPr>
        <w:t xml:space="preserve">civil as opposed to criminal appeals in states courts. </w:t>
      </w:r>
      <w:r w:rsidR="00B27B29" w:rsidRPr="0015723F">
        <w:rPr>
          <w:rFonts w:ascii="Times New Roman" w:hAnsi="Times New Roman" w:cs="Times New Roman"/>
        </w:rPr>
        <w:t xml:space="preserve">BJS, moreover, will </w:t>
      </w:r>
      <w:r w:rsidR="00AA2567">
        <w:rPr>
          <w:rFonts w:ascii="Times New Roman" w:hAnsi="Times New Roman" w:cs="Times New Roman"/>
        </w:rPr>
        <w:t>inform</w:t>
      </w:r>
      <w:r w:rsidR="00B27B29" w:rsidRPr="0015723F">
        <w:rPr>
          <w:rFonts w:ascii="Times New Roman" w:hAnsi="Times New Roman" w:cs="Times New Roman"/>
        </w:rPr>
        <w:t xml:space="preserve"> other agencies at the Office of Justice Programs such as the National Institute of Justice and the Bureau of Justice Assistance </w:t>
      </w:r>
      <w:r w:rsidR="00AA2567">
        <w:rPr>
          <w:rFonts w:ascii="Times New Roman" w:hAnsi="Times New Roman" w:cs="Times New Roman"/>
        </w:rPr>
        <w:t xml:space="preserve">of this project so that they do not attempt </w:t>
      </w:r>
      <w:r w:rsidR="00933EB0">
        <w:rPr>
          <w:rFonts w:ascii="Times New Roman" w:hAnsi="Times New Roman" w:cs="Times New Roman"/>
        </w:rPr>
        <w:t>to engage in similar research.</w:t>
      </w:r>
      <w:r w:rsidR="00933EB0" w:rsidRPr="0015723F" w:rsidDel="00933EB0">
        <w:rPr>
          <w:rFonts w:ascii="Times New Roman" w:hAnsi="Times New Roman" w:cs="Times New Roman"/>
        </w:rPr>
        <w:t xml:space="preserve"> </w:t>
      </w:r>
      <w:r w:rsidR="00A510C5" w:rsidRPr="0015723F">
        <w:rPr>
          <w:rFonts w:ascii="Times New Roman" w:hAnsi="Times New Roman" w:cs="Times New Roman"/>
        </w:rPr>
        <w:t xml:space="preserve"> </w:t>
      </w:r>
    </w:p>
    <w:p w:rsidR="000D439A" w:rsidRDefault="000D43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FDC" w:rsidRPr="00B27B29" w:rsidRDefault="00D34FDC" w:rsidP="00B27B29">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B27B29">
        <w:rPr>
          <w:u w:val="single"/>
        </w:rPr>
        <w:t>Efforts to Minimize Burden</w:t>
      </w:r>
    </w:p>
    <w:p w:rsidR="00B27B29" w:rsidRDefault="00B27B29" w:rsidP="00B27B2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314E51" w:rsidRDefault="00EF5F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BJS, in consultation with its data collection agent</w:t>
      </w:r>
      <w:r w:rsidR="00AD01A7">
        <w:t xml:space="preserve">, </w:t>
      </w:r>
      <w:r>
        <w:t>the N</w:t>
      </w:r>
      <w:r w:rsidR="00AD01A7">
        <w:t>ational Center for State Courts (NCSC),</w:t>
      </w:r>
      <w:r>
        <w:t xml:space="preserve"> </w:t>
      </w:r>
      <w:r w:rsidR="00016DB4">
        <w:t xml:space="preserve">sought </w:t>
      </w:r>
      <w:r w:rsidR="00D34FDC">
        <w:t xml:space="preserve">to create </w:t>
      </w:r>
      <w:r w:rsidR="008E6719">
        <w:t xml:space="preserve">data collection </w:t>
      </w:r>
      <w:r w:rsidR="00D34FDC">
        <w:t>forms and instructions that are accurate,</w:t>
      </w:r>
      <w:r w:rsidR="00D26CA6">
        <w:t xml:space="preserve"> eas</w:t>
      </w:r>
      <w:r w:rsidR="00D34FDC">
        <w:t>y to understand, and which impose</w:t>
      </w:r>
      <w:r w:rsidR="00A96833">
        <w:t>d</w:t>
      </w:r>
      <w:r w:rsidR="00D34FDC">
        <w:t xml:space="preserve"> the least possible burden </w:t>
      </w:r>
      <w:r w:rsidR="00A96833">
        <w:t xml:space="preserve">on the subjects being surveyed by </w:t>
      </w:r>
      <w:r w:rsidR="00933EB0">
        <w:t xml:space="preserve">seeking facts and opinions from </w:t>
      </w:r>
      <w:r>
        <w:t xml:space="preserve"> state appellate court clerks, </w:t>
      </w:r>
      <w:r w:rsidR="00933EB0">
        <w:t xml:space="preserve">court </w:t>
      </w:r>
      <w:r>
        <w:t xml:space="preserve">technology officers, and </w:t>
      </w:r>
      <w:r w:rsidR="00933EB0">
        <w:t xml:space="preserve">appellate court </w:t>
      </w:r>
      <w:r>
        <w:t>judges</w:t>
      </w:r>
      <w:r w:rsidR="008E6719">
        <w:t xml:space="preserve">. </w:t>
      </w:r>
      <w:r>
        <w:t>Pretests of the survey instrument</w:t>
      </w:r>
      <w:r w:rsidR="008E6719">
        <w:t xml:space="preserve"> have demonstrated that the</w:t>
      </w:r>
      <w:r w:rsidR="00B27B29">
        <w:t xml:space="preserve"> data collected are readily available from current reporting and record keeping practices of its respondents.</w:t>
      </w:r>
      <w:r w:rsidR="008E6719">
        <w:t xml:space="preserve"> BJS and </w:t>
      </w:r>
      <w:r>
        <w:t xml:space="preserve">NCSC </w:t>
      </w:r>
      <w:r w:rsidR="008E6719">
        <w:t xml:space="preserve">will also take advantage of information available through </w:t>
      </w:r>
      <w:r>
        <w:t xml:space="preserve">online accessible case management systems to </w:t>
      </w:r>
      <w:r w:rsidR="008E6719">
        <w:t>further minimize respondent burden</w:t>
      </w:r>
      <w:r w:rsidR="00560E63">
        <w:t>.</w:t>
      </w:r>
      <w:r w:rsidR="00560E63">
        <w:rPr>
          <w:rStyle w:val="FootnoteReference"/>
        </w:rPr>
        <w:footnoteReference w:id="11"/>
      </w:r>
      <w:r w:rsidR="008E6719">
        <w:t xml:space="preserve"> </w:t>
      </w:r>
    </w:p>
    <w:p w:rsidR="00314E51" w:rsidRDefault="00314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FDC" w:rsidRPr="00182947" w:rsidRDefault="00D34FDC" w:rsidP="0018294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182947">
        <w:rPr>
          <w:u w:val="single"/>
        </w:rPr>
        <w:t>Consequences of Less Frequent Collection</w:t>
      </w:r>
    </w:p>
    <w:p w:rsidR="00182947" w:rsidRDefault="00182947" w:rsidP="0018294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0A4BF0" w:rsidRDefault="000A4BF0" w:rsidP="000A4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While the </w:t>
      </w:r>
      <w:smartTag w:uri="urn:schemas-microsoft-com:office:smarttags" w:element="stockticker">
        <w:r>
          <w:t>BJS</w:t>
        </w:r>
      </w:smartTag>
      <w:r>
        <w:t xml:space="preserve"> has sponsored a variety of studies examining criminal </w:t>
      </w:r>
      <w:r w:rsidR="00795A86">
        <w:t xml:space="preserve">case processing and sentencing in trial courts, </w:t>
      </w:r>
      <w:r>
        <w:t xml:space="preserve">little information exists on the appellate phase of </w:t>
      </w:r>
      <w:r w:rsidR="00795A86">
        <w:t>criminal</w:t>
      </w:r>
      <w:r>
        <w:t xml:space="preserve"> case processing.</w:t>
      </w:r>
      <w:r w:rsidR="00933EB0">
        <w:t xml:space="preserve"> At present, BJS has only sponsored data collection in area of appellate courts examining civil appeals. While the civil appeal project provides important information about civil litigation in nation’s appellate courts</w:t>
      </w:r>
      <w:r w:rsidR="00442052">
        <w:t xml:space="preserve">, BJS has not attempted to examine the criminal side of appellate litigation. </w:t>
      </w:r>
      <w:r w:rsidR="00933EB0">
        <w:t>Therefore, t</w:t>
      </w:r>
      <w:r>
        <w:t>he consequences of less frequent data collection would mean that no information would be available on the impact of appellate litigation on trial court outcomes</w:t>
      </w:r>
      <w:r w:rsidR="00933EB0">
        <w:t xml:space="preserve"> in the criminal field</w:t>
      </w:r>
      <w:r>
        <w:t xml:space="preserve">. In particular, an appellate study can reveal the frequency in which </w:t>
      </w:r>
      <w:r w:rsidR="00933EB0">
        <w:t xml:space="preserve">criminal </w:t>
      </w:r>
      <w:r>
        <w:t xml:space="preserve">trial court outcomes are affirmed, modified, or reversed on appeal and the extent that </w:t>
      </w:r>
      <w:r w:rsidR="00795A86">
        <w:t xml:space="preserve">defendants </w:t>
      </w:r>
      <w:r w:rsidR="00795A86">
        <w:lastRenderedPageBreak/>
        <w:t>have their convictions overturned on appeal</w:t>
      </w:r>
      <w:r>
        <w:t>.</w:t>
      </w:r>
      <w:r w:rsidR="00795A86">
        <w:t xml:space="preserve"> The proposed study can also address important issues concerning the amount of time courts take to process criminal appeals. Lastly, the extant study can illuminate key concerns on the processing of death penalty appeals including the overall rate in which death penalty convictions are overturned or affirmed on appeal.</w:t>
      </w:r>
      <w:r>
        <w:t xml:space="preserve"> These types of data are crucial to various groups engaged in the practice of </w:t>
      </w:r>
      <w:r w:rsidR="00795A86">
        <w:t>criminal</w:t>
      </w:r>
      <w:r>
        <w:t xml:space="preserve"> litigation </w:t>
      </w:r>
      <w:r w:rsidR="00AD01A7">
        <w:t xml:space="preserve">in the nation’s state appellate courts </w:t>
      </w:r>
      <w:r>
        <w:t xml:space="preserve">including appellate judges, appellate court clerks, </w:t>
      </w:r>
      <w:r w:rsidR="00795A86">
        <w:t xml:space="preserve">prosecutors, </w:t>
      </w:r>
      <w:r>
        <w:t xml:space="preserve">defense attorneys, </w:t>
      </w:r>
      <w:r w:rsidR="00795A86">
        <w:t xml:space="preserve">legal aid societies, death penalty advocates, </w:t>
      </w:r>
      <w:r>
        <w:t xml:space="preserve">and academics. </w:t>
      </w:r>
    </w:p>
    <w:p w:rsidR="00D34FDC" w:rsidRDefault="00D34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FDC" w:rsidRPr="00314E51" w:rsidRDefault="00D34FDC" w:rsidP="00314E51">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314E51">
        <w:rPr>
          <w:u w:val="single"/>
        </w:rPr>
        <w:t>Special Circumstances</w:t>
      </w:r>
    </w:p>
    <w:p w:rsidR="00314E51" w:rsidRDefault="00314E51" w:rsidP="00314E5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D34FDC" w:rsidRDefault="00314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 special circumstances have been identified for this project. </w:t>
      </w:r>
    </w:p>
    <w:p w:rsidR="00D34FDC" w:rsidRDefault="00D34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FDC" w:rsidRPr="00C70A35" w:rsidRDefault="00D34FDC" w:rsidP="00C70A3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C70A35">
        <w:rPr>
          <w:u w:val="single"/>
        </w:rPr>
        <w:t>Adherence to 5 CFR 1320.8(d) and Outside Consultations</w:t>
      </w:r>
    </w:p>
    <w:p w:rsidR="00C70A35" w:rsidRDefault="00C70A35" w:rsidP="00C70A3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77394E" w:rsidRDefault="00DD4E59" w:rsidP="00414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the design and development phase of the SSCCA, </w:t>
      </w:r>
      <w:r w:rsidR="00414D58">
        <w:t xml:space="preserve">BJS and NCSC consulted with policymakers, </w:t>
      </w:r>
      <w:r w:rsidR="00414D58" w:rsidRPr="00F54000">
        <w:t>survey practitioners,</w:t>
      </w:r>
      <w:r w:rsidR="00414D58">
        <w:t xml:space="preserve"> research specialists, </w:t>
      </w:r>
      <w:r>
        <w:t xml:space="preserve">judges, </w:t>
      </w:r>
      <w:r w:rsidR="00414D58">
        <w:t xml:space="preserve">and practitioners who specialize in </w:t>
      </w:r>
      <w:r w:rsidR="00AD01A7">
        <w:t xml:space="preserve">appellate courts and </w:t>
      </w:r>
      <w:r w:rsidR="00314D92">
        <w:t>procedure</w:t>
      </w:r>
      <w:r w:rsidR="00414D58">
        <w:t xml:space="preserve">. Some of the specialists consulted include staff from the </w:t>
      </w:r>
      <w:r>
        <w:t xml:space="preserve">National Conference of Appellate Court Clerks (NCACC), the Conference of Chief Justices (CCJ), Council of Chief Judges of the State Courts of Appeal (CCJSCA), and the </w:t>
      </w:r>
      <w:r w:rsidR="00AD01A7">
        <w:t>Conference of Appell</w:t>
      </w:r>
      <w:r>
        <w:t xml:space="preserve">ate Technology Officers (CATO). </w:t>
      </w:r>
      <w:r w:rsidR="00C70A35">
        <w:t xml:space="preserve">Academic researchers (e.g., scholars of </w:t>
      </w:r>
      <w:r>
        <w:t>criminal appellate procedure</w:t>
      </w:r>
      <w:r w:rsidR="00C70A35">
        <w:t xml:space="preserve">) </w:t>
      </w:r>
      <w:r w:rsidR="00414D58">
        <w:t xml:space="preserve">were also consulted. </w:t>
      </w:r>
      <w:r w:rsidR="0077394E">
        <w:t>Pretests of the survey instruments were also conducted during the design and development phase of the SSCCA.</w:t>
      </w:r>
    </w:p>
    <w:p w:rsidR="0077394E" w:rsidRDefault="0077394E" w:rsidP="00414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57CC" w:rsidRDefault="00C70A35" w:rsidP="00EB57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results of these inquiries </w:t>
      </w:r>
      <w:r w:rsidR="00414D58">
        <w:t>were</w:t>
      </w:r>
      <w:r>
        <w:t xml:space="preserve"> evaluated</w:t>
      </w:r>
      <w:r w:rsidR="00707647">
        <w:t xml:space="preserve"> and</w:t>
      </w:r>
      <w:r>
        <w:t xml:space="preserve"> </w:t>
      </w:r>
      <w:r w:rsidR="006F1AEF">
        <w:t xml:space="preserve">integrated into the </w:t>
      </w:r>
      <w:r w:rsidR="00DD4E59">
        <w:rPr>
          <w:iCs/>
        </w:rPr>
        <w:t>SSCCA design and development</w:t>
      </w:r>
      <w:r w:rsidRPr="00A510C5">
        <w:rPr>
          <w:iCs/>
        </w:rPr>
        <w:t xml:space="preserve"> </w:t>
      </w:r>
      <w:r>
        <w:t>project</w:t>
      </w:r>
      <w:r w:rsidR="00414D58">
        <w:t xml:space="preserve"> </w:t>
      </w:r>
      <w:r w:rsidR="0077394E">
        <w:t xml:space="preserve">and eventually incorporated into </w:t>
      </w:r>
      <w:r w:rsidR="00314D92">
        <w:t>a</w:t>
      </w:r>
      <w:r w:rsidR="007A5311">
        <w:t xml:space="preserve"> final </w:t>
      </w:r>
      <w:r w:rsidR="0077394E">
        <w:t>report</w:t>
      </w:r>
      <w:r w:rsidR="00052167">
        <w:t>.</w:t>
      </w:r>
      <w:r w:rsidR="005166E2">
        <w:rPr>
          <w:rStyle w:val="FootnoteReference"/>
        </w:rPr>
        <w:footnoteReference w:id="12"/>
      </w:r>
      <w:r w:rsidR="00052167">
        <w:t xml:space="preserve"> </w:t>
      </w:r>
      <w:r w:rsidR="001D0899">
        <w:t xml:space="preserve">The SSCCA report informed a variety of </w:t>
      </w:r>
      <w:r w:rsidR="002E0482">
        <w:t xml:space="preserve">key </w:t>
      </w:r>
      <w:r w:rsidR="001D0899">
        <w:t xml:space="preserve">decisions BJS made on implementing the current criminal appeals project. </w:t>
      </w:r>
      <w:r w:rsidR="00505166">
        <w:t xml:space="preserve">One primary approach taken by BJS was </w:t>
      </w:r>
      <w:r w:rsidR="007A5311">
        <w:t xml:space="preserve">that the sample should be based on appellate rather than trial courts. </w:t>
      </w:r>
      <w:r w:rsidR="00052167">
        <w:t xml:space="preserve">Producing a </w:t>
      </w:r>
      <w:r w:rsidR="007A5311">
        <w:t xml:space="preserve">sample </w:t>
      </w:r>
      <w:r w:rsidR="00052167">
        <w:t xml:space="preserve">of cases disposed at the trial court level that were appealed was rejected </w:t>
      </w:r>
      <w:r w:rsidR="002E0482">
        <w:t xml:space="preserve">by BJS </w:t>
      </w:r>
      <w:r w:rsidR="00052167">
        <w:t xml:space="preserve">because of the expense and time needed to </w:t>
      </w:r>
      <w:r w:rsidR="00A73A49">
        <w:t xml:space="preserve">identify those 21 million criminal </w:t>
      </w:r>
      <w:r w:rsidR="00F7073C">
        <w:t xml:space="preserve">cases disposed in the </w:t>
      </w:r>
      <w:r w:rsidR="00A73A49">
        <w:t xml:space="preserve">nation’s </w:t>
      </w:r>
      <w:r w:rsidR="00F7073C">
        <w:t xml:space="preserve">trial courts that could </w:t>
      </w:r>
      <w:r w:rsidR="00A73A49">
        <w:t xml:space="preserve">eventually </w:t>
      </w:r>
      <w:r w:rsidR="00F7073C">
        <w:t xml:space="preserve">be </w:t>
      </w:r>
      <w:r w:rsidR="003017C7">
        <w:t>appeal</w:t>
      </w:r>
      <w:r w:rsidR="00F7073C">
        <w:t>ed</w:t>
      </w:r>
      <w:r w:rsidR="00052167">
        <w:t xml:space="preserve">. </w:t>
      </w:r>
      <w:r w:rsidR="00505166">
        <w:t>BJS decided that t</w:t>
      </w:r>
      <w:r w:rsidR="003017C7">
        <w:t xml:space="preserve">he </w:t>
      </w:r>
      <w:r w:rsidR="00052167">
        <w:t xml:space="preserve">more </w:t>
      </w:r>
      <w:r w:rsidR="003017C7">
        <w:t>expeditious</w:t>
      </w:r>
      <w:r w:rsidR="00052167">
        <w:t xml:space="preserve"> alternative involved </w:t>
      </w:r>
      <w:r w:rsidR="00A73A49">
        <w:t xml:space="preserve">generating </w:t>
      </w:r>
      <w:r w:rsidR="0032271A">
        <w:t xml:space="preserve">a </w:t>
      </w:r>
      <w:r w:rsidR="00A73A49">
        <w:t xml:space="preserve">master </w:t>
      </w:r>
      <w:r w:rsidR="0032271A">
        <w:t xml:space="preserve">list of </w:t>
      </w:r>
      <w:r w:rsidR="00314D92">
        <w:t>97,000</w:t>
      </w:r>
      <w:r w:rsidR="00A73A49">
        <w:t xml:space="preserve"> </w:t>
      </w:r>
      <w:r w:rsidR="0032271A">
        <w:t xml:space="preserve">estimated </w:t>
      </w:r>
      <w:r w:rsidR="00A73A49">
        <w:t xml:space="preserve">criminal appeals decided </w:t>
      </w:r>
      <w:r w:rsidR="0032271A">
        <w:t xml:space="preserve">in 2010 from which to </w:t>
      </w:r>
      <w:r w:rsidR="006B3C2F">
        <w:t xml:space="preserve">draw a </w:t>
      </w:r>
      <w:r w:rsidR="005166E2">
        <w:t xml:space="preserve">probability </w:t>
      </w:r>
      <w:r w:rsidR="0032271A">
        <w:t>sample</w:t>
      </w:r>
      <w:r w:rsidR="00A73A49">
        <w:t>.</w:t>
      </w:r>
      <w:r w:rsidR="0032271A">
        <w:t xml:space="preserve"> </w:t>
      </w:r>
      <w:r w:rsidR="00314D92">
        <w:rPr>
          <w:rStyle w:val="FootnoteReference"/>
        </w:rPr>
        <w:footnoteReference w:id="13"/>
      </w:r>
    </w:p>
    <w:p w:rsidR="00EB57CC" w:rsidRDefault="00EB57CC" w:rsidP="00EB57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D6699" w:rsidRDefault="002E0482" w:rsidP="00EB57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6B3C2F">
        <w:t xml:space="preserve">design and development report </w:t>
      </w:r>
      <w:r>
        <w:t>also informed BJS</w:t>
      </w:r>
      <w:r w:rsidR="00505166">
        <w:t>’</w:t>
      </w:r>
      <w:r>
        <w:t xml:space="preserve"> decision to </w:t>
      </w:r>
      <w:r w:rsidR="0032271A">
        <w:t xml:space="preserve">restrict the data collection </w:t>
      </w:r>
      <w:r w:rsidR="005166E2">
        <w:t xml:space="preserve">effort </w:t>
      </w:r>
      <w:r w:rsidR="0032271A">
        <w:t>to direct appeals</w:t>
      </w:r>
      <w:r w:rsidR="006B3C2F">
        <w:t>. Direct appeals occur when the defendant appeals a final judgment from the trial court</w:t>
      </w:r>
      <w:r w:rsidR="00C86393">
        <w:t>. A</w:t>
      </w:r>
      <w:r w:rsidR="006B3C2F">
        <w:t>ccording to the design and development project</w:t>
      </w:r>
      <w:r w:rsidR="00C86393">
        <w:t>, these appeals</w:t>
      </w:r>
      <w:r w:rsidR="006B3C2F">
        <w:t xml:space="preserve"> </w:t>
      </w:r>
      <w:r w:rsidR="00C86393">
        <w:t>are</w:t>
      </w:r>
      <w:r w:rsidR="006B3C2F">
        <w:t xml:space="preserve"> uniformly classified across the various states and relatively straightforward to identify and code. The other appeals listed result from various </w:t>
      </w:r>
      <w:r w:rsidR="00EB57CC">
        <w:t>circumstances</w:t>
      </w:r>
      <w:r w:rsidR="006B3C2F">
        <w:t xml:space="preserve"> including </w:t>
      </w:r>
      <w:r w:rsidR="00EB57CC">
        <w:t>appeals from non-final judgments or post-conviction appeals in which the constitutionality of the conviction or conditions of confinement, rather than the case itself</w:t>
      </w:r>
      <w:r w:rsidR="005166E2">
        <w:t>,</w:t>
      </w:r>
      <w:r w:rsidR="00EB57CC">
        <w:t xml:space="preserve"> was challenged. According to the design and development report, these appeals were not uniformly classified - some states labeled them as </w:t>
      </w:r>
      <w:r w:rsidR="00EB57CC">
        <w:lastRenderedPageBreak/>
        <w:t xml:space="preserve">civil and others criminal - and they were extremely difficult to code. For these reasons, the </w:t>
      </w:r>
      <w:r>
        <w:t xml:space="preserve">BJS decided to </w:t>
      </w:r>
      <w:r w:rsidR="00EB57CC">
        <w:t>exclud</w:t>
      </w:r>
      <w:r>
        <w:t>e</w:t>
      </w:r>
      <w:r w:rsidR="00EB57CC">
        <w:t xml:space="preserve"> all but direct criminal appeals for further data collection.</w:t>
      </w:r>
      <w:r w:rsidR="008A5900">
        <w:t xml:space="preserve"> </w:t>
      </w:r>
    </w:p>
    <w:p w:rsidR="00414D58" w:rsidRDefault="00414D58" w:rsidP="00414D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0A35" w:rsidRDefault="00C651E7" w:rsidP="00A570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published the 60 day notice in the </w:t>
      </w:r>
      <w:r w:rsidRPr="00C651E7">
        <w:rPr>
          <w:i/>
        </w:rPr>
        <w:t>Federal Register</w:t>
      </w:r>
      <w:r>
        <w:t xml:space="preserve"> on January 31, 2011 and published the 30 day notice in the </w:t>
      </w:r>
      <w:r w:rsidRPr="00C651E7">
        <w:rPr>
          <w:i/>
        </w:rPr>
        <w:t>Federal Register</w:t>
      </w:r>
      <w:r>
        <w:t xml:space="preserve"> on April 4, 2011. </w:t>
      </w:r>
      <w:r w:rsidR="00A57090">
        <w:t xml:space="preserve">The 60-day notice elicited comments which were addressed in detail. The comments and responses are included in an </w:t>
      </w:r>
      <w:r w:rsidR="007373A4">
        <w:t>attached</w:t>
      </w:r>
      <w:r w:rsidR="00A57090">
        <w:t xml:space="preserve"> document which has been uploaded in ROCIS. </w:t>
      </w:r>
    </w:p>
    <w:p w:rsidR="00C70A35" w:rsidRDefault="00C70A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FDC" w:rsidRPr="00414D58" w:rsidRDefault="00D34FDC" w:rsidP="00414D58">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414D58">
        <w:rPr>
          <w:u w:val="single"/>
        </w:rPr>
        <w:t>Paying Respondents</w:t>
      </w:r>
    </w:p>
    <w:p w:rsidR="008134A9" w:rsidRDefault="008134A9" w:rsidP="008134A9">
      <w:pPr>
        <w:pStyle w:val="Default"/>
        <w:rPr>
          <w:rFonts w:ascii="Times New Roman" w:hAnsi="Times New Roman" w:cs="Times New Roman"/>
          <w:color w:val="auto"/>
        </w:rPr>
      </w:pPr>
    </w:p>
    <w:p w:rsidR="008134A9" w:rsidRPr="00753F83" w:rsidRDefault="008134A9" w:rsidP="00753F83">
      <w:pPr>
        <w:pStyle w:val="Default"/>
        <w:rPr>
          <w:rFonts w:ascii="Times New Roman" w:hAnsi="Times New Roman" w:cs="Times New Roman"/>
        </w:rPr>
      </w:pPr>
      <w:r w:rsidRPr="008134A9">
        <w:rPr>
          <w:rFonts w:ascii="Times New Roman" w:hAnsi="Times New Roman" w:cs="Times New Roman"/>
        </w:rPr>
        <w:t>Given the current budget climate for the courts, it is likely that court staff, while able to provide information about case access</w:t>
      </w:r>
      <w:r w:rsidR="008E6952">
        <w:rPr>
          <w:rFonts w:ascii="Times New Roman" w:hAnsi="Times New Roman" w:cs="Times New Roman"/>
        </w:rPr>
        <w:t xml:space="preserve"> </w:t>
      </w:r>
      <w:r w:rsidRPr="008134A9">
        <w:rPr>
          <w:rFonts w:ascii="Times New Roman" w:hAnsi="Times New Roman" w:cs="Times New Roman"/>
        </w:rPr>
        <w:t>and answer case-specific questions</w:t>
      </w:r>
      <w:r w:rsidR="008E6952">
        <w:rPr>
          <w:rFonts w:ascii="Times New Roman" w:hAnsi="Times New Roman" w:cs="Times New Roman"/>
        </w:rPr>
        <w:t xml:space="preserve">, </w:t>
      </w:r>
      <w:r w:rsidRPr="008134A9">
        <w:rPr>
          <w:rFonts w:ascii="Times New Roman" w:hAnsi="Times New Roman" w:cs="Times New Roman"/>
        </w:rPr>
        <w:t xml:space="preserve">will not be </w:t>
      </w:r>
      <w:r w:rsidR="008E6952">
        <w:rPr>
          <w:rFonts w:ascii="Times New Roman" w:hAnsi="Times New Roman" w:cs="Times New Roman"/>
        </w:rPr>
        <w:t xml:space="preserve">in a position to </w:t>
      </w:r>
      <w:r w:rsidRPr="008134A9">
        <w:rPr>
          <w:rFonts w:ascii="Times New Roman" w:hAnsi="Times New Roman" w:cs="Times New Roman"/>
        </w:rPr>
        <w:t xml:space="preserve">code the sampled appeals. As such, </w:t>
      </w:r>
      <w:r w:rsidR="008E6952">
        <w:rPr>
          <w:rFonts w:ascii="Times New Roman" w:hAnsi="Times New Roman" w:cs="Times New Roman"/>
        </w:rPr>
        <w:t xml:space="preserve">NCSC </w:t>
      </w:r>
      <w:r w:rsidRPr="008134A9">
        <w:rPr>
          <w:rFonts w:ascii="Times New Roman" w:hAnsi="Times New Roman" w:cs="Times New Roman"/>
        </w:rPr>
        <w:t xml:space="preserve">project staff will code the data elements and case documents used to gather the information required for this project. </w:t>
      </w:r>
      <w:r w:rsidR="00753F83">
        <w:rPr>
          <w:rFonts w:ascii="Times New Roman" w:hAnsi="Times New Roman" w:cs="Times New Roman"/>
        </w:rPr>
        <w:t>Hence, neither BJS nor NCSC will provide any payment or gift of any type to the respondents participating in the SSCCA. The respondent appellate courts will participate in the SSCCA on a voluntarily basis.</w:t>
      </w:r>
    </w:p>
    <w:p w:rsidR="008134A9" w:rsidRDefault="008134A9" w:rsidP="00813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FDC" w:rsidRPr="00414D58" w:rsidRDefault="00D34FDC" w:rsidP="00414D58">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414D58">
        <w:rPr>
          <w:u w:val="single"/>
        </w:rPr>
        <w:t>Assurance of Confidentiality</w:t>
      </w:r>
    </w:p>
    <w:p w:rsidR="00414D58" w:rsidRDefault="00414D58" w:rsidP="00414D5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7001E5" w:rsidRDefault="00D35DA0" w:rsidP="00014E75">
      <w:r w:rsidRPr="0030179C">
        <w:t xml:space="preserve">The data collected will detail the </w:t>
      </w:r>
      <w:r w:rsidR="00D1556A">
        <w:t>processing</w:t>
      </w:r>
      <w:r w:rsidRPr="0030179C">
        <w:t xml:space="preserve"> characteristics of </w:t>
      </w:r>
      <w:r w:rsidR="00D1556A">
        <w:t xml:space="preserve">criminal cases appealed to </w:t>
      </w:r>
      <w:r w:rsidRPr="0030179C">
        <w:t xml:space="preserve">the nation’s </w:t>
      </w:r>
      <w:r w:rsidR="00D1556A">
        <w:t xml:space="preserve">intermediate appellate courts and courts of last resort </w:t>
      </w:r>
      <w:r w:rsidRPr="0030179C">
        <w:t xml:space="preserve">and are, therefore, in the public domain and not subject to confidentiality guarantees. </w:t>
      </w:r>
      <w:r w:rsidR="00014E75">
        <w:t xml:space="preserve">The identities of the litigants, judges, prosecutors, and defense attorneys will be kept </w:t>
      </w:r>
      <w:proofErr w:type="spellStart"/>
      <w:r w:rsidR="00FD2A21">
        <w:t>anonymized</w:t>
      </w:r>
      <w:proofErr w:type="spellEnd"/>
      <w:r w:rsidR="00FD2A21">
        <w:t xml:space="preserve"> </w:t>
      </w:r>
      <w:r w:rsidR="00014E75">
        <w:t>by removing any</w:t>
      </w:r>
      <w:r w:rsidR="00644F85">
        <w:t xml:space="preserve"> personally identifiable</w:t>
      </w:r>
      <w:r w:rsidR="00014E75">
        <w:t xml:space="preserve"> information related to the parties</w:t>
      </w:r>
      <w:r w:rsidR="00644F85">
        <w:t xml:space="preserve"> or</w:t>
      </w:r>
      <w:r w:rsidR="00014E75">
        <w:t xml:space="preserve"> attorneys, </w:t>
      </w:r>
      <w:r w:rsidR="00644F85">
        <w:t xml:space="preserve">including </w:t>
      </w:r>
      <w:r w:rsidR="00014E75">
        <w:t xml:space="preserve">judicial names </w:t>
      </w:r>
      <w:r w:rsidR="00644F85">
        <w:t xml:space="preserve">and </w:t>
      </w:r>
      <w:r w:rsidR="00014E75">
        <w:t>court case numbers.</w:t>
      </w:r>
      <w:r w:rsidR="00505166">
        <w:t xml:space="preserve"> BJS will</w:t>
      </w:r>
      <w:r w:rsidR="00644F85">
        <w:t>, however,</w:t>
      </w:r>
      <w:r w:rsidR="00505166">
        <w:t xml:space="preserve"> provide </w:t>
      </w:r>
      <w:r w:rsidR="00644F85">
        <w:t xml:space="preserve">basic </w:t>
      </w:r>
      <w:r w:rsidR="00505166">
        <w:t>information on the court where the sampled criminal appeals were dispose</w:t>
      </w:r>
      <w:r w:rsidR="000E4FFB">
        <w:t>d</w:t>
      </w:r>
      <w:r w:rsidR="00644F85">
        <w:t>, such as court type, jurisdiction, and number of appeals disposed</w:t>
      </w:r>
      <w:r w:rsidR="000E4FFB">
        <w:t>.</w:t>
      </w:r>
    </w:p>
    <w:p w:rsidR="00014E75" w:rsidRDefault="000E4FFB" w:rsidP="000E4FFB">
      <w:pPr>
        <w:tabs>
          <w:tab w:val="left" w:pos="1766"/>
        </w:tabs>
      </w:pPr>
      <w:r>
        <w:tab/>
      </w:r>
    </w:p>
    <w:p w:rsidR="00014E75" w:rsidRDefault="002B024C" w:rsidP="00D1556A">
      <w:r>
        <w:t xml:space="preserve">BJS, through collaboration with NCSC, will take all precautions to ensure that no outside parties will be able to access the SSCCA data with identifiable information. </w:t>
      </w:r>
      <w:r w:rsidR="00ED3D6A">
        <w:t xml:space="preserve">First, </w:t>
      </w:r>
      <w:r w:rsidR="00D35DA0">
        <w:t>NCSC</w:t>
      </w:r>
      <w:r w:rsidR="00ED3D6A">
        <w:t xml:space="preserve"> has several safeguards in place to maintain confidentiality of the </w:t>
      </w:r>
      <w:r w:rsidR="00D35DA0">
        <w:t>participating respondents</w:t>
      </w:r>
      <w:r w:rsidR="00ED3D6A">
        <w:t xml:space="preserve">. These include the </w:t>
      </w:r>
      <w:r w:rsidR="00ED3D6A" w:rsidRPr="00A64B25">
        <w:t>utilization of firewalls, virus protection software, and security login checks to safeguard the confidential</w:t>
      </w:r>
      <w:r w:rsidR="00D35DA0">
        <w:t xml:space="preserve">ity of the </w:t>
      </w:r>
      <w:r w:rsidRPr="00A64B25">
        <w:t>data collected for this project</w:t>
      </w:r>
      <w:r>
        <w:t xml:space="preserve">. </w:t>
      </w:r>
      <w:r w:rsidR="00D35DA0">
        <w:t>NCSC</w:t>
      </w:r>
      <w:r w:rsidR="00ED3D6A">
        <w:t xml:space="preserve"> will also store any paper data collection forms submitted in a locked file. Before submitting the final dataset to BJS, </w:t>
      </w:r>
      <w:r w:rsidR="00D35DA0">
        <w:t>NCSC</w:t>
      </w:r>
      <w:r w:rsidR="00ED3D6A">
        <w:t xml:space="preserve"> will </w:t>
      </w:r>
      <w:r w:rsidR="00D35DA0">
        <w:t xml:space="preserve">purge </w:t>
      </w:r>
      <w:r w:rsidR="00ED3D6A">
        <w:t xml:space="preserve">any information that could be used to identify </w:t>
      </w:r>
      <w:r>
        <w:t xml:space="preserve">litigants, judges, or attorneys who participated in the surveyed case. </w:t>
      </w:r>
    </w:p>
    <w:p w:rsidR="00B71125" w:rsidRDefault="00B711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FDC" w:rsidRPr="00A510C5" w:rsidRDefault="00D34FDC" w:rsidP="00A510C5">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A510C5">
        <w:rPr>
          <w:u w:val="single"/>
        </w:rPr>
        <w:t>Justification for Sensitive Questions</w:t>
      </w:r>
    </w:p>
    <w:p w:rsidR="00A510C5" w:rsidRDefault="00A510C5" w:rsidP="00A510C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D34FDC" w:rsidRDefault="00D34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are no questions of a sensitive nature.  </w:t>
      </w:r>
    </w:p>
    <w:p w:rsidR="002B024C" w:rsidRDefault="002B0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057B7" w:rsidRDefault="00D34FDC">
      <w:pPr>
        <w:pStyle w:val="ListParagraph"/>
        <w:keepNext/>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D35DA0">
        <w:rPr>
          <w:u w:val="single"/>
        </w:rPr>
        <w:t>Estimate of Respondent Burden</w:t>
      </w:r>
    </w:p>
    <w:p w:rsidR="00C057B7" w:rsidRDefault="00C057B7">
      <w:pPr>
        <w:pStyle w:val="ListParagraph"/>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861097" w:rsidRDefault="00B554A5" w:rsidP="00B554A5">
      <w:pPr>
        <w:pStyle w:val="Default"/>
        <w:rPr>
          <w:rFonts w:ascii="Times New Roman" w:hAnsi="Times New Roman" w:cs="Times New Roman"/>
        </w:rPr>
      </w:pPr>
      <w:r w:rsidRPr="00B554A5">
        <w:rPr>
          <w:rFonts w:ascii="Times New Roman" w:hAnsi="Times New Roman" w:cs="Times New Roman"/>
        </w:rPr>
        <w:t xml:space="preserve">The SSCCA will collect data on a </w:t>
      </w:r>
      <w:r w:rsidR="0027150C">
        <w:rPr>
          <w:rFonts w:ascii="Times New Roman" w:hAnsi="Times New Roman" w:cs="Times New Roman"/>
        </w:rPr>
        <w:t>national</w:t>
      </w:r>
      <w:r w:rsidRPr="00B554A5">
        <w:rPr>
          <w:rFonts w:ascii="Times New Roman" w:hAnsi="Times New Roman" w:cs="Times New Roman"/>
        </w:rPr>
        <w:t xml:space="preserve"> sample of </w:t>
      </w:r>
      <w:r w:rsidR="00213931">
        <w:rPr>
          <w:rFonts w:ascii="Times New Roman" w:hAnsi="Times New Roman" w:cs="Times New Roman"/>
        </w:rPr>
        <w:t xml:space="preserve">about </w:t>
      </w:r>
      <w:r w:rsidRPr="00B554A5">
        <w:rPr>
          <w:rFonts w:ascii="Times New Roman" w:hAnsi="Times New Roman" w:cs="Times New Roman"/>
        </w:rPr>
        <w:t xml:space="preserve">5,000 criminal appeals concluded in </w:t>
      </w:r>
      <w:r w:rsidR="00AB18C8">
        <w:rPr>
          <w:rFonts w:ascii="Times New Roman" w:hAnsi="Times New Roman" w:cs="Times New Roman"/>
        </w:rPr>
        <w:t xml:space="preserve">all of </w:t>
      </w:r>
      <w:r w:rsidRPr="00B554A5">
        <w:rPr>
          <w:rFonts w:ascii="Times New Roman" w:hAnsi="Times New Roman" w:cs="Times New Roman"/>
        </w:rPr>
        <w:t>the nation’s 143 intermediate appellate courts and courts of last resort</w:t>
      </w:r>
      <w:r>
        <w:rPr>
          <w:rFonts w:ascii="Times New Roman" w:hAnsi="Times New Roman" w:cs="Times New Roman"/>
        </w:rPr>
        <w:t xml:space="preserve"> in 2010</w:t>
      </w:r>
      <w:r w:rsidRPr="00B554A5">
        <w:rPr>
          <w:rFonts w:ascii="Times New Roman" w:hAnsi="Times New Roman" w:cs="Times New Roman"/>
        </w:rPr>
        <w:t xml:space="preserve">. Given the current budget climate </w:t>
      </w:r>
      <w:r>
        <w:rPr>
          <w:rFonts w:ascii="Times New Roman" w:hAnsi="Times New Roman" w:cs="Times New Roman"/>
        </w:rPr>
        <w:t>and limited resources available to the appellate courts</w:t>
      </w:r>
      <w:r w:rsidRPr="00B554A5">
        <w:rPr>
          <w:rFonts w:ascii="Times New Roman" w:hAnsi="Times New Roman" w:cs="Times New Roman"/>
        </w:rPr>
        <w:t>,</w:t>
      </w:r>
      <w:r>
        <w:rPr>
          <w:rFonts w:ascii="Times New Roman" w:hAnsi="Times New Roman" w:cs="Times New Roman"/>
        </w:rPr>
        <w:t xml:space="preserve"> appellate court staff </w:t>
      </w:r>
      <w:r w:rsidRPr="00B554A5">
        <w:rPr>
          <w:rFonts w:ascii="Times New Roman" w:hAnsi="Times New Roman" w:cs="Times New Roman"/>
        </w:rPr>
        <w:t xml:space="preserve">will not be </w:t>
      </w:r>
      <w:r>
        <w:rPr>
          <w:rFonts w:ascii="Times New Roman" w:hAnsi="Times New Roman" w:cs="Times New Roman"/>
        </w:rPr>
        <w:t xml:space="preserve">asked </w:t>
      </w:r>
      <w:r w:rsidRPr="00B554A5">
        <w:rPr>
          <w:rFonts w:ascii="Times New Roman" w:hAnsi="Times New Roman" w:cs="Times New Roman"/>
        </w:rPr>
        <w:t xml:space="preserve">to code the </w:t>
      </w:r>
      <w:r>
        <w:rPr>
          <w:rFonts w:ascii="Times New Roman" w:hAnsi="Times New Roman" w:cs="Times New Roman"/>
        </w:rPr>
        <w:t>sampled</w:t>
      </w:r>
      <w:r w:rsidRPr="00B554A5">
        <w:rPr>
          <w:rFonts w:ascii="Times New Roman" w:hAnsi="Times New Roman" w:cs="Times New Roman"/>
        </w:rPr>
        <w:t xml:space="preserve"> appeals. As such, project staff </w:t>
      </w:r>
      <w:r>
        <w:rPr>
          <w:rFonts w:ascii="Times New Roman" w:hAnsi="Times New Roman" w:cs="Times New Roman"/>
        </w:rPr>
        <w:t xml:space="preserve">from the NCSC </w:t>
      </w:r>
      <w:r w:rsidRPr="00B554A5">
        <w:rPr>
          <w:rFonts w:ascii="Times New Roman" w:hAnsi="Times New Roman" w:cs="Times New Roman"/>
        </w:rPr>
        <w:t xml:space="preserve">will </w:t>
      </w:r>
      <w:r w:rsidRPr="00B554A5">
        <w:rPr>
          <w:rFonts w:ascii="Times New Roman" w:hAnsi="Times New Roman" w:cs="Times New Roman"/>
        </w:rPr>
        <w:lastRenderedPageBreak/>
        <w:t>code the data elements and case documents used to gather the information required for this project.</w:t>
      </w:r>
      <w:r w:rsidR="00852B83">
        <w:rPr>
          <w:rFonts w:ascii="Times New Roman" w:hAnsi="Times New Roman" w:cs="Times New Roman"/>
        </w:rPr>
        <w:t xml:space="preserve"> Rather than coding appeals, the respondent burden will involve providing the necessary materials to NCSC staff for the purposes of data coding. </w:t>
      </w:r>
    </w:p>
    <w:p w:rsidR="00AB18C8" w:rsidRDefault="00AB18C8" w:rsidP="00B554A5">
      <w:pPr>
        <w:pStyle w:val="Default"/>
        <w:rPr>
          <w:rFonts w:ascii="Times New Roman" w:hAnsi="Times New Roman" w:cs="Times New Roman"/>
        </w:rPr>
      </w:pPr>
    </w:p>
    <w:p w:rsidR="00501A67" w:rsidRDefault="00501A67" w:rsidP="00B554A5">
      <w:pPr>
        <w:pStyle w:val="Default"/>
        <w:rPr>
          <w:rFonts w:ascii="Times New Roman" w:hAnsi="Times New Roman" w:cs="Times New Roman"/>
        </w:rPr>
      </w:pPr>
      <w:r>
        <w:rPr>
          <w:rFonts w:ascii="Times New Roman" w:hAnsi="Times New Roman" w:cs="Times New Roman"/>
        </w:rPr>
        <w:t xml:space="preserve">The burden hour computation involves both sample list generation and case level data collection. Each of the nation’s 143 intermediate appellate courts and courts of last resort will be asked to generate a sample of all their direct criminal appeals disposed in 2010 from which a probability sample can be drawn for the SSCCA. It is estimated that it should take 3 hours for each of the </w:t>
      </w:r>
      <w:r w:rsidR="009A0093">
        <w:rPr>
          <w:rFonts w:ascii="Times New Roman" w:hAnsi="Times New Roman" w:cs="Times New Roman"/>
        </w:rPr>
        <w:t xml:space="preserve">nation’s </w:t>
      </w:r>
      <w:r>
        <w:rPr>
          <w:rFonts w:ascii="Times New Roman" w:hAnsi="Times New Roman" w:cs="Times New Roman"/>
        </w:rPr>
        <w:t xml:space="preserve">143 appellate courts to generate </w:t>
      </w:r>
      <w:r w:rsidR="009A0093">
        <w:rPr>
          <w:rFonts w:ascii="Times New Roman" w:hAnsi="Times New Roman" w:cs="Times New Roman"/>
        </w:rPr>
        <w:t>an</w:t>
      </w:r>
      <w:r>
        <w:rPr>
          <w:rFonts w:ascii="Times New Roman" w:hAnsi="Times New Roman" w:cs="Times New Roman"/>
        </w:rPr>
        <w:t xml:space="preserve"> appropriate sample list for a total of 429 hours (143 appellate courts * 3 hours per court = 429 hours).</w:t>
      </w:r>
      <w:r>
        <w:rPr>
          <w:rStyle w:val="FootnoteReference"/>
          <w:rFonts w:ascii="Times New Roman" w:hAnsi="Times New Roman" w:cs="Times New Roman"/>
        </w:rPr>
        <w:footnoteReference w:id="14"/>
      </w:r>
    </w:p>
    <w:p w:rsidR="00501A67" w:rsidRDefault="00501A67" w:rsidP="00B554A5">
      <w:pPr>
        <w:pStyle w:val="Default"/>
        <w:rPr>
          <w:rFonts w:ascii="Times New Roman" w:hAnsi="Times New Roman" w:cs="Times New Roman"/>
        </w:rPr>
      </w:pPr>
    </w:p>
    <w:p w:rsidR="009A0093" w:rsidRDefault="00501A67" w:rsidP="00B554A5">
      <w:pPr>
        <w:pStyle w:val="Default"/>
        <w:rPr>
          <w:rFonts w:ascii="Times New Roman" w:hAnsi="Times New Roman" w:cs="Times New Roman"/>
        </w:rPr>
      </w:pPr>
      <w:r>
        <w:rPr>
          <w:rFonts w:ascii="Times New Roman" w:hAnsi="Times New Roman" w:cs="Times New Roman"/>
        </w:rPr>
        <w:t>Once the sample list</w:t>
      </w:r>
      <w:r w:rsidR="006A0D74">
        <w:rPr>
          <w:rFonts w:ascii="Times New Roman" w:hAnsi="Times New Roman" w:cs="Times New Roman"/>
        </w:rPr>
        <w:t>s</w:t>
      </w:r>
      <w:r>
        <w:rPr>
          <w:rFonts w:ascii="Times New Roman" w:hAnsi="Times New Roman" w:cs="Times New Roman"/>
        </w:rPr>
        <w:t xml:space="preserve"> </w:t>
      </w:r>
      <w:r w:rsidR="006A0D74">
        <w:rPr>
          <w:rFonts w:ascii="Times New Roman" w:hAnsi="Times New Roman" w:cs="Times New Roman"/>
        </w:rPr>
        <w:t>are</w:t>
      </w:r>
      <w:r>
        <w:rPr>
          <w:rFonts w:ascii="Times New Roman" w:hAnsi="Times New Roman" w:cs="Times New Roman"/>
        </w:rPr>
        <w:t xml:space="preserve"> completed</w:t>
      </w:r>
      <w:r w:rsidR="00213931">
        <w:rPr>
          <w:rFonts w:ascii="Times New Roman" w:hAnsi="Times New Roman" w:cs="Times New Roman"/>
        </w:rPr>
        <w:t>,</w:t>
      </w:r>
      <w:r>
        <w:rPr>
          <w:rFonts w:ascii="Times New Roman" w:hAnsi="Times New Roman" w:cs="Times New Roman"/>
        </w:rPr>
        <w:t xml:space="preserve"> </w:t>
      </w:r>
      <w:r w:rsidR="006A0D74">
        <w:rPr>
          <w:rFonts w:ascii="Times New Roman" w:hAnsi="Times New Roman" w:cs="Times New Roman"/>
        </w:rPr>
        <w:t xml:space="preserve">the burden hour component will involve case level data collection. As previously stated, the burden hours will not be associated with coding data collection instruments but with providing the necessary materials for NCSC staff to engage in data collection and coding. There are three major sources of information </w:t>
      </w:r>
      <w:r w:rsidR="000859ED">
        <w:rPr>
          <w:rFonts w:ascii="Times New Roman" w:hAnsi="Times New Roman" w:cs="Times New Roman"/>
        </w:rPr>
        <w:t xml:space="preserve">NCSC staff will use to code information on criminal appeals </w:t>
      </w:r>
      <w:r w:rsidR="006A0D74">
        <w:rPr>
          <w:rFonts w:ascii="Times New Roman" w:hAnsi="Times New Roman" w:cs="Times New Roman"/>
        </w:rPr>
        <w:t xml:space="preserve">including the </w:t>
      </w:r>
      <w:r w:rsidR="00213931">
        <w:rPr>
          <w:rFonts w:ascii="Times New Roman" w:hAnsi="Times New Roman" w:cs="Times New Roman"/>
        </w:rPr>
        <w:t xml:space="preserve">legal </w:t>
      </w:r>
      <w:r w:rsidR="006A0D74">
        <w:rPr>
          <w:rFonts w:ascii="Times New Roman" w:hAnsi="Times New Roman" w:cs="Times New Roman"/>
        </w:rPr>
        <w:t>briefs submitted by the parties, the court docketing information, and the opinions produced by the courts.</w:t>
      </w:r>
      <w:r w:rsidR="000859ED">
        <w:rPr>
          <w:rFonts w:ascii="Times New Roman" w:hAnsi="Times New Roman" w:cs="Times New Roman"/>
        </w:rPr>
        <w:t xml:space="preserve"> The appellate court briefs are the legal documents submitted by the defense attorneys and prosecutors arguing why a particular case should or shouldn’t be overturned on appeal; the docketing information includes </w:t>
      </w:r>
      <w:r w:rsidR="00213931">
        <w:rPr>
          <w:rFonts w:ascii="Times New Roman" w:hAnsi="Times New Roman" w:cs="Times New Roman"/>
        </w:rPr>
        <w:t>key</w:t>
      </w:r>
      <w:r w:rsidR="000859ED">
        <w:rPr>
          <w:rFonts w:ascii="Times New Roman" w:hAnsi="Times New Roman" w:cs="Times New Roman"/>
        </w:rPr>
        <w:t xml:space="preserve"> case dates such as the dates of filing, oral argument, and appellate court disposition; and the opinion includes the appellant’s court decision to affirm, modify, or reverse a case. The </w:t>
      </w:r>
      <w:r w:rsidR="00213931">
        <w:rPr>
          <w:rFonts w:ascii="Times New Roman" w:hAnsi="Times New Roman" w:cs="Times New Roman"/>
        </w:rPr>
        <w:t xml:space="preserve">legal </w:t>
      </w:r>
      <w:r w:rsidR="000859ED">
        <w:rPr>
          <w:rFonts w:ascii="Times New Roman" w:hAnsi="Times New Roman" w:cs="Times New Roman"/>
        </w:rPr>
        <w:t xml:space="preserve">briefs, dockets, and opinions are crucial components </w:t>
      </w:r>
      <w:r w:rsidR="009A0093">
        <w:rPr>
          <w:rFonts w:ascii="Times New Roman" w:hAnsi="Times New Roman" w:cs="Times New Roman"/>
        </w:rPr>
        <w:t xml:space="preserve">of the SSCCA data collection and the degree that courts make this information accessible online are essential to burden hour computation. </w:t>
      </w:r>
    </w:p>
    <w:p w:rsidR="009A0093" w:rsidRDefault="009A0093" w:rsidP="00B554A5">
      <w:pPr>
        <w:pStyle w:val="Default"/>
        <w:rPr>
          <w:rFonts w:ascii="Times New Roman" w:hAnsi="Times New Roman" w:cs="Times New Roman"/>
        </w:rPr>
      </w:pPr>
    </w:p>
    <w:p w:rsidR="00BA4437" w:rsidRDefault="009A0093" w:rsidP="00B554A5">
      <w:pPr>
        <w:pStyle w:val="Default"/>
        <w:rPr>
          <w:rFonts w:ascii="Times New Roman" w:hAnsi="Times New Roman" w:cs="Times New Roman"/>
        </w:rPr>
      </w:pPr>
      <w:r>
        <w:rPr>
          <w:rFonts w:ascii="Times New Roman" w:hAnsi="Times New Roman" w:cs="Times New Roman"/>
        </w:rPr>
        <w:t xml:space="preserve">According to the criminal appeals design and development project, </w:t>
      </w:r>
      <w:r w:rsidR="00856942">
        <w:rPr>
          <w:rFonts w:ascii="Times New Roman" w:hAnsi="Times New Roman" w:cs="Times New Roman"/>
        </w:rPr>
        <w:t xml:space="preserve">the nation’s 143 appellate courts fall into three broad categories in terms of </w:t>
      </w:r>
      <w:r w:rsidR="00347E63">
        <w:rPr>
          <w:rFonts w:ascii="Times New Roman" w:hAnsi="Times New Roman" w:cs="Times New Roman"/>
        </w:rPr>
        <w:t>online</w:t>
      </w:r>
      <w:r w:rsidR="00856942">
        <w:rPr>
          <w:rFonts w:ascii="Times New Roman" w:hAnsi="Times New Roman" w:cs="Times New Roman"/>
        </w:rPr>
        <w:t xml:space="preserve"> data availability. About a quarter of appellate courts either have all or none of their </w:t>
      </w:r>
      <w:r w:rsidR="00213931">
        <w:rPr>
          <w:rFonts w:ascii="Times New Roman" w:hAnsi="Times New Roman" w:cs="Times New Roman"/>
        </w:rPr>
        <w:t xml:space="preserve">legal </w:t>
      </w:r>
      <w:r w:rsidR="00856942">
        <w:rPr>
          <w:rFonts w:ascii="Times New Roman" w:hAnsi="Times New Roman" w:cs="Times New Roman"/>
        </w:rPr>
        <w:t xml:space="preserve">briefs, docketing, and opinion data available online. For these courts, NCSC staff will either utilize the internet to collect all requisite SSCCA data or will travel to these courts and code the </w:t>
      </w:r>
      <w:r w:rsidR="00BA4437">
        <w:rPr>
          <w:rFonts w:ascii="Times New Roman" w:hAnsi="Times New Roman" w:cs="Times New Roman"/>
        </w:rPr>
        <w:t xml:space="preserve">cases remotely. Estimates from the criminal appeals design and development project showed that about 36 of the nation’s 143 appellate courts fall into the categories of either having all </w:t>
      </w:r>
      <w:r w:rsidR="0032608A">
        <w:rPr>
          <w:rFonts w:ascii="Times New Roman" w:hAnsi="Times New Roman" w:cs="Times New Roman"/>
        </w:rPr>
        <w:t xml:space="preserve">(26 courts) </w:t>
      </w:r>
      <w:r w:rsidR="00BA4437">
        <w:rPr>
          <w:rFonts w:ascii="Times New Roman" w:hAnsi="Times New Roman" w:cs="Times New Roman"/>
        </w:rPr>
        <w:t xml:space="preserve">or none </w:t>
      </w:r>
      <w:r w:rsidR="0032608A">
        <w:rPr>
          <w:rFonts w:ascii="Times New Roman" w:hAnsi="Times New Roman" w:cs="Times New Roman"/>
        </w:rPr>
        <w:t xml:space="preserve">(10 courts) </w:t>
      </w:r>
      <w:r w:rsidR="00BA4437">
        <w:rPr>
          <w:rFonts w:ascii="Times New Roman" w:hAnsi="Times New Roman" w:cs="Times New Roman"/>
        </w:rPr>
        <w:t>of their data available online for data collection.</w:t>
      </w:r>
      <w:r w:rsidR="0032608A">
        <w:rPr>
          <w:rFonts w:ascii="Times New Roman" w:hAnsi="Times New Roman" w:cs="Times New Roman"/>
        </w:rPr>
        <w:t xml:space="preserve"> No burden hours will be involved for the 26 courts in which all data will be collected through online systems. For those 10 courts where onsite travel is required, it is estimated that court staff will expend an average of </w:t>
      </w:r>
      <w:r w:rsidR="00410BBF">
        <w:rPr>
          <w:rFonts w:ascii="Times New Roman" w:hAnsi="Times New Roman" w:cs="Times New Roman"/>
        </w:rPr>
        <w:t>2</w:t>
      </w:r>
      <w:r w:rsidR="0032608A">
        <w:rPr>
          <w:rFonts w:ascii="Times New Roman" w:hAnsi="Times New Roman" w:cs="Times New Roman"/>
        </w:rPr>
        <w:t xml:space="preserve"> hours assisting NCSC </w:t>
      </w:r>
      <w:r w:rsidR="00B73240">
        <w:rPr>
          <w:rFonts w:ascii="Times New Roman" w:hAnsi="Times New Roman" w:cs="Times New Roman"/>
        </w:rPr>
        <w:t>personnel</w:t>
      </w:r>
      <w:r w:rsidR="0032608A">
        <w:rPr>
          <w:rFonts w:ascii="Times New Roman" w:hAnsi="Times New Roman" w:cs="Times New Roman"/>
        </w:rPr>
        <w:t xml:space="preserve"> in pulling case files or providing training on the operation of their case management systems. Thus, the 10 </w:t>
      </w:r>
      <w:r w:rsidR="00410BBF">
        <w:rPr>
          <w:rFonts w:ascii="Times New Roman" w:hAnsi="Times New Roman" w:cs="Times New Roman"/>
        </w:rPr>
        <w:t>onsite data collection</w:t>
      </w:r>
      <w:r w:rsidR="0032608A">
        <w:rPr>
          <w:rFonts w:ascii="Times New Roman" w:hAnsi="Times New Roman" w:cs="Times New Roman"/>
        </w:rPr>
        <w:t xml:space="preserve"> courts will require an estimated 2 hours per court for a total of 20 hours to complete data collection.</w:t>
      </w:r>
    </w:p>
    <w:p w:rsidR="0032608A" w:rsidRDefault="0032608A" w:rsidP="00B554A5">
      <w:pPr>
        <w:pStyle w:val="Default"/>
        <w:rPr>
          <w:rFonts w:ascii="Times New Roman" w:hAnsi="Times New Roman" w:cs="Times New Roman"/>
        </w:rPr>
      </w:pPr>
    </w:p>
    <w:p w:rsidR="004A78D6" w:rsidRDefault="007C6F5B" w:rsidP="004325F4">
      <w:pPr>
        <w:pStyle w:val="Default"/>
        <w:rPr>
          <w:rFonts w:ascii="Times New Roman" w:hAnsi="Times New Roman" w:cs="Times New Roman"/>
        </w:rPr>
      </w:pPr>
      <w:r>
        <w:rPr>
          <w:rFonts w:ascii="Times New Roman" w:hAnsi="Times New Roman" w:cs="Times New Roman"/>
        </w:rPr>
        <w:t xml:space="preserve">The remaining 107 appellate courts </w:t>
      </w:r>
      <w:r w:rsidR="00BA53D5">
        <w:rPr>
          <w:rFonts w:ascii="Times New Roman" w:hAnsi="Times New Roman" w:cs="Times New Roman"/>
        </w:rPr>
        <w:t>vary in terms of online data availability</w:t>
      </w:r>
      <w:r w:rsidR="004A78D6">
        <w:rPr>
          <w:rFonts w:ascii="Times New Roman" w:hAnsi="Times New Roman" w:cs="Times New Roman"/>
        </w:rPr>
        <w:t xml:space="preserve"> and will require a combination of online data collection and submission of copied case materials to NCSC </w:t>
      </w:r>
      <w:r w:rsidR="00A865D4">
        <w:rPr>
          <w:rFonts w:ascii="Times New Roman" w:hAnsi="Times New Roman" w:cs="Times New Roman"/>
        </w:rPr>
        <w:t xml:space="preserve">for </w:t>
      </w:r>
      <w:r w:rsidR="004A78D6">
        <w:rPr>
          <w:rFonts w:ascii="Times New Roman" w:hAnsi="Times New Roman" w:cs="Times New Roman"/>
        </w:rPr>
        <w:t>complete data collection</w:t>
      </w:r>
      <w:r w:rsidR="00BA53D5">
        <w:rPr>
          <w:rFonts w:ascii="Times New Roman" w:hAnsi="Times New Roman" w:cs="Times New Roman"/>
        </w:rPr>
        <w:t xml:space="preserve">. For example, some of these courts provide online access to opinions and </w:t>
      </w:r>
      <w:r w:rsidR="00C97C93">
        <w:rPr>
          <w:rFonts w:ascii="Times New Roman" w:hAnsi="Times New Roman" w:cs="Times New Roman"/>
        </w:rPr>
        <w:t xml:space="preserve">legal </w:t>
      </w:r>
      <w:r w:rsidR="00BA53D5">
        <w:rPr>
          <w:rFonts w:ascii="Times New Roman" w:hAnsi="Times New Roman" w:cs="Times New Roman"/>
        </w:rPr>
        <w:t xml:space="preserve">briefs, but not to docketing information, while others offer online accessibility for dockets and opinions but provide no online </w:t>
      </w:r>
      <w:r w:rsidR="003A3BBD">
        <w:rPr>
          <w:rFonts w:ascii="Times New Roman" w:hAnsi="Times New Roman" w:cs="Times New Roman"/>
        </w:rPr>
        <w:t>access</w:t>
      </w:r>
      <w:r w:rsidR="00BA53D5">
        <w:rPr>
          <w:rFonts w:ascii="Times New Roman" w:hAnsi="Times New Roman" w:cs="Times New Roman"/>
        </w:rPr>
        <w:t xml:space="preserve"> </w:t>
      </w:r>
      <w:r w:rsidR="003A3BBD">
        <w:rPr>
          <w:rFonts w:ascii="Times New Roman" w:hAnsi="Times New Roman" w:cs="Times New Roman"/>
        </w:rPr>
        <w:t>for</w:t>
      </w:r>
      <w:r w:rsidR="00BA53D5">
        <w:rPr>
          <w:rFonts w:ascii="Times New Roman" w:hAnsi="Times New Roman" w:cs="Times New Roman"/>
        </w:rPr>
        <w:t xml:space="preserve"> submitted briefs. Among these appellate </w:t>
      </w:r>
      <w:r w:rsidR="00BA53D5">
        <w:rPr>
          <w:rFonts w:ascii="Times New Roman" w:hAnsi="Times New Roman" w:cs="Times New Roman"/>
        </w:rPr>
        <w:lastRenderedPageBreak/>
        <w:t xml:space="preserve">courts, the burden will involve </w:t>
      </w:r>
      <w:r w:rsidR="003A3BBD">
        <w:rPr>
          <w:rFonts w:ascii="Times New Roman" w:hAnsi="Times New Roman" w:cs="Times New Roman"/>
        </w:rPr>
        <w:t xml:space="preserve">either </w:t>
      </w:r>
      <w:r w:rsidR="00BA53D5">
        <w:rPr>
          <w:rFonts w:ascii="Times New Roman" w:hAnsi="Times New Roman" w:cs="Times New Roman"/>
        </w:rPr>
        <w:t xml:space="preserve">copying the necessary information </w:t>
      </w:r>
      <w:r w:rsidR="003A3BBD">
        <w:rPr>
          <w:rFonts w:ascii="Times New Roman" w:hAnsi="Times New Roman" w:cs="Times New Roman"/>
        </w:rPr>
        <w:t xml:space="preserve">in the </w:t>
      </w:r>
      <w:r w:rsidR="00C97C93">
        <w:rPr>
          <w:rFonts w:ascii="Times New Roman" w:hAnsi="Times New Roman" w:cs="Times New Roman"/>
        </w:rPr>
        <w:t xml:space="preserve">legal </w:t>
      </w:r>
      <w:r w:rsidR="003A3BBD">
        <w:rPr>
          <w:rFonts w:ascii="Times New Roman" w:hAnsi="Times New Roman" w:cs="Times New Roman"/>
        </w:rPr>
        <w:t xml:space="preserve">briefs and opinions </w:t>
      </w:r>
      <w:r w:rsidR="00347E63">
        <w:rPr>
          <w:rFonts w:ascii="Times New Roman" w:hAnsi="Times New Roman" w:cs="Times New Roman"/>
        </w:rPr>
        <w:t>for submission to</w:t>
      </w:r>
      <w:r w:rsidR="003A3BBD">
        <w:rPr>
          <w:rFonts w:ascii="Times New Roman" w:hAnsi="Times New Roman" w:cs="Times New Roman"/>
        </w:rPr>
        <w:t xml:space="preserve"> NCSC or in cases where docketing information is being requested, submitting the docketing information </w:t>
      </w:r>
      <w:r w:rsidR="00D401E3">
        <w:rPr>
          <w:rFonts w:ascii="Times New Roman" w:hAnsi="Times New Roman" w:cs="Times New Roman"/>
        </w:rPr>
        <w:t xml:space="preserve">to NCSC </w:t>
      </w:r>
      <w:r w:rsidR="003A3BBD">
        <w:rPr>
          <w:rFonts w:ascii="Times New Roman" w:hAnsi="Times New Roman" w:cs="Times New Roman"/>
        </w:rPr>
        <w:t xml:space="preserve">through </w:t>
      </w:r>
      <w:r w:rsidR="00E1797A">
        <w:rPr>
          <w:rFonts w:ascii="Times New Roman" w:hAnsi="Times New Roman" w:cs="Times New Roman"/>
        </w:rPr>
        <w:t>administrative data transfer</w:t>
      </w:r>
      <w:r w:rsidR="003A3BBD">
        <w:rPr>
          <w:rFonts w:ascii="Times New Roman" w:hAnsi="Times New Roman" w:cs="Times New Roman"/>
        </w:rPr>
        <w:t>.</w:t>
      </w:r>
      <w:r w:rsidR="003A3BBD">
        <w:rPr>
          <w:rStyle w:val="FootnoteReference"/>
          <w:rFonts w:ascii="Times New Roman" w:hAnsi="Times New Roman" w:cs="Times New Roman"/>
        </w:rPr>
        <w:footnoteReference w:id="15"/>
      </w:r>
      <w:r w:rsidR="003A3BBD">
        <w:rPr>
          <w:rFonts w:ascii="Times New Roman" w:hAnsi="Times New Roman" w:cs="Times New Roman"/>
        </w:rPr>
        <w:t xml:space="preserve"> </w:t>
      </w:r>
      <w:r w:rsidR="006316D9">
        <w:rPr>
          <w:rFonts w:ascii="Times New Roman" w:hAnsi="Times New Roman" w:cs="Times New Roman"/>
        </w:rPr>
        <w:t xml:space="preserve">According to the criminal appeals design and development project, an estimated 90 courts will provide copies of submitted </w:t>
      </w:r>
      <w:r w:rsidR="00E0696D">
        <w:rPr>
          <w:rFonts w:ascii="Times New Roman" w:hAnsi="Times New Roman" w:cs="Times New Roman"/>
        </w:rPr>
        <w:t xml:space="preserve">legal </w:t>
      </w:r>
      <w:r w:rsidR="006316D9">
        <w:rPr>
          <w:rFonts w:ascii="Times New Roman" w:hAnsi="Times New Roman" w:cs="Times New Roman"/>
        </w:rPr>
        <w:t>briefs</w:t>
      </w:r>
      <w:r w:rsidR="00235C63">
        <w:rPr>
          <w:rFonts w:ascii="Times New Roman" w:hAnsi="Times New Roman" w:cs="Times New Roman"/>
        </w:rPr>
        <w:t xml:space="preserve"> </w:t>
      </w:r>
      <w:r w:rsidR="006316D9">
        <w:rPr>
          <w:rFonts w:ascii="Times New Roman" w:hAnsi="Times New Roman" w:cs="Times New Roman"/>
        </w:rPr>
        <w:t>and 14 will pr</w:t>
      </w:r>
      <w:r w:rsidR="00D401E3">
        <w:rPr>
          <w:rFonts w:ascii="Times New Roman" w:hAnsi="Times New Roman" w:cs="Times New Roman"/>
        </w:rPr>
        <w:t xml:space="preserve">ovide copies of court opinions. </w:t>
      </w:r>
      <w:r w:rsidR="00B66225">
        <w:rPr>
          <w:rFonts w:ascii="Times New Roman" w:hAnsi="Times New Roman" w:cs="Times New Roman"/>
        </w:rPr>
        <w:t>Assuming 35 appeals per court (5,000 appeals / 143 courts = 35 appeals)</w:t>
      </w:r>
      <w:r w:rsidR="004325F4">
        <w:rPr>
          <w:rFonts w:ascii="Times New Roman" w:hAnsi="Times New Roman" w:cs="Times New Roman"/>
        </w:rPr>
        <w:t xml:space="preserve"> and 10 minutes to copy each </w:t>
      </w:r>
      <w:r w:rsidR="00C97C93">
        <w:rPr>
          <w:rFonts w:ascii="Times New Roman" w:hAnsi="Times New Roman" w:cs="Times New Roman"/>
        </w:rPr>
        <w:t xml:space="preserve">legal </w:t>
      </w:r>
      <w:r w:rsidR="004325F4">
        <w:rPr>
          <w:rFonts w:ascii="Times New Roman" w:hAnsi="Times New Roman" w:cs="Times New Roman"/>
        </w:rPr>
        <w:t>brief or opinion</w:t>
      </w:r>
      <w:r w:rsidR="004A78D6">
        <w:rPr>
          <w:rFonts w:ascii="Times New Roman" w:hAnsi="Times New Roman" w:cs="Times New Roman"/>
        </w:rPr>
        <w:t xml:space="preserve"> for mailing to NCSC</w:t>
      </w:r>
      <w:r w:rsidR="004325F4">
        <w:rPr>
          <w:rFonts w:ascii="Times New Roman" w:hAnsi="Times New Roman" w:cs="Times New Roman"/>
        </w:rPr>
        <w:t xml:space="preserve">, the total burden hours to copy these paper documents for each court should be about 6 hours for the </w:t>
      </w:r>
      <w:r w:rsidR="00C97C93">
        <w:rPr>
          <w:rFonts w:ascii="Times New Roman" w:hAnsi="Times New Roman" w:cs="Times New Roman"/>
        </w:rPr>
        <w:t xml:space="preserve">legal </w:t>
      </w:r>
      <w:r w:rsidR="004325F4">
        <w:rPr>
          <w:rFonts w:ascii="Times New Roman" w:hAnsi="Times New Roman" w:cs="Times New Roman"/>
        </w:rPr>
        <w:t xml:space="preserve">briefs and 6 hours for the opinions (35 appeals * .17 hours per opinion/brief = 6 hours). In addition to providing copies of </w:t>
      </w:r>
      <w:r w:rsidR="00C97C93">
        <w:rPr>
          <w:rFonts w:ascii="Times New Roman" w:hAnsi="Times New Roman" w:cs="Times New Roman"/>
        </w:rPr>
        <w:t xml:space="preserve">legal </w:t>
      </w:r>
      <w:r w:rsidR="004325F4">
        <w:rPr>
          <w:rFonts w:ascii="Times New Roman" w:hAnsi="Times New Roman" w:cs="Times New Roman"/>
        </w:rPr>
        <w:t xml:space="preserve">briefs and opinions, an estimated 57 courts will provide data </w:t>
      </w:r>
      <w:r w:rsidR="00FA2BD5">
        <w:rPr>
          <w:rFonts w:ascii="Times New Roman" w:hAnsi="Times New Roman" w:cs="Times New Roman"/>
        </w:rPr>
        <w:t xml:space="preserve">extracts </w:t>
      </w:r>
      <w:r w:rsidR="004325F4">
        <w:rPr>
          <w:rFonts w:ascii="Times New Roman" w:hAnsi="Times New Roman" w:cs="Times New Roman"/>
        </w:rPr>
        <w:t>of docketing information and it is estimated that each of these courts will require 3 hours to provide the necessary docketing information.</w:t>
      </w:r>
      <w:r w:rsidR="004A78D6">
        <w:rPr>
          <w:rStyle w:val="FootnoteReference"/>
          <w:rFonts w:ascii="Times New Roman" w:hAnsi="Times New Roman" w:cs="Times New Roman"/>
        </w:rPr>
        <w:footnoteReference w:id="16"/>
      </w:r>
    </w:p>
    <w:p w:rsidR="004A78D6" w:rsidRDefault="004A78D6" w:rsidP="004325F4">
      <w:pPr>
        <w:pStyle w:val="Default"/>
        <w:rPr>
          <w:rFonts w:ascii="Times New Roman" w:hAnsi="Times New Roman" w:cs="Times New Roman"/>
        </w:rPr>
      </w:pPr>
    </w:p>
    <w:p w:rsidR="00A06C98" w:rsidRDefault="004A78D6" w:rsidP="004325F4">
      <w:pPr>
        <w:pStyle w:val="Default"/>
        <w:rPr>
          <w:rFonts w:ascii="Times New Roman" w:hAnsi="Times New Roman" w:cs="Times New Roman"/>
        </w:rPr>
      </w:pPr>
      <w:r>
        <w:rPr>
          <w:rFonts w:ascii="Times New Roman" w:hAnsi="Times New Roman" w:cs="Times New Roman"/>
        </w:rPr>
        <w:t xml:space="preserve">Therefore, it is estimated that a total of 795 hours will be </w:t>
      </w:r>
      <w:r w:rsidR="00D401E3">
        <w:rPr>
          <w:rFonts w:ascii="Times New Roman" w:hAnsi="Times New Roman" w:cs="Times New Roman"/>
        </w:rPr>
        <w:t>needed</w:t>
      </w:r>
      <w:r>
        <w:rPr>
          <w:rFonts w:ascii="Times New Roman" w:hAnsi="Times New Roman" w:cs="Times New Roman"/>
        </w:rPr>
        <w:t xml:space="preserve"> for the 107 appellate courts with </w:t>
      </w:r>
      <w:r w:rsidR="00D401E3">
        <w:rPr>
          <w:rFonts w:ascii="Times New Roman" w:hAnsi="Times New Roman" w:cs="Times New Roman"/>
        </w:rPr>
        <w:t xml:space="preserve">limited internet accessibility to provide the documentation in the form of mailed </w:t>
      </w:r>
      <w:r w:rsidR="00E0696D">
        <w:rPr>
          <w:rFonts w:ascii="Times New Roman" w:hAnsi="Times New Roman" w:cs="Times New Roman"/>
        </w:rPr>
        <w:t xml:space="preserve">legal </w:t>
      </w:r>
      <w:r w:rsidR="00D401E3">
        <w:rPr>
          <w:rFonts w:ascii="Times New Roman" w:hAnsi="Times New Roman" w:cs="Times New Roman"/>
        </w:rPr>
        <w:t xml:space="preserve">briefs/opinions or docket </w:t>
      </w:r>
      <w:r w:rsidR="00177823">
        <w:rPr>
          <w:rFonts w:ascii="Times New Roman" w:hAnsi="Times New Roman" w:cs="Times New Roman"/>
        </w:rPr>
        <w:t>extract</w:t>
      </w:r>
      <w:r w:rsidR="00D401E3">
        <w:rPr>
          <w:rFonts w:ascii="Times New Roman" w:hAnsi="Times New Roman" w:cs="Times New Roman"/>
        </w:rPr>
        <w:t xml:space="preserve">s to complete </w:t>
      </w:r>
      <w:r w:rsidR="00347E63">
        <w:rPr>
          <w:rFonts w:ascii="Times New Roman" w:hAnsi="Times New Roman" w:cs="Times New Roman"/>
        </w:rPr>
        <w:t xml:space="preserve">the SSCCA </w:t>
      </w:r>
      <w:r w:rsidR="00D401E3">
        <w:rPr>
          <w:rFonts w:ascii="Times New Roman" w:hAnsi="Times New Roman" w:cs="Times New Roman"/>
        </w:rPr>
        <w:t xml:space="preserve">data collection. The 795 number is calculated by first computing the total burden hours appellate courts need </w:t>
      </w:r>
      <w:r>
        <w:rPr>
          <w:rFonts w:ascii="Times New Roman" w:hAnsi="Times New Roman" w:cs="Times New Roman"/>
        </w:rPr>
        <w:t xml:space="preserve">to provide copies of submitted </w:t>
      </w:r>
      <w:r w:rsidR="00C97C93">
        <w:rPr>
          <w:rFonts w:ascii="Times New Roman" w:hAnsi="Times New Roman" w:cs="Times New Roman"/>
        </w:rPr>
        <w:t xml:space="preserve">legal </w:t>
      </w:r>
      <w:r>
        <w:rPr>
          <w:rFonts w:ascii="Times New Roman" w:hAnsi="Times New Roman" w:cs="Times New Roman"/>
        </w:rPr>
        <w:t xml:space="preserve">briefs (90 courts * 6 hours per court to provide copies of submitted </w:t>
      </w:r>
      <w:r w:rsidR="00C97C93">
        <w:rPr>
          <w:rFonts w:ascii="Times New Roman" w:hAnsi="Times New Roman" w:cs="Times New Roman"/>
        </w:rPr>
        <w:t xml:space="preserve">legal </w:t>
      </w:r>
      <w:r>
        <w:rPr>
          <w:rFonts w:ascii="Times New Roman" w:hAnsi="Times New Roman" w:cs="Times New Roman"/>
        </w:rPr>
        <w:t xml:space="preserve">briefs = 540 hours); </w:t>
      </w:r>
      <w:r w:rsidR="00D401E3">
        <w:rPr>
          <w:rFonts w:ascii="Times New Roman" w:hAnsi="Times New Roman" w:cs="Times New Roman"/>
        </w:rPr>
        <w:t xml:space="preserve">and secondly, by computing </w:t>
      </w:r>
      <w:r>
        <w:rPr>
          <w:rFonts w:ascii="Times New Roman" w:hAnsi="Times New Roman" w:cs="Times New Roman"/>
        </w:rPr>
        <w:t xml:space="preserve">the total burden hours for providing data </w:t>
      </w:r>
      <w:r w:rsidR="00177823">
        <w:rPr>
          <w:rFonts w:ascii="Times New Roman" w:hAnsi="Times New Roman" w:cs="Times New Roman"/>
        </w:rPr>
        <w:t>extract</w:t>
      </w:r>
      <w:r>
        <w:rPr>
          <w:rFonts w:ascii="Times New Roman" w:hAnsi="Times New Roman" w:cs="Times New Roman"/>
        </w:rPr>
        <w:t xml:space="preserve">s of docketing information (57 courts * 3 hours per court to provide </w:t>
      </w:r>
      <w:r w:rsidR="00177823">
        <w:rPr>
          <w:rFonts w:ascii="Times New Roman" w:hAnsi="Times New Roman" w:cs="Times New Roman"/>
        </w:rPr>
        <w:t>extract</w:t>
      </w:r>
      <w:r>
        <w:rPr>
          <w:rFonts w:ascii="Times New Roman" w:hAnsi="Times New Roman" w:cs="Times New Roman"/>
        </w:rPr>
        <w:t xml:space="preserve">s of docketing information = 171 hours); and </w:t>
      </w:r>
      <w:r w:rsidR="00D401E3">
        <w:rPr>
          <w:rFonts w:ascii="Times New Roman" w:hAnsi="Times New Roman" w:cs="Times New Roman"/>
        </w:rPr>
        <w:t>thirdly</w:t>
      </w:r>
      <w:r w:rsidR="00347E63">
        <w:rPr>
          <w:rFonts w:ascii="Times New Roman" w:hAnsi="Times New Roman" w:cs="Times New Roman"/>
        </w:rPr>
        <w:t>,</w:t>
      </w:r>
      <w:r w:rsidR="00D401E3">
        <w:rPr>
          <w:rFonts w:ascii="Times New Roman" w:hAnsi="Times New Roman" w:cs="Times New Roman"/>
        </w:rPr>
        <w:t xml:space="preserve"> by computing </w:t>
      </w:r>
      <w:r>
        <w:rPr>
          <w:rFonts w:ascii="Times New Roman" w:hAnsi="Times New Roman" w:cs="Times New Roman"/>
        </w:rPr>
        <w:t xml:space="preserve">the total burden hours </w:t>
      </w:r>
      <w:r w:rsidR="00D401E3">
        <w:rPr>
          <w:rFonts w:ascii="Times New Roman" w:hAnsi="Times New Roman" w:cs="Times New Roman"/>
        </w:rPr>
        <w:t xml:space="preserve">for providing copies of court opinions (14 courts * 6 hours per court </w:t>
      </w:r>
      <w:r w:rsidR="00347E63">
        <w:rPr>
          <w:rFonts w:ascii="Times New Roman" w:hAnsi="Times New Roman" w:cs="Times New Roman"/>
        </w:rPr>
        <w:t xml:space="preserve">to </w:t>
      </w:r>
      <w:r w:rsidR="00D401E3">
        <w:rPr>
          <w:rFonts w:ascii="Times New Roman" w:hAnsi="Times New Roman" w:cs="Times New Roman"/>
        </w:rPr>
        <w:t xml:space="preserve">provide copies of </w:t>
      </w:r>
      <w:r w:rsidR="00C97C93">
        <w:rPr>
          <w:rFonts w:ascii="Times New Roman" w:hAnsi="Times New Roman" w:cs="Times New Roman"/>
        </w:rPr>
        <w:t>court opinions</w:t>
      </w:r>
      <w:r w:rsidR="00D401E3">
        <w:rPr>
          <w:rFonts w:ascii="Times New Roman" w:hAnsi="Times New Roman" w:cs="Times New Roman"/>
        </w:rPr>
        <w:t xml:space="preserve"> </w:t>
      </w:r>
      <w:r w:rsidR="00972D9E">
        <w:rPr>
          <w:rFonts w:ascii="Times New Roman" w:hAnsi="Times New Roman" w:cs="Times New Roman"/>
        </w:rPr>
        <w:t xml:space="preserve">= 84 hours). Hence, 540 hours for providing copies of submitted </w:t>
      </w:r>
      <w:r w:rsidR="00C97C93">
        <w:rPr>
          <w:rFonts w:ascii="Times New Roman" w:hAnsi="Times New Roman" w:cs="Times New Roman"/>
        </w:rPr>
        <w:t xml:space="preserve">legal </w:t>
      </w:r>
      <w:r w:rsidR="00972D9E">
        <w:rPr>
          <w:rFonts w:ascii="Times New Roman" w:hAnsi="Times New Roman" w:cs="Times New Roman"/>
        </w:rPr>
        <w:t xml:space="preserve">briefs + 171 </w:t>
      </w:r>
      <w:r w:rsidR="00E0696D">
        <w:rPr>
          <w:rFonts w:ascii="Times New Roman" w:hAnsi="Times New Roman" w:cs="Times New Roman"/>
        </w:rPr>
        <w:t xml:space="preserve">hours </w:t>
      </w:r>
      <w:r w:rsidR="00972D9E">
        <w:rPr>
          <w:rFonts w:ascii="Times New Roman" w:hAnsi="Times New Roman" w:cs="Times New Roman"/>
        </w:rPr>
        <w:t xml:space="preserve">for providing data </w:t>
      </w:r>
      <w:r w:rsidR="00177823">
        <w:rPr>
          <w:rFonts w:ascii="Times New Roman" w:hAnsi="Times New Roman" w:cs="Times New Roman"/>
        </w:rPr>
        <w:t>extract</w:t>
      </w:r>
      <w:r w:rsidR="00972D9E">
        <w:rPr>
          <w:rFonts w:ascii="Times New Roman" w:hAnsi="Times New Roman" w:cs="Times New Roman"/>
        </w:rPr>
        <w:t xml:space="preserve">s of docketing information + 84 hours for providing copies of court opinions = 795 hours. </w:t>
      </w:r>
    </w:p>
    <w:p w:rsidR="00A06C98" w:rsidRDefault="00A06C98" w:rsidP="004325F4">
      <w:pPr>
        <w:pStyle w:val="Default"/>
        <w:rPr>
          <w:rFonts w:ascii="Times New Roman" w:hAnsi="Times New Roman" w:cs="Times New Roman"/>
        </w:rPr>
      </w:pPr>
    </w:p>
    <w:p w:rsidR="004325F4" w:rsidRDefault="00972D9E" w:rsidP="004325F4">
      <w:pPr>
        <w:pStyle w:val="Default"/>
        <w:rPr>
          <w:rFonts w:ascii="Times New Roman" w:hAnsi="Times New Roman" w:cs="Times New Roman"/>
        </w:rPr>
      </w:pPr>
      <w:r>
        <w:rPr>
          <w:rFonts w:ascii="Times New Roman" w:hAnsi="Times New Roman" w:cs="Times New Roman"/>
        </w:rPr>
        <w:t xml:space="preserve">When the burden hours for sample list generation is added, the total burden hours for the SSCCA project </w:t>
      </w:r>
      <w:r w:rsidR="00347E63">
        <w:rPr>
          <w:rFonts w:ascii="Times New Roman" w:hAnsi="Times New Roman" w:cs="Times New Roman"/>
        </w:rPr>
        <w:t>sums</w:t>
      </w:r>
      <w:r>
        <w:rPr>
          <w:rFonts w:ascii="Times New Roman" w:hAnsi="Times New Roman" w:cs="Times New Roman"/>
        </w:rPr>
        <w:t xml:space="preserve"> </w:t>
      </w:r>
      <w:r w:rsidR="00C97C93">
        <w:rPr>
          <w:rFonts w:ascii="Times New Roman" w:hAnsi="Times New Roman" w:cs="Times New Roman"/>
        </w:rPr>
        <w:t xml:space="preserve">to </w:t>
      </w:r>
      <w:r w:rsidR="00A06C98">
        <w:rPr>
          <w:rFonts w:ascii="Times New Roman" w:hAnsi="Times New Roman" w:cs="Times New Roman"/>
        </w:rPr>
        <w:t>1,24</w:t>
      </w:r>
      <w:r>
        <w:rPr>
          <w:rFonts w:ascii="Times New Roman" w:hAnsi="Times New Roman" w:cs="Times New Roman"/>
        </w:rPr>
        <w:t>4 hours (</w:t>
      </w:r>
      <w:r w:rsidR="00A06C98">
        <w:rPr>
          <w:rFonts w:ascii="Times New Roman" w:hAnsi="Times New Roman" w:cs="Times New Roman"/>
        </w:rPr>
        <w:t xml:space="preserve">20 hours for onsite data collection + </w:t>
      </w:r>
      <w:r>
        <w:rPr>
          <w:rFonts w:ascii="Times New Roman" w:hAnsi="Times New Roman" w:cs="Times New Roman"/>
        </w:rPr>
        <w:t>795 hours to provide necessary case documentation + 429 hours f</w:t>
      </w:r>
      <w:r w:rsidR="00A06C98">
        <w:rPr>
          <w:rFonts w:ascii="Times New Roman" w:hAnsi="Times New Roman" w:cs="Times New Roman"/>
        </w:rPr>
        <w:t>or sample list generation = 1,24</w:t>
      </w:r>
      <w:r>
        <w:rPr>
          <w:rFonts w:ascii="Times New Roman" w:hAnsi="Times New Roman" w:cs="Times New Roman"/>
        </w:rPr>
        <w:t xml:space="preserve">4 hours). </w:t>
      </w:r>
    </w:p>
    <w:p w:rsidR="00CF5DB8" w:rsidRDefault="00CF5DB8" w:rsidP="004325F4">
      <w:pPr>
        <w:pStyle w:val="Default"/>
        <w:rPr>
          <w:rFonts w:ascii="Times New Roman" w:hAnsi="Times New Roman" w:cs="Times New Roman"/>
        </w:rPr>
      </w:pPr>
    </w:p>
    <w:p w:rsidR="00347E63" w:rsidRDefault="00CF5DB8" w:rsidP="004325F4">
      <w:pPr>
        <w:pStyle w:val="Default"/>
        <w:rPr>
          <w:rFonts w:ascii="Times New Roman" w:hAnsi="Times New Roman" w:cs="Times New Roman"/>
        </w:rPr>
      </w:pPr>
      <w:r>
        <w:rPr>
          <w:rFonts w:ascii="Times New Roman" w:hAnsi="Times New Roman" w:cs="Times New Roman"/>
        </w:rPr>
        <w:t xml:space="preserve">The burden hours for the SSCCA 2010 project are </w:t>
      </w:r>
      <w:r w:rsidR="00A06C98">
        <w:rPr>
          <w:rFonts w:ascii="Times New Roman" w:hAnsi="Times New Roman" w:cs="Times New Roman"/>
        </w:rPr>
        <w:t xml:space="preserve">further </w:t>
      </w:r>
      <w:r>
        <w:rPr>
          <w:rFonts w:ascii="Times New Roman" w:hAnsi="Times New Roman" w:cs="Times New Roman"/>
        </w:rPr>
        <w:t xml:space="preserve">summarized </w:t>
      </w:r>
      <w:r w:rsidR="00C97C93">
        <w:rPr>
          <w:rFonts w:ascii="Times New Roman" w:hAnsi="Times New Roman" w:cs="Times New Roman"/>
        </w:rPr>
        <w:t>in the following table</w:t>
      </w:r>
      <w:r>
        <w:rPr>
          <w:rFonts w:ascii="Times New Roman" w:hAnsi="Times New Roman" w:cs="Times New Roman"/>
        </w:rPr>
        <w:t>.</w:t>
      </w:r>
    </w:p>
    <w:p w:rsidR="00CF5DB8" w:rsidRDefault="00CF5DB8" w:rsidP="004325F4">
      <w:pPr>
        <w:pStyle w:val="Default"/>
        <w:rPr>
          <w:rFonts w:ascii="Times New Roman" w:hAnsi="Times New Roman" w:cs="Times New Roman"/>
        </w:rPr>
      </w:pPr>
    </w:p>
    <w:p w:rsidR="00CF5DB8" w:rsidRDefault="001519F9" w:rsidP="004325F4">
      <w:pPr>
        <w:pStyle w:val="Default"/>
        <w:rPr>
          <w:rFonts w:ascii="Times New Roman" w:hAnsi="Times New Roman" w:cs="Times New Roman"/>
        </w:rPr>
      </w:pPr>
      <w:r>
        <w:rPr>
          <w:rFonts w:ascii="Times New Roman" w:hAnsi="Times New Roman" w:cs="Times New Roman"/>
          <w:noProof/>
        </w:rPr>
        <w:lastRenderedPageBreak/>
        <w:drawing>
          <wp:inline distT="0" distB="0" distL="0" distR="0">
            <wp:extent cx="5069785" cy="4961614"/>
            <wp:effectExtent l="19050" t="0" r="0" b="0"/>
            <wp:docPr id="3" name="Picture 2" descr="BurdenHoursRevised.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denHoursRevised.wmf"/>
                    <pic:cNvPicPr/>
                  </pic:nvPicPr>
                  <pic:blipFill>
                    <a:blip r:embed="rId8" cstate="print"/>
                    <a:srcRect l="17202" t="4813" r="16195" b="7130"/>
                    <a:stretch>
                      <a:fillRect/>
                    </a:stretch>
                  </pic:blipFill>
                  <pic:spPr>
                    <a:xfrm>
                      <a:off x="0" y="0"/>
                      <a:ext cx="5069785" cy="4961614"/>
                    </a:xfrm>
                    <a:prstGeom prst="rect">
                      <a:avLst/>
                    </a:prstGeom>
                  </pic:spPr>
                </pic:pic>
              </a:graphicData>
            </a:graphic>
          </wp:inline>
        </w:drawing>
      </w:r>
    </w:p>
    <w:p w:rsidR="00965958" w:rsidRPr="00965958" w:rsidRDefault="00965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FDC" w:rsidRPr="00D35DA0" w:rsidRDefault="00D34FDC" w:rsidP="00D35DA0">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D35DA0">
        <w:rPr>
          <w:u w:val="single"/>
        </w:rPr>
        <w:t>Estimate of Respondent’s Cost Burden</w:t>
      </w:r>
    </w:p>
    <w:p w:rsidR="00D35DA0" w:rsidRDefault="00D35DA0" w:rsidP="00D35DA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A63828" w:rsidRDefault="00727E31" w:rsidP="00727E31">
      <w:r w:rsidRPr="008E6E31">
        <w:t>We do not expect respondents to inc</w:t>
      </w:r>
      <w:r>
        <w:t xml:space="preserve">ur any costs other than </w:t>
      </w:r>
      <w:r w:rsidRPr="008E6E31">
        <w:t>that</w:t>
      </w:r>
      <w:r>
        <w:t xml:space="preserve"> of their time to respond.  </w:t>
      </w:r>
      <w:r w:rsidR="001073F5">
        <w:t xml:space="preserve">All costs associated with mailing copies of the legal briefs and opinions will be borne by NCSC. </w:t>
      </w:r>
      <w:r>
        <w:t xml:space="preserve">The </w:t>
      </w:r>
      <w:r w:rsidRPr="008E6E31">
        <w:t>information requested</w:t>
      </w:r>
      <w:r>
        <w:t xml:space="preserve"> </w:t>
      </w:r>
      <w:r w:rsidRPr="008E6E31">
        <w:t>is of the type and scope normally carried in their records</w:t>
      </w:r>
      <w:r>
        <w:t xml:space="preserve"> and no special </w:t>
      </w:r>
      <w:r w:rsidRPr="008E6E31">
        <w:t>hardware or accounting software or system is necessary to provide information f</w:t>
      </w:r>
      <w:r>
        <w:t xml:space="preserve">or this data collection.  </w:t>
      </w:r>
      <w:r w:rsidRPr="008E6E31">
        <w:t xml:space="preserve">Respondents are not expected to incur any capital, start-up, </w:t>
      </w:r>
      <w:r>
        <w:t xml:space="preserve">or system maintenance </w:t>
      </w:r>
      <w:r w:rsidRPr="008E6E31">
        <w:t>costs in responding.  Further, purchasing of outside accounting or</w:t>
      </w:r>
      <w:r>
        <w:t xml:space="preserve"> information collection </w:t>
      </w:r>
      <w:r w:rsidRPr="008E6E31">
        <w:t xml:space="preserve">services, if performed by the respondent, is part of </w:t>
      </w:r>
      <w:r>
        <w:t xml:space="preserve">the </w:t>
      </w:r>
      <w:r w:rsidRPr="008E6E31">
        <w:t>usual and c</w:t>
      </w:r>
      <w:r>
        <w:t xml:space="preserve">ustomary business practices and </w:t>
      </w:r>
      <w:r w:rsidRPr="008E6E31">
        <w:t>not specifically required for this information.</w:t>
      </w:r>
    </w:p>
    <w:p w:rsidR="00D34FDC" w:rsidRDefault="00D34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FDC" w:rsidRPr="00D35DA0" w:rsidRDefault="00D34FDC" w:rsidP="00D35DA0">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D35DA0">
        <w:rPr>
          <w:u w:val="single"/>
        </w:rPr>
        <w:t>Costs to Federal Government</w:t>
      </w:r>
    </w:p>
    <w:p w:rsidR="00D35DA0" w:rsidRDefault="00D35DA0" w:rsidP="00D35DA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5467F8" w:rsidRDefault="00D34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total expected cost to the Federal Government for this data collection is </w:t>
      </w:r>
      <w:r w:rsidR="00725B26" w:rsidRPr="00725B26">
        <w:rPr>
          <w:bCs/>
          <w:color w:val="000000"/>
        </w:rPr>
        <w:t>$</w:t>
      </w:r>
      <w:r w:rsidR="006B4056">
        <w:rPr>
          <w:bCs/>
          <w:color w:val="000000"/>
        </w:rPr>
        <w:t>1,362,728</w:t>
      </w:r>
      <w:r w:rsidRPr="00725B26">
        <w:t xml:space="preserve"> </w:t>
      </w:r>
      <w:r>
        <w:t>all to be borne by the B</w:t>
      </w:r>
      <w:r w:rsidR="00727E31">
        <w:t>JS</w:t>
      </w:r>
      <w:r>
        <w:t xml:space="preserve">.  This work consists of planning, developing the questionnaire, preparation of materials, collecting the data, evaluating the results, and generating the </w:t>
      </w:r>
      <w:r w:rsidR="00727E31">
        <w:t xml:space="preserve">PDF and web based </w:t>
      </w:r>
      <w:r w:rsidR="00727E31">
        <w:lastRenderedPageBreak/>
        <w:t xml:space="preserve">query </w:t>
      </w:r>
      <w:r>
        <w:t>report</w:t>
      </w:r>
      <w:r w:rsidR="00727E31">
        <w:t xml:space="preserve">s. </w:t>
      </w:r>
      <w:r>
        <w:t xml:space="preserve">A BJS GS-Level </w:t>
      </w:r>
      <w:r w:rsidR="00727E31">
        <w:t>14</w:t>
      </w:r>
      <w:r>
        <w:t xml:space="preserve"> statistician will be responsible for overseeing the</w:t>
      </w:r>
      <w:r w:rsidR="00727E31">
        <w:t xml:space="preserve"> NCSC’s </w:t>
      </w:r>
      <w:r>
        <w:t>work on this project.  The budge</w:t>
      </w:r>
      <w:r w:rsidR="00E1797A">
        <w:t>t</w:t>
      </w:r>
      <w:r>
        <w:t xml:space="preserve"> for this project is shown below.</w:t>
      </w:r>
    </w:p>
    <w:tbl>
      <w:tblPr>
        <w:tblW w:w="9045" w:type="dxa"/>
        <w:tblInd w:w="93" w:type="dxa"/>
        <w:tblLook w:val="04A0"/>
      </w:tblPr>
      <w:tblGrid>
        <w:gridCol w:w="1121"/>
        <w:gridCol w:w="6052"/>
        <w:gridCol w:w="276"/>
        <w:gridCol w:w="1379"/>
        <w:gridCol w:w="222"/>
      </w:tblGrid>
      <w:tr w:rsidR="009B7B71" w:rsidRPr="00725B26" w:rsidTr="00725B26">
        <w:trPr>
          <w:trHeight w:val="375"/>
        </w:trPr>
        <w:tc>
          <w:tcPr>
            <w:tcW w:w="9045" w:type="dxa"/>
            <w:gridSpan w:val="5"/>
            <w:tcBorders>
              <w:top w:val="nil"/>
              <w:left w:val="nil"/>
              <w:bottom w:val="nil"/>
              <w:right w:val="nil"/>
            </w:tcBorders>
            <w:shd w:val="clear" w:color="auto" w:fill="auto"/>
            <w:noWrap/>
            <w:vAlign w:val="bottom"/>
            <w:hideMark/>
          </w:tcPr>
          <w:p w:rsidR="009B7B71" w:rsidRPr="00725B26" w:rsidRDefault="009B7B71" w:rsidP="004E1F14">
            <w:pPr>
              <w:rPr>
                <w:b/>
                <w:bCs/>
                <w:color w:val="000000"/>
              </w:rPr>
            </w:pPr>
            <w:r w:rsidRPr="00725B26">
              <w:rPr>
                <w:b/>
                <w:bCs/>
                <w:color w:val="000000"/>
              </w:rPr>
              <w:t xml:space="preserve">Estimated costs for the </w:t>
            </w:r>
            <w:r w:rsidR="004E1F14">
              <w:rPr>
                <w:b/>
                <w:bCs/>
                <w:color w:val="000000"/>
              </w:rPr>
              <w:t>Survey of State Court Criminal Appeals (SSCCA) project</w:t>
            </w:r>
          </w:p>
        </w:tc>
      </w:tr>
      <w:tr w:rsidR="009B7B71" w:rsidRPr="00725B26" w:rsidTr="00725B26">
        <w:trPr>
          <w:trHeight w:val="315"/>
        </w:trPr>
        <w:tc>
          <w:tcPr>
            <w:tcW w:w="1121"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c>
          <w:tcPr>
            <w:tcW w:w="6052"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c>
          <w:tcPr>
            <w:tcW w:w="271"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c>
          <w:tcPr>
            <w:tcW w:w="1379"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c>
          <w:tcPr>
            <w:tcW w:w="222"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r>
      <w:tr w:rsidR="009B7B71" w:rsidRPr="00725B26" w:rsidTr="00725B26">
        <w:trPr>
          <w:trHeight w:val="315"/>
        </w:trPr>
        <w:tc>
          <w:tcPr>
            <w:tcW w:w="112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9B7B71" w:rsidRPr="00725B26" w:rsidRDefault="009B7B71" w:rsidP="00725B26">
            <w:pPr>
              <w:rPr>
                <w:b/>
                <w:bCs/>
                <w:color w:val="000000"/>
              </w:rPr>
            </w:pPr>
            <w:r w:rsidRPr="00725B26">
              <w:rPr>
                <w:b/>
                <w:bCs/>
                <w:color w:val="000000"/>
              </w:rPr>
              <w:t>BJS costs</w:t>
            </w:r>
          </w:p>
        </w:tc>
        <w:tc>
          <w:tcPr>
            <w:tcW w:w="6052" w:type="dxa"/>
            <w:tcBorders>
              <w:top w:val="single" w:sz="4" w:space="0" w:color="auto"/>
              <w:left w:val="nil"/>
              <w:bottom w:val="single" w:sz="4" w:space="0" w:color="auto"/>
              <w:right w:val="single" w:sz="4" w:space="0" w:color="auto"/>
            </w:tcBorders>
            <w:shd w:val="clear" w:color="000000" w:fill="FFFF00"/>
            <w:noWrap/>
            <w:vAlign w:val="bottom"/>
            <w:hideMark/>
          </w:tcPr>
          <w:p w:rsidR="009B7B71" w:rsidRPr="00725B26" w:rsidRDefault="009B7B71" w:rsidP="00725B26">
            <w:pPr>
              <w:rPr>
                <w:color w:val="000000"/>
              </w:rPr>
            </w:pPr>
            <w:r w:rsidRPr="00725B26">
              <w:rPr>
                <w:color w:val="000000"/>
              </w:rPr>
              <w:t> </w:t>
            </w:r>
          </w:p>
        </w:tc>
        <w:tc>
          <w:tcPr>
            <w:tcW w:w="271" w:type="dxa"/>
            <w:tcBorders>
              <w:top w:val="single" w:sz="4" w:space="0" w:color="auto"/>
              <w:left w:val="nil"/>
              <w:bottom w:val="single" w:sz="4" w:space="0" w:color="auto"/>
              <w:right w:val="single" w:sz="4" w:space="0" w:color="auto"/>
            </w:tcBorders>
            <w:shd w:val="clear" w:color="000000" w:fill="FFFF00"/>
            <w:noWrap/>
            <w:vAlign w:val="bottom"/>
            <w:hideMark/>
          </w:tcPr>
          <w:p w:rsidR="009B7B71" w:rsidRPr="00725B26" w:rsidRDefault="009B7B71" w:rsidP="00725B26">
            <w:pPr>
              <w:rPr>
                <w:color w:val="000000"/>
              </w:rPr>
            </w:pPr>
            <w:r w:rsidRPr="00725B26">
              <w:rPr>
                <w:color w:val="000000"/>
              </w:rPr>
              <w:t> </w:t>
            </w:r>
          </w:p>
        </w:tc>
        <w:tc>
          <w:tcPr>
            <w:tcW w:w="1379" w:type="dxa"/>
            <w:tcBorders>
              <w:top w:val="single" w:sz="4" w:space="0" w:color="auto"/>
              <w:left w:val="nil"/>
              <w:bottom w:val="single" w:sz="4" w:space="0" w:color="auto"/>
              <w:right w:val="single" w:sz="4" w:space="0" w:color="auto"/>
            </w:tcBorders>
            <w:shd w:val="clear" w:color="000000" w:fill="FFFF00"/>
            <w:noWrap/>
            <w:vAlign w:val="bottom"/>
            <w:hideMark/>
          </w:tcPr>
          <w:p w:rsidR="009B7B71" w:rsidRPr="00725B26" w:rsidRDefault="009B7B71" w:rsidP="00725B26">
            <w:pPr>
              <w:rPr>
                <w:color w:val="000000"/>
              </w:rPr>
            </w:pPr>
            <w:r w:rsidRPr="00725B26">
              <w:rPr>
                <w:color w:val="000000"/>
              </w:rPr>
              <w:t> </w:t>
            </w:r>
          </w:p>
        </w:tc>
        <w:tc>
          <w:tcPr>
            <w:tcW w:w="222"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r>
      <w:tr w:rsidR="009B7B71"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 </w:t>
            </w:r>
          </w:p>
        </w:tc>
        <w:tc>
          <w:tcPr>
            <w:tcW w:w="6052"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rPr>
                <w:b/>
                <w:bCs/>
                <w:color w:val="000000"/>
                <w:u w:val="single"/>
              </w:rPr>
            </w:pPr>
            <w:r w:rsidRPr="00725B26">
              <w:rPr>
                <w:b/>
                <w:bCs/>
                <w:color w:val="000000"/>
                <w:u w:val="single"/>
              </w:rPr>
              <w:t>Staff salaries</w:t>
            </w:r>
          </w:p>
        </w:tc>
        <w:tc>
          <w:tcPr>
            <w:tcW w:w="271" w:type="dxa"/>
            <w:tcBorders>
              <w:top w:val="nil"/>
              <w:left w:val="nil"/>
              <w:bottom w:val="single" w:sz="4" w:space="0" w:color="auto"/>
              <w:right w:val="single" w:sz="4" w:space="0" w:color="auto"/>
            </w:tcBorders>
            <w:shd w:val="clear" w:color="000000" w:fill="000000"/>
            <w:noWrap/>
            <w:vAlign w:val="bottom"/>
            <w:hideMark/>
          </w:tcPr>
          <w:p w:rsidR="009B7B71" w:rsidRPr="00725B26" w:rsidRDefault="009B7B71" w:rsidP="00725B26">
            <w:pPr>
              <w:rPr>
                <w:color w:val="000000"/>
              </w:rPr>
            </w:pPr>
            <w:r w:rsidRPr="00725B26">
              <w:rPr>
                <w:color w:val="000000"/>
              </w:rPr>
              <w:t> </w:t>
            </w:r>
          </w:p>
        </w:tc>
        <w:tc>
          <w:tcPr>
            <w:tcW w:w="1379"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 </w:t>
            </w:r>
          </w:p>
        </w:tc>
        <w:tc>
          <w:tcPr>
            <w:tcW w:w="222"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r>
      <w:tr w:rsidR="009B7B71"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 </w:t>
            </w:r>
          </w:p>
        </w:tc>
        <w:tc>
          <w:tcPr>
            <w:tcW w:w="6052"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GS-12 Statistician (25%)</w:t>
            </w:r>
          </w:p>
        </w:tc>
        <w:tc>
          <w:tcPr>
            <w:tcW w:w="271" w:type="dxa"/>
            <w:tcBorders>
              <w:top w:val="nil"/>
              <w:left w:val="nil"/>
              <w:bottom w:val="single" w:sz="4" w:space="0" w:color="auto"/>
              <w:right w:val="single" w:sz="4" w:space="0" w:color="auto"/>
            </w:tcBorders>
            <w:shd w:val="clear" w:color="000000" w:fill="000000"/>
            <w:noWrap/>
            <w:vAlign w:val="bottom"/>
            <w:hideMark/>
          </w:tcPr>
          <w:p w:rsidR="009B7B71" w:rsidRPr="00725B26" w:rsidRDefault="009B7B71" w:rsidP="00725B26">
            <w:pPr>
              <w:rPr>
                <w:color w:val="000000"/>
              </w:rPr>
            </w:pPr>
            <w:r w:rsidRPr="00725B26">
              <w:rPr>
                <w:color w:val="000000"/>
              </w:rPr>
              <w:t> </w:t>
            </w:r>
          </w:p>
        </w:tc>
        <w:tc>
          <w:tcPr>
            <w:tcW w:w="1379"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jc w:val="right"/>
              <w:rPr>
                <w:color w:val="000000"/>
              </w:rPr>
            </w:pPr>
            <w:r w:rsidRPr="00725B26">
              <w:rPr>
                <w:color w:val="000000"/>
              </w:rPr>
              <w:t xml:space="preserve">$17,000 </w:t>
            </w:r>
          </w:p>
        </w:tc>
        <w:tc>
          <w:tcPr>
            <w:tcW w:w="222"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r>
      <w:tr w:rsidR="009B7B71"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 </w:t>
            </w:r>
          </w:p>
        </w:tc>
        <w:tc>
          <w:tcPr>
            <w:tcW w:w="6052"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GS-14 Senior Statistician (33%)</w:t>
            </w:r>
          </w:p>
        </w:tc>
        <w:tc>
          <w:tcPr>
            <w:tcW w:w="271" w:type="dxa"/>
            <w:tcBorders>
              <w:top w:val="nil"/>
              <w:left w:val="nil"/>
              <w:bottom w:val="single" w:sz="4" w:space="0" w:color="auto"/>
              <w:right w:val="single" w:sz="4" w:space="0" w:color="auto"/>
            </w:tcBorders>
            <w:shd w:val="clear" w:color="000000" w:fill="000000"/>
            <w:noWrap/>
            <w:vAlign w:val="bottom"/>
            <w:hideMark/>
          </w:tcPr>
          <w:p w:rsidR="009B7B71" w:rsidRPr="00725B26" w:rsidRDefault="009B7B71" w:rsidP="00725B26">
            <w:pPr>
              <w:rPr>
                <w:color w:val="000000"/>
              </w:rPr>
            </w:pPr>
            <w:r w:rsidRPr="00725B26">
              <w:rPr>
                <w:color w:val="000000"/>
              </w:rPr>
              <w:t> </w:t>
            </w:r>
          </w:p>
        </w:tc>
        <w:tc>
          <w:tcPr>
            <w:tcW w:w="1379"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jc w:val="right"/>
              <w:rPr>
                <w:color w:val="000000"/>
              </w:rPr>
            </w:pPr>
            <w:r w:rsidRPr="00725B26">
              <w:rPr>
                <w:color w:val="000000"/>
              </w:rPr>
              <w:t xml:space="preserve">$37,000 </w:t>
            </w:r>
          </w:p>
        </w:tc>
        <w:tc>
          <w:tcPr>
            <w:tcW w:w="222"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r>
      <w:tr w:rsidR="009B7B71"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 </w:t>
            </w:r>
          </w:p>
        </w:tc>
        <w:tc>
          <w:tcPr>
            <w:tcW w:w="6052"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GS-14 Supervisory Statistician (3%)</w:t>
            </w:r>
          </w:p>
        </w:tc>
        <w:tc>
          <w:tcPr>
            <w:tcW w:w="271" w:type="dxa"/>
            <w:tcBorders>
              <w:top w:val="nil"/>
              <w:left w:val="nil"/>
              <w:bottom w:val="single" w:sz="4" w:space="0" w:color="auto"/>
              <w:right w:val="single" w:sz="4" w:space="0" w:color="auto"/>
            </w:tcBorders>
            <w:shd w:val="clear" w:color="000000" w:fill="000000"/>
            <w:noWrap/>
            <w:vAlign w:val="bottom"/>
            <w:hideMark/>
          </w:tcPr>
          <w:p w:rsidR="009B7B71" w:rsidRPr="00725B26" w:rsidRDefault="009B7B71" w:rsidP="00725B26">
            <w:pPr>
              <w:rPr>
                <w:color w:val="000000"/>
              </w:rPr>
            </w:pPr>
            <w:r w:rsidRPr="00725B26">
              <w:rPr>
                <w:color w:val="000000"/>
              </w:rPr>
              <w:t> </w:t>
            </w:r>
          </w:p>
        </w:tc>
        <w:tc>
          <w:tcPr>
            <w:tcW w:w="1379"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jc w:val="right"/>
              <w:rPr>
                <w:color w:val="000000"/>
              </w:rPr>
            </w:pPr>
            <w:r w:rsidRPr="00725B26">
              <w:rPr>
                <w:color w:val="000000"/>
              </w:rPr>
              <w:t xml:space="preserve">$5,600 </w:t>
            </w:r>
          </w:p>
        </w:tc>
        <w:tc>
          <w:tcPr>
            <w:tcW w:w="222"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r>
      <w:tr w:rsidR="009B7B71"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 </w:t>
            </w:r>
          </w:p>
        </w:tc>
        <w:tc>
          <w:tcPr>
            <w:tcW w:w="6052"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GS-13 Editor (10%)</w:t>
            </w:r>
          </w:p>
        </w:tc>
        <w:tc>
          <w:tcPr>
            <w:tcW w:w="271" w:type="dxa"/>
            <w:tcBorders>
              <w:top w:val="nil"/>
              <w:left w:val="nil"/>
              <w:bottom w:val="single" w:sz="4" w:space="0" w:color="auto"/>
              <w:right w:val="single" w:sz="4" w:space="0" w:color="auto"/>
            </w:tcBorders>
            <w:shd w:val="clear" w:color="000000" w:fill="000000"/>
            <w:noWrap/>
            <w:vAlign w:val="bottom"/>
            <w:hideMark/>
          </w:tcPr>
          <w:p w:rsidR="009B7B71" w:rsidRPr="00725B26" w:rsidRDefault="009B7B71" w:rsidP="00725B26">
            <w:pPr>
              <w:rPr>
                <w:color w:val="000000"/>
              </w:rPr>
            </w:pPr>
            <w:r w:rsidRPr="00725B26">
              <w:rPr>
                <w:color w:val="000000"/>
              </w:rPr>
              <w:t> </w:t>
            </w:r>
          </w:p>
        </w:tc>
        <w:tc>
          <w:tcPr>
            <w:tcW w:w="1379"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jc w:val="right"/>
              <w:rPr>
                <w:color w:val="000000"/>
              </w:rPr>
            </w:pPr>
            <w:r w:rsidRPr="00725B26">
              <w:rPr>
                <w:color w:val="000000"/>
              </w:rPr>
              <w:t xml:space="preserve">$10,000 </w:t>
            </w:r>
          </w:p>
        </w:tc>
        <w:tc>
          <w:tcPr>
            <w:tcW w:w="222"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r>
      <w:tr w:rsidR="009B7B71"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 </w:t>
            </w:r>
          </w:p>
        </w:tc>
        <w:tc>
          <w:tcPr>
            <w:tcW w:w="6052"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Other Editorial Staff</w:t>
            </w:r>
          </w:p>
        </w:tc>
        <w:tc>
          <w:tcPr>
            <w:tcW w:w="271" w:type="dxa"/>
            <w:tcBorders>
              <w:top w:val="nil"/>
              <w:left w:val="nil"/>
              <w:bottom w:val="single" w:sz="4" w:space="0" w:color="auto"/>
              <w:right w:val="single" w:sz="4" w:space="0" w:color="auto"/>
            </w:tcBorders>
            <w:shd w:val="clear" w:color="000000" w:fill="000000"/>
            <w:noWrap/>
            <w:vAlign w:val="bottom"/>
            <w:hideMark/>
          </w:tcPr>
          <w:p w:rsidR="009B7B71" w:rsidRPr="00725B26" w:rsidRDefault="009B7B71" w:rsidP="00725B26">
            <w:pPr>
              <w:rPr>
                <w:color w:val="000000"/>
              </w:rPr>
            </w:pPr>
            <w:r w:rsidRPr="00725B26">
              <w:rPr>
                <w:color w:val="000000"/>
              </w:rPr>
              <w:t> </w:t>
            </w:r>
          </w:p>
        </w:tc>
        <w:tc>
          <w:tcPr>
            <w:tcW w:w="1379"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jc w:val="right"/>
              <w:rPr>
                <w:color w:val="000000"/>
              </w:rPr>
            </w:pPr>
            <w:r w:rsidRPr="00725B26">
              <w:rPr>
                <w:color w:val="000000"/>
              </w:rPr>
              <w:t xml:space="preserve">$5,000 </w:t>
            </w:r>
          </w:p>
        </w:tc>
        <w:tc>
          <w:tcPr>
            <w:tcW w:w="222"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r>
      <w:tr w:rsidR="009B7B71"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 </w:t>
            </w:r>
          </w:p>
        </w:tc>
        <w:tc>
          <w:tcPr>
            <w:tcW w:w="6052"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Front-Office Staff (GS-15 &amp; Directors)</w:t>
            </w:r>
          </w:p>
        </w:tc>
        <w:tc>
          <w:tcPr>
            <w:tcW w:w="271" w:type="dxa"/>
            <w:tcBorders>
              <w:top w:val="nil"/>
              <w:left w:val="nil"/>
              <w:bottom w:val="single" w:sz="4" w:space="0" w:color="auto"/>
              <w:right w:val="single" w:sz="4" w:space="0" w:color="auto"/>
            </w:tcBorders>
            <w:shd w:val="clear" w:color="000000" w:fill="000000"/>
            <w:noWrap/>
            <w:vAlign w:val="bottom"/>
            <w:hideMark/>
          </w:tcPr>
          <w:p w:rsidR="009B7B71" w:rsidRPr="00725B26" w:rsidRDefault="009B7B71" w:rsidP="00725B26">
            <w:pPr>
              <w:rPr>
                <w:color w:val="000000"/>
              </w:rPr>
            </w:pPr>
            <w:r w:rsidRPr="00725B26">
              <w:rPr>
                <w:color w:val="000000"/>
              </w:rPr>
              <w:t> </w:t>
            </w:r>
          </w:p>
        </w:tc>
        <w:tc>
          <w:tcPr>
            <w:tcW w:w="1379"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jc w:val="right"/>
              <w:rPr>
                <w:color w:val="000000"/>
              </w:rPr>
            </w:pPr>
            <w:r w:rsidRPr="00725B26">
              <w:rPr>
                <w:color w:val="000000"/>
              </w:rPr>
              <w:t xml:space="preserve">$3,000 </w:t>
            </w:r>
          </w:p>
        </w:tc>
        <w:tc>
          <w:tcPr>
            <w:tcW w:w="222"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r>
      <w:tr w:rsidR="009B7B71"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 </w:t>
            </w:r>
          </w:p>
        </w:tc>
        <w:tc>
          <w:tcPr>
            <w:tcW w:w="6052"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Subtotal salaries</w:t>
            </w:r>
          </w:p>
        </w:tc>
        <w:tc>
          <w:tcPr>
            <w:tcW w:w="271" w:type="dxa"/>
            <w:tcBorders>
              <w:top w:val="nil"/>
              <w:left w:val="nil"/>
              <w:bottom w:val="single" w:sz="4" w:space="0" w:color="auto"/>
              <w:right w:val="single" w:sz="4" w:space="0" w:color="auto"/>
            </w:tcBorders>
            <w:shd w:val="clear" w:color="000000" w:fill="000000"/>
            <w:noWrap/>
            <w:vAlign w:val="bottom"/>
            <w:hideMark/>
          </w:tcPr>
          <w:p w:rsidR="009B7B71" w:rsidRPr="00725B26" w:rsidRDefault="009B7B71" w:rsidP="00725B26">
            <w:pPr>
              <w:rPr>
                <w:color w:val="000000"/>
              </w:rPr>
            </w:pPr>
            <w:r w:rsidRPr="00725B26">
              <w:rPr>
                <w:color w:val="000000"/>
              </w:rPr>
              <w:t> </w:t>
            </w:r>
          </w:p>
        </w:tc>
        <w:tc>
          <w:tcPr>
            <w:tcW w:w="1379"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jc w:val="right"/>
              <w:rPr>
                <w:color w:val="000000"/>
              </w:rPr>
            </w:pPr>
            <w:r w:rsidRPr="00725B26">
              <w:rPr>
                <w:color w:val="000000"/>
              </w:rPr>
              <w:t xml:space="preserve">$77,600 </w:t>
            </w:r>
          </w:p>
        </w:tc>
        <w:tc>
          <w:tcPr>
            <w:tcW w:w="222"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r>
      <w:tr w:rsidR="009B7B71"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 </w:t>
            </w:r>
          </w:p>
        </w:tc>
        <w:tc>
          <w:tcPr>
            <w:tcW w:w="6052"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Fringe benefits (28% of salaries)</w:t>
            </w:r>
          </w:p>
        </w:tc>
        <w:tc>
          <w:tcPr>
            <w:tcW w:w="271" w:type="dxa"/>
            <w:tcBorders>
              <w:top w:val="nil"/>
              <w:left w:val="nil"/>
              <w:bottom w:val="single" w:sz="4" w:space="0" w:color="auto"/>
              <w:right w:val="single" w:sz="4" w:space="0" w:color="auto"/>
            </w:tcBorders>
            <w:shd w:val="clear" w:color="000000" w:fill="000000"/>
            <w:noWrap/>
            <w:vAlign w:val="bottom"/>
            <w:hideMark/>
          </w:tcPr>
          <w:p w:rsidR="009B7B71" w:rsidRPr="00725B26" w:rsidRDefault="009B7B71" w:rsidP="00725B26">
            <w:pPr>
              <w:rPr>
                <w:color w:val="000000"/>
              </w:rPr>
            </w:pPr>
            <w:r w:rsidRPr="00725B26">
              <w:rPr>
                <w:color w:val="000000"/>
              </w:rPr>
              <w:t> </w:t>
            </w:r>
          </w:p>
        </w:tc>
        <w:tc>
          <w:tcPr>
            <w:tcW w:w="1379"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jc w:val="right"/>
              <w:rPr>
                <w:color w:val="000000"/>
              </w:rPr>
            </w:pPr>
            <w:r w:rsidRPr="00725B26">
              <w:rPr>
                <w:color w:val="000000"/>
              </w:rPr>
              <w:t xml:space="preserve">$21,728 </w:t>
            </w:r>
          </w:p>
        </w:tc>
        <w:tc>
          <w:tcPr>
            <w:tcW w:w="222"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r>
      <w:tr w:rsidR="009B7B71"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 </w:t>
            </w:r>
          </w:p>
        </w:tc>
        <w:tc>
          <w:tcPr>
            <w:tcW w:w="6052"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Subtotal: Salary &amp; fringe</w:t>
            </w:r>
          </w:p>
        </w:tc>
        <w:tc>
          <w:tcPr>
            <w:tcW w:w="271" w:type="dxa"/>
            <w:tcBorders>
              <w:top w:val="nil"/>
              <w:left w:val="nil"/>
              <w:bottom w:val="single" w:sz="4" w:space="0" w:color="auto"/>
              <w:right w:val="single" w:sz="4" w:space="0" w:color="auto"/>
            </w:tcBorders>
            <w:shd w:val="clear" w:color="000000" w:fill="000000"/>
            <w:noWrap/>
            <w:vAlign w:val="bottom"/>
            <w:hideMark/>
          </w:tcPr>
          <w:p w:rsidR="009B7B71" w:rsidRPr="00725B26" w:rsidRDefault="009B7B71" w:rsidP="00725B26">
            <w:pPr>
              <w:rPr>
                <w:color w:val="000000"/>
              </w:rPr>
            </w:pPr>
            <w:r w:rsidRPr="00725B26">
              <w:rPr>
                <w:color w:val="000000"/>
              </w:rPr>
              <w:t> </w:t>
            </w:r>
          </w:p>
        </w:tc>
        <w:tc>
          <w:tcPr>
            <w:tcW w:w="1379"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jc w:val="right"/>
              <w:rPr>
                <w:color w:val="000000"/>
              </w:rPr>
            </w:pPr>
            <w:r w:rsidRPr="00725B26">
              <w:rPr>
                <w:color w:val="000000"/>
              </w:rPr>
              <w:t xml:space="preserve">$99,328 </w:t>
            </w:r>
          </w:p>
        </w:tc>
        <w:tc>
          <w:tcPr>
            <w:tcW w:w="222"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r>
      <w:tr w:rsidR="009B7B71"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 </w:t>
            </w:r>
          </w:p>
        </w:tc>
        <w:tc>
          <w:tcPr>
            <w:tcW w:w="6052"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Other administrative costs of salary &amp; fringe (15%)</w:t>
            </w:r>
          </w:p>
        </w:tc>
        <w:tc>
          <w:tcPr>
            <w:tcW w:w="271" w:type="dxa"/>
            <w:tcBorders>
              <w:top w:val="nil"/>
              <w:left w:val="nil"/>
              <w:bottom w:val="single" w:sz="4" w:space="0" w:color="auto"/>
              <w:right w:val="single" w:sz="4" w:space="0" w:color="auto"/>
            </w:tcBorders>
            <w:shd w:val="clear" w:color="000000" w:fill="000000"/>
            <w:noWrap/>
            <w:vAlign w:val="bottom"/>
            <w:hideMark/>
          </w:tcPr>
          <w:p w:rsidR="009B7B71" w:rsidRPr="00725B26" w:rsidRDefault="009B7B71" w:rsidP="00725B26">
            <w:pPr>
              <w:rPr>
                <w:color w:val="000000"/>
              </w:rPr>
            </w:pPr>
            <w:r w:rsidRPr="00725B26">
              <w:rPr>
                <w:color w:val="000000"/>
              </w:rPr>
              <w:t> </w:t>
            </w:r>
          </w:p>
        </w:tc>
        <w:tc>
          <w:tcPr>
            <w:tcW w:w="1379"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jc w:val="right"/>
              <w:rPr>
                <w:color w:val="000000"/>
              </w:rPr>
            </w:pPr>
            <w:r w:rsidRPr="00725B26">
              <w:rPr>
                <w:color w:val="000000"/>
              </w:rPr>
              <w:t xml:space="preserve">$14,899 </w:t>
            </w:r>
          </w:p>
        </w:tc>
        <w:tc>
          <w:tcPr>
            <w:tcW w:w="222"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r>
      <w:tr w:rsidR="009B7B71"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 </w:t>
            </w:r>
          </w:p>
        </w:tc>
        <w:tc>
          <w:tcPr>
            <w:tcW w:w="6052"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rPr>
                <w:b/>
                <w:bCs/>
                <w:color w:val="000000"/>
              </w:rPr>
            </w:pPr>
            <w:r w:rsidRPr="00725B26">
              <w:rPr>
                <w:b/>
                <w:bCs/>
                <w:color w:val="000000"/>
              </w:rPr>
              <w:t>Subtotal: BJS costs</w:t>
            </w:r>
          </w:p>
        </w:tc>
        <w:tc>
          <w:tcPr>
            <w:tcW w:w="271"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rPr>
                <w:b/>
                <w:bCs/>
                <w:color w:val="000000"/>
              </w:rPr>
            </w:pPr>
            <w:r w:rsidRPr="00725B26">
              <w:rPr>
                <w:b/>
                <w:bCs/>
                <w:color w:val="000000"/>
              </w:rPr>
              <w:t> </w:t>
            </w:r>
          </w:p>
        </w:tc>
        <w:tc>
          <w:tcPr>
            <w:tcW w:w="1379"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jc w:val="right"/>
              <w:rPr>
                <w:b/>
                <w:bCs/>
                <w:color w:val="000000"/>
              </w:rPr>
            </w:pPr>
            <w:r w:rsidRPr="00725B26">
              <w:rPr>
                <w:b/>
                <w:bCs/>
                <w:color w:val="000000"/>
              </w:rPr>
              <w:t xml:space="preserve">$114,227 </w:t>
            </w:r>
          </w:p>
        </w:tc>
        <w:tc>
          <w:tcPr>
            <w:tcW w:w="222"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r>
      <w:tr w:rsidR="009B7B71"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 </w:t>
            </w:r>
          </w:p>
        </w:tc>
        <w:tc>
          <w:tcPr>
            <w:tcW w:w="6052"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 </w:t>
            </w:r>
          </w:p>
        </w:tc>
        <w:tc>
          <w:tcPr>
            <w:tcW w:w="271" w:type="dxa"/>
            <w:tcBorders>
              <w:top w:val="nil"/>
              <w:left w:val="nil"/>
              <w:bottom w:val="single" w:sz="4" w:space="0" w:color="auto"/>
              <w:right w:val="single" w:sz="4" w:space="0" w:color="auto"/>
            </w:tcBorders>
            <w:shd w:val="clear" w:color="000000" w:fill="000000"/>
            <w:noWrap/>
            <w:vAlign w:val="bottom"/>
            <w:hideMark/>
          </w:tcPr>
          <w:p w:rsidR="009B7B71" w:rsidRPr="00725B26" w:rsidRDefault="009B7B71" w:rsidP="00725B26">
            <w:pPr>
              <w:rPr>
                <w:color w:val="000000"/>
              </w:rPr>
            </w:pPr>
            <w:r w:rsidRPr="00725B26">
              <w:rPr>
                <w:color w:val="000000"/>
              </w:rPr>
              <w:t> </w:t>
            </w:r>
          </w:p>
        </w:tc>
        <w:tc>
          <w:tcPr>
            <w:tcW w:w="1379"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 </w:t>
            </w:r>
          </w:p>
        </w:tc>
        <w:tc>
          <w:tcPr>
            <w:tcW w:w="222"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r>
      <w:tr w:rsidR="009B7B71"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 </w:t>
            </w:r>
          </w:p>
        </w:tc>
        <w:tc>
          <w:tcPr>
            <w:tcW w:w="6052"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9B7B71">
            <w:pPr>
              <w:rPr>
                <w:b/>
                <w:bCs/>
                <w:color w:val="000000"/>
                <w:u w:val="single"/>
              </w:rPr>
            </w:pPr>
            <w:r w:rsidRPr="00725B26">
              <w:rPr>
                <w:b/>
                <w:bCs/>
                <w:color w:val="000000"/>
                <w:u w:val="single"/>
              </w:rPr>
              <w:t>Data Collection Agent (NCSC)</w:t>
            </w:r>
          </w:p>
        </w:tc>
        <w:tc>
          <w:tcPr>
            <w:tcW w:w="271" w:type="dxa"/>
            <w:tcBorders>
              <w:top w:val="nil"/>
              <w:left w:val="nil"/>
              <w:bottom w:val="single" w:sz="4" w:space="0" w:color="auto"/>
              <w:right w:val="single" w:sz="4" w:space="0" w:color="auto"/>
            </w:tcBorders>
            <w:shd w:val="clear" w:color="000000" w:fill="000000"/>
            <w:noWrap/>
            <w:vAlign w:val="bottom"/>
            <w:hideMark/>
          </w:tcPr>
          <w:p w:rsidR="009B7B71" w:rsidRPr="00725B26" w:rsidRDefault="009B7B71" w:rsidP="00725B26">
            <w:pPr>
              <w:rPr>
                <w:color w:val="000000"/>
              </w:rPr>
            </w:pPr>
            <w:r w:rsidRPr="00725B26">
              <w:rPr>
                <w:color w:val="000000"/>
              </w:rPr>
              <w:t> </w:t>
            </w:r>
          </w:p>
        </w:tc>
        <w:tc>
          <w:tcPr>
            <w:tcW w:w="1379"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 </w:t>
            </w:r>
          </w:p>
        </w:tc>
        <w:tc>
          <w:tcPr>
            <w:tcW w:w="222"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r>
      <w:tr w:rsidR="009B7B71"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 </w:t>
            </w:r>
          </w:p>
        </w:tc>
        <w:tc>
          <w:tcPr>
            <w:tcW w:w="6052"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Personnel</w:t>
            </w:r>
          </w:p>
        </w:tc>
        <w:tc>
          <w:tcPr>
            <w:tcW w:w="271" w:type="dxa"/>
            <w:tcBorders>
              <w:top w:val="nil"/>
              <w:left w:val="nil"/>
              <w:bottom w:val="single" w:sz="4" w:space="0" w:color="auto"/>
              <w:right w:val="single" w:sz="4" w:space="0" w:color="auto"/>
            </w:tcBorders>
            <w:shd w:val="clear" w:color="000000" w:fill="000000"/>
            <w:noWrap/>
            <w:vAlign w:val="bottom"/>
            <w:hideMark/>
          </w:tcPr>
          <w:p w:rsidR="009B7B71" w:rsidRPr="00725B26" w:rsidRDefault="009B7B71" w:rsidP="00725B26">
            <w:pPr>
              <w:rPr>
                <w:color w:val="000000"/>
              </w:rPr>
            </w:pPr>
            <w:r w:rsidRPr="00725B26">
              <w:rPr>
                <w:color w:val="000000"/>
              </w:rPr>
              <w:t> </w:t>
            </w:r>
          </w:p>
        </w:tc>
        <w:tc>
          <w:tcPr>
            <w:tcW w:w="1379" w:type="dxa"/>
            <w:tcBorders>
              <w:top w:val="nil"/>
              <w:left w:val="nil"/>
              <w:bottom w:val="single" w:sz="4" w:space="0" w:color="auto"/>
              <w:right w:val="single" w:sz="4" w:space="0" w:color="auto"/>
            </w:tcBorders>
            <w:shd w:val="clear" w:color="auto" w:fill="auto"/>
            <w:noWrap/>
            <w:vAlign w:val="bottom"/>
            <w:hideMark/>
          </w:tcPr>
          <w:p w:rsidR="009B7B71" w:rsidRPr="00725B26" w:rsidRDefault="00725B26" w:rsidP="00A63828">
            <w:pPr>
              <w:jc w:val="right"/>
              <w:rPr>
                <w:color w:val="000000"/>
              </w:rPr>
            </w:pPr>
            <w:r w:rsidRPr="00725B26">
              <w:t>$</w:t>
            </w:r>
            <w:r w:rsidR="00A63828">
              <w:t>387,750</w:t>
            </w:r>
          </w:p>
        </w:tc>
        <w:tc>
          <w:tcPr>
            <w:tcW w:w="222"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r>
      <w:tr w:rsidR="009B7B71"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 </w:t>
            </w:r>
          </w:p>
        </w:tc>
        <w:tc>
          <w:tcPr>
            <w:tcW w:w="6052"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Fringe Benefits</w:t>
            </w:r>
          </w:p>
        </w:tc>
        <w:tc>
          <w:tcPr>
            <w:tcW w:w="271" w:type="dxa"/>
            <w:tcBorders>
              <w:top w:val="nil"/>
              <w:left w:val="nil"/>
              <w:bottom w:val="single" w:sz="4" w:space="0" w:color="auto"/>
              <w:right w:val="single" w:sz="4" w:space="0" w:color="auto"/>
            </w:tcBorders>
            <w:shd w:val="clear" w:color="000000" w:fill="000000"/>
            <w:noWrap/>
            <w:vAlign w:val="bottom"/>
            <w:hideMark/>
          </w:tcPr>
          <w:p w:rsidR="009B7B71" w:rsidRPr="00725B26" w:rsidRDefault="009B7B71" w:rsidP="00725B26">
            <w:pPr>
              <w:rPr>
                <w:color w:val="000000"/>
              </w:rPr>
            </w:pPr>
            <w:r w:rsidRPr="00725B26">
              <w:rPr>
                <w:color w:val="000000"/>
              </w:rPr>
              <w:t> </w:t>
            </w:r>
          </w:p>
        </w:tc>
        <w:tc>
          <w:tcPr>
            <w:tcW w:w="1379" w:type="dxa"/>
            <w:tcBorders>
              <w:top w:val="nil"/>
              <w:left w:val="nil"/>
              <w:bottom w:val="single" w:sz="4" w:space="0" w:color="auto"/>
              <w:right w:val="single" w:sz="4" w:space="0" w:color="auto"/>
            </w:tcBorders>
            <w:shd w:val="clear" w:color="auto" w:fill="auto"/>
            <w:noWrap/>
            <w:vAlign w:val="bottom"/>
            <w:hideMark/>
          </w:tcPr>
          <w:p w:rsidR="009B7B71" w:rsidRPr="00725B26" w:rsidRDefault="00725B26" w:rsidP="00725B26">
            <w:pPr>
              <w:jc w:val="right"/>
              <w:rPr>
                <w:color w:val="000000"/>
              </w:rPr>
            </w:pPr>
            <w:r>
              <w:t>$</w:t>
            </w:r>
            <w:r w:rsidR="00A63828">
              <w:t>141,671</w:t>
            </w:r>
          </w:p>
        </w:tc>
        <w:tc>
          <w:tcPr>
            <w:tcW w:w="222"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r>
      <w:tr w:rsidR="009B7B71"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 </w:t>
            </w:r>
          </w:p>
        </w:tc>
        <w:tc>
          <w:tcPr>
            <w:tcW w:w="6052" w:type="dxa"/>
            <w:tcBorders>
              <w:top w:val="nil"/>
              <w:left w:val="nil"/>
              <w:bottom w:val="single" w:sz="4" w:space="0" w:color="auto"/>
              <w:right w:val="single" w:sz="4" w:space="0" w:color="auto"/>
            </w:tcBorders>
            <w:shd w:val="clear" w:color="auto" w:fill="auto"/>
            <w:noWrap/>
            <w:vAlign w:val="bottom"/>
            <w:hideMark/>
          </w:tcPr>
          <w:p w:rsidR="009B7B71" w:rsidRPr="00725B26" w:rsidRDefault="009B7B71" w:rsidP="00725B26">
            <w:pPr>
              <w:rPr>
                <w:color w:val="000000"/>
              </w:rPr>
            </w:pPr>
            <w:r w:rsidRPr="00725B26">
              <w:rPr>
                <w:color w:val="000000"/>
              </w:rPr>
              <w:t>Travel</w:t>
            </w:r>
          </w:p>
        </w:tc>
        <w:tc>
          <w:tcPr>
            <w:tcW w:w="271" w:type="dxa"/>
            <w:tcBorders>
              <w:top w:val="nil"/>
              <w:left w:val="nil"/>
              <w:bottom w:val="single" w:sz="4" w:space="0" w:color="auto"/>
              <w:right w:val="single" w:sz="4" w:space="0" w:color="auto"/>
            </w:tcBorders>
            <w:shd w:val="clear" w:color="000000" w:fill="000000"/>
            <w:noWrap/>
            <w:vAlign w:val="bottom"/>
            <w:hideMark/>
          </w:tcPr>
          <w:p w:rsidR="009B7B71" w:rsidRPr="00725B26" w:rsidRDefault="009B7B71" w:rsidP="00725B26">
            <w:pPr>
              <w:rPr>
                <w:color w:val="000000"/>
              </w:rPr>
            </w:pPr>
            <w:r w:rsidRPr="00725B26">
              <w:rPr>
                <w:color w:val="000000"/>
              </w:rPr>
              <w:t> </w:t>
            </w:r>
          </w:p>
        </w:tc>
        <w:tc>
          <w:tcPr>
            <w:tcW w:w="1379" w:type="dxa"/>
            <w:tcBorders>
              <w:top w:val="nil"/>
              <w:left w:val="nil"/>
              <w:bottom w:val="single" w:sz="4" w:space="0" w:color="auto"/>
              <w:right w:val="single" w:sz="4" w:space="0" w:color="auto"/>
            </w:tcBorders>
            <w:shd w:val="clear" w:color="auto" w:fill="auto"/>
            <w:noWrap/>
            <w:vAlign w:val="bottom"/>
            <w:hideMark/>
          </w:tcPr>
          <w:p w:rsidR="009B7B71" w:rsidRPr="00725B26" w:rsidRDefault="00725B26" w:rsidP="00725B26">
            <w:pPr>
              <w:jc w:val="right"/>
              <w:rPr>
                <w:color w:val="000000"/>
              </w:rPr>
            </w:pPr>
            <w:r>
              <w:t>$</w:t>
            </w:r>
            <w:r w:rsidR="00A63828">
              <w:t>179,100</w:t>
            </w:r>
          </w:p>
        </w:tc>
        <w:tc>
          <w:tcPr>
            <w:tcW w:w="222" w:type="dxa"/>
            <w:tcBorders>
              <w:top w:val="nil"/>
              <w:left w:val="nil"/>
              <w:bottom w:val="nil"/>
              <w:right w:val="nil"/>
            </w:tcBorders>
            <w:shd w:val="clear" w:color="auto" w:fill="auto"/>
            <w:noWrap/>
            <w:vAlign w:val="bottom"/>
            <w:hideMark/>
          </w:tcPr>
          <w:p w:rsidR="009B7B71" w:rsidRPr="00725B26" w:rsidRDefault="009B7B71" w:rsidP="00725B26">
            <w:pPr>
              <w:rPr>
                <w:color w:val="000000"/>
              </w:rPr>
            </w:pPr>
          </w:p>
        </w:tc>
      </w:tr>
      <w:tr w:rsidR="00725B26"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725B26" w:rsidRPr="00725B26" w:rsidRDefault="00725B26" w:rsidP="00725B26">
            <w:pPr>
              <w:rPr>
                <w:color w:val="000000"/>
              </w:rPr>
            </w:pPr>
            <w:r w:rsidRPr="00725B26">
              <w:rPr>
                <w:color w:val="000000"/>
              </w:rPr>
              <w:t> </w:t>
            </w:r>
          </w:p>
        </w:tc>
        <w:tc>
          <w:tcPr>
            <w:tcW w:w="6052" w:type="dxa"/>
            <w:tcBorders>
              <w:top w:val="nil"/>
              <w:left w:val="nil"/>
              <w:bottom w:val="single" w:sz="4" w:space="0" w:color="auto"/>
              <w:right w:val="single" w:sz="4" w:space="0" w:color="auto"/>
            </w:tcBorders>
            <w:shd w:val="clear" w:color="auto" w:fill="auto"/>
            <w:noWrap/>
            <w:vAlign w:val="bottom"/>
            <w:hideMark/>
          </w:tcPr>
          <w:p w:rsidR="00725B26" w:rsidRPr="00725B26" w:rsidRDefault="00725B26" w:rsidP="00725B26">
            <w:pPr>
              <w:rPr>
                <w:color w:val="000000"/>
              </w:rPr>
            </w:pPr>
            <w:r w:rsidRPr="00725B26">
              <w:rPr>
                <w:color w:val="000000"/>
              </w:rPr>
              <w:t>Consultant</w:t>
            </w:r>
          </w:p>
        </w:tc>
        <w:tc>
          <w:tcPr>
            <w:tcW w:w="271" w:type="dxa"/>
            <w:tcBorders>
              <w:top w:val="nil"/>
              <w:left w:val="nil"/>
              <w:bottom w:val="single" w:sz="4" w:space="0" w:color="auto"/>
              <w:right w:val="single" w:sz="4" w:space="0" w:color="auto"/>
            </w:tcBorders>
            <w:shd w:val="clear" w:color="000000" w:fill="000000"/>
            <w:noWrap/>
            <w:vAlign w:val="bottom"/>
            <w:hideMark/>
          </w:tcPr>
          <w:p w:rsidR="00725B26" w:rsidRPr="00725B26" w:rsidRDefault="00725B26" w:rsidP="00725B26">
            <w:pPr>
              <w:rPr>
                <w:color w:val="000000"/>
              </w:rPr>
            </w:pPr>
            <w:r w:rsidRPr="00725B26">
              <w:rPr>
                <w:color w:val="000000"/>
              </w:rPr>
              <w:t> </w:t>
            </w:r>
          </w:p>
        </w:tc>
        <w:tc>
          <w:tcPr>
            <w:tcW w:w="1379" w:type="dxa"/>
            <w:tcBorders>
              <w:top w:val="nil"/>
              <w:left w:val="nil"/>
              <w:bottom w:val="single" w:sz="4" w:space="0" w:color="auto"/>
              <w:right w:val="single" w:sz="4" w:space="0" w:color="auto"/>
            </w:tcBorders>
            <w:shd w:val="clear" w:color="auto" w:fill="auto"/>
            <w:noWrap/>
            <w:vAlign w:val="bottom"/>
            <w:hideMark/>
          </w:tcPr>
          <w:p w:rsidR="00725B26" w:rsidRPr="00725B26" w:rsidRDefault="00725B26" w:rsidP="00725B26">
            <w:pPr>
              <w:jc w:val="right"/>
              <w:rPr>
                <w:color w:val="000000"/>
              </w:rPr>
            </w:pPr>
            <w:r>
              <w:t>$</w:t>
            </w:r>
            <w:r w:rsidR="00A63828">
              <w:t>0</w:t>
            </w:r>
          </w:p>
        </w:tc>
        <w:tc>
          <w:tcPr>
            <w:tcW w:w="222" w:type="dxa"/>
            <w:tcBorders>
              <w:top w:val="nil"/>
              <w:left w:val="nil"/>
              <w:bottom w:val="nil"/>
              <w:right w:val="nil"/>
            </w:tcBorders>
            <w:shd w:val="clear" w:color="auto" w:fill="auto"/>
            <w:noWrap/>
            <w:vAlign w:val="bottom"/>
            <w:hideMark/>
          </w:tcPr>
          <w:p w:rsidR="00725B26" w:rsidRPr="00725B26" w:rsidRDefault="00725B26" w:rsidP="00725B26">
            <w:pPr>
              <w:rPr>
                <w:color w:val="000000"/>
              </w:rPr>
            </w:pPr>
          </w:p>
        </w:tc>
      </w:tr>
      <w:tr w:rsidR="00A63828"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A63828" w:rsidRPr="00725B26" w:rsidRDefault="00A63828" w:rsidP="00725B26">
            <w:pPr>
              <w:rPr>
                <w:color w:val="000000"/>
              </w:rPr>
            </w:pPr>
          </w:p>
        </w:tc>
        <w:tc>
          <w:tcPr>
            <w:tcW w:w="6052" w:type="dxa"/>
            <w:tcBorders>
              <w:top w:val="nil"/>
              <w:left w:val="nil"/>
              <w:bottom w:val="single" w:sz="4" w:space="0" w:color="auto"/>
              <w:right w:val="single" w:sz="4" w:space="0" w:color="auto"/>
            </w:tcBorders>
            <w:shd w:val="clear" w:color="auto" w:fill="auto"/>
            <w:noWrap/>
            <w:vAlign w:val="bottom"/>
            <w:hideMark/>
          </w:tcPr>
          <w:p w:rsidR="00A63828" w:rsidRPr="00725B26" w:rsidRDefault="00A63828" w:rsidP="00725B26">
            <w:pPr>
              <w:rPr>
                <w:color w:val="000000"/>
              </w:rPr>
            </w:pPr>
            <w:r>
              <w:rPr>
                <w:color w:val="000000"/>
              </w:rPr>
              <w:t>Contracts</w:t>
            </w:r>
          </w:p>
        </w:tc>
        <w:tc>
          <w:tcPr>
            <w:tcW w:w="271" w:type="dxa"/>
            <w:tcBorders>
              <w:top w:val="nil"/>
              <w:left w:val="nil"/>
              <w:bottom w:val="single" w:sz="4" w:space="0" w:color="auto"/>
              <w:right w:val="single" w:sz="4" w:space="0" w:color="auto"/>
            </w:tcBorders>
            <w:shd w:val="clear" w:color="000000" w:fill="000000"/>
            <w:noWrap/>
            <w:vAlign w:val="bottom"/>
            <w:hideMark/>
          </w:tcPr>
          <w:p w:rsidR="00A63828" w:rsidRPr="00725B26" w:rsidRDefault="00A63828" w:rsidP="00725B26">
            <w:pPr>
              <w:rPr>
                <w:color w:val="000000"/>
              </w:rPr>
            </w:pPr>
          </w:p>
        </w:tc>
        <w:tc>
          <w:tcPr>
            <w:tcW w:w="1379" w:type="dxa"/>
            <w:tcBorders>
              <w:top w:val="nil"/>
              <w:left w:val="nil"/>
              <w:bottom w:val="single" w:sz="4" w:space="0" w:color="auto"/>
              <w:right w:val="single" w:sz="4" w:space="0" w:color="auto"/>
            </w:tcBorders>
            <w:shd w:val="clear" w:color="auto" w:fill="auto"/>
            <w:noWrap/>
            <w:vAlign w:val="bottom"/>
            <w:hideMark/>
          </w:tcPr>
          <w:p w:rsidR="00A63828" w:rsidRDefault="00A63828" w:rsidP="00725B26">
            <w:pPr>
              <w:jc w:val="right"/>
            </w:pPr>
            <w:r>
              <w:t>$41,504</w:t>
            </w:r>
          </w:p>
        </w:tc>
        <w:tc>
          <w:tcPr>
            <w:tcW w:w="222" w:type="dxa"/>
            <w:tcBorders>
              <w:top w:val="nil"/>
              <w:left w:val="nil"/>
              <w:bottom w:val="nil"/>
              <w:right w:val="nil"/>
            </w:tcBorders>
            <w:shd w:val="clear" w:color="auto" w:fill="auto"/>
            <w:noWrap/>
            <w:vAlign w:val="bottom"/>
            <w:hideMark/>
          </w:tcPr>
          <w:p w:rsidR="00A63828" w:rsidRPr="00725B26" w:rsidRDefault="00A63828" w:rsidP="00725B26">
            <w:pPr>
              <w:rPr>
                <w:color w:val="000000"/>
              </w:rPr>
            </w:pPr>
          </w:p>
        </w:tc>
      </w:tr>
      <w:tr w:rsidR="004E1F14"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4E1F14" w:rsidRPr="00725B26" w:rsidRDefault="004E1F14" w:rsidP="00725B26">
            <w:pPr>
              <w:rPr>
                <w:color w:val="000000"/>
              </w:rPr>
            </w:pPr>
          </w:p>
        </w:tc>
        <w:tc>
          <w:tcPr>
            <w:tcW w:w="6052" w:type="dxa"/>
            <w:tcBorders>
              <w:top w:val="nil"/>
              <w:left w:val="nil"/>
              <w:bottom w:val="single" w:sz="4" w:space="0" w:color="auto"/>
              <w:right w:val="single" w:sz="4" w:space="0" w:color="auto"/>
            </w:tcBorders>
            <w:shd w:val="clear" w:color="auto" w:fill="auto"/>
            <w:noWrap/>
            <w:vAlign w:val="bottom"/>
            <w:hideMark/>
          </w:tcPr>
          <w:p w:rsidR="004E1F14" w:rsidRPr="00725B26" w:rsidRDefault="004E1F14" w:rsidP="00725B26">
            <w:pPr>
              <w:rPr>
                <w:color w:val="000000"/>
              </w:rPr>
            </w:pPr>
            <w:r>
              <w:rPr>
                <w:color w:val="000000"/>
              </w:rPr>
              <w:t>Other</w:t>
            </w:r>
          </w:p>
        </w:tc>
        <w:tc>
          <w:tcPr>
            <w:tcW w:w="271" w:type="dxa"/>
            <w:tcBorders>
              <w:top w:val="nil"/>
              <w:left w:val="nil"/>
              <w:bottom w:val="single" w:sz="4" w:space="0" w:color="auto"/>
              <w:right w:val="single" w:sz="4" w:space="0" w:color="auto"/>
            </w:tcBorders>
            <w:shd w:val="clear" w:color="000000" w:fill="000000"/>
            <w:noWrap/>
            <w:vAlign w:val="bottom"/>
            <w:hideMark/>
          </w:tcPr>
          <w:p w:rsidR="004E1F14" w:rsidRPr="00725B26" w:rsidRDefault="004E1F14" w:rsidP="00725B26">
            <w:pPr>
              <w:rPr>
                <w:color w:val="000000"/>
              </w:rPr>
            </w:pPr>
          </w:p>
        </w:tc>
        <w:tc>
          <w:tcPr>
            <w:tcW w:w="1379" w:type="dxa"/>
            <w:tcBorders>
              <w:top w:val="nil"/>
              <w:left w:val="nil"/>
              <w:bottom w:val="single" w:sz="4" w:space="0" w:color="auto"/>
              <w:right w:val="single" w:sz="4" w:space="0" w:color="auto"/>
            </w:tcBorders>
            <w:shd w:val="clear" w:color="auto" w:fill="auto"/>
            <w:noWrap/>
            <w:vAlign w:val="bottom"/>
            <w:hideMark/>
          </w:tcPr>
          <w:p w:rsidR="004E1F14" w:rsidRDefault="004E1F14" w:rsidP="00725B26">
            <w:pPr>
              <w:jc w:val="right"/>
            </w:pPr>
            <w:r>
              <w:t>$58,118</w:t>
            </w:r>
          </w:p>
        </w:tc>
        <w:tc>
          <w:tcPr>
            <w:tcW w:w="222" w:type="dxa"/>
            <w:tcBorders>
              <w:top w:val="nil"/>
              <w:left w:val="nil"/>
              <w:bottom w:val="nil"/>
              <w:right w:val="nil"/>
            </w:tcBorders>
            <w:shd w:val="clear" w:color="auto" w:fill="auto"/>
            <w:noWrap/>
            <w:vAlign w:val="bottom"/>
            <w:hideMark/>
          </w:tcPr>
          <w:p w:rsidR="004E1F14" w:rsidRPr="00725B26" w:rsidRDefault="004E1F14" w:rsidP="00725B26">
            <w:pPr>
              <w:rPr>
                <w:color w:val="000000"/>
              </w:rPr>
            </w:pPr>
          </w:p>
        </w:tc>
      </w:tr>
      <w:tr w:rsidR="00725B26"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725B26" w:rsidRPr="00725B26" w:rsidRDefault="00725B26" w:rsidP="00725B26">
            <w:pPr>
              <w:rPr>
                <w:color w:val="000000"/>
              </w:rPr>
            </w:pPr>
            <w:r w:rsidRPr="00725B26">
              <w:rPr>
                <w:color w:val="000000"/>
              </w:rPr>
              <w:t> </w:t>
            </w:r>
          </w:p>
        </w:tc>
        <w:tc>
          <w:tcPr>
            <w:tcW w:w="6052" w:type="dxa"/>
            <w:tcBorders>
              <w:top w:val="nil"/>
              <w:left w:val="nil"/>
              <w:bottom w:val="single" w:sz="4" w:space="0" w:color="auto"/>
              <w:right w:val="single" w:sz="4" w:space="0" w:color="auto"/>
            </w:tcBorders>
            <w:shd w:val="clear" w:color="auto" w:fill="auto"/>
            <w:noWrap/>
            <w:vAlign w:val="bottom"/>
            <w:hideMark/>
          </w:tcPr>
          <w:p w:rsidR="00725B26" w:rsidRPr="00725B26" w:rsidRDefault="00725B26" w:rsidP="00725B26">
            <w:pPr>
              <w:rPr>
                <w:color w:val="000000"/>
              </w:rPr>
            </w:pPr>
            <w:r w:rsidRPr="00725B26">
              <w:rPr>
                <w:color w:val="000000"/>
              </w:rPr>
              <w:t>Total Indirect</w:t>
            </w:r>
          </w:p>
        </w:tc>
        <w:tc>
          <w:tcPr>
            <w:tcW w:w="271" w:type="dxa"/>
            <w:tcBorders>
              <w:top w:val="nil"/>
              <w:left w:val="nil"/>
              <w:bottom w:val="single" w:sz="4" w:space="0" w:color="auto"/>
              <w:right w:val="single" w:sz="4" w:space="0" w:color="auto"/>
            </w:tcBorders>
            <w:shd w:val="clear" w:color="000000" w:fill="000000"/>
            <w:noWrap/>
            <w:vAlign w:val="bottom"/>
            <w:hideMark/>
          </w:tcPr>
          <w:p w:rsidR="00725B26" w:rsidRPr="00725B26" w:rsidRDefault="00725B26" w:rsidP="00725B26">
            <w:pPr>
              <w:rPr>
                <w:color w:val="000000"/>
              </w:rPr>
            </w:pPr>
            <w:r w:rsidRPr="00725B26">
              <w:rPr>
                <w:color w:val="000000"/>
              </w:rPr>
              <w:t> </w:t>
            </w:r>
          </w:p>
        </w:tc>
        <w:tc>
          <w:tcPr>
            <w:tcW w:w="1379" w:type="dxa"/>
            <w:tcBorders>
              <w:top w:val="nil"/>
              <w:left w:val="nil"/>
              <w:bottom w:val="single" w:sz="4" w:space="0" w:color="auto"/>
              <w:right w:val="single" w:sz="4" w:space="0" w:color="auto"/>
            </w:tcBorders>
            <w:shd w:val="clear" w:color="auto" w:fill="auto"/>
            <w:noWrap/>
            <w:vAlign w:val="bottom"/>
            <w:hideMark/>
          </w:tcPr>
          <w:p w:rsidR="00725B26" w:rsidRPr="00725B26" w:rsidRDefault="00725B26" w:rsidP="004E1F14">
            <w:pPr>
              <w:jc w:val="right"/>
              <w:rPr>
                <w:color w:val="000000"/>
              </w:rPr>
            </w:pPr>
            <w:r>
              <w:t>$</w:t>
            </w:r>
            <w:r w:rsidR="004E1F14">
              <w:t>440,358</w:t>
            </w:r>
          </w:p>
        </w:tc>
        <w:tc>
          <w:tcPr>
            <w:tcW w:w="222" w:type="dxa"/>
            <w:tcBorders>
              <w:top w:val="nil"/>
              <w:left w:val="nil"/>
              <w:bottom w:val="nil"/>
              <w:right w:val="nil"/>
            </w:tcBorders>
            <w:shd w:val="clear" w:color="auto" w:fill="auto"/>
            <w:noWrap/>
            <w:vAlign w:val="bottom"/>
            <w:hideMark/>
          </w:tcPr>
          <w:p w:rsidR="00725B26" w:rsidRPr="00725B26" w:rsidRDefault="00725B26" w:rsidP="00725B26">
            <w:pPr>
              <w:rPr>
                <w:color w:val="000000"/>
              </w:rPr>
            </w:pPr>
          </w:p>
        </w:tc>
      </w:tr>
      <w:tr w:rsidR="00725B26" w:rsidRPr="00725B26" w:rsidTr="00725B26">
        <w:trPr>
          <w:trHeight w:val="31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725B26" w:rsidRPr="00725B26" w:rsidRDefault="00725B26" w:rsidP="00725B26">
            <w:pPr>
              <w:rPr>
                <w:color w:val="000000"/>
              </w:rPr>
            </w:pPr>
            <w:r w:rsidRPr="00725B26">
              <w:rPr>
                <w:color w:val="000000"/>
              </w:rPr>
              <w:t> </w:t>
            </w:r>
          </w:p>
        </w:tc>
        <w:tc>
          <w:tcPr>
            <w:tcW w:w="6052" w:type="dxa"/>
            <w:tcBorders>
              <w:top w:val="nil"/>
              <w:left w:val="nil"/>
              <w:bottom w:val="single" w:sz="4" w:space="0" w:color="auto"/>
              <w:right w:val="single" w:sz="4" w:space="0" w:color="auto"/>
            </w:tcBorders>
            <w:shd w:val="clear" w:color="auto" w:fill="auto"/>
            <w:noWrap/>
            <w:vAlign w:val="bottom"/>
            <w:hideMark/>
          </w:tcPr>
          <w:p w:rsidR="00725B26" w:rsidRPr="00725B26" w:rsidRDefault="00725B26" w:rsidP="009B7B71">
            <w:pPr>
              <w:rPr>
                <w:b/>
                <w:bCs/>
                <w:color w:val="000000"/>
              </w:rPr>
            </w:pPr>
            <w:r w:rsidRPr="00725B26">
              <w:rPr>
                <w:b/>
                <w:bCs/>
                <w:color w:val="000000"/>
              </w:rPr>
              <w:t>Subtotal Data Collection Agent (NCSC)</w:t>
            </w:r>
          </w:p>
        </w:tc>
        <w:tc>
          <w:tcPr>
            <w:tcW w:w="271" w:type="dxa"/>
            <w:tcBorders>
              <w:top w:val="nil"/>
              <w:left w:val="nil"/>
              <w:bottom w:val="single" w:sz="4" w:space="0" w:color="auto"/>
              <w:right w:val="single" w:sz="4" w:space="0" w:color="auto"/>
            </w:tcBorders>
            <w:shd w:val="clear" w:color="000000" w:fill="000000"/>
            <w:noWrap/>
            <w:vAlign w:val="bottom"/>
            <w:hideMark/>
          </w:tcPr>
          <w:p w:rsidR="00725B26" w:rsidRPr="00725B26" w:rsidRDefault="00725B26" w:rsidP="00725B26">
            <w:pPr>
              <w:rPr>
                <w:b/>
                <w:bCs/>
                <w:color w:val="000000"/>
              </w:rPr>
            </w:pPr>
            <w:r w:rsidRPr="00725B26">
              <w:rPr>
                <w:b/>
                <w:bCs/>
                <w:color w:val="000000"/>
              </w:rPr>
              <w:t> </w:t>
            </w:r>
          </w:p>
        </w:tc>
        <w:tc>
          <w:tcPr>
            <w:tcW w:w="1379" w:type="dxa"/>
            <w:tcBorders>
              <w:top w:val="nil"/>
              <w:left w:val="nil"/>
              <w:bottom w:val="single" w:sz="4" w:space="0" w:color="auto"/>
              <w:right w:val="single" w:sz="4" w:space="0" w:color="auto"/>
            </w:tcBorders>
            <w:shd w:val="clear" w:color="auto" w:fill="auto"/>
            <w:noWrap/>
            <w:vAlign w:val="bottom"/>
            <w:hideMark/>
          </w:tcPr>
          <w:p w:rsidR="00725B26" w:rsidRPr="00725B26" w:rsidRDefault="00725B26" w:rsidP="004E1F14">
            <w:pPr>
              <w:jc w:val="right"/>
              <w:rPr>
                <w:b/>
                <w:bCs/>
                <w:color w:val="000000"/>
              </w:rPr>
            </w:pPr>
            <w:r>
              <w:t>$</w:t>
            </w:r>
            <w:r w:rsidR="004E1F14">
              <w:t>1,248,501</w:t>
            </w:r>
          </w:p>
        </w:tc>
        <w:tc>
          <w:tcPr>
            <w:tcW w:w="222" w:type="dxa"/>
            <w:tcBorders>
              <w:top w:val="nil"/>
              <w:left w:val="nil"/>
              <w:bottom w:val="nil"/>
              <w:right w:val="nil"/>
            </w:tcBorders>
            <w:shd w:val="clear" w:color="auto" w:fill="auto"/>
            <w:noWrap/>
            <w:vAlign w:val="bottom"/>
            <w:hideMark/>
          </w:tcPr>
          <w:p w:rsidR="00725B26" w:rsidRPr="00725B26" w:rsidRDefault="00725B26" w:rsidP="00725B26">
            <w:pPr>
              <w:rPr>
                <w:color w:val="000000"/>
              </w:rPr>
            </w:pPr>
          </w:p>
        </w:tc>
      </w:tr>
      <w:tr w:rsidR="00725B26" w:rsidRPr="00725B26" w:rsidTr="00725B26">
        <w:trPr>
          <w:trHeight w:val="315"/>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rsidR="00725B26" w:rsidRPr="00725B26" w:rsidRDefault="00725B26" w:rsidP="00725B26">
            <w:pPr>
              <w:rPr>
                <w:color w:val="000000"/>
              </w:rPr>
            </w:pPr>
            <w:r w:rsidRPr="00725B26">
              <w:rPr>
                <w:color w:val="000000"/>
              </w:rPr>
              <w:t> </w:t>
            </w:r>
          </w:p>
        </w:tc>
        <w:tc>
          <w:tcPr>
            <w:tcW w:w="6052" w:type="dxa"/>
            <w:tcBorders>
              <w:top w:val="nil"/>
              <w:left w:val="nil"/>
              <w:bottom w:val="single" w:sz="4" w:space="0" w:color="auto"/>
              <w:right w:val="single" w:sz="4" w:space="0" w:color="auto"/>
            </w:tcBorders>
            <w:shd w:val="clear" w:color="000000" w:fill="FFFF00"/>
            <w:noWrap/>
            <w:vAlign w:val="bottom"/>
            <w:hideMark/>
          </w:tcPr>
          <w:p w:rsidR="00725B26" w:rsidRPr="00725B26" w:rsidRDefault="00725B26" w:rsidP="00725B26">
            <w:pPr>
              <w:rPr>
                <w:b/>
                <w:bCs/>
                <w:color w:val="000000"/>
              </w:rPr>
            </w:pPr>
            <w:r w:rsidRPr="00725B26">
              <w:rPr>
                <w:b/>
                <w:bCs/>
                <w:color w:val="000000"/>
              </w:rPr>
              <w:t>Total estimated costs</w:t>
            </w:r>
          </w:p>
        </w:tc>
        <w:tc>
          <w:tcPr>
            <w:tcW w:w="271" w:type="dxa"/>
            <w:tcBorders>
              <w:top w:val="nil"/>
              <w:left w:val="nil"/>
              <w:bottom w:val="single" w:sz="4" w:space="0" w:color="auto"/>
              <w:right w:val="single" w:sz="4" w:space="0" w:color="auto"/>
            </w:tcBorders>
            <w:shd w:val="clear" w:color="000000" w:fill="FFFF00"/>
            <w:noWrap/>
            <w:vAlign w:val="bottom"/>
            <w:hideMark/>
          </w:tcPr>
          <w:p w:rsidR="00725B26" w:rsidRPr="00725B26" w:rsidRDefault="00725B26" w:rsidP="00725B26">
            <w:pPr>
              <w:rPr>
                <w:b/>
                <w:bCs/>
                <w:color w:val="000000"/>
              </w:rPr>
            </w:pPr>
            <w:r w:rsidRPr="00725B26">
              <w:rPr>
                <w:b/>
                <w:bCs/>
                <w:color w:val="000000"/>
              </w:rPr>
              <w:t> </w:t>
            </w:r>
          </w:p>
        </w:tc>
        <w:tc>
          <w:tcPr>
            <w:tcW w:w="1379" w:type="dxa"/>
            <w:tcBorders>
              <w:top w:val="nil"/>
              <w:left w:val="nil"/>
              <w:bottom w:val="single" w:sz="4" w:space="0" w:color="auto"/>
              <w:right w:val="single" w:sz="4" w:space="0" w:color="auto"/>
            </w:tcBorders>
            <w:shd w:val="clear" w:color="000000" w:fill="FFFF00"/>
            <w:noWrap/>
            <w:vAlign w:val="bottom"/>
            <w:hideMark/>
          </w:tcPr>
          <w:p w:rsidR="00725B26" w:rsidRPr="00725B26" w:rsidRDefault="00725B26" w:rsidP="00725B26">
            <w:pPr>
              <w:jc w:val="right"/>
              <w:rPr>
                <w:b/>
                <w:bCs/>
                <w:color w:val="000000"/>
              </w:rPr>
            </w:pPr>
            <w:r>
              <w:rPr>
                <w:b/>
                <w:bCs/>
                <w:color w:val="000000"/>
              </w:rPr>
              <w:t>$</w:t>
            </w:r>
            <w:r w:rsidR="004E1F14">
              <w:rPr>
                <w:b/>
                <w:bCs/>
                <w:color w:val="000000"/>
              </w:rPr>
              <w:t>1,362,728</w:t>
            </w:r>
          </w:p>
        </w:tc>
        <w:tc>
          <w:tcPr>
            <w:tcW w:w="222" w:type="dxa"/>
            <w:tcBorders>
              <w:top w:val="nil"/>
              <w:left w:val="nil"/>
              <w:bottom w:val="nil"/>
              <w:right w:val="nil"/>
            </w:tcBorders>
            <w:shd w:val="clear" w:color="auto" w:fill="auto"/>
            <w:noWrap/>
            <w:vAlign w:val="bottom"/>
            <w:hideMark/>
          </w:tcPr>
          <w:p w:rsidR="00725B26" w:rsidRPr="00725B26" w:rsidRDefault="00725B26" w:rsidP="00725B26">
            <w:pPr>
              <w:rPr>
                <w:color w:val="000000"/>
              </w:rPr>
            </w:pPr>
          </w:p>
        </w:tc>
      </w:tr>
      <w:tr w:rsidR="00725B26" w:rsidRPr="00725B26" w:rsidTr="00725B26">
        <w:trPr>
          <w:trHeight w:val="315"/>
        </w:trPr>
        <w:tc>
          <w:tcPr>
            <w:tcW w:w="1121" w:type="dxa"/>
            <w:tcBorders>
              <w:top w:val="nil"/>
              <w:left w:val="single" w:sz="4" w:space="0" w:color="auto"/>
              <w:bottom w:val="single" w:sz="4" w:space="0" w:color="auto"/>
              <w:right w:val="single" w:sz="4" w:space="0" w:color="auto"/>
            </w:tcBorders>
            <w:shd w:val="clear" w:color="000000" w:fill="FFFF00"/>
            <w:noWrap/>
            <w:vAlign w:val="bottom"/>
            <w:hideMark/>
          </w:tcPr>
          <w:p w:rsidR="00725B26" w:rsidRPr="00725B26" w:rsidRDefault="00725B26" w:rsidP="00725B26">
            <w:pPr>
              <w:rPr>
                <w:color w:val="000000"/>
              </w:rPr>
            </w:pPr>
          </w:p>
        </w:tc>
        <w:tc>
          <w:tcPr>
            <w:tcW w:w="6052" w:type="dxa"/>
            <w:tcBorders>
              <w:top w:val="nil"/>
              <w:left w:val="nil"/>
              <w:bottom w:val="single" w:sz="4" w:space="0" w:color="auto"/>
              <w:right w:val="single" w:sz="4" w:space="0" w:color="auto"/>
            </w:tcBorders>
            <w:shd w:val="clear" w:color="000000" w:fill="FFFF00"/>
            <w:noWrap/>
            <w:vAlign w:val="bottom"/>
            <w:hideMark/>
          </w:tcPr>
          <w:p w:rsidR="00725B26" w:rsidRPr="00725B26" w:rsidRDefault="00725B26" w:rsidP="00725B26">
            <w:pPr>
              <w:rPr>
                <w:b/>
                <w:bCs/>
                <w:color w:val="000000"/>
              </w:rPr>
            </w:pPr>
          </w:p>
        </w:tc>
        <w:tc>
          <w:tcPr>
            <w:tcW w:w="271" w:type="dxa"/>
            <w:tcBorders>
              <w:top w:val="nil"/>
              <w:left w:val="nil"/>
              <w:bottom w:val="single" w:sz="4" w:space="0" w:color="auto"/>
              <w:right w:val="single" w:sz="4" w:space="0" w:color="auto"/>
            </w:tcBorders>
            <w:shd w:val="clear" w:color="000000" w:fill="FFFF00"/>
            <w:noWrap/>
            <w:vAlign w:val="bottom"/>
            <w:hideMark/>
          </w:tcPr>
          <w:p w:rsidR="00725B26" w:rsidRPr="00725B26" w:rsidRDefault="00725B26" w:rsidP="00725B26">
            <w:pPr>
              <w:rPr>
                <w:b/>
                <w:bCs/>
                <w:color w:val="000000"/>
              </w:rPr>
            </w:pPr>
          </w:p>
        </w:tc>
        <w:tc>
          <w:tcPr>
            <w:tcW w:w="1379" w:type="dxa"/>
            <w:tcBorders>
              <w:top w:val="nil"/>
              <w:left w:val="nil"/>
              <w:bottom w:val="single" w:sz="4" w:space="0" w:color="auto"/>
              <w:right w:val="single" w:sz="4" w:space="0" w:color="auto"/>
            </w:tcBorders>
            <w:shd w:val="clear" w:color="000000" w:fill="FFFF00"/>
            <w:noWrap/>
            <w:vAlign w:val="bottom"/>
            <w:hideMark/>
          </w:tcPr>
          <w:p w:rsidR="00725B26" w:rsidRPr="00725B26" w:rsidRDefault="00725B26" w:rsidP="00725B26">
            <w:pPr>
              <w:jc w:val="right"/>
              <w:rPr>
                <w:b/>
                <w:bCs/>
                <w:color w:val="000000"/>
              </w:rPr>
            </w:pPr>
          </w:p>
        </w:tc>
        <w:tc>
          <w:tcPr>
            <w:tcW w:w="222" w:type="dxa"/>
            <w:tcBorders>
              <w:top w:val="nil"/>
              <w:left w:val="nil"/>
              <w:bottom w:val="nil"/>
              <w:right w:val="nil"/>
            </w:tcBorders>
            <w:shd w:val="clear" w:color="auto" w:fill="auto"/>
            <w:noWrap/>
            <w:vAlign w:val="bottom"/>
            <w:hideMark/>
          </w:tcPr>
          <w:p w:rsidR="00725B26" w:rsidRPr="00725B26" w:rsidRDefault="00725B26" w:rsidP="00725B26">
            <w:pPr>
              <w:rPr>
                <w:color w:val="000000"/>
              </w:rPr>
            </w:pPr>
          </w:p>
        </w:tc>
      </w:tr>
    </w:tbl>
    <w:p w:rsidR="00D34FDC" w:rsidRDefault="00D34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D34FDC" w:rsidRDefault="00D34FDC" w:rsidP="009B7B71">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B7B71">
        <w:rPr>
          <w:u w:val="single"/>
        </w:rPr>
        <w:t>Reason for Change in Burden</w:t>
      </w:r>
      <w:r>
        <w:t xml:space="preserve">.  </w:t>
      </w:r>
    </w:p>
    <w:p w:rsidR="00B541A7" w:rsidRDefault="00B541A7" w:rsidP="00B54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541A7" w:rsidRDefault="00C16369" w:rsidP="00B541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Not applicable. There is no reason for change in burden because this is a new </w:t>
      </w:r>
      <w:r w:rsidR="00725466">
        <w:t>collection</w:t>
      </w:r>
      <w:r>
        <w:t xml:space="preserve">. </w:t>
      </w:r>
    </w:p>
    <w:p w:rsidR="00233DA9" w:rsidRDefault="00233D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25B26" w:rsidRDefault="00725B26" w:rsidP="00233DA9">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33DA9">
        <w:rPr>
          <w:u w:val="single"/>
        </w:rPr>
        <w:t>Project Schedule</w:t>
      </w:r>
    </w:p>
    <w:p w:rsidR="00725B26" w:rsidRDefault="00725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25B26" w:rsidRDefault="00725B26" w:rsidP="00725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project will be completed through the following schedule.</w:t>
      </w:r>
    </w:p>
    <w:p w:rsidR="00725B26" w:rsidRDefault="00725B26" w:rsidP="00725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25B26" w:rsidRPr="00747807" w:rsidRDefault="00725B26" w:rsidP="00725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747807">
        <w:rPr>
          <w:b/>
        </w:rPr>
        <w:t xml:space="preserve">Planning and preparation </w:t>
      </w:r>
    </w:p>
    <w:p w:rsidR="00725B26" w:rsidRDefault="00725B26" w:rsidP="00725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(Includes OMB review):</w:t>
      </w:r>
      <w:r>
        <w:tab/>
      </w:r>
      <w:r w:rsidR="00BB7349">
        <w:t xml:space="preserve">January </w:t>
      </w:r>
      <w:r w:rsidR="00725466">
        <w:t>201</w:t>
      </w:r>
      <w:r w:rsidR="00BB7349">
        <w:t>1</w:t>
      </w:r>
      <w:r>
        <w:t xml:space="preserve"> </w:t>
      </w:r>
      <w:r w:rsidR="00747807">
        <w:t>–</w:t>
      </w:r>
      <w:r>
        <w:t xml:space="preserve"> </w:t>
      </w:r>
      <w:r w:rsidR="00725466">
        <w:t>June</w:t>
      </w:r>
      <w:r w:rsidR="00747807">
        <w:t xml:space="preserve"> 2011</w:t>
      </w:r>
    </w:p>
    <w:p w:rsidR="00725B26" w:rsidRDefault="00725B26" w:rsidP="00725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Data collection:</w:t>
      </w:r>
      <w:r>
        <w:tab/>
      </w:r>
      <w:r>
        <w:tab/>
      </w:r>
      <w:r w:rsidR="00725466">
        <w:t>June</w:t>
      </w:r>
      <w:r w:rsidR="00747807">
        <w:t xml:space="preserve"> 2011 – </w:t>
      </w:r>
      <w:r w:rsidR="00725466">
        <w:t>May 2012</w:t>
      </w:r>
    </w:p>
    <w:p w:rsidR="00725B26" w:rsidRDefault="00725B26" w:rsidP="00725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Data review and evaluation:</w:t>
      </w:r>
      <w:r>
        <w:tab/>
      </w:r>
      <w:r w:rsidR="00725466">
        <w:t>June</w:t>
      </w:r>
      <w:r w:rsidR="00747807">
        <w:t xml:space="preserve"> 2012</w:t>
      </w:r>
      <w:r>
        <w:t xml:space="preserve"> – </w:t>
      </w:r>
      <w:r w:rsidR="00725466">
        <w:t>July</w:t>
      </w:r>
      <w:r w:rsidR="00747807">
        <w:t xml:space="preserve"> 2012</w:t>
      </w:r>
    </w:p>
    <w:p w:rsidR="00725B26" w:rsidRDefault="00725B26" w:rsidP="00725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Publication:</w:t>
      </w:r>
      <w:r>
        <w:tab/>
      </w:r>
      <w:r>
        <w:tab/>
      </w:r>
      <w:r>
        <w:tab/>
      </w:r>
      <w:r w:rsidR="00725466">
        <w:t>August</w:t>
      </w:r>
      <w:r w:rsidR="00747807">
        <w:t xml:space="preserve"> 2012 – December 2012</w:t>
      </w:r>
    </w:p>
    <w:p w:rsidR="00725B26" w:rsidRDefault="00725B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16369" w:rsidRDefault="00747807" w:rsidP="00C16369">
      <w:pPr>
        <w:autoSpaceDE w:val="0"/>
        <w:autoSpaceDN w:val="0"/>
        <w:adjustRightInd w:val="0"/>
      </w:pPr>
      <w:r>
        <w:t xml:space="preserve">After securing OMB approval, the </w:t>
      </w:r>
      <w:r w:rsidR="00725466">
        <w:t>SSCCA</w:t>
      </w:r>
      <w:r>
        <w:t xml:space="preserve"> data collection will occur from </w:t>
      </w:r>
      <w:r w:rsidR="006B4056">
        <w:t>June</w:t>
      </w:r>
      <w:r w:rsidR="00725466">
        <w:t xml:space="preserve"> 2011</w:t>
      </w:r>
      <w:r>
        <w:t xml:space="preserve"> through </w:t>
      </w:r>
      <w:r w:rsidR="00725466">
        <w:t>May 2012</w:t>
      </w:r>
      <w:r>
        <w:t xml:space="preserve">. </w:t>
      </w:r>
      <w:r w:rsidR="00725466">
        <w:t>The data submission process will also involve</w:t>
      </w:r>
      <w:r>
        <w:t xml:space="preserve"> </w:t>
      </w:r>
      <w:r w:rsidR="00725B26">
        <w:t xml:space="preserve">BJS </w:t>
      </w:r>
      <w:r>
        <w:t xml:space="preserve">and NCSC </w:t>
      </w:r>
      <w:r w:rsidR="00725466">
        <w:t>engaging</w:t>
      </w:r>
      <w:r w:rsidR="00725B26">
        <w:t xml:space="preserve"> in a series of procedures to clean </w:t>
      </w:r>
      <w:r>
        <w:t xml:space="preserve">and verify the </w:t>
      </w:r>
      <w:r w:rsidR="00531AD0">
        <w:t>data</w:t>
      </w:r>
      <w:r>
        <w:t xml:space="preserve"> submitted</w:t>
      </w:r>
      <w:r w:rsidR="00725B26">
        <w:t xml:space="preserve"> for analysis. </w:t>
      </w:r>
      <w:r w:rsidR="00C16369">
        <w:t xml:space="preserve">After the data cleaning process is complete, data from the SSCCA 2010 project will be used in the production </w:t>
      </w:r>
      <w:r w:rsidR="006B4056">
        <w:t xml:space="preserve">of </w:t>
      </w:r>
      <w:r w:rsidR="00C16369">
        <w:t xml:space="preserve">reports examining criminal case processing in intermediate appellate courts and courts of last resort. Both reports will examine a variety of issues related to criminal appellate case processing including the case type litigated on appeal, </w:t>
      </w:r>
      <w:r w:rsidR="00C16369" w:rsidRPr="00034DA0">
        <w:t>whether the appeal was abandoned or dismissed prior to b</w:t>
      </w:r>
      <w:r w:rsidR="00C16369">
        <w:t xml:space="preserve">eing decided on the merits, </w:t>
      </w:r>
      <w:r w:rsidR="00C16369" w:rsidRPr="00034DA0">
        <w:t>the appellate court’s decision to affirm, reverse, or modify trial court outcomes, the decision method, including whether the appeal ended in a full opinion, memorandum, o</w:t>
      </w:r>
      <w:r w:rsidR="00C16369">
        <w:t xml:space="preserve">r summary/dispositional order, the </w:t>
      </w:r>
      <w:r w:rsidR="00C16369" w:rsidRPr="00034DA0">
        <w:t xml:space="preserve">legal or factual issues raised on appeal, and </w:t>
      </w:r>
      <w:r w:rsidR="00C16369">
        <w:t xml:space="preserve">the </w:t>
      </w:r>
      <w:r w:rsidR="00C16369" w:rsidRPr="00034DA0">
        <w:t>different stages of appellate case processing (e.g., filing of notice of appeal, generation of trial court record/transcript, oral argument) and time spent at each of these different stages.</w:t>
      </w:r>
    </w:p>
    <w:p w:rsidR="00C16369" w:rsidRDefault="00C16369" w:rsidP="00C16369">
      <w:pPr>
        <w:autoSpaceDE w:val="0"/>
        <w:autoSpaceDN w:val="0"/>
        <w:adjustRightInd w:val="0"/>
      </w:pPr>
    </w:p>
    <w:p w:rsidR="006B4056" w:rsidRDefault="00C16369" w:rsidP="006B4056">
      <w:pPr>
        <w:autoSpaceDE w:val="0"/>
        <w:autoSpaceDN w:val="0"/>
        <w:adjustRightInd w:val="0"/>
      </w:pPr>
      <w:r w:rsidRPr="007C0C37">
        <w:t>In addition</w:t>
      </w:r>
      <w:r>
        <w:t xml:space="preserve"> to report production</w:t>
      </w:r>
      <w:r w:rsidRPr="007C0C37">
        <w:t xml:space="preserve">, BJS </w:t>
      </w:r>
      <w:r>
        <w:t xml:space="preserve">will consider integrating the SSCCA data into a web based query system </w:t>
      </w:r>
      <w:r w:rsidRPr="0030179C">
        <w:t xml:space="preserve">that allows users to access </w:t>
      </w:r>
      <w:r>
        <w:t xml:space="preserve">these </w:t>
      </w:r>
      <w:r w:rsidRPr="0030179C">
        <w:t xml:space="preserve">data by clicking on </w:t>
      </w:r>
      <w:r>
        <w:t xml:space="preserve">certain topical areas such as case type (e.g., death penalty, violent, drug, or property crime) and examining how these case fair </w:t>
      </w:r>
      <w:r w:rsidR="006B4056">
        <w:t>during the various stages of appellate case processing</w:t>
      </w:r>
      <w:r w:rsidRPr="0030179C">
        <w:t>.</w:t>
      </w:r>
      <w:r w:rsidR="006B4056">
        <w:t xml:space="preserve"> </w:t>
      </w:r>
      <w:r w:rsidR="004B3B10">
        <w:t xml:space="preserve">Lastly, the data for </w:t>
      </w:r>
      <w:r>
        <w:t>Survey of State Court Criminal Appeals</w:t>
      </w:r>
      <w:r w:rsidR="004B3B10">
        <w:t xml:space="preserve"> will be available for downloading and further analysis at the Inter-University Consortium for Political and Social Research (ICPSR). </w:t>
      </w:r>
    </w:p>
    <w:p w:rsidR="00233DA9" w:rsidRDefault="00233DA9" w:rsidP="00233D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FDC" w:rsidRPr="00233DA9" w:rsidRDefault="00D34FDC" w:rsidP="00233DA9">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33DA9">
        <w:rPr>
          <w:u w:val="single"/>
        </w:rPr>
        <w:t>Display of Expiration Date</w:t>
      </w:r>
    </w:p>
    <w:p w:rsidR="00725B26" w:rsidRDefault="00725B26" w:rsidP="00725B2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D34FDC" w:rsidRDefault="00D34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expiration date will be shown on the survey form.  </w:t>
      </w:r>
    </w:p>
    <w:p w:rsidR="00D34FDC" w:rsidRDefault="00D34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34FDC" w:rsidRPr="00233DA9" w:rsidRDefault="00D34FDC" w:rsidP="00233DA9">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233DA9">
        <w:rPr>
          <w:u w:val="single"/>
        </w:rPr>
        <w:t>Exception to the Certificate Statement</w:t>
      </w:r>
    </w:p>
    <w:p w:rsidR="00233DA9" w:rsidRDefault="00233DA9" w:rsidP="00233DA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233DA9" w:rsidRDefault="00C16369" w:rsidP="00233D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t>New data collection.</w:t>
      </w:r>
      <w:proofErr w:type="gramEnd"/>
    </w:p>
    <w:p w:rsidR="00D34FDC" w:rsidRDefault="00D34F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D34FDC" w:rsidSect="00AF6561">
      <w:footerReference w:type="default" r:id="rId9"/>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495" w:rsidRDefault="007B3495" w:rsidP="002E6D86">
      <w:r>
        <w:separator/>
      </w:r>
    </w:p>
  </w:endnote>
  <w:endnote w:type="continuationSeparator" w:id="0">
    <w:p w:rsidR="007B3495" w:rsidRDefault="007B3495" w:rsidP="002E6D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74204"/>
      <w:docPartObj>
        <w:docPartGallery w:val="Page Numbers (Bottom of Page)"/>
        <w:docPartUnique/>
      </w:docPartObj>
    </w:sdtPr>
    <w:sdtContent>
      <w:p w:rsidR="007B3495" w:rsidRDefault="00A117F7">
        <w:pPr>
          <w:pStyle w:val="Footer"/>
          <w:jc w:val="center"/>
        </w:pPr>
        <w:fldSimple w:instr=" PAGE   \* MERGEFORMAT ">
          <w:r w:rsidR="007955A1">
            <w:rPr>
              <w:noProof/>
            </w:rPr>
            <w:t>11</w:t>
          </w:r>
        </w:fldSimple>
      </w:p>
    </w:sdtContent>
  </w:sdt>
  <w:p w:rsidR="007B3495" w:rsidRDefault="007B34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495" w:rsidRDefault="007B3495" w:rsidP="002E6D86">
      <w:r>
        <w:separator/>
      </w:r>
    </w:p>
  </w:footnote>
  <w:footnote w:type="continuationSeparator" w:id="0">
    <w:p w:rsidR="007B3495" w:rsidRDefault="007B3495" w:rsidP="002E6D86">
      <w:r>
        <w:continuationSeparator/>
      </w:r>
    </w:p>
  </w:footnote>
  <w:footnote w:id="1">
    <w:p w:rsidR="007B3495" w:rsidRDefault="007B3495">
      <w:pPr>
        <w:pStyle w:val="FootnoteText"/>
      </w:pPr>
      <w:r>
        <w:rPr>
          <w:rStyle w:val="FootnoteReference"/>
        </w:rPr>
        <w:footnoteRef/>
      </w:r>
      <w:r>
        <w:t xml:space="preserve"> For more information about SCPS and NJRP, see Felony Defendants in Large Urban Counties, 2006 and Felony Sentences in State Courts, 2006 at </w:t>
      </w:r>
      <w:r w:rsidRPr="00472EC7">
        <w:t>http://bjs.ojp.usdoj.gov/index.cfm</w:t>
      </w:r>
      <w:r>
        <w:t xml:space="preserve">. </w:t>
      </w:r>
    </w:p>
  </w:footnote>
  <w:footnote w:id="2">
    <w:p w:rsidR="007B3495" w:rsidRDefault="007B3495">
      <w:pPr>
        <w:pStyle w:val="FootnoteText"/>
      </w:pPr>
      <w:r>
        <w:rPr>
          <w:rStyle w:val="FootnoteReference"/>
        </w:rPr>
        <w:footnoteRef/>
      </w:r>
      <w:r>
        <w:t xml:space="preserve"> See Bureau of Justice Statistics Data Users Workshop complete transcript at </w:t>
      </w:r>
      <w:r w:rsidRPr="003E3C86">
        <w:t>http://bjs.ojp.usdoj.gov/content/duw.cfm</w:t>
      </w:r>
      <w:r>
        <w:t>.</w:t>
      </w:r>
    </w:p>
  </w:footnote>
  <w:footnote w:id="3">
    <w:p w:rsidR="007B3495" w:rsidRDefault="007B3495">
      <w:pPr>
        <w:pStyle w:val="FootnoteText"/>
      </w:pPr>
      <w:r>
        <w:rPr>
          <w:rStyle w:val="FootnoteReference"/>
        </w:rPr>
        <w:footnoteRef/>
      </w:r>
      <w:r>
        <w:t xml:space="preserve"> </w:t>
      </w:r>
      <w:proofErr w:type="gramStart"/>
      <w:r>
        <w:t>See Groves, Robert and Daniel Cord (Eds. (2009).</w:t>
      </w:r>
      <w:proofErr w:type="gramEnd"/>
      <w:r>
        <w:t xml:space="preserve"> </w:t>
      </w:r>
      <w:proofErr w:type="gramStart"/>
      <w:r>
        <w:t>Ensuring the Quality, Credibility, and Relevance of U.S. Justice Statistics.</w:t>
      </w:r>
      <w:proofErr w:type="gramEnd"/>
      <w:r>
        <w:t xml:space="preserve"> National Research Council of the National Academies at http://www.nap.edu.</w:t>
      </w:r>
    </w:p>
  </w:footnote>
  <w:footnote w:id="4">
    <w:p w:rsidR="007B3495" w:rsidRDefault="007B3495" w:rsidP="001551EA">
      <w:pPr>
        <w:pStyle w:val="FootnoteText"/>
      </w:pPr>
      <w:r>
        <w:rPr>
          <w:rStyle w:val="FootnoteReference"/>
        </w:rPr>
        <w:footnoteRef/>
      </w:r>
      <w:r>
        <w:t xml:space="preserve"> See section A-8 for information about key recommendations from the design and development report.</w:t>
      </w:r>
    </w:p>
  </w:footnote>
  <w:footnote w:id="5">
    <w:p w:rsidR="007B3495" w:rsidRPr="006A2954" w:rsidRDefault="007B3495" w:rsidP="00C454B8">
      <w:pPr>
        <w:pStyle w:val="FootnoteText"/>
      </w:pPr>
      <w:r>
        <w:rPr>
          <w:rStyle w:val="FootnoteReference"/>
        </w:rPr>
        <w:footnoteRef/>
      </w:r>
      <w:r>
        <w:t xml:space="preserve"> </w:t>
      </w:r>
      <w:r w:rsidRPr="00D2193C">
        <w:t>Brace, Paul and Kellie Sims Butler (2001) “New Perspectives for the Comparative Study of the Judiciary: The S</w:t>
      </w:r>
      <w:r>
        <w:t xml:space="preserve">tate Supreme Court Project,” </w:t>
      </w:r>
      <w:r w:rsidRPr="00D2193C">
        <w:rPr>
          <w:i/>
          <w:iCs/>
        </w:rPr>
        <w:t>The Justice System Journal</w:t>
      </w:r>
      <w:r>
        <w:rPr>
          <w:i/>
          <w:iCs/>
        </w:rPr>
        <w:t xml:space="preserve"> 22</w:t>
      </w:r>
      <w:r>
        <w:rPr>
          <w:iCs/>
        </w:rPr>
        <w:t>.</w:t>
      </w:r>
    </w:p>
  </w:footnote>
  <w:footnote w:id="6">
    <w:p w:rsidR="007B3495" w:rsidRPr="006A2954" w:rsidRDefault="007B3495" w:rsidP="00C454B8">
      <w:pPr>
        <w:pStyle w:val="Pa3"/>
        <w:spacing w:line="240" w:lineRule="auto"/>
        <w:rPr>
          <w:rFonts w:ascii="Times New Roman" w:hAnsi="Times New Roman" w:cs="Times New Roman"/>
          <w:color w:val="000000"/>
          <w:sz w:val="20"/>
          <w:szCs w:val="20"/>
        </w:rPr>
      </w:pPr>
      <w:r>
        <w:rPr>
          <w:rStyle w:val="FootnoteReference"/>
        </w:rPr>
        <w:footnoteRef/>
      </w:r>
      <w:r>
        <w:rPr>
          <w:i/>
          <w:iCs/>
        </w:rPr>
        <w:t xml:space="preserve"> </w:t>
      </w:r>
      <w:r w:rsidRPr="006A2954">
        <w:rPr>
          <w:rFonts w:ascii="Times New Roman" w:hAnsi="Times New Roman" w:cs="Times New Roman"/>
          <w:iCs/>
          <w:sz w:val="20"/>
          <w:szCs w:val="20"/>
        </w:rPr>
        <w:t xml:space="preserve">According to the National Center for State Courts Court Statistics Project, an estimated two-third of appeals filed in 2008 </w:t>
      </w:r>
      <w:proofErr w:type="gramStart"/>
      <w:r w:rsidRPr="006A2954">
        <w:rPr>
          <w:rFonts w:ascii="Times New Roman" w:hAnsi="Times New Roman" w:cs="Times New Roman"/>
          <w:iCs/>
          <w:sz w:val="20"/>
          <w:szCs w:val="20"/>
        </w:rPr>
        <w:t>were</w:t>
      </w:r>
      <w:proofErr w:type="gramEnd"/>
      <w:r w:rsidRPr="006A2954">
        <w:rPr>
          <w:rFonts w:ascii="Times New Roman" w:hAnsi="Times New Roman" w:cs="Times New Roman"/>
          <w:iCs/>
          <w:sz w:val="20"/>
          <w:szCs w:val="20"/>
        </w:rPr>
        <w:t xml:space="preserve"> processed at the intermediate appellate court level. For more information about aggregate </w:t>
      </w:r>
      <w:r>
        <w:rPr>
          <w:rFonts w:ascii="Times New Roman" w:hAnsi="Times New Roman" w:cs="Times New Roman"/>
          <w:iCs/>
          <w:sz w:val="20"/>
          <w:szCs w:val="20"/>
        </w:rPr>
        <w:t xml:space="preserve">appellate </w:t>
      </w:r>
      <w:r w:rsidRPr="006A2954">
        <w:rPr>
          <w:rFonts w:ascii="Times New Roman" w:hAnsi="Times New Roman" w:cs="Times New Roman"/>
          <w:iCs/>
          <w:sz w:val="20"/>
          <w:szCs w:val="20"/>
        </w:rPr>
        <w:t xml:space="preserve">caseload </w:t>
      </w:r>
      <w:r>
        <w:rPr>
          <w:rFonts w:ascii="Times New Roman" w:hAnsi="Times New Roman" w:cs="Times New Roman"/>
          <w:iCs/>
          <w:sz w:val="20"/>
          <w:szCs w:val="20"/>
        </w:rPr>
        <w:t>statistics</w:t>
      </w:r>
      <w:r w:rsidRPr="006A2954">
        <w:rPr>
          <w:rFonts w:ascii="Times New Roman" w:hAnsi="Times New Roman" w:cs="Times New Roman"/>
          <w:iCs/>
          <w:sz w:val="20"/>
          <w:szCs w:val="20"/>
        </w:rPr>
        <w:t xml:space="preserve">, see </w:t>
      </w:r>
      <w:r w:rsidRPr="006A2954">
        <w:rPr>
          <w:rFonts w:ascii="Times New Roman" w:hAnsi="Times New Roman" w:cs="Times New Roman"/>
          <w:color w:val="000000"/>
          <w:sz w:val="20"/>
          <w:szCs w:val="20"/>
        </w:rPr>
        <w:t xml:space="preserve">R. LaFountain, R. Schauffler, S. Strickland, C. </w:t>
      </w:r>
      <w:proofErr w:type="spellStart"/>
      <w:r w:rsidRPr="006A2954">
        <w:rPr>
          <w:rFonts w:ascii="Times New Roman" w:hAnsi="Times New Roman" w:cs="Times New Roman"/>
          <w:color w:val="000000"/>
          <w:sz w:val="20"/>
          <w:szCs w:val="20"/>
        </w:rPr>
        <w:t>Bromage</w:t>
      </w:r>
      <w:proofErr w:type="spellEnd"/>
      <w:r w:rsidRPr="006A2954">
        <w:rPr>
          <w:rFonts w:ascii="Times New Roman" w:hAnsi="Times New Roman" w:cs="Times New Roman"/>
          <w:color w:val="000000"/>
          <w:sz w:val="20"/>
          <w:szCs w:val="20"/>
        </w:rPr>
        <w:t xml:space="preserve">, S. Gibson &amp; A. Mason </w:t>
      </w:r>
      <w:r w:rsidRPr="006A2954">
        <w:rPr>
          <w:rFonts w:ascii="Times New Roman" w:hAnsi="Times New Roman" w:cs="Times New Roman"/>
          <w:i/>
          <w:iCs/>
          <w:color w:val="000000"/>
          <w:sz w:val="20"/>
          <w:szCs w:val="20"/>
        </w:rPr>
        <w:t>Examining the Work of State Courts</w:t>
      </w:r>
      <w:r>
        <w:rPr>
          <w:rFonts w:ascii="Times New Roman" w:hAnsi="Times New Roman" w:cs="Times New Roman"/>
          <w:i/>
          <w:iCs/>
          <w:color w:val="000000"/>
          <w:sz w:val="20"/>
          <w:szCs w:val="20"/>
        </w:rPr>
        <w:t>, 2008</w:t>
      </w:r>
      <w:r w:rsidRPr="006A2954">
        <w:rPr>
          <w:rFonts w:ascii="Times New Roman" w:hAnsi="Times New Roman" w:cs="Times New Roman"/>
          <w:i/>
          <w:iCs/>
          <w:color w:val="000000"/>
          <w:sz w:val="20"/>
          <w:szCs w:val="20"/>
        </w:rPr>
        <w:t xml:space="preserve"> </w:t>
      </w:r>
      <w:r w:rsidRPr="006A2954">
        <w:rPr>
          <w:rFonts w:ascii="Times New Roman" w:hAnsi="Times New Roman" w:cs="Times New Roman"/>
          <w:color w:val="000000"/>
          <w:sz w:val="20"/>
          <w:szCs w:val="20"/>
        </w:rPr>
        <w:t xml:space="preserve">at </w:t>
      </w:r>
      <w:r w:rsidRPr="005E1443">
        <w:rPr>
          <w:rFonts w:ascii="Times New Roman" w:hAnsi="Times New Roman" w:cs="Times New Roman"/>
          <w:sz w:val="20"/>
          <w:szCs w:val="20"/>
        </w:rPr>
        <w:t>http://www.ncsconline.org/D_Research/csp/CSP_Main_Page.html</w:t>
      </w:r>
      <w:r w:rsidRPr="006A2954">
        <w:rPr>
          <w:rFonts w:ascii="Times New Roman" w:hAnsi="Times New Roman" w:cs="Times New Roman"/>
          <w:color w:val="000000"/>
          <w:sz w:val="20"/>
          <w:szCs w:val="20"/>
        </w:rPr>
        <w:t>.</w:t>
      </w:r>
    </w:p>
  </w:footnote>
  <w:footnote w:id="7">
    <w:p w:rsidR="007B3495" w:rsidRDefault="007B3495" w:rsidP="00641216">
      <w:pPr>
        <w:pStyle w:val="FootnoteText"/>
      </w:pPr>
      <w:r>
        <w:rPr>
          <w:rStyle w:val="FootnoteReference"/>
        </w:rPr>
        <w:footnoteRef/>
      </w:r>
      <w:r>
        <w:t xml:space="preserve"> </w:t>
      </w:r>
      <w:r w:rsidRPr="0048670D">
        <w:t xml:space="preserve">See Hanson, Roger A. (2001) </w:t>
      </w:r>
      <w:r w:rsidRPr="0048670D">
        <w:rPr>
          <w:i/>
          <w:iCs/>
        </w:rPr>
        <w:t xml:space="preserve">Jurisdiction, Caseload, and Timeliness in State Supreme Courts. </w:t>
      </w:r>
      <w:r>
        <w:rPr>
          <w:iCs/>
        </w:rPr>
        <w:t xml:space="preserve">National Center for State Courts: </w:t>
      </w:r>
      <w:r>
        <w:t>Williamsburg, VA</w:t>
      </w:r>
      <w:r>
        <w:rPr>
          <w:i/>
          <w:iCs/>
        </w:rPr>
        <w:t xml:space="preserve"> </w:t>
      </w:r>
      <w:r w:rsidRPr="0048670D">
        <w:rPr>
          <w:iCs/>
        </w:rPr>
        <w:t xml:space="preserve">and </w:t>
      </w:r>
      <w:proofErr w:type="spellStart"/>
      <w:r w:rsidRPr="0048670D">
        <w:t>Chapp</w:t>
      </w:r>
      <w:r>
        <w:t>er</w:t>
      </w:r>
      <w:proofErr w:type="spellEnd"/>
      <w:r>
        <w:t xml:space="preserve">, Joy A. and Roger A. Hanson (1990) </w:t>
      </w:r>
      <w:r w:rsidRPr="0048670D">
        <w:rPr>
          <w:i/>
          <w:iCs/>
        </w:rPr>
        <w:t>Intermediate Appellate Co</w:t>
      </w:r>
      <w:r>
        <w:rPr>
          <w:i/>
          <w:iCs/>
        </w:rPr>
        <w:t xml:space="preserve">urts: Improving Case Processing. </w:t>
      </w:r>
      <w:r>
        <w:rPr>
          <w:iCs/>
        </w:rPr>
        <w:t xml:space="preserve">National Center for State Courts: </w:t>
      </w:r>
      <w:r>
        <w:t>Williamsburg, VA</w:t>
      </w:r>
      <w:r w:rsidRPr="0048670D">
        <w:t xml:space="preserve">. </w:t>
      </w:r>
    </w:p>
  </w:footnote>
  <w:footnote w:id="8">
    <w:p w:rsidR="007B3495" w:rsidRDefault="007B3495">
      <w:pPr>
        <w:pStyle w:val="FootnoteText"/>
      </w:pPr>
      <w:r>
        <w:rPr>
          <w:rStyle w:val="FootnoteReference"/>
        </w:rPr>
        <w:footnoteRef/>
      </w:r>
      <w:r>
        <w:t xml:space="preserve"> </w:t>
      </w:r>
      <w:r w:rsidRPr="00A95EDE">
        <w:t xml:space="preserve">See BJS </w:t>
      </w:r>
      <w:r w:rsidRPr="00170C8D">
        <w:t>report</w:t>
      </w:r>
      <w:r w:rsidRPr="00A95EDE">
        <w:rPr>
          <w:i/>
        </w:rPr>
        <w:t xml:space="preserve"> Appeals from General Civil Trials in 46 Large Counties, 2001-2005</w:t>
      </w:r>
      <w:r w:rsidRPr="00A95EDE">
        <w:t xml:space="preserve"> at &lt;http://bjs.ojp.usdoj.gov/&gt; for an examination of civil trials on appeal. Also, see OMB Number 1121</w:t>
      </w:r>
      <w:r w:rsidRPr="00A95EDE">
        <w:rPr>
          <w:rFonts w:ascii="Calibri" w:hAnsi="Calibri"/>
        </w:rPr>
        <w:t>‐</w:t>
      </w:r>
      <w:r w:rsidRPr="00A95EDE">
        <w:t>0326 for information about BJS</w:t>
      </w:r>
      <w:r>
        <w:t>’</w:t>
      </w:r>
      <w:r w:rsidRPr="00A95EDE">
        <w:t xml:space="preserve"> </w:t>
      </w:r>
      <w:r>
        <w:t>Civil Justice Survey of State Courts, Trials on Appeal project</w:t>
      </w:r>
      <w:r w:rsidRPr="00A95EDE">
        <w:t>.</w:t>
      </w:r>
    </w:p>
  </w:footnote>
  <w:footnote w:id="9">
    <w:p w:rsidR="007B3495" w:rsidRDefault="007B3495">
      <w:pPr>
        <w:pStyle w:val="FootnoteText"/>
      </w:pPr>
      <w:r>
        <w:rPr>
          <w:rStyle w:val="FootnoteReference"/>
        </w:rPr>
        <w:footnoteRef/>
      </w:r>
      <w:r>
        <w:t xml:space="preserve"> </w:t>
      </w:r>
      <w:proofErr w:type="gramStart"/>
      <w:r>
        <w:t>Eisenberg, T and M. Heise (2009).</w:t>
      </w:r>
      <w:proofErr w:type="gramEnd"/>
      <w:r>
        <w:t xml:space="preserve"> “Plaintiff-phobia in State Courts: An Empirical Study of State Court Trials on Appeal.” </w:t>
      </w:r>
      <w:r w:rsidRPr="00896BDB">
        <w:rPr>
          <w:i/>
        </w:rPr>
        <w:t>Journal of Legal Studies</w:t>
      </w:r>
      <w:r>
        <w:t xml:space="preserve">: 38: 121. </w:t>
      </w:r>
    </w:p>
  </w:footnote>
  <w:footnote w:id="10">
    <w:p w:rsidR="007B3495" w:rsidRDefault="007B3495">
      <w:pPr>
        <w:pStyle w:val="FootnoteText"/>
      </w:pPr>
      <w:r>
        <w:rPr>
          <w:rStyle w:val="FootnoteReference"/>
        </w:rPr>
        <w:footnoteRef/>
      </w:r>
      <w:r>
        <w:t xml:space="preserve"> Adam </w:t>
      </w:r>
      <w:proofErr w:type="spellStart"/>
      <w:r>
        <w:t>Liptak</w:t>
      </w:r>
      <w:proofErr w:type="spellEnd"/>
      <w:r>
        <w:t xml:space="preserve">, Ex-Justice Criticizes Death Penalty, New York Times, </w:t>
      </w:r>
      <w:proofErr w:type="gramStart"/>
      <w:r>
        <w:t>November</w:t>
      </w:r>
      <w:proofErr w:type="gramEnd"/>
      <w:r>
        <w:t xml:space="preserve"> 27, 2010.</w:t>
      </w:r>
    </w:p>
  </w:footnote>
  <w:footnote w:id="11">
    <w:p w:rsidR="007B3495" w:rsidRDefault="007B3495">
      <w:pPr>
        <w:pStyle w:val="FootnoteText"/>
      </w:pPr>
      <w:r>
        <w:rPr>
          <w:rStyle w:val="FootnoteReference"/>
        </w:rPr>
        <w:footnoteRef/>
      </w:r>
      <w:r>
        <w:t xml:space="preserve"> See respondent burden section for more information about the utilization of online data collection efforts and burden hours.</w:t>
      </w:r>
    </w:p>
  </w:footnote>
  <w:footnote w:id="12">
    <w:p w:rsidR="007B3495" w:rsidRPr="005166E2" w:rsidRDefault="007B3495">
      <w:pPr>
        <w:pStyle w:val="FootnoteText"/>
      </w:pPr>
      <w:r>
        <w:rPr>
          <w:rStyle w:val="FootnoteReference"/>
        </w:rPr>
        <w:footnoteRef/>
      </w:r>
      <w:r>
        <w:t xml:space="preserve"> For more specific information about the findings from the design and development report, please see appendix 1 National Center for State Courts. (2009). </w:t>
      </w:r>
      <w:r w:rsidRPr="005166E2">
        <w:rPr>
          <w:i/>
        </w:rPr>
        <w:t>Implementation Plan: Survey of State Court Criminal Appeals Design and Development</w:t>
      </w:r>
      <w:r>
        <w:t xml:space="preserve">. Williamsburg, VA. </w:t>
      </w:r>
    </w:p>
  </w:footnote>
  <w:footnote w:id="13">
    <w:p w:rsidR="007B3495" w:rsidRDefault="007B3495">
      <w:pPr>
        <w:pStyle w:val="FootnoteText"/>
      </w:pPr>
      <w:r>
        <w:rPr>
          <w:rStyle w:val="FootnoteReference"/>
        </w:rPr>
        <w:footnoteRef/>
      </w:r>
      <w:r>
        <w:t xml:space="preserve"> Appellate court filing figures garnered from NCSC’s </w:t>
      </w:r>
      <w:r w:rsidRPr="00314D92">
        <w:rPr>
          <w:i/>
        </w:rPr>
        <w:t>Court Statistics Project</w:t>
      </w:r>
      <w:r>
        <w:t xml:space="preserve"> at </w:t>
      </w:r>
      <w:r w:rsidRPr="00390F64">
        <w:t>http://www.ncsconline.org/D_Research/csp/CSP_Main_Page.html</w:t>
      </w:r>
      <w:r>
        <w:t>.</w:t>
      </w:r>
    </w:p>
  </w:footnote>
  <w:footnote w:id="14">
    <w:p w:rsidR="007B3495" w:rsidRDefault="007B3495">
      <w:pPr>
        <w:pStyle w:val="FootnoteText"/>
      </w:pPr>
      <w:r>
        <w:rPr>
          <w:rStyle w:val="FootnoteReference"/>
        </w:rPr>
        <w:footnoteRef/>
      </w:r>
      <w:r>
        <w:t xml:space="preserve"> All burden hour estimates were derived from the pretests and associated project activities of the criminal appeals design and development project.</w:t>
      </w:r>
    </w:p>
  </w:footnote>
  <w:footnote w:id="15">
    <w:p w:rsidR="007B3495" w:rsidRDefault="007B3495">
      <w:pPr>
        <w:pStyle w:val="FootnoteText"/>
      </w:pPr>
      <w:r>
        <w:rPr>
          <w:rStyle w:val="FootnoteReference"/>
        </w:rPr>
        <w:footnoteRef/>
      </w:r>
      <w:r>
        <w:t xml:space="preserve"> NCSC will pay all expenses associated with copying and mailing the necessary materials. An administrative data transfer includes transmission of documents</w:t>
      </w:r>
      <w:r w:rsidRPr="009508CB">
        <w:t xml:space="preserve"> in several ways including a data export into a spreadsheet/ASCI format or screen shots either printed/saved electronically in PDF.</w:t>
      </w:r>
    </w:p>
  </w:footnote>
  <w:footnote w:id="16">
    <w:p w:rsidR="007B3495" w:rsidRDefault="007B3495">
      <w:pPr>
        <w:pStyle w:val="FootnoteText"/>
      </w:pPr>
      <w:r>
        <w:rPr>
          <w:rStyle w:val="FootnoteReference"/>
        </w:rPr>
        <w:footnoteRef/>
      </w:r>
      <w:r>
        <w:t xml:space="preserve"> The number of courts with partial online accessibility will not sum to 107 because these courts overlap in terms of the types of data being requested.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C31A7"/>
    <w:multiLevelType w:val="hybridMultilevel"/>
    <w:tmpl w:val="04385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cs="Times New Roman"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2">
    <w:nsid w:val="283409FC"/>
    <w:multiLevelType w:val="hybridMultilevel"/>
    <w:tmpl w:val="74A44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9C3548"/>
    <w:multiLevelType w:val="hybridMultilevel"/>
    <w:tmpl w:val="610469C0"/>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9361529"/>
    <w:multiLevelType w:val="hybridMultilevel"/>
    <w:tmpl w:val="F26A4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97F016C"/>
    <w:multiLevelType w:val="hybridMultilevel"/>
    <w:tmpl w:val="9C448182"/>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3F4B34"/>
    <w:multiLevelType w:val="hybridMultilevel"/>
    <w:tmpl w:val="5A54A7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E254C8"/>
    <w:multiLevelType w:val="hybridMultilevel"/>
    <w:tmpl w:val="12E89A5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0"/>
  </w:num>
  <w:num w:numId="7">
    <w:abstractNumId w:val="2"/>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856A4"/>
    <w:rsid w:val="00001B05"/>
    <w:rsid w:val="0001152D"/>
    <w:rsid w:val="00014E75"/>
    <w:rsid w:val="00016DB4"/>
    <w:rsid w:val="00020E3B"/>
    <w:rsid w:val="00034DA0"/>
    <w:rsid w:val="000426C4"/>
    <w:rsid w:val="0004384B"/>
    <w:rsid w:val="00051A36"/>
    <w:rsid w:val="00052167"/>
    <w:rsid w:val="000859ED"/>
    <w:rsid w:val="0009341F"/>
    <w:rsid w:val="00095E23"/>
    <w:rsid w:val="00097FD6"/>
    <w:rsid w:val="000A4BF0"/>
    <w:rsid w:val="000C2D97"/>
    <w:rsid w:val="000C4287"/>
    <w:rsid w:val="000D439A"/>
    <w:rsid w:val="000D4D22"/>
    <w:rsid w:val="000E19B5"/>
    <w:rsid w:val="000E4FFB"/>
    <w:rsid w:val="000F4597"/>
    <w:rsid w:val="00104865"/>
    <w:rsid w:val="0010727E"/>
    <w:rsid w:val="001073F5"/>
    <w:rsid w:val="00110FAC"/>
    <w:rsid w:val="00123342"/>
    <w:rsid w:val="00130D28"/>
    <w:rsid w:val="00132502"/>
    <w:rsid w:val="00133C67"/>
    <w:rsid w:val="001424B7"/>
    <w:rsid w:val="001519F9"/>
    <w:rsid w:val="00151FF8"/>
    <w:rsid w:val="00152543"/>
    <w:rsid w:val="00152F72"/>
    <w:rsid w:val="00153AE3"/>
    <w:rsid w:val="001541A1"/>
    <w:rsid w:val="001551EA"/>
    <w:rsid w:val="0015723F"/>
    <w:rsid w:val="0016491E"/>
    <w:rsid w:val="00170C8D"/>
    <w:rsid w:val="001728B0"/>
    <w:rsid w:val="001729C2"/>
    <w:rsid w:val="00177823"/>
    <w:rsid w:val="00182947"/>
    <w:rsid w:val="00182CC3"/>
    <w:rsid w:val="00183D27"/>
    <w:rsid w:val="001856A4"/>
    <w:rsid w:val="00195C32"/>
    <w:rsid w:val="0019667C"/>
    <w:rsid w:val="001B0B2A"/>
    <w:rsid w:val="001C67A6"/>
    <w:rsid w:val="001D0899"/>
    <w:rsid w:val="001D44E5"/>
    <w:rsid w:val="001E3459"/>
    <w:rsid w:val="001E69D7"/>
    <w:rsid w:val="001E7EFE"/>
    <w:rsid w:val="00207A59"/>
    <w:rsid w:val="00213931"/>
    <w:rsid w:val="0021570C"/>
    <w:rsid w:val="00233DA9"/>
    <w:rsid w:val="00235C63"/>
    <w:rsid w:val="00236941"/>
    <w:rsid w:val="002404D4"/>
    <w:rsid w:val="00244601"/>
    <w:rsid w:val="0025266F"/>
    <w:rsid w:val="00262833"/>
    <w:rsid w:val="00267428"/>
    <w:rsid w:val="0027150C"/>
    <w:rsid w:val="002766D9"/>
    <w:rsid w:val="00285B52"/>
    <w:rsid w:val="00290E86"/>
    <w:rsid w:val="002922B8"/>
    <w:rsid w:val="00295775"/>
    <w:rsid w:val="002A1487"/>
    <w:rsid w:val="002A1A81"/>
    <w:rsid w:val="002A4667"/>
    <w:rsid w:val="002A5CB3"/>
    <w:rsid w:val="002B024C"/>
    <w:rsid w:val="002C25E6"/>
    <w:rsid w:val="002C6056"/>
    <w:rsid w:val="002D182B"/>
    <w:rsid w:val="002E0482"/>
    <w:rsid w:val="002E6D86"/>
    <w:rsid w:val="0030179C"/>
    <w:rsid w:val="003017C7"/>
    <w:rsid w:val="00304291"/>
    <w:rsid w:val="0031153F"/>
    <w:rsid w:val="00314D92"/>
    <w:rsid w:val="00314E51"/>
    <w:rsid w:val="00316A08"/>
    <w:rsid w:val="0032271A"/>
    <w:rsid w:val="00324483"/>
    <w:rsid w:val="0032608A"/>
    <w:rsid w:val="0033642B"/>
    <w:rsid w:val="00341E3C"/>
    <w:rsid w:val="00347E63"/>
    <w:rsid w:val="00360A68"/>
    <w:rsid w:val="003668CA"/>
    <w:rsid w:val="00371C4D"/>
    <w:rsid w:val="003748EC"/>
    <w:rsid w:val="00383D3C"/>
    <w:rsid w:val="0038543F"/>
    <w:rsid w:val="00390F64"/>
    <w:rsid w:val="0039285D"/>
    <w:rsid w:val="003A1DF5"/>
    <w:rsid w:val="003A3BBD"/>
    <w:rsid w:val="003A7CC8"/>
    <w:rsid w:val="003C2E24"/>
    <w:rsid w:val="003D394B"/>
    <w:rsid w:val="003E2ECA"/>
    <w:rsid w:val="003E3C86"/>
    <w:rsid w:val="003E3E79"/>
    <w:rsid w:val="003F7A6C"/>
    <w:rsid w:val="00405CB9"/>
    <w:rsid w:val="00410BBF"/>
    <w:rsid w:val="00414D58"/>
    <w:rsid w:val="00416EC8"/>
    <w:rsid w:val="0042766C"/>
    <w:rsid w:val="004325F4"/>
    <w:rsid w:val="00440CFD"/>
    <w:rsid w:val="00442052"/>
    <w:rsid w:val="00446A82"/>
    <w:rsid w:val="00447D07"/>
    <w:rsid w:val="00450428"/>
    <w:rsid w:val="004529A7"/>
    <w:rsid w:val="00472EC7"/>
    <w:rsid w:val="00485CEB"/>
    <w:rsid w:val="0048670D"/>
    <w:rsid w:val="00486738"/>
    <w:rsid w:val="00494A54"/>
    <w:rsid w:val="004A0B68"/>
    <w:rsid w:val="004A0F1E"/>
    <w:rsid w:val="004A62B6"/>
    <w:rsid w:val="004A78D6"/>
    <w:rsid w:val="004B028E"/>
    <w:rsid w:val="004B0A9C"/>
    <w:rsid w:val="004B3B10"/>
    <w:rsid w:val="004B765A"/>
    <w:rsid w:val="004B76BC"/>
    <w:rsid w:val="004C3163"/>
    <w:rsid w:val="004C679D"/>
    <w:rsid w:val="004D0B3B"/>
    <w:rsid w:val="004D5743"/>
    <w:rsid w:val="004D6699"/>
    <w:rsid w:val="004E1F14"/>
    <w:rsid w:val="004E5F38"/>
    <w:rsid w:val="004F4540"/>
    <w:rsid w:val="00501161"/>
    <w:rsid w:val="00501A67"/>
    <w:rsid w:val="00505166"/>
    <w:rsid w:val="00506ED9"/>
    <w:rsid w:val="00512E4F"/>
    <w:rsid w:val="005166E2"/>
    <w:rsid w:val="00525C6A"/>
    <w:rsid w:val="0052643B"/>
    <w:rsid w:val="00531AD0"/>
    <w:rsid w:val="005467F8"/>
    <w:rsid w:val="00552720"/>
    <w:rsid w:val="00553BAC"/>
    <w:rsid w:val="005560F8"/>
    <w:rsid w:val="00560E63"/>
    <w:rsid w:val="00565457"/>
    <w:rsid w:val="00571F27"/>
    <w:rsid w:val="00573A9B"/>
    <w:rsid w:val="00574225"/>
    <w:rsid w:val="0059171A"/>
    <w:rsid w:val="005923AA"/>
    <w:rsid w:val="005B3B3A"/>
    <w:rsid w:val="005B3C69"/>
    <w:rsid w:val="005B5D65"/>
    <w:rsid w:val="005B6B86"/>
    <w:rsid w:val="005C0AB7"/>
    <w:rsid w:val="005E1443"/>
    <w:rsid w:val="005E1A0C"/>
    <w:rsid w:val="005F61F1"/>
    <w:rsid w:val="00613D82"/>
    <w:rsid w:val="006316D9"/>
    <w:rsid w:val="006362F6"/>
    <w:rsid w:val="00641216"/>
    <w:rsid w:val="00644F85"/>
    <w:rsid w:val="006462BC"/>
    <w:rsid w:val="00647BE1"/>
    <w:rsid w:val="006525CA"/>
    <w:rsid w:val="00656D7D"/>
    <w:rsid w:val="00662DA8"/>
    <w:rsid w:val="006939E8"/>
    <w:rsid w:val="006A0D74"/>
    <w:rsid w:val="006A2954"/>
    <w:rsid w:val="006B38C7"/>
    <w:rsid w:val="006B3C2F"/>
    <w:rsid w:val="006B4056"/>
    <w:rsid w:val="006C035F"/>
    <w:rsid w:val="006D6A81"/>
    <w:rsid w:val="006E2FEE"/>
    <w:rsid w:val="006E3D15"/>
    <w:rsid w:val="006E5EC7"/>
    <w:rsid w:val="006F1AEF"/>
    <w:rsid w:val="007001E5"/>
    <w:rsid w:val="00703366"/>
    <w:rsid w:val="0070677B"/>
    <w:rsid w:val="00707647"/>
    <w:rsid w:val="00725466"/>
    <w:rsid w:val="00725B26"/>
    <w:rsid w:val="00727E31"/>
    <w:rsid w:val="007318AA"/>
    <w:rsid w:val="007373A4"/>
    <w:rsid w:val="007475FB"/>
    <w:rsid w:val="00747807"/>
    <w:rsid w:val="00753F83"/>
    <w:rsid w:val="00760FD7"/>
    <w:rsid w:val="00761C53"/>
    <w:rsid w:val="00767F65"/>
    <w:rsid w:val="00773238"/>
    <w:rsid w:val="0077394E"/>
    <w:rsid w:val="0077462D"/>
    <w:rsid w:val="00776971"/>
    <w:rsid w:val="00776D61"/>
    <w:rsid w:val="0078064D"/>
    <w:rsid w:val="00794BB9"/>
    <w:rsid w:val="007955A1"/>
    <w:rsid w:val="00795A86"/>
    <w:rsid w:val="0079663F"/>
    <w:rsid w:val="007A1807"/>
    <w:rsid w:val="007A5311"/>
    <w:rsid w:val="007B3495"/>
    <w:rsid w:val="007C6F5B"/>
    <w:rsid w:val="007D3865"/>
    <w:rsid w:val="007E6A21"/>
    <w:rsid w:val="007F4AEF"/>
    <w:rsid w:val="008134A9"/>
    <w:rsid w:val="00826088"/>
    <w:rsid w:val="00830346"/>
    <w:rsid w:val="00830393"/>
    <w:rsid w:val="00852B83"/>
    <w:rsid w:val="00856942"/>
    <w:rsid w:val="00856C22"/>
    <w:rsid w:val="00860D37"/>
    <w:rsid w:val="00861097"/>
    <w:rsid w:val="0086193B"/>
    <w:rsid w:val="008743DD"/>
    <w:rsid w:val="00882E1B"/>
    <w:rsid w:val="00893146"/>
    <w:rsid w:val="0089470B"/>
    <w:rsid w:val="00895355"/>
    <w:rsid w:val="00896BDB"/>
    <w:rsid w:val="008A1759"/>
    <w:rsid w:val="008A5900"/>
    <w:rsid w:val="008B209C"/>
    <w:rsid w:val="008B5BD4"/>
    <w:rsid w:val="008C3C8E"/>
    <w:rsid w:val="008E6719"/>
    <w:rsid w:val="008E6952"/>
    <w:rsid w:val="00906C5F"/>
    <w:rsid w:val="00910464"/>
    <w:rsid w:val="00924834"/>
    <w:rsid w:val="00933EB0"/>
    <w:rsid w:val="00937F44"/>
    <w:rsid w:val="00943B57"/>
    <w:rsid w:val="00964E19"/>
    <w:rsid w:val="00965958"/>
    <w:rsid w:val="00967C51"/>
    <w:rsid w:val="00972D9E"/>
    <w:rsid w:val="009741B8"/>
    <w:rsid w:val="00983FC3"/>
    <w:rsid w:val="0099521C"/>
    <w:rsid w:val="009A0093"/>
    <w:rsid w:val="009A24EE"/>
    <w:rsid w:val="009A2E2E"/>
    <w:rsid w:val="009B0FC0"/>
    <w:rsid w:val="009B7B71"/>
    <w:rsid w:val="009C21C8"/>
    <w:rsid w:val="009C74E6"/>
    <w:rsid w:val="009D5FD0"/>
    <w:rsid w:val="009E554A"/>
    <w:rsid w:val="009F549A"/>
    <w:rsid w:val="009F6B2C"/>
    <w:rsid w:val="00A011FE"/>
    <w:rsid w:val="00A02A12"/>
    <w:rsid w:val="00A05F6C"/>
    <w:rsid w:val="00A06B56"/>
    <w:rsid w:val="00A06B69"/>
    <w:rsid w:val="00A06C98"/>
    <w:rsid w:val="00A117F7"/>
    <w:rsid w:val="00A22BE6"/>
    <w:rsid w:val="00A25429"/>
    <w:rsid w:val="00A31A14"/>
    <w:rsid w:val="00A336DA"/>
    <w:rsid w:val="00A34A98"/>
    <w:rsid w:val="00A374F4"/>
    <w:rsid w:val="00A43D5E"/>
    <w:rsid w:val="00A5051C"/>
    <w:rsid w:val="00A510C5"/>
    <w:rsid w:val="00A57090"/>
    <w:rsid w:val="00A621F9"/>
    <w:rsid w:val="00A63828"/>
    <w:rsid w:val="00A65B10"/>
    <w:rsid w:val="00A67191"/>
    <w:rsid w:val="00A67753"/>
    <w:rsid w:val="00A71AA9"/>
    <w:rsid w:val="00A72A8E"/>
    <w:rsid w:val="00A73A49"/>
    <w:rsid w:val="00A752A6"/>
    <w:rsid w:val="00A84817"/>
    <w:rsid w:val="00A865D4"/>
    <w:rsid w:val="00A95EDE"/>
    <w:rsid w:val="00A96833"/>
    <w:rsid w:val="00AA2567"/>
    <w:rsid w:val="00AA5EC5"/>
    <w:rsid w:val="00AA6AE8"/>
    <w:rsid w:val="00AB18C8"/>
    <w:rsid w:val="00AB5779"/>
    <w:rsid w:val="00AC294D"/>
    <w:rsid w:val="00AC58A1"/>
    <w:rsid w:val="00AC5C9B"/>
    <w:rsid w:val="00AD01A7"/>
    <w:rsid w:val="00AF5CEF"/>
    <w:rsid w:val="00AF6561"/>
    <w:rsid w:val="00B06D51"/>
    <w:rsid w:val="00B11C80"/>
    <w:rsid w:val="00B26881"/>
    <w:rsid w:val="00B27B29"/>
    <w:rsid w:val="00B33930"/>
    <w:rsid w:val="00B40BA6"/>
    <w:rsid w:val="00B50005"/>
    <w:rsid w:val="00B51C7E"/>
    <w:rsid w:val="00B53214"/>
    <w:rsid w:val="00B541A7"/>
    <w:rsid w:val="00B554A5"/>
    <w:rsid w:val="00B60826"/>
    <w:rsid w:val="00B66225"/>
    <w:rsid w:val="00B71125"/>
    <w:rsid w:val="00B7305B"/>
    <w:rsid w:val="00B73240"/>
    <w:rsid w:val="00B81919"/>
    <w:rsid w:val="00B82D08"/>
    <w:rsid w:val="00BA3859"/>
    <w:rsid w:val="00BA4437"/>
    <w:rsid w:val="00BA53D5"/>
    <w:rsid w:val="00BA6D89"/>
    <w:rsid w:val="00BB012B"/>
    <w:rsid w:val="00BB116A"/>
    <w:rsid w:val="00BB6632"/>
    <w:rsid w:val="00BB7349"/>
    <w:rsid w:val="00BC0774"/>
    <w:rsid w:val="00BC091B"/>
    <w:rsid w:val="00BC3DA8"/>
    <w:rsid w:val="00BC448B"/>
    <w:rsid w:val="00BC5028"/>
    <w:rsid w:val="00BD5AA8"/>
    <w:rsid w:val="00C022EF"/>
    <w:rsid w:val="00C02ECF"/>
    <w:rsid w:val="00C04EE1"/>
    <w:rsid w:val="00C057B7"/>
    <w:rsid w:val="00C066D2"/>
    <w:rsid w:val="00C16369"/>
    <w:rsid w:val="00C32061"/>
    <w:rsid w:val="00C33811"/>
    <w:rsid w:val="00C35A11"/>
    <w:rsid w:val="00C36D5A"/>
    <w:rsid w:val="00C40F8A"/>
    <w:rsid w:val="00C454B8"/>
    <w:rsid w:val="00C53B5F"/>
    <w:rsid w:val="00C559E8"/>
    <w:rsid w:val="00C627E8"/>
    <w:rsid w:val="00C651E7"/>
    <w:rsid w:val="00C70A35"/>
    <w:rsid w:val="00C73BD1"/>
    <w:rsid w:val="00C86393"/>
    <w:rsid w:val="00C97C93"/>
    <w:rsid w:val="00CC0808"/>
    <w:rsid w:val="00CC18DC"/>
    <w:rsid w:val="00CC2B2C"/>
    <w:rsid w:val="00CC4E84"/>
    <w:rsid w:val="00CD17BC"/>
    <w:rsid w:val="00CD19A4"/>
    <w:rsid w:val="00CE1460"/>
    <w:rsid w:val="00CE436C"/>
    <w:rsid w:val="00CF544A"/>
    <w:rsid w:val="00CF5DB8"/>
    <w:rsid w:val="00CF6E5D"/>
    <w:rsid w:val="00CF7222"/>
    <w:rsid w:val="00D0171F"/>
    <w:rsid w:val="00D1556A"/>
    <w:rsid w:val="00D2193C"/>
    <w:rsid w:val="00D26CA6"/>
    <w:rsid w:val="00D34FDC"/>
    <w:rsid w:val="00D35DA0"/>
    <w:rsid w:val="00D401E3"/>
    <w:rsid w:val="00D45721"/>
    <w:rsid w:val="00D50FDD"/>
    <w:rsid w:val="00D62652"/>
    <w:rsid w:val="00D703B5"/>
    <w:rsid w:val="00D70E29"/>
    <w:rsid w:val="00D70F24"/>
    <w:rsid w:val="00D77C57"/>
    <w:rsid w:val="00D77DCE"/>
    <w:rsid w:val="00D84927"/>
    <w:rsid w:val="00DB07D4"/>
    <w:rsid w:val="00DB3748"/>
    <w:rsid w:val="00DB6734"/>
    <w:rsid w:val="00DC0427"/>
    <w:rsid w:val="00DD4E59"/>
    <w:rsid w:val="00DD5616"/>
    <w:rsid w:val="00DF1712"/>
    <w:rsid w:val="00E00B06"/>
    <w:rsid w:val="00E019DF"/>
    <w:rsid w:val="00E0696D"/>
    <w:rsid w:val="00E10339"/>
    <w:rsid w:val="00E13E5E"/>
    <w:rsid w:val="00E1797A"/>
    <w:rsid w:val="00E230AF"/>
    <w:rsid w:val="00E30B5D"/>
    <w:rsid w:val="00E31286"/>
    <w:rsid w:val="00E47405"/>
    <w:rsid w:val="00E66196"/>
    <w:rsid w:val="00E87E81"/>
    <w:rsid w:val="00E91836"/>
    <w:rsid w:val="00E969E2"/>
    <w:rsid w:val="00EA2414"/>
    <w:rsid w:val="00EA7946"/>
    <w:rsid w:val="00EB1722"/>
    <w:rsid w:val="00EB199D"/>
    <w:rsid w:val="00EB3586"/>
    <w:rsid w:val="00EB57CC"/>
    <w:rsid w:val="00EB7EC8"/>
    <w:rsid w:val="00EC1B4F"/>
    <w:rsid w:val="00ED3D6A"/>
    <w:rsid w:val="00EE118D"/>
    <w:rsid w:val="00EF5F07"/>
    <w:rsid w:val="00F34244"/>
    <w:rsid w:val="00F4413B"/>
    <w:rsid w:val="00F56608"/>
    <w:rsid w:val="00F60B4C"/>
    <w:rsid w:val="00F7073C"/>
    <w:rsid w:val="00F724C5"/>
    <w:rsid w:val="00F732B6"/>
    <w:rsid w:val="00F8165F"/>
    <w:rsid w:val="00F93390"/>
    <w:rsid w:val="00F96EF8"/>
    <w:rsid w:val="00FA21C2"/>
    <w:rsid w:val="00FA2BD5"/>
    <w:rsid w:val="00FB6413"/>
    <w:rsid w:val="00FC3EC0"/>
    <w:rsid w:val="00FC4BD7"/>
    <w:rsid w:val="00FC5AA3"/>
    <w:rsid w:val="00FC6D10"/>
    <w:rsid w:val="00FD11F5"/>
    <w:rsid w:val="00FD2A21"/>
    <w:rsid w:val="00FD2B35"/>
    <w:rsid w:val="00FD5FB8"/>
    <w:rsid w:val="00FD6F41"/>
    <w:rsid w:val="00FF0E89"/>
    <w:rsid w:val="00FF1E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5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6561"/>
    <w:rPr>
      <w:color w:val="0000FF"/>
      <w:u w:val="single"/>
    </w:rPr>
  </w:style>
  <w:style w:type="paragraph" w:styleId="ListParagraph">
    <w:name w:val="List Paragraph"/>
    <w:basedOn w:val="Normal"/>
    <w:uiPriority w:val="34"/>
    <w:qFormat/>
    <w:rsid w:val="002E6D86"/>
    <w:pPr>
      <w:ind w:left="720"/>
      <w:contextualSpacing/>
    </w:pPr>
  </w:style>
  <w:style w:type="paragraph" w:styleId="FootnoteText">
    <w:name w:val="footnote text"/>
    <w:basedOn w:val="Normal"/>
    <w:link w:val="FootnoteTextChar"/>
    <w:uiPriority w:val="99"/>
    <w:semiHidden/>
    <w:unhideWhenUsed/>
    <w:rsid w:val="002E6D86"/>
    <w:rPr>
      <w:sz w:val="20"/>
      <w:szCs w:val="20"/>
    </w:rPr>
  </w:style>
  <w:style w:type="character" w:customStyle="1" w:styleId="FootnoteTextChar">
    <w:name w:val="Footnote Text Char"/>
    <w:basedOn w:val="DefaultParagraphFont"/>
    <w:link w:val="FootnoteText"/>
    <w:uiPriority w:val="99"/>
    <w:semiHidden/>
    <w:rsid w:val="002E6D86"/>
  </w:style>
  <w:style w:type="character" w:styleId="FootnoteReference">
    <w:name w:val="footnote reference"/>
    <w:basedOn w:val="DefaultParagraphFont"/>
    <w:uiPriority w:val="99"/>
    <w:semiHidden/>
    <w:unhideWhenUsed/>
    <w:rsid w:val="002E6D86"/>
    <w:rPr>
      <w:vertAlign w:val="superscript"/>
    </w:rPr>
  </w:style>
  <w:style w:type="paragraph" w:styleId="Header">
    <w:name w:val="header"/>
    <w:basedOn w:val="Normal"/>
    <w:link w:val="HeaderChar"/>
    <w:uiPriority w:val="99"/>
    <w:semiHidden/>
    <w:unhideWhenUsed/>
    <w:rsid w:val="00A31A14"/>
    <w:pPr>
      <w:tabs>
        <w:tab w:val="center" w:pos="4680"/>
        <w:tab w:val="right" w:pos="9360"/>
      </w:tabs>
    </w:pPr>
  </w:style>
  <w:style w:type="character" w:customStyle="1" w:styleId="HeaderChar">
    <w:name w:val="Header Char"/>
    <w:basedOn w:val="DefaultParagraphFont"/>
    <w:link w:val="Header"/>
    <w:uiPriority w:val="99"/>
    <w:semiHidden/>
    <w:rsid w:val="00A31A14"/>
    <w:rPr>
      <w:sz w:val="24"/>
      <w:szCs w:val="24"/>
    </w:rPr>
  </w:style>
  <w:style w:type="paragraph" w:styleId="Footer">
    <w:name w:val="footer"/>
    <w:basedOn w:val="Normal"/>
    <w:link w:val="FooterChar"/>
    <w:uiPriority w:val="99"/>
    <w:unhideWhenUsed/>
    <w:rsid w:val="00A31A14"/>
    <w:pPr>
      <w:tabs>
        <w:tab w:val="center" w:pos="4680"/>
        <w:tab w:val="right" w:pos="9360"/>
      </w:tabs>
    </w:pPr>
  </w:style>
  <w:style w:type="character" w:customStyle="1" w:styleId="FooterChar">
    <w:name w:val="Footer Char"/>
    <w:basedOn w:val="DefaultParagraphFont"/>
    <w:link w:val="Footer"/>
    <w:uiPriority w:val="99"/>
    <w:rsid w:val="00A31A14"/>
    <w:rPr>
      <w:sz w:val="24"/>
      <w:szCs w:val="24"/>
    </w:rPr>
  </w:style>
  <w:style w:type="paragraph" w:styleId="NormalWeb">
    <w:name w:val="Normal (Web)"/>
    <w:basedOn w:val="Normal"/>
    <w:uiPriority w:val="99"/>
    <w:unhideWhenUsed/>
    <w:rsid w:val="00725B26"/>
    <w:pPr>
      <w:spacing w:before="100" w:beforeAutospacing="1" w:after="100" w:afterAutospacing="1"/>
    </w:pPr>
  </w:style>
  <w:style w:type="paragraph" w:styleId="BalloonText">
    <w:name w:val="Balloon Text"/>
    <w:basedOn w:val="Normal"/>
    <w:link w:val="BalloonTextChar"/>
    <w:uiPriority w:val="99"/>
    <w:semiHidden/>
    <w:unhideWhenUsed/>
    <w:rsid w:val="00773238"/>
    <w:rPr>
      <w:rFonts w:ascii="Tahoma" w:hAnsi="Tahoma" w:cs="Tahoma"/>
      <w:sz w:val="16"/>
      <w:szCs w:val="16"/>
    </w:rPr>
  </w:style>
  <w:style w:type="character" w:customStyle="1" w:styleId="BalloonTextChar">
    <w:name w:val="Balloon Text Char"/>
    <w:basedOn w:val="DefaultParagraphFont"/>
    <w:link w:val="BalloonText"/>
    <w:uiPriority w:val="99"/>
    <w:semiHidden/>
    <w:rsid w:val="00773238"/>
    <w:rPr>
      <w:rFonts w:ascii="Tahoma" w:hAnsi="Tahoma" w:cs="Tahoma"/>
      <w:sz w:val="16"/>
      <w:szCs w:val="16"/>
    </w:rPr>
  </w:style>
  <w:style w:type="character" w:styleId="CommentReference">
    <w:name w:val="annotation reference"/>
    <w:basedOn w:val="DefaultParagraphFont"/>
    <w:uiPriority w:val="99"/>
    <w:semiHidden/>
    <w:unhideWhenUsed/>
    <w:rsid w:val="00EB3586"/>
    <w:rPr>
      <w:sz w:val="16"/>
      <w:szCs w:val="16"/>
    </w:rPr>
  </w:style>
  <w:style w:type="paragraph" w:styleId="CommentText">
    <w:name w:val="annotation text"/>
    <w:basedOn w:val="Normal"/>
    <w:link w:val="CommentTextChar"/>
    <w:uiPriority w:val="99"/>
    <w:semiHidden/>
    <w:unhideWhenUsed/>
    <w:rsid w:val="00EB3586"/>
    <w:rPr>
      <w:sz w:val="20"/>
      <w:szCs w:val="20"/>
    </w:rPr>
  </w:style>
  <w:style w:type="character" w:customStyle="1" w:styleId="CommentTextChar">
    <w:name w:val="Comment Text Char"/>
    <w:basedOn w:val="DefaultParagraphFont"/>
    <w:link w:val="CommentText"/>
    <w:uiPriority w:val="99"/>
    <w:semiHidden/>
    <w:rsid w:val="00EB3586"/>
  </w:style>
  <w:style w:type="paragraph" w:styleId="CommentSubject">
    <w:name w:val="annotation subject"/>
    <w:basedOn w:val="CommentText"/>
    <w:next w:val="CommentText"/>
    <w:link w:val="CommentSubjectChar"/>
    <w:uiPriority w:val="99"/>
    <w:semiHidden/>
    <w:unhideWhenUsed/>
    <w:rsid w:val="00EB3586"/>
    <w:rPr>
      <w:b/>
      <w:bCs/>
    </w:rPr>
  </w:style>
  <w:style w:type="character" w:customStyle="1" w:styleId="CommentSubjectChar">
    <w:name w:val="Comment Subject Char"/>
    <w:basedOn w:val="CommentTextChar"/>
    <w:link w:val="CommentSubject"/>
    <w:uiPriority w:val="99"/>
    <w:semiHidden/>
    <w:rsid w:val="00EB3586"/>
    <w:rPr>
      <w:b/>
      <w:bCs/>
    </w:rPr>
  </w:style>
  <w:style w:type="paragraph" w:customStyle="1" w:styleId="Default">
    <w:name w:val="Default"/>
    <w:rsid w:val="004B76BC"/>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2193C"/>
    <w:rPr>
      <w:sz w:val="20"/>
      <w:szCs w:val="20"/>
    </w:rPr>
  </w:style>
  <w:style w:type="character" w:customStyle="1" w:styleId="EndnoteTextChar">
    <w:name w:val="Endnote Text Char"/>
    <w:basedOn w:val="DefaultParagraphFont"/>
    <w:link w:val="EndnoteText"/>
    <w:uiPriority w:val="99"/>
    <w:semiHidden/>
    <w:rsid w:val="00D2193C"/>
  </w:style>
  <w:style w:type="character" w:styleId="EndnoteReference">
    <w:name w:val="endnote reference"/>
    <w:basedOn w:val="DefaultParagraphFont"/>
    <w:uiPriority w:val="99"/>
    <w:semiHidden/>
    <w:unhideWhenUsed/>
    <w:rsid w:val="00D2193C"/>
    <w:rPr>
      <w:vertAlign w:val="superscript"/>
    </w:rPr>
  </w:style>
  <w:style w:type="paragraph" w:customStyle="1" w:styleId="Pa3">
    <w:name w:val="Pa3"/>
    <w:basedOn w:val="Normal"/>
    <w:next w:val="Normal"/>
    <w:uiPriority w:val="99"/>
    <w:rsid w:val="006A2954"/>
    <w:pPr>
      <w:autoSpaceDE w:val="0"/>
      <w:autoSpaceDN w:val="0"/>
      <w:adjustRightInd w:val="0"/>
      <w:spacing w:line="221" w:lineRule="atLeast"/>
    </w:pPr>
    <w:rPr>
      <w:rFonts w:ascii="Baskerville Book" w:eastAsiaTheme="minorHAnsi" w:hAnsi="Baskerville Book" w:cstheme="minorBidi"/>
    </w:rPr>
  </w:style>
  <w:style w:type="paragraph" w:customStyle="1" w:styleId="SP-SglSpPara">
    <w:name w:val="SP-Sgl Sp Para"/>
    <w:link w:val="SP-SglSpParaChar"/>
    <w:rsid w:val="009A2E2E"/>
    <w:pPr>
      <w:tabs>
        <w:tab w:val="left" w:pos="576"/>
      </w:tabs>
      <w:spacing w:line="240" w:lineRule="atLeast"/>
      <w:ind w:firstLine="576"/>
      <w:jc w:val="both"/>
    </w:pPr>
    <w:rPr>
      <w:sz w:val="22"/>
    </w:rPr>
  </w:style>
  <w:style w:type="character" w:customStyle="1" w:styleId="SP-SglSpParaChar">
    <w:name w:val="SP-Sgl Sp Para Char"/>
    <w:basedOn w:val="DefaultParagraphFont"/>
    <w:link w:val="SP-SglSpPara"/>
    <w:rsid w:val="009A2E2E"/>
    <w:rPr>
      <w:sz w:val="22"/>
    </w:rPr>
  </w:style>
  <w:style w:type="table" w:styleId="TableGrid">
    <w:name w:val="Table Grid"/>
    <w:basedOn w:val="TableNormal"/>
    <w:uiPriority w:val="59"/>
    <w:rsid w:val="009A2E2E"/>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6E2FEE"/>
    <w:rPr>
      <w:b/>
      <w:bCs/>
    </w:rPr>
  </w:style>
  <w:style w:type="character" w:customStyle="1" w:styleId="street-address">
    <w:name w:val="street-address"/>
    <w:basedOn w:val="DefaultParagraphFont"/>
    <w:rsid w:val="00A25429"/>
  </w:style>
  <w:style w:type="character" w:customStyle="1" w:styleId="locality">
    <w:name w:val="locality"/>
    <w:basedOn w:val="DefaultParagraphFont"/>
    <w:rsid w:val="00A25429"/>
  </w:style>
  <w:style w:type="character" w:customStyle="1" w:styleId="region">
    <w:name w:val="region"/>
    <w:basedOn w:val="DefaultParagraphFont"/>
    <w:rsid w:val="00A25429"/>
  </w:style>
  <w:style w:type="character" w:customStyle="1" w:styleId="postal-code">
    <w:name w:val="postal-code"/>
    <w:basedOn w:val="DefaultParagraphFont"/>
    <w:rsid w:val="00A25429"/>
  </w:style>
  <w:style w:type="paragraph" w:styleId="Revision">
    <w:name w:val="Revision"/>
    <w:hidden/>
    <w:uiPriority w:val="99"/>
    <w:semiHidden/>
    <w:rsid w:val="0079663F"/>
    <w:rPr>
      <w:sz w:val="24"/>
      <w:szCs w:val="24"/>
    </w:rPr>
  </w:style>
</w:styles>
</file>

<file path=word/webSettings.xml><?xml version="1.0" encoding="utf-8"?>
<w:webSettings xmlns:r="http://schemas.openxmlformats.org/officeDocument/2006/relationships" xmlns:w="http://schemas.openxmlformats.org/wordprocessingml/2006/main">
  <w:divs>
    <w:div w:id="707343049">
      <w:bodyDiv w:val="1"/>
      <w:marLeft w:val="0"/>
      <w:marRight w:val="0"/>
      <w:marTop w:val="0"/>
      <w:marBottom w:val="0"/>
      <w:divBdr>
        <w:top w:val="none" w:sz="0" w:space="0" w:color="auto"/>
        <w:left w:val="none" w:sz="0" w:space="0" w:color="auto"/>
        <w:bottom w:val="none" w:sz="0" w:space="0" w:color="auto"/>
        <w:right w:val="none" w:sz="0" w:space="0" w:color="auto"/>
      </w:divBdr>
    </w:div>
    <w:div w:id="1032461043">
      <w:bodyDiv w:val="1"/>
      <w:marLeft w:val="0"/>
      <w:marRight w:val="0"/>
      <w:marTop w:val="0"/>
      <w:marBottom w:val="0"/>
      <w:divBdr>
        <w:top w:val="none" w:sz="0" w:space="0" w:color="auto"/>
        <w:left w:val="none" w:sz="0" w:space="0" w:color="auto"/>
        <w:bottom w:val="none" w:sz="0" w:space="0" w:color="auto"/>
        <w:right w:val="none" w:sz="0" w:space="0" w:color="auto"/>
      </w:divBdr>
    </w:div>
    <w:div w:id="1336999965">
      <w:bodyDiv w:val="1"/>
      <w:marLeft w:val="0"/>
      <w:marRight w:val="0"/>
      <w:marTop w:val="38"/>
      <w:marBottom w:val="0"/>
      <w:divBdr>
        <w:top w:val="none" w:sz="0" w:space="0" w:color="auto"/>
        <w:left w:val="none" w:sz="0" w:space="0" w:color="auto"/>
        <w:bottom w:val="none" w:sz="0" w:space="0" w:color="auto"/>
        <w:right w:val="none" w:sz="0" w:space="0" w:color="auto"/>
      </w:divBdr>
      <w:divsChild>
        <w:div w:id="1738160814">
          <w:marLeft w:val="0"/>
          <w:marRight w:val="0"/>
          <w:marTop w:val="0"/>
          <w:marBottom w:val="0"/>
          <w:divBdr>
            <w:top w:val="none" w:sz="0" w:space="0" w:color="auto"/>
            <w:left w:val="none" w:sz="0" w:space="0" w:color="auto"/>
            <w:bottom w:val="none" w:sz="0" w:space="0" w:color="auto"/>
            <w:right w:val="none" w:sz="0" w:space="0" w:color="auto"/>
          </w:divBdr>
          <w:divsChild>
            <w:div w:id="318968129">
              <w:marLeft w:val="0"/>
              <w:marRight w:val="0"/>
              <w:marTop w:val="0"/>
              <w:marBottom w:val="0"/>
              <w:divBdr>
                <w:top w:val="none" w:sz="0" w:space="0" w:color="auto"/>
                <w:left w:val="none" w:sz="0" w:space="0" w:color="auto"/>
                <w:bottom w:val="none" w:sz="0" w:space="0" w:color="auto"/>
                <w:right w:val="none" w:sz="0" w:space="0" w:color="auto"/>
              </w:divBdr>
              <w:divsChild>
                <w:div w:id="1994680278">
                  <w:marLeft w:val="0"/>
                  <w:marRight w:val="0"/>
                  <w:marTop w:val="0"/>
                  <w:marBottom w:val="0"/>
                  <w:divBdr>
                    <w:top w:val="none" w:sz="0" w:space="0" w:color="auto"/>
                    <w:left w:val="none" w:sz="0" w:space="0" w:color="auto"/>
                    <w:bottom w:val="none" w:sz="0" w:space="0" w:color="auto"/>
                    <w:right w:val="none" w:sz="0" w:space="0" w:color="auto"/>
                  </w:divBdr>
                  <w:divsChild>
                    <w:div w:id="1687093361">
                      <w:marLeft w:val="0"/>
                      <w:marRight w:val="0"/>
                      <w:marTop w:val="0"/>
                      <w:marBottom w:val="0"/>
                      <w:divBdr>
                        <w:top w:val="none" w:sz="0" w:space="0" w:color="auto"/>
                        <w:left w:val="none" w:sz="0" w:space="0" w:color="auto"/>
                        <w:bottom w:val="none" w:sz="0" w:space="0" w:color="auto"/>
                        <w:right w:val="none" w:sz="0" w:space="0" w:color="auto"/>
                      </w:divBdr>
                      <w:divsChild>
                        <w:div w:id="1634368777">
                          <w:marLeft w:val="0"/>
                          <w:marRight w:val="0"/>
                          <w:marTop w:val="0"/>
                          <w:marBottom w:val="0"/>
                          <w:divBdr>
                            <w:top w:val="none" w:sz="0" w:space="0" w:color="auto"/>
                            <w:left w:val="none" w:sz="0" w:space="0" w:color="auto"/>
                            <w:bottom w:val="none" w:sz="0" w:space="0" w:color="auto"/>
                            <w:right w:val="none" w:sz="0" w:space="0" w:color="auto"/>
                          </w:divBdr>
                          <w:divsChild>
                            <w:div w:id="743114655">
                              <w:marLeft w:val="0"/>
                              <w:marRight w:val="0"/>
                              <w:marTop w:val="0"/>
                              <w:marBottom w:val="0"/>
                              <w:divBdr>
                                <w:top w:val="none" w:sz="0" w:space="0" w:color="auto"/>
                                <w:left w:val="none" w:sz="0" w:space="0" w:color="auto"/>
                                <w:bottom w:val="none" w:sz="0" w:space="0" w:color="auto"/>
                                <w:right w:val="none" w:sz="0" w:space="0" w:color="auto"/>
                              </w:divBdr>
                              <w:divsChild>
                                <w:div w:id="154685974">
                                  <w:marLeft w:val="0"/>
                                  <w:marRight w:val="0"/>
                                  <w:marTop w:val="0"/>
                                  <w:marBottom w:val="0"/>
                                  <w:divBdr>
                                    <w:top w:val="none" w:sz="0" w:space="0" w:color="auto"/>
                                    <w:left w:val="none" w:sz="0" w:space="0" w:color="auto"/>
                                    <w:bottom w:val="none" w:sz="0" w:space="0" w:color="auto"/>
                                    <w:right w:val="none" w:sz="0" w:space="0" w:color="auto"/>
                                  </w:divBdr>
                                  <w:divsChild>
                                    <w:div w:id="76441077">
                                      <w:marLeft w:val="0"/>
                                      <w:marRight w:val="0"/>
                                      <w:marTop w:val="0"/>
                                      <w:marBottom w:val="0"/>
                                      <w:divBdr>
                                        <w:top w:val="none" w:sz="0" w:space="0" w:color="auto"/>
                                        <w:left w:val="none" w:sz="0" w:space="0" w:color="auto"/>
                                        <w:bottom w:val="none" w:sz="0" w:space="0" w:color="auto"/>
                                        <w:right w:val="none" w:sz="0" w:space="0" w:color="auto"/>
                                      </w:divBdr>
                                      <w:divsChild>
                                        <w:div w:id="473378412">
                                          <w:marLeft w:val="0"/>
                                          <w:marRight w:val="0"/>
                                          <w:marTop w:val="0"/>
                                          <w:marBottom w:val="0"/>
                                          <w:divBdr>
                                            <w:top w:val="none" w:sz="0" w:space="0" w:color="auto"/>
                                            <w:left w:val="none" w:sz="0" w:space="0" w:color="auto"/>
                                            <w:bottom w:val="none" w:sz="0" w:space="0" w:color="auto"/>
                                            <w:right w:val="none" w:sz="0" w:space="0" w:color="auto"/>
                                          </w:divBdr>
                                          <w:divsChild>
                                            <w:div w:id="693192079">
                                              <w:marLeft w:val="0"/>
                                              <w:marRight w:val="0"/>
                                              <w:marTop w:val="0"/>
                                              <w:marBottom w:val="0"/>
                                              <w:divBdr>
                                                <w:top w:val="none" w:sz="0" w:space="0" w:color="auto"/>
                                                <w:left w:val="none" w:sz="0" w:space="0" w:color="auto"/>
                                                <w:bottom w:val="none" w:sz="0" w:space="0" w:color="auto"/>
                                                <w:right w:val="none" w:sz="0" w:space="0" w:color="auto"/>
                                              </w:divBdr>
                                              <w:divsChild>
                                                <w:div w:id="1632903235">
                                                  <w:marLeft w:val="0"/>
                                                  <w:marRight w:val="0"/>
                                                  <w:marTop w:val="0"/>
                                                  <w:marBottom w:val="0"/>
                                                  <w:divBdr>
                                                    <w:top w:val="none" w:sz="0" w:space="0" w:color="auto"/>
                                                    <w:left w:val="none" w:sz="0" w:space="0" w:color="auto"/>
                                                    <w:bottom w:val="none" w:sz="0" w:space="0" w:color="auto"/>
                                                    <w:right w:val="none" w:sz="0" w:space="0" w:color="auto"/>
                                                  </w:divBdr>
                                                  <w:divsChild>
                                                    <w:div w:id="1989168396">
                                                      <w:marLeft w:val="0"/>
                                                      <w:marRight w:val="0"/>
                                                      <w:marTop w:val="0"/>
                                                      <w:marBottom w:val="0"/>
                                                      <w:divBdr>
                                                        <w:top w:val="none" w:sz="0" w:space="0" w:color="auto"/>
                                                        <w:left w:val="none" w:sz="0" w:space="0" w:color="auto"/>
                                                        <w:bottom w:val="none" w:sz="0" w:space="0" w:color="auto"/>
                                                        <w:right w:val="none" w:sz="0" w:space="0" w:color="auto"/>
                                                      </w:divBdr>
                                                      <w:divsChild>
                                                        <w:div w:id="2042126633">
                                                          <w:marLeft w:val="0"/>
                                                          <w:marRight w:val="0"/>
                                                          <w:marTop w:val="0"/>
                                                          <w:marBottom w:val="0"/>
                                                          <w:divBdr>
                                                            <w:top w:val="none" w:sz="0" w:space="0" w:color="auto"/>
                                                            <w:left w:val="none" w:sz="0" w:space="0" w:color="auto"/>
                                                            <w:bottom w:val="none" w:sz="0" w:space="0" w:color="auto"/>
                                                            <w:right w:val="none" w:sz="0" w:space="0" w:color="auto"/>
                                                          </w:divBdr>
                                                          <w:divsChild>
                                                            <w:div w:id="1320111614">
                                                              <w:marLeft w:val="0"/>
                                                              <w:marRight w:val="0"/>
                                                              <w:marTop w:val="0"/>
                                                              <w:marBottom w:val="0"/>
                                                              <w:divBdr>
                                                                <w:top w:val="none" w:sz="0" w:space="0" w:color="auto"/>
                                                                <w:left w:val="none" w:sz="0" w:space="0" w:color="auto"/>
                                                                <w:bottom w:val="none" w:sz="0" w:space="0" w:color="auto"/>
                                                                <w:right w:val="none" w:sz="0" w:space="0" w:color="auto"/>
                                                              </w:divBdr>
                                                              <w:divsChild>
                                                                <w:div w:id="1907103085">
                                                                  <w:marLeft w:val="0"/>
                                                                  <w:marRight w:val="0"/>
                                                                  <w:marTop w:val="0"/>
                                                                  <w:marBottom w:val="0"/>
                                                                  <w:divBdr>
                                                                    <w:top w:val="none" w:sz="0" w:space="0" w:color="auto"/>
                                                                    <w:left w:val="none" w:sz="0" w:space="0" w:color="auto"/>
                                                                    <w:bottom w:val="none" w:sz="0" w:space="0" w:color="auto"/>
                                                                    <w:right w:val="none" w:sz="0" w:space="0" w:color="auto"/>
                                                                  </w:divBdr>
                                                                </w:div>
                                                                <w:div w:id="1991513741">
                                                                  <w:marLeft w:val="0"/>
                                                                  <w:marRight w:val="0"/>
                                                                  <w:marTop w:val="0"/>
                                                                  <w:marBottom w:val="0"/>
                                                                  <w:divBdr>
                                                                    <w:top w:val="none" w:sz="0" w:space="0" w:color="auto"/>
                                                                    <w:left w:val="none" w:sz="0" w:space="0" w:color="auto"/>
                                                                    <w:bottom w:val="none" w:sz="0" w:space="0" w:color="auto"/>
                                                                    <w:right w:val="none" w:sz="0" w:space="0" w:color="auto"/>
                                                                  </w:divBdr>
                                                                </w:div>
                                                                <w:div w:id="915826060">
                                                                  <w:marLeft w:val="0"/>
                                                                  <w:marRight w:val="0"/>
                                                                  <w:marTop w:val="0"/>
                                                                  <w:marBottom w:val="0"/>
                                                                  <w:divBdr>
                                                                    <w:top w:val="none" w:sz="0" w:space="0" w:color="auto"/>
                                                                    <w:left w:val="none" w:sz="0" w:space="0" w:color="auto"/>
                                                                    <w:bottom w:val="none" w:sz="0" w:space="0" w:color="auto"/>
                                                                    <w:right w:val="none" w:sz="0" w:space="0" w:color="auto"/>
                                                                  </w:divBdr>
                                                                </w:div>
                                                              </w:divsChild>
                                                            </w:div>
                                                            <w:div w:id="498084704">
                                                              <w:marLeft w:val="0"/>
                                                              <w:marRight w:val="0"/>
                                                              <w:marTop w:val="0"/>
                                                              <w:marBottom w:val="0"/>
                                                              <w:divBdr>
                                                                <w:top w:val="none" w:sz="0" w:space="0" w:color="auto"/>
                                                                <w:left w:val="none" w:sz="0" w:space="0" w:color="auto"/>
                                                                <w:bottom w:val="none" w:sz="0" w:space="0" w:color="auto"/>
                                                                <w:right w:val="none" w:sz="0" w:space="0" w:color="auto"/>
                                                              </w:divBdr>
                                                              <w:divsChild>
                                                                <w:div w:id="957495301">
                                                                  <w:marLeft w:val="0"/>
                                                                  <w:marRight w:val="0"/>
                                                                  <w:marTop w:val="0"/>
                                                                  <w:marBottom w:val="0"/>
                                                                  <w:divBdr>
                                                                    <w:top w:val="none" w:sz="0" w:space="0" w:color="auto"/>
                                                                    <w:left w:val="none" w:sz="0" w:space="0" w:color="auto"/>
                                                                    <w:bottom w:val="none" w:sz="0" w:space="0" w:color="auto"/>
                                                                    <w:right w:val="none" w:sz="0" w:space="0" w:color="auto"/>
                                                                  </w:divBdr>
                                                                </w:div>
                                                              </w:divsChild>
                                                            </w:div>
                                                            <w:div w:id="445006767">
                                                              <w:marLeft w:val="0"/>
                                                              <w:marRight w:val="0"/>
                                                              <w:marTop w:val="0"/>
                                                              <w:marBottom w:val="0"/>
                                                              <w:divBdr>
                                                                <w:top w:val="none" w:sz="0" w:space="0" w:color="auto"/>
                                                                <w:left w:val="none" w:sz="0" w:space="0" w:color="auto"/>
                                                                <w:bottom w:val="none" w:sz="0" w:space="0" w:color="auto"/>
                                                                <w:right w:val="none" w:sz="0" w:space="0" w:color="auto"/>
                                                              </w:divBdr>
                                                            </w:div>
                                                            <w:div w:id="778455681">
                                                              <w:marLeft w:val="0"/>
                                                              <w:marRight w:val="0"/>
                                                              <w:marTop w:val="0"/>
                                                              <w:marBottom w:val="0"/>
                                                              <w:divBdr>
                                                                <w:top w:val="none" w:sz="0" w:space="0" w:color="auto"/>
                                                                <w:left w:val="none" w:sz="0" w:space="0" w:color="auto"/>
                                                                <w:bottom w:val="none" w:sz="0" w:space="0" w:color="auto"/>
                                                                <w:right w:val="none" w:sz="0" w:space="0" w:color="auto"/>
                                                              </w:divBdr>
                                                            </w:div>
                                                            <w:div w:id="158812799">
                                                              <w:marLeft w:val="0"/>
                                                              <w:marRight w:val="0"/>
                                                              <w:marTop w:val="0"/>
                                                              <w:marBottom w:val="0"/>
                                                              <w:divBdr>
                                                                <w:top w:val="none" w:sz="0" w:space="0" w:color="auto"/>
                                                                <w:left w:val="none" w:sz="0" w:space="0" w:color="auto"/>
                                                                <w:bottom w:val="none" w:sz="0" w:space="0" w:color="auto"/>
                                                                <w:right w:val="none" w:sz="0" w:space="0" w:color="auto"/>
                                                              </w:divBdr>
                                                              <w:divsChild>
                                                                <w:div w:id="184442049">
                                                                  <w:marLeft w:val="0"/>
                                                                  <w:marRight w:val="0"/>
                                                                  <w:marTop w:val="0"/>
                                                                  <w:marBottom w:val="0"/>
                                                                  <w:divBdr>
                                                                    <w:top w:val="none" w:sz="0" w:space="0" w:color="auto"/>
                                                                    <w:left w:val="none" w:sz="0" w:space="0" w:color="auto"/>
                                                                    <w:bottom w:val="none" w:sz="0" w:space="0" w:color="auto"/>
                                                                    <w:right w:val="none" w:sz="0" w:space="0" w:color="auto"/>
                                                                  </w:divBdr>
                                                                  <w:divsChild>
                                                                    <w:div w:id="1521429867">
                                                                      <w:marLeft w:val="0"/>
                                                                      <w:marRight w:val="0"/>
                                                                      <w:marTop w:val="0"/>
                                                                      <w:marBottom w:val="0"/>
                                                                      <w:divBdr>
                                                                        <w:top w:val="none" w:sz="0" w:space="0" w:color="auto"/>
                                                                        <w:left w:val="none" w:sz="0" w:space="0" w:color="auto"/>
                                                                        <w:bottom w:val="none" w:sz="0" w:space="0" w:color="auto"/>
                                                                        <w:right w:val="none" w:sz="0" w:space="0" w:color="auto"/>
                                                                      </w:divBdr>
                                                                    </w:div>
                                                                    <w:div w:id="601691773">
                                                                      <w:marLeft w:val="0"/>
                                                                      <w:marRight w:val="0"/>
                                                                      <w:marTop w:val="0"/>
                                                                      <w:marBottom w:val="0"/>
                                                                      <w:divBdr>
                                                                        <w:top w:val="none" w:sz="0" w:space="0" w:color="auto"/>
                                                                        <w:left w:val="none" w:sz="0" w:space="0" w:color="auto"/>
                                                                        <w:bottom w:val="none" w:sz="0" w:space="0" w:color="auto"/>
                                                                        <w:right w:val="none" w:sz="0" w:space="0" w:color="auto"/>
                                                                      </w:divBdr>
                                                                      <w:divsChild>
                                                                        <w:div w:id="2100980087">
                                                                          <w:marLeft w:val="0"/>
                                                                          <w:marRight w:val="0"/>
                                                                          <w:marTop w:val="0"/>
                                                                          <w:marBottom w:val="0"/>
                                                                          <w:divBdr>
                                                                            <w:top w:val="none" w:sz="0" w:space="0" w:color="auto"/>
                                                                            <w:left w:val="none" w:sz="0" w:space="0" w:color="auto"/>
                                                                            <w:bottom w:val="none" w:sz="0" w:space="0" w:color="auto"/>
                                                                            <w:right w:val="none" w:sz="0" w:space="0" w:color="auto"/>
                                                                          </w:divBdr>
                                                                        </w:div>
                                                                      </w:divsChild>
                                                                    </w:div>
                                                                    <w:div w:id="93810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9350492">
      <w:bodyDiv w:val="1"/>
      <w:marLeft w:val="0"/>
      <w:marRight w:val="0"/>
      <w:marTop w:val="0"/>
      <w:marBottom w:val="375"/>
      <w:divBdr>
        <w:top w:val="none" w:sz="0" w:space="0" w:color="auto"/>
        <w:left w:val="none" w:sz="0" w:space="0" w:color="auto"/>
        <w:bottom w:val="none" w:sz="0" w:space="0" w:color="auto"/>
        <w:right w:val="none" w:sz="0" w:space="0" w:color="auto"/>
      </w:divBdr>
      <w:divsChild>
        <w:div w:id="1195120470">
          <w:marLeft w:val="0"/>
          <w:marRight w:val="0"/>
          <w:marTop w:val="0"/>
          <w:marBottom w:val="0"/>
          <w:divBdr>
            <w:top w:val="none" w:sz="0" w:space="0" w:color="auto"/>
            <w:left w:val="none" w:sz="0" w:space="0" w:color="auto"/>
            <w:bottom w:val="none" w:sz="0" w:space="0" w:color="auto"/>
            <w:right w:val="none" w:sz="0" w:space="0" w:color="auto"/>
          </w:divBdr>
        </w:div>
      </w:divsChild>
    </w:div>
    <w:div w:id="1628704140">
      <w:bodyDiv w:val="1"/>
      <w:marLeft w:val="0"/>
      <w:marRight w:val="0"/>
      <w:marTop w:val="0"/>
      <w:marBottom w:val="0"/>
      <w:divBdr>
        <w:top w:val="none" w:sz="0" w:space="0" w:color="auto"/>
        <w:left w:val="none" w:sz="0" w:space="0" w:color="auto"/>
        <w:bottom w:val="none" w:sz="0" w:space="0" w:color="auto"/>
        <w:right w:val="none" w:sz="0" w:space="0" w:color="auto"/>
      </w:divBdr>
      <w:divsChild>
        <w:div w:id="1017464949">
          <w:marLeft w:val="0"/>
          <w:marRight w:val="0"/>
          <w:marTop w:val="0"/>
          <w:marBottom w:val="0"/>
          <w:divBdr>
            <w:top w:val="none" w:sz="0" w:space="0" w:color="auto"/>
            <w:left w:val="none" w:sz="0" w:space="0" w:color="auto"/>
            <w:bottom w:val="none" w:sz="0" w:space="0" w:color="auto"/>
            <w:right w:val="none" w:sz="0" w:space="0" w:color="auto"/>
          </w:divBdr>
          <w:divsChild>
            <w:div w:id="1825008502">
              <w:marLeft w:val="0"/>
              <w:marRight w:val="0"/>
              <w:marTop w:val="0"/>
              <w:marBottom w:val="0"/>
              <w:divBdr>
                <w:top w:val="none" w:sz="0" w:space="0" w:color="auto"/>
                <w:left w:val="none" w:sz="0" w:space="0" w:color="auto"/>
                <w:bottom w:val="none" w:sz="0" w:space="0" w:color="auto"/>
                <w:right w:val="none" w:sz="0" w:space="0" w:color="auto"/>
              </w:divBdr>
              <w:divsChild>
                <w:div w:id="353263819">
                  <w:marLeft w:val="0"/>
                  <w:marRight w:val="0"/>
                  <w:marTop w:val="0"/>
                  <w:marBottom w:val="0"/>
                  <w:divBdr>
                    <w:top w:val="none" w:sz="0" w:space="0" w:color="auto"/>
                    <w:left w:val="none" w:sz="0" w:space="0" w:color="auto"/>
                    <w:bottom w:val="none" w:sz="0" w:space="0" w:color="auto"/>
                    <w:right w:val="none" w:sz="0" w:space="0" w:color="auto"/>
                  </w:divBdr>
                  <w:divsChild>
                    <w:div w:id="1675036499">
                      <w:marLeft w:val="0"/>
                      <w:marRight w:val="0"/>
                      <w:marTop w:val="0"/>
                      <w:marBottom w:val="0"/>
                      <w:divBdr>
                        <w:top w:val="none" w:sz="0" w:space="0" w:color="auto"/>
                        <w:left w:val="none" w:sz="0" w:space="0" w:color="auto"/>
                        <w:bottom w:val="none" w:sz="0" w:space="0" w:color="auto"/>
                        <w:right w:val="none" w:sz="0" w:space="0" w:color="auto"/>
                      </w:divBdr>
                      <w:divsChild>
                        <w:div w:id="802968207">
                          <w:marLeft w:val="0"/>
                          <w:marRight w:val="0"/>
                          <w:marTop w:val="0"/>
                          <w:marBottom w:val="0"/>
                          <w:divBdr>
                            <w:top w:val="none" w:sz="0" w:space="0" w:color="auto"/>
                            <w:left w:val="none" w:sz="0" w:space="0" w:color="auto"/>
                            <w:bottom w:val="none" w:sz="0" w:space="0" w:color="auto"/>
                            <w:right w:val="none" w:sz="0" w:space="0" w:color="auto"/>
                          </w:divBdr>
                          <w:divsChild>
                            <w:div w:id="871112674">
                              <w:marLeft w:val="0"/>
                              <w:marRight w:val="0"/>
                              <w:marTop w:val="0"/>
                              <w:marBottom w:val="0"/>
                              <w:divBdr>
                                <w:top w:val="none" w:sz="0" w:space="0" w:color="auto"/>
                                <w:left w:val="none" w:sz="0" w:space="0" w:color="auto"/>
                                <w:bottom w:val="none" w:sz="0" w:space="0" w:color="auto"/>
                                <w:right w:val="none" w:sz="0" w:space="0" w:color="auto"/>
                              </w:divBdr>
                              <w:divsChild>
                                <w:div w:id="367610279">
                                  <w:marLeft w:val="0"/>
                                  <w:marRight w:val="0"/>
                                  <w:marTop w:val="0"/>
                                  <w:marBottom w:val="0"/>
                                  <w:divBdr>
                                    <w:top w:val="none" w:sz="0" w:space="0" w:color="auto"/>
                                    <w:left w:val="none" w:sz="0" w:space="0" w:color="auto"/>
                                    <w:bottom w:val="none" w:sz="0" w:space="0" w:color="auto"/>
                                    <w:right w:val="none" w:sz="0" w:space="0" w:color="auto"/>
                                  </w:divBdr>
                                  <w:divsChild>
                                    <w:div w:id="950819113">
                                      <w:marLeft w:val="0"/>
                                      <w:marRight w:val="0"/>
                                      <w:marTop w:val="0"/>
                                      <w:marBottom w:val="0"/>
                                      <w:divBdr>
                                        <w:top w:val="none" w:sz="0" w:space="0" w:color="auto"/>
                                        <w:left w:val="none" w:sz="0" w:space="0" w:color="auto"/>
                                        <w:bottom w:val="none" w:sz="0" w:space="0" w:color="auto"/>
                                        <w:right w:val="none" w:sz="0" w:space="0" w:color="auto"/>
                                      </w:divBdr>
                                      <w:divsChild>
                                        <w:div w:id="532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CD8C6-EAA6-45F5-AD36-652E5F587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4973</Words>
  <Characters>27273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Justice Statistics</Company>
  <LinksUpToDate>false</LinksUpToDate>
  <CharactersWithSpaces>32182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Department of Justice</dc:creator>
  <cp:keywords/>
  <dc:description/>
  <cp:lastModifiedBy>pricel</cp:lastModifiedBy>
  <cp:revision>2</cp:revision>
  <cp:lastPrinted>2011-08-10T15:09:00Z</cp:lastPrinted>
  <dcterms:created xsi:type="dcterms:W3CDTF">2011-08-12T20:00:00Z</dcterms:created>
  <dcterms:modified xsi:type="dcterms:W3CDTF">2011-08-12T20:00:00Z</dcterms:modified>
</cp:coreProperties>
</file>