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76D" w:rsidRDefault="00CB676D" w:rsidP="00CB67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B676D" w:rsidRDefault="00CB676D" w:rsidP="00CB676D">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Collection of Information Employing Statistical Methods</w:t>
      </w:r>
    </w:p>
    <w:p w:rsidR="00CB676D" w:rsidRDefault="00CB676D" w:rsidP="00CB67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B676D" w:rsidRDefault="00CB676D" w:rsidP="00CB676D">
      <w:pPr>
        <w:pStyle w:val="ListParagraph"/>
        <w:numPr>
          <w:ilvl w:val="0"/>
          <w:numId w:val="2"/>
        </w:numPr>
        <w:ind w:left="360"/>
        <w:rPr>
          <w:u w:val="single"/>
        </w:rPr>
      </w:pPr>
      <w:r w:rsidRPr="00BC091B">
        <w:rPr>
          <w:u w:val="single"/>
        </w:rPr>
        <w:t>Universe and Respondent Selection</w:t>
      </w:r>
    </w:p>
    <w:p w:rsidR="00CB676D" w:rsidRDefault="00CB676D" w:rsidP="00CB676D">
      <w:pPr>
        <w:pStyle w:val="ListParagraph"/>
        <w:ind w:left="360"/>
        <w:rPr>
          <w:u w:val="single"/>
        </w:rPr>
      </w:pPr>
    </w:p>
    <w:p w:rsidR="00CB676D" w:rsidRPr="00EA7946" w:rsidRDefault="00CB676D" w:rsidP="00CB676D">
      <w:pPr>
        <w:pStyle w:val="Default"/>
        <w:rPr>
          <w:rFonts w:ascii="Times New Roman" w:hAnsi="Times New Roman" w:cs="Times New Roman"/>
        </w:rPr>
      </w:pPr>
      <w:r w:rsidRPr="009A2E2E">
        <w:rPr>
          <w:rFonts w:ascii="Times New Roman" w:hAnsi="Times New Roman" w:cs="Times New Roman"/>
        </w:rPr>
        <w:t xml:space="preserve">This data collection project employs sampling methods.  The population of inference for the 2010 SSCCA will be all direct criminal appeals disposed in intermediate appellate courts or courts of last resort. </w:t>
      </w:r>
      <w:r>
        <w:rPr>
          <w:rFonts w:ascii="Times New Roman" w:hAnsi="Times New Roman" w:cs="Times New Roman"/>
        </w:rPr>
        <w:t>Specifically, t</w:t>
      </w:r>
      <w:r w:rsidRPr="009A2E2E">
        <w:rPr>
          <w:rFonts w:ascii="Times New Roman" w:hAnsi="Times New Roman" w:cs="Times New Roman"/>
        </w:rPr>
        <w:t xml:space="preserve">he sample will be designed to examine a national sample of appeals adjudicated in intermediate appellate courts and courts of last resort </w:t>
      </w:r>
      <w:r w:rsidRPr="002A1A81">
        <w:rPr>
          <w:rFonts w:ascii="Times New Roman" w:hAnsi="Times New Roman" w:cs="Times New Roman"/>
          <w:i/>
        </w:rPr>
        <w:t>separately</w:t>
      </w:r>
      <w:r w:rsidRPr="009A2E2E">
        <w:rPr>
          <w:rFonts w:ascii="Times New Roman" w:hAnsi="Times New Roman" w:cs="Times New Roman"/>
        </w:rPr>
        <w:t xml:space="preserve"> because these courts perform important and different functions</w:t>
      </w:r>
      <w:r>
        <w:rPr>
          <w:rFonts w:ascii="Times New Roman" w:hAnsi="Times New Roman" w:cs="Times New Roman"/>
        </w:rPr>
        <w:t xml:space="preserve">. </w:t>
      </w:r>
      <w:r w:rsidRPr="009A2E2E">
        <w:rPr>
          <w:rFonts w:ascii="Times New Roman" w:hAnsi="Times New Roman" w:cs="Times New Roman"/>
        </w:rPr>
        <w:t>Appellate courts have two primary functions: “error correction” to ensure that law is interpreted correctly and consistently and “law declaring” to provide a means for the development of law through their decisions and explanations of decisions. In states with two levels of appellate courts, the intermediate appellate court</w:t>
      </w:r>
      <w:r>
        <w:rPr>
          <w:rFonts w:ascii="Times New Roman" w:hAnsi="Times New Roman" w:cs="Times New Roman"/>
        </w:rPr>
        <w:t>s</w:t>
      </w:r>
      <w:r w:rsidRPr="009A2E2E">
        <w:rPr>
          <w:rFonts w:ascii="Times New Roman" w:hAnsi="Times New Roman" w:cs="Times New Roman"/>
        </w:rPr>
        <w:t xml:space="preserve"> </w:t>
      </w:r>
      <w:r>
        <w:rPr>
          <w:rFonts w:ascii="Times New Roman" w:hAnsi="Times New Roman" w:cs="Times New Roman"/>
        </w:rPr>
        <w:t>are</w:t>
      </w:r>
      <w:r w:rsidRPr="009A2E2E">
        <w:rPr>
          <w:rFonts w:ascii="Times New Roman" w:hAnsi="Times New Roman" w:cs="Times New Roman"/>
        </w:rPr>
        <w:t xml:space="preserve"> often assigned the error correcting function while the court</w:t>
      </w:r>
      <w:r>
        <w:rPr>
          <w:rFonts w:ascii="Times New Roman" w:hAnsi="Times New Roman" w:cs="Times New Roman"/>
        </w:rPr>
        <w:t>s</w:t>
      </w:r>
      <w:r w:rsidRPr="009A2E2E">
        <w:rPr>
          <w:rFonts w:ascii="Times New Roman" w:hAnsi="Times New Roman" w:cs="Times New Roman"/>
        </w:rPr>
        <w:t xml:space="preserve"> of last resort </w:t>
      </w:r>
      <w:r>
        <w:rPr>
          <w:rFonts w:ascii="Times New Roman" w:hAnsi="Times New Roman" w:cs="Times New Roman"/>
        </w:rPr>
        <w:t>are</w:t>
      </w:r>
      <w:r w:rsidRPr="009A2E2E">
        <w:rPr>
          <w:rFonts w:ascii="Times New Roman" w:hAnsi="Times New Roman" w:cs="Times New Roman"/>
        </w:rPr>
        <w:t xml:space="preserve"> primarily concerned with the development of law</w:t>
      </w:r>
      <w:r>
        <w:rPr>
          <w:rFonts w:ascii="Times New Roman" w:hAnsi="Times New Roman" w:cs="Times New Roman"/>
        </w:rPr>
        <w:t>. Hence, the different roles of intermediate and state supreme courts necessitates a sampling framework capable of producing national level estimates on criminal cases disposed at both levels of appellate review.</w:t>
      </w:r>
      <w:r>
        <w:t xml:space="preserve">  </w:t>
      </w:r>
    </w:p>
    <w:p w:rsidR="00CB676D" w:rsidRDefault="00CB676D" w:rsidP="00CB676D">
      <w:pPr>
        <w:pStyle w:val="SP-SglSpPara"/>
        <w:ind w:firstLine="0"/>
        <w:jc w:val="left"/>
        <w:rPr>
          <w:sz w:val="24"/>
          <w:szCs w:val="24"/>
        </w:rPr>
      </w:pPr>
    </w:p>
    <w:p w:rsidR="00CB676D" w:rsidRDefault="00CB676D" w:rsidP="00CB676D">
      <w:pPr>
        <w:pStyle w:val="SP-SglSpPara"/>
        <w:ind w:firstLine="0"/>
        <w:jc w:val="left"/>
        <w:rPr>
          <w:sz w:val="24"/>
          <w:szCs w:val="24"/>
        </w:rPr>
      </w:pPr>
      <w:r>
        <w:rPr>
          <w:sz w:val="24"/>
          <w:szCs w:val="24"/>
        </w:rPr>
        <w:t xml:space="preserve">State appellate courts will provide lists of criminal appeals disposed during calendar year 2010, from which the sample of cases will be drawn. The universe is based on appeals disposed, rather than appeals filed, to limit the study period required for prospective tracking of criminal appeals, and to prevent censoring of any appeals filed that did not reach disposition during the study period. </w:t>
      </w:r>
    </w:p>
    <w:p w:rsidR="00CB676D" w:rsidRDefault="00CB676D" w:rsidP="00CB676D">
      <w:pPr>
        <w:pStyle w:val="SP-SglSpPara"/>
        <w:ind w:firstLine="0"/>
        <w:jc w:val="left"/>
        <w:rPr>
          <w:sz w:val="24"/>
          <w:szCs w:val="24"/>
        </w:rPr>
      </w:pPr>
    </w:p>
    <w:p w:rsidR="00CB676D" w:rsidRDefault="00CB676D" w:rsidP="00CB676D">
      <w:pPr>
        <w:pStyle w:val="SP-SglSpPara"/>
        <w:ind w:firstLine="0"/>
        <w:jc w:val="left"/>
        <w:rPr>
          <w:sz w:val="24"/>
          <w:szCs w:val="24"/>
        </w:rPr>
      </w:pPr>
      <w:r>
        <w:rPr>
          <w:sz w:val="24"/>
          <w:szCs w:val="24"/>
        </w:rPr>
        <w:t xml:space="preserve">BJS used the number of criminal appeals filed as a proxy for the universe of criminal appeals disposed to estimate the appropriate sample size and sampling approach. There are currently no estimates of the number of cases disposed by appellate courts; however BJS’ initial design and development work did not identify any reasons to believe that the number appeals filed in a given year would be an inappropriate proxy for the number of criminal appeals disposed. </w:t>
      </w:r>
      <w:r w:rsidRPr="009A2E2E">
        <w:rPr>
          <w:sz w:val="24"/>
          <w:szCs w:val="24"/>
        </w:rPr>
        <w:t>Based on NCSC data</w:t>
      </w:r>
      <w:r>
        <w:rPr>
          <w:sz w:val="24"/>
          <w:szCs w:val="24"/>
        </w:rPr>
        <w:t xml:space="preserve"> from the 2008 Court Statistics Project</w:t>
      </w:r>
      <w:r>
        <w:rPr>
          <w:rStyle w:val="FootnoteReference"/>
          <w:sz w:val="24"/>
          <w:szCs w:val="24"/>
        </w:rPr>
        <w:footnoteReference w:id="1"/>
      </w:r>
      <w:r w:rsidRPr="009A2E2E">
        <w:rPr>
          <w:sz w:val="24"/>
          <w:szCs w:val="24"/>
        </w:rPr>
        <w:t xml:space="preserve">, </w:t>
      </w:r>
      <w:r>
        <w:rPr>
          <w:sz w:val="24"/>
          <w:szCs w:val="24"/>
        </w:rPr>
        <w:t xml:space="preserve">there were </w:t>
      </w:r>
      <w:r w:rsidRPr="009A2E2E">
        <w:rPr>
          <w:sz w:val="24"/>
          <w:szCs w:val="24"/>
        </w:rPr>
        <w:t>a</w:t>
      </w:r>
      <w:r>
        <w:rPr>
          <w:sz w:val="24"/>
          <w:szCs w:val="24"/>
        </w:rPr>
        <w:t xml:space="preserve">pproximately 27,043 criminal appeals </w:t>
      </w:r>
      <w:r w:rsidRPr="009A2E2E">
        <w:rPr>
          <w:sz w:val="24"/>
          <w:szCs w:val="24"/>
        </w:rPr>
        <w:t>filed in co</w:t>
      </w:r>
      <w:r>
        <w:rPr>
          <w:sz w:val="24"/>
          <w:szCs w:val="24"/>
        </w:rPr>
        <w:t xml:space="preserve">urts of last resort and </w:t>
      </w:r>
      <w:r w:rsidRPr="009A2E2E">
        <w:rPr>
          <w:sz w:val="24"/>
          <w:szCs w:val="24"/>
        </w:rPr>
        <w:t xml:space="preserve">70,113 </w:t>
      </w:r>
      <w:r>
        <w:rPr>
          <w:sz w:val="24"/>
          <w:szCs w:val="24"/>
        </w:rPr>
        <w:t xml:space="preserve">criminal </w:t>
      </w:r>
      <w:r w:rsidRPr="009A2E2E">
        <w:rPr>
          <w:sz w:val="24"/>
          <w:szCs w:val="24"/>
        </w:rPr>
        <w:t xml:space="preserve">appeals filed in the intermediate appellate courts, for a total of 97,156 filed </w:t>
      </w:r>
      <w:r>
        <w:rPr>
          <w:sz w:val="24"/>
          <w:szCs w:val="24"/>
        </w:rPr>
        <w:t xml:space="preserve">criminal </w:t>
      </w:r>
      <w:r w:rsidRPr="009A2E2E">
        <w:rPr>
          <w:sz w:val="24"/>
          <w:szCs w:val="24"/>
        </w:rPr>
        <w:t>appeals</w:t>
      </w:r>
      <w:r>
        <w:rPr>
          <w:sz w:val="24"/>
          <w:szCs w:val="24"/>
        </w:rPr>
        <w:t xml:space="preserve">. </w:t>
      </w:r>
    </w:p>
    <w:p w:rsidR="00CB676D" w:rsidRDefault="00CB676D" w:rsidP="00CB676D">
      <w:pPr>
        <w:pStyle w:val="SP-SglSpPara"/>
        <w:ind w:firstLine="0"/>
        <w:jc w:val="left"/>
        <w:rPr>
          <w:sz w:val="24"/>
          <w:szCs w:val="24"/>
        </w:rPr>
      </w:pPr>
    </w:p>
    <w:p w:rsidR="00CB676D" w:rsidRDefault="00CB676D" w:rsidP="00CB676D">
      <w:pPr>
        <w:pStyle w:val="SP-SglSpPara"/>
        <w:ind w:firstLine="0"/>
        <w:jc w:val="left"/>
        <w:rPr>
          <w:sz w:val="24"/>
          <w:szCs w:val="24"/>
        </w:rPr>
      </w:pPr>
      <w:r>
        <w:rPr>
          <w:sz w:val="24"/>
          <w:szCs w:val="24"/>
        </w:rPr>
        <w:t>Based on this estimated number of criminal appeals, the SSCCA sample size will be</w:t>
      </w:r>
      <w:r w:rsidRPr="009A2E2E">
        <w:rPr>
          <w:sz w:val="24"/>
          <w:szCs w:val="24"/>
        </w:rPr>
        <w:t xml:space="preserve"> approximately 4,860 cases</w:t>
      </w:r>
      <w:r>
        <w:rPr>
          <w:sz w:val="24"/>
          <w:szCs w:val="24"/>
        </w:rPr>
        <w:t xml:space="preserve">. The </w:t>
      </w:r>
      <w:r w:rsidRPr="009A2E2E">
        <w:rPr>
          <w:sz w:val="24"/>
          <w:szCs w:val="24"/>
        </w:rPr>
        <w:t xml:space="preserve">4,860 </w:t>
      </w:r>
      <w:r>
        <w:rPr>
          <w:sz w:val="24"/>
          <w:szCs w:val="24"/>
        </w:rPr>
        <w:t xml:space="preserve">number was derived from a power analysis to determine the optimal sample needed to produce national level estimates and consideration of the costs associated with data collection. </w:t>
      </w:r>
      <w:r w:rsidRPr="009A2E2E">
        <w:rPr>
          <w:sz w:val="24"/>
          <w:szCs w:val="24"/>
        </w:rPr>
        <w:t xml:space="preserve">About 3,060 criminal appeals cases will be drawn from the 91 intermediate appellate courts and a minimum of 1,800 appeals will be selected from the 52 courts of last resort. </w:t>
      </w:r>
      <w:r>
        <w:rPr>
          <w:sz w:val="24"/>
          <w:szCs w:val="24"/>
        </w:rPr>
        <w:t xml:space="preserve">The following table </w:t>
      </w:r>
      <w:r w:rsidRPr="009A2E2E">
        <w:rPr>
          <w:sz w:val="24"/>
          <w:szCs w:val="24"/>
        </w:rPr>
        <w:t xml:space="preserve">summarizes the population </w:t>
      </w:r>
      <w:r>
        <w:rPr>
          <w:sz w:val="24"/>
          <w:szCs w:val="24"/>
        </w:rPr>
        <w:t xml:space="preserve">and sample size </w:t>
      </w:r>
      <w:r w:rsidRPr="009A2E2E">
        <w:rPr>
          <w:sz w:val="24"/>
          <w:szCs w:val="24"/>
        </w:rPr>
        <w:t>information.</w:t>
      </w:r>
    </w:p>
    <w:p w:rsidR="00CB676D" w:rsidRDefault="00CB676D" w:rsidP="00CB676D">
      <w:pPr>
        <w:pStyle w:val="SP-SglSpPara"/>
        <w:ind w:firstLine="0"/>
        <w:jc w:val="left"/>
        <w:rPr>
          <w:sz w:val="24"/>
          <w:szCs w:val="24"/>
        </w:rPr>
      </w:pPr>
    </w:p>
    <w:p w:rsidR="00CB676D" w:rsidRPr="00EA7946" w:rsidRDefault="00CB676D" w:rsidP="00CB676D">
      <w:pPr>
        <w:pStyle w:val="SP-SglSpPara"/>
        <w:ind w:firstLine="0"/>
        <w:jc w:val="left"/>
        <w:rPr>
          <w:b/>
          <w:sz w:val="24"/>
          <w:szCs w:val="24"/>
        </w:rPr>
      </w:pPr>
      <w:r w:rsidRPr="00EA7946">
        <w:rPr>
          <w:b/>
          <w:sz w:val="24"/>
          <w:szCs w:val="24"/>
        </w:rPr>
        <w:t>Count of courts and cases by type of appellate court</w:t>
      </w:r>
    </w:p>
    <w:p w:rsidR="00CB676D" w:rsidRPr="009A2E2E" w:rsidRDefault="00CB676D" w:rsidP="00CB676D">
      <w:pPr>
        <w:pStyle w:val="SP-SglSpPara"/>
        <w:ind w:firstLine="0"/>
        <w:jc w:val="left"/>
        <w:rPr>
          <w:sz w:val="24"/>
          <w:szCs w:val="24"/>
        </w:rPr>
      </w:pPr>
    </w:p>
    <w:tbl>
      <w:tblPr>
        <w:tblStyle w:val="TableGrid"/>
        <w:tblW w:w="0" w:type="auto"/>
        <w:tblInd w:w="108" w:type="dxa"/>
        <w:tblLook w:val="04A0"/>
      </w:tblPr>
      <w:tblGrid>
        <w:gridCol w:w="2384"/>
        <w:gridCol w:w="2419"/>
        <w:gridCol w:w="2427"/>
        <w:gridCol w:w="2238"/>
      </w:tblGrid>
      <w:tr w:rsidR="00CB676D" w:rsidRPr="009A2E2E" w:rsidTr="00392445">
        <w:tc>
          <w:tcPr>
            <w:tcW w:w="2384" w:type="dxa"/>
            <w:shd w:val="pct30" w:color="auto" w:fill="auto"/>
          </w:tcPr>
          <w:p w:rsidR="00CB676D" w:rsidRPr="00EA7946" w:rsidRDefault="00CB676D" w:rsidP="00392445">
            <w:pPr>
              <w:rPr>
                <w:rFonts w:ascii="Times New Roman" w:hAnsi="Times New Roman" w:cs="Times New Roman"/>
                <w:b/>
                <w:sz w:val="24"/>
                <w:szCs w:val="24"/>
              </w:rPr>
            </w:pPr>
            <w:r w:rsidRPr="00EA7946">
              <w:rPr>
                <w:rFonts w:ascii="Times New Roman" w:hAnsi="Times New Roman" w:cs="Times New Roman"/>
                <w:b/>
                <w:sz w:val="24"/>
                <w:szCs w:val="24"/>
              </w:rPr>
              <w:t>Type of court</w:t>
            </w:r>
          </w:p>
        </w:tc>
        <w:tc>
          <w:tcPr>
            <w:tcW w:w="2419" w:type="dxa"/>
            <w:shd w:val="pct30" w:color="auto" w:fill="auto"/>
          </w:tcPr>
          <w:p w:rsidR="00CB676D" w:rsidRPr="00EA7946" w:rsidRDefault="00CB676D" w:rsidP="00392445">
            <w:pPr>
              <w:rPr>
                <w:rFonts w:ascii="Times New Roman" w:hAnsi="Times New Roman" w:cs="Times New Roman"/>
                <w:b/>
                <w:sz w:val="24"/>
                <w:szCs w:val="24"/>
              </w:rPr>
            </w:pPr>
            <w:r w:rsidRPr="00EA7946">
              <w:rPr>
                <w:rFonts w:ascii="Times New Roman" w:hAnsi="Times New Roman" w:cs="Times New Roman"/>
                <w:b/>
                <w:sz w:val="24"/>
                <w:szCs w:val="24"/>
              </w:rPr>
              <w:t>Courts</w:t>
            </w:r>
          </w:p>
        </w:tc>
        <w:tc>
          <w:tcPr>
            <w:tcW w:w="2427" w:type="dxa"/>
            <w:shd w:val="pct30" w:color="auto" w:fill="auto"/>
          </w:tcPr>
          <w:p w:rsidR="00CB676D" w:rsidRPr="00EA7946" w:rsidRDefault="00CB676D" w:rsidP="00392445">
            <w:pPr>
              <w:rPr>
                <w:rFonts w:ascii="Times New Roman" w:hAnsi="Times New Roman" w:cs="Times New Roman"/>
                <w:b/>
                <w:sz w:val="24"/>
                <w:szCs w:val="24"/>
              </w:rPr>
            </w:pPr>
            <w:r w:rsidRPr="00EA7946">
              <w:rPr>
                <w:rFonts w:ascii="Times New Roman" w:hAnsi="Times New Roman" w:cs="Times New Roman"/>
                <w:b/>
                <w:sz w:val="24"/>
                <w:szCs w:val="24"/>
              </w:rPr>
              <w:t>Cases</w:t>
            </w:r>
          </w:p>
        </w:tc>
        <w:tc>
          <w:tcPr>
            <w:tcW w:w="2238" w:type="dxa"/>
            <w:shd w:val="pct30" w:color="auto" w:fill="auto"/>
          </w:tcPr>
          <w:p w:rsidR="00CB676D" w:rsidRPr="00EA7946" w:rsidRDefault="00CB676D" w:rsidP="00392445">
            <w:pPr>
              <w:rPr>
                <w:rFonts w:ascii="Times New Roman" w:hAnsi="Times New Roman" w:cs="Times New Roman"/>
                <w:b/>
                <w:sz w:val="24"/>
                <w:szCs w:val="24"/>
              </w:rPr>
            </w:pPr>
            <w:r w:rsidRPr="00EA7946">
              <w:rPr>
                <w:rFonts w:ascii="Times New Roman" w:hAnsi="Times New Roman" w:cs="Times New Roman"/>
                <w:b/>
                <w:sz w:val="24"/>
                <w:szCs w:val="24"/>
              </w:rPr>
              <w:t>Case sample size</w:t>
            </w:r>
          </w:p>
        </w:tc>
      </w:tr>
      <w:tr w:rsidR="00CB676D" w:rsidRPr="009A2E2E" w:rsidTr="00392445">
        <w:tc>
          <w:tcPr>
            <w:tcW w:w="2384" w:type="dxa"/>
          </w:tcPr>
          <w:p w:rsidR="00CB676D" w:rsidRPr="009A2E2E" w:rsidRDefault="00CB676D" w:rsidP="00392445">
            <w:pPr>
              <w:rPr>
                <w:rFonts w:ascii="Times New Roman" w:hAnsi="Times New Roman" w:cs="Times New Roman"/>
                <w:sz w:val="24"/>
                <w:szCs w:val="24"/>
              </w:rPr>
            </w:pPr>
            <w:r>
              <w:rPr>
                <w:rFonts w:ascii="Times New Roman" w:hAnsi="Times New Roman" w:cs="Times New Roman"/>
                <w:sz w:val="24"/>
                <w:szCs w:val="24"/>
              </w:rPr>
              <w:t>Intermediate appellate court</w:t>
            </w:r>
          </w:p>
        </w:tc>
        <w:tc>
          <w:tcPr>
            <w:tcW w:w="2419" w:type="dxa"/>
          </w:tcPr>
          <w:p w:rsidR="00CB676D" w:rsidRPr="009A2E2E" w:rsidRDefault="00CB676D" w:rsidP="00392445">
            <w:pPr>
              <w:rPr>
                <w:rFonts w:ascii="Times New Roman" w:hAnsi="Times New Roman" w:cs="Times New Roman"/>
                <w:sz w:val="24"/>
                <w:szCs w:val="24"/>
              </w:rPr>
            </w:pPr>
            <w:r w:rsidRPr="009A2E2E">
              <w:rPr>
                <w:rFonts w:ascii="Times New Roman" w:hAnsi="Times New Roman" w:cs="Times New Roman"/>
                <w:sz w:val="24"/>
                <w:szCs w:val="24"/>
              </w:rPr>
              <w:t>91</w:t>
            </w:r>
          </w:p>
        </w:tc>
        <w:tc>
          <w:tcPr>
            <w:tcW w:w="2427" w:type="dxa"/>
          </w:tcPr>
          <w:p w:rsidR="00CB676D" w:rsidRPr="009A2E2E" w:rsidRDefault="00CB676D" w:rsidP="00392445">
            <w:pPr>
              <w:rPr>
                <w:rFonts w:ascii="Times New Roman" w:hAnsi="Times New Roman" w:cs="Times New Roman"/>
                <w:sz w:val="24"/>
                <w:szCs w:val="24"/>
              </w:rPr>
            </w:pPr>
            <w:r w:rsidRPr="009A2E2E">
              <w:rPr>
                <w:rFonts w:ascii="Times New Roman" w:hAnsi="Times New Roman" w:cs="Times New Roman"/>
                <w:sz w:val="24"/>
                <w:szCs w:val="24"/>
              </w:rPr>
              <w:t>70,113</w:t>
            </w:r>
          </w:p>
        </w:tc>
        <w:tc>
          <w:tcPr>
            <w:tcW w:w="2238" w:type="dxa"/>
          </w:tcPr>
          <w:p w:rsidR="00CB676D" w:rsidRPr="009A2E2E" w:rsidRDefault="00CB676D" w:rsidP="00392445">
            <w:pPr>
              <w:rPr>
                <w:rFonts w:ascii="Times New Roman" w:hAnsi="Times New Roman" w:cs="Times New Roman"/>
                <w:sz w:val="24"/>
                <w:szCs w:val="24"/>
              </w:rPr>
            </w:pPr>
            <w:r w:rsidRPr="009A2E2E">
              <w:rPr>
                <w:rFonts w:ascii="Times New Roman" w:hAnsi="Times New Roman" w:cs="Times New Roman"/>
                <w:sz w:val="24"/>
                <w:szCs w:val="24"/>
              </w:rPr>
              <w:t>3,060</w:t>
            </w:r>
          </w:p>
        </w:tc>
      </w:tr>
      <w:tr w:rsidR="00CB676D" w:rsidRPr="009A2E2E" w:rsidTr="00392445">
        <w:tc>
          <w:tcPr>
            <w:tcW w:w="2384" w:type="dxa"/>
          </w:tcPr>
          <w:p w:rsidR="00CB676D" w:rsidRPr="009A2E2E" w:rsidRDefault="00CB676D" w:rsidP="00392445">
            <w:pPr>
              <w:rPr>
                <w:rFonts w:ascii="Times New Roman" w:hAnsi="Times New Roman" w:cs="Times New Roman"/>
                <w:sz w:val="24"/>
                <w:szCs w:val="24"/>
              </w:rPr>
            </w:pPr>
            <w:r>
              <w:rPr>
                <w:rFonts w:ascii="Times New Roman" w:hAnsi="Times New Roman" w:cs="Times New Roman"/>
                <w:sz w:val="24"/>
                <w:szCs w:val="24"/>
              </w:rPr>
              <w:lastRenderedPageBreak/>
              <w:t>Court of last resort</w:t>
            </w:r>
          </w:p>
        </w:tc>
        <w:tc>
          <w:tcPr>
            <w:tcW w:w="2419" w:type="dxa"/>
          </w:tcPr>
          <w:p w:rsidR="00CB676D" w:rsidRPr="009A2E2E" w:rsidRDefault="00CB676D" w:rsidP="00392445">
            <w:pPr>
              <w:rPr>
                <w:rFonts w:ascii="Times New Roman" w:hAnsi="Times New Roman" w:cs="Times New Roman"/>
                <w:sz w:val="24"/>
                <w:szCs w:val="24"/>
              </w:rPr>
            </w:pPr>
            <w:r w:rsidRPr="009A2E2E">
              <w:rPr>
                <w:rFonts w:ascii="Times New Roman" w:hAnsi="Times New Roman" w:cs="Times New Roman"/>
                <w:sz w:val="24"/>
                <w:szCs w:val="24"/>
              </w:rPr>
              <w:t>52</w:t>
            </w:r>
          </w:p>
        </w:tc>
        <w:tc>
          <w:tcPr>
            <w:tcW w:w="2427" w:type="dxa"/>
          </w:tcPr>
          <w:p w:rsidR="00CB676D" w:rsidRPr="009A2E2E" w:rsidRDefault="00CB676D" w:rsidP="00392445">
            <w:pPr>
              <w:rPr>
                <w:rFonts w:ascii="Times New Roman" w:hAnsi="Times New Roman" w:cs="Times New Roman"/>
                <w:sz w:val="24"/>
                <w:szCs w:val="24"/>
              </w:rPr>
            </w:pPr>
            <w:r w:rsidRPr="009A2E2E">
              <w:rPr>
                <w:rFonts w:ascii="Times New Roman" w:hAnsi="Times New Roman" w:cs="Times New Roman"/>
                <w:sz w:val="24"/>
                <w:szCs w:val="24"/>
              </w:rPr>
              <w:t>27,043</w:t>
            </w:r>
          </w:p>
        </w:tc>
        <w:tc>
          <w:tcPr>
            <w:tcW w:w="2238" w:type="dxa"/>
          </w:tcPr>
          <w:p w:rsidR="00CB676D" w:rsidRPr="009A2E2E" w:rsidRDefault="00CB676D" w:rsidP="00392445">
            <w:pPr>
              <w:rPr>
                <w:rFonts w:ascii="Times New Roman" w:hAnsi="Times New Roman" w:cs="Times New Roman"/>
                <w:sz w:val="24"/>
                <w:szCs w:val="24"/>
              </w:rPr>
            </w:pPr>
            <w:r w:rsidRPr="009A2E2E">
              <w:rPr>
                <w:rFonts w:ascii="Times New Roman" w:hAnsi="Times New Roman" w:cs="Times New Roman"/>
                <w:sz w:val="24"/>
                <w:szCs w:val="24"/>
              </w:rPr>
              <w:t>1,800</w:t>
            </w:r>
          </w:p>
        </w:tc>
      </w:tr>
      <w:tr w:rsidR="00CB676D" w:rsidRPr="009A2E2E" w:rsidTr="00392445">
        <w:tc>
          <w:tcPr>
            <w:tcW w:w="2384" w:type="dxa"/>
          </w:tcPr>
          <w:p w:rsidR="00CB676D" w:rsidRPr="009A2E2E" w:rsidRDefault="00CB676D" w:rsidP="00392445">
            <w:pPr>
              <w:rPr>
                <w:rFonts w:ascii="Times New Roman" w:hAnsi="Times New Roman" w:cs="Times New Roman"/>
                <w:sz w:val="24"/>
                <w:szCs w:val="24"/>
              </w:rPr>
            </w:pPr>
            <w:r w:rsidRPr="009A2E2E">
              <w:rPr>
                <w:rFonts w:ascii="Times New Roman" w:hAnsi="Times New Roman" w:cs="Times New Roman"/>
                <w:sz w:val="24"/>
                <w:szCs w:val="24"/>
              </w:rPr>
              <w:t>Total</w:t>
            </w:r>
          </w:p>
        </w:tc>
        <w:tc>
          <w:tcPr>
            <w:tcW w:w="2419" w:type="dxa"/>
          </w:tcPr>
          <w:p w:rsidR="00CB676D" w:rsidRPr="009A2E2E" w:rsidRDefault="00CB676D" w:rsidP="00392445">
            <w:pPr>
              <w:rPr>
                <w:rFonts w:ascii="Times New Roman" w:hAnsi="Times New Roman" w:cs="Times New Roman"/>
                <w:sz w:val="24"/>
                <w:szCs w:val="24"/>
              </w:rPr>
            </w:pPr>
            <w:r w:rsidRPr="009A2E2E">
              <w:rPr>
                <w:rFonts w:ascii="Times New Roman" w:hAnsi="Times New Roman" w:cs="Times New Roman"/>
                <w:sz w:val="24"/>
                <w:szCs w:val="24"/>
              </w:rPr>
              <w:t>143</w:t>
            </w:r>
          </w:p>
        </w:tc>
        <w:tc>
          <w:tcPr>
            <w:tcW w:w="2427" w:type="dxa"/>
          </w:tcPr>
          <w:p w:rsidR="00CB676D" w:rsidRPr="009A2E2E" w:rsidRDefault="00CB676D" w:rsidP="00392445">
            <w:pPr>
              <w:rPr>
                <w:rFonts w:ascii="Times New Roman" w:hAnsi="Times New Roman" w:cs="Times New Roman"/>
                <w:sz w:val="24"/>
                <w:szCs w:val="24"/>
              </w:rPr>
            </w:pPr>
            <w:r w:rsidRPr="009A2E2E">
              <w:rPr>
                <w:rFonts w:ascii="Times New Roman" w:hAnsi="Times New Roman" w:cs="Times New Roman"/>
                <w:sz w:val="24"/>
                <w:szCs w:val="24"/>
              </w:rPr>
              <w:t>97,156</w:t>
            </w:r>
          </w:p>
        </w:tc>
        <w:tc>
          <w:tcPr>
            <w:tcW w:w="2238" w:type="dxa"/>
          </w:tcPr>
          <w:p w:rsidR="00CB676D" w:rsidRPr="009A2E2E" w:rsidRDefault="00CB676D" w:rsidP="00392445">
            <w:pPr>
              <w:rPr>
                <w:rFonts w:ascii="Times New Roman" w:hAnsi="Times New Roman" w:cs="Times New Roman"/>
                <w:sz w:val="24"/>
                <w:szCs w:val="24"/>
              </w:rPr>
            </w:pPr>
            <w:r w:rsidRPr="009A2E2E">
              <w:rPr>
                <w:rFonts w:ascii="Times New Roman" w:hAnsi="Times New Roman" w:cs="Times New Roman"/>
                <w:sz w:val="24"/>
                <w:szCs w:val="24"/>
              </w:rPr>
              <w:t>4,860</w:t>
            </w:r>
          </w:p>
        </w:tc>
      </w:tr>
    </w:tbl>
    <w:p w:rsidR="00CB676D" w:rsidRPr="009A2E2E" w:rsidRDefault="00CB676D" w:rsidP="00CB67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B676D" w:rsidRDefault="00CB676D" w:rsidP="00CB676D">
      <w:pPr>
        <w:pStyle w:val="SP-SglSpPara"/>
        <w:ind w:firstLine="0"/>
        <w:jc w:val="left"/>
        <w:rPr>
          <w:sz w:val="24"/>
          <w:szCs w:val="24"/>
        </w:rPr>
      </w:pPr>
      <w:r w:rsidRPr="009A2E2E">
        <w:rPr>
          <w:sz w:val="24"/>
          <w:szCs w:val="24"/>
        </w:rPr>
        <w:t>The proposed sample size of 4,860 cases will be selected across the 52</w:t>
      </w:r>
      <w:r>
        <w:rPr>
          <w:sz w:val="24"/>
          <w:szCs w:val="24"/>
        </w:rPr>
        <w:t xml:space="preserve"> courts of last resort</w:t>
      </w:r>
      <w:r w:rsidRPr="009A2E2E">
        <w:rPr>
          <w:sz w:val="24"/>
          <w:szCs w:val="24"/>
        </w:rPr>
        <w:t xml:space="preserve"> and 91 </w:t>
      </w:r>
      <w:r>
        <w:rPr>
          <w:sz w:val="24"/>
          <w:szCs w:val="24"/>
        </w:rPr>
        <w:t>intermediate appellate courts</w:t>
      </w:r>
      <w:r w:rsidRPr="009A2E2E">
        <w:rPr>
          <w:sz w:val="24"/>
          <w:szCs w:val="24"/>
        </w:rPr>
        <w:t>, yielding an average sample si</w:t>
      </w:r>
      <w:r>
        <w:rPr>
          <w:sz w:val="24"/>
          <w:szCs w:val="24"/>
        </w:rPr>
        <w:t>ze of about 34 cases per court.</w:t>
      </w:r>
      <w:r>
        <w:rPr>
          <w:rStyle w:val="FootnoteReference"/>
          <w:sz w:val="24"/>
          <w:szCs w:val="24"/>
        </w:rPr>
        <w:footnoteReference w:id="2"/>
      </w:r>
      <w:r>
        <w:rPr>
          <w:sz w:val="24"/>
          <w:szCs w:val="24"/>
        </w:rPr>
        <w:t xml:space="preserve"> </w:t>
      </w:r>
      <w:r w:rsidRPr="009A2E2E">
        <w:rPr>
          <w:sz w:val="24"/>
          <w:szCs w:val="24"/>
        </w:rPr>
        <w:t xml:space="preserve">Cases will be sampled within courts at an overall rate by type of court </w:t>
      </w:r>
      <w:r>
        <w:rPr>
          <w:sz w:val="24"/>
          <w:szCs w:val="24"/>
        </w:rPr>
        <w:t xml:space="preserve">with </w:t>
      </w:r>
      <w:r w:rsidRPr="009A2E2E">
        <w:rPr>
          <w:sz w:val="24"/>
          <w:szCs w:val="24"/>
        </w:rPr>
        <w:t xml:space="preserve">a preliminary estimate </w:t>
      </w:r>
      <w:r>
        <w:rPr>
          <w:sz w:val="24"/>
          <w:szCs w:val="24"/>
        </w:rPr>
        <w:t>of about 4.5</w:t>
      </w:r>
      <w:r w:rsidRPr="009A2E2E">
        <w:rPr>
          <w:sz w:val="24"/>
          <w:szCs w:val="24"/>
        </w:rPr>
        <w:t xml:space="preserve">% in </w:t>
      </w:r>
      <w:r>
        <w:rPr>
          <w:sz w:val="24"/>
          <w:szCs w:val="24"/>
        </w:rPr>
        <w:t>intermediate appellate courts</w:t>
      </w:r>
      <w:r w:rsidRPr="009A2E2E">
        <w:rPr>
          <w:sz w:val="24"/>
          <w:szCs w:val="24"/>
        </w:rPr>
        <w:t xml:space="preserve"> and </w:t>
      </w:r>
      <w:r>
        <w:rPr>
          <w:sz w:val="24"/>
          <w:szCs w:val="24"/>
        </w:rPr>
        <w:t>6.7</w:t>
      </w:r>
      <w:r w:rsidRPr="009A2E2E">
        <w:rPr>
          <w:sz w:val="24"/>
          <w:szCs w:val="24"/>
        </w:rPr>
        <w:t xml:space="preserve">% in </w:t>
      </w:r>
      <w:r>
        <w:rPr>
          <w:sz w:val="24"/>
          <w:szCs w:val="24"/>
        </w:rPr>
        <w:t>courts of last resort. Since caseload volumes differ appreciably across the various appellate courts, t</w:t>
      </w:r>
      <w:r w:rsidRPr="009A2E2E">
        <w:rPr>
          <w:sz w:val="24"/>
          <w:szCs w:val="24"/>
        </w:rPr>
        <w:t>he actual sample size</w:t>
      </w:r>
      <w:r>
        <w:rPr>
          <w:sz w:val="24"/>
          <w:szCs w:val="24"/>
        </w:rPr>
        <w:t xml:space="preserve">s will vary </w:t>
      </w:r>
      <w:r w:rsidRPr="009A2E2E">
        <w:rPr>
          <w:sz w:val="24"/>
          <w:szCs w:val="24"/>
        </w:rPr>
        <w:t>by court</w:t>
      </w:r>
      <w:r>
        <w:rPr>
          <w:sz w:val="24"/>
          <w:szCs w:val="24"/>
        </w:rPr>
        <w:t xml:space="preserve"> and depend on t</w:t>
      </w:r>
      <w:r w:rsidRPr="009A2E2E">
        <w:rPr>
          <w:sz w:val="24"/>
          <w:szCs w:val="24"/>
        </w:rPr>
        <w:t xml:space="preserve">he total number of cases </w:t>
      </w:r>
      <w:r>
        <w:rPr>
          <w:sz w:val="24"/>
          <w:szCs w:val="24"/>
        </w:rPr>
        <w:t xml:space="preserve">decided </w:t>
      </w:r>
      <w:r w:rsidRPr="009A2E2E">
        <w:rPr>
          <w:sz w:val="24"/>
          <w:szCs w:val="24"/>
        </w:rPr>
        <w:t>in the</w:t>
      </w:r>
      <w:r>
        <w:rPr>
          <w:sz w:val="24"/>
          <w:szCs w:val="24"/>
        </w:rPr>
        <w:t>se</w:t>
      </w:r>
      <w:r w:rsidRPr="009A2E2E">
        <w:rPr>
          <w:sz w:val="24"/>
          <w:szCs w:val="24"/>
        </w:rPr>
        <w:t xml:space="preserve"> court</w:t>
      </w:r>
      <w:r>
        <w:rPr>
          <w:sz w:val="24"/>
          <w:szCs w:val="24"/>
        </w:rPr>
        <w:t>s</w:t>
      </w:r>
      <w:r w:rsidRPr="009A2E2E">
        <w:rPr>
          <w:sz w:val="24"/>
          <w:szCs w:val="24"/>
        </w:rPr>
        <w:t xml:space="preserve">. </w:t>
      </w:r>
      <w:r>
        <w:rPr>
          <w:sz w:val="24"/>
          <w:szCs w:val="24"/>
        </w:rPr>
        <w:t xml:space="preserve">For the most part, the cases selected from each court will be a random sample of criminal appeals disposed in 2010.  The exception to the random sample will include death penalty appeals. Although the sample will allow for national inferences of appellate court case processing, the relatively small number of cases sampled per court means that inferences of appellate case processing at the court level will not be possible. For example, the SSCCA data will not be capable of providing estimates of appellate case processing for the individual appellate court(s) of a particular state or region within that state. </w:t>
      </w:r>
    </w:p>
    <w:p w:rsidR="00CB676D" w:rsidRDefault="00CB676D" w:rsidP="00CB676D">
      <w:pPr>
        <w:pStyle w:val="SP-SglSpPara"/>
        <w:ind w:firstLine="0"/>
        <w:jc w:val="left"/>
        <w:rPr>
          <w:sz w:val="24"/>
          <w:szCs w:val="24"/>
        </w:rPr>
      </w:pPr>
    </w:p>
    <w:p w:rsidR="00CB676D" w:rsidRPr="009A2E2E" w:rsidRDefault="00CB676D" w:rsidP="00CB676D">
      <w:pPr>
        <w:pStyle w:val="SP-SglSpPara"/>
        <w:ind w:firstLine="0"/>
        <w:jc w:val="left"/>
        <w:rPr>
          <w:sz w:val="24"/>
          <w:szCs w:val="24"/>
        </w:rPr>
      </w:pPr>
      <w:r>
        <w:rPr>
          <w:sz w:val="24"/>
          <w:szCs w:val="24"/>
        </w:rPr>
        <w:t xml:space="preserve">Another important component of the sampling framework is that the 4,860 number will encompass an oversample of two principle case types: death penalty and cases heard in both intermediate appellate courts and courts of last resort. </w:t>
      </w:r>
      <w:r w:rsidRPr="009A2E2E">
        <w:rPr>
          <w:sz w:val="24"/>
          <w:szCs w:val="24"/>
        </w:rPr>
        <w:t xml:space="preserve">All death penalty cases will be included in the study. </w:t>
      </w:r>
      <w:r>
        <w:rPr>
          <w:sz w:val="24"/>
          <w:szCs w:val="24"/>
        </w:rPr>
        <w:t>Typically, these cases account for about 250 criminal appellate filings per year and are important to examine because of the stakes involved in addition to the substantial amount of time and resources courts expend on these cases. The death penalty</w:t>
      </w:r>
      <w:r w:rsidRPr="009A2E2E">
        <w:rPr>
          <w:sz w:val="24"/>
          <w:szCs w:val="24"/>
        </w:rPr>
        <w:t xml:space="preserve"> cases will be identified by case type, particular filing requirements, or the familiarity of court staff with such cases because of their severity. Some courts will have no such cases for statutory reasons.</w:t>
      </w:r>
    </w:p>
    <w:p w:rsidR="00CB676D" w:rsidRPr="009A2E2E" w:rsidRDefault="00CB676D" w:rsidP="00CB676D">
      <w:pPr>
        <w:pStyle w:val="SP-SglSpPara"/>
        <w:jc w:val="left"/>
        <w:rPr>
          <w:sz w:val="24"/>
          <w:szCs w:val="24"/>
        </w:rPr>
      </w:pPr>
    </w:p>
    <w:p w:rsidR="00CB676D" w:rsidRPr="009A2E2E" w:rsidRDefault="00CB676D" w:rsidP="00CB676D">
      <w:pPr>
        <w:pStyle w:val="SP-SglSpPara"/>
        <w:ind w:firstLine="0"/>
        <w:jc w:val="left"/>
        <w:rPr>
          <w:sz w:val="24"/>
          <w:szCs w:val="24"/>
        </w:rPr>
      </w:pPr>
      <w:r w:rsidRPr="009A2E2E">
        <w:rPr>
          <w:sz w:val="24"/>
          <w:szCs w:val="24"/>
        </w:rPr>
        <w:t xml:space="preserve">In addition, some </w:t>
      </w:r>
      <w:r>
        <w:rPr>
          <w:sz w:val="24"/>
          <w:szCs w:val="24"/>
        </w:rPr>
        <w:t>court of last resort</w:t>
      </w:r>
      <w:r w:rsidRPr="009A2E2E">
        <w:rPr>
          <w:sz w:val="24"/>
          <w:szCs w:val="24"/>
        </w:rPr>
        <w:t xml:space="preserve"> cases will have passed through </w:t>
      </w:r>
      <w:r>
        <w:rPr>
          <w:sz w:val="24"/>
          <w:szCs w:val="24"/>
        </w:rPr>
        <w:t xml:space="preserve">an intermediates appellate court </w:t>
      </w:r>
      <w:r w:rsidRPr="009A2E2E">
        <w:rPr>
          <w:sz w:val="24"/>
          <w:szCs w:val="24"/>
        </w:rPr>
        <w:t>initially. Such cases are interesting analytically</w:t>
      </w:r>
      <w:r>
        <w:rPr>
          <w:sz w:val="24"/>
          <w:szCs w:val="24"/>
        </w:rPr>
        <w:t xml:space="preserve"> because they have gone through two levels of appellate review </w:t>
      </w:r>
      <w:r w:rsidRPr="009A2E2E">
        <w:rPr>
          <w:sz w:val="24"/>
          <w:szCs w:val="24"/>
        </w:rPr>
        <w:t>and also present an opportunity to collect data on a single case from both kinds of courts</w:t>
      </w:r>
      <w:r>
        <w:rPr>
          <w:sz w:val="24"/>
          <w:szCs w:val="24"/>
        </w:rPr>
        <w:t xml:space="preserve"> </w:t>
      </w:r>
      <w:r w:rsidRPr="009A2E2E">
        <w:rPr>
          <w:sz w:val="24"/>
          <w:szCs w:val="24"/>
        </w:rPr>
        <w:t xml:space="preserve">with some economy. A </w:t>
      </w:r>
      <w:r>
        <w:rPr>
          <w:sz w:val="24"/>
          <w:szCs w:val="24"/>
        </w:rPr>
        <w:t xml:space="preserve">random </w:t>
      </w:r>
      <w:r w:rsidRPr="009A2E2E">
        <w:rPr>
          <w:sz w:val="24"/>
          <w:szCs w:val="24"/>
        </w:rPr>
        <w:t>sample of 300 such cases will be sele</w:t>
      </w:r>
      <w:r>
        <w:rPr>
          <w:sz w:val="24"/>
          <w:szCs w:val="24"/>
        </w:rPr>
        <w:t>cted as part of the 1,800 COLR sample</w:t>
      </w:r>
      <w:r w:rsidRPr="009A2E2E">
        <w:rPr>
          <w:sz w:val="24"/>
          <w:szCs w:val="24"/>
        </w:rPr>
        <w:t xml:space="preserve"> and their IAC data will be obtained and coded. </w:t>
      </w:r>
    </w:p>
    <w:p w:rsidR="00CB676D" w:rsidRDefault="00CB676D" w:rsidP="00CB676D">
      <w:pPr>
        <w:pStyle w:val="SP-SglSpPara"/>
        <w:ind w:firstLine="0"/>
        <w:jc w:val="left"/>
        <w:rPr>
          <w:sz w:val="24"/>
          <w:szCs w:val="24"/>
        </w:rPr>
      </w:pPr>
    </w:p>
    <w:p w:rsidR="00CB676D" w:rsidRDefault="00CB676D" w:rsidP="00CB676D">
      <w:r>
        <w:t xml:space="preserve">To reiterate, </w:t>
      </w:r>
      <w:r w:rsidRPr="00DC5A03">
        <w:t>BJS plans to make estimates for four major domains, as follows:</w:t>
      </w:r>
    </w:p>
    <w:p w:rsidR="00CB676D" w:rsidRDefault="00CB676D" w:rsidP="00CB676D"/>
    <w:p w:rsidR="00CB676D" w:rsidRDefault="00CB676D" w:rsidP="00CB676D">
      <w:pPr>
        <w:ind w:firstLine="360"/>
      </w:pPr>
      <w:r w:rsidRPr="00DC5A03">
        <w:t>1) Death penalty cases (expected sample size = 234 cases; a census)</w:t>
      </w:r>
    </w:p>
    <w:p w:rsidR="00CB676D" w:rsidRPr="00DC5A03" w:rsidRDefault="00CB676D" w:rsidP="00CB676D">
      <w:pPr>
        <w:ind w:firstLine="360"/>
      </w:pPr>
    </w:p>
    <w:p w:rsidR="00CB676D" w:rsidRDefault="00CB676D" w:rsidP="00CB676D">
      <w:pPr>
        <w:ind w:firstLine="360"/>
      </w:pPr>
      <w:r w:rsidRPr="00DC5A03">
        <w:t>2) Intermediate appellate court</w:t>
      </w:r>
      <w:r>
        <w:t>s</w:t>
      </w:r>
      <w:r w:rsidRPr="00DC5A03">
        <w:t xml:space="preserve"> (IAC) cases (expected sample size = 3,060 cases)</w:t>
      </w:r>
    </w:p>
    <w:p w:rsidR="00CB676D" w:rsidRPr="00DC5A03" w:rsidRDefault="00CB676D" w:rsidP="00CB676D">
      <w:pPr>
        <w:ind w:firstLine="360"/>
      </w:pPr>
    </w:p>
    <w:p w:rsidR="00CB676D" w:rsidRDefault="00CB676D" w:rsidP="00CB676D">
      <w:pPr>
        <w:ind w:firstLine="360"/>
      </w:pPr>
      <w:r w:rsidRPr="00DC5A03">
        <w:t>3) Court</w:t>
      </w:r>
      <w:r>
        <w:t>s</w:t>
      </w:r>
      <w:r w:rsidRPr="00DC5A03">
        <w:t xml:space="preserve"> of last resort (COLR) cases (expected sample size = 1,800 cases)</w:t>
      </w:r>
    </w:p>
    <w:p w:rsidR="00CB676D" w:rsidRPr="00DC5A03" w:rsidRDefault="00CB676D" w:rsidP="00CB676D">
      <w:pPr>
        <w:ind w:firstLine="360"/>
      </w:pPr>
    </w:p>
    <w:p w:rsidR="00CB676D" w:rsidRDefault="00CB676D" w:rsidP="00CB676D">
      <w:pPr>
        <w:ind w:firstLine="360"/>
      </w:pPr>
      <w:r w:rsidRPr="00DC5A03">
        <w:t>4) Heard by both courts - COLR / IAC cases (expected sample size = 300 cases)</w:t>
      </w:r>
    </w:p>
    <w:p w:rsidR="00CB676D" w:rsidRDefault="00CB676D" w:rsidP="00CB676D"/>
    <w:p w:rsidR="00CB676D" w:rsidRDefault="00CB676D" w:rsidP="00CB676D">
      <w:r w:rsidRPr="00DC5A03">
        <w:t xml:space="preserve">These four kinds of cases will be sampled at four distinct rates (i.e., 100%, 4.25%, 5.39% and 27.67% (i.e., conditional on selection into the COLR sample) respective to 1…4 above) within the two kinds of courts (COLR, IAC). </w:t>
      </w:r>
    </w:p>
    <w:p w:rsidR="00CB676D" w:rsidRDefault="00CB676D" w:rsidP="00CB676D"/>
    <w:p w:rsidR="00CB676D" w:rsidRDefault="00CB676D" w:rsidP="00CB676D">
      <w:r w:rsidRPr="00DC5A03">
        <w:t xml:space="preserve">Since the death penalty cases are intended to be a census, no precision table will be given below for that specific domain. </w:t>
      </w:r>
    </w:p>
    <w:p w:rsidR="00CB676D" w:rsidRDefault="00CB676D" w:rsidP="00CB676D"/>
    <w:p w:rsidR="00CB676D" w:rsidRPr="00DC5A03" w:rsidRDefault="00CB676D" w:rsidP="00CB676D">
      <w:r w:rsidRPr="00DC5A03">
        <w:t>The precision offered by an overall responding sample size of 4,860 cases is, as follows:</w:t>
      </w:r>
    </w:p>
    <w:p w:rsidR="00CB676D" w:rsidRDefault="00CB676D" w:rsidP="00CB676D">
      <w:pPr>
        <w:keepNext/>
        <w:keepLines/>
        <w:ind w:firstLine="360"/>
        <w:rPr>
          <w:b/>
          <w:color w:val="000000"/>
        </w:rPr>
      </w:pPr>
    </w:p>
    <w:p w:rsidR="00CB676D" w:rsidRPr="004A0A11" w:rsidRDefault="00CB676D" w:rsidP="00CB676D">
      <w:pPr>
        <w:keepNext/>
        <w:keepLines/>
        <w:ind w:firstLine="360"/>
        <w:rPr>
          <w:b/>
          <w:color w:val="000000"/>
        </w:rPr>
      </w:pPr>
      <w:r w:rsidRPr="004A0A11">
        <w:rPr>
          <w:b/>
          <w:color w:val="000000"/>
        </w:rPr>
        <w:t>Precision offered by 4,860 responding cases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tblPr>
      <w:tblGrid>
        <w:gridCol w:w="1860"/>
        <w:gridCol w:w="1860"/>
        <w:gridCol w:w="1860"/>
        <w:gridCol w:w="1866"/>
        <w:gridCol w:w="1854"/>
      </w:tblGrid>
      <w:tr w:rsidR="00CB676D" w:rsidTr="00392445">
        <w:trPr>
          <w:trHeight w:val="290"/>
        </w:trPr>
        <w:tc>
          <w:tcPr>
            <w:tcW w:w="1860" w:type="dxa"/>
            <w:tcBorders>
              <w:top w:val="single" w:sz="4" w:space="0" w:color="auto"/>
              <w:left w:val="single" w:sz="4" w:space="0" w:color="auto"/>
              <w:bottom w:val="single" w:sz="4" w:space="0" w:color="auto"/>
              <w:right w:val="single" w:sz="4" w:space="0" w:color="auto"/>
            </w:tcBorders>
            <w:shd w:val="pct20" w:color="auto" w:fill="auto"/>
            <w:hideMark/>
          </w:tcPr>
          <w:p w:rsidR="00CB676D" w:rsidRDefault="00CB676D" w:rsidP="00392445">
            <w:pPr>
              <w:autoSpaceDE w:val="0"/>
              <w:autoSpaceDN w:val="0"/>
              <w:adjustRightInd w:val="0"/>
              <w:rPr>
                <w:b/>
                <w:color w:val="000000"/>
              </w:rPr>
            </w:pPr>
            <w:r>
              <w:rPr>
                <w:b/>
                <w:color w:val="000000"/>
              </w:rPr>
              <w:t>Percentage</w:t>
            </w:r>
          </w:p>
        </w:tc>
        <w:tc>
          <w:tcPr>
            <w:tcW w:w="1860" w:type="dxa"/>
            <w:tcBorders>
              <w:top w:val="single" w:sz="4" w:space="0" w:color="auto"/>
              <w:left w:val="single" w:sz="4" w:space="0" w:color="auto"/>
              <w:bottom w:val="single" w:sz="4" w:space="0" w:color="auto"/>
              <w:right w:val="single" w:sz="4" w:space="0" w:color="auto"/>
            </w:tcBorders>
            <w:shd w:val="pct20" w:color="auto" w:fill="auto"/>
            <w:hideMark/>
          </w:tcPr>
          <w:p w:rsidR="00CB676D" w:rsidRDefault="00CB676D" w:rsidP="00392445">
            <w:pPr>
              <w:autoSpaceDE w:val="0"/>
              <w:autoSpaceDN w:val="0"/>
              <w:adjustRightInd w:val="0"/>
              <w:rPr>
                <w:b/>
                <w:color w:val="000000"/>
              </w:rPr>
            </w:pPr>
            <w:r>
              <w:rPr>
                <w:b/>
                <w:color w:val="000000"/>
              </w:rPr>
              <w:t>N</w:t>
            </w:r>
          </w:p>
        </w:tc>
        <w:tc>
          <w:tcPr>
            <w:tcW w:w="1860" w:type="dxa"/>
            <w:tcBorders>
              <w:top w:val="single" w:sz="4" w:space="0" w:color="auto"/>
              <w:left w:val="single" w:sz="4" w:space="0" w:color="auto"/>
              <w:bottom w:val="single" w:sz="4" w:space="0" w:color="auto"/>
              <w:right w:val="single" w:sz="4" w:space="0" w:color="auto"/>
            </w:tcBorders>
            <w:shd w:val="pct20" w:color="auto" w:fill="auto"/>
            <w:hideMark/>
          </w:tcPr>
          <w:p w:rsidR="00CB676D" w:rsidRDefault="00CB676D" w:rsidP="00392445">
            <w:pPr>
              <w:autoSpaceDE w:val="0"/>
              <w:autoSpaceDN w:val="0"/>
              <w:adjustRightInd w:val="0"/>
              <w:rPr>
                <w:b/>
                <w:color w:val="000000"/>
              </w:rPr>
            </w:pPr>
            <w:r>
              <w:rPr>
                <w:b/>
                <w:color w:val="000000"/>
              </w:rPr>
              <w:t>Standard Error</w:t>
            </w:r>
          </w:p>
        </w:tc>
        <w:tc>
          <w:tcPr>
            <w:tcW w:w="1866" w:type="dxa"/>
            <w:tcBorders>
              <w:top w:val="single" w:sz="4" w:space="0" w:color="auto"/>
              <w:left w:val="single" w:sz="4" w:space="0" w:color="auto"/>
              <w:bottom w:val="single" w:sz="4" w:space="0" w:color="auto"/>
              <w:right w:val="single" w:sz="4" w:space="0" w:color="auto"/>
            </w:tcBorders>
            <w:shd w:val="pct20" w:color="auto" w:fill="auto"/>
            <w:hideMark/>
          </w:tcPr>
          <w:p w:rsidR="00CB676D" w:rsidRDefault="00CB676D" w:rsidP="00392445">
            <w:pPr>
              <w:autoSpaceDE w:val="0"/>
              <w:autoSpaceDN w:val="0"/>
              <w:adjustRightInd w:val="0"/>
              <w:rPr>
                <w:b/>
                <w:color w:val="000000"/>
              </w:rPr>
            </w:pPr>
            <w:r>
              <w:rPr>
                <w:b/>
                <w:color w:val="000000"/>
              </w:rPr>
              <w:t>LCI</w:t>
            </w:r>
          </w:p>
        </w:tc>
        <w:tc>
          <w:tcPr>
            <w:tcW w:w="1854" w:type="dxa"/>
            <w:tcBorders>
              <w:top w:val="single" w:sz="4" w:space="0" w:color="auto"/>
              <w:left w:val="single" w:sz="4" w:space="0" w:color="auto"/>
              <w:bottom w:val="single" w:sz="4" w:space="0" w:color="auto"/>
              <w:right w:val="single" w:sz="4" w:space="0" w:color="auto"/>
            </w:tcBorders>
            <w:shd w:val="pct20" w:color="auto" w:fill="auto"/>
            <w:hideMark/>
          </w:tcPr>
          <w:p w:rsidR="00CB676D" w:rsidRDefault="00CB676D" w:rsidP="00392445">
            <w:pPr>
              <w:autoSpaceDE w:val="0"/>
              <w:autoSpaceDN w:val="0"/>
              <w:adjustRightInd w:val="0"/>
              <w:rPr>
                <w:b/>
                <w:color w:val="000000"/>
              </w:rPr>
            </w:pPr>
            <w:r>
              <w:rPr>
                <w:b/>
                <w:color w:val="000000"/>
              </w:rPr>
              <w:t>UCI</w:t>
            </w:r>
          </w:p>
        </w:tc>
      </w:tr>
      <w:tr w:rsidR="00CB676D" w:rsidTr="00392445">
        <w:trPr>
          <w:trHeight w:val="290"/>
        </w:trPr>
        <w:tc>
          <w:tcPr>
            <w:tcW w:w="1860" w:type="dxa"/>
            <w:tcBorders>
              <w:top w:val="single" w:sz="4" w:space="0" w:color="auto"/>
              <w:left w:val="single" w:sz="4" w:space="0" w:color="auto"/>
              <w:bottom w:val="single" w:sz="4" w:space="0" w:color="auto"/>
              <w:right w:val="single" w:sz="4" w:space="0" w:color="auto"/>
            </w:tcBorders>
            <w:hideMark/>
          </w:tcPr>
          <w:p w:rsidR="00CB676D" w:rsidRDefault="00CB676D" w:rsidP="00392445">
            <w:pPr>
              <w:autoSpaceDE w:val="0"/>
              <w:autoSpaceDN w:val="0"/>
              <w:adjustRightInd w:val="0"/>
              <w:rPr>
                <w:color w:val="000000"/>
              </w:rPr>
            </w:pPr>
            <w:r>
              <w:rPr>
                <w:color w:val="000000"/>
              </w:rPr>
              <w:t>30.0%</w:t>
            </w:r>
          </w:p>
        </w:tc>
        <w:tc>
          <w:tcPr>
            <w:tcW w:w="1860" w:type="dxa"/>
            <w:tcBorders>
              <w:top w:val="single" w:sz="4" w:space="0" w:color="auto"/>
              <w:left w:val="single" w:sz="4" w:space="0" w:color="auto"/>
              <w:bottom w:val="single" w:sz="4" w:space="0" w:color="auto"/>
              <w:right w:val="single" w:sz="4" w:space="0" w:color="auto"/>
            </w:tcBorders>
            <w:hideMark/>
          </w:tcPr>
          <w:p w:rsidR="00CB676D" w:rsidRDefault="00CB676D" w:rsidP="00392445">
            <w:pPr>
              <w:autoSpaceDE w:val="0"/>
              <w:autoSpaceDN w:val="0"/>
              <w:adjustRightInd w:val="0"/>
              <w:rPr>
                <w:color w:val="000000"/>
              </w:rPr>
            </w:pPr>
            <w:r>
              <w:rPr>
                <w:color w:val="000000"/>
              </w:rPr>
              <w:t>4,860</w:t>
            </w:r>
          </w:p>
        </w:tc>
        <w:tc>
          <w:tcPr>
            <w:tcW w:w="1860" w:type="dxa"/>
            <w:tcBorders>
              <w:top w:val="single" w:sz="4" w:space="0" w:color="auto"/>
              <w:left w:val="single" w:sz="4" w:space="0" w:color="auto"/>
              <w:bottom w:val="single" w:sz="4" w:space="0" w:color="auto"/>
              <w:right w:val="single" w:sz="4" w:space="0" w:color="auto"/>
            </w:tcBorders>
            <w:hideMark/>
          </w:tcPr>
          <w:p w:rsidR="00CB676D" w:rsidRDefault="00CB676D" w:rsidP="00392445">
            <w:pPr>
              <w:autoSpaceDE w:val="0"/>
              <w:autoSpaceDN w:val="0"/>
              <w:adjustRightInd w:val="0"/>
              <w:rPr>
                <w:color w:val="000000"/>
              </w:rPr>
            </w:pPr>
            <w:r>
              <w:rPr>
                <w:color w:val="000000"/>
              </w:rPr>
              <w:t>0.00657</w:t>
            </w:r>
          </w:p>
        </w:tc>
        <w:tc>
          <w:tcPr>
            <w:tcW w:w="1866" w:type="dxa"/>
            <w:tcBorders>
              <w:top w:val="single" w:sz="4" w:space="0" w:color="auto"/>
              <w:left w:val="single" w:sz="4" w:space="0" w:color="auto"/>
              <w:bottom w:val="single" w:sz="4" w:space="0" w:color="auto"/>
              <w:right w:val="single" w:sz="4" w:space="0" w:color="auto"/>
            </w:tcBorders>
            <w:hideMark/>
          </w:tcPr>
          <w:p w:rsidR="00CB676D" w:rsidRDefault="00CB676D" w:rsidP="00392445">
            <w:pPr>
              <w:autoSpaceDE w:val="0"/>
              <w:autoSpaceDN w:val="0"/>
              <w:adjustRightInd w:val="0"/>
              <w:rPr>
                <w:color w:val="000000"/>
              </w:rPr>
            </w:pPr>
            <w:r>
              <w:rPr>
                <w:color w:val="000000"/>
              </w:rPr>
              <w:t>28.71%</w:t>
            </w:r>
          </w:p>
        </w:tc>
        <w:tc>
          <w:tcPr>
            <w:tcW w:w="1854" w:type="dxa"/>
            <w:tcBorders>
              <w:top w:val="single" w:sz="4" w:space="0" w:color="auto"/>
              <w:left w:val="single" w:sz="4" w:space="0" w:color="auto"/>
              <w:bottom w:val="single" w:sz="4" w:space="0" w:color="auto"/>
              <w:right w:val="single" w:sz="4" w:space="0" w:color="auto"/>
            </w:tcBorders>
            <w:hideMark/>
          </w:tcPr>
          <w:p w:rsidR="00CB676D" w:rsidRDefault="00CB676D" w:rsidP="00392445">
            <w:pPr>
              <w:autoSpaceDE w:val="0"/>
              <w:autoSpaceDN w:val="0"/>
              <w:adjustRightInd w:val="0"/>
              <w:rPr>
                <w:color w:val="000000"/>
              </w:rPr>
            </w:pPr>
            <w:r>
              <w:rPr>
                <w:color w:val="000000"/>
              </w:rPr>
              <w:t>31.29%</w:t>
            </w:r>
          </w:p>
        </w:tc>
      </w:tr>
      <w:tr w:rsidR="00CB676D" w:rsidTr="00392445">
        <w:trPr>
          <w:trHeight w:val="290"/>
        </w:trPr>
        <w:tc>
          <w:tcPr>
            <w:tcW w:w="1860" w:type="dxa"/>
            <w:tcBorders>
              <w:top w:val="single" w:sz="4" w:space="0" w:color="auto"/>
              <w:left w:val="single" w:sz="4" w:space="0" w:color="auto"/>
              <w:bottom w:val="single" w:sz="4" w:space="0" w:color="auto"/>
              <w:right w:val="single" w:sz="4" w:space="0" w:color="auto"/>
            </w:tcBorders>
            <w:hideMark/>
          </w:tcPr>
          <w:p w:rsidR="00CB676D" w:rsidRDefault="00CB676D" w:rsidP="00392445">
            <w:pPr>
              <w:autoSpaceDE w:val="0"/>
              <w:autoSpaceDN w:val="0"/>
              <w:adjustRightInd w:val="0"/>
              <w:rPr>
                <w:color w:val="000000"/>
              </w:rPr>
            </w:pPr>
            <w:r>
              <w:rPr>
                <w:color w:val="000000"/>
              </w:rPr>
              <w:t>40.0%</w:t>
            </w:r>
          </w:p>
        </w:tc>
        <w:tc>
          <w:tcPr>
            <w:tcW w:w="1860" w:type="dxa"/>
            <w:tcBorders>
              <w:top w:val="single" w:sz="4" w:space="0" w:color="auto"/>
              <w:left w:val="single" w:sz="4" w:space="0" w:color="auto"/>
              <w:bottom w:val="single" w:sz="4" w:space="0" w:color="auto"/>
              <w:right w:val="single" w:sz="4" w:space="0" w:color="auto"/>
            </w:tcBorders>
            <w:hideMark/>
          </w:tcPr>
          <w:p w:rsidR="00CB676D" w:rsidRDefault="00CB676D" w:rsidP="00392445">
            <w:pPr>
              <w:autoSpaceDE w:val="0"/>
              <w:autoSpaceDN w:val="0"/>
              <w:adjustRightInd w:val="0"/>
              <w:rPr>
                <w:color w:val="000000"/>
              </w:rPr>
            </w:pPr>
            <w:r>
              <w:rPr>
                <w:color w:val="000000"/>
              </w:rPr>
              <w:t>4,860</w:t>
            </w:r>
          </w:p>
        </w:tc>
        <w:tc>
          <w:tcPr>
            <w:tcW w:w="1860" w:type="dxa"/>
            <w:tcBorders>
              <w:top w:val="single" w:sz="4" w:space="0" w:color="auto"/>
              <w:left w:val="single" w:sz="4" w:space="0" w:color="auto"/>
              <w:bottom w:val="single" w:sz="4" w:space="0" w:color="auto"/>
              <w:right w:val="single" w:sz="4" w:space="0" w:color="auto"/>
            </w:tcBorders>
            <w:hideMark/>
          </w:tcPr>
          <w:p w:rsidR="00CB676D" w:rsidRDefault="00CB676D" w:rsidP="00392445">
            <w:pPr>
              <w:autoSpaceDE w:val="0"/>
              <w:autoSpaceDN w:val="0"/>
              <w:adjustRightInd w:val="0"/>
              <w:rPr>
                <w:color w:val="000000"/>
              </w:rPr>
            </w:pPr>
            <w:r>
              <w:rPr>
                <w:color w:val="000000"/>
              </w:rPr>
              <w:t>0.00703</w:t>
            </w:r>
          </w:p>
        </w:tc>
        <w:tc>
          <w:tcPr>
            <w:tcW w:w="1866" w:type="dxa"/>
            <w:tcBorders>
              <w:top w:val="single" w:sz="4" w:space="0" w:color="auto"/>
              <w:left w:val="single" w:sz="4" w:space="0" w:color="auto"/>
              <w:bottom w:val="single" w:sz="4" w:space="0" w:color="auto"/>
              <w:right w:val="single" w:sz="4" w:space="0" w:color="auto"/>
            </w:tcBorders>
            <w:hideMark/>
          </w:tcPr>
          <w:p w:rsidR="00CB676D" w:rsidRDefault="00CB676D" w:rsidP="00392445">
            <w:pPr>
              <w:autoSpaceDE w:val="0"/>
              <w:autoSpaceDN w:val="0"/>
              <w:adjustRightInd w:val="0"/>
              <w:rPr>
                <w:color w:val="000000"/>
              </w:rPr>
            </w:pPr>
            <w:r>
              <w:rPr>
                <w:color w:val="000000"/>
              </w:rPr>
              <w:t>38.62%</w:t>
            </w:r>
          </w:p>
        </w:tc>
        <w:tc>
          <w:tcPr>
            <w:tcW w:w="1854" w:type="dxa"/>
            <w:tcBorders>
              <w:top w:val="single" w:sz="4" w:space="0" w:color="auto"/>
              <w:left w:val="single" w:sz="4" w:space="0" w:color="auto"/>
              <w:bottom w:val="single" w:sz="4" w:space="0" w:color="auto"/>
              <w:right w:val="single" w:sz="4" w:space="0" w:color="auto"/>
            </w:tcBorders>
            <w:hideMark/>
          </w:tcPr>
          <w:p w:rsidR="00CB676D" w:rsidRDefault="00CB676D" w:rsidP="00392445">
            <w:pPr>
              <w:autoSpaceDE w:val="0"/>
              <w:autoSpaceDN w:val="0"/>
              <w:adjustRightInd w:val="0"/>
              <w:rPr>
                <w:color w:val="000000"/>
              </w:rPr>
            </w:pPr>
            <w:r>
              <w:rPr>
                <w:color w:val="000000"/>
              </w:rPr>
              <w:t>41.38%</w:t>
            </w:r>
          </w:p>
        </w:tc>
      </w:tr>
      <w:tr w:rsidR="00CB676D" w:rsidTr="00392445">
        <w:trPr>
          <w:trHeight w:val="290"/>
        </w:trPr>
        <w:tc>
          <w:tcPr>
            <w:tcW w:w="1860" w:type="dxa"/>
            <w:tcBorders>
              <w:top w:val="single" w:sz="4" w:space="0" w:color="auto"/>
              <w:left w:val="single" w:sz="4" w:space="0" w:color="auto"/>
              <w:bottom w:val="single" w:sz="4" w:space="0" w:color="auto"/>
              <w:right w:val="single" w:sz="4" w:space="0" w:color="auto"/>
            </w:tcBorders>
            <w:hideMark/>
          </w:tcPr>
          <w:p w:rsidR="00CB676D" w:rsidRDefault="00CB676D" w:rsidP="00392445">
            <w:pPr>
              <w:autoSpaceDE w:val="0"/>
              <w:autoSpaceDN w:val="0"/>
              <w:adjustRightInd w:val="0"/>
              <w:rPr>
                <w:color w:val="000000"/>
              </w:rPr>
            </w:pPr>
            <w:r>
              <w:rPr>
                <w:color w:val="000000"/>
              </w:rPr>
              <w:t>50.0%</w:t>
            </w:r>
          </w:p>
        </w:tc>
        <w:tc>
          <w:tcPr>
            <w:tcW w:w="1860" w:type="dxa"/>
            <w:tcBorders>
              <w:top w:val="single" w:sz="4" w:space="0" w:color="auto"/>
              <w:left w:val="single" w:sz="4" w:space="0" w:color="auto"/>
              <w:bottom w:val="single" w:sz="4" w:space="0" w:color="auto"/>
              <w:right w:val="single" w:sz="4" w:space="0" w:color="auto"/>
            </w:tcBorders>
            <w:hideMark/>
          </w:tcPr>
          <w:p w:rsidR="00CB676D" w:rsidRDefault="00CB676D" w:rsidP="00392445">
            <w:pPr>
              <w:autoSpaceDE w:val="0"/>
              <w:autoSpaceDN w:val="0"/>
              <w:adjustRightInd w:val="0"/>
              <w:rPr>
                <w:color w:val="000000"/>
              </w:rPr>
            </w:pPr>
            <w:r>
              <w:rPr>
                <w:color w:val="000000"/>
              </w:rPr>
              <w:t>4,860</w:t>
            </w:r>
          </w:p>
        </w:tc>
        <w:tc>
          <w:tcPr>
            <w:tcW w:w="1860" w:type="dxa"/>
            <w:tcBorders>
              <w:top w:val="single" w:sz="4" w:space="0" w:color="auto"/>
              <w:left w:val="single" w:sz="4" w:space="0" w:color="auto"/>
              <w:bottom w:val="single" w:sz="4" w:space="0" w:color="auto"/>
              <w:right w:val="single" w:sz="4" w:space="0" w:color="auto"/>
            </w:tcBorders>
            <w:hideMark/>
          </w:tcPr>
          <w:p w:rsidR="00CB676D" w:rsidRDefault="00CB676D" w:rsidP="00392445">
            <w:pPr>
              <w:autoSpaceDE w:val="0"/>
              <w:autoSpaceDN w:val="0"/>
              <w:adjustRightInd w:val="0"/>
              <w:rPr>
                <w:color w:val="000000"/>
              </w:rPr>
            </w:pPr>
            <w:r>
              <w:rPr>
                <w:color w:val="000000"/>
              </w:rPr>
              <w:t>0.00717</w:t>
            </w:r>
          </w:p>
        </w:tc>
        <w:tc>
          <w:tcPr>
            <w:tcW w:w="1866" w:type="dxa"/>
            <w:tcBorders>
              <w:top w:val="single" w:sz="4" w:space="0" w:color="auto"/>
              <w:left w:val="single" w:sz="4" w:space="0" w:color="auto"/>
              <w:bottom w:val="single" w:sz="4" w:space="0" w:color="auto"/>
              <w:right w:val="single" w:sz="4" w:space="0" w:color="auto"/>
            </w:tcBorders>
            <w:hideMark/>
          </w:tcPr>
          <w:p w:rsidR="00CB676D" w:rsidRDefault="00CB676D" w:rsidP="00392445">
            <w:pPr>
              <w:autoSpaceDE w:val="0"/>
              <w:autoSpaceDN w:val="0"/>
              <w:adjustRightInd w:val="0"/>
              <w:rPr>
                <w:color w:val="000000"/>
              </w:rPr>
            </w:pPr>
            <w:r>
              <w:rPr>
                <w:color w:val="000000"/>
              </w:rPr>
              <w:t>48.59%</w:t>
            </w:r>
          </w:p>
        </w:tc>
        <w:tc>
          <w:tcPr>
            <w:tcW w:w="1854" w:type="dxa"/>
            <w:tcBorders>
              <w:top w:val="single" w:sz="4" w:space="0" w:color="auto"/>
              <w:left w:val="single" w:sz="4" w:space="0" w:color="auto"/>
              <w:bottom w:val="single" w:sz="4" w:space="0" w:color="auto"/>
              <w:right w:val="single" w:sz="4" w:space="0" w:color="auto"/>
            </w:tcBorders>
            <w:hideMark/>
          </w:tcPr>
          <w:p w:rsidR="00CB676D" w:rsidRDefault="00CB676D" w:rsidP="00392445">
            <w:pPr>
              <w:autoSpaceDE w:val="0"/>
              <w:autoSpaceDN w:val="0"/>
              <w:adjustRightInd w:val="0"/>
              <w:rPr>
                <w:color w:val="000000"/>
              </w:rPr>
            </w:pPr>
            <w:r>
              <w:rPr>
                <w:color w:val="000000"/>
              </w:rPr>
              <w:t>51.41%</w:t>
            </w:r>
          </w:p>
        </w:tc>
      </w:tr>
      <w:tr w:rsidR="00CB676D" w:rsidTr="00392445">
        <w:trPr>
          <w:trHeight w:val="290"/>
        </w:trPr>
        <w:tc>
          <w:tcPr>
            <w:tcW w:w="1860" w:type="dxa"/>
            <w:tcBorders>
              <w:top w:val="single" w:sz="4" w:space="0" w:color="auto"/>
              <w:left w:val="single" w:sz="4" w:space="0" w:color="auto"/>
              <w:bottom w:val="single" w:sz="4" w:space="0" w:color="auto"/>
              <w:right w:val="single" w:sz="4" w:space="0" w:color="auto"/>
            </w:tcBorders>
            <w:hideMark/>
          </w:tcPr>
          <w:p w:rsidR="00CB676D" w:rsidRDefault="00CB676D" w:rsidP="00392445">
            <w:pPr>
              <w:autoSpaceDE w:val="0"/>
              <w:autoSpaceDN w:val="0"/>
              <w:adjustRightInd w:val="0"/>
              <w:rPr>
                <w:color w:val="000000"/>
              </w:rPr>
            </w:pPr>
            <w:r>
              <w:rPr>
                <w:color w:val="000000"/>
              </w:rPr>
              <w:t>60.0%</w:t>
            </w:r>
          </w:p>
        </w:tc>
        <w:tc>
          <w:tcPr>
            <w:tcW w:w="1860" w:type="dxa"/>
            <w:tcBorders>
              <w:top w:val="single" w:sz="4" w:space="0" w:color="auto"/>
              <w:left w:val="single" w:sz="4" w:space="0" w:color="auto"/>
              <w:bottom w:val="single" w:sz="4" w:space="0" w:color="auto"/>
              <w:right w:val="single" w:sz="4" w:space="0" w:color="auto"/>
            </w:tcBorders>
            <w:hideMark/>
          </w:tcPr>
          <w:p w:rsidR="00CB676D" w:rsidRDefault="00CB676D" w:rsidP="00392445">
            <w:pPr>
              <w:autoSpaceDE w:val="0"/>
              <w:autoSpaceDN w:val="0"/>
              <w:adjustRightInd w:val="0"/>
              <w:rPr>
                <w:color w:val="000000"/>
              </w:rPr>
            </w:pPr>
            <w:r>
              <w:rPr>
                <w:color w:val="000000"/>
              </w:rPr>
              <w:t>4,860</w:t>
            </w:r>
          </w:p>
        </w:tc>
        <w:tc>
          <w:tcPr>
            <w:tcW w:w="1860" w:type="dxa"/>
            <w:tcBorders>
              <w:top w:val="single" w:sz="4" w:space="0" w:color="auto"/>
              <w:left w:val="single" w:sz="4" w:space="0" w:color="auto"/>
              <w:bottom w:val="single" w:sz="4" w:space="0" w:color="auto"/>
              <w:right w:val="single" w:sz="4" w:space="0" w:color="auto"/>
            </w:tcBorders>
            <w:hideMark/>
          </w:tcPr>
          <w:p w:rsidR="00CB676D" w:rsidRDefault="00CB676D" w:rsidP="00392445">
            <w:pPr>
              <w:autoSpaceDE w:val="0"/>
              <w:autoSpaceDN w:val="0"/>
              <w:adjustRightInd w:val="0"/>
              <w:rPr>
                <w:color w:val="000000"/>
              </w:rPr>
            </w:pPr>
            <w:r>
              <w:rPr>
                <w:color w:val="000000"/>
              </w:rPr>
              <w:t>0.00703</w:t>
            </w:r>
          </w:p>
        </w:tc>
        <w:tc>
          <w:tcPr>
            <w:tcW w:w="1866" w:type="dxa"/>
            <w:tcBorders>
              <w:top w:val="single" w:sz="4" w:space="0" w:color="auto"/>
              <w:left w:val="single" w:sz="4" w:space="0" w:color="auto"/>
              <w:bottom w:val="single" w:sz="4" w:space="0" w:color="auto"/>
              <w:right w:val="single" w:sz="4" w:space="0" w:color="auto"/>
            </w:tcBorders>
            <w:hideMark/>
          </w:tcPr>
          <w:p w:rsidR="00CB676D" w:rsidRDefault="00CB676D" w:rsidP="00392445">
            <w:pPr>
              <w:autoSpaceDE w:val="0"/>
              <w:autoSpaceDN w:val="0"/>
              <w:adjustRightInd w:val="0"/>
              <w:rPr>
                <w:color w:val="000000"/>
              </w:rPr>
            </w:pPr>
            <w:r>
              <w:rPr>
                <w:color w:val="000000"/>
              </w:rPr>
              <w:t>58.62%</w:t>
            </w:r>
          </w:p>
        </w:tc>
        <w:tc>
          <w:tcPr>
            <w:tcW w:w="1854" w:type="dxa"/>
            <w:tcBorders>
              <w:top w:val="single" w:sz="4" w:space="0" w:color="auto"/>
              <w:left w:val="single" w:sz="4" w:space="0" w:color="auto"/>
              <w:bottom w:val="single" w:sz="4" w:space="0" w:color="auto"/>
              <w:right w:val="single" w:sz="4" w:space="0" w:color="auto"/>
            </w:tcBorders>
            <w:hideMark/>
          </w:tcPr>
          <w:p w:rsidR="00CB676D" w:rsidRDefault="00CB676D" w:rsidP="00392445">
            <w:pPr>
              <w:autoSpaceDE w:val="0"/>
              <w:autoSpaceDN w:val="0"/>
              <w:adjustRightInd w:val="0"/>
              <w:rPr>
                <w:color w:val="000000"/>
              </w:rPr>
            </w:pPr>
            <w:r>
              <w:rPr>
                <w:color w:val="000000"/>
              </w:rPr>
              <w:t>61.38%</w:t>
            </w:r>
          </w:p>
        </w:tc>
      </w:tr>
      <w:tr w:rsidR="00CB676D" w:rsidTr="00392445">
        <w:trPr>
          <w:trHeight w:val="290"/>
        </w:trPr>
        <w:tc>
          <w:tcPr>
            <w:tcW w:w="1860" w:type="dxa"/>
            <w:tcBorders>
              <w:top w:val="single" w:sz="4" w:space="0" w:color="auto"/>
              <w:left w:val="single" w:sz="4" w:space="0" w:color="auto"/>
              <w:bottom w:val="single" w:sz="4" w:space="0" w:color="auto"/>
              <w:right w:val="single" w:sz="4" w:space="0" w:color="auto"/>
            </w:tcBorders>
            <w:hideMark/>
          </w:tcPr>
          <w:p w:rsidR="00CB676D" w:rsidRDefault="00CB676D" w:rsidP="00392445">
            <w:pPr>
              <w:autoSpaceDE w:val="0"/>
              <w:autoSpaceDN w:val="0"/>
              <w:adjustRightInd w:val="0"/>
              <w:rPr>
                <w:color w:val="000000"/>
              </w:rPr>
            </w:pPr>
            <w:r>
              <w:rPr>
                <w:color w:val="000000"/>
              </w:rPr>
              <w:t>70.0%</w:t>
            </w:r>
          </w:p>
        </w:tc>
        <w:tc>
          <w:tcPr>
            <w:tcW w:w="1860" w:type="dxa"/>
            <w:tcBorders>
              <w:top w:val="single" w:sz="4" w:space="0" w:color="auto"/>
              <w:left w:val="single" w:sz="4" w:space="0" w:color="auto"/>
              <w:bottom w:val="single" w:sz="4" w:space="0" w:color="auto"/>
              <w:right w:val="single" w:sz="4" w:space="0" w:color="auto"/>
            </w:tcBorders>
            <w:hideMark/>
          </w:tcPr>
          <w:p w:rsidR="00CB676D" w:rsidRDefault="00CB676D" w:rsidP="00392445">
            <w:pPr>
              <w:autoSpaceDE w:val="0"/>
              <w:autoSpaceDN w:val="0"/>
              <w:adjustRightInd w:val="0"/>
              <w:rPr>
                <w:color w:val="000000"/>
              </w:rPr>
            </w:pPr>
            <w:r>
              <w:rPr>
                <w:color w:val="000000"/>
              </w:rPr>
              <w:t>4,860</w:t>
            </w:r>
          </w:p>
        </w:tc>
        <w:tc>
          <w:tcPr>
            <w:tcW w:w="1860" w:type="dxa"/>
            <w:tcBorders>
              <w:top w:val="single" w:sz="4" w:space="0" w:color="auto"/>
              <w:left w:val="single" w:sz="4" w:space="0" w:color="auto"/>
              <w:bottom w:val="single" w:sz="4" w:space="0" w:color="auto"/>
              <w:right w:val="single" w:sz="4" w:space="0" w:color="auto"/>
            </w:tcBorders>
            <w:hideMark/>
          </w:tcPr>
          <w:p w:rsidR="00CB676D" w:rsidRDefault="00CB676D" w:rsidP="00392445">
            <w:pPr>
              <w:autoSpaceDE w:val="0"/>
              <w:autoSpaceDN w:val="0"/>
              <w:adjustRightInd w:val="0"/>
              <w:rPr>
                <w:color w:val="000000"/>
              </w:rPr>
            </w:pPr>
            <w:r>
              <w:rPr>
                <w:color w:val="000000"/>
              </w:rPr>
              <w:t>0.00657</w:t>
            </w:r>
          </w:p>
        </w:tc>
        <w:tc>
          <w:tcPr>
            <w:tcW w:w="1866" w:type="dxa"/>
            <w:tcBorders>
              <w:top w:val="single" w:sz="4" w:space="0" w:color="auto"/>
              <w:left w:val="single" w:sz="4" w:space="0" w:color="auto"/>
              <w:bottom w:val="single" w:sz="4" w:space="0" w:color="auto"/>
              <w:right w:val="single" w:sz="4" w:space="0" w:color="auto"/>
            </w:tcBorders>
            <w:hideMark/>
          </w:tcPr>
          <w:p w:rsidR="00CB676D" w:rsidRDefault="00CB676D" w:rsidP="00392445">
            <w:pPr>
              <w:autoSpaceDE w:val="0"/>
              <w:autoSpaceDN w:val="0"/>
              <w:adjustRightInd w:val="0"/>
              <w:rPr>
                <w:color w:val="000000"/>
              </w:rPr>
            </w:pPr>
            <w:r>
              <w:rPr>
                <w:color w:val="000000"/>
              </w:rPr>
              <w:t>68.71%</w:t>
            </w:r>
          </w:p>
        </w:tc>
        <w:tc>
          <w:tcPr>
            <w:tcW w:w="1854" w:type="dxa"/>
            <w:tcBorders>
              <w:top w:val="single" w:sz="4" w:space="0" w:color="auto"/>
              <w:left w:val="single" w:sz="4" w:space="0" w:color="auto"/>
              <w:bottom w:val="single" w:sz="4" w:space="0" w:color="auto"/>
              <w:right w:val="single" w:sz="4" w:space="0" w:color="auto"/>
            </w:tcBorders>
            <w:hideMark/>
          </w:tcPr>
          <w:p w:rsidR="00CB676D" w:rsidRDefault="00CB676D" w:rsidP="00392445">
            <w:pPr>
              <w:autoSpaceDE w:val="0"/>
              <w:autoSpaceDN w:val="0"/>
              <w:adjustRightInd w:val="0"/>
              <w:rPr>
                <w:color w:val="000000"/>
              </w:rPr>
            </w:pPr>
            <w:r>
              <w:rPr>
                <w:color w:val="000000"/>
              </w:rPr>
              <w:t>71.29%</w:t>
            </w:r>
          </w:p>
        </w:tc>
      </w:tr>
    </w:tbl>
    <w:p w:rsidR="00CB676D" w:rsidRDefault="00CB676D" w:rsidP="00CB676D">
      <w:pPr>
        <w:pStyle w:val="SP-SglSpPara"/>
        <w:ind w:firstLine="0"/>
        <w:jc w:val="left"/>
        <w:rPr>
          <w:sz w:val="24"/>
          <w:szCs w:val="24"/>
        </w:rPr>
      </w:pPr>
    </w:p>
    <w:p w:rsidR="00CB676D" w:rsidRDefault="00CB676D" w:rsidP="00CB676D">
      <w:pPr>
        <w:pStyle w:val="SP-SglSpPara"/>
        <w:ind w:firstLine="0"/>
        <w:jc w:val="left"/>
        <w:rPr>
          <w:sz w:val="24"/>
          <w:szCs w:val="24"/>
        </w:rPr>
      </w:pPr>
      <w:r>
        <w:rPr>
          <w:sz w:val="24"/>
          <w:szCs w:val="24"/>
        </w:rPr>
        <w:t>The standard error of the percentage is based on the percentage itself and the sample size. The lower and upper confidence interval end points (LCI, UCI) give the confidence interval for the estimate of the percentage.</w:t>
      </w:r>
    </w:p>
    <w:p w:rsidR="00CB676D" w:rsidRDefault="00CB676D" w:rsidP="00CB676D">
      <w:pPr>
        <w:pStyle w:val="SP-SglSpPara"/>
        <w:ind w:firstLine="0"/>
        <w:jc w:val="left"/>
        <w:rPr>
          <w:sz w:val="24"/>
          <w:szCs w:val="24"/>
        </w:rPr>
      </w:pPr>
    </w:p>
    <w:p w:rsidR="00CB676D" w:rsidRDefault="00CB676D" w:rsidP="00CB676D">
      <w:pPr>
        <w:pStyle w:val="SP-SglSpPara"/>
        <w:ind w:firstLine="0"/>
        <w:jc w:val="left"/>
        <w:rPr>
          <w:sz w:val="24"/>
          <w:szCs w:val="24"/>
        </w:rPr>
      </w:pPr>
      <w:r>
        <w:rPr>
          <w:sz w:val="24"/>
          <w:szCs w:val="24"/>
        </w:rPr>
        <w:t>The precision offered by a responding sample size of 3,060 (i.e., the IAC) cases, is as follows:</w:t>
      </w:r>
    </w:p>
    <w:p w:rsidR="00CB676D" w:rsidRPr="00BF006F" w:rsidRDefault="00CB676D" w:rsidP="00CB676D">
      <w:pPr>
        <w:pStyle w:val="SP-SglSpPara"/>
        <w:ind w:firstLine="0"/>
        <w:jc w:val="left"/>
        <w:rPr>
          <w:sz w:val="24"/>
          <w:szCs w:val="24"/>
        </w:rPr>
      </w:pPr>
    </w:p>
    <w:p w:rsidR="00CB676D" w:rsidRPr="00DC5A03" w:rsidRDefault="00CB676D" w:rsidP="00CB676D">
      <w:pPr>
        <w:keepNext/>
        <w:keepLines/>
        <w:rPr>
          <w:b/>
          <w:color w:val="000000"/>
        </w:rPr>
      </w:pPr>
      <w:r w:rsidRPr="00DC5A03">
        <w:rPr>
          <w:b/>
          <w:color w:val="000000"/>
        </w:rPr>
        <w:t>Precision offered by 3,060 responding cases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tblPr>
      <w:tblGrid>
        <w:gridCol w:w="1860"/>
        <w:gridCol w:w="1860"/>
        <w:gridCol w:w="1860"/>
        <w:gridCol w:w="1866"/>
        <w:gridCol w:w="1854"/>
      </w:tblGrid>
      <w:tr w:rsidR="00CB676D" w:rsidTr="00392445">
        <w:trPr>
          <w:trHeight w:val="290"/>
        </w:trPr>
        <w:tc>
          <w:tcPr>
            <w:tcW w:w="1860" w:type="dxa"/>
            <w:tcBorders>
              <w:top w:val="single" w:sz="4" w:space="0" w:color="auto"/>
              <w:left w:val="single" w:sz="4" w:space="0" w:color="auto"/>
              <w:bottom w:val="single" w:sz="4" w:space="0" w:color="auto"/>
              <w:right w:val="single" w:sz="4" w:space="0" w:color="auto"/>
            </w:tcBorders>
            <w:shd w:val="pct20" w:color="auto" w:fill="auto"/>
            <w:hideMark/>
          </w:tcPr>
          <w:p w:rsidR="00CB676D" w:rsidRDefault="00CB676D" w:rsidP="00392445">
            <w:pPr>
              <w:autoSpaceDE w:val="0"/>
              <w:autoSpaceDN w:val="0"/>
              <w:adjustRightInd w:val="0"/>
              <w:rPr>
                <w:b/>
                <w:color w:val="000000"/>
              </w:rPr>
            </w:pPr>
            <w:r>
              <w:rPr>
                <w:b/>
                <w:color w:val="000000"/>
              </w:rPr>
              <w:t>Percentage</w:t>
            </w:r>
          </w:p>
        </w:tc>
        <w:tc>
          <w:tcPr>
            <w:tcW w:w="1860" w:type="dxa"/>
            <w:tcBorders>
              <w:top w:val="single" w:sz="4" w:space="0" w:color="auto"/>
              <w:left w:val="single" w:sz="4" w:space="0" w:color="auto"/>
              <w:bottom w:val="single" w:sz="4" w:space="0" w:color="auto"/>
              <w:right w:val="single" w:sz="4" w:space="0" w:color="auto"/>
            </w:tcBorders>
            <w:shd w:val="pct20" w:color="auto" w:fill="auto"/>
            <w:hideMark/>
          </w:tcPr>
          <w:p w:rsidR="00CB676D" w:rsidRDefault="00CB676D" w:rsidP="00392445">
            <w:pPr>
              <w:autoSpaceDE w:val="0"/>
              <w:autoSpaceDN w:val="0"/>
              <w:adjustRightInd w:val="0"/>
              <w:rPr>
                <w:b/>
                <w:color w:val="000000"/>
              </w:rPr>
            </w:pPr>
            <w:r>
              <w:rPr>
                <w:b/>
                <w:color w:val="000000"/>
              </w:rPr>
              <w:t>N</w:t>
            </w:r>
          </w:p>
        </w:tc>
        <w:tc>
          <w:tcPr>
            <w:tcW w:w="1860" w:type="dxa"/>
            <w:tcBorders>
              <w:top w:val="single" w:sz="4" w:space="0" w:color="auto"/>
              <w:left w:val="single" w:sz="4" w:space="0" w:color="auto"/>
              <w:bottom w:val="single" w:sz="4" w:space="0" w:color="auto"/>
              <w:right w:val="single" w:sz="4" w:space="0" w:color="auto"/>
            </w:tcBorders>
            <w:shd w:val="pct20" w:color="auto" w:fill="auto"/>
            <w:hideMark/>
          </w:tcPr>
          <w:p w:rsidR="00CB676D" w:rsidRDefault="00CB676D" w:rsidP="00392445">
            <w:pPr>
              <w:autoSpaceDE w:val="0"/>
              <w:autoSpaceDN w:val="0"/>
              <w:adjustRightInd w:val="0"/>
              <w:rPr>
                <w:b/>
                <w:color w:val="000000"/>
              </w:rPr>
            </w:pPr>
            <w:r>
              <w:rPr>
                <w:b/>
                <w:color w:val="000000"/>
              </w:rPr>
              <w:t>Standard Error</w:t>
            </w:r>
          </w:p>
        </w:tc>
        <w:tc>
          <w:tcPr>
            <w:tcW w:w="1866" w:type="dxa"/>
            <w:tcBorders>
              <w:top w:val="single" w:sz="4" w:space="0" w:color="auto"/>
              <w:left w:val="single" w:sz="4" w:space="0" w:color="auto"/>
              <w:bottom w:val="single" w:sz="4" w:space="0" w:color="auto"/>
              <w:right w:val="single" w:sz="4" w:space="0" w:color="auto"/>
            </w:tcBorders>
            <w:shd w:val="pct20" w:color="auto" w:fill="auto"/>
            <w:hideMark/>
          </w:tcPr>
          <w:p w:rsidR="00CB676D" w:rsidRDefault="00CB676D" w:rsidP="00392445">
            <w:pPr>
              <w:autoSpaceDE w:val="0"/>
              <w:autoSpaceDN w:val="0"/>
              <w:adjustRightInd w:val="0"/>
              <w:rPr>
                <w:b/>
                <w:color w:val="000000"/>
              </w:rPr>
            </w:pPr>
            <w:r>
              <w:rPr>
                <w:b/>
                <w:color w:val="000000"/>
              </w:rPr>
              <w:t>LCI</w:t>
            </w:r>
          </w:p>
        </w:tc>
        <w:tc>
          <w:tcPr>
            <w:tcW w:w="1854" w:type="dxa"/>
            <w:tcBorders>
              <w:top w:val="single" w:sz="4" w:space="0" w:color="auto"/>
              <w:left w:val="single" w:sz="4" w:space="0" w:color="auto"/>
              <w:bottom w:val="single" w:sz="4" w:space="0" w:color="auto"/>
              <w:right w:val="single" w:sz="4" w:space="0" w:color="auto"/>
            </w:tcBorders>
            <w:shd w:val="pct20" w:color="auto" w:fill="auto"/>
            <w:hideMark/>
          </w:tcPr>
          <w:p w:rsidR="00CB676D" w:rsidRDefault="00CB676D" w:rsidP="00392445">
            <w:pPr>
              <w:autoSpaceDE w:val="0"/>
              <w:autoSpaceDN w:val="0"/>
              <w:adjustRightInd w:val="0"/>
              <w:rPr>
                <w:b/>
                <w:color w:val="000000"/>
              </w:rPr>
            </w:pPr>
            <w:r>
              <w:rPr>
                <w:b/>
                <w:color w:val="000000"/>
              </w:rPr>
              <w:t>UCI</w:t>
            </w:r>
          </w:p>
        </w:tc>
      </w:tr>
      <w:tr w:rsidR="00CB676D" w:rsidTr="00392445">
        <w:trPr>
          <w:trHeight w:val="290"/>
        </w:trPr>
        <w:tc>
          <w:tcPr>
            <w:tcW w:w="1860" w:type="dxa"/>
            <w:tcBorders>
              <w:top w:val="single" w:sz="4" w:space="0" w:color="auto"/>
              <w:left w:val="single" w:sz="4" w:space="0" w:color="auto"/>
              <w:bottom w:val="single" w:sz="4" w:space="0" w:color="auto"/>
              <w:right w:val="single" w:sz="4" w:space="0" w:color="auto"/>
            </w:tcBorders>
            <w:hideMark/>
          </w:tcPr>
          <w:p w:rsidR="00CB676D" w:rsidRDefault="00CB676D" w:rsidP="00392445">
            <w:pPr>
              <w:autoSpaceDE w:val="0"/>
              <w:autoSpaceDN w:val="0"/>
              <w:adjustRightInd w:val="0"/>
              <w:rPr>
                <w:color w:val="000000"/>
              </w:rPr>
            </w:pPr>
            <w:r>
              <w:rPr>
                <w:color w:val="000000"/>
              </w:rPr>
              <w:t>30.0%</w:t>
            </w:r>
          </w:p>
        </w:tc>
        <w:tc>
          <w:tcPr>
            <w:tcW w:w="1860" w:type="dxa"/>
            <w:tcBorders>
              <w:top w:val="single" w:sz="4" w:space="0" w:color="auto"/>
              <w:left w:val="single" w:sz="4" w:space="0" w:color="auto"/>
              <w:bottom w:val="single" w:sz="4" w:space="0" w:color="auto"/>
              <w:right w:val="single" w:sz="4" w:space="0" w:color="auto"/>
            </w:tcBorders>
            <w:hideMark/>
          </w:tcPr>
          <w:p w:rsidR="00CB676D" w:rsidRDefault="00CB676D" w:rsidP="00392445">
            <w:pPr>
              <w:autoSpaceDE w:val="0"/>
              <w:autoSpaceDN w:val="0"/>
              <w:adjustRightInd w:val="0"/>
              <w:rPr>
                <w:color w:val="000000"/>
              </w:rPr>
            </w:pPr>
            <w:r>
              <w:rPr>
                <w:color w:val="000000"/>
              </w:rPr>
              <w:t>3,060</w:t>
            </w:r>
          </w:p>
        </w:tc>
        <w:tc>
          <w:tcPr>
            <w:tcW w:w="1860" w:type="dxa"/>
            <w:tcBorders>
              <w:top w:val="single" w:sz="4" w:space="0" w:color="auto"/>
              <w:left w:val="single" w:sz="4" w:space="0" w:color="auto"/>
              <w:bottom w:val="single" w:sz="4" w:space="0" w:color="auto"/>
              <w:right w:val="single" w:sz="4" w:space="0" w:color="auto"/>
            </w:tcBorders>
            <w:hideMark/>
          </w:tcPr>
          <w:p w:rsidR="00CB676D" w:rsidRDefault="00CB676D" w:rsidP="00392445">
            <w:pPr>
              <w:autoSpaceDE w:val="0"/>
              <w:autoSpaceDN w:val="0"/>
              <w:adjustRightInd w:val="0"/>
              <w:rPr>
                <w:color w:val="000000"/>
              </w:rPr>
            </w:pPr>
            <w:r>
              <w:rPr>
                <w:color w:val="000000"/>
              </w:rPr>
              <w:t>0.00828</w:t>
            </w:r>
          </w:p>
        </w:tc>
        <w:tc>
          <w:tcPr>
            <w:tcW w:w="1866" w:type="dxa"/>
            <w:tcBorders>
              <w:top w:val="single" w:sz="4" w:space="0" w:color="auto"/>
              <w:left w:val="single" w:sz="4" w:space="0" w:color="auto"/>
              <w:bottom w:val="single" w:sz="4" w:space="0" w:color="auto"/>
              <w:right w:val="single" w:sz="4" w:space="0" w:color="auto"/>
            </w:tcBorders>
            <w:hideMark/>
          </w:tcPr>
          <w:p w:rsidR="00CB676D" w:rsidRDefault="00CB676D" w:rsidP="00392445">
            <w:pPr>
              <w:autoSpaceDE w:val="0"/>
              <w:autoSpaceDN w:val="0"/>
              <w:adjustRightInd w:val="0"/>
              <w:rPr>
                <w:color w:val="000000"/>
              </w:rPr>
            </w:pPr>
            <w:r>
              <w:rPr>
                <w:color w:val="000000"/>
              </w:rPr>
              <w:t>28.38%</w:t>
            </w:r>
          </w:p>
        </w:tc>
        <w:tc>
          <w:tcPr>
            <w:tcW w:w="1854" w:type="dxa"/>
            <w:tcBorders>
              <w:top w:val="single" w:sz="4" w:space="0" w:color="auto"/>
              <w:left w:val="single" w:sz="4" w:space="0" w:color="auto"/>
              <w:bottom w:val="single" w:sz="4" w:space="0" w:color="auto"/>
              <w:right w:val="single" w:sz="4" w:space="0" w:color="auto"/>
            </w:tcBorders>
            <w:hideMark/>
          </w:tcPr>
          <w:p w:rsidR="00CB676D" w:rsidRDefault="00CB676D" w:rsidP="00392445">
            <w:pPr>
              <w:autoSpaceDE w:val="0"/>
              <w:autoSpaceDN w:val="0"/>
              <w:adjustRightInd w:val="0"/>
              <w:rPr>
                <w:color w:val="000000"/>
              </w:rPr>
            </w:pPr>
            <w:r>
              <w:rPr>
                <w:color w:val="000000"/>
              </w:rPr>
              <w:t>31.62%</w:t>
            </w:r>
          </w:p>
        </w:tc>
      </w:tr>
      <w:tr w:rsidR="00CB676D" w:rsidTr="00392445">
        <w:trPr>
          <w:trHeight w:val="290"/>
        </w:trPr>
        <w:tc>
          <w:tcPr>
            <w:tcW w:w="1860" w:type="dxa"/>
            <w:tcBorders>
              <w:top w:val="single" w:sz="4" w:space="0" w:color="auto"/>
              <w:left w:val="single" w:sz="4" w:space="0" w:color="auto"/>
              <w:bottom w:val="single" w:sz="4" w:space="0" w:color="auto"/>
              <w:right w:val="single" w:sz="4" w:space="0" w:color="auto"/>
            </w:tcBorders>
            <w:hideMark/>
          </w:tcPr>
          <w:p w:rsidR="00CB676D" w:rsidRDefault="00CB676D" w:rsidP="00392445">
            <w:pPr>
              <w:autoSpaceDE w:val="0"/>
              <w:autoSpaceDN w:val="0"/>
              <w:adjustRightInd w:val="0"/>
              <w:rPr>
                <w:color w:val="000000"/>
              </w:rPr>
            </w:pPr>
            <w:r>
              <w:rPr>
                <w:color w:val="000000"/>
              </w:rPr>
              <w:t>40.0%</w:t>
            </w:r>
          </w:p>
        </w:tc>
        <w:tc>
          <w:tcPr>
            <w:tcW w:w="1860" w:type="dxa"/>
            <w:tcBorders>
              <w:top w:val="single" w:sz="4" w:space="0" w:color="auto"/>
              <w:left w:val="single" w:sz="4" w:space="0" w:color="auto"/>
              <w:bottom w:val="single" w:sz="4" w:space="0" w:color="auto"/>
              <w:right w:val="single" w:sz="4" w:space="0" w:color="auto"/>
            </w:tcBorders>
            <w:hideMark/>
          </w:tcPr>
          <w:p w:rsidR="00CB676D" w:rsidRPr="008D693C" w:rsidRDefault="00CB676D" w:rsidP="00392445">
            <w:pPr>
              <w:rPr>
                <w:color w:val="000000"/>
              </w:rPr>
            </w:pPr>
            <w:r w:rsidRPr="008D693C">
              <w:rPr>
                <w:color w:val="000000"/>
              </w:rPr>
              <w:t>3</w:t>
            </w:r>
            <w:r>
              <w:rPr>
                <w:color w:val="000000"/>
              </w:rPr>
              <w:t>,060</w:t>
            </w:r>
          </w:p>
        </w:tc>
        <w:tc>
          <w:tcPr>
            <w:tcW w:w="1860" w:type="dxa"/>
            <w:tcBorders>
              <w:top w:val="single" w:sz="4" w:space="0" w:color="auto"/>
              <w:left w:val="single" w:sz="4" w:space="0" w:color="auto"/>
              <w:bottom w:val="single" w:sz="4" w:space="0" w:color="auto"/>
              <w:right w:val="single" w:sz="4" w:space="0" w:color="auto"/>
            </w:tcBorders>
            <w:hideMark/>
          </w:tcPr>
          <w:p w:rsidR="00CB676D" w:rsidRDefault="00CB676D" w:rsidP="00392445">
            <w:pPr>
              <w:autoSpaceDE w:val="0"/>
              <w:autoSpaceDN w:val="0"/>
              <w:adjustRightInd w:val="0"/>
              <w:rPr>
                <w:color w:val="000000"/>
              </w:rPr>
            </w:pPr>
            <w:r>
              <w:rPr>
                <w:color w:val="000000"/>
              </w:rPr>
              <w:t>0.00886</w:t>
            </w:r>
          </w:p>
        </w:tc>
        <w:tc>
          <w:tcPr>
            <w:tcW w:w="1866" w:type="dxa"/>
            <w:tcBorders>
              <w:top w:val="single" w:sz="4" w:space="0" w:color="auto"/>
              <w:left w:val="single" w:sz="4" w:space="0" w:color="auto"/>
              <w:bottom w:val="single" w:sz="4" w:space="0" w:color="auto"/>
              <w:right w:val="single" w:sz="4" w:space="0" w:color="auto"/>
            </w:tcBorders>
            <w:hideMark/>
          </w:tcPr>
          <w:p w:rsidR="00CB676D" w:rsidRDefault="00CB676D" w:rsidP="00392445">
            <w:pPr>
              <w:autoSpaceDE w:val="0"/>
              <w:autoSpaceDN w:val="0"/>
              <w:adjustRightInd w:val="0"/>
              <w:rPr>
                <w:color w:val="000000"/>
              </w:rPr>
            </w:pPr>
            <w:r>
              <w:rPr>
                <w:color w:val="000000"/>
              </w:rPr>
              <w:t>38.26%</w:t>
            </w:r>
          </w:p>
        </w:tc>
        <w:tc>
          <w:tcPr>
            <w:tcW w:w="1854" w:type="dxa"/>
            <w:tcBorders>
              <w:top w:val="single" w:sz="4" w:space="0" w:color="auto"/>
              <w:left w:val="single" w:sz="4" w:space="0" w:color="auto"/>
              <w:bottom w:val="single" w:sz="4" w:space="0" w:color="auto"/>
              <w:right w:val="single" w:sz="4" w:space="0" w:color="auto"/>
            </w:tcBorders>
            <w:hideMark/>
          </w:tcPr>
          <w:p w:rsidR="00CB676D" w:rsidRDefault="00CB676D" w:rsidP="00392445">
            <w:pPr>
              <w:autoSpaceDE w:val="0"/>
              <w:autoSpaceDN w:val="0"/>
              <w:adjustRightInd w:val="0"/>
              <w:rPr>
                <w:color w:val="000000"/>
              </w:rPr>
            </w:pPr>
            <w:r>
              <w:rPr>
                <w:color w:val="000000"/>
              </w:rPr>
              <w:t>41.74%</w:t>
            </w:r>
          </w:p>
        </w:tc>
      </w:tr>
      <w:tr w:rsidR="00CB676D" w:rsidTr="00392445">
        <w:trPr>
          <w:trHeight w:val="290"/>
        </w:trPr>
        <w:tc>
          <w:tcPr>
            <w:tcW w:w="1860" w:type="dxa"/>
            <w:tcBorders>
              <w:top w:val="single" w:sz="4" w:space="0" w:color="auto"/>
              <w:left w:val="single" w:sz="4" w:space="0" w:color="auto"/>
              <w:bottom w:val="single" w:sz="4" w:space="0" w:color="auto"/>
              <w:right w:val="single" w:sz="4" w:space="0" w:color="auto"/>
            </w:tcBorders>
            <w:hideMark/>
          </w:tcPr>
          <w:p w:rsidR="00CB676D" w:rsidRDefault="00CB676D" w:rsidP="00392445">
            <w:pPr>
              <w:autoSpaceDE w:val="0"/>
              <w:autoSpaceDN w:val="0"/>
              <w:adjustRightInd w:val="0"/>
              <w:rPr>
                <w:color w:val="000000"/>
              </w:rPr>
            </w:pPr>
            <w:r>
              <w:rPr>
                <w:color w:val="000000"/>
              </w:rPr>
              <w:t>50.0%</w:t>
            </w:r>
          </w:p>
        </w:tc>
        <w:tc>
          <w:tcPr>
            <w:tcW w:w="1860" w:type="dxa"/>
            <w:tcBorders>
              <w:top w:val="single" w:sz="4" w:space="0" w:color="auto"/>
              <w:left w:val="single" w:sz="4" w:space="0" w:color="auto"/>
              <w:bottom w:val="single" w:sz="4" w:space="0" w:color="auto"/>
              <w:right w:val="single" w:sz="4" w:space="0" w:color="auto"/>
            </w:tcBorders>
            <w:hideMark/>
          </w:tcPr>
          <w:p w:rsidR="00CB676D" w:rsidRPr="008D693C" w:rsidRDefault="00CB676D" w:rsidP="00392445">
            <w:pPr>
              <w:rPr>
                <w:color w:val="000000"/>
              </w:rPr>
            </w:pPr>
            <w:r w:rsidRPr="008D693C">
              <w:rPr>
                <w:color w:val="000000"/>
              </w:rPr>
              <w:t>3</w:t>
            </w:r>
            <w:r>
              <w:rPr>
                <w:color w:val="000000"/>
              </w:rPr>
              <w:t>,060</w:t>
            </w:r>
          </w:p>
        </w:tc>
        <w:tc>
          <w:tcPr>
            <w:tcW w:w="1860" w:type="dxa"/>
            <w:tcBorders>
              <w:top w:val="single" w:sz="4" w:space="0" w:color="auto"/>
              <w:left w:val="single" w:sz="4" w:space="0" w:color="auto"/>
              <w:bottom w:val="single" w:sz="4" w:space="0" w:color="auto"/>
              <w:right w:val="single" w:sz="4" w:space="0" w:color="auto"/>
            </w:tcBorders>
            <w:hideMark/>
          </w:tcPr>
          <w:p w:rsidR="00CB676D" w:rsidRDefault="00CB676D" w:rsidP="00392445">
            <w:pPr>
              <w:autoSpaceDE w:val="0"/>
              <w:autoSpaceDN w:val="0"/>
              <w:adjustRightInd w:val="0"/>
              <w:rPr>
                <w:color w:val="000000"/>
              </w:rPr>
            </w:pPr>
            <w:r>
              <w:rPr>
                <w:color w:val="000000"/>
              </w:rPr>
              <w:t>0.00904</w:t>
            </w:r>
          </w:p>
        </w:tc>
        <w:tc>
          <w:tcPr>
            <w:tcW w:w="1866" w:type="dxa"/>
            <w:tcBorders>
              <w:top w:val="single" w:sz="4" w:space="0" w:color="auto"/>
              <w:left w:val="single" w:sz="4" w:space="0" w:color="auto"/>
              <w:bottom w:val="single" w:sz="4" w:space="0" w:color="auto"/>
              <w:right w:val="single" w:sz="4" w:space="0" w:color="auto"/>
            </w:tcBorders>
            <w:hideMark/>
          </w:tcPr>
          <w:p w:rsidR="00CB676D" w:rsidRDefault="00CB676D" w:rsidP="00392445">
            <w:pPr>
              <w:autoSpaceDE w:val="0"/>
              <w:autoSpaceDN w:val="0"/>
              <w:adjustRightInd w:val="0"/>
              <w:rPr>
                <w:color w:val="000000"/>
              </w:rPr>
            </w:pPr>
            <w:r>
              <w:rPr>
                <w:color w:val="000000"/>
              </w:rPr>
              <w:t>48.23%</w:t>
            </w:r>
          </w:p>
        </w:tc>
        <w:tc>
          <w:tcPr>
            <w:tcW w:w="1854" w:type="dxa"/>
            <w:tcBorders>
              <w:top w:val="single" w:sz="4" w:space="0" w:color="auto"/>
              <w:left w:val="single" w:sz="4" w:space="0" w:color="auto"/>
              <w:bottom w:val="single" w:sz="4" w:space="0" w:color="auto"/>
              <w:right w:val="single" w:sz="4" w:space="0" w:color="auto"/>
            </w:tcBorders>
            <w:hideMark/>
          </w:tcPr>
          <w:p w:rsidR="00CB676D" w:rsidRDefault="00CB676D" w:rsidP="00392445">
            <w:pPr>
              <w:autoSpaceDE w:val="0"/>
              <w:autoSpaceDN w:val="0"/>
              <w:adjustRightInd w:val="0"/>
              <w:rPr>
                <w:color w:val="000000"/>
              </w:rPr>
            </w:pPr>
            <w:r>
              <w:rPr>
                <w:color w:val="000000"/>
              </w:rPr>
              <w:t>51.77%</w:t>
            </w:r>
          </w:p>
        </w:tc>
      </w:tr>
      <w:tr w:rsidR="00CB676D" w:rsidTr="00392445">
        <w:trPr>
          <w:trHeight w:val="290"/>
        </w:trPr>
        <w:tc>
          <w:tcPr>
            <w:tcW w:w="1860" w:type="dxa"/>
            <w:tcBorders>
              <w:top w:val="single" w:sz="4" w:space="0" w:color="auto"/>
              <w:left w:val="single" w:sz="4" w:space="0" w:color="auto"/>
              <w:bottom w:val="single" w:sz="4" w:space="0" w:color="auto"/>
              <w:right w:val="single" w:sz="4" w:space="0" w:color="auto"/>
            </w:tcBorders>
            <w:hideMark/>
          </w:tcPr>
          <w:p w:rsidR="00CB676D" w:rsidRDefault="00CB676D" w:rsidP="00392445">
            <w:pPr>
              <w:autoSpaceDE w:val="0"/>
              <w:autoSpaceDN w:val="0"/>
              <w:adjustRightInd w:val="0"/>
              <w:rPr>
                <w:color w:val="000000"/>
              </w:rPr>
            </w:pPr>
            <w:r>
              <w:rPr>
                <w:color w:val="000000"/>
              </w:rPr>
              <w:t>60.0%</w:t>
            </w:r>
          </w:p>
        </w:tc>
        <w:tc>
          <w:tcPr>
            <w:tcW w:w="1860" w:type="dxa"/>
            <w:tcBorders>
              <w:top w:val="single" w:sz="4" w:space="0" w:color="auto"/>
              <w:left w:val="single" w:sz="4" w:space="0" w:color="auto"/>
              <w:bottom w:val="single" w:sz="4" w:space="0" w:color="auto"/>
              <w:right w:val="single" w:sz="4" w:space="0" w:color="auto"/>
            </w:tcBorders>
            <w:hideMark/>
          </w:tcPr>
          <w:p w:rsidR="00CB676D" w:rsidRPr="008D693C" w:rsidRDefault="00CB676D" w:rsidP="00392445">
            <w:pPr>
              <w:rPr>
                <w:color w:val="000000"/>
              </w:rPr>
            </w:pPr>
            <w:r w:rsidRPr="008D693C">
              <w:rPr>
                <w:color w:val="000000"/>
              </w:rPr>
              <w:t>3</w:t>
            </w:r>
            <w:r>
              <w:rPr>
                <w:color w:val="000000"/>
              </w:rPr>
              <w:t>,060</w:t>
            </w:r>
          </w:p>
        </w:tc>
        <w:tc>
          <w:tcPr>
            <w:tcW w:w="1860" w:type="dxa"/>
            <w:tcBorders>
              <w:top w:val="single" w:sz="4" w:space="0" w:color="auto"/>
              <w:left w:val="single" w:sz="4" w:space="0" w:color="auto"/>
              <w:bottom w:val="single" w:sz="4" w:space="0" w:color="auto"/>
              <w:right w:val="single" w:sz="4" w:space="0" w:color="auto"/>
            </w:tcBorders>
            <w:hideMark/>
          </w:tcPr>
          <w:p w:rsidR="00CB676D" w:rsidRDefault="00CB676D" w:rsidP="00392445">
            <w:pPr>
              <w:autoSpaceDE w:val="0"/>
              <w:autoSpaceDN w:val="0"/>
              <w:adjustRightInd w:val="0"/>
              <w:rPr>
                <w:color w:val="000000"/>
              </w:rPr>
            </w:pPr>
            <w:r>
              <w:rPr>
                <w:color w:val="000000"/>
              </w:rPr>
              <w:t>0.00886</w:t>
            </w:r>
          </w:p>
        </w:tc>
        <w:tc>
          <w:tcPr>
            <w:tcW w:w="1866" w:type="dxa"/>
            <w:tcBorders>
              <w:top w:val="single" w:sz="4" w:space="0" w:color="auto"/>
              <w:left w:val="single" w:sz="4" w:space="0" w:color="auto"/>
              <w:bottom w:val="single" w:sz="4" w:space="0" w:color="auto"/>
              <w:right w:val="single" w:sz="4" w:space="0" w:color="auto"/>
            </w:tcBorders>
            <w:hideMark/>
          </w:tcPr>
          <w:p w:rsidR="00CB676D" w:rsidRDefault="00CB676D" w:rsidP="00392445">
            <w:pPr>
              <w:autoSpaceDE w:val="0"/>
              <w:autoSpaceDN w:val="0"/>
              <w:adjustRightInd w:val="0"/>
              <w:rPr>
                <w:color w:val="000000"/>
              </w:rPr>
            </w:pPr>
            <w:r>
              <w:rPr>
                <w:color w:val="000000"/>
              </w:rPr>
              <w:t>58.26%</w:t>
            </w:r>
          </w:p>
        </w:tc>
        <w:tc>
          <w:tcPr>
            <w:tcW w:w="1854" w:type="dxa"/>
            <w:tcBorders>
              <w:top w:val="single" w:sz="4" w:space="0" w:color="auto"/>
              <w:left w:val="single" w:sz="4" w:space="0" w:color="auto"/>
              <w:bottom w:val="single" w:sz="4" w:space="0" w:color="auto"/>
              <w:right w:val="single" w:sz="4" w:space="0" w:color="auto"/>
            </w:tcBorders>
            <w:hideMark/>
          </w:tcPr>
          <w:p w:rsidR="00CB676D" w:rsidRDefault="00CB676D" w:rsidP="00392445">
            <w:pPr>
              <w:autoSpaceDE w:val="0"/>
              <w:autoSpaceDN w:val="0"/>
              <w:adjustRightInd w:val="0"/>
              <w:rPr>
                <w:color w:val="000000"/>
              </w:rPr>
            </w:pPr>
            <w:r>
              <w:rPr>
                <w:color w:val="000000"/>
              </w:rPr>
              <w:t>61.74%</w:t>
            </w:r>
          </w:p>
        </w:tc>
      </w:tr>
      <w:tr w:rsidR="00CB676D" w:rsidTr="00392445">
        <w:trPr>
          <w:trHeight w:val="290"/>
        </w:trPr>
        <w:tc>
          <w:tcPr>
            <w:tcW w:w="1860" w:type="dxa"/>
            <w:tcBorders>
              <w:top w:val="single" w:sz="4" w:space="0" w:color="auto"/>
              <w:left w:val="single" w:sz="4" w:space="0" w:color="auto"/>
              <w:bottom w:val="single" w:sz="4" w:space="0" w:color="auto"/>
              <w:right w:val="single" w:sz="4" w:space="0" w:color="auto"/>
            </w:tcBorders>
            <w:hideMark/>
          </w:tcPr>
          <w:p w:rsidR="00CB676D" w:rsidRDefault="00CB676D" w:rsidP="00392445">
            <w:pPr>
              <w:autoSpaceDE w:val="0"/>
              <w:autoSpaceDN w:val="0"/>
              <w:adjustRightInd w:val="0"/>
              <w:rPr>
                <w:color w:val="000000"/>
              </w:rPr>
            </w:pPr>
            <w:r>
              <w:rPr>
                <w:color w:val="000000"/>
              </w:rPr>
              <w:t>70.0%</w:t>
            </w:r>
          </w:p>
        </w:tc>
        <w:tc>
          <w:tcPr>
            <w:tcW w:w="1860" w:type="dxa"/>
            <w:tcBorders>
              <w:top w:val="single" w:sz="4" w:space="0" w:color="auto"/>
              <w:left w:val="single" w:sz="4" w:space="0" w:color="auto"/>
              <w:bottom w:val="single" w:sz="4" w:space="0" w:color="auto"/>
              <w:right w:val="single" w:sz="4" w:space="0" w:color="auto"/>
            </w:tcBorders>
            <w:hideMark/>
          </w:tcPr>
          <w:p w:rsidR="00CB676D" w:rsidRPr="008D693C" w:rsidRDefault="00CB676D" w:rsidP="00392445">
            <w:pPr>
              <w:rPr>
                <w:color w:val="000000"/>
              </w:rPr>
            </w:pPr>
            <w:r w:rsidRPr="008D693C">
              <w:rPr>
                <w:color w:val="000000"/>
              </w:rPr>
              <w:t>3</w:t>
            </w:r>
            <w:r>
              <w:rPr>
                <w:color w:val="000000"/>
              </w:rPr>
              <w:t>,060</w:t>
            </w:r>
          </w:p>
        </w:tc>
        <w:tc>
          <w:tcPr>
            <w:tcW w:w="1860" w:type="dxa"/>
            <w:tcBorders>
              <w:top w:val="single" w:sz="4" w:space="0" w:color="auto"/>
              <w:left w:val="single" w:sz="4" w:space="0" w:color="auto"/>
              <w:bottom w:val="single" w:sz="4" w:space="0" w:color="auto"/>
              <w:right w:val="single" w:sz="4" w:space="0" w:color="auto"/>
            </w:tcBorders>
            <w:hideMark/>
          </w:tcPr>
          <w:p w:rsidR="00CB676D" w:rsidRDefault="00CB676D" w:rsidP="00392445">
            <w:pPr>
              <w:autoSpaceDE w:val="0"/>
              <w:autoSpaceDN w:val="0"/>
              <w:adjustRightInd w:val="0"/>
              <w:rPr>
                <w:color w:val="000000"/>
              </w:rPr>
            </w:pPr>
            <w:r>
              <w:rPr>
                <w:color w:val="000000"/>
              </w:rPr>
              <w:t>0.00828</w:t>
            </w:r>
          </w:p>
        </w:tc>
        <w:tc>
          <w:tcPr>
            <w:tcW w:w="1866" w:type="dxa"/>
            <w:tcBorders>
              <w:top w:val="single" w:sz="4" w:space="0" w:color="auto"/>
              <w:left w:val="single" w:sz="4" w:space="0" w:color="auto"/>
              <w:bottom w:val="single" w:sz="4" w:space="0" w:color="auto"/>
              <w:right w:val="single" w:sz="4" w:space="0" w:color="auto"/>
            </w:tcBorders>
            <w:hideMark/>
          </w:tcPr>
          <w:p w:rsidR="00CB676D" w:rsidRDefault="00CB676D" w:rsidP="00392445">
            <w:pPr>
              <w:autoSpaceDE w:val="0"/>
              <w:autoSpaceDN w:val="0"/>
              <w:adjustRightInd w:val="0"/>
              <w:rPr>
                <w:color w:val="000000"/>
              </w:rPr>
            </w:pPr>
            <w:r>
              <w:rPr>
                <w:color w:val="000000"/>
              </w:rPr>
              <w:t>68.38%</w:t>
            </w:r>
          </w:p>
        </w:tc>
        <w:tc>
          <w:tcPr>
            <w:tcW w:w="1854" w:type="dxa"/>
            <w:tcBorders>
              <w:top w:val="single" w:sz="4" w:space="0" w:color="auto"/>
              <w:left w:val="single" w:sz="4" w:space="0" w:color="auto"/>
              <w:bottom w:val="single" w:sz="4" w:space="0" w:color="auto"/>
              <w:right w:val="single" w:sz="4" w:space="0" w:color="auto"/>
            </w:tcBorders>
            <w:hideMark/>
          </w:tcPr>
          <w:p w:rsidR="00CB676D" w:rsidRDefault="00CB676D" w:rsidP="00392445">
            <w:pPr>
              <w:autoSpaceDE w:val="0"/>
              <w:autoSpaceDN w:val="0"/>
              <w:adjustRightInd w:val="0"/>
              <w:rPr>
                <w:color w:val="000000"/>
              </w:rPr>
            </w:pPr>
            <w:r>
              <w:rPr>
                <w:color w:val="000000"/>
              </w:rPr>
              <w:t>71.62%</w:t>
            </w:r>
          </w:p>
        </w:tc>
      </w:tr>
    </w:tbl>
    <w:p w:rsidR="00CB676D" w:rsidRDefault="00CB676D" w:rsidP="00CB676D">
      <w:pPr>
        <w:pStyle w:val="SP-SglSpPara"/>
        <w:ind w:left="360" w:firstLine="0"/>
        <w:jc w:val="left"/>
        <w:rPr>
          <w:sz w:val="24"/>
          <w:szCs w:val="24"/>
        </w:rPr>
      </w:pPr>
    </w:p>
    <w:p w:rsidR="00CB676D" w:rsidRPr="00DC5A03" w:rsidRDefault="00CB676D" w:rsidP="00CB676D">
      <w:pPr>
        <w:keepNext/>
        <w:keepLines/>
        <w:rPr>
          <w:b/>
          <w:color w:val="000000"/>
        </w:rPr>
      </w:pPr>
      <w:r w:rsidRPr="00DC5A03">
        <w:t xml:space="preserve">The precision offered by a responding sample size of 1,800 (i.e., the COLR) </w:t>
      </w:r>
      <w:proofErr w:type="gramStart"/>
      <w:r w:rsidRPr="00DC5A03">
        <w:t>cases is</w:t>
      </w:r>
      <w:proofErr w:type="gramEnd"/>
      <w:r w:rsidRPr="00DC5A03">
        <w:t>, as follows:</w:t>
      </w:r>
    </w:p>
    <w:p w:rsidR="00CB676D" w:rsidRDefault="00CB676D" w:rsidP="00CB676D">
      <w:pPr>
        <w:keepNext/>
        <w:keepLines/>
        <w:rPr>
          <w:b/>
          <w:color w:val="000000"/>
        </w:rPr>
      </w:pPr>
    </w:p>
    <w:p w:rsidR="00CB676D" w:rsidRPr="00DC5A03" w:rsidRDefault="00CB676D" w:rsidP="00CB676D">
      <w:pPr>
        <w:keepNext/>
        <w:keepLines/>
        <w:rPr>
          <w:b/>
          <w:color w:val="000000"/>
        </w:rPr>
      </w:pPr>
      <w:r w:rsidRPr="00DC5A03">
        <w:rPr>
          <w:b/>
          <w:color w:val="000000"/>
        </w:rPr>
        <w:t>Precision offered by 1,800 responding cases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tblPr>
      <w:tblGrid>
        <w:gridCol w:w="1860"/>
        <w:gridCol w:w="1860"/>
        <w:gridCol w:w="1860"/>
        <w:gridCol w:w="1866"/>
        <w:gridCol w:w="1854"/>
      </w:tblGrid>
      <w:tr w:rsidR="00CB676D" w:rsidTr="00392445">
        <w:trPr>
          <w:trHeight w:val="290"/>
        </w:trPr>
        <w:tc>
          <w:tcPr>
            <w:tcW w:w="1860" w:type="dxa"/>
            <w:tcBorders>
              <w:top w:val="single" w:sz="4" w:space="0" w:color="auto"/>
              <w:left w:val="single" w:sz="4" w:space="0" w:color="auto"/>
              <w:bottom w:val="single" w:sz="4" w:space="0" w:color="auto"/>
              <w:right w:val="single" w:sz="4" w:space="0" w:color="auto"/>
            </w:tcBorders>
            <w:shd w:val="pct20" w:color="auto" w:fill="auto"/>
            <w:hideMark/>
          </w:tcPr>
          <w:p w:rsidR="00CB676D" w:rsidRDefault="00CB676D" w:rsidP="00392445">
            <w:pPr>
              <w:autoSpaceDE w:val="0"/>
              <w:autoSpaceDN w:val="0"/>
              <w:adjustRightInd w:val="0"/>
              <w:rPr>
                <w:b/>
                <w:color w:val="000000"/>
              </w:rPr>
            </w:pPr>
            <w:r>
              <w:rPr>
                <w:b/>
                <w:color w:val="000000"/>
              </w:rPr>
              <w:t>Percentage</w:t>
            </w:r>
          </w:p>
        </w:tc>
        <w:tc>
          <w:tcPr>
            <w:tcW w:w="1860" w:type="dxa"/>
            <w:tcBorders>
              <w:top w:val="single" w:sz="4" w:space="0" w:color="auto"/>
              <w:left w:val="single" w:sz="4" w:space="0" w:color="auto"/>
              <w:bottom w:val="single" w:sz="4" w:space="0" w:color="auto"/>
              <w:right w:val="single" w:sz="4" w:space="0" w:color="auto"/>
            </w:tcBorders>
            <w:shd w:val="pct20" w:color="auto" w:fill="auto"/>
            <w:hideMark/>
          </w:tcPr>
          <w:p w:rsidR="00CB676D" w:rsidRDefault="00CB676D" w:rsidP="00392445">
            <w:pPr>
              <w:autoSpaceDE w:val="0"/>
              <w:autoSpaceDN w:val="0"/>
              <w:adjustRightInd w:val="0"/>
              <w:rPr>
                <w:b/>
                <w:color w:val="000000"/>
              </w:rPr>
            </w:pPr>
            <w:r>
              <w:rPr>
                <w:b/>
                <w:color w:val="000000"/>
              </w:rPr>
              <w:t>N</w:t>
            </w:r>
          </w:p>
        </w:tc>
        <w:tc>
          <w:tcPr>
            <w:tcW w:w="1860" w:type="dxa"/>
            <w:tcBorders>
              <w:top w:val="single" w:sz="4" w:space="0" w:color="auto"/>
              <w:left w:val="single" w:sz="4" w:space="0" w:color="auto"/>
              <w:bottom w:val="single" w:sz="4" w:space="0" w:color="auto"/>
              <w:right w:val="single" w:sz="4" w:space="0" w:color="auto"/>
            </w:tcBorders>
            <w:shd w:val="pct20" w:color="auto" w:fill="auto"/>
            <w:hideMark/>
          </w:tcPr>
          <w:p w:rsidR="00CB676D" w:rsidRDefault="00CB676D" w:rsidP="00392445">
            <w:pPr>
              <w:autoSpaceDE w:val="0"/>
              <w:autoSpaceDN w:val="0"/>
              <w:adjustRightInd w:val="0"/>
              <w:rPr>
                <w:b/>
                <w:color w:val="000000"/>
              </w:rPr>
            </w:pPr>
            <w:r>
              <w:rPr>
                <w:b/>
                <w:color w:val="000000"/>
              </w:rPr>
              <w:t>Standard Error</w:t>
            </w:r>
          </w:p>
        </w:tc>
        <w:tc>
          <w:tcPr>
            <w:tcW w:w="1866" w:type="dxa"/>
            <w:tcBorders>
              <w:top w:val="single" w:sz="4" w:space="0" w:color="auto"/>
              <w:left w:val="single" w:sz="4" w:space="0" w:color="auto"/>
              <w:bottom w:val="single" w:sz="4" w:space="0" w:color="auto"/>
              <w:right w:val="single" w:sz="4" w:space="0" w:color="auto"/>
            </w:tcBorders>
            <w:shd w:val="pct20" w:color="auto" w:fill="auto"/>
            <w:hideMark/>
          </w:tcPr>
          <w:p w:rsidR="00CB676D" w:rsidRDefault="00CB676D" w:rsidP="00392445">
            <w:pPr>
              <w:autoSpaceDE w:val="0"/>
              <w:autoSpaceDN w:val="0"/>
              <w:adjustRightInd w:val="0"/>
              <w:rPr>
                <w:b/>
                <w:color w:val="000000"/>
              </w:rPr>
            </w:pPr>
            <w:r>
              <w:rPr>
                <w:b/>
                <w:color w:val="000000"/>
              </w:rPr>
              <w:t>LCI</w:t>
            </w:r>
          </w:p>
        </w:tc>
        <w:tc>
          <w:tcPr>
            <w:tcW w:w="1854" w:type="dxa"/>
            <w:tcBorders>
              <w:top w:val="single" w:sz="4" w:space="0" w:color="auto"/>
              <w:left w:val="single" w:sz="4" w:space="0" w:color="auto"/>
              <w:bottom w:val="single" w:sz="4" w:space="0" w:color="auto"/>
              <w:right w:val="single" w:sz="4" w:space="0" w:color="auto"/>
            </w:tcBorders>
            <w:shd w:val="pct20" w:color="auto" w:fill="auto"/>
            <w:hideMark/>
          </w:tcPr>
          <w:p w:rsidR="00CB676D" w:rsidRDefault="00CB676D" w:rsidP="00392445">
            <w:pPr>
              <w:autoSpaceDE w:val="0"/>
              <w:autoSpaceDN w:val="0"/>
              <w:adjustRightInd w:val="0"/>
              <w:rPr>
                <w:b/>
                <w:color w:val="000000"/>
              </w:rPr>
            </w:pPr>
            <w:r>
              <w:rPr>
                <w:b/>
                <w:color w:val="000000"/>
              </w:rPr>
              <w:t>UCI</w:t>
            </w:r>
          </w:p>
        </w:tc>
      </w:tr>
      <w:tr w:rsidR="00CB676D" w:rsidTr="00392445">
        <w:trPr>
          <w:trHeight w:val="290"/>
        </w:trPr>
        <w:tc>
          <w:tcPr>
            <w:tcW w:w="1860" w:type="dxa"/>
            <w:tcBorders>
              <w:top w:val="single" w:sz="4" w:space="0" w:color="auto"/>
              <w:left w:val="single" w:sz="4" w:space="0" w:color="auto"/>
              <w:bottom w:val="single" w:sz="4" w:space="0" w:color="auto"/>
              <w:right w:val="single" w:sz="4" w:space="0" w:color="auto"/>
            </w:tcBorders>
            <w:hideMark/>
          </w:tcPr>
          <w:p w:rsidR="00CB676D" w:rsidRDefault="00CB676D" w:rsidP="00392445">
            <w:pPr>
              <w:autoSpaceDE w:val="0"/>
              <w:autoSpaceDN w:val="0"/>
              <w:adjustRightInd w:val="0"/>
              <w:rPr>
                <w:color w:val="000000"/>
              </w:rPr>
            </w:pPr>
            <w:r>
              <w:rPr>
                <w:color w:val="000000"/>
              </w:rPr>
              <w:t>30.0%</w:t>
            </w:r>
          </w:p>
        </w:tc>
        <w:tc>
          <w:tcPr>
            <w:tcW w:w="1860" w:type="dxa"/>
            <w:tcBorders>
              <w:top w:val="single" w:sz="4" w:space="0" w:color="auto"/>
              <w:left w:val="single" w:sz="4" w:space="0" w:color="auto"/>
              <w:bottom w:val="single" w:sz="4" w:space="0" w:color="auto"/>
              <w:right w:val="single" w:sz="4" w:space="0" w:color="auto"/>
            </w:tcBorders>
            <w:hideMark/>
          </w:tcPr>
          <w:p w:rsidR="00CB676D" w:rsidRDefault="00CB676D" w:rsidP="00392445">
            <w:pPr>
              <w:autoSpaceDE w:val="0"/>
              <w:autoSpaceDN w:val="0"/>
              <w:adjustRightInd w:val="0"/>
              <w:rPr>
                <w:color w:val="000000"/>
              </w:rPr>
            </w:pPr>
            <w:r>
              <w:rPr>
                <w:color w:val="000000"/>
              </w:rPr>
              <w:t>1,800</w:t>
            </w:r>
          </w:p>
        </w:tc>
        <w:tc>
          <w:tcPr>
            <w:tcW w:w="1860" w:type="dxa"/>
            <w:tcBorders>
              <w:top w:val="single" w:sz="4" w:space="0" w:color="auto"/>
              <w:left w:val="single" w:sz="4" w:space="0" w:color="auto"/>
              <w:bottom w:val="single" w:sz="4" w:space="0" w:color="auto"/>
              <w:right w:val="single" w:sz="4" w:space="0" w:color="auto"/>
            </w:tcBorders>
            <w:hideMark/>
          </w:tcPr>
          <w:p w:rsidR="00CB676D" w:rsidRDefault="00CB676D" w:rsidP="00392445">
            <w:pPr>
              <w:autoSpaceDE w:val="0"/>
              <w:autoSpaceDN w:val="0"/>
              <w:adjustRightInd w:val="0"/>
              <w:rPr>
                <w:color w:val="000000"/>
              </w:rPr>
            </w:pPr>
            <w:r>
              <w:rPr>
                <w:color w:val="000000"/>
              </w:rPr>
              <w:t>0.01080</w:t>
            </w:r>
          </w:p>
        </w:tc>
        <w:tc>
          <w:tcPr>
            <w:tcW w:w="1866" w:type="dxa"/>
            <w:tcBorders>
              <w:top w:val="single" w:sz="4" w:space="0" w:color="auto"/>
              <w:left w:val="single" w:sz="4" w:space="0" w:color="auto"/>
              <w:bottom w:val="single" w:sz="4" w:space="0" w:color="auto"/>
              <w:right w:val="single" w:sz="4" w:space="0" w:color="auto"/>
            </w:tcBorders>
            <w:hideMark/>
          </w:tcPr>
          <w:p w:rsidR="00CB676D" w:rsidRDefault="00CB676D" w:rsidP="00392445">
            <w:pPr>
              <w:autoSpaceDE w:val="0"/>
              <w:autoSpaceDN w:val="0"/>
              <w:adjustRightInd w:val="0"/>
              <w:rPr>
                <w:color w:val="000000"/>
              </w:rPr>
            </w:pPr>
            <w:r>
              <w:rPr>
                <w:color w:val="000000"/>
              </w:rPr>
              <w:t>27.88%</w:t>
            </w:r>
          </w:p>
        </w:tc>
        <w:tc>
          <w:tcPr>
            <w:tcW w:w="1854" w:type="dxa"/>
            <w:tcBorders>
              <w:top w:val="single" w:sz="4" w:space="0" w:color="auto"/>
              <w:left w:val="single" w:sz="4" w:space="0" w:color="auto"/>
              <w:bottom w:val="single" w:sz="4" w:space="0" w:color="auto"/>
              <w:right w:val="single" w:sz="4" w:space="0" w:color="auto"/>
            </w:tcBorders>
            <w:hideMark/>
          </w:tcPr>
          <w:p w:rsidR="00CB676D" w:rsidRDefault="00CB676D" w:rsidP="00392445">
            <w:pPr>
              <w:autoSpaceDE w:val="0"/>
              <w:autoSpaceDN w:val="0"/>
              <w:adjustRightInd w:val="0"/>
              <w:rPr>
                <w:color w:val="000000"/>
              </w:rPr>
            </w:pPr>
            <w:r>
              <w:rPr>
                <w:color w:val="000000"/>
              </w:rPr>
              <w:t>32.12%</w:t>
            </w:r>
          </w:p>
        </w:tc>
      </w:tr>
      <w:tr w:rsidR="00CB676D" w:rsidTr="00392445">
        <w:trPr>
          <w:trHeight w:val="290"/>
        </w:trPr>
        <w:tc>
          <w:tcPr>
            <w:tcW w:w="1860" w:type="dxa"/>
            <w:tcBorders>
              <w:top w:val="single" w:sz="4" w:space="0" w:color="auto"/>
              <w:left w:val="single" w:sz="4" w:space="0" w:color="auto"/>
              <w:bottom w:val="single" w:sz="4" w:space="0" w:color="auto"/>
              <w:right w:val="single" w:sz="4" w:space="0" w:color="auto"/>
            </w:tcBorders>
            <w:hideMark/>
          </w:tcPr>
          <w:p w:rsidR="00CB676D" w:rsidRDefault="00CB676D" w:rsidP="00392445">
            <w:pPr>
              <w:autoSpaceDE w:val="0"/>
              <w:autoSpaceDN w:val="0"/>
              <w:adjustRightInd w:val="0"/>
              <w:rPr>
                <w:color w:val="000000"/>
              </w:rPr>
            </w:pPr>
            <w:r>
              <w:rPr>
                <w:color w:val="000000"/>
              </w:rPr>
              <w:t>40.0%</w:t>
            </w:r>
          </w:p>
        </w:tc>
        <w:tc>
          <w:tcPr>
            <w:tcW w:w="1860" w:type="dxa"/>
            <w:tcBorders>
              <w:top w:val="single" w:sz="4" w:space="0" w:color="auto"/>
              <w:left w:val="single" w:sz="4" w:space="0" w:color="auto"/>
              <w:bottom w:val="single" w:sz="4" w:space="0" w:color="auto"/>
              <w:right w:val="single" w:sz="4" w:space="0" w:color="auto"/>
            </w:tcBorders>
            <w:hideMark/>
          </w:tcPr>
          <w:p w:rsidR="00CB676D" w:rsidRPr="00EA5D0A" w:rsidRDefault="00CB676D" w:rsidP="00392445">
            <w:pPr>
              <w:rPr>
                <w:color w:val="000000"/>
              </w:rPr>
            </w:pPr>
            <w:r w:rsidRPr="00EA5D0A">
              <w:rPr>
                <w:color w:val="000000"/>
              </w:rPr>
              <w:t>1</w:t>
            </w:r>
            <w:r>
              <w:rPr>
                <w:color w:val="000000"/>
              </w:rPr>
              <w:t>,800</w:t>
            </w:r>
          </w:p>
        </w:tc>
        <w:tc>
          <w:tcPr>
            <w:tcW w:w="1860" w:type="dxa"/>
            <w:tcBorders>
              <w:top w:val="single" w:sz="4" w:space="0" w:color="auto"/>
              <w:left w:val="single" w:sz="4" w:space="0" w:color="auto"/>
              <w:bottom w:val="single" w:sz="4" w:space="0" w:color="auto"/>
              <w:right w:val="single" w:sz="4" w:space="0" w:color="auto"/>
            </w:tcBorders>
            <w:hideMark/>
          </w:tcPr>
          <w:p w:rsidR="00CB676D" w:rsidRDefault="00CB676D" w:rsidP="00392445">
            <w:pPr>
              <w:autoSpaceDE w:val="0"/>
              <w:autoSpaceDN w:val="0"/>
              <w:adjustRightInd w:val="0"/>
              <w:rPr>
                <w:color w:val="000000"/>
              </w:rPr>
            </w:pPr>
            <w:r>
              <w:rPr>
                <w:color w:val="000000"/>
              </w:rPr>
              <w:t>0.01155</w:t>
            </w:r>
          </w:p>
        </w:tc>
        <w:tc>
          <w:tcPr>
            <w:tcW w:w="1866" w:type="dxa"/>
            <w:tcBorders>
              <w:top w:val="single" w:sz="4" w:space="0" w:color="auto"/>
              <w:left w:val="single" w:sz="4" w:space="0" w:color="auto"/>
              <w:bottom w:val="single" w:sz="4" w:space="0" w:color="auto"/>
              <w:right w:val="single" w:sz="4" w:space="0" w:color="auto"/>
            </w:tcBorders>
            <w:hideMark/>
          </w:tcPr>
          <w:p w:rsidR="00CB676D" w:rsidRDefault="00CB676D" w:rsidP="00392445">
            <w:pPr>
              <w:autoSpaceDE w:val="0"/>
              <w:autoSpaceDN w:val="0"/>
              <w:adjustRightInd w:val="0"/>
              <w:rPr>
                <w:color w:val="000000"/>
              </w:rPr>
            </w:pPr>
            <w:r>
              <w:rPr>
                <w:color w:val="000000"/>
              </w:rPr>
              <w:t>37.74%</w:t>
            </w:r>
          </w:p>
        </w:tc>
        <w:tc>
          <w:tcPr>
            <w:tcW w:w="1854" w:type="dxa"/>
            <w:tcBorders>
              <w:top w:val="single" w:sz="4" w:space="0" w:color="auto"/>
              <w:left w:val="single" w:sz="4" w:space="0" w:color="auto"/>
              <w:bottom w:val="single" w:sz="4" w:space="0" w:color="auto"/>
              <w:right w:val="single" w:sz="4" w:space="0" w:color="auto"/>
            </w:tcBorders>
            <w:hideMark/>
          </w:tcPr>
          <w:p w:rsidR="00CB676D" w:rsidRDefault="00CB676D" w:rsidP="00392445">
            <w:pPr>
              <w:autoSpaceDE w:val="0"/>
              <w:autoSpaceDN w:val="0"/>
              <w:adjustRightInd w:val="0"/>
              <w:rPr>
                <w:color w:val="000000"/>
              </w:rPr>
            </w:pPr>
            <w:r>
              <w:rPr>
                <w:color w:val="000000"/>
              </w:rPr>
              <w:t>42.26%</w:t>
            </w:r>
          </w:p>
        </w:tc>
      </w:tr>
      <w:tr w:rsidR="00CB676D" w:rsidTr="00392445">
        <w:trPr>
          <w:trHeight w:val="290"/>
        </w:trPr>
        <w:tc>
          <w:tcPr>
            <w:tcW w:w="1860" w:type="dxa"/>
            <w:tcBorders>
              <w:top w:val="single" w:sz="4" w:space="0" w:color="auto"/>
              <w:left w:val="single" w:sz="4" w:space="0" w:color="auto"/>
              <w:bottom w:val="single" w:sz="4" w:space="0" w:color="auto"/>
              <w:right w:val="single" w:sz="4" w:space="0" w:color="auto"/>
            </w:tcBorders>
            <w:hideMark/>
          </w:tcPr>
          <w:p w:rsidR="00CB676D" w:rsidRDefault="00CB676D" w:rsidP="00392445">
            <w:pPr>
              <w:autoSpaceDE w:val="0"/>
              <w:autoSpaceDN w:val="0"/>
              <w:adjustRightInd w:val="0"/>
              <w:rPr>
                <w:color w:val="000000"/>
              </w:rPr>
            </w:pPr>
            <w:r>
              <w:rPr>
                <w:color w:val="000000"/>
              </w:rPr>
              <w:t>50.0%</w:t>
            </w:r>
          </w:p>
        </w:tc>
        <w:tc>
          <w:tcPr>
            <w:tcW w:w="1860" w:type="dxa"/>
            <w:tcBorders>
              <w:top w:val="single" w:sz="4" w:space="0" w:color="auto"/>
              <w:left w:val="single" w:sz="4" w:space="0" w:color="auto"/>
              <w:bottom w:val="single" w:sz="4" w:space="0" w:color="auto"/>
              <w:right w:val="single" w:sz="4" w:space="0" w:color="auto"/>
            </w:tcBorders>
            <w:hideMark/>
          </w:tcPr>
          <w:p w:rsidR="00CB676D" w:rsidRPr="00EA5D0A" w:rsidRDefault="00CB676D" w:rsidP="00392445">
            <w:pPr>
              <w:rPr>
                <w:color w:val="000000"/>
              </w:rPr>
            </w:pPr>
            <w:r w:rsidRPr="00EA5D0A">
              <w:rPr>
                <w:color w:val="000000"/>
              </w:rPr>
              <w:t>1</w:t>
            </w:r>
            <w:r>
              <w:rPr>
                <w:color w:val="000000"/>
              </w:rPr>
              <w:t>,800</w:t>
            </w:r>
          </w:p>
        </w:tc>
        <w:tc>
          <w:tcPr>
            <w:tcW w:w="1860" w:type="dxa"/>
            <w:tcBorders>
              <w:top w:val="single" w:sz="4" w:space="0" w:color="auto"/>
              <w:left w:val="single" w:sz="4" w:space="0" w:color="auto"/>
              <w:bottom w:val="single" w:sz="4" w:space="0" w:color="auto"/>
              <w:right w:val="single" w:sz="4" w:space="0" w:color="auto"/>
            </w:tcBorders>
            <w:hideMark/>
          </w:tcPr>
          <w:p w:rsidR="00CB676D" w:rsidRDefault="00CB676D" w:rsidP="00392445">
            <w:pPr>
              <w:autoSpaceDE w:val="0"/>
              <w:autoSpaceDN w:val="0"/>
              <w:adjustRightInd w:val="0"/>
              <w:rPr>
                <w:color w:val="000000"/>
              </w:rPr>
            </w:pPr>
            <w:r>
              <w:rPr>
                <w:color w:val="000000"/>
              </w:rPr>
              <w:t>0.01179</w:t>
            </w:r>
          </w:p>
        </w:tc>
        <w:tc>
          <w:tcPr>
            <w:tcW w:w="1866" w:type="dxa"/>
            <w:tcBorders>
              <w:top w:val="single" w:sz="4" w:space="0" w:color="auto"/>
              <w:left w:val="single" w:sz="4" w:space="0" w:color="auto"/>
              <w:bottom w:val="single" w:sz="4" w:space="0" w:color="auto"/>
              <w:right w:val="single" w:sz="4" w:space="0" w:color="auto"/>
            </w:tcBorders>
            <w:hideMark/>
          </w:tcPr>
          <w:p w:rsidR="00CB676D" w:rsidRDefault="00CB676D" w:rsidP="00392445">
            <w:pPr>
              <w:autoSpaceDE w:val="0"/>
              <w:autoSpaceDN w:val="0"/>
              <w:adjustRightInd w:val="0"/>
              <w:rPr>
                <w:color w:val="000000"/>
              </w:rPr>
            </w:pPr>
            <w:r>
              <w:rPr>
                <w:color w:val="000000"/>
              </w:rPr>
              <w:t>47.69%</w:t>
            </w:r>
          </w:p>
        </w:tc>
        <w:tc>
          <w:tcPr>
            <w:tcW w:w="1854" w:type="dxa"/>
            <w:tcBorders>
              <w:top w:val="single" w:sz="4" w:space="0" w:color="auto"/>
              <w:left w:val="single" w:sz="4" w:space="0" w:color="auto"/>
              <w:bottom w:val="single" w:sz="4" w:space="0" w:color="auto"/>
              <w:right w:val="single" w:sz="4" w:space="0" w:color="auto"/>
            </w:tcBorders>
            <w:hideMark/>
          </w:tcPr>
          <w:p w:rsidR="00CB676D" w:rsidRDefault="00CB676D" w:rsidP="00392445">
            <w:pPr>
              <w:autoSpaceDE w:val="0"/>
              <w:autoSpaceDN w:val="0"/>
              <w:adjustRightInd w:val="0"/>
              <w:rPr>
                <w:color w:val="000000"/>
              </w:rPr>
            </w:pPr>
            <w:r>
              <w:rPr>
                <w:color w:val="000000"/>
              </w:rPr>
              <w:t>52.31%</w:t>
            </w:r>
          </w:p>
        </w:tc>
      </w:tr>
      <w:tr w:rsidR="00CB676D" w:rsidTr="00392445">
        <w:trPr>
          <w:trHeight w:val="290"/>
        </w:trPr>
        <w:tc>
          <w:tcPr>
            <w:tcW w:w="1860" w:type="dxa"/>
            <w:tcBorders>
              <w:top w:val="single" w:sz="4" w:space="0" w:color="auto"/>
              <w:left w:val="single" w:sz="4" w:space="0" w:color="auto"/>
              <w:bottom w:val="single" w:sz="4" w:space="0" w:color="auto"/>
              <w:right w:val="single" w:sz="4" w:space="0" w:color="auto"/>
            </w:tcBorders>
            <w:hideMark/>
          </w:tcPr>
          <w:p w:rsidR="00CB676D" w:rsidRDefault="00CB676D" w:rsidP="00392445">
            <w:pPr>
              <w:autoSpaceDE w:val="0"/>
              <w:autoSpaceDN w:val="0"/>
              <w:adjustRightInd w:val="0"/>
              <w:rPr>
                <w:color w:val="000000"/>
              </w:rPr>
            </w:pPr>
            <w:r>
              <w:rPr>
                <w:color w:val="000000"/>
              </w:rPr>
              <w:t>60.0%</w:t>
            </w:r>
          </w:p>
        </w:tc>
        <w:tc>
          <w:tcPr>
            <w:tcW w:w="1860" w:type="dxa"/>
            <w:tcBorders>
              <w:top w:val="single" w:sz="4" w:space="0" w:color="auto"/>
              <w:left w:val="single" w:sz="4" w:space="0" w:color="auto"/>
              <w:bottom w:val="single" w:sz="4" w:space="0" w:color="auto"/>
              <w:right w:val="single" w:sz="4" w:space="0" w:color="auto"/>
            </w:tcBorders>
            <w:hideMark/>
          </w:tcPr>
          <w:p w:rsidR="00CB676D" w:rsidRPr="00EA5D0A" w:rsidRDefault="00CB676D" w:rsidP="00392445">
            <w:pPr>
              <w:rPr>
                <w:color w:val="000000"/>
              </w:rPr>
            </w:pPr>
            <w:r w:rsidRPr="00EA5D0A">
              <w:rPr>
                <w:color w:val="000000"/>
              </w:rPr>
              <w:t>1</w:t>
            </w:r>
            <w:r>
              <w:rPr>
                <w:color w:val="000000"/>
              </w:rPr>
              <w:t>,800</w:t>
            </w:r>
          </w:p>
        </w:tc>
        <w:tc>
          <w:tcPr>
            <w:tcW w:w="1860" w:type="dxa"/>
            <w:tcBorders>
              <w:top w:val="single" w:sz="4" w:space="0" w:color="auto"/>
              <w:left w:val="single" w:sz="4" w:space="0" w:color="auto"/>
              <w:bottom w:val="single" w:sz="4" w:space="0" w:color="auto"/>
              <w:right w:val="single" w:sz="4" w:space="0" w:color="auto"/>
            </w:tcBorders>
            <w:hideMark/>
          </w:tcPr>
          <w:p w:rsidR="00CB676D" w:rsidRDefault="00CB676D" w:rsidP="00392445">
            <w:pPr>
              <w:autoSpaceDE w:val="0"/>
              <w:autoSpaceDN w:val="0"/>
              <w:adjustRightInd w:val="0"/>
              <w:rPr>
                <w:color w:val="000000"/>
              </w:rPr>
            </w:pPr>
            <w:r>
              <w:rPr>
                <w:color w:val="000000"/>
              </w:rPr>
              <w:t>0.01155</w:t>
            </w:r>
          </w:p>
        </w:tc>
        <w:tc>
          <w:tcPr>
            <w:tcW w:w="1866" w:type="dxa"/>
            <w:tcBorders>
              <w:top w:val="single" w:sz="4" w:space="0" w:color="auto"/>
              <w:left w:val="single" w:sz="4" w:space="0" w:color="auto"/>
              <w:bottom w:val="single" w:sz="4" w:space="0" w:color="auto"/>
              <w:right w:val="single" w:sz="4" w:space="0" w:color="auto"/>
            </w:tcBorders>
            <w:hideMark/>
          </w:tcPr>
          <w:p w:rsidR="00CB676D" w:rsidRDefault="00CB676D" w:rsidP="00392445">
            <w:pPr>
              <w:autoSpaceDE w:val="0"/>
              <w:autoSpaceDN w:val="0"/>
              <w:adjustRightInd w:val="0"/>
              <w:rPr>
                <w:color w:val="000000"/>
              </w:rPr>
            </w:pPr>
            <w:r>
              <w:rPr>
                <w:color w:val="000000"/>
              </w:rPr>
              <w:t>57.74%</w:t>
            </w:r>
          </w:p>
        </w:tc>
        <w:tc>
          <w:tcPr>
            <w:tcW w:w="1854" w:type="dxa"/>
            <w:tcBorders>
              <w:top w:val="single" w:sz="4" w:space="0" w:color="auto"/>
              <w:left w:val="single" w:sz="4" w:space="0" w:color="auto"/>
              <w:bottom w:val="single" w:sz="4" w:space="0" w:color="auto"/>
              <w:right w:val="single" w:sz="4" w:space="0" w:color="auto"/>
            </w:tcBorders>
            <w:hideMark/>
          </w:tcPr>
          <w:p w:rsidR="00CB676D" w:rsidRDefault="00CB676D" w:rsidP="00392445">
            <w:pPr>
              <w:autoSpaceDE w:val="0"/>
              <w:autoSpaceDN w:val="0"/>
              <w:adjustRightInd w:val="0"/>
              <w:rPr>
                <w:color w:val="000000"/>
              </w:rPr>
            </w:pPr>
            <w:r>
              <w:rPr>
                <w:color w:val="000000"/>
              </w:rPr>
              <w:t>62.26%</w:t>
            </w:r>
          </w:p>
        </w:tc>
      </w:tr>
      <w:tr w:rsidR="00CB676D" w:rsidTr="00392445">
        <w:trPr>
          <w:trHeight w:val="290"/>
        </w:trPr>
        <w:tc>
          <w:tcPr>
            <w:tcW w:w="1860" w:type="dxa"/>
            <w:tcBorders>
              <w:top w:val="single" w:sz="4" w:space="0" w:color="auto"/>
              <w:left w:val="single" w:sz="4" w:space="0" w:color="auto"/>
              <w:bottom w:val="single" w:sz="4" w:space="0" w:color="auto"/>
              <w:right w:val="single" w:sz="4" w:space="0" w:color="auto"/>
            </w:tcBorders>
            <w:hideMark/>
          </w:tcPr>
          <w:p w:rsidR="00CB676D" w:rsidRDefault="00CB676D" w:rsidP="00392445">
            <w:pPr>
              <w:autoSpaceDE w:val="0"/>
              <w:autoSpaceDN w:val="0"/>
              <w:adjustRightInd w:val="0"/>
              <w:rPr>
                <w:color w:val="000000"/>
              </w:rPr>
            </w:pPr>
            <w:r>
              <w:rPr>
                <w:color w:val="000000"/>
              </w:rPr>
              <w:t>70.0%</w:t>
            </w:r>
          </w:p>
        </w:tc>
        <w:tc>
          <w:tcPr>
            <w:tcW w:w="1860" w:type="dxa"/>
            <w:tcBorders>
              <w:top w:val="single" w:sz="4" w:space="0" w:color="auto"/>
              <w:left w:val="single" w:sz="4" w:space="0" w:color="auto"/>
              <w:bottom w:val="single" w:sz="4" w:space="0" w:color="auto"/>
              <w:right w:val="single" w:sz="4" w:space="0" w:color="auto"/>
            </w:tcBorders>
            <w:hideMark/>
          </w:tcPr>
          <w:p w:rsidR="00CB676D" w:rsidRPr="00EA5D0A" w:rsidRDefault="00CB676D" w:rsidP="00392445">
            <w:pPr>
              <w:rPr>
                <w:color w:val="000000"/>
              </w:rPr>
            </w:pPr>
            <w:r w:rsidRPr="00EA5D0A">
              <w:rPr>
                <w:color w:val="000000"/>
              </w:rPr>
              <w:t>1</w:t>
            </w:r>
            <w:r>
              <w:rPr>
                <w:color w:val="000000"/>
              </w:rPr>
              <w:t>,800</w:t>
            </w:r>
          </w:p>
        </w:tc>
        <w:tc>
          <w:tcPr>
            <w:tcW w:w="1860" w:type="dxa"/>
            <w:tcBorders>
              <w:top w:val="single" w:sz="4" w:space="0" w:color="auto"/>
              <w:left w:val="single" w:sz="4" w:space="0" w:color="auto"/>
              <w:bottom w:val="single" w:sz="4" w:space="0" w:color="auto"/>
              <w:right w:val="single" w:sz="4" w:space="0" w:color="auto"/>
            </w:tcBorders>
            <w:hideMark/>
          </w:tcPr>
          <w:p w:rsidR="00CB676D" w:rsidRDefault="00CB676D" w:rsidP="00392445">
            <w:pPr>
              <w:autoSpaceDE w:val="0"/>
              <w:autoSpaceDN w:val="0"/>
              <w:adjustRightInd w:val="0"/>
              <w:rPr>
                <w:color w:val="000000"/>
              </w:rPr>
            </w:pPr>
            <w:r>
              <w:rPr>
                <w:color w:val="000000"/>
              </w:rPr>
              <w:t>0.01080</w:t>
            </w:r>
          </w:p>
        </w:tc>
        <w:tc>
          <w:tcPr>
            <w:tcW w:w="1866" w:type="dxa"/>
            <w:tcBorders>
              <w:top w:val="single" w:sz="4" w:space="0" w:color="auto"/>
              <w:left w:val="single" w:sz="4" w:space="0" w:color="auto"/>
              <w:bottom w:val="single" w:sz="4" w:space="0" w:color="auto"/>
              <w:right w:val="single" w:sz="4" w:space="0" w:color="auto"/>
            </w:tcBorders>
            <w:hideMark/>
          </w:tcPr>
          <w:p w:rsidR="00CB676D" w:rsidRDefault="00CB676D" w:rsidP="00392445">
            <w:pPr>
              <w:autoSpaceDE w:val="0"/>
              <w:autoSpaceDN w:val="0"/>
              <w:adjustRightInd w:val="0"/>
              <w:rPr>
                <w:color w:val="000000"/>
              </w:rPr>
            </w:pPr>
            <w:r>
              <w:rPr>
                <w:color w:val="000000"/>
              </w:rPr>
              <w:t>67.88%</w:t>
            </w:r>
          </w:p>
        </w:tc>
        <w:tc>
          <w:tcPr>
            <w:tcW w:w="1854" w:type="dxa"/>
            <w:tcBorders>
              <w:top w:val="single" w:sz="4" w:space="0" w:color="auto"/>
              <w:left w:val="single" w:sz="4" w:space="0" w:color="auto"/>
              <w:bottom w:val="single" w:sz="4" w:space="0" w:color="auto"/>
              <w:right w:val="single" w:sz="4" w:space="0" w:color="auto"/>
            </w:tcBorders>
            <w:hideMark/>
          </w:tcPr>
          <w:p w:rsidR="00CB676D" w:rsidRDefault="00CB676D" w:rsidP="00392445">
            <w:pPr>
              <w:autoSpaceDE w:val="0"/>
              <w:autoSpaceDN w:val="0"/>
              <w:adjustRightInd w:val="0"/>
              <w:rPr>
                <w:color w:val="000000"/>
              </w:rPr>
            </w:pPr>
            <w:r>
              <w:rPr>
                <w:color w:val="000000"/>
              </w:rPr>
              <w:t>72.12%</w:t>
            </w:r>
          </w:p>
        </w:tc>
      </w:tr>
    </w:tbl>
    <w:p w:rsidR="00CB676D" w:rsidRDefault="00CB676D" w:rsidP="00CB676D">
      <w:pPr>
        <w:pStyle w:val="SP-SglSpPara"/>
        <w:ind w:left="360" w:firstLine="0"/>
        <w:jc w:val="left"/>
        <w:rPr>
          <w:sz w:val="24"/>
          <w:szCs w:val="24"/>
        </w:rPr>
      </w:pPr>
    </w:p>
    <w:p w:rsidR="00CB676D" w:rsidRDefault="00CB676D" w:rsidP="00CB676D">
      <w:pPr>
        <w:keepNext/>
        <w:keepLines/>
      </w:pPr>
      <w:r w:rsidRPr="00DC5A03">
        <w:lastRenderedPageBreak/>
        <w:t xml:space="preserve">The precision offered by a responding sample size of 300 (i.e., the COLR / IAC) </w:t>
      </w:r>
      <w:proofErr w:type="gramStart"/>
      <w:r w:rsidRPr="00DC5A03">
        <w:t>cases is</w:t>
      </w:r>
      <w:proofErr w:type="gramEnd"/>
      <w:r w:rsidRPr="00DC5A03">
        <w:t>, as follows:</w:t>
      </w:r>
    </w:p>
    <w:p w:rsidR="00CB676D" w:rsidRPr="00DC5A03" w:rsidRDefault="00CB676D" w:rsidP="00CB676D">
      <w:pPr>
        <w:keepNext/>
        <w:keepLines/>
        <w:rPr>
          <w:b/>
          <w:color w:val="000000"/>
        </w:rPr>
      </w:pPr>
    </w:p>
    <w:p w:rsidR="00CB676D" w:rsidRPr="00DC5A03" w:rsidRDefault="00CB676D" w:rsidP="00CB676D">
      <w:pPr>
        <w:keepNext/>
        <w:keepLines/>
        <w:rPr>
          <w:b/>
          <w:color w:val="000000"/>
        </w:rPr>
      </w:pPr>
      <w:r w:rsidRPr="00DC5A03">
        <w:rPr>
          <w:b/>
          <w:color w:val="000000"/>
        </w:rPr>
        <w:t>Precision offered by 300 responding cases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tblPr>
      <w:tblGrid>
        <w:gridCol w:w="1860"/>
        <w:gridCol w:w="1860"/>
        <w:gridCol w:w="1860"/>
        <w:gridCol w:w="1866"/>
        <w:gridCol w:w="1854"/>
      </w:tblGrid>
      <w:tr w:rsidR="00CB676D" w:rsidTr="00392445">
        <w:trPr>
          <w:trHeight w:val="290"/>
        </w:trPr>
        <w:tc>
          <w:tcPr>
            <w:tcW w:w="1860" w:type="dxa"/>
            <w:tcBorders>
              <w:top w:val="single" w:sz="4" w:space="0" w:color="auto"/>
              <w:left w:val="single" w:sz="4" w:space="0" w:color="auto"/>
              <w:bottom w:val="single" w:sz="4" w:space="0" w:color="auto"/>
              <w:right w:val="single" w:sz="4" w:space="0" w:color="auto"/>
            </w:tcBorders>
            <w:shd w:val="pct20" w:color="auto" w:fill="auto"/>
            <w:hideMark/>
          </w:tcPr>
          <w:p w:rsidR="00CB676D" w:rsidRDefault="00CB676D" w:rsidP="00392445">
            <w:pPr>
              <w:autoSpaceDE w:val="0"/>
              <w:autoSpaceDN w:val="0"/>
              <w:adjustRightInd w:val="0"/>
              <w:rPr>
                <w:b/>
                <w:color w:val="000000"/>
              </w:rPr>
            </w:pPr>
            <w:r>
              <w:rPr>
                <w:b/>
                <w:color w:val="000000"/>
              </w:rPr>
              <w:t>Percentage</w:t>
            </w:r>
          </w:p>
        </w:tc>
        <w:tc>
          <w:tcPr>
            <w:tcW w:w="1860" w:type="dxa"/>
            <w:tcBorders>
              <w:top w:val="single" w:sz="4" w:space="0" w:color="auto"/>
              <w:left w:val="single" w:sz="4" w:space="0" w:color="auto"/>
              <w:bottom w:val="single" w:sz="4" w:space="0" w:color="auto"/>
              <w:right w:val="single" w:sz="4" w:space="0" w:color="auto"/>
            </w:tcBorders>
            <w:shd w:val="pct20" w:color="auto" w:fill="auto"/>
            <w:hideMark/>
          </w:tcPr>
          <w:p w:rsidR="00CB676D" w:rsidRDefault="00CB676D" w:rsidP="00392445">
            <w:pPr>
              <w:autoSpaceDE w:val="0"/>
              <w:autoSpaceDN w:val="0"/>
              <w:adjustRightInd w:val="0"/>
              <w:rPr>
                <w:b/>
                <w:color w:val="000000"/>
              </w:rPr>
            </w:pPr>
            <w:r>
              <w:rPr>
                <w:b/>
                <w:color w:val="000000"/>
              </w:rPr>
              <w:t>N</w:t>
            </w:r>
          </w:p>
        </w:tc>
        <w:tc>
          <w:tcPr>
            <w:tcW w:w="1860" w:type="dxa"/>
            <w:tcBorders>
              <w:top w:val="single" w:sz="4" w:space="0" w:color="auto"/>
              <w:left w:val="single" w:sz="4" w:space="0" w:color="auto"/>
              <w:bottom w:val="single" w:sz="4" w:space="0" w:color="auto"/>
              <w:right w:val="single" w:sz="4" w:space="0" w:color="auto"/>
            </w:tcBorders>
            <w:shd w:val="pct20" w:color="auto" w:fill="auto"/>
            <w:hideMark/>
          </w:tcPr>
          <w:p w:rsidR="00CB676D" w:rsidRDefault="00CB676D" w:rsidP="00392445">
            <w:pPr>
              <w:autoSpaceDE w:val="0"/>
              <w:autoSpaceDN w:val="0"/>
              <w:adjustRightInd w:val="0"/>
              <w:rPr>
                <w:b/>
                <w:color w:val="000000"/>
              </w:rPr>
            </w:pPr>
            <w:r>
              <w:rPr>
                <w:b/>
                <w:color w:val="000000"/>
              </w:rPr>
              <w:t>Standard Error</w:t>
            </w:r>
          </w:p>
        </w:tc>
        <w:tc>
          <w:tcPr>
            <w:tcW w:w="1866" w:type="dxa"/>
            <w:tcBorders>
              <w:top w:val="single" w:sz="4" w:space="0" w:color="auto"/>
              <w:left w:val="single" w:sz="4" w:space="0" w:color="auto"/>
              <w:bottom w:val="single" w:sz="4" w:space="0" w:color="auto"/>
              <w:right w:val="single" w:sz="4" w:space="0" w:color="auto"/>
            </w:tcBorders>
            <w:shd w:val="pct20" w:color="auto" w:fill="auto"/>
            <w:hideMark/>
          </w:tcPr>
          <w:p w:rsidR="00CB676D" w:rsidRDefault="00CB676D" w:rsidP="00392445">
            <w:pPr>
              <w:autoSpaceDE w:val="0"/>
              <w:autoSpaceDN w:val="0"/>
              <w:adjustRightInd w:val="0"/>
              <w:rPr>
                <w:b/>
                <w:color w:val="000000"/>
              </w:rPr>
            </w:pPr>
            <w:r>
              <w:rPr>
                <w:b/>
                <w:color w:val="000000"/>
              </w:rPr>
              <w:t>LCI</w:t>
            </w:r>
          </w:p>
        </w:tc>
        <w:tc>
          <w:tcPr>
            <w:tcW w:w="1854" w:type="dxa"/>
            <w:tcBorders>
              <w:top w:val="single" w:sz="4" w:space="0" w:color="auto"/>
              <w:left w:val="single" w:sz="4" w:space="0" w:color="auto"/>
              <w:bottom w:val="single" w:sz="4" w:space="0" w:color="auto"/>
              <w:right w:val="single" w:sz="4" w:space="0" w:color="auto"/>
            </w:tcBorders>
            <w:shd w:val="pct20" w:color="auto" w:fill="auto"/>
            <w:hideMark/>
          </w:tcPr>
          <w:p w:rsidR="00CB676D" w:rsidRDefault="00CB676D" w:rsidP="00392445">
            <w:pPr>
              <w:autoSpaceDE w:val="0"/>
              <w:autoSpaceDN w:val="0"/>
              <w:adjustRightInd w:val="0"/>
              <w:rPr>
                <w:b/>
                <w:color w:val="000000"/>
              </w:rPr>
            </w:pPr>
            <w:r>
              <w:rPr>
                <w:b/>
                <w:color w:val="000000"/>
              </w:rPr>
              <w:t>UCI</w:t>
            </w:r>
          </w:p>
        </w:tc>
      </w:tr>
      <w:tr w:rsidR="00CB676D" w:rsidTr="00392445">
        <w:trPr>
          <w:trHeight w:val="290"/>
        </w:trPr>
        <w:tc>
          <w:tcPr>
            <w:tcW w:w="1860" w:type="dxa"/>
            <w:tcBorders>
              <w:top w:val="single" w:sz="4" w:space="0" w:color="auto"/>
              <w:left w:val="single" w:sz="4" w:space="0" w:color="auto"/>
              <w:bottom w:val="single" w:sz="4" w:space="0" w:color="auto"/>
              <w:right w:val="single" w:sz="4" w:space="0" w:color="auto"/>
            </w:tcBorders>
            <w:hideMark/>
          </w:tcPr>
          <w:p w:rsidR="00CB676D" w:rsidRDefault="00CB676D" w:rsidP="00392445">
            <w:pPr>
              <w:autoSpaceDE w:val="0"/>
              <w:autoSpaceDN w:val="0"/>
              <w:adjustRightInd w:val="0"/>
              <w:rPr>
                <w:color w:val="000000"/>
              </w:rPr>
            </w:pPr>
            <w:r>
              <w:rPr>
                <w:color w:val="000000"/>
              </w:rPr>
              <w:t>30.0%</w:t>
            </w:r>
          </w:p>
        </w:tc>
        <w:tc>
          <w:tcPr>
            <w:tcW w:w="1860" w:type="dxa"/>
            <w:tcBorders>
              <w:top w:val="single" w:sz="4" w:space="0" w:color="auto"/>
              <w:left w:val="single" w:sz="4" w:space="0" w:color="auto"/>
              <w:bottom w:val="single" w:sz="4" w:space="0" w:color="auto"/>
              <w:right w:val="single" w:sz="4" w:space="0" w:color="auto"/>
            </w:tcBorders>
            <w:hideMark/>
          </w:tcPr>
          <w:p w:rsidR="00CB676D" w:rsidRDefault="00CB676D" w:rsidP="00392445">
            <w:pPr>
              <w:autoSpaceDE w:val="0"/>
              <w:autoSpaceDN w:val="0"/>
              <w:adjustRightInd w:val="0"/>
              <w:rPr>
                <w:color w:val="000000"/>
              </w:rPr>
            </w:pPr>
            <w:r>
              <w:rPr>
                <w:color w:val="000000"/>
              </w:rPr>
              <w:t>300</w:t>
            </w:r>
          </w:p>
        </w:tc>
        <w:tc>
          <w:tcPr>
            <w:tcW w:w="1860" w:type="dxa"/>
            <w:tcBorders>
              <w:top w:val="single" w:sz="4" w:space="0" w:color="auto"/>
              <w:left w:val="single" w:sz="4" w:space="0" w:color="auto"/>
              <w:bottom w:val="single" w:sz="4" w:space="0" w:color="auto"/>
              <w:right w:val="single" w:sz="4" w:space="0" w:color="auto"/>
            </w:tcBorders>
            <w:hideMark/>
          </w:tcPr>
          <w:p w:rsidR="00CB676D" w:rsidRDefault="00CB676D" w:rsidP="00392445">
            <w:pPr>
              <w:autoSpaceDE w:val="0"/>
              <w:autoSpaceDN w:val="0"/>
              <w:adjustRightInd w:val="0"/>
              <w:rPr>
                <w:color w:val="000000"/>
              </w:rPr>
            </w:pPr>
            <w:r>
              <w:rPr>
                <w:color w:val="000000"/>
              </w:rPr>
              <w:t>0.02646</w:t>
            </w:r>
          </w:p>
        </w:tc>
        <w:tc>
          <w:tcPr>
            <w:tcW w:w="1866" w:type="dxa"/>
            <w:tcBorders>
              <w:top w:val="single" w:sz="4" w:space="0" w:color="auto"/>
              <w:left w:val="single" w:sz="4" w:space="0" w:color="auto"/>
              <w:bottom w:val="single" w:sz="4" w:space="0" w:color="auto"/>
              <w:right w:val="single" w:sz="4" w:space="0" w:color="auto"/>
            </w:tcBorders>
            <w:hideMark/>
          </w:tcPr>
          <w:p w:rsidR="00CB676D" w:rsidRDefault="00CB676D" w:rsidP="00392445">
            <w:pPr>
              <w:autoSpaceDE w:val="0"/>
              <w:autoSpaceDN w:val="0"/>
              <w:adjustRightInd w:val="0"/>
              <w:rPr>
                <w:color w:val="000000"/>
              </w:rPr>
            </w:pPr>
            <w:r>
              <w:rPr>
                <w:color w:val="000000"/>
              </w:rPr>
              <w:t>24.81%</w:t>
            </w:r>
          </w:p>
        </w:tc>
        <w:tc>
          <w:tcPr>
            <w:tcW w:w="1854" w:type="dxa"/>
            <w:tcBorders>
              <w:top w:val="single" w:sz="4" w:space="0" w:color="auto"/>
              <w:left w:val="single" w:sz="4" w:space="0" w:color="auto"/>
              <w:bottom w:val="single" w:sz="4" w:space="0" w:color="auto"/>
              <w:right w:val="single" w:sz="4" w:space="0" w:color="auto"/>
            </w:tcBorders>
            <w:hideMark/>
          </w:tcPr>
          <w:p w:rsidR="00CB676D" w:rsidRDefault="00CB676D" w:rsidP="00392445">
            <w:pPr>
              <w:autoSpaceDE w:val="0"/>
              <w:autoSpaceDN w:val="0"/>
              <w:adjustRightInd w:val="0"/>
              <w:rPr>
                <w:color w:val="000000"/>
              </w:rPr>
            </w:pPr>
            <w:r>
              <w:rPr>
                <w:color w:val="000000"/>
              </w:rPr>
              <w:t>35.19%</w:t>
            </w:r>
          </w:p>
        </w:tc>
      </w:tr>
      <w:tr w:rsidR="00CB676D" w:rsidTr="00392445">
        <w:trPr>
          <w:trHeight w:val="290"/>
        </w:trPr>
        <w:tc>
          <w:tcPr>
            <w:tcW w:w="1860" w:type="dxa"/>
            <w:tcBorders>
              <w:top w:val="single" w:sz="4" w:space="0" w:color="auto"/>
              <w:left w:val="single" w:sz="4" w:space="0" w:color="auto"/>
              <w:bottom w:val="single" w:sz="4" w:space="0" w:color="auto"/>
              <w:right w:val="single" w:sz="4" w:space="0" w:color="auto"/>
            </w:tcBorders>
            <w:hideMark/>
          </w:tcPr>
          <w:p w:rsidR="00CB676D" w:rsidRDefault="00CB676D" w:rsidP="00392445">
            <w:pPr>
              <w:autoSpaceDE w:val="0"/>
              <w:autoSpaceDN w:val="0"/>
              <w:adjustRightInd w:val="0"/>
              <w:rPr>
                <w:color w:val="000000"/>
              </w:rPr>
            </w:pPr>
            <w:r>
              <w:rPr>
                <w:color w:val="000000"/>
              </w:rPr>
              <w:t>40.0%</w:t>
            </w:r>
          </w:p>
        </w:tc>
        <w:tc>
          <w:tcPr>
            <w:tcW w:w="1860" w:type="dxa"/>
            <w:tcBorders>
              <w:top w:val="single" w:sz="4" w:space="0" w:color="auto"/>
              <w:left w:val="single" w:sz="4" w:space="0" w:color="auto"/>
              <w:bottom w:val="single" w:sz="4" w:space="0" w:color="auto"/>
              <w:right w:val="single" w:sz="4" w:space="0" w:color="auto"/>
            </w:tcBorders>
            <w:hideMark/>
          </w:tcPr>
          <w:p w:rsidR="00CB676D" w:rsidRDefault="00CB676D" w:rsidP="00392445">
            <w:pPr>
              <w:autoSpaceDE w:val="0"/>
              <w:autoSpaceDN w:val="0"/>
              <w:adjustRightInd w:val="0"/>
              <w:rPr>
                <w:color w:val="000000"/>
              </w:rPr>
            </w:pPr>
            <w:r>
              <w:rPr>
                <w:color w:val="000000"/>
              </w:rPr>
              <w:t>300</w:t>
            </w:r>
          </w:p>
        </w:tc>
        <w:tc>
          <w:tcPr>
            <w:tcW w:w="1860" w:type="dxa"/>
            <w:tcBorders>
              <w:top w:val="single" w:sz="4" w:space="0" w:color="auto"/>
              <w:left w:val="single" w:sz="4" w:space="0" w:color="auto"/>
              <w:bottom w:val="single" w:sz="4" w:space="0" w:color="auto"/>
              <w:right w:val="single" w:sz="4" w:space="0" w:color="auto"/>
            </w:tcBorders>
            <w:hideMark/>
          </w:tcPr>
          <w:p w:rsidR="00CB676D" w:rsidRDefault="00CB676D" w:rsidP="00392445">
            <w:pPr>
              <w:autoSpaceDE w:val="0"/>
              <w:autoSpaceDN w:val="0"/>
              <w:adjustRightInd w:val="0"/>
              <w:rPr>
                <w:color w:val="000000"/>
              </w:rPr>
            </w:pPr>
            <w:r>
              <w:rPr>
                <w:color w:val="000000"/>
              </w:rPr>
              <w:t>0.02828</w:t>
            </w:r>
          </w:p>
        </w:tc>
        <w:tc>
          <w:tcPr>
            <w:tcW w:w="1866" w:type="dxa"/>
            <w:tcBorders>
              <w:top w:val="single" w:sz="4" w:space="0" w:color="auto"/>
              <w:left w:val="single" w:sz="4" w:space="0" w:color="auto"/>
              <w:bottom w:val="single" w:sz="4" w:space="0" w:color="auto"/>
              <w:right w:val="single" w:sz="4" w:space="0" w:color="auto"/>
            </w:tcBorders>
            <w:hideMark/>
          </w:tcPr>
          <w:p w:rsidR="00CB676D" w:rsidRDefault="00CB676D" w:rsidP="00392445">
            <w:pPr>
              <w:autoSpaceDE w:val="0"/>
              <w:autoSpaceDN w:val="0"/>
              <w:adjustRightInd w:val="0"/>
              <w:rPr>
                <w:color w:val="000000"/>
              </w:rPr>
            </w:pPr>
            <w:r>
              <w:rPr>
                <w:color w:val="000000"/>
              </w:rPr>
              <w:t>34.46%</w:t>
            </w:r>
          </w:p>
        </w:tc>
        <w:tc>
          <w:tcPr>
            <w:tcW w:w="1854" w:type="dxa"/>
            <w:tcBorders>
              <w:top w:val="single" w:sz="4" w:space="0" w:color="auto"/>
              <w:left w:val="single" w:sz="4" w:space="0" w:color="auto"/>
              <w:bottom w:val="single" w:sz="4" w:space="0" w:color="auto"/>
              <w:right w:val="single" w:sz="4" w:space="0" w:color="auto"/>
            </w:tcBorders>
            <w:hideMark/>
          </w:tcPr>
          <w:p w:rsidR="00CB676D" w:rsidRDefault="00CB676D" w:rsidP="00392445">
            <w:pPr>
              <w:autoSpaceDE w:val="0"/>
              <w:autoSpaceDN w:val="0"/>
              <w:adjustRightInd w:val="0"/>
              <w:rPr>
                <w:color w:val="000000"/>
              </w:rPr>
            </w:pPr>
            <w:r>
              <w:rPr>
                <w:color w:val="000000"/>
              </w:rPr>
              <w:t>45.54%</w:t>
            </w:r>
          </w:p>
        </w:tc>
      </w:tr>
      <w:tr w:rsidR="00CB676D" w:rsidTr="00392445">
        <w:trPr>
          <w:trHeight w:val="290"/>
        </w:trPr>
        <w:tc>
          <w:tcPr>
            <w:tcW w:w="1860" w:type="dxa"/>
            <w:tcBorders>
              <w:top w:val="single" w:sz="4" w:space="0" w:color="auto"/>
              <w:left w:val="single" w:sz="4" w:space="0" w:color="auto"/>
              <w:bottom w:val="single" w:sz="4" w:space="0" w:color="auto"/>
              <w:right w:val="single" w:sz="4" w:space="0" w:color="auto"/>
            </w:tcBorders>
            <w:hideMark/>
          </w:tcPr>
          <w:p w:rsidR="00CB676D" w:rsidRDefault="00CB676D" w:rsidP="00392445">
            <w:pPr>
              <w:autoSpaceDE w:val="0"/>
              <w:autoSpaceDN w:val="0"/>
              <w:adjustRightInd w:val="0"/>
              <w:rPr>
                <w:color w:val="000000"/>
              </w:rPr>
            </w:pPr>
            <w:r>
              <w:rPr>
                <w:color w:val="000000"/>
              </w:rPr>
              <w:t>50.0%</w:t>
            </w:r>
          </w:p>
        </w:tc>
        <w:tc>
          <w:tcPr>
            <w:tcW w:w="1860" w:type="dxa"/>
            <w:tcBorders>
              <w:top w:val="single" w:sz="4" w:space="0" w:color="auto"/>
              <w:left w:val="single" w:sz="4" w:space="0" w:color="auto"/>
              <w:bottom w:val="single" w:sz="4" w:space="0" w:color="auto"/>
              <w:right w:val="single" w:sz="4" w:space="0" w:color="auto"/>
            </w:tcBorders>
            <w:hideMark/>
          </w:tcPr>
          <w:p w:rsidR="00CB676D" w:rsidRDefault="00CB676D" w:rsidP="00392445">
            <w:pPr>
              <w:autoSpaceDE w:val="0"/>
              <w:autoSpaceDN w:val="0"/>
              <w:adjustRightInd w:val="0"/>
              <w:rPr>
                <w:color w:val="000000"/>
              </w:rPr>
            </w:pPr>
            <w:r>
              <w:rPr>
                <w:color w:val="000000"/>
              </w:rPr>
              <w:t>300</w:t>
            </w:r>
          </w:p>
        </w:tc>
        <w:tc>
          <w:tcPr>
            <w:tcW w:w="1860" w:type="dxa"/>
            <w:tcBorders>
              <w:top w:val="single" w:sz="4" w:space="0" w:color="auto"/>
              <w:left w:val="single" w:sz="4" w:space="0" w:color="auto"/>
              <w:bottom w:val="single" w:sz="4" w:space="0" w:color="auto"/>
              <w:right w:val="single" w:sz="4" w:space="0" w:color="auto"/>
            </w:tcBorders>
            <w:hideMark/>
          </w:tcPr>
          <w:p w:rsidR="00CB676D" w:rsidRDefault="00CB676D" w:rsidP="00392445">
            <w:pPr>
              <w:autoSpaceDE w:val="0"/>
              <w:autoSpaceDN w:val="0"/>
              <w:adjustRightInd w:val="0"/>
              <w:rPr>
                <w:color w:val="000000"/>
              </w:rPr>
            </w:pPr>
            <w:r>
              <w:rPr>
                <w:color w:val="000000"/>
              </w:rPr>
              <w:t>0.02887</w:t>
            </w:r>
          </w:p>
        </w:tc>
        <w:tc>
          <w:tcPr>
            <w:tcW w:w="1866" w:type="dxa"/>
            <w:tcBorders>
              <w:top w:val="single" w:sz="4" w:space="0" w:color="auto"/>
              <w:left w:val="single" w:sz="4" w:space="0" w:color="auto"/>
              <w:bottom w:val="single" w:sz="4" w:space="0" w:color="auto"/>
              <w:right w:val="single" w:sz="4" w:space="0" w:color="auto"/>
            </w:tcBorders>
            <w:hideMark/>
          </w:tcPr>
          <w:p w:rsidR="00CB676D" w:rsidRDefault="00CB676D" w:rsidP="00392445">
            <w:pPr>
              <w:autoSpaceDE w:val="0"/>
              <w:autoSpaceDN w:val="0"/>
              <w:adjustRightInd w:val="0"/>
              <w:rPr>
                <w:color w:val="000000"/>
              </w:rPr>
            </w:pPr>
            <w:r>
              <w:rPr>
                <w:color w:val="000000"/>
              </w:rPr>
              <w:t>44.34%</w:t>
            </w:r>
          </w:p>
        </w:tc>
        <w:tc>
          <w:tcPr>
            <w:tcW w:w="1854" w:type="dxa"/>
            <w:tcBorders>
              <w:top w:val="single" w:sz="4" w:space="0" w:color="auto"/>
              <w:left w:val="single" w:sz="4" w:space="0" w:color="auto"/>
              <w:bottom w:val="single" w:sz="4" w:space="0" w:color="auto"/>
              <w:right w:val="single" w:sz="4" w:space="0" w:color="auto"/>
            </w:tcBorders>
            <w:hideMark/>
          </w:tcPr>
          <w:p w:rsidR="00CB676D" w:rsidRDefault="00CB676D" w:rsidP="00392445">
            <w:pPr>
              <w:autoSpaceDE w:val="0"/>
              <w:autoSpaceDN w:val="0"/>
              <w:adjustRightInd w:val="0"/>
              <w:rPr>
                <w:color w:val="000000"/>
              </w:rPr>
            </w:pPr>
            <w:r>
              <w:rPr>
                <w:color w:val="000000"/>
              </w:rPr>
              <w:t>55.66%</w:t>
            </w:r>
          </w:p>
        </w:tc>
      </w:tr>
      <w:tr w:rsidR="00CB676D" w:rsidTr="00392445">
        <w:trPr>
          <w:trHeight w:val="290"/>
        </w:trPr>
        <w:tc>
          <w:tcPr>
            <w:tcW w:w="1860" w:type="dxa"/>
            <w:tcBorders>
              <w:top w:val="single" w:sz="4" w:space="0" w:color="auto"/>
              <w:left w:val="single" w:sz="4" w:space="0" w:color="auto"/>
              <w:bottom w:val="single" w:sz="4" w:space="0" w:color="auto"/>
              <w:right w:val="single" w:sz="4" w:space="0" w:color="auto"/>
            </w:tcBorders>
            <w:hideMark/>
          </w:tcPr>
          <w:p w:rsidR="00CB676D" w:rsidRDefault="00CB676D" w:rsidP="00392445">
            <w:pPr>
              <w:autoSpaceDE w:val="0"/>
              <w:autoSpaceDN w:val="0"/>
              <w:adjustRightInd w:val="0"/>
              <w:rPr>
                <w:color w:val="000000"/>
              </w:rPr>
            </w:pPr>
            <w:r>
              <w:rPr>
                <w:color w:val="000000"/>
              </w:rPr>
              <w:t>60.0%</w:t>
            </w:r>
          </w:p>
        </w:tc>
        <w:tc>
          <w:tcPr>
            <w:tcW w:w="1860" w:type="dxa"/>
            <w:tcBorders>
              <w:top w:val="single" w:sz="4" w:space="0" w:color="auto"/>
              <w:left w:val="single" w:sz="4" w:space="0" w:color="auto"/>
              <w:bottom w:val="single" w:sz="4" w:space="0" w:color="auto"/>
              <w:right w:val="single" w:sz="4" w:space="0" w:color="auto"/>
            </w:tcBorders>
            <w:hideMark/>
          </w:tcPr>
          <w:p w:rsidR="00CB676D" w:rsidRDefault="00CB676D" w:rsidP="00392445">
            <w:pPr>
              <w:autoSpaceDE w:val="0"/>
              <w:autoSpaceDN w:val="0"/>
              <w:adjustRightInd w:val="0"/>
              <w:rPr>
                <w:color w:val="000000"/>
              </w:rPr>
            </w:pPr>
            <w:r>
              <w:rPr>
                <w:color w:val="000000"/>
              </w:rPr>
              <w:t>300</w:t>
            </w:r>
          </w:p>
        </w:tc>
        <w:tc>
          <w:tcPr>
            <w:tcW w:w="1860" w:type="dxa"/>
            <w:tcBorders>
              <w:top w:val="single" w:sz="4" w:space="0" w:color="auto"/>
              <w:left w:val="single" w:sz="4" w:space="0" w:color="auto"/>
              <w:bottom w:val="single" w:sz="4" w:space="0" w:color="auto"/>
              <w:right w:val="single" w:sz="4" w:space="0" w:color="auto"/>
            </w:tcBorders>
            <w:hideMark/>
          </w:tcPr>
          <w:p w:rsidR="00CB676D" w:rsidRDefault="00CB676D" w:rsidP="00392445">
            <w:pPr>
              <w:autoSpaceDE w:val="0"/>
              <w:autoSpaceDN w:val="0"/>
              <w:adjustRightInd w:val="0"/>
              <w:rPr>
                <w:color w:val="000000"/>
              </w:rPr>
            </w:pPr>
            <w:r>
              <w:rPr>
                <w:color w:val="000000"/>
              </w:rPr>
              <w:t>0.02828</w:t>
            </w:r>
          </w:p>
        </w:tc>
        <w:tc>
          <w:tcPr>
            <w:tcW w:w="1866" w:type="dxa"/>
            <w:tcBorders>
              <w:top w:val="single" w:sz="4" w:space="0" w:color="auto"/>
              <w:left w:val="single" w:sz="4" w:space="0" w:color="auto"/>
              <w:bottom w:val="single" w:sz="4" w:space="0" w:color="auto"/>
              <w:right w:val="single" w:sz="4" w:space="0" w:color="auto"/>
            </w:tcBorders>
            <w:hideMark/>
          </w:tcPr>
          <w:p w:rsidR="00CB676D" w:rsidRDefault="00CB676D" w:rsidP="00392445">
            <w:pPr>
              <w:autoSpaceDE w:val="0"/>
              <w:autoSpaceDN w:val="0"/>
              <w:adjustRightInd w:val="0"/>
              <w:rPr>
                <w:color w:val="000000"/>
              </w:rPr>
            </w:pPr>
            <w:r>
              <w:rPr>
                <w:color w:val="000000"/>
              </w:rPr>
              <w:t>54.46%</w:t>
            </w:r>
          </w:p>
        </w:tc>
        <w:tc>
          <w:tcPr>
            <w:tcW w:w="1854" w:type="dxa"/>
            <w:tcBorders>
              <w:top w:val="single" w:sz="4" w:space="0" w:color="auto"/>
              <w:left w:val="single" w:sz="4" w:space="0" w:color="auto"/>
              <w:bottom w:val="single" w:sz="4" w:space="0" w:color="auto"/>
              <w:right w:val="single" w:sz="4" w:space="0" w:color="auto"/>
            </w:tcBorders>
            <w:hideMark/>
          </w:tcPr>
          <w:p w:rsidR="00CB676D" w:rsidRDefault="00CB676D" w:rsidP="00392445">
            <w:pPr>
              <w:autoSpaceDE w:val="0"/>
              <w:autoSpaceDN w:val="0"/>
              <w:adjustRightInd w:val="0"/>
              <w:rPr>
                <w:color w:val="000000"/>
              </w:rPr>
            </w:pPr>
            <w:r>
              <w:rPr>
                <w:color w:val="000000"/>
              </w:rPr>
              <w:t>65.54%</w:t>
            </w:r>
          </w:p>
        </w:tc>
      </w:tr>
      <w:tr w:rsidR="00CB676D" w:rsidTr="00392445">
        <w:trPr>
          <w:trHeight w:val="290"/>
        </w:trPr>
        <w:tc>
          <w:tcPr>
            <w:tcW w:w="1860" w:type="dxa"/>
            <w:tcBorders>
              <w:top w:val="single" w:sz="4" w:space="0" w:color="auto"/>
              <w:left w:val="single" w:sz="4" w:space="0" w:color="auto"/>
              <w:bottom w:val="single" w:sz="4" w:space="0" w:color="auto"/>
              <w:right w:val="single" w:sz="4" w:space="0" w:color="auto"/>
            </w:tcBorders>
            <w:hideMark/>
          </w:tcPr>
          <w:p w:rsidR="00CB676D" w:rsidRDefault="00CB676D" w:rsidP="00392445">
            <w:pPr>
              <w:autoSpaceDE w:val="0"/>
              <w:autoSpaceDN w:val="0"/>
              <w:adjustRightInd w:val="0"/>
              <w:rPr>
                <w:color w:val="000000"/>
              </w:rPr>
            </w:pPr>
            <w:r>
              <w:rPr>
                <w:color w:val="000000"/>
              </w:rPr>
              <w:t>70.0%</w:t>
            </w:r>
          </w:p>
        </w:tc>
        <w:tc>
          <w:tcPr>
            <w:tcW w:w="1860" w:type="dxa"/>
            <w:tcBorders>
              <w:top w:val="single" w:sz="4" w:space="0" w:color="auto"/>
              <w:left w:val="single" w:sz="4" w:space="0" w:color="auto"/>
              <w:bottom w:val="single" w:sz="4" w:space="0" w:color="auto"/>
              <w:right w:val="single" w:sz="4" w:space="0" w:color="auto"/>
            </w:tcBorders>
            <w:hideMark/>
          </w:tcPr>
          <w:p w:rsidR="00CB676D" w:rsidRDefault="00CB676D" w:rsidP="00392445">
            <w:pPr>
              <w:autoSpaceDE w:val="0"/>
              <w:autoSpaceDN w:val="0"/>
              <w:adjustRightInd w:val="0"/>
              <w:rPr>
                <w:color w:val="000000"/>
              </w:rPr>
            </w:pPr>
            <w:r>
              <w:rPr>
                <w:color w:val="000000"/>
              </w:rPr>
              <w:t>300</w:t>
            </w:r>
          </w:p>
        </w:tc>
        <w:tc>
          <w:tcPr>
            <w:tcW w:w="1860" w:type="dxa"/>
            <w:tcBorders>
              <w:top w:val="single" w:sz="4" w:space="0" w:color="auto"/>
              <w:left w:val="single" w:sz="4" w:space="0" w:color="auto"/>
              <w:bottom w:val="single" w:sz="4" w:space="0" w:color="auto"/>
              <w:right w:val="single" w:sz="4" w:space="0" w:color="auto"/>
            </w:tcBorders>
            <w:hideMark/>
          </w:tcPr>
          <w:p w:rsidR="00CB676D" w:rsidRDefault="00CB676D" w:rsidP="00392445">
            <w:pPr>
              <w:autoSpaceDE w:val="0"/>
              <w:autoSpaceDN w:val="0"/>
              <w:adjustRightInd w:val="0"/>
              <w:rPr>
                <w:color w:val="000000"/>
              </w:rPr>
            </w:pPr>
            <w:r>
              <w:rPr>
                <w:color w:val="000000"/>
              </w:rPr>
              <w:t>0.02646</w:t>
            </w:r>
          </w:p>
        </w:tc>
        <w:tc>
          <w:tcPr>
            <w:tcW w:w="1866" w:type="dxa"/>
            <w:tcBorders>
              <w:top w:val="single" w:sz="4" w:space="0" w:color="auto"/>
              <w:left w:val="single" w:sz="4" w:space="0" w:color="auto"/>
              <w:bottom w:val="single" w:sz="4" w:space="0" w:color="auto"/>
              <w:right w:val="single" w:sz="4" w:space="0" w:color="auto"/>
            </w:tcBorders>
            <w:hideMark/>
          </w:tcPr>
          <w:p w:rsidR="00CB676D" w:rsidRDefault="00CB676D" w:rsidP="00392445">
            <w:pPr>
              <w:autoSpaceDE w:val="0"/>
              <w:autoSpaceDN w:val="0"/>
              <w:adjustRightInd w:val="0"/>
              <w:rPr>
                <w:color w:val="000000"/>
              </w:rPr>
            </w:pPr>
            <w:r>
              <w:rPr>
                <w:color w:val="000000"/>
              </w:rPr>
              <w:t>64.81%</w:t>
            </w:r>
          </w:p>
        </w:tc>
        <w:tc>
          <w:tcPr>
            <w:tcW w:w="1854" w:type="dxa"/>
            <w:tcBorders>
              <w:top w:val="single" w:sz="4" w:space="0" w:color="auto"/>
              <w:left w:val="single" w:sz="4" w:space="0" w:color="auto"/>
              <w:bottom w:val="single" w:sz="4" w:space="0" w:color="auto"/>
              <w:right w:val="single" w:sz="4" w:space="0" w:color="auto"/>
            </w:tcBorders>
            <w:hideMark/>
          </w:tcPr>
          <w:p w:rsidR="00CB676D" w:rsidRDefault="00CB676D" w:rsidP="00392445">
            <w:pPr>
              <w:autoSpaceDE w:val="0"/>
              <w:autoSpaceDN w:val="0"/>
              <w:adjustRightInd w:val="0"/>
              <w:rPr>
                <w:color w:val="000000"/>
              </w:rPr>
            </w:pPr>
            <w:r>
              <w:rPr>
                <w:color w:val="000000"/>
              </w:rPr>
              <w:t>75.19%</w:t>
            </w:r>
          </w:p>
        </w:tc>
      </w:tr>
    </w:tbl>
    <w:p w:rsidR="00CB676D" w:rsidRDefault="00CB676D" w:rsidP="00CB676D">
      <w:pPr>
        <w:pStyle w:val="SP-SglSpPara"/>
        <w:ind w:left="360" w:firstLine="0"/>
        <w:jc w:val="left"/>
        <w:rPr>
          <w:sz w:val="24"/>
          <w:szCs w:val="24"/>
        </w:rPr>
      </w:pPr>
    </w:p>
    <w:p w:rsidR="00CB676D" w:rsidRDefault="00CB676D" w:rsidP="00CB676D">
      <w:r w:rsidRPr="00DC5A03">
        <w:t>BJS will also aim to test whether certain types of criminal cases (e.g., person vs. property) are more likely to result in reversals or whether the percent of reversed cases varies by whether the appeal resulted from a sentence or conviction. The minimum detectable effects for the person vs. property reversal analysis, assuming an overall responding sample size of 4,860 cases, alpha =.05, a desired 80% power, a person v/s property v/s other distribution of 46%, 24% and 30% (Time on Appeal, Roger Hanson (1996). National Center for State Courts: Williamsburg, VA), and an underlying base reversal rate of 50% for person cases (n = 2,236 or 46% of 4,860) is +-5.1%</w:t>
      </w:r>
      <w:r>
        <w:t>. Hence, t</w:t>
      </w:r>
      <w:r w:rsidRPr="00DC5A03">
        <w:t>he reversal rate for property cases (n = 1,166 or 24% of 4,860) would have to be greater than or equal to 55.1%, or less than or equal to 44.9%</w:t>
      </w:r>
      <w:r>
        <w:t xml:space="preserve"> for there to be a statistically detectable difference between the reversal rates for person and property cases</w:t>
      </w:r>
      <w:r w:rsidRPr="00DC5A03">
        <w:t>.</w:t>
      </w:r>
    </w:p>
    <w:p w:rsidR="00CB676D" w:rsidRPr="001874B7" w:rsidRDefault="00CB676D" w:rsidP="00CB676D"/>
    <w:p w:rsidR="00CB676D" w:rsidRPr="00DC5A03" w:rsidRDefault="00CB676D" w:rsidP="00CB676D">
      <w:r w:rsidRPr="00DC5A03">
        <w:t xml:space="preserve">The criminal appeals study proposes to use a stratified, single stage probability sample of appeals within all 91 intermediate appellate courts (IACs) and all 52 </w:t>
      </w:r>
      <w:proofErr w:type="spellStart"/>
      <w:r w:rsidRPr="00DC5A03">
        <w:t>courts</w:t>
      </w:r>
      <w:proofErr w:type="spellEnd"/>
      <w:r w:rsidRPr="00DC5A03">
        <w:t xml:space="preserve"> of last resort (COLRs), yielding a total responding sample size of 4,860 cases (3,060 cases within the IACs, 1,800 cases within the COLRs). Given this sample design, the usual design effects </w:t>
      </w:r>
      <w:r>
        <w:t xml:space="preserve">due to clustering do not apply; </w:t>
      </w:r>
      <w:r w:rsidRPr="00DC5A03">
        <w:t>however</w:t>
      </w:r>
      <w:r>
        <w:t>,</w:t>
      </w:r>
      <w:r w:rsidRPr="00DC5A03">
        <w:t xml:space="preserve"> a differential weighting effect does apply given the relative oversampling of COLR cases (which would be 1,353 cases under strictly proportional allocation) and under</w:t>
      </w:r>
      <w:r>
        <w:t>-</w:t>
      </w:r>
      <w:r w:rsidRPr="00DC5A03">
        <w:t>sampling of IAC cases (which in turn would be 3,507 cases under strictly proportional allocation). We estimate this differential weighting effect to be approximately 1.06, which implies an overall effective sample size of approximately 4,590 (i.e., 4,860 / 1.058).</w:t>
      </w:r>
    </w:p>
    <w:p w:rsidR="00CB676D" w:rsidRDefault="00CB676D" w:rsidP="00CB676D">
      <w:pPr>
        <w:pStyle w:val="SP-SglSpPara"/>
        <w:ind w:firstLine="0"/>
        <w:jc w:val="left"/>
        <w:rPr>
          <w:sz w:val="24"/>
          <w:szCs w:val="24"/>
        </w:rPr>
      </w:pPr>
      <w:r w:rsidRPr="00DC5A03">
        <w:rPr>
          <w:sz w:val="24"/>
          <w:szCs w:val="24"/>
        </w:rPr>
        <w:t>Note that within the four major domains listed above, each sample is an equal probability sample, and thus no differential weighting effect (and therefore no design effect) applies</w:t>
      </w:r>
    </w:p>
    <w:p w:rsidR="00CB676D" w:rsidRPr="009A2E2E" w:rsidRDefault="00CB676D" w:rsidP="00CB676D">
      <w:pPr>
        <w:pStyle w:val="SP-SglSpPara"/>
        <w:jc w:val="left"/>
        <w:rPr>
          <w:sz w:val="24"/>
          <w:szCs w:val="24"/>
        </w:rPr>
      </w:pPr>
    </w:p>
    <w:p w:rsidR="00CB676D" w:rsidRDefault="00CB676D" w:rsidP="00CB676D">
      <w:pPr>
        <w:pStyle w:val="SP-SglSpPara"/>
        <w:ind w:firstLine="0"/>
        <w:jc w:val="left"/>
        <w:rPr>
          <w:sz w:val="24"/>
          <w:szCs w:val="24"/>
        </w:rPr>
      </w:pPr>
      <w:r>
        <w:rPr>
          <w:sz w:val="24"/>
          <w:szCs w:val="24"/>
        </w:rPr>
        <w:t xml:space="preserve">It is anticipated that </w:t>
      </w:r>
      <w:r w:rsidRPr="009A2E2E">
        <w:rPr>
          <w:sz w:val="24"/>
          <w:szCs w:val="24"/>
        </w:rPr>
        <w:t xml:space="preserve">95% or </w:t>
      </w:r>
      <w:r>
        <w:rPr>
          <w:sz w:val="24"/>
          <w:szCs w:val="24"/>
        </w:rPr>
        <w:t xml:space="preserve">more of the nation’s appellate courts will participate in the SSCCA project. A national level data collection effort of criminal appeals data, however should anticipate some appellate courts refusing to participate because of time and cost constraints. </w:t>
      </w:r>
      <w:r w:rsidRPr="009A2E2E">
        <w:rPr>
          <w:sz w:val="24"/>
          <w:szCs w:val="24"/>
        </w:rPr>
        <w:t>The required sample size of 4,860</w:t>
      </w:r>
      <w:r>
        <w:rPr>
          <w:sz w:val="24"/>
          <w:szCs w:val="24"/>
        </w:rPr>
        <w:t>, therefore,</w:t>
      </w:r>
      <w:r w:rsidRPr="009A2E2E">
        <w:rPr>
          <w:sz w:val="24"/>
          <w:szCs w:val="24"/>
        </w:rPr>
        <w:t xml:space="preserve"> will be increased to 5,115 to compensate for this expected non</w:t>
      </w:r>
      <w:r>
        <w:rPr>
          <w:sz w:val="24"/>
          <w:szCs w:val="24"/>
        </w:rPr>
        <w:t>-</w:t>
      </w:r>
      <w:r w:rsidRPr="009A2E2E">
        <w:rPr>
          <w:sz w:val="24"/>
          <w:szCs w:val="24"/>
        </w:rPr>
        <w:t>response.</w:t>
      </w:r>
    </w:p>
    <w:p w:rsidR="00CB676D" w:rsidRPr="009A2E2E" w:rsidRDefault="00CB676D" w:rsidP="00CB676D">
      <w:pPr>
        <w:pStyle w:val="SP-SglSpPara"/>
        <w:ind w:firstLine="0"/>
        <w:jc w:val="left"/>
        <w:rPr>
          <w:sz w:val="24"/>
          <w:szCs w:val="24"/>
        </w:rPr>
      </w:pPr>
    </w:p>
    <w:p w:rsidR="00CB676D" w:rsidRDefault="00CB676D" w:rsidP="00CB676D">
      <w:pPr>
        <w:pStyle w:val="SP-SglSpPara"/>
        <w:ind w:firstLine="0"/>
        <w:jc w:val="left"/>
        <w:rPr>
          <w:sz w:val="24"/>
          <w:szCs w:val="24"/>
        </w:rPr>
      </w:pPr>
      <w:r w:rsidRPr="009A2E2E">
        <w:rPr>
          <w:sz w:val="24"/>
          <w:szCs w:val="24"/>
        </w:rPr>
        <w:t>Since the 2010 SSCCA estimates will be based on data obtained from a probability sample, each sample case requires the assignment of a weight in order to provide unbiased estimates with measurable precision. The overall weight for each case will be calculated as the product of a base weight, reflecting the overall probability of selection, a non</w:t>
      </w:r>
      <w:r>
        <w:rPr>
          <w:sz w:val="24"/>
          <w:szCs w:val="24"/>
        </w:rPr>
        <w:t>-</w:t>
      </w:r>
      <w:r w:rsidRPr="009A2E2E">
        <w:rPr>
          <w:sz w:val="24"/>
          <w:szCs w:val="24"/>
        </w:rPr>
        <w:t>response adjustment factor to compensate for any missing cases (due mostly or entirely to courts that cannot or do not participate), and a post</w:t>
      </w:r>
      <w:r>
        <w:rPr>
          <w:sz w:val="24"/>
          <w:szCs w:val="24"/>
        </w:rPr>
        <w:t>-</w:t>
      </w:r>
      <w:r w:rsidRPr="009A2E2E">
        <w:rPr>
          <w:sz w:val="24"/>
          <w:szCs w:val="24"/>
        </w:rPr>
        <w:t xml:space="preserve">stratification or raking factor to match sums of weights with known </w:t>
      </w:r>
      <w:r w:rsidRPr="009A2E2E">
        <w:rPr>
          <w:sz w:val="24"/>
          <w:szCs w:val="24"/>
        </w:rPr>
        <w:lastRenderedPageBreak/>
        <w:t>frame or population totals.  The base weight of each case will be the reciprocal of its probability of selection, which may vary across cases due to the oversampling of death penalty cases and cases in both kinds of courts (</w:t>
      </w:r>
      <w:r>
        <w:rPr>
          <w:sz w:val="24"/>
          <w:szCs w:val="24"/>
        </w:rPr>
        <w:t>courts of last resort and intermediate appellate courts</w:t>
      </w:r>
      <w:r w:rsidRPr="009A2E2E">
        <w:rPr>
          <w:sz w:val="24"/>
          <w:szCs w:val="24"/>
        </w:rPr>
        <w:t xml:space="preserve">). </w:t>
      </w:r>
    </w:p>
    <w:p w:rsidR="00CB676D" w:rsidRDefault="00CB676D" w:rsidP="00CB676D">
      <w:pPr>
        <w:pStyle w:val="SP-SglSpPara"/>
        <w:ind w:firstLine="0"/>
        <w:jc w:val="left"/>
        <w:rPr>
          <w:sz w:val="24"/>
          <w:szCs w:val="24"/>
        </w:rPr>
      </w:pPr>
    </w:p>
    <w:p w:rsidR="00CB676D" w:rsidRDefault="00CB676D" w:rsidP="00CB676D">
      <w:pPr>
        <w:pStyle w:val="SP-SglSpPara"/>
        <w:ind w:firstLine="0"/>
        <w:jc w:val="left"/>
        <w:rPr>
          <w:sz w:val="24"/>
          <w:szCs w:val="24"/>
        </w:rPr>
      </w:pPr>
      <w:r w:rsidRPr="009A2E2E">
        <w:rPr>
          <w:sz w:val="24"/>
          <w:szCs w:val="24"/>
        </w:rPr>
        <w:t>A non</w:t>
      </w:r>
      <w:r>
        <w:rPr>
          <w:sz w:val="24"/>
          <w:szCs w:val="24"/>
        </w:rPr>
        <w:t>-</w:t>
      </w:r>
      <w:r w:rsidRPr="009A2E2E">
        <w:rPr>
          <w:sz w:val="24"/>
          <w:szCs w:val="24"/>
        </w:rPr>
        <w:t>response adjustment factor will be calculated at the case level as the ratio of the sum of weights for all sampled cases to the sum of weights for all responding cases. A non</w:t>
      </w:r>
      <w:r>
        <w:rPr>
          <w:sz w:val="24"/>
          <w:szCs w:val="24"/>
        </w:rPr>
        <w:t>-</w:t>
      </w:r>
      <w:r w:rsidRPr="009A2E2E">
        <w:rPr>
          <w:sz w:val="24"/>
          <w:szCs w:val="24"/>
        </w:rPr>
        <w:t>response adjusted weight will be calculated as the product of the base weight and the non</w:t>
      </w:r>
      <w:r>
        <w:rPr>
          <w:sz w:val="24"/>
          <w:szCs w:val="24"/>
        </w:rPr>
        <w:t>-</w:t>
      </w:r>
      <w:r w:rsidRPr="009A2E2E">
        <w:rPr>
          <w:sz w:val="24"/>
          <w:szCs w:val="24"/>
        </w:rPr>
        <w:t>response adjustment factor for each case. A post</w:t>
      </w:r>
      <w:r>
        <w:rPr>
          <w:sz w:val="24"/>
          <w:szCs w:val="24"/>
        </w:rPr>
        <w:t>-</w:t>
      </w:r>
      <w:r w:rsidRPr="009A2E2E">
        <w:rPr>
          <w:sz w:val="24"/>
          <w:szCs w:val="24"/>
        </w:rPr>
        <w:t>stratification or raking factor will be calculated for each case as the ratio of frame or population totals to the sum of non</w:t>
      </w:r>
      <w:r>
        <w:rPr>
          <w:sz w:val="24"/>
          <w:szCs w:val="24"/>
        </w:rPr>
        <w:t>-</w:t>
      </w:r>
      <w:r w:rsidRPr="009A2E2E">
        <w:rPr>
          <w:sz w:val="24"/>
          <w:szCs w:val="24"/>
        </w:rPr>
        <w:t>response adjusted weights, and a post stratified or raked weight will be calculated for each case as the product of the post</w:t>
      </w:r>
      <w:r>
        <w:rPr>
          <w:sz w:val="24"/>
          <w:szCs w:val="24"/>
        </w:rPr>
        <w:t>-</w:t>
      </w:r>
      <w:r w:rsidRPr="009A2E2E">
        <w:rPr>
          <w:sz w:val="24"/>
          <w:szCs w:val="24"/>
        </w:rPr>
        <w:t>stratification or raking factor and the non</w:t>
      </w:r>
      <w:r>
        <w:rPr>
          <w:sz w:val="24"/>
          <w:szCs w:val="24"/>
        </w:rPr>
        <w:t>-</w:t>
      </w:r>
      <w:r w:rsidRPr="009A2E2E">
        <w:rPr>
          <w:sz w:val="24"/>
          <w:szCs w:val="24"/>
        </w:rPr>
        <w:t>response adjusted weight. Weights and factors will be reviewed at each stage of adjustment to control the additional variability introduced through assigning weights.</w:t>
      </w:r>
      <w:r w:rsidRPr="00826088">
        <w:rPr>
          <w:sz w:val="24"/>
          <w:szCs w:val="24"/>
        </w:rPr>
        <w:t xml:space="preserve"> </w:t>
      </w:r>
    </w:p>
    <w:p w:rsidR="00CB676D" w:rsidRDefault="00CB676D" w:rsidP="00CB676D">
      <w:pPr>
        <w:pStyle w:val="SP-SglSpPara"/>
        <w:ind w:firstLine="0"/>
        <w:jc w:val="left"/>
        <w:rPr>
          <w:sz w:val="24"/>
          <w:szCs w:val="24"/>
        </w:rPr>
      </w:pPr>
    </w:p>
    <w:p w:rsidR="00CB676D" w:rsidRDefault="00CB676D" w:rsidP="00CB676D">
      <w:pPr>
        <w:pStyle w:val="SP-SglSpPara"/>
        <w:ind w:firstLine="0"/>
        <w:jc w:val="left"/>
        <w:rPr>
          <w:sz w:val="24"/>
          <w:szCs w:val="24"/>
        </w:rPr>
      </w:pPr>
      <w:r>
        <w:rPr>
          <w:sz w:val="24"/>
          <w:szCs w:val="24"/>
        </w:rPr>
        <w:t>W</w:t>
      </w:r>
      <w:r w:rsidRPr="00DC5A03">
        <w:rPr>
          <w:sz w:val="24"/>
          <w:szCs w:val="24"/>
        </w:rPr>
        <w:t>e expect very little non</w:t>
      </w:r>
      <w:r>
        <w:rPr>
          <w:sz w:val="24"/>
          <w:szCs w:val="24"/>
        </w:rPr>
        <w:t>-</w:t>
      </w:r>
      <w:r w:rsidRPr="00DC5A03">
        <w:rPr>
          <w:sz w:val="24"/>
          <w:szCs w:val="24"/>
        </w:rPr>
        <w:t>response (due mostly or entirely to courts that cannot or do not participate) given the National Center for State Courts’ (NCSC) excellent working relationship with the state courts. Nonetheless, in such instances an attempt should be made to identify other, similar courts from which additional cases can be selected, or within which non</w:t>
      </w:r>
      <w:r>
        <w:rPr>
          <w:sz w:val="24"/>
          <w:szCs w:val="24"/>
        </w:rPr>
        <w:t>-</w:t>
      </w:r>
      <w:r w:rsidRPr="00DC5A03">
        <w:rPr>
          <w:sz w:val="24"/>
          <w:szCs w:val="24"/>
        </w:rPr>
        <w:t>response adjustments can be made to existing sampled cases in order to compensate for the non</w:t>
      </w:r>
      <w:r>
        <w:rPr>
          <w:sz w:val="24"/>
          <w:szCs w:val="24"/>
        </w:rPr>
        <w:t>-</w:t>
      </w:r>
      <w:r w:rsidRPr="00DC5A03">
        <w:rPr>
          <w:sz w:val="24"/>
          <w:szCs w:val="24"/>
        </w:rPr>
        <w:t>responding court(s). Similar courts can be grouped into non</w:t>
      </w:r>
      <w:r>
        <w:rPr>
          <w:sz w:val="24"/>
          <w:szCs w:val="24"/>
        </w:rPr>
        <w:t>-</w:t>
      </w:r>
      <w:r w:rsidRPr="00DC5A03">
        <w:rPr>
          <w:sz w:val="24"/>
          <w:szCs w:val="24"/>
        </w:rPr>
        <w:t>response adjustment cells or otherwise identified by type of court (COLR, IAC), state or other criteria (e.g., states with no IAC) which affect the type and volume of appeals cases.</w:t>
      </w:r>
    </w:p>
    <w:p w:rsidR="00CB676D" w:rsidRPr="009A2E2E" w:rsidRDefault="00CB676D" w:rsidP="00CB676D">
      <w:pPr>
        <w:pStyle w:val="SP-SglSpPara"/>
        <w:ind w:firstLine="0"/>
        <w:jc w:val="left"/>
        <w:rPr>
          <w:sz w:val="24"/>
          <w:szCs w:val="24"/>
        </w:rPr>
      </w:pPr>
    </w:p>
    <w:p w:rsidR="00CB676D" w:rsidRDefault="00CB676D" w:rsidP="00CB676D">
      <w:pPr>
        <w:pStyle w:val="SP-SglSpPara"/>
        <w:ind w:firstLine="0"/>
        <w:jc w:val="left"/>
        <w:rPr>
          <w:sz w:val="24"/>
          <w:szCs w:val="24"/>
        </w:rPr>
      </w:pPr>
      <w:r w:rsidRPr="009A2E2E">
        <w:rPr>
          <w:sz w:val="24"/>
          <w:szCs w:val="24"/>
        </w:rPr>
        <w:t xml:space="preserve">The proposed design </w:t>
      </w:r>
      <w:r>
        <w:rPr>
          <w:sz w:val="24"/>
          <w:szCs w:val="24"/>
        </w:rPr>
        <w:t>will be</w:t>
      </w:r>
      <w:r w:rsidRPr="009A2E2E">
        <w:rPr>
          <w:sz w:val="24"/>
          <w:szCs w:val="24"/>
        </w:rPr>
        <w:t xml:space="preserve"> a single stage probability sample of 5,115 (4,860 responding) cases. </w:t>
      </w:r>
      <w:r>
        <w:rPr>
          <w:sz w:val="24"/>
          <w:szCs w:val="24"/>
        </w:rPr>
        <w:t xml:space="preserve">It is </w:t>
      </w:r>
      <w:r w:rsidRPr="009A2E2E">
        <w:rPr>
          <w:sz w:val="24"/>
          <w:szCs w:val="24"/>
        </w:rPr>
        <w:t>anticipate</w:t>
      </w:r>
      <w:r>
        <w:rPr>
          <w:sz w:val="24"/>
          <w:szCs w:val="24"/>
        </w:rPr>
        <w:t xml:space="preserve">d that </w:t>
      </w:r>
      <w:r w:rsidRPr="009A2E2E">
        <w:rPr>
          <w:sz w:val="24"/>
          <w:szCs w:val="24"/>
        </w:rPr>
        <w:t>jackknife replication method</w:t>
      </w:r>
      <w:r>
        <w:rPr>
          <w:sz w:val="24"/>
          <w:szCs w:val="24"/>
        </w:rPr>
        <w:t>s</w:t>
      </w:r>
      <w:r w:rsidRPr="009A2E2E">
        <w:rPr>
          <w:sz w:val="24"/>
          <w:szCs w:val="24"/>
        </w:rPr>
        <w:t xml:space="preserve"> for variance estimation</w:t>
      </w:r>
      <w:r>
        <w:rPr>
          <w:sz w:val="24"/>
          <w:szCs w:val="24"/>
        </w:rPr>
        <w:t xml:space="preserve"> will be utilized</w:t>
      </w:r>
      <w:r w:rsidRPr="009A2E2E">
        <w:rPr>
          <w:sz w:val="24"/>
          <w:szCs w:val="24"/>
        </w:rPr>
        <w:t>, and a set of jackknife replicate weights will be calculated along with each full sample weight and adjustment in order to estimate variances, standard errors and confidence intervals.</w:t>
      </w:r>
    </w:p>
    <w:p w:rsidR="00CB676D" w:rsidRPr="002A1A81" w:rsidRDefault="00CB676D" w:rsidP="00CB676D">
      <w:pPr>
        <w:pStyle w:val="SP-SglSpPara"/>
        <w:ind w:firstLine="0"/>
        <w:jc w:val="left"/>
        <w:rPr>
          <w:sz w:val="24"/>
          <w:szCs w:val="24"/>
        </w:rPr>
      </w:pPr>
      <w:r>
        <w:rPr>
          <w:sz w:val="23"/>
          <w:szCs w:val="23"/>
        </w:rPr>
        <w:t xml:space="preserve"> </w:t>
      </w:r>
    </w:p>
    <w:p w:rsidR="00CB676D" w:rsidRPr="00BC091B" w:rsidRDefault="00CB676D" w:rsidP="00CB676D">
      <w:pPr>
        <w:pStyle w:val="ListParagraph"/>
        <w:numPr>
          <w:ilvl w:val="0"/>
          <w:numId w:val="2"/>
        </w:numPr>
        <w:ind w:left="360"/>
        <w:rPr>
          <w:u w:val="single"/>
        </w:rPr>
      </w:pPr>
      <w:r w:rsidRPr="00BC091B">
        <w:rPr>
          <w:u w:val="single"/>
        </w:rPr>
        <w:t>Procedures for Collect</w:t>
      </w:r>
      <w:r>
        <w:rPr>
          <w:u w:val="single"/>
        </w:rPr>
        <w:t>ing</w:t>
      </w:r>
      <w:r w:rsidRPr="00BC091B">
        <w:rPr>
          <w:u w:val="single"/>
        </w:rPr>
        <w:t xml:space="preserve"> Information</w:t>
      </w:r>
    </w:p>
    <w:p w:rsidR="00CB676D" w:rsidRDefault="00CB676D" w:rsidP="00CB676D">
      <w:pPr>
        <w:pStyle w:val="ListParagraph"/>
        <w:ind w:left="360"/>
        <w:rPr>
          <w:u w:val="single"/>
        </w:rPr>
      </w:pPr>
    </w:p>
    <w:p w:rsidR="00CB676D" w:rsidRPr="001541A1" w:rsidRDefault="00CB676D" w:rsidP="00CB676D">
      <w:pPr>
        <w:autoSpaceDE w:val="0"/>
        <w:autoSpaceDN w:val="0"/>
        <w:adjustRightInd w:val="0"/>
      </w:pPr>
      <w:r w:rsidRPr="001541A1">
        <w:t xml:space="preserve">As stated in previous sections, the appellate court staff will not be asked to code the sampled appeals; rather, staff from the NCSC will code the data elements and case documents used to gather the information required for this project. Even though NCSC will collect these data essentially in-house, there are several steps that need to be undertaken to ensure the data collected </w:t>
      </w:r>
      <w:r>
        <w:t xml:space="preserve">are accurate, </w:t>
      </w:r>
      <w:r w:rsidRPr="001541A1">
        <w:t>valid</w:t>
      </w:r>
      <w:r>
        <w:t>,</w:t>
      </w:r>
      <w:r w:rsidRPr="001541A1">
        <w:t xml:space="preserve"> and submitted in a timely matter. The first step will involve identifying contacts within the appellate courts to secure participation in the project. To accomplish this task, the project manager will correspond with the appellate courts (both intermediate appellate courts and courts of last resort), describing the purpose of the project and requesting that a member of the court staff be made available to act as the NCSC’s liaison to the project. Once a court liaison has been identified, NCSC project staff will request a list of appeals that meet the characteristics of a criminal appeal as defined by the project (e.g., a direct appeal from a criminal case in a trial court to the intermediate appellate court, the court of last resort, or both, disposed in 2010).</w:t>
      </w:r>
    </w:p>
    <w:p w:rsidR="00CB676D" w:rsidRPr="001541A1" w:rsidRDefault="00CB676D" w:rsidP="00CB676D">
      <w:pPr>
        <w:pStyle w:val="Default"/>
        <w:rPr>
          <w:rFonts w:ascii="Times New Roman" w:hAnsi="Times New Roman" w:cs="Times New Roman"/>
          <w:color w:val="auto"/>
        </w:rPr>
      </w:pPr>
    </w:p>
    <w:p w:rsidR="00CB676D" w:rsidRPr="001541A1" w:rsidRDefault="00CB676D" w:rsidP="00CB676D">
      <w:pPr>
        <w:pStyle w:val="Default"/>
        <w:rPr>
          <w:rFonts w:ascii="Times New Roman" w:hAnsi="Times New Roman" w:cs="Times New Roman"/>
        </w:rPr>
      </w:pPr>
      <w:r w:rsidRPr="001541A1">
        <w:rPr>
          <w:rFonts w:ascii="Times New Roman" w:hAnsi="Times New Roman" w:cs="Times New Roman"/>
        </w:rPr>
        <w:t xml:space="preserve">Once the sample lists are completed and a probability sample of </w:t>
      </w:r>
      <w:r>
        <w:rPr>
          <w:rFonts w:ascii="Times New Roman" w:hAnsi="Times New Roman" w:cs="Times New Roman"/>
        </w:rPr>
        <w:t xml:space="preserve">approximately </w:t>
      </w:r>
      <w:r w:rsidRPr="001541A1">
        <w:rPr>
          <w:rFonts w:ascii="Times New Roman" w:hAnsi="Times New Roman" w:cs="Times New Roman"/>
        </w:rPr>
        <w:t xml:space="preserve">5,000 appeals drawn from that sample, NCSC project staff will code the data elements and case documents </w:t>
      </w:r>
      <w:r w:rsidRPr="001541A1">
        <w:rPr>
          <w:rFonts w:ascii="Times New Roman" w:hAnsi="Times New Roman" w:cs="Times New Roman"/>
        </w:rPr>
        <w:lastRenderedPageBreak/>
        <w:t xml:space="preserve">used to gather the information required for this project. As previously described, NCSC staff will gather data from several major sources including the </w:t>
      </w:r>
      <w:r>
        <w:rPr>
          <w:rFonts w:ascii="Times New Roman" w:hAnsi="Times New Roman" w:cs="Times New Roman"/>
        </w:rPr>
        <w:t xml:space="preserve">legal </w:t>
      </w:r>
      <w:r w:rsidRPr="001541A1">
        <w:rPr>
          <w:rFonts w:ascii="Times New Roman" w:hAnsi="Times New Roman" w:cs="Times New Roman"/>
        </w:rPr>
        <w:t xml:space="preserve">briefs submitted by the parties, the court docketing information, and the opinions produced by the courts. When possible this information will be accessed online; however, for courts with none or limited online access, NCSC will request that the proper documentation be mailed for in-house coding or will travel onsite to collect the data. </w:t>
      </w:r>
    </w:p>
    <w:p w:rsidR="00CB676D" w:rsidRPr="001541A1" w:rsidRDefault="00CB676D" w:rsidP="00CB676D">
      <w:pPr>
        <w:pStyle w:val="Default"/>
        <w:rPr>
          <w:rFonts w:ascii="Times New Roman" w:hAnsi="Times New Roman" w:cs="Times New Roman"/>
          <w:color w:val="auto"/>
        </w:rPr>
      </w:pPr>
    </w:p>
    <w:p w:rsidR="00CB676D" w:rsidRPr="001541A1" w:rsidRDefault="00CB676D" w:rsidP="00CB676D">
      <w:pPr>
        <w:pStyle w:val="Default"/>
        <w:rPr>
          <w:rFonts w:ascii="Times New Roman" w:hAnsi="Times New Roman" w:cs="Times New Roman"/>
        </w:rPr>
      </w:pPr>
      <w:r w:rsidRPr="001541A1">
        <w:rPr>
          <w:rFonts w:ascii="Times New Roman" w:hAnsi="Times New Roman" w:cs="Times New Roman"/>
        </w:rPr>
        <w:t>Having project staff engaged in the tasks of collecting and coding the data rather than hiring contract labor offers several advantages. Specifically, it reduces the amount of time needed to recruit and train on-site contractors; reduces the amount of time for data collection (fulltime NCSC employees can devote more time and attention to data collection than most part-time, temporary workers); improves the ability of NCSC project staff to oversee the quality and timeliness of data collection; and most importantly, enhances the accuracy, consistency, and intra-reliability of the coding.</w:t>
      </w:r>
    </w:p>
    <w:p w:rsidR="00CB676D" w:rsidRPr="001541A1" w:rsidRDefault="00CB676D" w:rsidP="00CB676D">
      <w:pPr>
        <w:pStyle w:val="Default"/>
        <w:rPr>
          <w:rFonts w:ascii="Times New Roman" w:hAnsi="Times New Roman" w:cs="Times New Roman"/>
        </w:rPr>
      </w:pPr>
    </w:p>
    <w:p w:rsidR="00CB676D" w:rsidRPr="001541A1" w:rsidRDefault="00CB676D" w:rsidP="00CB676D">
      <w:pPr>
        <w:pStyle w:val="Default"/>
        <w:rPr>
          <w:rFonts w:ascii="Times New Roman" w:hAnsi="Times New Roman" w:cs="Times New Roman"/>
        </w:rPr>
      </w:pPr>
      <w:r w:rsidRPr="001541A1">
        <w:rPr>
          <w:rFonts w:ascii="Times New Roman" w:hAnsi="Times New Roman" w:cs="Times New Roman"/>
        </w:rPr>
        <w:t>Regardless of whether coding is done in-</w:t>
      </w:r>
      <w:proofErr w:type="gramStart"/>
      <w:r w:rsidRPr="001541A1">
        <w:rPr>
          <w:rFonts w:ascii="Times New Roman" w:hAnsi="Times New Roman" w:cs="Times New Roman"/>
        </w:rPr>
        <w:t>house,</w:t>
      </w:r>
      <w:proofErr w:type="gramEnd"/>
      <w:r w:rsidRPr="001541A1">
        <w:rPr>
          <w:rFonts w:ascii="Times New Roman" w:hAnsi="Times New Roman" w:cs="Times New Roman"/>
        </w:rPr>
        <w:t xml:space="preserve"> all coders will be required to undergo extensive training on the coding process. Coders will be required to pass a coding test after reviewing the coding instructions and will also be required to submit a select number of test cases to the project manager for review prior to being given the opportunity to code appeals on their own. By using </w:t>
      </w:r>
      <w:r>
        <w:rPr>
          <w:rFonts w:ascii="Times New Roman" w:hAnsi="Times New Roman" w:cs="Times New Roman"/>
        </w:rPr>
        <w:t>in-house</w:t>
      </w:r>
      <w:r w:rsidRPr="001541A1">
        <w:rPr>
          <w:rFonts w:ascii="Times New Roman" w:hAnsi="Times New Roman" w:cs="Times New Roman"/>
        </w:rPr>
        <w:t xml:space="preserve"> coders, answers that arise from coding questions can be easily shared to ensure a reliable and consistent coding strategy. In addition, systematic collaboration on coding questions provides immeasurable added value to the data quality.</w:t>
      </w:r>
    </w:p>
    <w:p w:rsidR="00CB676D" w:rsidRPr="001541A1" w:rsidRDefault="00CB676D" w:rsidP="00CB676D">
      <w:pPr>
        <w:autoSpaceDE w:val="0"/>
        <w:autoSpaceDN w:val="0"/>
        <w:adjustRightInd w:val="0"/>
      </w:pPr>
    </w:p>
    <w:p w:rsidR="00CB676D" w:rsidRPr="001541A1" w:rsidRDefault="00CB676D" w:rsidP="00CB676D">
      <w:pPr>
        <w:autoSpaceDE w:val="0"/>
        <w:autoSpaceDN w:val="0"/>
        <w:adjustRightInd w:val="0"/>
        <w:rPr>
          <w:rFonts w:ascii="Calibri" w:hAnsi="Calibri"/>
          <w:color w:val="FF0000"/>
        </w:rPr>
      </w:pPr>
      <w:r w:rsidRPr="001541A1">
        <w:t>As the last step in the collection of appeal-level data, all coding information will be reviewed by a project staff member who did not code the appeal. Following this secondary review, the data will be entered through a data entry screen by another trained staff member. The data entry program will use the web-based software developed by the project team and will incorporate extensive logic checks restricting erroneous data. Once the data have been entered, it will be transferred through the web based software into an SPSS database in which additional cleaning checks will be run to eliminate any remaining errors.</w:t>
      </w:r>
    </w:p>
    <w:p w:rsidR="00CB676D" w:rsidRPr="001541A1" w:rsidRDefault="00CB676D" w:rsidP="00CB676D">
      <w:pPr>
        <w:rPr>
          <w:u w:val="single"/>
        </w:rPr>
      </w:pPr>
    </w:p>
    <w:p w:rsidR="00CB676D" w:rsidRDefault="00CB676D" w:rsidP="00CB676D">
      <w:pPr>
        <w:pStyle w:val="ListParagraph"/>
        <w:numPr>
          <w:ilvl w:val="0"/>
          <w:numId w:val="2"/>
        </w:numPr>
        <w:ind w:left="360"/>
        <w:rPr>
          <w:u w:val="single"/>
        </w:rPr>
      </w:pPr>
      <w:r w:rsidRPr="00BC091B">
        <w:rPr>
          <w:u w:val="single"/>
        </w:rPr>
        <w:t>Methods to Maximize Response Rates</w:t>
      </w:r>
    </w:p>
    <w:p w:rsidR="00CB676D" w:rsidRDefault="00CB676D" w:rsidP="00CB676D">
      <w:pPr>
        <w:rPr>
          <w:u w:val="single"/>
        </w:rPr>
      </w:pPr>
    </w:p>
    <w:p w:rsidR="00CB676D" w:rsidRPr="00571F27" w:rsidRDefault="00CB676D" w:rsidP="00CB676D">
      <w:pPr>
        <w:autoSpaceDE w:val="0"/>
        <w:autoSpaceDN w:val="0"/>
        <w:adjustRightInd w:val="0"/>
      </w:pPr>
      <w:r w:rsidRPr="00571F27">
        <w:t xml:space="preserve">The universe of the nation’s 143 appellate courts are known to the data collection agent (NCSC) from its work on the Court Statistics Project as well as its relationships with various appellate court affiliated organizations including the National Conference of Appellate Court Clerks (NCACC), the Conference of Chief Justices (CCJ), Council of Chief Judges of the State Courts of Appeal (CCJSCA), and the Conference of Appellate Technology Officers (CATO). NCSC staff can take advantage of longstanding relationships with the offices of various court leadership organizations and their staff to further ease data collection. In addition, letters of support offered by the abovementioned organizations will be followed, during the project, by letters from those organizations to their members soliciting their full participation and cooperation. The annual meetings of those organizations as well as the e-newsletters of those organizations will be used to reinforce the importance of this effort to collect state appellate court data. </w:t>
      </w:r>
    </w:p>
    <w:p w:rsidR="00CB676D" w:rsidRPr="005E1A0C" w:rsidRDefault="00CB676D" w:rsidP="00CB676D">
      <w:pPr>
        <w:rPr>
          <w:u w:val="single"/>
        </w:rPr>
      </w:pPr>
    </w:p>
    <w:p w:rsidR="00CB676D" w:rsidRDefault="00CB676D" w:rsidP="00CB676D">
      <w:pPr>
        <w:pStyle w:val="ListParagraph"/>
        <w:numPr>
          <w:ilvl w:val="0"/>
          <w:numId w:val="2"/>
        </w:numPr>
        <w:ind w:left="360"/>
        <w:rPr>
          <w:u w:val="single"/>
        </w:rPr>
      </w:pPr>
      <w:r w:rsidRPr="00BC091B">
        <w:rPr>
          <w:u w:val="single"/>
        </w:rPr>
        <w:t>Testing of Procedures</w:t>
      </w:r>
    </w:p>
    <w:p w:rsidR="00CB676D" w:rsidRDefault="00CB676D" w:rsidP="00CB676D">
      <w:pPr>
        <w:rPr>
          <w:u w:val="single"/>
        </w:rPr>
      </w:pPr>
    </w:p>
    <w:p w:rsidR="00CB676D" w:rsidRDefault="00CB676D" w:rsidP="00CB676D">
      <w:pPr>
        <w:pStyle w:val="Default"/>
        <w:rPr>
          <w:rFonts w:ascii="Times New Roman" w:hAnsi="Times New Roman" w:cs="Times New Roman"/>
        </w:rPr>
      </w:pPr>
      <w:r w:rsidRPr="00AF5CEF">
        <w:rPr>
          <w:rFonts w:ascii="Times New Roman" w:hAnsi="Times New Roman" w:cs="Times New Roman"/>
        </w:rPr>
        <w:t xml:space="preserve">The SSCCA data collection forms were pre-tested prior to data collection. Several respondents completed the data collection forms and provide feedback in terms of clarity and accuracy.  In addition, an advisory board met to consult on the overall substance of information collected and the format in which questions are asked on the data collection form. Appropriate revisions and modifications were made to these data collection forms based on this feedback. </w:t>
      </w:r>
    </w:p>
    <w:p w:rsidR="00CB676D" w:rsidRDefault="00CB676D" w:rsidP="00CB676D">
      <w:pPr>
        <w:pStyle w:val="Default"/>
        <w:rPr>
          <w:rFonts w:ascii="Times New Roman" w:hAnsi="Times New Roman" w:cs="Times New Roman"/>
        </w:rPr>
      </w:pPr>
    </w:p>
    <w:p w:rsidR="00CB676D" w:rsidRDefault="00CB676D" w:rsidP="00CB676D">
      <w:pPr>
        <w:pStyle w:val="Default"/>
        <w:rPr>
          <w:rFonts w:ascii="Times New Roman" w:hAnsi="Times New Roman" w:cs="Times New Roman"/>
        </w:rPr>
      </w:pPr>
      <w:r>
        <w:rPr>
          <w:rFonts w:ascii="Times New Roman" w:hAnsi="Times New Roman" w:cs="Times New Roman"/>
        </w:rPr>
        <w:t xml:space="preserve">One of the major revisions concerned the types of appeal being coded for the SSCCA. </w:t>
      </w:r>
      <w:r w:rsidRPr="00AF5CEF">
        <w:rPr>
          <w:rFonts w:ascii="Times New Roman" w:hAnsi="Times New Roman" w:cs="Times New Roman"/>
        </w:rPr>
        <w:t xml:space="preserve">The results of the pilot test showed that both post-conviction and interlocutory appeals were extremely difficult to code. The coding forms developed for the pilot test proved insufficient to capture the complexity of these cases, and coders found that it took approximately twice as long to code them as compared to direct appeals. Due to this difficulty, the </w:t>
      </w:r>
      <w:r>
        <w:rPr>
          <w:rFonts w:ascii="Times New Roman" w:hAnsi="Times New Roman" w:cs="Times New Roman"/>
        </w:rPr>
        <w:t xml:space="preserve">coding form was changed so that only direct criminal appeals would be coded. </w:t>
      </w:r>
    </w:p>
    <w:p w:rsidR="00CB676D" w:rsidRPr="00AF5CEF" w:rsidRDefault="00CB676D" w:rsidP="00CB676D">
      <w:pPr>
        <w:pStyle w:val="Default"/>
        <w:rPr>
          <w:rFonts w:ascii="Times New Roman" w:hAnsi="Times New Roman" w:cs="Times New Roman"/>
        </w:rPr>
      </w:pPr>
    </w:p>
    <w:p w:rsidR="00CB676D" w:rsidRPr="00AF5CEF" w:rsidRDefault="00CB676D" w:rsidP="00CB676D">
      <w:pPr>
        <w:pStyle w:val="Default"/>
        <w:rPr>
          <w:rFonts w:ascii="Times New Roman" w:hAnsi="Times New Roman" w:cs="Times New Roman"/>
        </w:rPr>
      </w:pPr>
      <w:r w:rsidRPr="00AF5CEF">
        <w:rPr>
          <w:rFonts w:ascii="Times New Roman" w:hAnsi="Times New Roman" w:cs="Times New Roman"/>
        </w:rPr>
        <w:t xml:space="preserve">The </w:t>
      </w:r>
      <w:proofErr w:type="spellStart"/>
      <w:r w:rsidRPr="00AF5CEF">
        <w:rPr>
          <w:rFonts w:ascii="Times New Roman" w:hAnsi="Times New Roman" w:cs="Times New Roman"/>
        </w:rPr>
        <w:t>obtainability</w:t>
      </w:r>
      <w:proofErr w:type="spellEnd"/>
      <w:r w:rsidRPr="00AF5CEF">
        <w:rPr>
          <w:rFonts w:ascii="Times New Roman" w:hAnsi="Times New Roman" w:cs="Times New Roman"/>
        </w:rPr>
        <w:t xml:space="preserve"> of another data variable, whether or not an “Anders” brief was filed, was also tested during the design and development project. An Anders brief is a request filed by a court-appointed attorney to withdraw from the appeal of a criminal case because of his/her belief that the grounds for the appeal are frivolous (named after </w:t>
      </w:r>
      <w:r w:rsidRPr="00AF5CEF">
        <w:rPr>
          <w:rFonts w:ascii="Times New Roman" w:hAnsi="Times New Roman" w:cs="Times New Roman"/>
          <w:i/>
          <w:iCs/>
        </w:rPr>
        <w:t>Anders v. California</w:t>
      </w:r>
      <w:r w:rsidRPr="00AF5CEF">
        <w:rPr>
          <w:rFonts w:ascii="Times New Roman" w:hAnsi="Times New Roman" w:cs="Times New Roman"/>
        </w:rPr>
        <w:t>, 1967). Following the pilot test of the data collection forms it was determined that, while the majority of states have Anders-like briefs, not all of those states identify the brief as such, requiring the coder to determine if the brief that was filed contained the characteristics of an Anders brief. Due to the subjective nature of coding this data element, the data collection forms and instructions were revised to reflect the removal of the Anders brief question.</w:t>
      </w:r>
    </w:p>
    <w:p w:rsidR="00CB676D" w:rsidRPr="00AF5CEF" w:rsidRDefault="00CB676D" w:rsidP="00CB676D">
      <w:pPr>
        <w:pStyle w:val="ListParagraph"/>
        <w:ind w:left="360"/>
        <w:rPr>
          <w:u w:val="single"/>
        </w:rPr>
      </w:pPr>
    </w:p>
    <w:p w:rsidR="00CB676D" w:rsidRPr="00BC091B" w:rsidRDefault="00CB676D" w:rsidP="00CB676D">
      <w:pPr>
        <w:pStyle w:val="ListParagraph"/>
        <w:numPr>
          <w:ilvl w:val="0"/>
          <w:numId w:val="2"/>
        </w:numPr>
        <w:ind w:left="360"/>
        <w:rPr>
          <w:u w:val="single"/>
        </w:rPr>
      </w:pPr>
      <w:r w:rsidRPr="00BC091B">
        <w:rPr>
          <w:u w:val="single"/>
        </w:rPr>
        <w:t>Contacts for Statistical Aspects and Data Collection</w:t>
      </w:r>
    </w:p>
    <w:p w:rsidR="00CB676D" w:rsidRPr="00DA3002" w:rsidRDefault="00CB676D" w:rsidP="00CB676D"/>
    <w:p w:rsidR="00CB676D" w:rsidRDefault="00CB676D" w:rsidP="00CB676D">
      <w:r>
        <w:t xml:space="preserve">The prosecution and adjudications </w:t>
      </w:r>
      <w:proofErr w:type="gramStart"/>
      <w:r>
        <w:t>staff at the Bureau of Justice Statistics, along with staff from the National Center for State Courts, take</w:t>
      </w:r>
      <w:proofErr w:type="gramEnd"/>
      <w:r>
        <w:t xml:space="preserve"> responsibility for the overall design and management of the SSCCA data collection, including the development of the questionnaire spreadsheets and the analysis and publication of the data. </w:t>
      </w:r>
    </w:p>
    <w:p w:rsidR="00CB676D" w:rsidRDefault="00CB676D" w:rsidP="00CB676D"/>
    <w:p w:rsidR="00CB676D" w:rsidRDefault="00CB676D" w:rsidP="00CB676D">
      <w:pPr>
        <w:pStyle w:val="ListParagraph"/>
        <w:numPr>
          <w:ilvl w:val="0"/>
          <w:numId w:val="3"/>
        </w:numPr>
      </w:pPr>
      <w:smartTag w:uri="urn:schemas-microsoft-com:office:smarttags" w:element="stockticker">
        <w:r>
          <w:t>BJS</w:t>
        </w:r>
      </w:smartTag>
      <w:r>
        <w:t xml:space="preserve"> contacts include </w:t>
      </w:r>
    </w:p>
    <w:p w:rsidR="00CB676D" w:rsidRDefault="00CB676D" w:rsidP="00CB676D">
      <w:pPr>
        <w:pStyle w:val="ListParagraph"/>
      </w:pPr>
    </w:p>
    <w:p w:rsidR="00CB676D" w:rsidRDefault="00CB676D" w:rsidP="00CB676D">
      <w:pPr>
        <w:ind w:left="720" w:firstLine="720"/>
      </w:pPr>
      <w:smartTag w:uri="urn:schemas-microsoft-com:office:smarttags" w:element="City">
        <w:smartTag w:uri="urn:schemas-microsoft-com:office:smarttags" w:element="place">
          <w:r>
            <w:t>Duren</w:t>
          </w:r>
        </w:smartTag>
      </w:smartTag>
      <w:r>
        <w:t xml:space="preserve"> Banks, Chief</w:t>
      </w:r>
    </w:p>
    <w:p w:rsidR="00CB676D" w:rsidRDefault="00CB676D" w:rsidP="00CB676D">
      <w:pPr>
        <w:ind w:left="720" w:firstLine="720"/>
      </w:pPr>
      <w:r>
        <w:t>Prosecution and Adjudications Statistics Unit</w:t>
      </w:r>
    </w:p>
    <w:p w:rsidR="00CB676D" w:rsidRDefault="00CB676D" w:rsidP="00CB676D">
      <w:pPr>
        <w:ind w:left="720" w:firstLine="720"/>
      </w:pPr>
      <w:r>
        <w:t>Bureau of Justice Statistics</w:t>
      </w:r>
    </w:p>
    <w:p w:rsidR="00CB676D" w:rsidRDefault="00CB676D" w:rsidP="00CB676D">
      <w:pPr>
        <w:ind w:left="720" w:firstLine="720"/>
      </w:pPr>
      <w:smartTag w:uri="urn:schemas-microsoft-com:office:smarttags" w:element="Street">
        <w:smartTag w:uri="urn:schemas-microsoft-com:office:smarttags" w:element="address">
          <w:r>
            <w:t>810 7</w:t>
          </w:r>
          <w:r w:rsidRPr="00A10F4B">
            <w:rPr>
              <w:vertAlign w:val="superscript"/>
            </w:rPr>
            <w:t>th</w:t>
          </w:r>
          <w:r>
            <w:t xml:space="preserve"> Street, NW</w:t>
          </w:r>
        </w:smartTag>
      </w:smartTag>
    </w:p>
    <w:p w:rsidR="00CB676D" w:rsidRDefault="00CB676D" w:rsidP="00CB676D">
      <w:pPr>
        <w:ind w:left="720" w:firstLine="720"/>
      </w:pP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20531</w:t>
          </w:r>
        </w:smartTag>
      </w:smartTag>
    </w:p>
    <w:p w:rsidR="00CB676D" w:rsidRPr="00340A6D" w:rsidRDefault="00CB676D" w:rsidP="00CB676D">
      <w:pPr>
        <w:ind w:left="720" w:firstLine="720"/>
        <w:rPr>
          <w:rFonts w:ascii="Arial" w:hAnsi="Arial" w:cs="Arial"/>
          <w:sz w:val="20"/>
          <w:szCs w:val="20"/>
        </w:rPr>
      </w:pPr>
      <w:r>
        <w:t xml:space="preserve">(202) </w:t>
      </w:r>
      <w:r w:rsidRPr="00845493">
        <w:t>307 – 0765</w:t>
      </w:r>
    </w:p>
    <w:p w:rsidR="00CB676D" w:rsidRDefault="00CB676D" w:rsidP="00CB676D">
      <w:pPr>
        <w:ind w:left="720" w:firstLine="720"/>
      </w:pPr>
    </w:p>
    <w:p w:rsidR="00CB676D" w:rsidRDefault="00CB676D" w:rsidP="00CB676D">
      <w:pPr>
        <w:ind w:left="720" w:firstLine="720"/>
      </w:pPr>
      <w:r>
        <w:t>Thomas H. Cohen, Statistician</w:t>
      </w:r>
    </w:p>
    <w:p w:rsidR="00CB676D" w:rsidRDefault="00CB676D" w:rsidP="00CB676D">
      <w:pPr>
        <w:ind w:left="720" w:firstLine="720"/>
      </w:pPr>
      <w:r>
        <w:t>Prosecution and Adjudications Statistics Unit</w:t>
      </w:r>
    </w:p>
    <w:p w:rsidR="00CB676D" w:rsidRDefault="00CB676D" w:rsidP="00CB676D">
      <w:pPr>
        <w:ind w:left="720" w:firstLine="720"/>
      </w:pPr>
      <w:r>
        <w:t>Bureau of Justice Statistics</w:t>
      </w:r>
    </w:p>
    <w:p w:rsidR="00CB676D" w:rsidRDefault="00CB676D" w:rsidP="00CB676D">
      <w:pPr>
        <w:ind w:left="720" w:firstLine="720"/>
      </w:pPr>
      <w:smartTag w:uri="urn:schemas-microsoft-com:office:smarttags" w:element="Street">
        <w:smartTag w:uri="urn:schemas-microsoft-com:office:smarttags" w:element="address">
          <w:r>
            <w:t>810 7</w:t>
          </w:r>
          <w:r w:rsidRPr="00A10F4B">
            <w:rPr>
              <w:vertAlign w:val="superscript"/>
            </w:rPr>
            <w:t>th</w:t>
          </w:r>
          <w:r>
            <w:t xml:space="preserve"> Street, NW</w:t>
          </w:r>
        </w:smartTag>
      </w:smartTag>
    </w:p>
    <w:p w:rsidR="00CB676D" w:rsidRDefault="00CB676D" w:rsidP="00CB676D">
      <w:pPr>
        <w:ind w:left="720" w:firstLine="720"/>
      </w:pP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20531</w:t>
          </w:r>
        </w:smartTag>
      </w:smartTag>
    </w:p>
    <w:p w:rsidR="00CB676D" w:rsidRDefault="00CB676D" w:rsidP="00CB676D">
      <w:pPr>
        <w:ind w:left="720" w:firstLine="720"/>
      </w:pPr>
      <w:r>
        <w:t>(202) 514 – 8344</w:t>
      </w:r>
    </w:p>
    <w:p w:rsidR="00CB676D" w:rsidRDefault="00CB676D" w:rsidP="00CB676D"/>
    <w:p w:rsidR="00CB676D" w:rsidRDefault="00CB676D" w:rsidP="00CB676D">
      <w:pPr>
        <w:pStyle w:val="ListParagraph"/>
        <w:numPr>
          <w:ilvl w:val="0"/>
          <w:numId w:val="3"/>
        </w:numPr>
      </w:pPr>
      <w:r>
        <w:t>Persons consulted on statistical methodology:</w:t>
      </w:r>
    </w:p>
    <w:p w:rsidR="00CB676D" w:rsidRDefault="00CB676D" w:rsidP="00CB676D"/>
    <w:p w:rsidR="00CB676D" w:rsidRPr="00CC5212" w:rsidRDefault="00CB676D" w:rsidP="00CB676D">
      <w:pPr>
        <w:ind w:left="720" w:firstLine="720"/>
      </w:pPr>
      <w:r>
        <w:t>James Green, S</w:t>
      </w:r>
      <w:r w:rsidRPr="00CC5212">
        <w:t xml:space="preserve">enior </w:t>
      </w:r>
      <w:r>
        <w:t>S</w:t>
      </w:r>
      <w:r w:rsidRPr="00CC5212">
        <w:t>tatistician</w:t>
      </w:r>
    </w:p>
    <w:p w:rsidR="00CB676D" w:rsidRPr="00CC5212" w:rsidRDefault="00CB676D" w:rsidP="00CB676D">
      <w:pPr>
        <w:ind w:left="720" w:firstLine="720"/>
      </w:pPr>
      <w:proofErr w:type="spellStart"/>
      <w:r w:rsidRPr="00CC5212">
        <w:t>Westat</w:t>
      </w:r>
      <w:proofErr w:type="spellEnd"/>
    </w:p>
    <w:p w:rsidR="00CB676D" w:rsidRPr="00CC5212" w:rsidRDefault="00CB676D" w:rsidP="00CB676D">
      <w:pPr>
        <w:ind w:left="1440"/>
      </w:pPr>
      <w:r w:rsidRPr="00CC5212">
        <w:rPr>
          <w:bCs/>
          <w:color w:val="000000"/>
        </w:rPr>
        <w:t>Main Campus</w:t>
      </w:r>
      <w:r w:rsidRPr="00CC5212">
        <w:rPr>
          <w:bCs/>
          <w:color w:val="000000"/>
        </w:rPr>
        <w:br/>
        <w:t>1650 Research Boulevard</w:t>
      </w:r>
      <w:r w:rsidRPr="00CC5212">
        <w:rPr>
          <w:bCs/>
          <w:color w:val="000000"/>
        </w:rPr>
        <w:br/>
        <w:t>Rockville, MD 20850</w:t>
      </w:r>
      <w:r w:rsidRPr="00CC5212">
        <w:tab/>
      </w:r>
      <w:r w:rsidRPr="00CC5212">
        <w:tab/>
      </w:r>
      <w:r w:rsidRPr="00CC5212">
        <w:tab/>
      </w:r>
      <w:r w:rsidRPr="00CC5212">
        <w:tab/>
      </w:r>
    </w:p>
    <w:p w:rsidR="00CB676D" w:rsidRPr="00B5529A" w:rsidRDefault="00CB676D" w:rsidP="00CB676D">
      <w:pPr>
        <w:ind w:left="720" w:firstLine="720"/>
        <w:rPr>
          <w:bCs/>
          <w:color w:val="000000"/>
        </w:rPr>
      </w:pPr>
      <w:r>
        <w:rPr>
          <w:bCs/>
          <w:color w:val="000000"/>
        </w:rPr>
        <w:t xml:space="preserve">(301) </w:t>
      </w:r>
      <w:r w:rsidRPr="00B5529A">
        <w:rPr>
          <w:bCs/>
          <w:color w:val="000000"/>
        </w:rPr>
        <w:t>251-1500</w:t>
      </w:r>
    </w:p>
    <w:p w:rsidR="00CB676D" w:rsidRDefault="00CB676D" w:rsidP="00CB676D"/>
    <w:p w:rsidR="00CB676D" w:rsidRDefault="00CB676D" w:rsidP="00CB676D">
      <w:pPr>
        <w:pStyle w:val="ListParagraph"/>
        <w:numPr>
          <w:ilvl w:val="0"/>
          <w:numId w:val="3"/>
        </w:numPr>
      </w:pPr>
      <w:r>
        <w:t>Persons consulted on data collection and analysis:</w:t>
      </w:r>
    </w:p>
    <w:p w:rsidR="00CB676D" w:rsidRDefault="00CB676D" w:rsidP="00CB676D"/>
    <w:p w:rsidR="00CB676D" w:rsidRPr="0016491E" w:rsidRDefault="00CB676D" w:rsidP="00CB676D">
      <w:pPr>
        <w:ind w:firstLine="720"/>
        <w:rPr>
          <w:i/>
        </w:rPr>
      </w:pPr>
      <w:r w:rsidRPr="0016491E">
        <w:rPr>
          <w:i/>
        </w:rPr>
        <w:t>National Center for State Courts staff</w:t>
      </w:r>
    </w:p>
    <w:p w:rsidR="00CB676D" w:rsidRDefault="00CB676D" w:rsidP="00CB676D"/>
    <w:p w:rsidR="00CB676D" w:rsidRDefault="00CB676D" w:rsidP="00CB67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ab/>
        <w:t>Nicole Waters</w:t>
      </w:r>
    </w:p>
    <w:p w:rsidR="00CB676D" w:rsidRPr="004E5F38" w:rsidRDefault="00CB676D" w:rsidP="00CB67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ab/>
        <w:t>Senior Court Research Associate</w:t>
      </w:r>
    </w:p>
    <w:p w:rsidR="00CB676D" w:rsidRPr="004E5F38" w:rsidRDefault="00CB676D" w:rsidP="00CB676D">
      <w:pPr>
        <w:autoSpaceDE w:val="0"/>
        <w:autoSpaceDN w:val="0"/>
        <w:adjustRightInd w:val="0"/>
        <w:ind w:left="720" w:firstLine="720"/>
      </w:pPr>
      <w:r w:rsidRPr="004E5F38">
        <w:t>National Center for State Courts</w:t>
      </w:r>
    </w:p>
    <w:p w:rsidR="00CB676D" w:rsidRPr="004E5F38" w:rsidRDefault="00CB676D" w:rsidP="00CB676D">
      <w:pPr>
        <w:autoSpaceDE w:val="0"/>
        <w:autoSpaceDN w:val="0"/>
        <w:adjustRightInd w:val="0"/>
        <w:ind w:left="720" w:firstLine="720"/>
      </w:pPr>
      <w:r w:rsidRPr="004E5F38">
        <w:t>300 Newport Avenue</w:t>
      </w:r>
    </w:p>
    <w:p w:rsidR="00CB676D" w:rsidRDefault="00CB676D" w:rsidP="00CB676D">
      <w:pPr>
        <w:autoSpaceDE w:val="0"/>
        <w:autoSpaceDN w:val="0"/>
        <w:adjustRightInd w:val="0"/>
        <w:ind w:left="720" w:firstLine="720"/>
      </w:pPr>
      <w:r>
        <w:t>Williamsburg, VA 23185</w:t>
      </w:r>
    </w:p>
    <w:p w:rsidR="00CB676D" w:rsidRDefault="00CB676D" w:rsidP="00CB676D">
      <w:pPr>
        <w:autoSpaceDE w:val="0"/>
        <w:autoSpaceDN w:val="0"/>
        <w:adjustRightInd w:val="0"/>
        <w:ind w:left="720" w:firstLine="720"/>
      </w:pPr>
      <w:r>
        <w:rPr>
          <w:sz w:val="22"/>
          <w:szCs w:val="22"/>
        </w:rPr>
        <w:t>(757) 259-1516</w:t>
      </w:r>
    </w:p>
    <w:p w:rsidR="00CB676D" w:rsidRDefault="00CB676D" w:rsidP="00CB676D">
      <w:pPr>
        <w:autoSpaceDE w:val="0"/>
        <w:autoSpaceDN w:val="0"/>
        <w:adjustRightInd w:val="0"/>
        <w:rPr>
          <w:bCs/>
        </w:rPr>
      </w:pPr>
    </w:p>
    <w:p w:rsidR="00CB676D" w:rsidRDefault="00CB676D" w:rsidP="00CB676D">
      <w:pPr>
        <w:autoSpaceDE w:val="0"/>
        <w:autoSpaceDN w:val="0"/>
        <w:adjustRightInd w:val="0"/>
        <w:ind w:left="720" w:firstLine="720"/>
        <w:rPr>
          <w:bCs/>
        </w:rPr>
      </w:pPr>
      <w:r>
        <w:rPr>
          <w:bCs/>
        </w:rPr>
        <w:t>Shauna M. Strickland</w:t>
      </w:r>
    </w:p>
    <w:p w:rsidR="00CB676D" w:rsidRPr="00B51C7E" w:rsidRDefault="00CB676D" w:rsidP="00CB67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rPr>
      </w:pPr>
      <w:r w:rsidRPr="00B51C7E">
        <w:rPr>
          <w:bCs/>
        </w:rPr>
        <w:tab/>
        <w:t>Senior Court Research Analyst</w:t>
      </w:r>
    </w:p>
    <w:p w:rsidR="00CB676D" w:rsidRPr="00B51C7E" w:rsidRDefault="00CB676D" w:rsidP="00CB676D">
      <w:pPr>
        <w:autoSpaceDE w:val="0"/>
        <w:autoSpaceDN w:val="0"/>
        <w:adjustRightInd w:val="0"/>
        <w:ind w:left="720" w:firstLine="720"/>
      </w:pPr>
      <w:r w:rsidRPr="00B51C7E">
        <w:t>National Center for State Courts</w:t>
      </w:r>
    </w:p>
    <w:p w:rsidR="00CB676D" w:rsidRPr="00B51C7E" w:rsidRDefault="00CB676D" w:rsidP="00CB676D">
      <w:pPr>
        <w:autoSpaceDE w:val="0"/>
        <w:autoSpaceDN w:val="0"/>
        <w:adjustRightInd w:val="0"/>
        <w:ind w:left="720" w:firstLine="720"/>
      </w:pPr>
      <w:r w:rsidRPr="00B51C7E">
        <w:t xml:space="preserve">300 Newport Avenue, </w:t>
      </w:r>
    </w:p>
    <w:p w:rsidR="00CB676D" w:rsidRPr="00B51C7E" w:rsidRDefault="00CB676D" w:rsidP="00CB676D">
      <w:pPr>
        <w:autoSpaceDE w:val="0"/>
        <w:autoSpaceDN w:val="0"/>
        <w:adjustRightInd w:val="0"/>
        <w:ind w:left="720" w:firstLine="720"/>
      </w:pPr>
      <w:r w:rsidRPr="00B51C7E">
        <w:t>Williamsburg, VA 23185</w:t>
      </w:r>
    </w:p>
    <w:p w:rsidR="00CB676D" w:rsidRDefault="00CB676D" w:rsidP="00CB67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B51C7E">
        <w:tab/>
      </w:r>
      <w:r>
        <w:t xml:space="preserve"> (757) 259-1511</w:t>
      </w:r>
    </w:p>
    <w:p w:rsidR="00CB676D" w:rsidRDefault="00CB676D" w:rsidP="00CB67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CB676D" w:rsidRPr="0016491E" w:rsidRDefault="00CB676D" w:rsidP="00CB676D">
      <w:pPr>
        <w:pStyle w:val="Default"/>
        <w:rPr>
          <w:rFonts w:ascii="Times New Roman" w:hAnsi="Times New Roman" w:cs="Times New Roman"/>
          <w:i/>
        </w:rPr>
      </w:pPr>
      <w:r>
        <w:tab/>
      </w:r>
      <w:r>
        <w:rPr>
          <w:rFonts w:ascii="Times New Roman" w:hAnsi="Times New Roman" w:cs="Times New Roman"/>
          <w:i/>
        </w:rPr>
        <w:t>S</w:t>
      </w:r>
      <w:r w:rsidRPr="0016491E">
        <w:rPr>
          <w:rFonts w:ascii="Times New Roman" w:hAnsi="Times New Roman" w:cs="Times New Roman"/>
          <w:i/>
        </w:rPr>
        <w:t xml:space="preserve">tate appellate courts </w:t>
      </w:r>
      <w:r>
        <w:rPr>
          <w:rFonts w:ascii="Times New Roman" w:hAnsi="Times New Roman" w:cs="Times New Roman"/>
          <w:i/>
        </w:rPr>
        <w:t>experts</w:t>
      </w:r>
    </w:p>
    <w:p w:rsidR="00CB676D" w:rsidRPr="0016491E" w:rsidRDefault="00CB676D" w:rsidP="00CB676D">
      <w:pPr>
        <w:pStyle w:val="Default"/>
        <w:rPr>
          <w:rFonts w:ascii="Times New Roman" w:hAnsi="Times New Roman" w:cs="Times New Roman"/>
        </w:rPr>
      </w:pPr>
    </w:p>
    <w:p w:rsidR="00CB676D" w:rsidRPr="00A25429" w:rsidRDefault="00CB676D" w:rsidP="00CB676D">
      <w:pPr>
        <w:pStyle w:val="Default"/>
        <w:ind w:left="720" w:firstLine="720"/>
        <w:rPr>
          <w:rFonts w:ascii="Times New Roman" w:hAnsi="Times New Roman" w:cs="Times New Roman"/>
        </w:rPr>
      </w:pPr>
      <w:r w:rsidRPr="00A25429">
        <w:rPr>
          <w:rFonts w:ascii="Times New Roman" w:hAnsi="Times New Roman" w:cs="Times New Roman"/>
        </w:rPr>
        <w:t>Thomas E. Baker</w:t>
      </w:r>
    </w:p>
    <w:p w:rsidR="00CB676D" w:rsidRPr="00A25429" w:rsidRDefault="00CB676D" w:rsidP="00CB676D">
      <w:pPr>
        <w:pStyle w:val="Default"/>
        <w:ind w:left="720" w:firstLine="720"/>
        <w:rPr>
          <w:rFonts w:ascii="Times New Roman" w:hAnsi="Times New Roman" w:cs="Times New Roman"/>
        </w:rPr>
      </w:pPr>
      <w:r w:rsidRPr="00A25429">
        <w:rPr>
          <w:rFonts w:ascii="Times New Roman" w:hAnsi="Times New Roman" w:cs="Times New Roman"/>
        </w:rPr>
        <w:t>Professor of law</w:t>
      </w:r>
    </w:p>
    <w:p w:rsidR="00CB676D" w:rsidRPr="00A25429" w:rsidRDefault="00CB676D" w:rsidP="00CB676D">
      <w:pPr>
        <w:pStyle w:val="Default"/>
        <w:ind w:left="720" w:firstLine="720"/>
        <w:rPr>
          <w:rFonts w:ascii="Times New Roman" w:hAnsi="Times New Roman" w:cs="Times New Roman"/>
        </w:rPr>
      </w:pPr>
      <w:r w:rsidRPr="00A25429">
        <w:rPr>
          <w:rFonts w:ascii="Times New Roman" w:hAnsi="Times New Roman" w:cs="Times New Roman"/>
        </w:rPr>
        <w:t>Florida International University College of Law</w:t>
      </w:r>
    </w:p>
    <w:p w:rsidR="00CB676D" w:rsidRPr="00A25429" w:rsidRDefault="00CB676D" w:rsidP="00CB676D">
      <w:pPr>
        <w:pStyle w:val="Default"/>
        <w:ind w:left="720" w:firstLine="720"/>
        <w:rPr>
          <w:rFonts w:ascii="Times New Roman" w:hAnsi="Times New Roman" w:cs="Times New Roman"/>
        </w:rPr>
      </w:pPr>
      <w:r w:rsidRPr="00A25429">
        <w:rPr>
          <w:rFonts w:ascii="Times New Roman" w:hAnsi="Times New Roman" w:cs="Times New Roman"/>
        </w:rPr>
        <w:t>University Park, RDB 2038</w:t>
      </w:r>
    </w:p>
    <w:p w:rsidR="00CB676D" w:rsidRDefault="00CB676D" w:rsidP="00CB676D">
      <w:pPr>
        <w:pStyle w:val="Default"/>
        <w:ind w:left="720" w:firstLine="720"/>
        <w:rPr>
          <w:rFonts w:ascii="Times New Roman" w:hAnsi="Times New Roman" w:cs="Times New Roman"/>
        </w:rPr>
      </w:pPr>
      <w:r w:rsidRPr="00A25429">
        <w:rPr>
          <w:rFonts w:ascii="Times New Roman" w:hAnsi="Times New Roman" w:cs="Times New Roman"/>
        </w:rPr>
        <w:t>Miami, Florida 33199</w:t>
      </w:r>
    </w:p>
    <w:p w:rsidR="00CB676D" w:rsidRDefault="00CB676D" w:rsidP="00CB676D">
      <w:pPr>
        <w:pStyle w:val="Default"/>
        <w:ind w:left="720" w:firstLine="720"/>
        <w:rPr>
          <w:rFonts w:ascii="Times New Roman" w:hAnsi="Times New Roman" w:cs="Times New Roman"/>
        </w:rPr>
      </w:pPr>
    </w:p>
    <w:p w:rsidR="00CB676D" w:rsidRPr="00E00B06" w:rsidRDefault="00CB676D" w:rsidP="00CB676D">
      <w:pPr>
        <w:pStyle w:val="Default"/>
        <w:ind w:left="1440"/>
        <w:rPr>
          <w:rFonts w:ascii="Times New Roman" w:hAnsi="Times New Roman" w:cs="Times New Roman"/>
          <w:color w:val="auto"/>
        </w:rPr>
      </w:pPr>
      <w:r w:rsidRPr="00E00B06">
        <w:rPr>
          <w:rFonts w:ascii="Times New Roman" w:hAnsi="Times New Roman" w:cs="Times New Roman"/>
          <w:color w:val="auto"/>
        </w:rPr>
        <w:t xml:space="preserve">John </w:t>
      </w:r>
      <w:proofErr w:type="spellStart"/>
      <w:r w:rsidRPr="00E00B06">
        <w:rPr>
          <w:rFonts w:ascii="Times New Roman" w:hAnsi="Times New Roman" w:cs="Times New Roman"/>
          <w:color w:val="auto"/>
        </w:rPr>
        <w:t>Doerner</w:t>
      </w:r>
      <w:proofErr w:type="spellEnd"/>
    </w:p>
    <w:p w:rsidR="00CB676D" w:rsidRPr="00E00B06" w:rsidRDefault="00CB676D" w:rsidP="00CB676D">
      <w:pPr>
        <w:pStyle w:val="Default"/>
        <w:ind w:left="1440"/>
        <w:rPr>
          <w:rFonts w:ascii="Times New Roman" w:hAnsi="Times New Roman" w:cs="Times New Roman"/>
          <w:color w:val="auto"/>
        </w:rPr>
      </w:pPr>
      <w:r w:rsidRPr="00E00B06">
        <w:rPr>
          <w:rFonts w:ascii="Times New Roman" w:hAnsi="Times New Roman" w:cs="Times New Roman"/>
          <w:color w:val="auto"/>
        </w:rPr>
        <w:t>Principal Court Management Consultant</w:t>
      </w:r>
    </w:p>
    <w:p w:rsidR="00CB676D" w:rsidRPr="00E00B06" w:rsidRDefault="00CB676D" w:rsidP="00CB676D">
      <w:pPr>
        <w:pStyle w:val="Default"/>
        <w:ind w:left="1440"/>
        <w:rPr>
          <w:rFonts w:ascii="Times New Roman" w:hAnsi="Times New Roman" w:cs="Times New Roman"/>
          <w:color w:val="auto"/>
        </w:rPr>
      </w:pPr>
      <w:r w:rsidRPr="00E00B06">
        <w:rPr>
          <w:rFonts w:ascii="Times New Roman" w:hAnsi="Times New Roman" w:cs="Times New Roman"/>
          <w:color w:val="auto"/>
        </w:rPr>
        <w:t xml:space="preserve">National Center for State Courts (previously Clerk of Court at Colorado Court of Appeals) </w:t>
      </w:r>
    </w:p>
    <w:p w:rsidR="00CB676D" w:rsidRPr="00E00B06" w:rsidRDefault="00CB676D" w:rsidP="00CB676D">
      <w:pPr>
        <w:ind w:left="1440"/>
      </w:pPr>
      <w:r w:rsidRPr="00E00B06">
        <w:rPr>
          <w:rStyle w:val="street-address"/>
        </w:rPr>
        <w:t xml:space="preserve">707 17th St </w:t>
      </w:r>
      <w:r w:rsidRPr="00E00B06">
        <w:br/>
      </w:r>
      <w:r w:rsidRPr="00E00B06">
        <w:rPr>
          <w:rStyle w:val="locality"/>
        </w:rPr>
        <w:t>Denver</w:t>
      </w:r>
      <w:r w:rsidRPr="00E00B06">
        <w:t xml:space="preserve">, </w:t>
      </w:r>
      <w:r w:rsidRPr="00E00B06">
        <w:rPr>
          <w:rStyle w:val="region"/>
        </w:rPr>
        <w:t>Colorado</w:t>
      </w:r>
      <w:r w:rsidRPr="00E00B06">
        <w:t xml:space="preserve"> </w:t>
      </w:r>
      <w:r w:rsidRPr="00E00B06">
        <w:rPr>
          <w:rStyle w:val="postal-code"/>
        </w:rPr>
        <w:t>80202</w:t>
      </w:r>
      <w:r w:rsidRPr="00E00B06">
        <w:t xml:space="preserve"> </w:t>
      </w:r>
    </w:p>
    <w:p w:rsidR="00CB676D" w:rsidRPr="00A25429" w:rsidRDefault="00CB676D" w:rsidP="00CB676D">
      <w:pPr>
        <w:pStyle w:val="Default"/>
        <w:ind w:left="720" w:firstLine="720"/>
        <w:rPr>
          <w:rFonts w:ascii="Times New Roman" w:hAnsi="Times New Roman" w:cs="Times New Roman"/>
        </w:rPr>
      </w:pPr>
    </w:p>
    <w:p w:rsidR="00CB676D" w:rsidRPr="00A25429" w:rsidRDefault="00CB676D" w:rsidP="00CB676D">
      <w:pPr>
        <w:pStyle w:val="Default"/>
        <w:ind w:left="720" w:firstLine="720"/>
        <w:rPr>
          <w:rFonts w:ascii="Times New Roman" w:hAnsi="Times New Roman" w:cs="Times New Roman"/>
        </w:rPr>
      </w:pPr>
      <w:r w:rsidRPr="00A25429">
        <w:rPr>
          <w:rFonts w:ascii="Times New Roman" w:hAnsi="Times New Roman" w:cs="Times New Roman"/>
        </w:rPr>
        <w:t>Peter Haas</w:t>
      </w:r>
    </w:p>
    <w:p w:rsidR="00CB676D" w:rsidRPr="00A25429" w:rsidRDefault="00CB676D" w:rsidP="00CB676D">
      <w:pPr>
        <w:pStyle w:val="Default"/>
        <w:ind w:left="720" w:firstLine="720"/>
        <w:rPr>
          <w:rFonts w:ascii="Times New Roman" w:hAnsi="Times New Roman" w:cs="Times New Roman"/>
        </w:rPr>
      </w:pPr>
      <w:r w:rsidRPr="00A25429">
        <w:rPr>
          <w:rFonts w:ascii="Times New Roman" w:hAnsi="Times New Roman" w:cs="Times New Roman"/>
        </w:rPr>
        <w:t xml:space="preserve">Director of Technology </w:t>
      </w:r>
    </w:p>
    <w:p w:rsidR="00CB676D" w:rsidRPr="00A25429" w:rsidRDefault="00CB676D" w:rsidP="00CB676D">
      <w:pPr>
        <w:pStyle w:val="Default"/>
        <w:ind w:left="1440"/>
        <w:rPr>
          <w:rFonts w:ascii="Times New Roman" w:hAnsi="Times New Roman" w:cs="Times New Roman"/>
        </w:rPr>
      </w:pPr>
      <w:r w:rsidRPr="00A25429">
        <w:rPr>
          <w:rFonts w:ascii="Times New Roman" w:hAnsi="Times New Roman" w:cs="Times New Roman"/>
        </w:rPr>
        <w:t xml:space="preserve">Supreme Court of Louisiana, (representing the Conference of Appellate Technology Officers) </w:t>
      </w:r>
    </w:p>
    <w:p w:rsidR="00CB676D" w:rsidRPr="00A25429" w:rsidRDefault="00CB676D" w:rsidP="00CB676D">
      <w:pPr>
        <w:pStyle w:val="Default"/>
        <w:ind w:left="1440"/>
        <w:rPr>
          <w:rFonts w:ascii="Times New Roman" w:hAnsi="Times New Roman" w:cs="Times New Roman"/>
        </w:rPr>
      </w:pPr>
      <w:r w:rsidRPr="00A25429">
        <w:rPr>
          <w:rFonts w:ascii="Times New Roman" w:hAnsi="Times New Roman" w:cs="Times New Roman"/>
        </w:rPr>
        <w:lastRenderedPageBreak/>
        <w:t>400 Royal Street</w:t>
      </w:r>
    </w:p>
    <w:p w:rsidR="00CB676D" w:rsidRPr="00A25429" w:rsidRDefault="00CB676D" w:rsidP="00CB676D">
      <w:pPr>
        <w:pStyle w:val="Default"/>
        <w:ind w:left="1440"/>
        <w:rPr>
          <w:rFonts w:ascii="Times New Roman" w:hAnsi="Times New Roman" w:cs="Times New Roman"/>
        </w:rPr>
      </w:pPr>
      <w:r w:rsidRPr="00A25429">
        <w:rPr>
          <w:rFonts w:ascii="Times New Roman" w:hAnsi="Times New Roman" w:cs="Times New Roman"/>
        </w:rPr>
        <w:t>New Orleans, LA 70130</w:t>
      </w:r>
    </w:p>
    <w:p w:rsidR="00CB676D" w:rsidRPr="00A25429" w:rsidRDefault="00CB676D" w:rsidP="00CB676D">
      <w:pPr>
        <w:pStyle w:val="Default"/>
        <w:rPr>
          <w:rFonts w:ascii="Times New Roman" w:hAnsi="Times New Roman" w:cs="Times New Roman"/>
        </w:rPr>
      </w:pPr>
    </w:p>
    <w:p w:rsidR="00CB676D" w:rsidRPr="00A25429" w:rsidRDefault="00CB676D" w:rsidP="00CB676D">
      <w:pPr>
        <w:pStyle w:val="Default"/>
        <w:ind w:left="1440"/>
        <w:rPr>
          <w:rFonts w:ascii="Times New Roman" w:hAnsi="Times New Roman" w:cs="Times New Roman"/>
        </w:rPr>
      </w:pPr>
      <w:r w:rsidRPr="00A25429">
        <w:rPr>
          <w:rFonts w:ascii="Times New Roman" w:hAnsi="Times New Roman" w:cs="Times New Roman"/>
        </w:rPr>
        <w:t>Thomas D. Hall</w:t>
      </w:r>
    </w:p>
    <w:p w:rsidR="00CB676D" w:rsidRPr="00A25429" w:rsidRDefault="00CB676D" w:rsidP="00CB676D">
      <w:pPr>
        <w:pStyle w:val="Default"/>
        <w:ind w:left="720" w:firstLine="720"/>
        <w:rPr>
          <w:rFonts w:ascii="Times New Roman" w:hAnsi="Times New Roman" w:cs="Times New Roman"/>
        </w:rPr>
      </w:pPr>
      <w:r w:rsidRPr="00A25429">
        <w:rPr>
          <w:rFonts w:ascii="Times New Roman" w:hAnsi="Times New Roman" w:cs="Times New Roman"/>
        </w:rPr>
        <w:t>Clerk of Court</w:t>
      </w:r>
    </w:p>
    <w:p w:rsidR="00CB676D" w:rsidRPr="00A25429" w:rsidRDefault="00CB676D" w:rsidP="00CB676D">
      <w:pPr>
        <w:pStyle w:val="Default"/>
        <w:ind w:left="1440"/>
        <w:rPr>
          <w:rFonts w:ascii="Times New Roman" w:hAnsi="Times New Roman" w:cs="Times New Roman"/>
        </w:rPr>
      </w:pPr>
      <w:r w:rsidRPr="00A25429">
        <w:rPr>
          <w:rFonts w:ascii="Times New Roman" w:hAnsi="Times New Roman" w:cs="Times New Roman"/>
        </w:rPr>
        <w:t xml:space="preserve">Supreme Court of Florida (representing the National Conference of Appellate Court Clerks) </w:t>
      </w:r>
    </w:p>
    <w:p w:rsidR="00CB676D" w:rsidRPr="00A25429" w:rsidRDefault="00CB676D" w:rsidP="00CB676D">
      <w:pPr>
        <w:pStyle w:val="Default"/>
        <w:ind w:left="1440"/>
        <w:rPr>
          <w:rStyle w:val="Strong"/>
          <w:rFonts w:ascii="Times New Roman" w:hAnsi="Times New Roman" w:cs="Times New Roman"/>
          <w:b w:val="0"/>
        </w:rPr>
      </w:pPr>
      <w:r w:rsidRPr="00A25429">
        <w:rPr>
          <w:rStyle w:val="Strong"/>
          <w:rFonts w:ascii="Times New Roman" w:hAnsi="Times New Roman" w:cs="Times New Roman"/>
        </w:rPr>
        <w:t>500 South Duval Street</w:t>
      </w:r>
      <w:r w:rsidRPr="00A25429">
        <w:rPr>
          <w:rFonts w:ascii="Times New Roman" w:hAnsi="Times New Roman" w:cs="Times New Roman"/>
          <w:b/>
          <w:bCs/>
        </w:rPr>
        <w:br/>
      </w:r>
      <w:r w:rsidRPr="00A25429">
        <w:rPr>
          <w:rStyle w:val="Strong"/>
          <w:rFonts w:ascii="Times New Roman" w:hAnsi="Times New Roman" w:cs="Times New Roman"/>
        </w:rPr>
        <w:t>Tallahassee, FL</w:t>
      </w:r>
      <w:r w:rsidRPr="00A25429">
        <w:rPr>
          <w:rFonts w:ascii="Times New Roman" w:hAnsi="Times New Roman" w:cs="Times New Roman"/>
          <w:b/>
          <w:bCs/>
        </w:rPr>
        <w:t xml:space="preserve"> </w:t>
      </w:r>
      <w:r w:rsidRPr="00A25429">
        <w:rPr>
          <w:rStyle w:val="Strong"/>
          <w:rFonts w:ascii="Times New Roman" w:hAnsi="Times New Roman" w:cs="Times New Roman"/>
        </w:rPr>
        <w:t>32399-1925</w:t>
      </w:r>
    </w:p>
    <w:p w:rsidR="00CB676D" w:rsidRPr="00A25429" w:rsidRDefault="00CB676D" w:rsidP="00CB676D">
      <w:pPr>
        <w:pStyle w:val="Default"/>
        <w:ind w:left="1440"/>
        <w:rPr>
          <w:rStyle w:val="Strong"/>
          <w:rFonts w:ascii="Times New Roman" w:hAnsi="Times New Roman" w:cs="Times New Roman"/>
          <w:b w:val="0"/>
        </w:rPr>
      </w:pPr>
    </w:p>
    <w:p w:rsidR="00CB676D" w:rsidRPr="00A25429" w:rsidRDefault="00CB676D" w:rsidP="00CB676D">
      <w:pPr>
        <w:pStyle w:val="Default"/>
        <w:ind w:left="1440"/>
        <w:rPr>
          <w:rFonts w:ascii="Times New Roman" w:hAnsi="Times New Roman" w:cs="Times New Roman"/>
        </w:rPr>
      </w:pPr>
      <w:r w:rsidRPr="00A25429">
        <w:rPr>
          <w:rFonts w:ascii="Times New Roman" w:hAnsi="Times New Roman" w:cs="Times New Roman"/>
        </w:rPr>
        <w:t>John Olivier</w:t>
      </w:r>
    </w:p>
    <w:p w:rsidR="00CB676D" w:rsidRPr="00A25429" w:rsidRDefault="00CB676D" w:rsidP="00CB676D">
      <w:pPr>
        <w:pStyle w:val="Default"/>
        <w:ind w:left="1440"/>
        <w:rPr>
          <w:rFonts w:ascii="Times New Roman" w:hAnsi="Times New Roman" w:cs="Times New Roman"/>
        </w:rPr>
      </w:pPr>
      <w:r w:rsidRPr="00A25429">
        <w:rPr>
          <w:rFonts w:ascii="Times New Roman" w:hAnsi="Times New Roman" w:cs="Times New Roman"/>
        </w:rPr>
        <w:t>Clerk of Court</w:t>
      </w:r>
    </w:p>
    <w:p w:rsidR="00CB676D" w:rsidRPr="00A25429" w:rsidRDefault="00CB676D" w:rsidP="00CB676D">
      <w:pPr>
        <w:pStyle w:val="Default"/>
        <w:ind w:left="1440"/>
        <w:rPr>
          <w:rFonts w:ascii="Times New Roman" w:hAnsi="Times New Roman" w:cs="Times New Roman"/>
        </w:rPr>
      </w:pPr>
      <w:r w:rsidRPr="00A25429">
        <w:rPr>
          <w:rFonts w:ascii="Times New Roman" w:hAnsi="Times New Roman" w:cs="Times New Roman"/>
        </w:rPr>
        <w:t>Supreme Court of Louisiana (representing the National Conference of Appellate Court Clerks)</w:t>
      </w:r>
    </w:p>
    <w:p w:rsidR="00CB676D" w:rsidRPr="00A25429" w:rsidRDefault="00CB676D" w:rsidP="00CB676D">
      <w:pPr>
        <w:pStyle w:val="Default"/>
        <w:ind w:left="1440"/>
        <w:rPr>
          <w:rFonts w:ascii="Times New Roman" w:hAnsi="Times New Roman" w:cs="Times New Roman"/>
        </w:rPr>
      </w:pPr>
      <w:r w:rsidRPr="00A25429">
        <w:rPr>
          <w:rFonts w:ascii="Times New Roman" w:hAnsi="Times New Roman" w:cs="Times New Roman"/>
        </w:rPr>
        <w:t>400 Royal Street</w:t>
      </w:r>
    </w:p>
    <w:p w:rsidR="00CB676D" w:rsidRPr="00A25429" w:rsidRDefault="00CB676D" w:rsidP="00CB676D">
      <w:pPr>
        <w:pStyle w:val="Default"/>
        <w:ind w:left="1440"/>
        <w:rPr>
          <w:rFonts w:ascii="Times New Roman" w:hAnsi="Times New Roman" w:cs="Times New Roman"/>
        </w:rPr>
      </w:pPr>
      <w:r w:rsidRPr="00A25429">
        <w:rPr>
          <w:rFonts w:ascii="Times New Roman" w:hAnsi="Times New Roman" w:cs="Times New Roman"/>
        </w:rPr>
        <w:t>New Orleans, LA 70130</w:t>
      </w:r>
    </w:p>
    <w:p w:rsidR="00CB676D" w:rsidRPr="00A25429" w:rsidRDefault="00CB676D" w:rsidP="00CB676D">
      <w:pPr>
        <w:pStyle w:val="Default"/>
        <w:rPr>
          <w:sz w:val="23"/>
          <w:szCs w:val="23"/>
        </w:rPr>
      </w:pPr>
    </w:p>
    <w:p w:rsidR="00CB676D" w:rsidRDefault="00CB676D" w:rsidP="00CB67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33517" w:rsidRDefault="00F33517"/>
    <w:sectPr w:rsidR="00F33517" w:rsidSect="00CB676D">
      <w:footerReference w:type="default" r:id="rId7"/>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676D" w:rsidRDefault="00CB676D" w:rsidP="00CB676D">
      <w:r>
        <w:separator/>
      </w:r>
    </w:p>
  </w:endnote>
  <w:endnote w:type="continuationSeparator" w:id="0">
    <w:p w:rsidR="00CB676D" w:rsidRDefault="00CB676D" w:rsidP="00CB67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274204"/>
      <w:docPartObj>
        <w:docPartGallery w:val="Page Numbers (Bottom of Page)"/>
        <w:docPartUnique/>
      </w:docPartObj>
    </w:sdtPr>
    <w:sdtEndPr/>
    <w:sdtContent>
      <w:p w:rsidR="007B3495" w:rsidRDefault="00CB676D">
        <w:pPr>
          <w:pStyle w:val="Footer"/>
          <w:jc w:val="center"/>
        </w:pPr>
        <w:r>
          <w:fldChar w:fldCharType="begin"/>
        </w:r>
        <w:r>
          <w:instrText xml:space="preserve"> PAGE   \* MERGEFORMAT </w:instrText>
        </w:r>
        <w:r>
          <w:fldChar w:fldCharType="separate"/>
        </w:r>
        <w:r>
          <w:rPr>
            <w:noProof/>
          </w:rPr>
          <w:t>1</w:t>
        </w:r>
        <w:r>
          <w:fldChar w:fldCharType="end"/>
        </w:r>
      </w:p>
    </w:sdtContent>
  </w:sdt>
  <w:p w:rsidR="007B3495" w:rsidRDefault="00CB67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676D" w:rsidRDefault="00CB676D" w:rsidP="00CB676D">
      <w:r>
        <w:separator/>
      </w:r>
    </w:p>
  </w:footnote>
  <w:footnote w:type="continuationSeparator" w:id="0">
    <w:p w:rsidR="00CB676D" w:rsidRDefault="00CB676D" w:rsidP="00CB676D">
      <w:r>
        <w:continuationSeparator/>
      </w:r>
    </w:p>
  </w:footnote>
  <w:footnote w:id="1">
    <w:p w:rsidR="00CB676D" w:rsidRDefault="00CB676D" w:rsidP="00CB676D">
      <w:pPr>
        <w:pStyle w:val="FootnoteText"/>
      </w:pPr>
      <w:r>
        <w:rPr>
          <w:rStyle w:val="FootnoteReference"/>
        </w:rPr>
        <w:footnoteRef/>
      </w:r>
      <w:r>
        <w:t xml:space="preserve"> See footnote 2 for information about the types of aggregate count data available from the Court Statistics Project.</w:t>
      </w:r>
    </w:p>
  </w:footnote>
  <w:footnote w:id="2">
    <w:p w:rsidR="00CB676D" w:rsidRDefault="00CB676D" w:rsidP="00CB676D">
      <w:pPr>
        <w:pStyle w:val="FootnoteText"/>
      </w:pPr>
      <w:r>
        <w:rPr>
          <w:rStyle w:val="FootnoteReference"/>
        </w:rPr>
        <w:footnoteRef/>
      </w:r>
      <w:r>
        <w:t xml:space="preserve"> </w:t>
      </w:r>
      <w:r w:rsidRPr="009C74E6">
        <w:t xml:space="preserve">It should be noted that there is </w:t>
      </w:r>
      <w:r>
        <w:t>no</w:t>
      </w:r>
      <w:r w:rsidRPr="009C74E6">
        <w:t xml:space="preserve"> direct link between the number of states and appellate courts, especially at the intermediate level. While smaller states might have only one intermediate appellate court for the entire state, many large states have several intermediate appellate courts that cover various parts of a particular state. For more information about the organizational characteristics of appellate courts, please see State Court Organization 2004 at </w:t>
      </w:r>
      <w:r w:rsidRPr="00390F64">
        <w:t>http://bjs.ojp.usdoj.gov/index.cfm?ty=pbdetail&amp;iid=1204</w:t>
      </w:r>
      <w:r w:rsidRPr="009C74E6">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1C31A7"/>
    <w:multiLevelType w:val="hybridMultilevel"/>
    <w:tmpl w:val="043850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3409FC"/>
    <w:multiLevelType w:val="hybridMultilevel"/>
    <w:tmpl w:val="74A44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9C3548"/>
    <w:multiLevelType w:val="hybridMultilevel"/>
    <w:tmpl w:val="610469C0"/>
    <w:lvl w:ilvl="0" w:tplc="04090015">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7BE254C8"/>
    <w:multiLevelType w:val="hybridMultilevel"/>
    <w:tmpl w:val="12E89A50"/>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proofState w:spelling="clean" w:grammar="clean"/>
  <w:stylePaneFormatFilter w:val="3F0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B676D"/>
    <w:rsid w:val="0000258A"/>
    <w:rsid w:val="000033C6"/>
    <w:rsid w:val="00016925"/>
    <w:rsid w:val="00021F36"/>
    <w:rsid w:val="00022170"/>
    <w:rsid w:val="00027149"/>
    <w:rsid w:val="00031EAB"/>
    <w:rsid w:val="00046C21"/>
    <w:rsid w:val="00051A0C"/>
    <w:rsid w:val="00063951"/>
    <w:rsid w:val="00067557"/>
    <w:rsid w:val="00075603"/>
    <w:rsid w:val="000807D5"/>
    <w:rsid w:val="00080DB5"/>
    <w:rsid w:val="00091942"/>
    <w:rsid w:val="000A3293"/>
    <w:rsid w:val="000A73A0"/>
    <w:rsid w:val="000A7856"/>
    <w:rsid w:val="000C23EE"/>
    <w:rsid w:val="000C435A"/>
    <w:rsid w:val="000C7FE2"/>
    <w:rsid w:val="000D02E1"/>
    <w:rsid w:val="000D402F"/>
    <w:rsid w:val="000D5ACA"/>
    <w:rsid w:val="000D6AF6"/>
    <w:rsid w:val="000D738F"/>
    <w:rsid w:val="000E2E8B"/>
    <w:rsid w:val="000E40F1"/>
    <w:rsid w:val="000F529E"/>
    <w:rsid w:val="00104079"/>
    <w:rsid w:val="00105A01"/>
    <w:rsid w:val="001108BC"/>
    <w:rsid w:val="00131EE3"/>
    <w:rsid w:val="00133D78"/>
    <w:rsid w:val="00140450"/>
    <w:rsid w:val="0014263F"/>
    <w:rsid w:val="00146A6A"/>
    <w:rsid w:val="00150550"/>
    <w:rsid w:val="00153EED"/>
    <w:rsid w:val="00154935"/>
    <w:rsid w:val="0016091F"/>
    <w:rsid w:val="00170432"/>
    <w:rsid w:val="00180A6C"/>
    <w:rsid w:val="00182F93"/>
    <w:rsid w:val="0019052A"/>
    <w:rsid w:val="00190A35"/>
    <w:rsid w:val="001963CD"/>
    <w:rsid w:val="001B5C43"/>
    <w:rsid w:val="001B7CEF"/>
    <w:rsid w:val="001C6345"/>
    <w:rsid w:val="001C63E5"/>
    <w:rsid w:val="001C6A2D"/>
    <w:rsid w:val="001D1B74"/>
    <w:rsid w:val="001D6E09"/>
    <w:rsid w:val="001E3222"/>
    <w:rsid w:val="001E792D"/>
    <w:rsid w:val="00202F53"/>
    <w:rsid w:val="00206B70"/>
    <w:rsid w:val="00222755"/>
    <w:rsid w:val="00222E7F"/>
    <w:rsid w:val="00225A79"/>
    <w:rsid w:val="00234EBF"/>
    <w:rsid w:val="0024566F"/>
    <w:rsid w:val="002573C5"/>
    <w:rsid w:val="00260873"/>
    <w:rsid w:val="00265B87"/>
    <w:rsid w:val="00266FC8"/>
    <w:rsid w:val="00270CCA"/>
    <w:rsid w:val="00271F19"/>
    <w:rsid w:val="00274B58"/>
    <w:rsid w:val="00276470"/>
    <w:rsid w:val="00276A45"/>
    <w:rsid w:val="002934D4"/>
    <w:rsid w:val="002938E9"/>
    <w:rsid w:val="002A1DE7"/>
    <w:rsid w:val="002A2400"/>
    <w:rsid w:val="002A3DD6"/>
    <w:rsid w:val="002A5EAD"/>
    <w:rsid w:val="002A7ED8"/>
    <w:rsid w:val="002B3DBE"/>
    <w:rsid w:val="002B6255"/>
    <w:rsid w:val="002C7356"/>
    <w:rsid w:val="002D34F7"/>
    <w:rsid w:val="002E7645"/>
    <w:rsid w:val="002F0BE6"/>
    <w:rsid w:val="002F2BE3"/>
    <w:rsid w:val="002F5199"/>
    <w:rsid w:val="00301C6B"/>
    <w:rsid w:val="00302EFD"/>
    <w:rsid w:val="0031219F"/>
    <w:rsid w:val="0031654C"/>
    <w:rsid w:val="00323D9F"/>
    <w:rsid w:val="00332909"/>
    <w:rsid w:val="00335CC8"/>
    <w:rsid w:val="003362BE"/>
    <w:rsid w:val="00342646"/>
    <w:rsid w:val="00343D12"/>
    <w:rsid w:val="0036035A"/>
    <w:rsid w:val="003717C2"/>
    <w:rsid w:val="00380B31"/>
    <w:rsid w:val="00383A69"/>
    <w:rsid w:val="00385E55"/>
    <w:rsid w:val="003866C5"/>
    <w:rsid w:val="00393B17"/>
    <w:rsid w:val="003968DF"/>
    <w:rsid w:val="00397B38"/>
    <w:rsid w:val="003A00DD"/>
    <w:rsid w:val="003C081E"/>
    <w:rsid w:val="003C1F4E"/>
    <w:rsid w:val="003D0FCD"/>
    <w:rsid w:val="003D14E2"/>
    <w:rsid w:val="003D3636"/>
    <w:rsid w:val="003D3B86"/>
    <w:rsid w:val="003D792B"/>
    <w:rsid w:val="003F5179"/>
    <w:rsid w:val="00406BF6"/>
    <w:rsid w:val="0041138C"/>
    <w:rsid w:val="0041460F"/>
    <w:rsid w:val="0042060D"/>
    <w:rsid w:val="004247C9"/>
    <w:rsid w:val="004375D7"/>
    <w:rsid w:val="0044433A"/>
    <w:rsid w:val="00477607"/>
    <w:rsid w:val="0048707E"/>
    <w:rsid w:val="004900DE"/>
    <w:rsid w:val="00490459"/>
    <w:rsid w:val="00492D0D"/>
    <w:rsid w:val="004B04E4"/>
    <w:rsid w:val="004B4923"/>
    <w:rsid w:val="004C2676"/>
    <w:rsid w:val="004C6CB8"/>
    <w:rsid w:val="004E396E"/>
    <w:rsid w:val="004E3E39"/>
    <w:rsid w:val="004F0769"/>
    <w:rsid w:val="004F13BF"/>
    <w:rsid w:val="004F4D82"/>
    <w:rsid w:val="00506BC2"/>
    <w:rsid w:val="005119FD"/>
    <w:rsid w:val="005136C5"/>
    <w:rsid w:val="00520C00"/>
    <w:rsid w:val="00521D01"/>
    <w:rsid w:val="005276B5"/>
    <w:rsid w:val="00532200"/>
    <w:rsid w:val="005343FA"/>
    <w:rsid w:val="00537F3C"/>
    <w:rsid w:val="0054080E"/>
    <w:rsid w:val="00561C1E"/>
    <w:rsid w:val="005660E8"/>
    <w:rsid w:val="005723D1"/>
    <w:rsid w:val="00572A7D"/>
    <w:rsid w:val="00575AD8"/>
    <w:rsid w:val="00587626"/>
    <w:rsid w:val="00590CF2"/>
    <w:rsid w:val="005A1B90"/>
    <w:rsid w:val="005A66D1"/>
    <w:rsid w:val="005B1422"/>
    <w:rsid w:val="005B1E11"/>
    <w:rsid w:val="005B2172"/>
    <w:rsid w:val="005D59B2"/>
    <w:rsid w:val="005D5D16"/>
    <w:rsid w:val="005E0646"/>
    <w:rsid w:val="00601E1A"/>
    <w:rsid w:val="006022C0"/>
    <w:rsid w:val="00604B38"/>
    <w:rsid w:val="00612F38"/>
    <w:rsid w:val="00625AC9"/>
    <w:rsid w:val="006317D4"/>
    <w:rsid w:val="00633AD4"/>
    <w:rsid w:val="0063706B"/>
    <w:rsid w:val="006542C1"/>
    <w:rsid w:val="00661AA8"/>
    <w:rsid w:val="0066595E"/>
    <w:rsid w:val="0067080B"/>
    <w:rsid w:val="006738DD"/>
    <w:rsid w:val="00673C90"/>
    <w:rsid w:val="00675405"/>
    <w:rsid w:val="00675F7F"/>
    <w:rsid w:val="006810F8"/>
    <w:rsid w:val="006868C7"/>
    <w:rsid w:val="006A42DB"/>
    <w:rsid w:val="006A59DC"/>
    <w:rsid w:val="006B15D0"/>
    <w:rsid w:val="006B1CA7"/>
    <w:rsid w:val="006C1FAB"/>
    <w:rsid w:val="006C371C"/>
    <w:rsid w:val="006C40A1"/>
    <w:rsid w:val="006C4D7B"/>
    <w:rsid w:val="006C7EAA"/>
    <w:rsid w:val="006E1190"/>
    <w:rsid w:val="006E58CD"/>
    <w:rsid w:val="006F1A2D"/>
    <w:rsid w:val="006F1E58"/>
    <w:rsid w:val="00700089"/>
    <w:rsid w:val="007017E4"/>
    <w:rsid w:val="00702C96"/>
    <w:rsid w:val="00716180"/>
    <w:rsid w:val="00717B9C"/>
    <w:rsid w:val="00717BE6"/>
    <w:rsid w:val="007209A5"/>
    <w:rsid w:val="00721529"/>
    <w:rsid w:val="007333DD"/>
    <w:rsid w:val="00742805"/>
    <w:rsid w:val="00743472"/>
    <w:rsid w:val="00744C3F"/>
    <w:rsid w:val="0075787D"/>
    <w:rsid w:val="00762F69"/>
    <w:rsid w:val="00765CA3"/>
    <w:rsid w:val="00774274"/>
    <w:rsid w:val="007742DE"/>
    <w:rsid w:val="007770AD"/>
    <w:rsid w:val="0078281D"/>
    <w:rsid w:val="00784BB9"/>
    <w:rsid w:val="0078536D"/>
    <w:rsid w:val="00790A0E"/>
    <w:rsid w:val="007A0728"/>
    <w:rsid w:val="007C224D"/>
    <w:rsid w:val="007C5EBE"/>
    <w:rsid w:val="007C6CFB"/>
    <w:rsid w:val="007C7CB4"/>
    <w:rsid w:val="007E19BB"/>
    <w:rsid w:val="007E348D"/>
    <w:rsid w:val="007F49D1"/>
    <w:rsid w:val="00810AAC"/>
    <w:rsid w:val="00814643"/>
    <w:rsid w:val="008155C5"/>
    <w:rsid w:val="008428A0"/>
    <w:rsid w:val="00850A51"/>
    <w:rsid w:val="008542F8"/>
    <w:rsid w:val="00856D07"/>
    <w:rsid w:val="0085761C"/>
    <w:rsid w:val="00857F8B"/>
    <w:rsid w:val="0086005F"/>
    <w:rsid w:val="00875A83"/>
    <w:rsid w:val="00883FC3"/>
    <w:rsid w:val="008841BD"/>
    <w:rsid w:val="00884800"/>
    <w:rsid w:val="00892109"/>
    <w:rsid w:val="00894FD8"/>
    <w:rsid w:val="008A45FC"/>
    <w:rsid w:val="008A613B"/>
    <w:rsid w:val="008B06CE"/>
    <w:rsid w:val="008B5400"/>
    <w:rsid w:val="008C093B"/>
    <w:rsid w:val="008C40E9"/>
    <w:rsid w:val="008D5C3F"/>
    <w:rsid w:val="008D7057"/>
    <w:rsid w:val="008E2DC5"/>
    <w:rsid w:val="008E4FD8"/>
    <w:rsid w:val="008F397D"/>
    <w:rsid w:val="008F4232"/>
    <w:rsid w:val="008F4BFF"/>
    <w:rsid w:val="008F554A"/>
    <w:rsid w:val="008F6C78"/>
    <w:rsid w:val="00905809"/>
    <w:rsid w:val="0090588A"/>
    <w:rsid w:val="00913389"/>
    <w:rsid w:val="00913948"/>
    <w:rsid w:val="00916D76"/>
    <w:rsid w:val="0092359F"/>
    <w:rsid w:val="009251E6"/>
    <w:rsid w:val="00933C56"/>
    <w:rsid w:val="00936C5D"/>
    <w:rsid w:val="009425AC"/>
    <w:rsid w:val="009433E6"/>
    <w:rsid w:val="00955893"/>
    <w:rsid w:val="00962B4C"/>
    <w:rsid w:val="00965433"/>
    <w:rsid w:val="00971EB1"/>
    <w:rsid w:val="009742EA"/>
    <w:rsid w:val="00974DB4"/>
    <w:rsid w:val="00975422"/>
    <w:rsid w:val="00977FC3"/>
    <w:rsid w:val="009836E7"/>
    <w:rsid w:val="00983831"/>
    <w:rsid w:val="00984850"/>
    <w:rsid w:val="009A44DC"/>
    <w:rsid w:val="009A45CD"/>
    <w:rsid w:val="009B0380"/>
    <w:rsid w:val="009C3071"/>
    <w:rsid w:val="009C73B6"/>
    <w:rsid w:val="009E530F"/>
    <w:rsid w:val="009E6B3B"/>
    <w:rsid w:val="009F0034"/>
    <w:rsid w:val="009F1302"/>
    <w:rsid w:val="009F4671"/>
    <w:rsid w:val="009F4E4E"/>
    <w:rsid w:val="00A03C3C"/>
    <w:rsid w:val="00A1144E"/>
    <w:rsid w:val="00A11B24"/>
    <w:rsid w:val="00A13DE5"/>
    <w:rsid w:val="00A202B7"/>
    <w:rsid w:val="00A21321"/>
    <w:rsid w:val="00A21B8E"/>
    <w:rsid w:val="00A36485"/>
    <w:rsid w:val="00A3711F"/>
    <w:rsid w:val="00A37BC1"/>
    <w:rsid w:val="00A41A78"/>
    <w:rsid w:val="00A4277E"/>
    <w:rsid w:val="00A44287"/>
    <w:rsid w:val="00A523EF"/>
    <w:rsid w:val="00A543C5"/>
    <w:rsid w:val="00A70718"/>
    <w:rsid w:val="00A71BEB"/>
    <w:rsid w:val="00A74E81"/>
    <w:rsid w:val="00A82105"/>
    <w:rsid w:val="00A841AE"/>
    <w:rsid w:val="00AA34B7"/>
    <w:rsid w:val="00AA3941"/>
    <w:rsid w:val="00AA3E5D"/>
    <w:rsid w:val="00AB291C"/>
    <w:rsid w:val="00AB59F3"/>
    <w:rsid w:val="00AB692B"/>
    <w:rsid w:val="00AB7A5C"/>
    <w:rsid w:val="00AC1D88"/>
    <w:rsid w:val="00AC7C3B"/>
    <w:rsid w:val="00AD0DE7"/>
    <w:rsid w:val="00AD2BE1"/>
    <w:rsid w:val="00AE388F"/>
    <w:rsid w:val="00AE43C0"/>
    <w:rsid w:val="00AE70DC"/>
    <w:rsid w:val="00AF4328"/>
    <w:rsid w:val="00AF6067"/>
    <w:rsid w:val="00B001F3"/>
    <w:rsid w:val="00B017AC"/>
    <w:rsid w:val="00B1230E"/>
    <w:rsid w:val="00B22C21"/>
    <w:rsid w:val="00B2375A"/>
    <w:rsid w:val="00B24371"/>
    <w:rsid w:val="00B41B4B"/>
    <w:rsid w:val="00B50B9F"/>
    <w:rsid w:val="00B54775"/>
    <w:rsid w:val="00B62344"/>
    <w:rsid w:val="00B623C4"/>
    <w:rsid w:val="00B66BF6"/>
    <w:rsid w:val="00B73632"/>
    <w:rsid w:val="00B76087"/>
    <w:rsid w:val="00B76750"/>
    <w:rsid w:val="00B800D6"/>
    <w:rsid w:val="00B8152B"/>
    <w:rsid w:val="00B93C55"/>
    <w:rsid w:val="00BA0868"/>
    <w:rsid w:val="00BA1196"/>
    <w:rsid w:val="00BA2044"/>
    <w:rsid w:val="00BA25CA"/>
    <w:rsid w:val="00BA4108"/>
    <w:rsid w:val="00BB3E59"/>
    <w:rsid w:val="00BB3FF9"/>
    <w:rsid w:val="00BB7F88"/>
    <w:rsid w:val="00BC4ADE"/>
    <w:rsid w:val="00BC56CF"/>
    <w:rsid w:val="00BD3174"/>
    <w:rsid w:val="00BD7AA5"/>
    <w:rsid w:val="00C04C52"/>
    <w:rsid w:val="00C10B27"/>
    <w:rsid w:val="00C14340"/>
    <w:rsid w:val="00C1449F"/>
    <w:rsid w:val="00C14A50"/>
    <w:rsid w:val="00C2601E"/>
    <w:rsid w:val="00C41009"/>
    <w:rsid w:val="00C566C4"/>
    <w:rsid w:val="00C62A56"/>
    <w:rsid w:val="00C652B7"/>
    <w:rsid w:val="00C65404"/>
    <w:rsid w:val="00C72056"/>
    <w:rsid w:val="00C728F7"/>
    <w:rsid w:val="00C754E8"/>
    <w:rsid w:val="00C860DD"/>
    <w:rsid w:val="00C86950"/>
    <w:rsid w:val="00C91AD4"/>
    <w:rsid w:val="00C93BB1"/>
    <w:rsid w:val="00CB06FF"/>
    <w:rsid w:val="00CB676D"/>
    <w:rsid w:val="00CD4A54"/>
    <w:rsid w:val="00CD534B"/>
    <w:rsid w:val="00CD577E"/>
    <w:rsid w:val="00CD6E36"/>
    <w:rsid w:val="00CD6ECB"/>
    <w:rsid w:val="00CD7FCE"/>
    <w:rsid w:val="00CF6B82"/>
    <w:rsid w:val="00CF6D09"/>
    <w:rsid w:val="00D04FB8"/>
    <w:rsid w:val="00D14A6D"/>
    <w:rsid w:val="00D216C1"/>
    <w:rsid w:val="00D344D1"/>
    <w:rsid w:val="00D36BA5"/>
    <w:rsid w:val="00D37B61"/>
    <w:rsid w:val="00D4047C"/>
    <w:rsid w:val="00D40844"/>
    <w:rsid w:val="00D6236D"/>
    <w:rsid w:val="00D66264"/>
    <w:rsid w:val="00D66599"/>
    <w:rsid w:val="00D730C9"/>
    <w:rsid w:val="00D802FD"/>
    <w:rsid w:val="00D80E71"/>
    <w:rsid w:val="00D85345"/>
    <w:rsid w:val="00D912D0"/>
    <w:rsid w:val="00D93663"/>
    <w:rsid w:val="00DA641D"/>
    <w:rsid w:val="00DA76BE"/>
    <w:rsid w:val="00DB355D"/>
    <w:rsid w:val="00DC09A6"/>
    <w:rsid w:val="00DC2017"/>
    <w:rsid w:val="00DC23BD"/>
    <w:rsid w:val="00DC52CE"/>
    <w:rsid w:val="00DC6CB5"/>
    <w:rsid w:val="00DD0710"/>
    <w:rsid w:val="00DD13FC"/>
    <w:rsid w:val="00DD42C9"/>
    <w:rsid w:val="00DD75BA"/>
    <w:rsid w:val="00DE2C85"/>
    <w:rsid w:val="00DE4D9E"/>
    <w:rsid w:val="00DF0F64"/>
    <w:rsid w:val="00DF1A53"/>
    <w:rsid w:val="00DF3CD9"/>
    <w:rsid w:val="00DF72E4"/>
    <w:rsid w:val="00E004E6"/>
    <w:rsid w:val="00E05E02"/>
    <w:rsid w:val="00E05E7B"/>
    <w:rsid w:val="00E078D2"/>
    <w:rsid w:val="00E12AF5"/>
    <w:rsid w:val="00E3121F"/>
    <w:rsid w:val="00E32F61"/>
    <w:rsid w:val="00E3349E"/>
    <w:rsid w:val="00E34DBD"/>
    <w:rsid w:val="00E43B3E"/>
    <w:rsid w:val="00E4576B"/>
    <w:rsid w:val="00E45EDC"/>
    <w:rsid w:val="00E47B77"/>
    <w:rsid w:val="00E54657"/>
    <w:rsid w:val="00E61F06"/>
    <w:rsid w:val="00E63675"/>
    <w:rsid w:val="00E64F78"/>
    <w:rsid w:val="00E650A5"/>
    <w:rsid w:val="00E71D0D"/>
    <w:rsid w:val="00E72AD1"/>
    <w:rsid w:val="00E75C8D"/>
    <w:rsid w:val="00E76668"/>
    <w:rsid w:val="00E77892"/>
    <w:rsid w:val="00E80FA2"/>
    <w:rsid w:val="00EA2A36"/>
    <w:rsid w:val="00ED2E86"/>
    <w:rsid w:val="00EE460D"/>
    <w:rsid w:val="00EE5B81"/>
    <w:rsid w:val="00EE5EE1"/>
    <w:rsid w:val="00F015A4"/>
    <w:rsid w:val="00F04CBE"/>
    <w:rsid w:val="00F17CB9"/>
    <w:rsid w:val="00F205AD"/>
    <w:rsid w:val="00F247C9"/>
    <w:rsid w:val="00F327EE"/>
    <w:rsid w:val="00F33517"/>
    <w:rsid w:val="00F33938"/>
    <w:rsid w:val="00F35575"/>
    <w:rsid w:val="00F35E46"/>
    <w:rsid w:val="00F442BF"/>
    <w:rsid w:val="00F4616E"/>
    <w:rsid w:val="00F5665C"/>
    <w:rsid w:val="00F578F1"/>
    <w:rsid w:val="00F61788"/>
    <w:rsid w:val="00F668BC"/>
    <w:rsid w:val="00F66D6A"/>
    <w:rsid w:val="00F7211C"/>
    <w:rsid w:val="00F738D3"/>
    <w:rsid w:val="00F76915"/>
    <w:rsid w:val="00F82C6F"/>
    <w:rsid w:val="00F85C71"/>
    <w:rsid w:val="00F9220E"/>
    <w:rsid w:val="00F93AF6"/>
    <w:rsid w:val="00F950BD"/>
    <w:rsid w:val="00F97201"/>
    <w:rsid w:val="00FA27C8"/>
    <w:rsid w:val="00FB3CDC"/>
    <w:rsid w:val="00FB4820"/>
    <w:rsid w:val="00FB705B"/>
    <w:rsid w:val="00FF1E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676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676D"/>
    <w:pPr>
      <w:ind w:left="720"/>
      <w:contextualSpacing/>
    </w:pPr>
  </w:style>
  <w:style w:type="paragraph" w:styleId="FootnoteText">
    <w:name w:val="footnote text"/>
    <w:basedOn w:val="Normal"/>
    <w:link w:val="FootnoteTextChar"/>
    <w:uiPriority w:val="99"/>
    <w:unhideWhenUsed/>
    <w:rsid w:val="00CB676D"/>
    <w:rPr>
      <w:sz w:val="20"/>
      <w:szCs w:val="20"/>
    </w:rPr>
  </w:style>
  <w:style w:type="character" w:customStyle="1" w:styleId="FootnoteTextChar">
    <w:name w:val="Footnote Text Char"/>
    <w:basedOn w:val="DefaultParagraphFont"/>
    <w:link w:val="FootnoteText"/>
    <w:uiPriority w:val="99"/>
    <w:rsid w:val="00CB676D"/>
  </w:style>
  <w:style w:type="character" w:styleId="FootnoteReference">
    <w:name w:val="footnote reference"/>
    <w:basedOn w:val="DefaultParagraphFont"/>
    <w:uiPriority w:val="99"/>
    <w:unhideWhenUsed/>
    <w:rsid w:val="00CB676D"/>
    <w:rPr>
      <w:vertAlign w:val="superscript"/>
    </w:rPr>
  </w:style>
  <w:style w:type="paragraph" w:styleId="Footer">
    <w:name w:val="footer"/>
    <w:basedOn w:val="Normal"/>
    <w:link w:val="FooterChar"/>
    <w:uiPriority w:val="99"/>
    <w:unhideWhenUsed/>
    <w:rsid w:val="00CB676D"/>
    <w:pPr>
      <w:tabs>
        <w:tab w:val="center" w:pos="4680"/>
        <w:tab w:val="right" w:pos="9360"/>
      </w:tabs>
    </w:pPr>
  </w:style>
  <w:style w:type="character" w:customStyle="1" w:styleId="FooterChar">
    <w:name w:val="Footer Char"/>
    <w:basedOn w:val="DefaultParagraphFont"/>
    <w:link w:val="Footer"/>
    <w:uiPriority w:val="99"/>
    <w:rsid w:val="00CB676D"/>
    <w:rPr>
      <w:sz w:val="24"/>
      <w:szCs w:val="24"/>
    </w:rPr>
  </w:style>
  <w:style w:type="paragraph" w:customStyle="1" w:styleId="Default">
    <w:name w:val="Default"/>
    <w:rsid w:val="00CB676D"/>
    <w:pPr>
      <w:autoSpaceDE w:val="0"/>
      <w:autoSpaceDN w:val="0"/>
      <w:adjustRightInd w:val="0"/>
    </w:pPr>
    <w:rPr>
      <w:rFonts w:ascii="Calibri" w:hAnsi="Calibri" w:cs="Calibri"/>
      <w:color w:val="000000"/>
      <w:sz w:val="24"/>
      <w:szCs w:val="24"/>
    </w:rPr>
  </w:style>
  <w:style w:type="paragraph" w:customStyle="1" w:styleId="SP-SglSpPara">
    <w:name w:val="SP-Sgl Sp Para"/>
    <w:link w:val="SP-SglSpParaChar"/>
    <w:rsid w:val="00CB676D"/>
    <w:pPr>
      <w:tabs>
        <w:tab w:val="left" w:pos="576"/>
      </w:tabs>
      <w:spacing w:line="240" w:lineRule="atLeast"/>
      <w:ind w:firstLine="576"/>
      <w:jc w:val="both"/>
    </w:pPr>
    <w:rPr>
      <w:sz w:val="22"/>
    </w:rPr>
  </w:style>
  <w:style w:type="character" w:customStyle="1" w:styleId="SP-SglSpParaChar">
    <w:name w:val="SP-Sgl Sp Para Char"/>
    <w:basedOn w:val="DefaultParagraphFont"/>
    <w:link w:val="SP-SglSpPara"/>
    <w:rsid w:val="00CB676D"/>
    <w:rPr>
      <w:sz w:val="22"/>
    </w:rPr>
  </w:style>
  <w:style w:type="table" w:styleId="TableGrid">
    <w:name w:val="Table Grid"/>
    <w:basedOn w:val="TableNormal"/>
    <w:uiPriority w:val="59"/>
    <w:rsid w:val="00CB676D"/>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CB676D"/>
    <w:rPr>
      <w:b/>
      <w:bCs/>
    </w:rPr>
  </w:style>
  <w:style w:type="character" w:customStyle="1" w:styleId="street-address">
    <w:name w:val="street-address"/>
    <w:basedOn w:val="DefaultParagraphFont"/>
    <w:rsid w:val="00CB676D"/>
  </w:style>
  <w:style w:type="character" w:customStyle="1" w:styleId="locality">
    <w:name w:val="locality"/>
    <w:basedOn w:val="DefaultParagraphFont"/>
    <w:rsid w:val="00CB676D"/>
  </w:style>
  <w:style w:type="character" w:customStyle="1" w:styleId="region">
    <w:name w:val="region"/>
    <w:basedOn w:val="DefaultParagraphFont"/>
    <w:rsid w:val="00CB676D"/>
  </w:style>
  <w:style w:type="character" w:customStyle="1" w:styleId="postal-code">
    <w:name w:val="postal-code"/>
    <w:basedOn w:val="DefaultParagraphFont"/>
    <w:rsid w:val="00CB676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3401</Words>
  <Characters>18269</Characters>
  <Application>Microsoft Office Word</Application>
  <DocSecurity>0</DocSecurity>
  <Lines>152</Lines>
  <Paragraphs>43</Paragraphs>
  <ScaleCrop>false</ScaleCrop>
  <Company>OJP</Company>
  <LinksUpToDate>false</LinksUpToDate>
  <CharactersWithSpaces>21627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pricel</dc:creator>
  <cp:keywords/>
  <dc:description/>
  <cp:lastModifiedBy>pricel</cp:lastModifiedBy>
  <cp:revision>1</cp:revision>
  <dcterms:created xsi:type="dcterms:W3CDTF">2011-08-12T19:57:00Z</dcterms:created>
  <dcterms:modified xsi:type="dcterms:W3CDTF">2011-08-12T19:58:00Z</dcterms:modified>
</cp:coreProperties>
</file>