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895" w:rsidRDefault="00101895" w:rsidP="001837EF">
      <w:pPr>
        <w:pStyle w:val="SL-FlLftSgl"/>
        <w:spacing w:before="290" w:after="260" w:line="360" w:lineRule="auto"/>
        <w:contextualSpacing/>
        <w:jc w:val="center"/>
        <w:rPr>
          <w:b/>
          <w:sz w:val="24"/>
          <w:szCs w:val="24"/>
        </w:rPr>
      </w:pPr>
    </w:p>
    <w:p w:rsidR="00101895" w:rsidRDefault="00101895" w:rsidP="001837EF">
      <w:pPr>
        <w:pStyle w:val="SL-FlLftSgl"/>
        <w:spacing w:before="290" w:after="260" w:line="360" w:lineRule="auto"/>
        <w:contextualSpacing/>
        <w:jc w:val="center"/>
        <w:rPr>
          <w:b/>
          <w:sz w:val="24"/>
          <w:szCs w:val="24"/>
        </w:rPr>
      </w:pPr>
    </w:p>
    <w:p w:rsidR="00101895" w:rsidRDefault="00101895" w:rsidP="001837EF">
      <w:pPr>
        <w:pStyle w:val="SL-FlLftSgl"/>
        <w:spacing w:before="290" w:after="260" w:line="360" w:lineRule="auto"/>
        <w:contextualSpacing/>
        <w:jc w:val="center"/>
        <w:rPr>
          <w:b/>
          <w:sz w:val="24"/>
          <w:szCs w:val="24"/>
        </w:rPr>
      </w:pPr>
    </w:p>
    <w:p w:rsidR="00101895" w:rsidRDefault="00101895" w:rsidP="001837EF">
      <w:pPr>
        <w:pStyle w:val="SL-FlLftSgl"/>
        <w:spacing w:before="290" w:after="260" w:line="360" w:lineRule="auto"/>
        <w:contextualSpacing/>
        <w:jc w:val="center"/>
        <w:rPr>
          <w:b/>
          <w:sz w:val="24"/>
          <w:szCs w:val="24"/>
        </w:rPr>
      </w:pPr>
    </w:p>
    <w:p w:rsidR="00101895" w:rsidRPr="007061F8" w:rsidRDefault="00101895" w:rsidP="001837EF">
      <w:pPr>
        <w:pStyle w:val="SL-FlLftSgl"/>
        <w:spacing w:before="290" w:after="260" w:line="360" w:lineRule="auto"/>
        <w:contextualSpacing/>
        <w:jc w:val="center"/>
        <w:rPr>
          <w:sz w:val="24"/>
          <w:szCs w:val="24"/>
        </w:rPr>
      </w:pPr>
      <w:r w:rsidRPr="007061F8">
        <w:rPr>
          <w:b/>
          <w:sz w:val="24"/>
          <w:szCs w:val="24"/>
        </w:rPr>
        <w:t>Paperwork Reduction Act Submission</w:t>
      </w:r>
      <w:r w:rsidRPr="007061F8">
        <w:rPr>
          <w:sz w:val="24"/>
          <w:szCs w:val="24"/>
        </w:rPr>
        <w:t xml:space="preserve"> </w:t>
      </w:r>
      <w:r w:rsidRPr="007061F8">
        <w:rPr>
          <w:sz w:val="24"/>
          <w:szCs w:val="24"/>
        </w:rPr>
        <w:br/>
        <w:t xml:space="preserve">Supporting Statement </w:t>
      </w:r>
      <w:r>
        <w:rPr>
          <w:sz w:val="24"/>
          <w:szCs w:val="24"/>
        </w:rPr>
        <w:t xml:space="preserve">Part B </w:t>
      </w:r>
      <w:r w:rsidRPr="007061F8">
        <w:rPr>
          <w:sz w:val="24"/>
          <w:szCs w:val="24"/>
        </w:rPr>
        <w:t>for the Office of Disability Employment Policy (ODEP)</w:t>
      </w:r>
    </w:p>
    <w:p w:rsidR="00101895" w:rsidRPr="007061F8" w:rsidRDefault="00101895" w:rsidP="001837EF">
      <w:pPr>
        <w:pStyle w:val="SL-FlLftSgl"/>
        <w:spacing w:before="290" w:after="260" w:line="360" w:lineRule="auto"/>
        <w:contextualSpacing/>
        <w:jc w:val="center"/>
        <w:rPr>
          <w:sz w:val="24"/>
          <w:szCs w:val="24"/>
        </w:rPr>
      </w:pPr>
      <w:r w:rsidRPr="007061F8">
        <w:rPr>
          <w:sz w:val="24"/>
          <w:szCs w:val="24"/>
        </w:rPr>
        <w:t>2010-2013 Disability Employment Initiative Evaluation</w:t>
      </w:r>
    </w:p>
    <w:p w:rsidR="00101895" w:rsidRPr="007061F8" w:rsidRDefault="00101895" w:rsidP="001837EF">
      <w:pPr>
        <w:pStyle w:val="SL-FlLftSgl"/>
        <w:spacing w:before="290" w:after="260" w:line="360" w:lineRule="auto"/>
        <w:contextualSpacing/>
        <w:jc w:val="center"/>
        <w:rPr>
          <w:sz w:val="24"/>
          <w:szCs w:val="24"/>
        </w:rPr>
      </w:pPr>
      <w:r w:rsidRPr="007061F8">
        <w:rPr>
          <w:sz w:val="24"/>
          <w:szCs w:val="24"/>
        </w:rPr>
        <w:t>January 20, 2012</w:t>
      </w:r>
    </w:p>
    <w:p w:rsidR="00101895" w:rsidRPr="00F92AF4" w:rsidRDefault="00101895" w:rsidP="005506DD">
      <w:pPr>
        <w:pStyle w:val="TOCHeading"/>
        <w:spacing w:before="0" w:after="0" w:line="240" w:lineRule="auto"/>
        <w:jc w:val="left"/>
        <w:rPr>
          <w:rFonts w:ascii="Calibri" w:hAnsi="Calibri" w:cs="Calibri"/>
        </w:rPr>
      </w:pPr>
      <w:r>
        <w:rPr>
          <w:rFonts w:ascii="Calibri" w:hAnsi="Calibri" w:cs="Calibri"/>
        </w:rPr>
        <w:br w:type="page"/>
      </w:r>
      <w:r w:rsidRPr="00F92AF4">
        <w:rPr>
          <w:rFonts w:ascii="Calibri" w:hAnsi="Calibri" w:cs="Calibri"/>
        </w:rPr>
        <w:t xml:space="preserve">Table of Contents </w:t>
      </w:r>
    </w:p>
    <w:p w:rsidR="00101895" w:rsidRPr="00F92AF4" w:rsidRDefault="00101895" w:rsidP="00984184">
      <w:pPr>
        <w:pStyle w:val="TOCAlevel"/>
        <w:rPr>
          <w:rFonts w:cs="Calibri"/>
        </w:rPr>
      </w:pPr>
      <w:bookmarkStart w:id="0" w:name="_GoBack"/>
      <w:bookmarkEnd w:id="0"/>
      <w:r>
        <w:rPr>
          <w:noProof/>
        </w:rPr>
        <w:pict>
          <v:line id="Straight Connector 3" o:spid="_x0000_s1028" style="position:absolute;left:0;text-align:left;z-index:251658240;visibility:visible;mso-wrap-distance-top:-1e-4mm;mso-wrap-distance-bottom:-1e-4mm" from="7.2pt,1.25pt" to="43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QUdBqMKyC8UlsbKqUntTMvmn53SOmqI6rlke/r2QBIFjKSNylh4wzcth8+&#10;awYx5OB1FO3U2D5AghzoFHtzvveGnzyicDjN57M8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" o:allowincell="f"/>
        </w:pict>
      </w:r>
      <w:r>
        <w:rPr>
          <w:noProof/>
        </w:rPr>
        <w:pict>
          <v:line id="Straight Connector 2" o:spid="_x0000_s1029" style="position:absolute;left:0;text-align:left;z-index:251659264;visibility:visible;mso-wrap-distance-top:-1e-4mm;mso-wrap-distance-bottom:-1e-4mm" from="0,2.8pt" to="12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" o:allowincell="f" strokeweight="4.5pt"/>
        </w:pict>
      </w:r>
    </w:p>
    <w:p w:rsidR="00101895" w:rsidRPr="00984184" w:rsidRDefault="00101895" w:rsidP="00984184">
      <w:pPr>
        <w:pStyle w:val="TOCAlevel"/>
        <w:rPr>
          <w:b w:val="0"/>
        </w:rPr>
      </w:pPr>
      <w:bookmarkStart w:id="1" w:name="_Toc286649250"/>
      <w:r w:rsidRPr="00984184">
        <w:rPr>
          <w:b w:val="0"/>
        </w:rPr>
        <w:t>Part B: Collection of Information Employing Statistical Methods</w:t>
      </w:r>
      <w:r w:rsidRPr="00984184">
        <w:rPr>
          <w:b w:val="0"/>
        </w:rPr>
        <w:tab/>
      </w:r>
      <w:r w:rsidRPr="00984184">
        <w:rPr>
          <w:b w:val="0"/>
        </w:rPr>
        <w:tab/>
        <w:t xml:space="preserve">    </w:t>
      </w:r>
      <w:bookmarkEnd w:id="1"/>
      <w:r w:rsidRPr="00984184">
        <w:rPr>
          <w:b w:val="0"/>
        </w:rPr>
        <w:t>2</w:t>
      </w:r>
    </w:p>
    <w:p w:rsidR="00101895" w:rsidRPr="00984184" w:rsidRDefault="00101895" w:rsidP="00984184">
      <w:pPr>
        <w:pStyle w:val="TOCAlevel"/>
        <w:rPr>
          <w:b w:val="0"/>
        </w:rPr>
      </w:pPr>
      <w:r w:rsidRPr="00984184">
        <w:rPr>
          <w:b w:val="0"/>
        </w:rPr>
        <w:tab/>
      </w:r>
      <w:bookmarkStart w:id="2" w:name="_Toc286649251"/>
      <w:r w:rsidRPr="00984184">
        <w:rPr>
          <w:b w:val="0"/>
        </w:rPr>
        <w:t>B.1    Respondent Universe and Sampling Methods</w:t>
      </w:r>
      <w:r w:rsidRPr="00984184">
        <w:rPr>
          <w:b w:val="0"/>
        </w:rPr>
        <w:tab/>
        <w:t xml:space="preserve">    </w:t>
      </w:r>
      <w:bookmarkEnd w:id="2"/>
      <w:r w:rsidRPr="00984184">
        <w:rPr>
          <w:b w:val="0"/>
        </w:rPr>
        <w:t>2</w:t>
      </w:r>
    </w:p>
    <w:p w:rsidR="00101895" w:rsidRPr="00984184" w:rsidRDefault="00101895" w:rsidP="00984184">
      <w:pPr>
        <w:pStyle w:val="TOCAlevel"/>
        <w:rPr>
          <w:b w:val="0"/>
        </w:rPr>
      </w:pPr>
      <w:r w:rsidRPr="00984184">
        <w:rPr>
          <w:b w:val="0"/>
        </w:rPr>
        <w:tab/>
      </w:r>
      <w:r w:rsidRPr="00984184">
        <w:rPr>
          <w:b w:val="0"/>
        </w:rPr>
        <w:tab/>
        <w:t>B.1.1    Site Selection</w:t>
      </w:r>
      <w:r w:rsidRPr="00984184">
        <w:rPr>
          <w:b w:val="0"/>
        </w:rPr>
        <w:tab/>
        <w:t xml:space="preserve">    2</w:t>
      </w:r>
    </w:p>
    <w:p w:rsidR="00101895" w:rsidRPr="00984184" w:rsidRDefault="00101895" w:rsidP="00984184">
      <w:pPr>
        <w:pStyle w:val="TOCAlevel"/>
        <w:rPr>
          <w:b w:val="0"/>
        </w:rPr>
      </w:pPr>
      <w:r w:rsidRPr="00984184">
        <w:rPr>
          <w:b w:val="0"/>
        </w:rPr>
        <w:tab/>
      </w:r>
      <w:r w:rsidRPr="00984184">
        <w:rPr>
          <w:b w:val="0"/>
        </w:rPr>
        <w:tab/>
        <w:t>B.1.2    Respondent Universe and Study Sample Size</w:t>
      </w:r>
      <w:r w:rsidRPr="00984184">
        <w:rPr>
          <w:b w:val="0"/>
        </w:rPr>
        <w:tab/>
        <w:t xml:space="preserve">    7</w:t>
      </w:r>
    </w:p>
    <w:p w:rsidR="00101895" w:rsidRPr="00984184" w:rsidRDefault="00101895" w:rsidP="00984184">
      <w:pPr>
        <w:pStyle w:val="TOCAlevel"/>
        <w:rPr>
          <w:b w:val="0"/>
        </w:rPr>
      </w:pPr>
    </w:p>
    <w:p w:rsidR="00101895" w:rsidRPr="00984184" w:rsidRDefault="00101895" w:rsidP="00984184">
      <w:pPr>
        <w:pStyle w:val="TOCAlevel"/>
        <w:rPr>
          <w:b w:val="0"/>
        </w:rPr>
      </w:pPr>
      <w:r w:rsidRPr="00984184">
        <w:rPr>
          <w:b w:val="0"/>
        </w:rPr>
        <w:tab/>
        <w:t>B.2    Procedures for the Collection of Information</w:t>
      </w:r>
      <w:r w:rsidRPr="00984184">
        <w:rPr>
          <w:b w:val="0"/>
        </w:rPr>
        <w:tab/>
        <w:t xml:space="preserve">    10</w:t>
      </w:r>
    </w:p>
    <w:p w:rsidR="00101895" w:rsidRPr="00984184" w:rsidRDefault="00101895" w:rsidP="00984184">
      <w:pPr>
        <w:pStyle w:val="TOCAlevel"/>
        <w:rPr>
          <w:b w:val="0"/>
        </w:rPr>
      </w:pPr>
      <w:r w:rsidRPr="00984184">
        <w:rPr>
          <w:b w:val="0"/>
        </w:rPr>
        <w:tab/>
      </w:r>
      <w:r w:rsidRPr="00984184">
        <w:rPr>
          <w:b w:val="0"/>
        </w:rPr>
        <w:tab/>
        <w:t>B.2.1   Power Analysis</w:t>
      </w:r>
      <w:r w:rsidRPr="00984184">
        <w:rPr>
          <w:b w:val="0"/>
        </w:rPr>
        <w:tab/>
        <w:t xml:space="preserve">    12</w:t>
      </w:r>
    </w:p>
    <w:p w:rsidR="00101895" w:rsidRPr="00984184" w:rsidRDefault="00101895" w:rsidP="00984184">
      <w:pPr>
        <w:pStyle w:val="TOCAlevel"/>
        <w:rPr>
          <w:b w:val="0"/>
        </w:rPr>
      </w:pPr>
    </w:p>
    <w:p w:rsidR="00101895" w:rsidRPr="00984184" w:rsidRDefault="00101895" w:rsidP="00984184">
      <w:pPr>
        <w:pStyle w:val="TOCAlevel"/>
        <w:rPr>
          <w:b w:val="0"/>
        </w:rPr>
      </w:pPr>
      <w:r w:rsidRPr="00984184">
        <w:rPr>
          <w:b w:val="0"/>
        </w:rPr>
        <w:tab/>
        <w:t>B.3    Methods of Maximize Response Rates and Deal with Non-Response</w:t>
      </w:r>
      <w:r w:rsidRPr="00984184">
        <w:rPr>
          <w:b w:val="0"/>
        </w:rPr>
        <w:tab/>
        <w:t xml:space="preserve">    14</w:t>
      </w:r>
    </w:p>
    <w:p w:rsidR="00101895" w:rsidRPr="00984184" w:rsidRDefault="00101895" w:rsidP="00984184">
      <w:pPr>
        <w:pStyle w:val="TOCAlevel"/>
        <w:rPr>
          <w:b w:val="0"/>
        </w:rPr>
      </w:pPr>
      <w:r w:rsidRPr="00984184">
        <w:rPr>
          <w:b w:val="0"/>
        </w:rPr>
        <w:tab/>
      </w:r>
      <w:r w:rsidRPr="00984184">
        <w:rPr>
          <w:b w:val="0"/>
        </w:rPr>
        <w:tab/>
        <w:t>B.3.1   Site Visits</w:t>
      </w:r>
      <w:r w:rsidRPr="00984184">
        <w:rPr>
          <w:b w:val="0"/>
        </w:rPr>
        <w:tab/>
        <w:t xml:space="preserve">    14</w:t>
      </w:r>
    </w:p>
    <w:p w:rsidR="00101895" w:rsidRPr="00984184" w:rsidRDefault="00101895" w:rsidP="00984184">
      <w:pPr>
        <w:pStyle w:val="TOCAlevel"/>
        <w:rPr>
          <w:b w:val="0"/>
        </w:rPr>
      </w:pPr>
      <w:r w:rsidRPr="00984184">
        <w:rPr>
          <w:b w:val="0"/>
        </w:rPr>
        <w:tab/>
      </w:r>
      <w:r w:rsidRPr="00984184">
        <w:rPr>
          <w:b w:val="0"/>
        </w:rPr>
        <w:tab/>
        <w:t>B.3.2   DEI Data System</w:t>
      </w:r>
      <w:r w:rsidRPr="00984184">
        <w:rPr>
          <w:b w:val="0"/>
        </w:rPr>
        <w:tab/>
        <w:t xml:space="preserve">    15</w:t>
      </w:r>
    </w:p>
    <w:p w:rsidR="00101895" w:rsidRPr="00984184" w:rsidRDefault="00101895" w:rsidP="00984184">
      <w:pPr>
        <w:pStyle w:val="TOCAlevel"/>
        <w:rPr>
          <w:b w:val="0"/>
        </w:rPr>
      </w:pPr>
    </w:p>
    <w:p w:rsidR="00101895" w:rsidRDefault="00101895" w:rsidP="00984184">
      <w:pPr>
        <w:pStyle w:val="TOCAlevel"/>
        <w:rPr>
          <w:b w:val="0"/>
        </w:rPr>
      </w:pPr>
      <w:r w:rsidRPr="00984184">
        <w:rPr>
          <w:b w:val="0"/>
        </w:rPr>
        <w:tab/>
        <w:t>B.4    Tests of Procedures or Methods to be Undertaken</w:t>
      </w:r>
      <w:r w:rsidRPr="00984184">
        <w:rPr>
          <w:b w:val="0"/>
        </w:rPr>
        <w:tab/>
        <w:t xml:space="preserve">    15</w:t>
      </w:r>
    </w:p>
    <w:p w:rsidR="00101895" w:rsidRPr="00984184" w:rsidRDefault="00101895" w:rsidP="00984184">
      <w:pPr>
        <w:pStyle w:val="TOCAlevel"/>
        <w:rPr>
          <w:b w:val="0"/>
        </w:rPr>
      </w:pPr>
    </w:p>
    <w:p w:rsidR="00101895" w:rsidRPr="00984184" w:rsidRDefault="00101895" w:rsidP="00984184">
      <w:pPr>
        <w:pStyle w:val="TOCAlevel"/>
        <w:rPr>
          <w:b w:val="0"/>
        </w:rPr>
      </w:pPr>
      <w:r w:rsidRPr="00984184">
        <w:rPr>
          <w:b w:val="0"/>
        </w:rPr>
        <w:tab/>
        <w:t>B.5    Individuals Consulted on Statistical Aspects and/or Analyzing Data</w:t>
      </w:r>
      <w:r w:rsidRPr="00984184">
        <w:rPr>
          <w:b w:val="0"/>
        </w:rPr>
        <w:tab/>
        <w:t xml:space="preserve">    16</w:t>
      </w:r>
    </w:p>
    <w:p w:rsidR="00101895" w:rsidRPr="00F92AF4" w:rsidRDefault="00101895" w:rsidP="005506DD">
      <w:pPr>
        <w:tabs>
          <w:tab w:val="clear" w:pos="432"/>
          <w:tab w:val="left" w:pos="720"/>
          <w:tab w:val="left" w:leader="dot" w:pos="8064"/>
        </w:tabs>
        <w:spacing w:before="80" w:line="240" w:lineRule="auto"/>
        <w:ind w:firstLine="720"/>
        <w:jc w:val="left"/>
        <w:rPr>
          <w:rFonts w:ascii="Calibri" w:hAnsi="Calibri"/>
          <w:b/>
        </w:rPr>
      </w:pPr>
      <w:r w:rsidRPr="00F92AF4">
        <w:rPr>
          <w:rFonts w:ascii="Calibri" w:hAnsi="Calibri"/>
        </w:rPr>
        <w:t>References – Part B</w:t>
      </w:r>
      <w:r w:rsidRPr="00F92AF4">
        <w:rPr>
          <w:rFonts w:ascii="Calibri" w:hAnsi="Calibri"/>
        </w:rPr>
        <w:tab/>
        <w:t xml:space="preserve">    17</w:t>
      </w:r>
    </w:p>
    <w:p w:rsidR="00101895" w:rsidRPr="00F92AF4" w:rsidRDefault="00101895" w:rsidP="005506DD">
      <w:pPr>
        <w:tabs>
          <w:tab w:val="left" w:leader="dot" w:pos="8064"/>
        </w:tabs>
        <w:spacing w:line="240" w:lineRule="auto"/>
        <w:ind w:firstLine="0"/>
        <w:jc w:val="left"/>
        <w:rPr>
          <w:rFonts w:ascii="Calibri" w:hAnsi="Calibri"/>
          <w:b/>
          <w:sz w:val="22"/>
          <w:szCs w:val="22"/>
        </w:rPr>
      </w:pPr>
    </w:p>
    <w:p w:rsidR="00101895" w:rsidRPr="00F92AF4" w:rsidRDefault="00101895" w:rsidP="005506DD">
      <w:pPr>
        <w:tabs>
          <w:tab w:val="left" w:leader="dot" w:pos="8064"/>
        </w:tabs>
        <w:spacing w:line="240" w:lineRule="auto"/>
        <w:ind w:firstLine="0"/>
        <w:jc w:val="left"/>
        <w:rPr>
          <w:rFonts w:ascii="Calibri" w:hAnsi="Calibri"/>
          <w:b/>
        </w:rPr>
      </w:pPr>
      <w:r w:rsidRPr="00F92AF4">
        <w:rPr>
          <w:rFonts w:ascii="Calibri" w:hAnsi="Calibri"/>
          <w:b/>
        </w:rPr>
        <w:t xml:space="preserve">List of Tables </w:t>
      </w:r>
    </w:p>
    <w:p w:rsidR="00101895" w:rsidRPr="00F92AF4" w:rsidRDefault="00101895" w:rsidP="005506DD">
      <w:pPr>
        <w:tabs>
          <w:tab w:val="left" w:leader="dot" w:pos="8064"/>
        </w:tabs>
        <w:spacing w:line="240" w:lineRule="auto"/>
        <w:ind w:firstLine="0"/>
        <w:jc w:val="left"/>
        <w:rPr>
          <w:rFonts w:ascii="Calibri" w:hAnsi="Calibri"/>
          <w:b/>
        </w:rPr>
      </w:pPr>
    </w:p>
    <w:p w:rsidR="00101895" w:rsidRPr="00F92AF4" w:rsidRDefault="00101895" w:rsidP="005506DD">
      <w:pPr>
        <w:pStyle w:val="BodyText"/>
        <w:tabs>
          <w:tab w:val="clear" w:pos="432"/>
          <w:tab w:val="left" w:pos="720"/>
          <w:tab w:val="left" w:pos="1170"/>
          <w:tab w:val="left" w:leader="dot" w:pos="8078"/>
        </w:tabs>
        <w:spacing w:after="0" w:line="240" w:lineRule="auto"/>
        <w:ind w:firstLine="720"/>
        <w:jc w:val="left"/>
        <w:rPr>
          <w:rFonts w:ascii="Calibri" w:hAnsi="Calibri"/>
        </w:rPr>
      </w:pPr>
      <w:r w:rsidRPr="00F92AF4">
        <w:rPr>
          <w:rFonts w:ascii="Calibri" w:hAnsi="Calibri"/>
        </w:rPr>
        <w:t>Table B.1:     LWIAs Included in the Selection Pool, the Stratum to Which</w:t>
      </w:r>
    </w:p>
    <w:p w:rsidR="00101895" w:rsidRPr="00F92AF4" w:rsidRDefault="00101895" w:rsidP="005506DD">
      <w:pPr>
        <w:pStyle w:val="BodyText"/>
        <w:tabs>
          <w:tab w:val="clear" w:pos="432"/>
          <w:tab w:val="left" w:pos="720"/>
          <w:tab w:val="left" w:pos="1170"/>
          <w:tab w:val="left" w:leader="dot" w:pos="8078"/>
        </w:tabs>
        <w:spacing w:line="240" w:lineRule="auto"/>
        <w:ind w:firstLine="720"/>
        <w:jc w:val="left"/>
        <w:rPr>
          <w:rFonts w:ascii="Calibri" w:hAnsi="Calibri"/>
        </w:rPr>
      </w:pPr>
      <w:r w:rsidRPr="00F92AF4">
        <w:rPr>
          <w:rFonts w:ascii="Calibri" w:hAnsi="Calibri"/>
        </w:rPr>
        <w:t xml:space="preserve">                      Each Was Assigned, and Random Assignment Outcome </w:t>
      </w:r>
      <w:r w:rsidRPr="00F92AF4">
        <w:rPr>
          <w:rFonts w:ascii="Calibri" w:hAnsi="Calibri"/>
        </w:rPr>
        <w:tab/>
        <w:t xml:space="preserve">    4</w:t>
      </w:r>
    </w:p>
    <w:p w:rsidR="00101895" w:rsidRPr="00F92AF4" w:rsidRDefault="00101895" w:rsidP="005506DD">
      <w:pPr>
        <w:tabs>
          <w:tab w:val="left" w:leader="dot" w:pos="8064"/>
        </w:tabs>
        <w:spacing w:line="240" w:lineRule="auto"/>
        <w:ind w:firstLine="0"/>
        <w:jc w:val="left"/>
        <w:rPr>
          <w:rFonts w:ascii="Calibri" w:hAnsi="Calibri"/>
          <w:b/>
          <w:sz w:val="16"/>
          <w:szCs w:val="16"/>
        </w:rPr>
      </w:pPr>
    </w:p>
    <w:p w:rsidR="00101895" w:rsidRPr="00F92AF4" w:rsidRDefault="00101895" w:rsidP="005506DD">
      <w:pPr>
        <w:pStyle w:val="BodyText"/>
        <w:tabs>
          <w:tab w:val="clear" w:pos="432"/>
          <w:tab w:val="left" w:pos="720"/>
          <w:tab w:val="left" w:pos="1170"/>
          <w:tab w:val="left" w:leader="dot" w:pos="8078"/>
        </w:tabs>
        <w:spacing w:after="0" w:line="240" w:lineRule="auto"/>
        <w:ind w:firstLine="720"/>
        <w:jc w:val="left"/>
        <w:rPr>
          <w:rFonts w:ascii="Calibri" w:hAnsi="Calibri"/>
        </w:rPr>
      </w:pPr>
      <w:r w:rsidRPr="00F92AF4">
        <w:rPr>
          <w:rFonts w:ascii="Calibri" w:hAnsi="Calibri"/>
        </w:rPr>
        <w:t xml:space="preserve">Table B.2:     Number of LWIAs Participating in the DEI and </w:t>
      </w:r>
    </w:p>
    <w:p w:rsidR="00101895" w:rsidRPr="00F92AF4" w:rsidRDefault="00101895" w:rsidP="005506DD">
      <w:pPr>
        <w:pStyle w:val="BodyText"/>
        <w:tabs>
          <w:tab w:val="clear" w:pos="432"/>
          <w:tab w:val="left" w:pos="720"/>
          <w:tab w:val="left" w:pos="1170"/>
          <w:tab w:val="left" w:leader="dot" w:pos="8078"/>
        </w:tabs>
        <w:spacing w:after="0" w:line="240" w:lineRule="auto"/>
        <w:ind w:firstLine="720"/>
        <w:jc w:val="left"/>
        <w:rPr>
          <w:rFonts w:ascii="Calibri" w:hAnsi="Calibri"/>
        </w:rPr>
      </w:pPr>
      <w:r w:rsidRPr="00F92AF4">
        <w:rPr>
          <w:rFonts w:ascii="Calibri" w:hAnsi="Calibri"/>
        </w:rPr>
        <w:t xml:space="preserve">                      Estimated Number of Individuals Participating in the DEI </w:t>
      </w:r>
    </w:p>
    <w:p w:rsidR="00101895" w:rsidRPr="00F92AF4" w:rsidRDefault="00101895" w:rsidP="005506DD">
      <w:pPr>
        <w:pStyle w:val="BodyText"/>
        <w:tabs>
          <w:tab w:val="clear" w:pos="432"/>
          <w:tab w:val="left" w:pos="720"/>
          <w:tab w:val="left" w:pos="1170"/>
          <w:tab w:val="left" w:leader="dot" w:pos="8078"/>
        </w:tabs>
        <w:spacing w:line="240" w:lineRule="auto"/>
        <w:ind w:firstLine="720"/>
        <w:jc w:val="left"/>
        <w:rPr>
          <w:rFonts w:ascii="Calibri" w:hAnsi="Calibri"/>
        </w:rPr>
      </w:pPr>
      <w:r w:rsidRPr="00F92AF4">
        <w:rPr>
          <w:rFonts w:ascii="Calibri" w:hAnsi="Calibri"/>
        </w:rPr>
        <w:tab/>
        <w:t xml:space="preserve">               Data Collection</w:t>
      </w:r>
      <w:r w:rsidRPr="00F92AF4">
        <w:rPr>
          <w:rFonts w:ascii="Calibri" w:hAnsi="Calibri"/>
        </w:rPr>
        <w:tab/>
        <w:t xml:space="preserve">    8</w:t>
      </w:r>
    </w:p>
    <w:p w:rsidR="00101895" w:rsidRPr="00F92AF4" w:rsidRDefault="00101895" w:rsidP="005506DD">
      <w:pPr>
        <w:tabs>
          <w:tab w:val="left" w:leader="dot" w:pos="8064"/>
        </w:tabs>
        <w:spacing w:line="240" w:lineRule="auto"/>
        <w:ind w:firstLine="0"/>
        <w:jc w:val="left"/>
        <w:rPr>
          <w:rFonts w:ascii="Calibri" w:hAnsi="Calibri"/>
          <w:b/>
          <w:sz w:val="16"/>
          <w:szCs w:val="16"/>
        </w:rPr>
      </w:pPr>
    </w:p>
    <w:p w:rsidR="00101895" w:rsidRPr="00F92AF4" w:rsidRDefault="00101895" w:rsidP="005506DD">
      <w:pPr>
        <w:pStyle w:val="BodyText"/>
        <w:tabs>
          <w:tab w:val="clear" w:pos="432"/>
          <w:tab w:val="left" w:pos="720"/>
          <w:tab w:val="left" w:pos="1170"/>
          <w:tab w:val="left" w:leader="dot" w:pos="8078"/>
        </w:tabs>
        <w:spacing w:after="0" w:line="240" w:lineRule="auto"/>
        <w:ind w:firstLine="720"/>
        <w:jc w:val="left"/>
        <w:rPr>
          <w:rFonts w:ascii="Calibri" w:hAnsi="Calibri"/>
        </w:rPr>
      </w:pPr>
      <w:r w:rsidRPr="00F92AF4">
        <w:rPr>
          <w:rFonts w:ascii="Calibri" w:hAnsi="Calibri"/>
        </w:rPr>
        <w:t xml:space="preserve">Table B.3:     MDE and Margin of Error Estimates for Key Outcomes </w:t>
      </w:r>
      <w:r w:rsidRPr="00F92AF4">
        <w:rPr>
          <w:rFonts w:ascii="Calibri" w:hAnsi="Calibri"/>
        </w:rPr>
        <w:tab/>
        <w:t xml:space="preserve">  12</w:t>
      </w:r>
    </w:p>
    <w:p w:rsidR="00101895" w:rsidRPr="00984184" w:rsidRDefault="00101895" w:rsidP="000233C2">
      <w:pPr>
        <w:tabs>
          <w:tab w:val="clear" w:pos="432"/>
        </w:tabs>
        <w:spacing w:line="240" w:lineRule="auto"/>
        <w:ind w:firstLine="0"/>
        <w:jc w:val="left"/>
        <w:rPr>
          <w:rFonts w:ascii="Calibri" w:hAnsi="Calibri" w:cs="Calibri"/>
          <w:b/>
        </w:rPr>
      </w:pPr>
    </w:p>
    <w:p w:rsidR="00101895" w:rsidRPr="00984184" w:rsidRDefault="00101895" w:rsidP="00984184">
      <w:pPr>
        <w:pStyle w:val="TOCAlevel"/>
      </w:pPr>
      <w:bookmarkStart w:id="3" w:name="_Toc286649295"/>
      <w:r w:rsidRPr="00984184">
        <w:t>Appendices</w:t>
      </w:r>
      <w:r w:rsidRPr="00984184">
        <w:tab/>
      </w:r>
      <w:bookmarkEnd w:id="3"/>
    </w:p>
    <w:p w:rsidR="00101895" w:rsidRPr="00984184" w:rsidRDefault="00101895" w:rsidP="00984184">
      <w:pPr>
        <w:pStyle w:val="TOCAlevel"/>
        <w:rPr>
          <w:b w:val="0"/>
        </w:rPr>
      </w:pPr>
      <w:r w:rsidRPr="00984184">
        <w:rPr>
          <w:b w:val="0"/>
        </w:rPr>
        <w:tab/>
      </w:r>
      <w:bookmarkStart w:id="4" w:name="_Toc286649296"/>
      <w:r w:rsidRPr="00984184">
        <w:rPr>
          <w:b w:val="0"/>
        </w:rPr>
        <w:t>Appendix 5: S</w:t>
      </w:r>
      <w:bookmarkEnd w:id="4"/>
      <w:r w:rsidRPr="00984184">
        <w:rPr>
          <w:b w:val="0"/>
        </w:rPr>
        <w:t>ystem Change Framework</w:t>
      </w:r>
      <w:r>
        <w:rPr>
          <w:b w:val="0"/>
        </w:rPr>
        <w:t xml:space="preserve"> </w:t>
      </w:r>
      <w:r w:rsidRPr="00F92AF4">
        <w:tab/>
      </w:r>
      <w:r>
        <w:t xml:space="preserve"> </w:t>
      </w:r>
      <w:r w:rsidRPr="00984184">
        <w:rPr>
          <w:b w:val="0"/>
        </w:rPr>
        <w:t>20</w:t>
      </w:r>
    </w:p>
    <w:p w:rsidR="00101895" w:rsidRPr="00984184" w:rsidRDefault="00101895" w:rsidP="00984184">
      <w:pPr>
        <w:pStyle w:val="TOCAlevel"/>
        <w:rPr>
          <w:b w:val="0"/>
        </w:rPr>
      </w:pPr>
      <w:r w:rsidRPr="00984184">
        <w:rPr>
          <w:b w:val="0"/>
        </w:rPr>
        <w:tab/>
      </w:r>
      <w:bookmarkStart w:id="5" w:name="_Toc286649297"/>
      <w:r w:rsidRPr="00984184">
        <w:rPr>
          <w:b w:val="0"/>
        </w:rPr>
        <w:t xml:space="preserve">Appendix 6: </w:t>
      </w:r>
      <w:bookmarkEnd w:id="5"/>
      <w:r w:rsidRPr="00984184">
        <w:rPr>
          <w:b w:val="0"/>
        </w:rPr>
        <w:t>Solicitations for Grant Application – Rounds One and Two</w:t>
      </w:r>
      <w:r>
        <w:rPr>
          <w:b w:val="0"/>
        </w:rPr>
        <w:t xml:space="preserve"> </w:t>
      </w:r>
      <w:r w:rsidRPr="00F92AF4">
        <w:tab/>
      </w:r>
      <w:r>
        <w:t xml:space="preserve"> </w:t>
      </w:r>
      <w:r w:rsidRPr="00984184">
        <w:rPr>
          <w:b w:val="0"/>
        </w:rPr>
        <w:t>22</w:t>
      </w:r>
    </w:p>
    <w:p w:rsidR="00101895" w:rsidRDefault="00101895">
      <w:pPr>
        <w:tabs>
          <w:tab w:val="clear" w:pos="432"/>
        </w:tabs>
        <w:spacing w:line="240" w:lineRule="auto"/>
        <w:ind w:firstLine="0"/>
        <w:jc w:val="left"/>
        <w:rPr>
          <w:rFonts w:ascii="Calibri" w:hAnsi="Calibri" w:cs="Calibri"/>
          <w:b/>
        </w:rPr>
      </w:pPr>
      <w:r>
        <w:rPr>
          <w:rFonts w:ascii="Calibri" w:hAnsi="Calibri" w:cs="Calibri"/>
          <w:b/>
        </w:rPr>
        <w:br w:type="page"/>
      </w:r>
    </w:p>
    <w:p w:rsidR="00101895" w:rsidRPr="00AA66B8" w:rsidRDefault="00101895" w:rsidP="000233C2">
      <w:pPr>
        <w:tabs>
          <w:tab w:val="clear" w:pos="432"/>
        </w:tabs>
        <w:spacing w:line="240" w:lineRule="auto"/>
        <w:ind w:firstLine="0"/>
        <w:jc w:val="left"/>
        <w:rPr>
          <w:rFonts w:ascii="Calibri" w:hAnsi="Calibri" w:cs="Calibri"/>
          <w:b/>
        </w:rPr>
      </w:pPr>
      <w:r w:rsidRPr="00AA66B8">
        <w:rPr>
          <w:rFonts w:ascii="Calibri" w:hAnsi="Calibri" w:cs="Calibri"/>
          <w:b/>
        </w:rPr>
        <w:t>PART B.</w:t>
      </w:r>
      <w:r w:rsidRPr="00AA66B8">
        <w:rPr>
          <w:rFonts w:ascii="Calibri" w:hAnsi="Calibri" w:cs="Calibri"/>
          <w:b/>
        </w:rPr>
        <w:tab/>
        <w:t>COLLECTION OF INFORMATION EMPLOYING STATISTICAL METHODS</w:t>
      </w:r>
    </w:p>
    <w:p w:rsidR="00101895" w:rsidRDefault="00101895" w:rsidP="004224B4">
      <w:pPr>
        <w:tabs>
          <w:tab w:val="left" w:pos="1080"/>
        </w:tabs>
        <w:spacing w:line="240" w:lineRule="auto"/>
        <w:ind w:firstLine="0"/>
        <w:jc w:val="left"/>
        <w:rPr>
          <w:rFonts w:ascii="Calibri" w:hAnsi="Calibri" w:cs="Calibri"/>
          <w:b/>
        </w:rPr>
      </w:pPr>
    </w:p>
    <w:p w:rsidR="00101895" w:rsidRDefault="00101895" w:rsidP="00EF75E0">
      <w:pPr>
        <w:tabs>
          <w:tab w:val="left" w:pos="1080"/>
        </w:tabs>
        <w:spacing w:line="240" w:lineRule="auto"/>
        <w:ind w:firstLine="0"/>
        <w:jc w:val="left"/>
        <w:rPr>
          <w:rFonts w:ascii="Calibri" w:hAnsi="Calibri" w:cs="Calibri"/>
          <w:sz w:val="22"/>
          <w:szCs w:val="22"/>
        </w:rPr>
      </w:pPr>
      <w:r>
        <w:rPr>
          <w:rFonts w:ascii="Calibri" w:hAnsi="Calibri" w:cs="Calibri"/>
          <w:sz w:val="22"/>
          <w:szCs w:val="22"/>
        </w:rPr>
        <w:tab/>
      </w:r>
      <w:r w:rsidRPr="003966A5">
        <w:rPr>
          <w:rFonts w:ascii="Calibri" w:hAnsi="Calibri" w:cs="Calibri"/>
          <w:sz w:val="22"/>
          <w:szCs w:val="22"/>
        </w:rPr>
        <w:t xml:space="preserve">Because of the DEI’s emphasis on systems change, the unit of analysis for the DEI evaluation is the LWIA and random assignment </w:t>
      </w:r>
      <w:r>
        <w:rPr>
          <w:rFonts w:ascii="Calibri" w:hAnsi="Calibri" w:cs="Calibri"/>
          <w:sz w:val="22"/>
          <w:szCs w:val="22"/>
        </w:rPr>
        <w:t>must</w:t>
      </w:r>
      <w:r w:rsidRPr="003966A5">
        <w:rPr>
          <w:rFonts w:ascii="Calibri" w:hAnsi="Calibri" w:cs="Calibri"/>
          <w:sz w:val="22"/>
          <w:szCs w:val="22"/>
        </w:rPr>
        <w:t xml:space="preserve"> be conducted at the LWIA </w:t>
      </w:r>
      <w:r>
        <w:rPr>
          <w:rFonts w:ascii="Calibri" w:hAnsi="Calibri" w:cs="Calibri"/>
          <w:sz w:val="22"/>
          <w:szCs w:val="22"/>
        </w:rPr>
        <w:t xml:space="preserve">(or system) </w:t>
      </w:r>
      <w:r w:rsidRPr="003966A5">
        <w:rPr>
          <w:rFonts w:ascii="Calibri" w:hAnsi="Calibri" w:cs="Calibri"/>
          <w:sz w:val="22"/>
          <w:szCs w:val="22"/>
        </w:rPr>
        <w:t>level</w:t>
      </w:r>
      <w:r>
        <w:rPr>
          <w:rFonts w:ascii="Calibri" w:hAnsi="Calibri" w:cs="Calibri"/>
          <w:sz w:val="22"/>
          <w:szCs w:val="22"/>
        </w:rPr>
        <w:t xml:space="preserve">. In traditional </w:t>
      </w:r>
      <w:r w:rsidRPr="000976FB">
        <w:rPr>
          <w:rFonts w:ascii="Calibri" w:hAnsi="Calibri" w:cs="Calibri"/>
          <w:i/>
          <w:sz w:val="22"/>
          <w:szCs w:val="22"/>
        </w:rPr>
        <w:t>experimental</w:t>
      </w:r>
      <w:r>
        <w:rPr>
          <w:rFonts w:ascii="Calibri" w:hAnsi="Calibri" w:cs="Calibri"/>
          <w:sz w:val="22"/>
          <w:szCs w:val="22"/>
        </w:rPr>
        <w:t xml:space="preserve"> studies of employment programs, One-Stop customers </w:t>
      </w:r>
      <w:r w:rsidRPr="00B63344">
        <w:rPr>
          <w:rFonts w:ascii="Calibri" w:hAnsi="Calibri" w:cs="Calibri"/>
          <w:sz w:val="22"/>
          <w:szCs w:val="22"/>
        </w:rPr>
        <w:t xml:space="preserve">are randomly assigned to </w:t>
      </w:r>
      <w:r>
        <w:rPr>
          <w:rFonts w:ascii="Calibri" w:hAnsi="Calibri" w:cs="Calibri"/>
          <w:sz w:val="22"/>
          <w:szCs w:val="22"/>
        </w:rPr>
        <w:t xml:space="preserve">the treatment group or a control group so that the impact of the program can be </w:t>
      </w:r>
      <w:r w:rsidRPr="00B63344">
        <w:rPr>
          <w:rFonts w:ascii="Calibri" w:hAnsi="Calibri" w:cs="Calibri"/>
          <w:sz w:val="22"/>
          <w:szCs w:val="22"/>
        </w:rPr>
        <w:t xml:space="preserve">estimated by comparing </w:t>
      </w:r>
      <w:r>
        <w:rPr>
          <w:rFonts w:ascii="Calibri" w:hAnsi="Calibri" w:cs="Calibri"/>
          <w:sz w:val="22"/>
          <w:szCs w:val="22"/>
        </w:rPr>
        <w:t>the program outcomes of each group.</w:t>
      </w:r>
      <w:r w:rsidRPr="00B63344">
        <w:rPr>
          <w:rFonts w:ascii="Calibri" w:hAnsi="Calibri" w:cs="Calibri"/>
          <w:sz w:val="22"/>
          <w:szCs w:val="22"/>
        </w:rPr>
        <w:t xml:space="preserve"> </w:t>
      </w:r>
      <w:r>
        <w:rPr>
          <w:rFonts w:ascii="Calibri" w:hAnsi="Calibri" w:cs="Calibri"/>
          <w:sz w:val="22"/>
          <w:szCs w:val="22"/>
        </w:rPr>
        <w:t xml:space="preserve">The comparison group provides the counterfactual so that there are </w:t>
      </w:r>
      <w:r w:rsidRPr="00B63344">
        <w:rPr>
          <w:rFonts w:ascii="Calibri" w:hAnsi="Calibri" w:cs="Calibri"/>
          <w:sz w:val="22"/>
          <w:szCs w:val="22"/>
        </w:rPr>
        <w:t>no systematic differences between the t</w:t>
      </w:r>
      <w:r>
        <w:rPr>
          <w:rFonts w:ascii="Calibri" w:hAnsi="Calibri" w:cs="Calibri"/>
          <w:sz w:val="22"/>
          <w:szCs w:val="22"/>
        </w:rPr>
        <w:t>wo groups of customers that may influence program outcomes, and</w:t>
      </w:r>
      <w:r w:rsidRPr="00B63344">
        <w:rPr>
          <w:rFonts w:ascii="Calibri" w:hAnsi="Calibri" w:cs="Calibri"/>
          <w:sz w:val="22"/>
          <w:szCs w:val="22"/>
        </w:rPr>
        <w:t xml:space="preserve"> </w:t>
      </w:r>
      <w:r>
        <w:rPr>
          <w:rFonts w:ascii="Calibri" w:hAnsi="Calibri" w:cs="Calibri"/>
          <w:sz w:val="22"/>
          <w:szCs w:val="22"/>
        </w:rPr>
        <w:t xml:space="preserve">the overall impact of the program can be attributed to the intervention. </w:t>
      </w:r>
    </w:p>
    <w:p w:rsidR="00101895" w:rsidRDefault="00101895" w:rsidP="004224B4">
      <w:pPr>
        <w:tabs>
          <w:tab w:val="left" w:pos="1080"/>
        </w:tabs>
        <w:spacing w:line="240" w:lineRule="auto"/>
        <w:ind w:firstLine="0"/>
        <w:jc w:val="left"/>
        <w:rPr>
          <w:rFonts w:ascii="Calibri" w:hAnsi="Calibri" w:cs="Calibri"/>
          <w:sz w:val="22"/>
          <w:szCs w:val="22"/>
        </w:rPr>
      </w:pPr>
    </w:p>
    <w:p w:rsidR="00101895" w:rsidRDefault="00101895" w:rsidP="004224B4">
      <w:pPr>
        <w:tabs>
          <w:tab w:val="left" w:pos="1080"/>
        </w:tabs>
        <w:spacing w:line="240" w:lineRule="auto"/>
        <w:ind w:firstLine="0"/>
        <w:jc w:val="left"/>
        <w:rPr>
          <w:rFonts w:ascii="Calibri" w:hAnsi="Calibri" w:cs="Calibri"/>
          <w:sz w:val="22"/>
          <w:szCs w:val="22"/>
        </w:rPr>
      </w:pPr>
      <w:r>
        <w:rPr>
          <w:rFonts w:ascii="Calibri" w:hAnsi="Calibri" w:cs="Calibri"/>
          <w:sz w:val="22"/>
          <w:szCs w:val="22"/>
        </w:rPr>
        <w:tab/>
        <w:t xml:space="preserve">The U.S. DOL has a history of conducting traditional experimental evaluations with random assignment taking place at the customer level. For example, the </w:t>
      </w:r>
      <w:r w:rsidRPr="000054A4">
        <w:rPr>
          <w:rFonts w:ascii="Calibri" w:hAnsi="Calibri" w:cs="Calibri"/>
          <w:sz w:val="22"/>
          <w:szCs w:val="22"/>
          <w:u w:val="single"/>
        </w:rPr>
        <w:t>WIA Adult and Dislocated Worker Programs Gold Standard Evaluation</w:t>
      </w:r>
      <w:r>
        <w:rPr>
          <w:rFonts w:ascii="Calibri" w:hAnsi="Calibri" w:cs="Calibri"/>
          <w:sz w:val="22"/>
          <w:szCs w:val="22"/>
          <w:u w:val="single"/>
        </w:rPr>
        <w:t>,</w:t>
      </w:r>
      <w:r w:rsidRPr="00E25F66">
        <w:rPr>
          <w:rFonts w:ascii="Calibri" w:hAnsi="Calibri" w:cs="Calibri"/>
          <w:sz w:val="22"/>
          <w:szCs w:val="22"/>
        </w:rPr>
        <w:t xml:space="preserve"> </w:t>
      </w:r>
      <w:r>
        <w:rPr>
          <w:rFonts w:ascii="Calibri" w:hAnsi="Calibri" w:cs="Calibri"/>
          <w:sz w:val="22"/>
          <w:szCs w:val="22"/>
        </w:rPr>
        <w:t>currently being</w:t>
      </w:r>
      <w:r w:rsidRPr="00E25F66">
        <w:rPr>
          <w:rFonts w:ascii="Calibri" w:hAnsi="Calibri" w:cs="Calibri"/>
          <w:sz w:val="22"/>
          <w:szCs w:val="22"/>
        </w:rPr>
        <w:t xml:space="preserve"> conducted by Mathema</w:t>
      </w:r>
      <w:r>
        <w:rPr>
          <w:rFonts w:ascii="Calibri" w:hAnsi="Calibri" w:cs="Calibri"/>
          <w:sz w:val="22"/>
          <w:szCs w:val="22"/>
        </w:rPr>
        <w:t>tica Policy Research and</w:t>
      </w:r>
      <w:r w:rsidRPr="00E25F66">
        <w:rPr>
          <w:rFonts w:ascii="Calibri" w:hAnsi="Calibri" w:cs="Calibri"/>
          <w:sz w:val="22"/>
          <w:szCs w:val="22"/>
        </w:rPr>
        <w:t xml:space="preserve"> MDRC</w:t>
      </w:r>
      <w:r>
        <w:rPr>
          <w:rFonts w:ascii="Calibri" w:hAnsi="Calibri" w:cs="Calibri"/>
          <w:sz w:val="22"/>
          <w:szCs w:val="22"/>
        </w:rPr>
        <w:t xml:space="preserve">, is designed to measure three One-Stop service packages (all WIA services, </w:t>
      </w:r>
      <w:r w:rsidRPr="00E25F66">
        <w:rPr>
          <w:rFonts w:ascii="Calibri" w:hAnsi="Calibri" w:cs="Calibri"/>
          <w:sz w:val="22"/>
          <w:szCs w:val="22"/>
        </w:rPr>
        <w:t>core and intensive ser</w:t>
      </w:r>
      <w:r>
        <w:rPr>
          <w:rFonts w:ascii="Calibri" w:hAnsi="Calibri" w:cs="Calibri"/>
          <w:sz w:val="22"/>
          <w:szCs w:val="22"/>
        </w:rPr>
        <w:t xml:space="preserve">vices but not training, and core services only) to determine if higher levels of service intensity have an appreciable impact on customer outcomes. Previous experimental studies, such as Schochet’s (2000) evaluation of the National </w:t>
      </w:r>
      <w:r w:rsidRPr="00742AA9">
        <w:rPr>
          <w:rFonts w:ascii="Calibri" w:hAnsi="Calibri" w:cs="Calibri"/>
          <w:sz w:val="22"/>
          <w:szCs w:val="22"/>
        </w:rPr>
        <w:t>Job Corps program</w:t>
      </w:r>
      <w:r>
        <w:rPr>
          <w:rFonts w:ascii="Calibri" w:hAnsi="Calibri" w:cs="Calibri"/>
          <w:sz w:val="22"/>
          <w:szCs w:val="22"/>
        </w:rPr>
        <w:t xml:space="preserve">, </w:t>
      </w:r>
      <w:r w:rsidRPr="00E25F66">
        <w:rPr>
          <w:rFonts w:ascii="Calibri" w:hAnsi="Calibri" w:cs="Calibri"/>
          <w:sz w:val="22"/>
          <w:szCs w:val="22"/>
        </w:rPr>
        <w:t>Miller</w:t>
      </w:r>
      <w:r>
        <w:rPr>
          <w:rFonts w:ascii="Calibri" w:hAnsi="Calibri" w:cs="Calibri"/>
          <w:sz w:val="22"/>
          <w:szCs w:val="22"/>
        </w:rPr>
        <w:t>’s</w:t>
      </w:r>
      <w:r w:rsidRPr="00E25F66">
        <w:rPr>
          <w:rFonts w:ascii="Calibri" w:hAnsi="Calibri" w:cs="Calibri"/>
          <w:sz w:val="22"/>
          <w:szCs w:val="22"/>
        </w:rPr>
        <w:t xml:space="preserve"> (2005) study of the </w:t>
      </w:r>
      <w:r w:rsidRPr="000054A4">
        <w:rPr>
          <w:rFonts w:ascii="Calibri" w:hAnsi="Calibri" w:cs="Calibri"/>
          <w:sz w:val="22"/>
          <w:szCs w:val="22"/>
          <w:u w:val="single"/>
        </w:rPr>
        <w:t>Center for Employment and Training Replication Sites</w:t>
      </w:r>
      <w:r>
        <w:rPr>
          <w:rFonts w:ascii="Calibri" w:hAnsi="Calibri" w:cs="Calibri"/>
          <w:sz w:val="22"/>
          <w:szCs w:val="22"/>
        </w:rPr>
        <w:t xml:space="preserve"> and</w:t>
      </w:r>
      <w:r w:rsidRPr="000976FB">
        <w:rPr>
          <w:rFonts w:ascii="Calibri" w:hAnsi="Calibri" w:cs="Calibri"/>
          <w:sz w:val="22"/>
          <w:szCs w:val="22"/>
        </w:rPr>
        <w:t xml:space="preserve"> </w:t>
      </w:r>
      <w:r w:rsidRPr="00E25F66">
        <w:rPr>
          <w:rFonts w:ascii="Calibri" w:hAnsi="Calibri" w:cs="Calibri"/>
          <w:sz w:val="22"/>
          <w:szCs w:val="22"/>
        </w:rPr>
        <w:t>Dunham and Wiegand</w:t>
      </w:r>
      <w:r>
        <w:rPr>
          <w:rFonts w:ascii="Calibri" w:hAnsi="Calibri" w:cs="Calibri"/>
          <w:sz w:val="22"/>
          <w:szCs w:val="22"/>
        </w:rPr>
        <w:t>’s</w:t>
      </w:r>
      <w:r w:rsidRPr="00E25F66">
        <w:rPr>
          <w:rFonts w:ascii="Calibri" w:hAnsi="Calibri" w:cs="Calibri"/>
          <w:sz w:val="22"/>
          <w:szCs w:val="22"/>
        </w:rPr>
        <w:t xml:space="preserve"> (2008) </w:t>
      </w:r>
      <w:r>
        <w:rPr>
          <w:rFonts w:ascii="Calibri" w:hAnsi="Calibri" w:cs="Calibri"/>
          <w:sz w:val="22"/>
          <w:szCs w:val="22"/>
        </w:rPr>
        <w:t xml:space="preserve">evaluation of the </w:t>
      </w:r>
      <w:r w:rsidRPr="000054A4">
        <w:rPr>
          <w:rFonts w:ascii="Calibri" w:hAnsi="Calibri" w:cs="Calibri"/>
          <w:sz w:val="22"/>
          <w:szCs w:val="22"/>
        </w:rPr>
        <w:t>Yout</w:t>
      </w:r>
      <w:r>
        <w:rPr>
          <w:rFonts w:ascii="Calibri" w:hAnsi="Calibri" w:cs="Calibri"/>
          <w:sz w:val="22"/>
          <w:szCs w:val="22"/>
        </w:rPr>
        <w:t>h Offender Demonstration Project, were designed to measure the impact of a single intervention where systems level issues were not a major component of the intervention.</w:t>
      </w:r>
    </w:p>
    <w:p w:rsidR="00101895" w:rsidRPr="00742AA9" w:rsidRDefault="00101895" w:rsidP="00E25F66">
      <w:pPr>
        <w:tabs>
          <w:tab w:val="left" w:pos="1080"/>
        </w:tabs>
        <w:spacing w:line="240" w:lineRule="auto"/>
        <w:ind w:firstLine="0"/>
        <w:jc w:val="left"/>
        <w:rPr>
          <w:rFonts w:ascii="Calibri" w:hAnsi="Calibri" w:cs="Calibri"/>
          <w:sz w:val="22"/>
          <w:szCs w:val="22"/>
        </w:rPr>
      </w:pPr>
    </w:p>
    <w:p w:rsidR="00101895" w:rsidRDefault="00101895" w:rsidP="00BB5E41">
      <w:pPr>
        <w:tabs>
          <w:tab w:val="left" w:pos="1080"/>
        </w:tabs>
        <w:spacing w:line="240" w:lineRule="auto"/>
        <w:ind w:firstLine="0"/>
        <w:jc w:val="left"/>
        <w:rPr>
          <w:rFonts w:ascii="Calibri" w:hAnsi="Calibri" w:cs="Calibri"/>
          <w:sz w:val="22"/>
          <w:szCs w:val="22"/>
        </w:rPr>
      </w:pPr>
      <w:r w:rsidRPr="00742AA9">
        <w:rPr>
          <w:rFonts w:ascii="Calibri" w:hAnsi="Calibri" w:cs="Calibri"/>
          <w:sz w:val="22"/>
          <w:szCs w:val="22"/>
        </w:rPr>
        <w:tab/>
        <w:t xml:space="preserve">The Disability Navigator Program </w:t>
      </w:r>
      <w:r>
        <w:rPr>
          <w:rFonts w:ascii="Calibri" w:hAnsi="Calibri" w:cs="Calibri"/>
          <w:sz w:val="22"/>
          <w:szCs w:val="22"/>
        </w:rPr>
        <w:t xml:space="preserve">(DNP) </w:t>
      </w:r>
      <w:r w:rsidRPr="00742AA9">
        <w:rPr>
          <w:rFonts w:ascii="Calibri" w:hAnsi="Calibri" w:cs="Calibri"/>
          <w:sz w:val="22"/>
          <w:szCs w:val="22"/>
        </w:rPr>
        <w:t xml:space="preserve">is </w:t>
      </w:r>
      <w:r>
        <w:rPr>
          <w:rFonts w:ascii="Calibri" w:hAnsi="Calibri" w:cs="Calibri"/>
          <w:sz w:val="22"/>
          <w:szCs w:val="22"/>
        </w:rPr>
        <w:t>similar to the DEI, in t</w:t>
      </w:r>
      <w:r w:rsidRPr="00742AA9">
        <w:rPr>
          <w:rFonts w:ascii="Calibri" w:hAnsi="Calibri" w:cs="Calibri"/>
          <w:sz w:val="22"/>
          <w:szCs w:val="22"/>
        </w:rPr>
        <w:t xml:space="preserve">hat it </w:t>
      </w:r>
      <w:r>
        <w:rPr>
          <w:rFonts w:ascii="Calibri" w:hAnsi="Calibri" w:cs="Calibri"/>
          <w:sz w:val="22"/>
          <w:szCs w:val="22"/>
        </w:rPr>
        <w:t xml:space="preserve">was designed in part, to </w:t>
      </w:r>
      <w:r>
        <w:rPr>
          <w:rFonts w:ascii="Calibri" w:hAnsi="Calibri" w:cs="Calibri"/>
          <w:color w:val="000000"/>
          <w:sz w:val="22"/>
          <w:szCs w:val="22"/>
        </w:rPr>
        <w:t>improve</w:t>
      </w:r>
      <w:r w:rsidRPr="00742AA9">
        <w:rPr>
          <w:rFonts w:ascii="Calibri" w:hAnsi="Calibri" w:cs="Calibri"/>
          <w:color w:val="000000"/>
          <w:sz w:val="22"/>
          <w:szCs w:val="22"/>
        </w:rPr>
        <w:t xml:space="preserve"> the employment outcome</w:t>
      </w:r>
      <w:r>
        <w:rPr>
          <w:rFonts w:ascii="Calibri" w:hAnsi="Calibri" w:cs="Calibri"/>
          <w:color w:val="000000"/>
          <w:sz w:val="22"/>
          <w:szCs w:val="22"/>
        </w:rPr>
        <w:t>s</w:t>
      </w:r>
      <w:r w:rsidRPr="00742AA9">
        <w:rPr>
          <w:rFonts w:ascii="Calibri" w:hAnsi="Calibri" w:cs="Calibri"/>
          <w:color w:val="000000"/>
          <w:sz w:val="22"/>
          <w:szCs w:val="22"/>
        </w:rPr>
        <w:t xml:space="preserve"> of One-Stop customers with disabilities through </w:t>
      </w:r>
      <w:r>
        <w:rPr>
          <w:rFonts w:ascii="Calibri" w:hAnsi="Calibri" w:cs="Calibri"/>
          <w:color w:val="000000"/>
          <w:sz w:val="22"/>
          <w:szCs w:val="22"/>
        </w:rPr>
        <w:t xml:space="preserve">the development of </w:t>
      </w:r>
      <w:r w:rsidRPr="00742AA9">
        <w:rPr>
          <w:rFonts w:ascii="Calibri" w:hAnsi="Calibri" w:cs="Calibri"/>
          <w:color w:val="000000"/>
          <w:sz w:val="22"/>
          <w:szCs w:val="22"/>
        </w:rPr>
        <w:t>system-wide partnerships and resources</w:t>
      </w:r>
      <w:r>
        <w:rPr>
          <w:rFonts w:ascii="Calibri" w:hAnsi="Calibri" w:cs="Calibri"/>
          <w:color w:val="000000"/>
          <w:sz w:val="22"/>
          <w:szCs w:val="22"/>
        </w:rPr>
        <w:t>, as well as direct support to the target population</w:t>
      </w:r>
      <w:r w:rsidRPr="00742AA9">
        <w:rPr>
          <w:rFonts w:ascii="Calibri" w:hAnsi="Calibri" w:cs="Calibri"/>
          <w:color w:val="000000"/>
          <w:sz w:val="22"/>
          <w:szCs w:val="22"/>
        </w:rPr>
        <w:t>.</w:t>
      </w:r>
      <w:r>
        <w:rPr>
          <w:rFonts w:ascii="Calibri" w:hAnsi="Calibri" w:cs="Calibri"/>
          <w:color w:val="000000"/>
          <w:sz w:val="22"/>
          <w:szCs w:val="22"/>
        </w:rPr>
        <w:t xml:space="preserve"> Although the DNP did not focus exclusively on systems level issues, it did seek to improve workforce development systems in ways that would increase the utilization of One-Stop services. But the </w:t>
      </w:r>
      <w:r>
        <w:rPr>
          <w:rFonts w:ascii="Calibri" w:hAnsi="Calibri" w:cs="Calibri"/>
          <w:sz w:val="22"/>
          <w:szCs w:val="22"/>
        </w:rPr>
        <w:t xml:space="preserve">key difference between the DNP and the DEI is that the latter focuses exclusively on systems change, while the DNP was more concerned about increasing the utilization of One-Stops by customers with disabilities and their employment outcomes. In contrast, the DEI is concerned primarily with systems level issues and how they influence One-Stop customer outcomes. </w:t>
      </w:r>
    </w:p>
    <w:p w:rsidR="00101895" w:rsidRDefault="00101895" w:rsidP="00BB5E41">
      <w:pPr>
        <w:tabs>
          <w:tab w:val="left" w:pos="1080"/>
        </w:tabs>
        <w:spacing w:line="240" w:lineRule="auto"/>
        <w:ind w:firstLine="0"/>
        <w:jc w:val="left"/>
        <w:rPr>
          <w:rFonts w:ascii="Calibri" w:hAnsi="Calibri" w:cs="Calibri"/>
          <w:sz w:val="22"/>
          <w:szCs w:val="22"/>
        </w:rPr>
      </w:pPr>
    </w:p>
    <w:p w:rsidR="00101895" w:rsidRPr="00415E83" w:rsidRDefault="00101895" w:rsidP="00AF3E9A">
      <w:pPr>
        <w:tabs>
          <w:tab w:val="left" w:pos="1080"/>
        </w:tabs>
        <w:spacing w:line="240" w:lineRule="auto"/>
        <w:ind w:firstLine="0"/>
        <w:jc w:val="left"/>
        <w:rPr>
          <w:rFonts w:ascii="Calibri" w:hAnsi="Calibri" w:cs="Calibri"/>
          <w:i/>
          <w:sz w:val="22"/>
          <w:szCs w:val="22"/>
        </w:rPr>
      </w:pPr>
      <w:r>
        <w:rPr>
          <w:rFonts w:ascii="Calibri" w:hAnsi="Calibri" w:cs="Calibri"/>
          <w:sz w:val="22"/>
          <w:szCs w:val="22"/>
        </w:rPr>
        <w:tab/>
        <w:t>In the case of the DEI, random assignment at the LWIA level is being proposed because the program is designed to make improvements in LWIA workforce development systems (WFDS)</w:t>
      </w:r>
      <w:r>
        <w:rPr>
          <w:rFonts w:ascii="Calibri" w:hAnsi="Calibri" w:cs="Calibri"/>
          <w:i/>
          <w:sz w:val="22"/>
          <w:szCs w:val="22"/>
        </w:rPr>
        <w:t xml:space="preserve">. </w:t>
      </w:r>
      <w:r>
        <w:rPr>
          <w:rFonts w:ascii="Calibri" w:hAnsi="Calibri" w:cs="Calibri"/>
          <w:sz w:val="22"/>
          <w:szCs w:val="22"/>
        </w:rPr>
        <w:t xml:space="preserve">WFDS’s are composed of a Workforce Investment Board (WIB), </w:t>
      </w:r>
      <w:smartTag w:uri="urn:schemas-microsoft-com:office:smarttags" w:element="PlaceName">
        <w:smartTag w:uri="urn:schemas-microsoft-com:office:smarttags" w:element="place">
          <w:r>
            <w:rPr>
              <w:rFonts w:ascii="Calibri" w:hAnsi="Calibri" w:cs="Calibri"/>
              <w:sz w:val="22"/>
              <w:szCs w:val="22"/>
            </w:rPr>
            <w:t>One-Stop</w:t>
          </w:r>
        </w:smartTag>
        <w:r>
          <w:rPr>
            <w:rFonts w:ascii="Calibri" w:hAnsi="Calibri" w:cs="Calibri"/>
            <w:sz w:val="22"/>
            <w:szCs w:val="22"/>
          </w:rPr>
          <w:t xml:space="preserve"> </w:t>
        </w:r>
        <w:smartTag w:uri="urn:schemas-microsoft-com:office:smarttags" w:element="PlaceType">
          <w:smartTag w:uri="urn:schemas-microsoft-com:office:smarttags" w:element="PlaceName">
            <w:r>
              <w:rPr>
                <w:rFonts w:ascii="Calibri" w:hAnsi="Calibri" w:cs="Calibri"/>
                <w:sz w:val="22"/>
                <w:szCs w:val="22"/>
              </w:rPr>
              <w:t>Career</w:t>
            </w:r>
          </w:smartTag>
        </w:smartTag>
        <w:r>
          <w:rPr>
            <w:rFonts w:ascii="Calibri" w:hAnsi="Calibri" w:cs="Calibri"/>
            <w:sz w:val="22"/>
            <w:szCs w:val="22"/>
          </w:rPr>
          <w:t xml:space="preserve"> </w:t>
        </w:r>
        <w:smartTag w:uri="urn:schemas-microsoft-com:office:smarttags" w:element="PlaceType">
          <w:r>
            <w:rPr>
              <w:rFonts w:ascii="Calibri" w:hAnsi="Calibri" w:cs="Calibri"/>
              <w:sz w:val="22"/>
              <w:szCs w:val="22"/>
            </w:rPr>
            <w:t>Centers</w:t>
          </w:r>
        </w:smartTag>
      </w:smartTag>
      <w:r>
        <w:rPr>
          <w:rFonts w:ascii="Calibri" w:hAnsi="Calibri" w:cs="Calibri"/>
          <w:sz w:val="22"/>
          <w:szCs w:val="22"/>
        </w:rPr>
        <w:t xml:space="preserve"> and their private sector and public agency partners. </w:t>
      </w:r>
      <w:r w:rsidRPr="00415E83">
        <w:rPr>
          <w:rFonts w:ascii="Calibri" w:hAnsi="Calibri"/>
          <w:color w:val="000000"/>
          <w:sz w:val="22"/>
          <w:szCs w:val="22"/>
        </w:rPr>
        <w:t xml:space="preserve">An inefficient </w:t>
      </w:r>
      <w:r>
        <w:rPr>
          <w:rFonts w:ascii="Calibri" w:hAnsi="Calibri"/>
          <w:color w:val="000000"/>
          <w:sz w:val="22"/>
          <w:szCs w:val="22"/>
        </w:rPr>
        <w:t xml:space="preserve">WFDS </w:t>
      </w:r>
      <w:r w:rsidRPr="00415E83">
        <w:rPr>
          <w:rFonts w:ascii="Calibri" w:hAnsi="Calibri"/>
          <w:color w:val="000000"/>
          <w:sz w:val="22"/>
          <w:szCs w:val="22"/>
        </w:rPr>
        <w:t xml:space="preserve">approaches its work linearly because each </w:t>
      </w:r>
      <w:r>
        <w:rPr>
          <w:rFonts w:ascii="Calibri" w:hAnsi="Calibri"/>
          <w:color w:val="000000"/>
          <w:sz w:val="22"/>
          <w:szCs w:val="22"/>
        </w:rPr>
        <w:t>entity</w:t>
      </w:r>
      <w:r w:rsidRPr="00415E83">
        <w:rPr>
          <w:rFonts w:ascii="Calibri" w:hAnsi="Calibri"/>
          <w:color w:val="000000"/>
          <w:sz w:val="22"/>
          <w:szCs w:val="22"/>
        </w:rPr>
        <w:t xml:space="preserve"> operates with little information or interest in the activities, goals, and objectives of the other </w:t>
      </w:r>
      <w:r>
        <w:rPr>
          <w:rFonts w:ascii="Calibri" w:hAnsi="Calibri"/>
          <w:color w:val="000000"/>
          <w:sz w:val="22"/>
          <w:szCs w:val="22"/>
        </w:rPr>
        <w:t>entities</w:t>
      </w:r>
      <w:r w:rsidRPr="00415E83">
        <w:rPr>
          <w:rFonts w:ascii="Calibri" w:hAnsi="Calibri"/>
          <w:color w:val="000000"/>
          <w:sz w:val="22"/>
          <w:szCs w:val="22"/>
        </w:rPr>
        <w:t xml:space="preserve"> in the system. A </w:t>
      </w:r>
      <w:r w:rsidRPr="00415E83">
        <w:rPr>
          <w:rFonts w:ascii="Calibri" w:hAnsi="Calibri"/>
          <w:i/>
          <w:color w:val="000000"/>
          <w:sz w:val="22"/>
          <w:szCs w:val="22"/>
        </w:rPr>
        <w:t>functional</w:t>
      </w:r>
      <w:r w:rsidRPr="00415E83">
        <w:rPr>
          <w:rFonts w:ascii="Calibri" w:hAnsi="Calibri"/>
          <w:color w:val="000000"/>
          <w:sz w:val="22"/>
          <w:szCs w:val="22"/>
        </w:rPr>
        <w:t xml:space="preserve"> </w:t>
      </w:r>
      <w:r>
        <w:rPr>
          <w:rFonts w:ascii="Calibri" w:hAnsi="Calibri"/>
          <w:color w:val="000000"/>
          <w:sz w:val="22"/>
          <w:szCs w:val="22"/>
        </w:rPr>
        <w:t xml:space="preserve">WFDS </w:t>
      </w:r>
      <w:r w:rsidRPr="00415E83">
        <w:rPr>
          <w:rFonts w:ascii="Calibri" w:hAnsi="Calibri"/>
          <w:color w:val="000000"/>
          <w:sz w:val="22"/>
          <w:szCs w:val="22"/>
        </w:rPr>
        <w:t>is characterized by recognized interdependencies among its component parts, shared goals and objectives</w:t>
      </w:r>
      <w:r>
        <w:rPr>
          <w:rFonts w:ascii="Calibri" w:hAnsi="Calibri"/>
          <w:color w:val="000000"/>
          <w:sz w:val="22"/>
          <w:szCs w:val="22"/>
        </w:rPr>
        <w:t xml:space="preserve"> and clearly defined priorities; r</w:t>
      </w:r>
      <w:r w:rsidRPr="00415E83">
        <w:rPr>
          <w:rFonts w:ascii="Calibri" w:hAnsi="Calibri"/>
          <w:color w:val="000000"/>
          <w:sz w:val="22"/>
          <w:szCs w:val="22"/>
        </w:rPr>
        <w:t xml:space="preserve">esources are consumed efficiently and redundancy across the entire system is minimal due to effective systems planning (French &amp; Bell, 1995, </w:t>
      </w:r>
      <w:r w:rsidRPr="00415E83">
        <w:rPr>
          <w:rFonts w:ascii="Calibri" w:hAnsi="Calibri"/>
          <w:sz w:val="22"/>
          <w:szCs w:val="22"/>
        </w:rPr>
        <w:t>Midgley, 2003</w:t>
      </w:r>
      <w:r w:rsidRPr="00415E83">
        <w:rPr>
          <w:rFonts w:ascii="Calibri" w:hAnsi="Calibri"/>
          <w:color w:val="000000"/>
          <w:sz w:val="22"/>
          <w:szCs w:val="22"/>
        </w:rPr>
        <w:t>)</w:t>
      </w:r>
      <w:r>
        <w:rPr>
          <w:rFonts w:ascii="Calibri" w:hAnsi="Calibri"/>
          <w:color w:val="000000"/>
          <w:sz w:val="22"/>
          <w:szCs w:val="22"/>
        </w:rPr>
        <w:t xml:space="preserve"> (See Appendix 5: DEI Evaluation  System Change Framework).</w:t>
      </w:r>
    </w:p>
    <w:p w:rsidR="00101895" w:rsidRDefault="00101895" w:rsidP="00BB5E41">
      <w:pPr>
        <w:tabs>
          <w:tab w:val="left" w:pos="1080"/>
        </w:tabs>
        <w:spacing w:line="240" w:lineRule="auto"/>
        <w:ind w:firstLine="0"/>
        <w:jc w:val="left"/>
        <w:rPr>
          <w:rFonts w:ascii="Calibri" w:hAnsi="Calibri" w:cs="Calibri"/>
          <w:sz w:val="22"/>
          <w:szCs w:val="22"/>
        </w:rPr>
      </w:pPr>
    </w:p>
    <w:p w:rsidR="00101895" w:rsidRDefault="00101895" w:rsidP="000B661B">
      <w:pPr>
        <w:tabs>
          <w:tab w:val="left" w:pos="1080"/>
        </w:tabs>
        <w:spacing w:line="240" w:lineRule="auto"/>
        <w:ind w:firstLine="0"/>
        <w:jc w:val="left"/>
        <w:rPr>
          <w:rFonts w:ascii="Calibri" w:hAnsi="Calibri" w:cs="Calibri"/>
          <w:sz w:val="22"/>
          <w:szCs w:val="22"/>
        </w:rPr>
      </w:pPr>
      <w:r>
        <w:rPr>
          <w:rFonts w:ascii="Calibri" w:hAnsi="Calibri" w:cs="Calibri"/>
          <w:sz w:val="22"/>
          <w:szCs w:val="22"/>
        </w:rPr>
        <w:tab/>
        <w:t>In the DEI evaluation, c</w:t>
      </w:r>
      <w:r w:rsidRPr="004158F2">
        <w:rPr>
          <w:rFonts w:ascii="Calibri" w:hAnsi="Calibri" w:cs="Calibri"/>
          <w:sz w:val="22"/>
          <w:szCs w:val="22"/>
        </w:rPr>
        <w:t>hanges</w:t>
      </w:r>
      <w:r>
        <w:rPr>
          <w:rFonts w:ascii="Calibri" w:hAnsi="Calibri" w:cs="Calibri"/>
          <w:sz w:val="22"/>
          <w:szCs w:val="22"/>
        </w:rPr>
        <w:t xml:space="preserve"> in the workforce development system within each DEI LWIA are hypothesized to have a causal effect on the employment outcomes of customers with disabilities. The DEI evaluation includes an extensive system-level qualitative data collection and analysis component (See Part A) that will pro</w:t>
      </w:r>
      <w:r w:rsidRPr="003966A5">
        <w:rPr>
          <w:rFonts w:ascii="Calibri" w:hAnsi="Calibri" w:cs="Calibri"/>
          <w:sz w:val="22"/>
          <w:szCs w:val="22"/>
        </w:rPr>
        <w:t>duce ordinal level systems change variable</w:t>
      </w:r>
      <w:r>
        <w:rPr>
          <w:rFonts w:ascii="Calibri" w:hAnsi="Calibri" w:cs="Calibri"/>
          <w:sz w:val="22"/>
          <w:szCs w:val="22"/>
        </w:rPr>
        <w:t>s</w:t>
      </w:r>
      <w:r w:rsidRPr="003966A5">
        <w:rPr>
          <w:rFonts w:ascii="Calibri" w:hAnsi="Calibri" w:cs="Calibri"/>
          <w:sz w:val="22"/>
          <w:szCs w:val="22"/>
        </w:rPr>
        <w:t xml:space="preserve"> </w:t>
      </w:r>
      <w:r>
        <w:rPr>
          <w:rFonts w:ascii="Calibri" w:hAnsi="Calibri" w:cs="Calibri"/>
          <w:sz w:val="22"/>
          <w:szCs w:val="22"/>
        </w:rPr>
        <w:t>that serve</w:t>
      </w:r>
      <w:r w:rsidRPr="003966A5">
        <w:rPr>
          <w:rFonts w:ascii="Calibri" w:hAnsi="Calibri" w:cs="Calibri"/>
          <w:sz w:val="22"/>
          <w:szCs w:val="22"/>
        </w:rPr>
        <w:t xml:space="preserve"> as </w:t>
      </w:r>
      <w:r>
        <w:rPr>
          <w:rFonts w:ascii="Calibri" w:hAnsi="Calibri" w:cs="Calibri"/>
          <w:sz w:val="22"/>
          <w:szCs w:val="22"/>
        </w:rPr>
        <w:t>independent variables</w:t>
      </w:r>
      <w:r w:rsidRPr="003966A5">
        <w:rPr>
          <w:rFonts w:ascii="Calibri" w:hAnsi="Calibri" w:cs="Calibri"/>
          <w:sz w:val="22"/>
          <w:szCs w:val="22"/>
        </w:rPr>
        <w:t xml:space="preserve"> in the quantitative analysis of program impact. Because of the DEI’s emphasis on systems change, the unit of analysis for the DEI evaluation is the LWIA and random assignment will be conducted at the LWIA level</w:t>
      </w:r>
      <w:r>
        <w:rPr>
          <w:rFonts w:ascii="Calibri" w:hAnsi="Calibri" w:cs="Calibri"/>
          <w:sz w:val="22"/>
          <w:szCs w:val="22"/>
        </w:rPr>
        <w:t>. In the following section, we discuss in greater detail, the proposed sampling methods and statistical modeling techniques planned for the DEI evaluation.</w:t>
      </w:r>
    </w:p>
    <w:p w:rsidR="00101895" w:rsidRDefault="00101895" w:rsidP="00E25F66">
      <w:pPr>
        <w:tabs>
          <w:tab w:val="left" w:pos="1080"/>
        </w:tabs>
        <w:spacing w:line="240" w:lineRule="auto"/>
        <w:ind w:firstLine="0"/>
        <w:jc w:val="left"/>
        <w:rPr>
          <w:rFonts w:ascii="Calibri" w:hAnsi="Calibri" w:cs="Calibri"/>
          <w:sz w:val="22"/>
          <w:szCs w:val="22"/>
        </w:rPr>
      </w:pPr>
    </w:p>
    <w:p w:rsidR="00101895" w:rsidRPr="00E25F66" w:rsidRDefault="00101895" w:rsidP="00E25F66">
      <w:pPr>
        <w:tabs>
          <w:tab w:val="left" w:pos="1080"/>
        </w:tabs>
        <w:spacing w:line="240" w:lineRule="auto"/>
        <w:ind w:firstLine="0"/>
        <w:jc w:val="left"/>
        <w:rPr>
          <w:rFonts w:ascii="Calibri" w:hAnsi="Calibri" w:cs="Calibri"/>
          <w:b/>
          <w:sz w:val="22"/>
          <w:szCs w:val="22"/>
        </w:rPr>
      </w:pPr>
    </w:p>
    <w:p w:rsidR="00101895" w:rsidRPr="00B63344" w:rsidRDefault="00101895" w:rsidP="004224B4">
      <w:pPr>
        <w:tabs>
          <w:tab w:val="left" w:pos="1080"/>
        </w:tabs>
        <w:spacing w:line="240" w:lineRule="auto"/>
        <w:ind w:firstLine="0"/>
        <w:jc w:val="left"/>
        <w:rPr>
          <w:rFonts w:ascii="Calibri" w:hAnsi="Calibri" w:cs="Calibri"/>
          <w:b/>
        </w:rPr>
      </w:pPr>
    </w:p>
    <w:p w:rsidR="00101895" w:rsidRPr="00AA66B8" w:rsidRDefault="00101895" w:rsidP="004224B4">
      <w:pPr>
        <w:pStyle w:val="Default"/>
        <w:rPr>
          <w:rFonts w:ascii="Calibri" w:hAnsi="Calibri" w:cs="Calibri"/>
          <w:b/>
        </w:rPr>
      </w:pPr>
      <w:r w:rsidRPr="00AA66B8">
        <w:rPr>
          <w:rFonts w:ascii="Calibri" w:hAnsi="Calibri" w:cs="Calibri"/>
          <w:b/>
        </w:rPr>
        <w:t>B.1 RESPONDENT UNIVERSE AND SAMPLING METHODS</w:t>
      </w:r>
    </w:p>
    <w:p w:rsidR="00101895" w:rsidRPr="00AA66B8" w:rsidRDefault="00101895" w:rsidP="004224B4">
      <w:pPr>
        <w:spacing w:line="240" w:lineRule="auto"/>
        <w:ind w:firstLine="0"/>
        <w:jc w:val="left"/>
        <w:rPr>
          <w:rFonts w:ascii="Calibri" w:hAnsi="Calibri" w:cs="Calibri"/>
        </w:rPr>
      </w:pP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rPr>
        <w:tab/>
      </w:r>
      <w:r w:rsidRPr="00AA66B8">
        <w:rPr>
          <w:rFonts w:ascii="Calibri" w:hAnsi="Calibri" w:cs="Calibri"/>
        </w:rPr>
        <w:tab/>
      </w:r>
      <w:r w:rsidRPr="00AA66B8">
        <w:rPr>
          <w:rFonts w:ascii="Calibri" w:hAnsi="Calibri" w:cs="Calibri"/>
          <w:sz w:val="22"/>
          <w:szCs w:val="22"/>
        </w:rPr>
        <w:t xml:space="preserve">The DEI is being implemented in selected states using grant funding awarded on a competitive basis. The Department of Labor (DOL) selected states </w:t>
      </w:r>
      <w:r>
        <w:rPr>
          <w:rFonts w:ascii="Calibri" w:hAnsi="Calibri" w:cs="Calibri"/>
          <w:sz w:val="22"/>
          <w:szCs w:val="22"/>
        </w:rPr>
        <w:t xml:space="preserve">to receive DEI grants </w:t>
      </w:r>
      <w:r w:rsidRPr="00AA66B8">
        <w:rPr>
          <w:rFonts w:ascii="Calibri" w:hAnsi="Calibri" w:cs="Calibri"/>
          <w:sz w:val="22"/>
          <w:szCs w:val="22"/>
        </w:rPr>
        <w:t>based on the funding available and the merits of the DEI activities proposed in the states’ applications.</w:t>
      </w:r>
      <w:r>
        <w:rPr>
          <w:rFonts w:ascii="Calibri" w:hAnsi="Calibri" w:cs="Calibri"/>
          <w:sz w:val="22"/>
          <w:szCs w:val="22"/>
        </w:rPr>
        <w:t xml:space="preserve"> DOL solicited applications from states in two rounds, the first occurring in the summer of 2010, and the second in the summer of 2011. The selection criteria used  by DOL were the same in both rounds:   the state’s strategic approach;  partnership commitments and resources; demonstrated experience  providing services targeting people with disabilities;  project management;  and potential for achieving stated outcomes and sustainability. See the Solicitation for Grant Applications provided in </w:t>
      </w:r>
      <w:r w:rsidRPr="001837EF">
        <w:rPr>
          <w:rFonts w:ascii="Calibri" w:hAnsi="Calibri" w:cs="Calibri"/>
          <w:sz w:val="22"/>
          <w:szCs w:val="22"/>
        </w:rPr>
        <w:t xml:space="preserve">Appendix </w:t>
      </w:r>
      <w:r>
        <w:rPr>
          <w:rFonts w:ascii="Calibri" w:hAnsi="Calibri" w:cs="Calibri"/>
          <w:sz w:val="22"/>
          <w:szCs w:val="22"/>
        </w:rPr>
        <w:t xml:space="preserve">6 for the specific evaluation criteria used to rank and select the grantee states. As a result of the application process, nine states were awarded grants in Round 1 and seven states were awarded grants in Round 2. </w:t>
      </w:r>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A primary goal of the DEI evaluation is to identify the impact of the DEI activities on employment-related and other outcomes for people with disabilities. To accomplish this, a clustered randomized selection procedure was used to assign sites within the </w:t>
      </w:r>
      <w:r>
        <w:rPr>
          <w:rFonts w:ascii="Calibri" w:hAnsi="Calibri" w:cs="Calibri"/>
          <w:sz w:val="22"/>
          <w:szCs w:val="22"/>
        </w:rPr>
        <w:t xml:space="preserve">grantee </w:t>
      </w:r>
      <w:r w:rsidRPr="00AA66B8">
        <w:rPr>
          <w:rFonts w:ascii="Calibri" w:hAnsi="Calibri" w:cs="Calibri"/>
          <w:sz w:val="22"/>
          <w:szCs w:val="22"/>
        </w:rPr>
        <w:t>states to serve as pilot sites, which will implement the DEI services, or as comparison sites, which will continue their normal operations without the additional services. All individuals receiving services at a One-Stop career center located in a pilot site and who self-identify as having a disability will be eligible to receive the DEI services and will become members of the treatment group. Individuals receiving services at a One-Stop career center located in a comparison site and who self-identify as having a disability will receive traditional services and will become members of the comparison group.</w:t>
      </w:r>
    </w:p>
    <w:p w:rsidR="00101895" w:rsidRPr="00AA66B8" w:rsidRDefault="00101895" w:rsidP="002666B0">
      <w:pPr>
        <w:spacing w:line="240" w:lineRule="auto"/>
        <w:ind w:firstLine="0"/>
        <w:jc w:val="left"/>
        <w:rPr>
          <w:rFonts w:ascii="Calibri" w:hAnsi="Calibri" w:cs="Calibri"/>
          <w:sz w:val="22"/>
          <w:szCs w:val="22"/>
        </w:rPr>
      </w:pPr>
    </w:p>
    <w:p w:rsidR="00101895" w:rsidRPr="00AA66B8" w:rsidRDefault="00101895" w:rsidP="002666B0">
      <w:pPr>
        <w:spacing w:line="240" w:lineRule="auto"/>
        <w:ind w:firstLine="0"/>
        <w:jc w:val="left"/>
        <w:rPr>
          <w:rFonts w:ascii="Calibri" w:hAnsi="Calibri" w:cs="Calibri"/>
          <w:b/>
          <w:sz w:val="22"/>
          <w:szCs w:val="22"/>
        </w:rPr>
      </w:pPr>
      <w:r w:rsidRPr="00AA66B8">
        <w:rPr>
          <w:rFonts w:ascii="Calibri" w:hAnsi="Calibri" w:cs="Calibri"/>
          <w:b/>
          <w:sz w:val="22"/>
          <w:szCs w:val="22"/>
        </w:rPr>
        <w:t>B.1.1 Site Selection</w:t>
      </w:r>
    </w:p>
    <w:p w:rsidR="00101895" w:rsidRPr="00AA66B8" w:rsidRDefault="00101895" w:rsidP="002666B0">
      <w:pPr>
        <w:spacing w:line="240" w:lineRule="auto"/>
        <w:ind w:firstLine="0"/>
        <w:jc w:val="left"/>
        <w:rPr>
          <w:rFonts w:ascii="Calibri" w:hAnsi="Calibri" w:cs="Calibri"/>
          <w:sz w:val="22"/>
          <w:szCs w:val="22"/>
        </w:rPr>
      </w:pPr>
    </w:p>
    <w:p w:rsidR="00101895" w:rsidRPr="00AA66B8" w:rsidRDefault="00101895" w:rsidP="004224B4">
      <w:pPr>
        <w:spacing w:line="240" w:lineRule="auto"/>
        <w:jc w:val="left"/>
        <w:rPr>
          <w:rFonts w:ascii="Calibri" w:hAnsi="Calibri" w:cs="Calibri"/>
          <w:sz w:val="22"/>
          <w:szCs w:val="22"/>
        </w:rPr>
      </w:pPr>
      <w:r w:rsidRPr="00AA66B8">
        <w:rPr>
          <w:rFonts w:ascii="Calibri" w:hAnsi="Calibri" w:cs="Calibri"/>
          <w:sz w:val="22"/>
          <w:szCs w:val="22"/>
        </w:rPr>
        <w:tab/>
      </w:r>
      <w:r>
        <w:rPr>
          <w:rFonts w:ascii="Calibri" w:hAnsi="Calibri" w:cs="Calibri"/>
          <w:sz w:val="22"/>
          <w:szCs w:val="22"/>
        </w:rPr>
        <w:t xml:space="preserve">As noted above, DOL selected the states that would participate in the DEI based on the funding available and the merits of the grant applications submitted by states. In their applications, states were asked to identify the specific Local Workforce Investment Areas (LWIAs) that would be willing and able to implement the DEI strategies and also participate in the data collection activities associated with the evaluation. </w:t>
      </w:r>
      <w:r w:rsidRPr="00AA66B8">
        <w:rPr>
          <w:rFonts w:ascii="Calibri" w:hAnsi="Calibri" w:cs="Calibri"/>
          <w:sz w:val="22"/>
          <w:szCs w:val="22"/>
        </w:rPr>
        <w:t xml:space="preserve">Because separate Local Workforce Investment Boards (LWIBs) administer the funding and programs delivered in the One-Stop career centers located in their respective LWIAs, </w:t>
      </w:r>
      <w:r>
        <w:rPr>
          <w:rFonts w:ascii="Calibri" w:hAnsi="Calibri" w:cs="Calibri"/>
          <w:sz w:val="22"/>
          <w:szCs w:val="22"/>
        </w:rPr>
        <w:t xml:space="preserve">and because many of the DEI strategies are implemented at the LWIA system level, rather than at the individual level, </w:t>
      </w:r>
      <w:r w:rsidRPr="00AA66B8">
        <w:rPr>
          <w:rFonts w:ascii="Calibri" w:hAnsi="Calibri" w:cs="Calibri"/>
          <w:sz w:val="22"/>
          <w:szCs w:val="22"/>
        </w:rPr>
        <w:t xml:space="preserve">the LWIA is the unit of assignment for the evaluation. LWIAs were selected using a stratified random selection procedure. The process for conducting the random assignment involved the following steps: </w:t>
      </w:r>
    </w:p>
    <w:p w:rsidR="00101895" w:rsidRPr="00AA66B8" w:rsidRDefault="00101895" w:rsidP="004224B4">
      <w:pPr>
        <w:spacing w:line="240" w:lineRule="auto"/>
        <w:jc w:val="left"/>
        <w:rPr>
          <w:rFonts w:ascii="Calibri" w:hAnsi="Calibri" w:cs="Calibri"/>
          <w:sz w:val="22"/>
          <w:szCs w:val="22"/>
        </w:rPr>
      </w:pPr>
    </w:p>
    <w:p w:rsidR="00101895" w:rsidRPr="00AA66B8" w:rsidRDefault="00101895" w:rsidP="004224B4">
      <w:pPr>
        <w:pStyle w:val="BulletBlack"/>
        <w:spacing w:after="0"/>
        <w:jc w:val="left"/>
        <w:rPr>
          <w:rFonts w:ascii="Calibri" w:hAnsi="Calibri" w:cs="Calibri"/>
          <w:sz w:val="22"/>
          <w:szCs w:val="22"/>
        </w:rPr>
      </w:pPr>
      <w:r w:rsidRPr="00AA66B8">
        <w:rPr>
          <w:rFonts w:ascii="Calibri" w:hAnsi="Calibri" w:cs="Calibri"/>
          <w:sz w:val="22"/>
          <w:szCs w:val="22"/>
        </w:rPr>
        <w:t xml:space="preserve">A list of </w:t>
      </w:r>
      <w:r>
        <w:rPr>
          <w:rFonts w:ascii="Calibri" w:hAnsi="Calibri" w:cs="Calibri"/>
          <w:sz w:val="22"/>
          <w:szCs w:val="22"/>
        </w:rPr>
        <w:t xml:space="preserve">the </w:t>
      </w:r>
      <w:r w:rsidRPr="00AA66B8">
        <w:rPr>
          <w:rFonts w:ascii="Calibri" w:hAnsi="Calibri" w:cs="Calibri"/>
          <w:sz w:val="22"/>
          <w:szCs w:val="22"/>
        </w:rPr>
        <w:t xml:space="preserve"> LWIAs </w:t>
      </w:r>
      <w:r>
        <w:rPr>
          <w:rFonts w:ascii="Calibri" w:hAnsi="Calibri" w:cs="Calibri"/>
          <w:sz w:val="22"/>
          <w:szCs w:val="22"/>
        </w:rPr>
        <w:t xml:space="preserve">proposed in each grantee state’s application </w:t>
      </w:r>
      <w:r w:rsidRPr="00AA66B8">
        <w:rPr>
          <w:rFonts w:ascii="Calibri" w:hAnsi="Calibri" w:cs="Calibri"/>
          <w:sz w:val="22"/>
          <w:szCs w:val="22"/>
        </w:rPr>
        <w:t>was obtained</w:t>
      </w:r>
      <w:r>
        <w:rPr>
          <w:rFonts w:ascii="Calibri" w:hAnsi="Calibri" w:cs="Calibri"/>
          <w:sz w:val="22"/>
          <w:szCs w:val="22"/>
        </w:rPr>
        <w:t>.</w:t>
      </w:r>
      <w:r w:rsidRPr="00AA66B8">
        <w:rPr>
          <w:rFonts w:ascii="Calibri" w:hAnsi="Calibri" w:cs="Calibri"/>
          <w:sz w:val="22"/>
          <w:szCs w:val="22"/>
        </w:rPr>
        <w:t xml:space="preserve">. State representatives were informed of the random selection process and were asked to </w:t>
      </w:r>
      <w:r>
        <w:rPr>
          <w:rFonts w:ascii="Calibri" w:hAnsi="Calibri" w:cs="Calibri"/>
          <w:sz w:val="22"/>
          <w:szCs w:val="22"/>
        </w:rPr>
        <w:t xml:space="preserve">confirm that </w:t>
      </w:r>
      <w:r w:rsidRPr="00AA66B8">
        <w:rPr>
          <w:rFonts w:ascii="Calibri" w:hAnsi="Calibri" w:cs="Calibri"/>
          <w:sz w:val="22"/>
          <w:szCs w:val="22"/>
        </w:rPr>
        <w:t xml:space="preserve"> the LWIAs</w:t>
      </w:r>
      <w:r>
        <w:rPr>
          <w:rFonts w:ascii="Calibri" w:hAnsi="Calibri" w:cs="Calibri"/>
          <w:sz w:val="22"/>
          <w:szCs w:val="22"/>
        </w:rPr>
        <w:t xml:space="preserve"> proposed in their applications</w:t>
      </w:r>
      <w:r w:rsidRPr="00AA66B8">
        <w:rPr>
          <w:rFonts w:ascii="Calibri" w:hAnsi="Calibri" w:cs="Calibri"/>
          <w:sz w:val="22"/>
          <w:szCs w:val="22"/>
        </w:rPr>
        <w:t xml:space="preserve"> </w:t>
      </w:r>
      <w:r>
        <w:rPr>
          <w:rFonts w:ascii="Calibri" w:hAnsi="Calibri" w:cs="Calibri"/>
          <w:sz w:val="22"/>
          <w:szCs w:val="22"/>
        </w:rPr>
        <w:t xml:space="preserve">understood that they would be randomly assigned to implement the DEI or to act as a comparison site, and </w:t>
      </w:r>
      <w:r w:rsidRPr="00AA66B8">
        <w:rPr>
          <w:rFonts w:ascii="Calibri" w:hAnsi="Calibri" w:cs="Calibri"/>
          <w:sz w:val="22"/>
          <w:szCs w:val="22"/>
        </w:rPr>
        <w:t>were willing to participate in the random assignment process and data collection, and were capable of implementing DEI if selected.</w:t>
      </w:r>
    </w:p>
    <w:p w:rsidR="00101895" w:rsidRPr="00AA66B8" w:rsidRDefault="00101895" w:rsidP="009E6772">
      <w:pPr>
        <w:pStyle w:val="BulletBlack"/>
        <w:numPr>
          <w:ilvl w:val="0"/>
          <w:numId w:val="0"/>
        </w:numPr>
        <w:spacing w:after="0"/>
        <w:ind w:left="720"/>
        <w:jc w:val="left"/>
        <w:rPr>
          <w:rFonts w:ascii="Calibri" w:hAnsi="Calibri" w:cs="Calibri"/>
          <w:sz w:val="22"/>
          <w:szCs w:val="22"/>
        </w:rPr>
      </w:pPr>
    </w:p>
    <w:p w:rsidR="00101895" w:rsidRPr="00AA66B8" w:rsidRDefault="00101895" w:rsidP="004224B4">
      <w:pPr>
        <w:pStyle w:val="BulletBlack"/>
        <w:spacing w:after="0"/>
        <w:jc w:val="left"/>
        <w:rPr>
          <w:rFonts w:ascii="Calibri" w:hAnsi="Calibri" w:cs="Calibri"/>
          <w:sz w:val="22"/>
          <w:szCs w:val="22"/>
        </w:rPr>
      </w:pPr>
      <w:r w:rsidRPr="00AA66B8">
        <w:rPr>
          <w:rFonts w:ascii="Calibri" w:hAnsi="Calibri" w:cs="Calibri"/>
          <w:sz w:val="22"/>
          <w:szCs w:val="22"/>
        </w:rPr>
        <w:t>Each state grantee was informed that one-half of the LWIAs identified for participation in the DEI would be selected as pilot sites.</w:t>
      </w:r>
      <w:r>
        <w:rPr>
          <w:rFonts w:ascii="Calibri" w:hAnsi="Calibri" w:cs="Calibri"/>
          <w:sz w:val="22"/>
          <w:szCs w:val="22"/>
        </w:rPr>
        <w:t xml:space="preserve"> To a first approximation at least, a 50/50 split maximizes power. In addition, a 50/50 split  facilitated the stratification process undertaken for purposes of increasing the comparability of pilot and comparison sites with respect to key characteristics (urban/rural status and in some instance, region of the state), allowing the inclusion of strata with as few as two LWIAs. All strata are within a specific state, because of many state-specific factors that might affect outcomes.  B</w:t>
      </w:r>
      <w:r w:rsidRPr="00AA66B8">
        <w:rPr>
          <w:rFonts w:ascii="Calibri" w:hAnsi="Calibri" w:cs="Calibri"/>
          <w:sz w:val="22"/>
          <w:szCs w:val="22"/>
        </w:rPr>
        <w:t xml:space="preserve">ecause the outcomes of interest might </w:t>
      </w:r>
      <w:r>
        <w:rPr>
          <w:rFonts w:ascii="Calibri" w:hAnsi="Calibri" w:cs="Calibri"/>
          <w:sz w:val="22"/>
          <w:szCs w:val="22"/>
        </w:rPr>
        <w:t xml:space="preserve">also </w:t>
      </w:r>
      <w:r w:rsidRPr="00AA66B8">
        <w:rPr>
          <w:rFonts w:ascii="Calibri" w:hAnsi="Calibri" w:cs="Calibri"/>
          <w:sz w:val="22"/>
          <w:szCs w:val="22"/>
        </w:rPr>
        <w:t xml:space="preserve">vary substantially </w:t>
      </w:r>
      <w:r>
        <w:rPr>
          <w:rFonts w:ascii="Calibri" w:hAnsi="Calibri" w:cs="Calibri"/>
          <w:sz w:val="22"/>
          <w:szCs w:val="22"/>
        </w:rPr>
        <w:t xml:space="preserve">by LWIA </w:t>
      </w:r>
      <w:r w:rsidRPr="00AA66B8">
        <w:rPr>
          <w:rFonts w:ascii="Calibri" w:hAnsi="Calibri" w:cs="Calibri"/>
          <w:sz w:val="22"/>
          <w:szCs w:val="22"/>
        </w:rPr>
        <w:t xml:space="preserve">within a state, LWIAs were stratified within states to improve comparability between pilot and comparison sites and to improve the precision of the impact estimates. In all states participating in the random assignment process, additional explicit strata were created to include LWIAs that were judged to have similar characteristics. This stratification was performed based on the characteristics that state representatives believed to be most relevant in determining the similarity of LWIAs within the state. These characteristics  included urban/rural status, but sometimes also included geographic location. </w:t>
      </w:r>
      <w:r>
        <w:rPr>
          <w:rFonts w:ascii="Calibri" w:hAnsi="Calibri" w:cs="Calibri"/>
          <w:sz w:val="22"/>
          <w:szCs w:val="22"/>
        </w:rPr>
        <w:t xml:space="preserve">The stratum descriptor associated with each site in Table B.1 indicates the urban/rural and geographic criterion (if any) that were used to group the sites into strata. The number of people with disabilities at each site was not an explicit stratification criterion, but the urban/rural designation of sites inherently takes this into account as urban areas are more densely populated and people with disabilities are more likely to reside in urban areas. </w:t>
      </w:r>
      <w:r>
        <w:rPr>
          <w:rStyle w:val="FootnoteReference"/>
          <w:rFonts w:ascii="Calibri" w:hAnsi="Calibri"/>
          <w:sz w:val="22"/>
          <w:szCs w:val="22"/>
        </w:rPr>
        <w:footnoteReference w:id="2"/>
      </w:r>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r w:rsidRPr="00622BD4">
        <w:rPr>
          <w:rFonts w:ascii="Calibri" w:hAnsi="Calibri" w:cs="Calibri"/>
          <w:b/>
          <w:sz w:val="22"/>
          <w:szCs w:val="22"/>
        </w:rPr>
        <w:tab/>
      </w:r>
      <w:r w:rsidRPr="00622BD4">
        <w:rPr>
          <w:rFonts w:ascii="Calibri" w:hAnsi="Calibri" w:cs="Calibri"/>
          <w:b/>
          <w:sz w:val="22"/>
          <w:szCs w:val="22"/>
        </w:rPr>
        <w:tab/>
        <w:t xml:space="preserve">Round 1 </w:t>
      </w:r>
      <w:r>
        <w:rPr>
          <w:rFonts w:ascii="Calibri" w:hAnsi="Calibri" w:cs="Calibri"/>
          <w:b/>
          <w:sz w:val="22"/>
          <w:szCs w:val="22"/>
        </w:rPr>
        <w:t>S</w:t>
      </w:r>
      <w:r w:rsidRPr="00622BD4">
        <w:rPr>
          <w:rFonts w:ascii="Calibri" w:hAnsi="Calibri" w:cs="Calibri"/>
          <w:b/>
          <w:sz w:val="22"/>
          <w:szCs w:val="22"/>
        </w:rPr>
        <w:t>ite</w:t>
      </w:r>
      <w:r>
        <w:rPr>
          <w:rFonts w:ascii="Calibri" w:hAnsi="Calibri" w:cs="Calibri"/>
          <w:b/>
          <w:sz w:val="22"/>
          <w:szCs w:val="22"/>
        </w:rPr>
        <w:t>s</w:t>
      </w:r>
      <w:r w:rsidRPr="00622BD4">
        <w:rPr>
          <w:rFonts w:ascii="Calibri" w:hAnsi="Calibri" w:cs="Calibri"/>
          <w:b/>
          <w:sz w:val="22"/>
          <w:szCs w:val="22"/>
        </w:rPr>
        <w:t>.</w:t>
      </w:r>
      <w:r>
        <w:rPr>
          <w:rFonts w:ascii="Calibri" w:hAnsi="Calibri" w:cs="Calibri"/>
          <w:sz w:val="22"/>
          <w:szCs w:val="22"/>
        </w:rPr>
        <w:t xml:space="preserve"> </w:t>
      </w:r>
      <w:r w:rsidRPr="00AA66B8">
        <w:rPr>
          <w:rFonts w:ascii="Calibri" w:hAnsi="Calibri" w:cs="Calibri"/>
          <w:sz w:val="22"/>
          <w:szCs w:val="22"/>
        </w:rPr>
        <w:t xml:space="preserve">Two </w:t>
      </w:r>
      <w:r>
        <w:rPr>
          <w:rFonts w:ascii="Calibri" w:hAnsi="Calibri" w:cs="Calibri"/>
          <w:sz w:val="22"/>
          <w:szCs w:val="22"/>
        </w:rPr>
        <w:t xml:space="preserve">Round 1 </w:t>
      </w:r>
      <w:r w:rsidRPr="00AA66B8">
        <w:rPr>
          <w:rFonts w:ascii="Calibri" w:hAnsi="Calibri" w:cs="Calibri"/>
          <w:sz w:val="22"/>
          <w:szCs w:val="22"/>
        </w:rPr>
        <w:t xml:space="preserve">DEI grantee states, Delaware and Alaska, have state-wide workforce investment boards (WIBs) and are not divided into LWIAs. Accordingly, these states did not participate in the random assignment process; the DEI will be implemented state-wide with certainty in these locations. Other specific issues made random assignment problematic for two LWIAs: Chautauqua County in New York, and the Tri-County LWIA in Maine. These LWIAs were assigned to pilot status with certainty. The two sites and two state-wide WIBs that were selected with certainty as pilot sites will be excluded from the impact analysis, but will be included in the data collection effort, and descriptive statistics will be produced for these sites. </w:t>
      </w: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p>
    <w:p w:rsidR="00101895" w:rsidRPr="001F278A"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In most cases, exactly half of LWIAs in each stratum were randomly selected as pilot sites. One stratum </w:t>
      </w:r>
      <w:r w:rsidRPr="001F278A">
        <w:rPr>
          <w:rFonts w:ascii="Calibri" w:hAnsi="Calibri" w:cs="Calibri"/>
          <w:sz w:val="22"/>
          <w:szCs w:val="22"/>
        </w:rPr>
        <w:t>in Virginia contained an odd number of sites, and three out of the five LWIAs were chosen randomly out of that stratum. The results of the random selection process are shown in Table B.1.</w:t>
      </w:r>
    </w:p>
    <w:p w:rsidR="00101895" w:rsidRPr="001F278A" w:rsidRDefault="00101895" w:rsidP="004224B4">
      <w:pPr>
        <w:spacing w:line="240" w:lineRule="auto"/>
        <w:ind w:firstLine="0"/>
        <w:jc w:val="left"/>
        <w:rPr>
          <w:rFonts w:ascii="Calibri" w:hAnsi="Calibri" w:cs="Calibri"/>
          <w:sz w:val="22"/>
          <w:szCs w:val="22"/>
        </w:rPr>
      </w:pPr>
    </w:p>
    <w:p w:rsidR="00101895" w:rsidRPr="001F278A" w:rsidRDefault="00101895" w:rsidP="00622BD4">
      <w:pPr>
        <w:spacing w:line="240" w:lineRule="auto"/>
        <w:ind w:firstLine="0"/>
        <w:jc w:val="left"/>
        <w:rPr>
          <w:rFonts w:ascii="Calibri" w:hAnsi="Calibri" w:cs="Calibri"/>
          <w:sz w:val="22"/>
          <w:szCs w:val="22"/>
        </w:rPr>
      </w:pPr>
      <w:r w:rsidRPr="001F278A">
        <w:rPr>
          <w:rFonts w:ascii="Calibri" w:hAnsi="Calibri" w:cs="Calibri"/>
          <w:b/>
          <w:sz w:val="22"/>
          <w:szCs w:val="22"/>
        </w:rPr>
        <w:tab/>
      </w:r>
      <w:r w:rsidRPr="001F278A">
        <w:rPr>
          <w:rFonts w:ascii="Calibri" w:hAnsi="Calibri" w:cs="Calibri"/>
          <w:b/>
          <w:sz w:val="22"/>
          <w:szCs w:val="22"/>
        </w:rPr>
        <w:tab/>
        <w:t>Round 2 Site</w:t>
      </w:r>
      <w:r>
        <w:rPr>
          <w:rFonts w:ascii="Calibri" w:hAnsi="Calibri" w:cs="Calibri"/>
          <w:b/>
          <w:sz w:val="22"/>
          <w:szCs w:val="22"/>
        </w:rPr>
        <w:t>s</w:t>
      </w:r>
      <w:r w:rsidRPr="001F278A">
        <w:rPr>
          <w:rFonts w:ascii="Calibri" w:hAnsi="Calibri" w:cs="Calibri"/>
          <w:b/>
          <w:sz w:val="22"/>
          <w:szCs w:val="22"/>
        </w:rPr>
        <w:t>.</w:t>
      </w:r>
      <w:r w:rsidRPr="001F278A">
        <w:rPr>
          <w:rFonts w:ascii="Calibri" w:hAnsi="Calibri" w:cs="Calibri"/>
          <w:sz w:val="22"/>
          <w:szCs w:val="22"/>
        </w:rPr>
        <w:t xml:space="preserve"> One Round 2 DEI grantee state, South Dakota, has a state-wide WIB and is not divided into LWIAs. Accordingly, the state did not participate in the random assignment process; the DEI will be implemented in an area purposefully selected by the state. South Dakota will be excluded from the impact analysis, but will be included in the data collection effort, and descriptive statistics will be produced for these sites. A list of each participating LWIA, along with a text description of the stratum it was assigned to, is in Table B.1.</w:t>
      </w:r>
    </w:p>
    <w:p w:rsidR="00101895" w:rsidRPr="001F278A" w:rsidRDefault="00101895" w:rsidP="00622BD4">
      <w:pPr>
        <w:spacing w:line="240" w:lineRule="auto"/>
        <w:ind w:firstLine="0"/>
        <w:jc w:val="left"/>
        <w:rPr>
          <w:rFonts w:ascii="Calibri" w:hAnsi="Calibri" w:cs="Calibri"/>
          <w:sz w:val="22"/>
          <w:szCs w:val="22"/>
        </w:rPr>
      </w:pPr>
      <w:r w:rsidRPr="001F278A">
        <w:rPr>
          <w:rFonts w:ascii="Calibri" w:hAnsi="Calibri" w:cs="Calibri"/>
          <w:sz w:val="22"/>
          <w:szCs w:val="22"/>
        </w:rPr>
        <w:tab/>
      </w:r>
    </w:p>
    <w:p w:rsidR="00101895" w:rsidRDefault="00101895" w:rsidP="00622BD4">
      <w:pPr>
        <w:spacing w:line="240" w:lineRule="auto"/>
        <w:ind w:firstLine="0"/>
        <w:jc w:val="left"/>
        <w:rPr>
          <w:rFonts w:ascii="Calibri" w:hAnsi="Calibri" w:cs="Calibri"/>
          <w:sz w:val="22"/>
          <w:szCs w:val="22"/>
        </w:rPr>
      </w:pPr>
      <w:r w:rsidRPr="001F278A">
        <w:rPr>
          <w:rFonts w:ascii="Calibri" w:hAnsi="Calibri" w:cs="Calibri"/>
          <w:sz w:val="22"/>
          <w:szCs w:val="22"/>
        </w:rPr>
        <w:tab/>
      </w:r>
      <w:r w:rsidRPr="001F278A">
        <w:rPr>
          <w:rFonts w:ascii="Calibri" w:hAnsi="Calibri" w:cs="Calibri"/>
          <w:sz w:val="22"/>
          <w:szCs w:val="22"/>
        </w:rPr>
        <w:tab/>
        <w:t xml:space="preserve">In most cases, exactly half of LWIAs in each stratum were randomly selected as pilot sites. The following strata contain three LWIAs, two of which were selected as pilots: Ohio’s “Less Urban” stratum, Tennessee’s “Urban/Rural Mix” stratum, </w:t>
      </w:r>
      <w:r w:rsidRPr="0024795C">
        <w:rPr>
          <w:rFonts w:ascii="Calibri" w:hAnsi="Calibri" w:cs="Calibri"/>
          <w:sz w:val="22"/>
          <w:szCs w:val="22"/>
        </w:rPr>
        <w:t>Washington</w:t>
      </w:r>
      <w:r w:rsidRPr="001F46CF">
        <w:rPr>
          <w:rFonts w:ascii="Calibri" w:hAnsi="Calibri" w:cs="Calibri"/>
          <w:sz w:val="22"/>
          <w:szCs w:val="22"/>
        </w:rPr>
        <w:t>’</w:t>
      </w:r>
      <w:r w:rsidRPr="0024795C">
        <w:rPr>
          <w:rFonts w:ascii="Calibri" w:hAnsi="Calibri" w:cs="Calibri"/>
          <w:sz w:val="22"/>
          <w:szCs w:val="22"/>
        </w:rPr>
        <w:t>s single statewide stratum</w:t>
      </w:r>
      <w:r w:rsidRPr="001F278A">
        <w:rPr>
          <w:rFonts w:ascii="Calibri" w:hAnsi="Calibri" w:cs="Calibri"/>
          <w:sz w:val="22"/>
          <w:szCs w:val="22"/>
        </w:rPr>
        <w:t>, and Wisconsin’s “Small Urban Center” stratum. The results of the random selection process are shown in Table B.1.</w:t>
      </w:r>
    </w:p>
    <w:p w:rsidR="00101895" w:rsidRPr="00AA66B8" w:rsidRDefault="00101895" w:rsidP="004224B4">
      <w:pPr>
        <w:spacing w:line="240" w:lineRule="auto"/>
        <w:ind w:firstLine="0"/>
        <w:jc w:val="left"/>
        <w:rPr>
          <w:rFonts w:ascii="Calibri" w:hAnsi="Calibri" w:cs="Calibri"/>
          <w:sz w:val="22"/>
          <w:szCs w:val="22"/>
        </w:rPr>
      </w:pPr>
    </w:p>
    <w:p w:rsidR="00101895" w:rsidRDefault="00101895">
      <w:pPr>
        <w:tabs>
          <w:tab w:val="clear" w:pos="432"/>
        </w:tabs>
        <w:spacing w:line="240" w:lineRule="auto"/>
        <w:ind w:firstLine="0"/>
        <w:jc w:val="left"/>
        <w:rPr>
          <w:rFonts w:ascii="Calibri" w:hAnsi="Calibri" w:cs="Calibri"/>
          <w:b/>
          <w:sz w:val="22"/>
          <w:szCs w:val="22"/>
        </w:rPr>
      </w:pPr>
      <w:r>
        <w:rPr>
          <w:rFonts w:ascii="Calibri" w:hAnsi="Calibri" w:cs="Calibri"/>
          <w:b/>
          <w:sz w:val="22"/>
          <w:szCs w:val="22"/>
        </w:rPr>
        <w:br w:type="page"/>
      </w:r>
    </w:p>
    <w:p w:rsidR="00101895" w:rsidRPr="0024795C" w:rsidRDefault="00101895" w:rsidP="0024795C">
      <w:pPr>
        <w:pStyle w:val="MarkforTableHeading"/>
        <w:spacing w:line="240" w:lineRule="auto"/>
        <w:jc w:val="left"/>
        <w:rPr>
          <w:rFonts w:ascii="Calibri" w:hAnsi="Calibri" w:cs="Calibri"/>
          <w:b/>
          <w:caps w:val="0"/>
          <w:sz w:val="22"/>
          <w:szCs w:val="22"/>
        </w:rPr>
      </w:pPr>
      <w:r w:rsidRPr="0024795C">
        <w:rPr>
          <w:rFonts w:ascii="Calibri" w:hAnsi="Calibri"/>
          <w:b/>
          <w:sz w:val="22"/>
          <w:szCs w:val="22"/>
        </w:rPr>
        <w:t xml:space="preserve">TABLE B.1 </w:t>
      </w:r>
      <w:r w:rsidRPr="0024795C">
        <w:rPr>
          <w:rFonts w:ascii="Calibri" w:hAnsi="Calibri" w:cs="Calibri"/>
          <w:b/>
          <w:caps w:val="0"/>
          <w:sz w:val="22"/>
          <w:szCs w:val="22"/>
        </w:rPr>
        <w:t>LWIAs Included in the Selection Pool, the Stratum to Which Each Was Assigned, and Random Assignment Outcome</w:t>
      </w:r>
    </w:p>
    <w:tbl>
      <w:tblPr>
        <w:tblW w:w="9461" w:type="dxa"/>
        <w:tblLook w:val="00A0"/>
      </w:tblPr>
      <w:tblGrid>
        <w:gridCol w:w="5"/>
        <w:gridCol w:w="3413"/>
        <w:gridCol w:w="90"/>
        <w:gridCol w:w="1530"/>
        <w:gridCol w:w="2250"/>
        <w:gridCol w:w="2160"/>
        <w:gridCol w:w="13"/>
      </w:tblGrid>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p>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State/LWIA</w:t>
            </w:r>
          </w:p>
        </w:tc>
        <w:tc>
          <w:tcPr>
            <w:tcW w:w="3870" w:type="dxa"/>
            <w:gridSpan w:val="3"/>
            <w:noWrap/>
          </w:tcPr>
          <w:p w:rsidR="00101895" w:rsidRPr="00BF0358" w:rsidRDefault="00101895" w:rsidP="009E5F06">
            <w:pPr>
              <w:pStyle w:val="TableText"/>
              <w:rPr>
                <w:rFonts w:ascii="Calibri" w:hAnsi="Calibri" w:cs="Calibri"/>
                <w:b/>
                <w:sz w:val="20"/>
                <w:szCs w:val="20"/>
              </w:rPr>
            </w:pPr>
          </w:p>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Stratum</w:t>
            </w:r>
          </w:p>
        </w:tc>
        <w:tc>
          <w:tcPr>
            <w:tcW w:w="2178" w:type="dxa"/>
            <w:gridSpan w:val="2"/>
          </w:tcPr>
          <w:p w:rsidR="00101895" w:rsidRPr="00BF0358" w:rsidRDefault="00101895">
            <w:pPr>
              <w:pStyle w:val="TableText"/>
              <w:rPr>
                <w:rFonts w:ascii="Calibri" w:hAnsi="Calibri" w:cs="Calibri"/>
                <w:b/>
                <w:sz w:val="20"/>
                <w:szCs w:val="20"/>
              </w:rPr>
            </w:pPr>
            <w:r w:rsidRPr="00BF0358">
              <w:rPr>
                <w:rFonts w:ascii="Calibri" w:hAnsi="Calibri" w:cs="Calibri"/>
                <w:b/>
                <w:sz w:val="20"/>
                <w:szCs w:val="20"/>
              </w:rPr>
              <w:t>Random Assignment Outcome</w:t>
            </w:r>
          </w:p>
        </w:tc>
      </w:tr>
      <w:tr w:rsidR="00101895" w:rsidRPr="0015720B" w:rsidTr="003B1C27">
        <w:trPr>
          <w:gridAfter w:val="1"/>
          <w:wAfter w:w="18" w:type="dxa"/>
          <w:trHeight w:val="300"/>
        </w:trPr>
        <w:tc>
          <w:tcPr>
            <w:tcW w:w="5033" w:type="dxa"/>
            <w:gridSpan w:val="4"/>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Round 1 States</w:t>
            </w:r>
          </w:p>
        </w:tc>
        <w:tc>
          <w:tcPr>
            <w:tcW w:w="4410" w:type="dxa"/>
            <w:gridSpan w:val="2"/>
            <w:noWrap/>
          </w:tcPr>
          <w:p w:rsidR="00101895" w:rsidRPr="00BF0358" w:rsidRDefault="00101895" w:rsidP="009E5F06">
            <w:pPr>
              <w:pStyle w:val="TableText"/>
              <w:rPr>
                <w:rFonts w:ascii="Calibri" w:hAnsi="Calibri" w:cs="Calibri"/>
                <w:sz w:val="20"/>
                <w:szCs w:val="20"/>
              </w:rPr>
            </w:pP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Alaska*</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Arkansas</w:t>
            </w:r>
          </w:p>
        </w:tc>
        <w:tc>
          <w:tcPr>
            <w:tcW w:w="3870" w:type="dxa"/>
            <w:gridSpan w:val="3"/>
            <w:noWrap/>
          </w:tcPr>
          <w:p w:rsidR="00101895" w:rsidRPr="00BF0358" w:rsidRDefault="00101895" w:rsidP="009E5F06">
            <w:pPr>
              <w:pStyle w:val="TableText"/>
              <w:rPr>
                <w:rFonts w:ascii="Calibri" w:hAnsi="Calibri" w:cs="Calibri"/>
                <w:sz w:val="20"/>
                <w:szCs w:val="20"/>
              </w:rPr>
            </w:pPr>
          </w:p>
        </w:tc>
        <w:tc>
          <w:tcPr>
            <w:tcW w:w="2178" w:type="dxa"/>
            <w:gridSpan w:val="2"/>
          </w:tcPr>
          <w:p w:rsidR="00101895" w:rsidRPr="00BF0358" w:rsidRDefault="00101895" w:rsidP="009E5F06">
            <w:pPr>
              <w:pStyle w:val="TableText"/>
              <w:rPr>
                <w:rFonts w:ascii="Calibri" w:hAnsi="Calibri" w:cs="Calibri"/>
                <w:sz w:val="20"/>
                <w:szCs w:val="20"/>
              </w:rPr>
            </w:pPr>
          </w:p>
        </w:tc>
      </w:tr>
      <w:tr w:rsidR="00101895" w:rsidRPr="0015720B" w:rsidTr="00BF0358">
        <w:tblPrEx>
          <w:tblBorders>
            <w:top w:val="single" w:sz="12" w:space="0" w:color="C00000"/>
            <w:bottom w:val="single" w:sz="4" w:space="0" w:color="C00000"/>
          </w:tblBorders>
        </w:tblPrEx>
        <w:trPr>
          <w:trHeight w:val="300"/>
        </w:trPr>
        <w:tc>
          <w:tcPr>
            <w:tcW w:w="3413" w:type="dxa"/>
            <w:gridSpan w:val="2"/>
            <w:tcBorders>
              <w:top w:val="nil"/>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w:t>
            </w:r>
          </w:p>
        </w:tc>
        <w:tc>
          <w:tcPr>
            <w:tcW w:w="3870" w:type="dxa"/>
            <w:gridSpan w:val="3"/>
            <w:tcBorders>
              <w:top w:val="nil"/>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Borders>
              <w:top w:val="nil"/>
            </w:tcBorders>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Eastern</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 Central</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Southeast</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Southwest</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West Central</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Western</w:t>
            </w:r>
          </w:p>
        </w:tc>
        <w:tc>
          <w:tcPr>
            <w:tcW w:w="3870" w:type="dxa"/>
            <w:gridSpan w:val="3"/>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Arkansas single stratum</w:t>
            </w:r>
          </w:p>
        </w:tc>
        <w:tc>
          <w:tcPr>
            <w:tcW w:w="2178" w:type="dxa"/>
            <w:gridSpan w:val="2"/>
            <w:tcBorders>
              <w:bottom w:val="single" w:sz="4" w:space="0" w:color="auto"/>
            </w:tcBorders>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Delaware*</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Illinois</w:t>
            </w:r>
          </w:p>
        </w:tc>
        <w:tc>
          <w:tcPr>
            <w:tcW w:w="3870" w:type="dxa"/>
            <w:gridSpan w:val="3"/>
            <w:noWrap/>
          </w:tcPr>
          <w:p w:rsidR="00101895" w:rsidRPr="00BF0358" w:rsidRDefault="00101895" w:rsidP="009E5F06">
            <w:pPr>
              <w:pStyle w:val="TableText"/>
              <w:rPr>
                <w:rFonts w:ascii="Calibri" w:hAnsi="Calibri" w:cs="Calibri"/>
                <w:sz w:val="20"/>
                <w:szCs w:val="20"/>
              </w:rPr>
            </w:pPr>
          </w:p>
        </w:tc>
        <w:tc>
          <w:tcPr>
            <w:tcW w:w="2178" w:type="dxa"/>
            <w:gridSpan w:val="2"/>
          </w:tcPr>
          <w:p w:rsidR="00101895" w:rsidRPr="00BF0358" w:rsidRDefault="00101895" w:rsidP="009E5F06">
            <w:pPr>
              <w:pStyle w:val="TableText"/>
              <w:rPr>
                <w:rFonts w:ascii="Calibri" w:hAnsi="Calibri" w:cs="Calibri"/>
                <w:sz w:val="20"/>
                <w:szCs w:val="20"/>
              </w:rPr>
            </w:pP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3 (Rockford area)</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15 (Peoria area)</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8 (Northern Cook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9 (Chicago)</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Kansas</w:t>
            </w:r>
          </w:p>
        </w:tc>
        <w:tc>
          <w:tcPr>
            <w:tcW w:w="3870" w:type="dxa"/>
            <w:gridSpan w:val="3"/>
            <w:noWrap/>
          </w:tcPr>
          <w:p w:rsidR="00101895" w:rsidRPr="00BF0358" w:rsidRDefault="00101895" w:rsidP="009E5F06">
            <w:pPr>
              <w:pStyle w:val="TableText"/>
              <w:rPr>
                <w:rFonts w:ascii="Calibri" w:hAnsi="Calibri" w:cs="Calibri"/>
                <w:sz w:val="20"/>
                <w:szCs w:val="20"/>
              </w:rPr>
            </w:pPr>
          </w:p>
        </w:tc>
        <w:tc>
          <w:tcPr>
            <w:tcW w:w="2178" w:type="dxa"/>
            <w:gridSpan w:val="2"/>
          </w:tcPr>
          <w:p w:rsidR="00101895" w:rsidRPr="00BF0358" w:rsidRDefault="00101895" w:rsidP="009E5F06">
            <w:pPr>
              <w:pStyle w:val="TableText"/>
              <w:rPr>
                <w:rFonts w:ascii="Calibri" w:hAnsi="Calibri" w:cs="Calibri"/>
                <w:sz w:val="20"/>
                <w:szCs w:val="20"/>
              </w:rPr>
            </w:pP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I (west)</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V (southeast)</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II (northeast / Topeka)</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IV (south / Wichita)</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Maine</w:t>
            </w:r>
          </w:p>
        </w:tc>
        <w:tc>
          <w:tcPr>
            <w:tcW w:w="3870" w:type="dxa"/>
            <w:gridSpan w:val="3"/>
            <w:noWrap/>
          </w:tcPr>
          <w:p w:rsidR="00101895" w:rsidRPr="00BF0358" w:rsidRDefault="00101895" w:rsidP="009E5F06">
            <w:pPr>
              <w:pStyle w:val="TableText"/>
              <w:rPr>
                <w:rFonts w:ascii="Calibri" w:hAnsi="Calibri" w:cs="Calibri"/>
                <w:sz w:val="20"/>
                <w:szCs w:val="20"/>
              </w:rPr>
            </w:pPr>
          </w:p>
        </w:tc>
        <w:tc>
          <w:tcPr>
            <w:tcW w:w="2178" w:type="dxa"/>
            <w:gridSpan w:val="2"/>
          </w:tcPr>
          <w:p w:rsidR="00101895" w:rsidRPr="00BF0358" w:rsidRDefault="00101895" w:rsidP="009E5F06">
            <w:pPr>
              <w:pStyle w:val="TableText"/>
              <w:rPr>
                <w:rFonts w:ascii="Calibri" w:hAnsi="Calibri" w:cs="Calibri"/>
                <w:sz w:val="20"/>
                <w:szCs w:val="20"/>
              </w:rPr>
            </w:pPr>
          </w:p>
        </w:tc>
      </w:tr>
      <w:tr w:rsidR="00101895" w:rsidRPr="0015720B" w:rsidTr="00BF0358">
        <w:tblPrEx>
          <w:tblBorders>
            <w:top w:val="single" w:sz="12" w:space="0" w:color="C00000"/>
            <w:bottom w:val="single" w:sz="4" w:space="0" w:color="C00000"/>
          </w:tblBorders>
        </w:tblPrEx>
        <w:trPr>
          <w:trHeight w:val="300"/>
        </w:trPr>
        <w:tc>
          <w:tcPr>
            <w:tcW w:w="3413" w:type="dxa"/>
            <w:gridSpan w:val="2"/>
            <w:tcBorders>
              <w:top w:val="nil"/>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2 (Tri-County)</w:t>
            </w:r>
          </w:p>
        </w:tc>
        <w:tc>
          <w:tcPr>
            <w:tcW w:w="3870" w:type="dxa"/>
            <w:gridSpan w:val="3"/>
            <w:tcBorders>
              <w:top w:val="nil"/>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Assigned with certainty to pilot</w:t>
            </w:r>
          </w:p>
        </w:tc>
        <w:tc>
          <w:tcPr>
            <w:tcW w:w="2178" w:type="dxa"/>
            <w:gridSpan w:val="2"/>
            <w:tcBorders>
              <w:top w:val="nil"/>
            </w:tcBorders>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1 (Northern Maine)</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Maine single stratum</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4 (Coastal Counties)</w:t>
            </w:r>
          </w:p>
        </w:tc>
        <w:tc>
          <w:tcPr>
            <w:tcW w:w="3870" w:type="dxa"/>
            <w:gridSpan w:val="3"/>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Maine single stratum</w:t>
            </w:r>
          </w:p>
        </w:tc>
        <w:tc>
          <w:tcPr>
            <w:tcW w:w="2178" w:type="dxa"/>
            <w:gridSpan w:val="2"/>
            <w:tcBorders>
              <w:bottom w:val="single" w:sz="4" w:space="0" w:color="auto"/>
            </w:tcBorders>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New Jersey</w:t>
            </w:r>
          </w:p>
        </w:tc>
        <w:tc>
          <w:tcPr>
            <w:tcW w:w="3870" w:type="dxa"/>
            <w:gridSpan w:val="3"/>
            <w:noWrap/>
          </w:tcPr>
          <w:p w:rsidR="00101895" w:rsidRPr="00BF0358" w:rsidRDefault="00101895" w:rsidP="009E5F06">
            <w:pPr>
              <w:pStyle w:val="TableText"/>
              <w:rPr>
                <w:rFonts w:ascii="Calibri" w:hAnsi="Calibri" w:cs="Calibri"/>
                <w:sz w:val="20"/>
                <w:szCs w:val="20"/>
              </w:rPr>
            </w:pPr>
          </w:p>
        </w:tc>
        <w:tc>
          <w:tcPr>
            <w:tcW w:w="2178" w:type="dxa"/>
            <w:gridSpan w:val="2"/>
          </w:tcPr>
          <w:p w:rsidR="00101895" w:rsidRPr="00BF0358" w:rsidRDefault="00101895" w:rsidP="009E5F06">
            <w:pPr>
              <w:pStyle w:val="TableText"/>
              <w:rPr>
                <w:rFonts w:ascii="Calibri" w:hAnsi="Calibri" w:cs="Calibri"/>
                <w:sz w:val="20"/>
                <w:szCs w:val="20"/>
              </w:rPr>
            </w:pPr>
          </w:p>
        </w:tc>
      </w:tr>
      <w:tr w:rsidR="00101895" w:rsidRPr="0015720B" w:rsidTr="00BF0358">
        <w:tblPrEx>
          <w:tblBorders>
            <w:top w:val="single" w:sz="12" w:space="0" w:color="C00000"/>
            <w:bottom w:val="single" w:sz="4" w:space="0" w:color="C00000"/>
          </w:tblBorders>
        </w:tblPrEx>
        <w:trPr>
          <w:trHeight w:val="300"/>
        </w:trPr>
        <w:tc>
          <w:tcPr>
            <w:tcW w:w="3413" w:type="dxa"/>
            <w:gridSpan w:val="2"/>
            <w:tcBorders>
              <w:top w:val="nil"/>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Bergen County</w:t>
            </w:r>
          </w:p>
        </w:tc>
        <w:tc>
          <w:tcPr>
            <w:tcW w:w="3870" w:type="dxa"/>
            <w:gridSpan w:val="3"/>
            <w:tcBorders>
              <w:top w:val="nil"/>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Northern suburbs</w:t>
            </w:r>
          </w:p>
        </w:tc>
        <w:tc>
          <w:tcPr>
            <w:tcW w:w="2178" w:type="dxa"/>
            <w:gridSpan w:val="2"/>
            <w:tcBorders>
              <w:top w:val="nil"/>
            </w:tcBorders>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Greater Raritan</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Northern suburbs</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Cumberland/Salem</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Morris/Sussex/Warren</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Burlington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suburbs</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Gloucester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suburbs</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Camden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Passaic County</w:t>
            </w:r>
          </w:p>
        </w:tc>
        <w:tc>
          <w:tcPr>
            <w:tcW w:w="3870" w:type="dxa"/>
            <w:gridSpan w:val="3"/>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Borders>
              <w:bottom w:val="single" w:sz="4" w:space="0" w:color="auto"/>
            </w:tcBorders>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New York</w:t>
            </w:r>
          </w:p>
        </w:tc>
        <w:tc>
          <w:tcPr>
            <w:tcW w:w="3870" w:type="dxa"/>
            <w:gridSpan w:val="3"/>
            <w:noWrap/>
          </w:tcPr>
          <w:p w:rsidR="00101895" w:rsidRPr="00BF0358" w:rsidRDefault="00101895" w:rsidP="009E5F06">
            <w:pPr>
              <w:pStyle w:val="TableText"/>
              <w:rPr>
                <w:rFonts w:ascii="Calibri" w:hAnsi="Calibri" w:cs="Calibri"/>
                <w:sz w:val="20"/>
                <w:szCs w:val="20"/>
              </w:rPr>
            </w:pPr>
          </w:p>
        </w:tc>
        <w:tc>
          <w:tcPr>
            <w:tcW w:w="2178" w:type="dxa"/>
            <w:gridSpan w:val="2"/>
          </w:tcPr>
          <w:p w:rsidR="00101895" w:rsidRPr="00BF0358" w:rsidRDefault="00101895" w:rsidP="009E5F06">
            <w:pPr>
              <w:pStyle w:val="TableText"/>
              <w:rPr>
                <w:rFonts w:ascii="Calibri" w:hAnsi="Calibri" w:cs="Calibri"/>
                <w:sz w:val="20"/>
                <w:szCs w:val="20"/>
              </w:rPr>
            </w:pP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Chautauqua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Assigned with certainty to pilot</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Capital Region (Albany/Rensselaer/Schenectady)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Albany and suburbs</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Columbia-Greene Counties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Albany and suburbs</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Chenango-Delaware-Otsego Counties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Fulton-Montgomery-Schoharie</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Broome-Tioga Counties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small city surrounded by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Chemung-Schuyler-Steuben Counties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small city surrounded by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Herkimer-Madison-Oneida</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small city surrounded by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Tompkins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Central macro area / small city surrounded by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Erie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Buffalo area</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Niagara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Buffalo area</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Monroe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large city</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Onondaga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large city</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Jefferson-Lewis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northern small towns and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 Country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northern small towns and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Oswego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northern small towns and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St. Lawrence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northern small towns and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Finger Lakes (Ontario-Seneca-Wayne-Yates)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western small towns and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Genesee-Livingston-Orleans-Wyoming Counties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Northwest macro area / western small towns and 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Orange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macro area / less 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Rockland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macro area / less 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Sullivan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macro area / less 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Ulster County</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macro area / less 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Westchester Balance/Putnam</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macro area / more 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3B1C27">
        <w:trPr>
          <w:trHeight w:val="300"/>
        </w:trPr>
        <w:tc>
          <w:tcPr>
            <w:tcW w:w="3413"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Yonkers</w:t>
            </w:r>
          </w:p>
        </w:tc>
        <w:tc>
          <w:tcPr>
            <w:tcW w:w="3870"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Southern macro area / more 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3B1C27">
        <w:trPr>
          <w:trHeight w:val="300"/>
        </w:trPr>
        <w:tc>
          <w:tcPr>
            <w:tcW w:w="3503" w:type="dxa"/>
            <w:gridSpan w:val="3"/>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Virginia</w:t>
            </w:r>
          </w:p>
        </w:tc>
        <w:tc>
          <w:tcPr>
            <w:tcW w:w="3780" w:type="dxa"/>
            <w:gridSpan w:val="2"/>
            <w:noWrap/>
          </w:tcPr>
          <w:p w:rsidR="00101895" w:rsidRPr="00BF0358" w:rsidRDefault="00101895" w:rsidP="009E5F06">
            <w:pPr>
              <w:pStyle w:val="TableText"/>
              <w:rPr>
                <w:rFonts w:ascii="Calibri" w:hAnsi="Calibri" w:cs="Calibri"/>
                <w:sz w:val="20"/>
                <w:szCs w:val="20"/>
              </w:rPr>
            </w:pPr>
          </w:p>
        </w:tc>
        <w:tc>
          <w:tcPr>
            <w:tcW w:w="2178" w:type="dxa"/>
            <w:gridSpan w:val="2"/>
          </w:tcPr>
          <w:p w:rsidR="00101895" w:rsidRPr="00BF0358" w:rsidRDefault="00101895" w:rsidP="009E5F06">
            <w:pPr>
              <w:pStyle w:val="TableText"/>
              <w:rPr>
                <w:rFonts w:ascii="Calibri" w:hAnsi="Calibri" w:cs="Calibri"/>
                <w:sz w:val="20"/>
                <w:szCs w:val="20"/>
              </w:rPr>
            </w:pPr>
          </w:p>
        </w:tc>
      </w:tr>
      <w:tr w:rsidR="00101895" w:rsidRPr="0015720B" w:rsidTr="003B1C27">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III Western</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Urban/Rural Hybrid</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VI Piedmont</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Urban/Rural Hybrid</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XIII Bay Consortium</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Urban/Rural Hybrid</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XIV Greater Peninsula</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Urban/Rural Hybrid</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XVII West Piedmont</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Urban/Rural Hybrid</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I Southwest</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VIII South Central</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Rural</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XI Northern</w:t>
            </w:r>
          </w:p>
        </w:tc>
        <w:tc>
          <w:tcPr>
            <w:tcW w:w="3780" w:type="dxa"/>
            <w:gridSpan w:val="2"/>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503" w:type="dxa"/>
            <w:gridSpan w:val="3"/>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XII Alexandria/Arlington</w:t>
            </w:r>
          </w:p>
        </w:tc>
        <w:tc>
          <w:tcPr>
            <w:tcW w:w="3780" w:type="dxa"/>
            <w:gridSpan w:val="2"/>
            <w:tcBorders>
              <w:bottom w:val="single" w:sz="4" w:space="0" w:color="auto"/>
            </w:tcBorders>
            <w:noWrap/>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Urban</w:t>
            </w:r>
          </w:p>
        </w:tc>
        <w:tc>
          <w:tcPr>
            <w:tcW w:w="2178" w:type="dxa"/>
            <w:gridSpan w:val="2"/>
            <w:tcBorders>
              <w:bottom w:val="single" w:sz="4" w:space="0" w:color="auto"/>
            </w:tcBorders>
          </w:tcPr>
          <w:p w:rsidR="00101895" w:rsidRPr="00BF0358" w:rsidRDefault="00101895" w:rsidP="009E5F06">
            <w:pPr>
              <w:pStyle w:val="TableText"/>
              <w:rPr>
                <w:rFonts w:ascii="Calibri" w:hAnsi="Calibri" w:cs="Calibri"/>
                <w:sz w:val="20"/>
                <w:szCs w:val="20"/>
              </w:rPr>
            </w:pPr>
            <w:r w:rsidRPr="00BF0358">
              <w:rPr>
                <w:rFonts w:ascii="Calibri" w:hAnsi="Calibri" w:cs="Calibri"/>
                <w:sz w:val="20"/>
                <w:szCs w:val="20"/>
              </w:rPr>
              <w:t>Pilot</w:t>
            </w:r>
          </w:p>
        </w:tc>
      </w:tr>
      <w:tr w:rsidR="00101895" w:rsidRPr="00D80BD1" w:rsidTr="00BF0358">
        <w:tblPrEx>
          <w:tblBorders>
            <w:top w:val="single" w:sz="12" w:space="0" w:color="C00000"/>
            <w:bottom w:val="single" w:sz="4" w:space="0" w:color="C00000"/>
          </w:tblBorders>
        </w:tblPrEx>
        <w:trPr>
          <w:trHeight w:val="300"/>
        </w:trPr>
        <w:tc>
          <w:tcPr>
            <w:tcW w:w="3503" w:type="dxa"/>
            <w:gridSpan w:val="3"/>
            <w:tcBorders>
              <w:top w:val="single" w:sz="4" w:space="0" w:color="auto"/>
              <w:bottom w:val="single" w:sz="4" w:space="0" w:color="auto"/>
            </w:tcBorders>
            <w:shd w:val="pct15" w:color="auto" w:fill="auto"/>
            <w:noWrap/>
          </w:tcPr>
          <w:p w:rsidR="00101895" w:rsidRPr="00BF0358" w:rsidRDefault="00101895" w:rsidP="009E5F06">
            <w:pPr>
              <w:pStyle w:val="TableText"/>
              <w:rPr>
                <w:rFonts w:ascii="Calibri" w:hAnsi="Calibri" w:cs="Calibri"/>
                <w:b/>
                <w:sz w:val="20"/>
                <w:szCs w:val="20"/>
              </w:rPr>
            </w:pPr>
            <w:r w:rsidRPr="00BF0358">
              <w:rPr>
                <w:rFonts w:ascii="Calibri" w:hAnsi="Calibri" w:cs="Calibri"/>
                <w:b/>
                <w:sz w:val="20"/>
                <w:szCs w:val="20"/>
              </w:rPr>
              <w:t>Round 2 States</w:t>
            </w:r>
          </w:p>
        </w:tc>
        <w:tc>
          <w:tcPr>
            <w:tcW w:w="3780" w:type="dxa"/>
            <w:gridSpan w:val="2"/>
            <w:tcBorders>
              <w:top w:val="single" w:sz="4" w:space="0" w:color="auto"/>
              <w:bottom w:val="single" w:sz="4" w:space="0" w:color="auto"/>
            </w:tcBorders>
            <w:shd w:val="pct15" w:color="auto" w:fill="auto"/>
            <w:noWrap/>
          </w:tcPr>
          <w:p w:rsidR="00101895" w:rsidRPr="00BF0358" w:rsidRDefault="00101895" w:rsidP="009E5F06">
            <w:pPr>
              <w:pStyle w:val="TableText"/>
              <w:rPr>
                <w:rFonts w:ascii="Calibri" w:hAnsi="Calibri" w:cs="Calibri"/>
                <w:b/>
                <w:sz w:val="20"/>
                <w:szCs w:val="20"/>
              </w:rPr>
            </w:pPr>
          </w:p>
        </w:tc>
        <w:tc>
          <w:tcPr>
            <w:tcW w:w="2178" w:type="dxa"/>
            <w:gridSpan w:val="2"/>
            <w:tcBorders>
              <w:top w:val="single" w:sz="4" w:space="0" w:color="auto"/>
              <w:bottom w:val="single" w:sz="4" w:space="0" w:color="auto"/>
            </w:tcBorders>
            <w:shd w:val="pct15" w:color="auto" w:fill="auto"/>
          </w:tcPr>
          <w:p w:rsidR="00101895" w:rsidRPr="00BF0358" w:rsidRDefault="00101895" w:rsidP="009E5F06">
            <w:pPr>
              <w:pStyle w:val="TableText"/>
              <w:rPr>
                <w:rFonts w:ascii="Calibri" w:hAnsi="Calibri" w:cs="Calibri"/>
                <w:b/>
                <w:sz w:val="20"/>
                <w:szCs w:val="20"/>
              </w:rPr>
            </w:pPr>
          </w:p>
        </w:tc>
      </w:tr>
      <w:tr w:rsidR="00101895" w:rsidRPr="0015720B" w:rsidTr="003B1C27">
        <w:trPr>
          <w:trHeight w:val="260"/>
        </w:trPr>
        <w:tc>
          <w:tcPr>
            <w:tcW w:w="3503" w:type="dxa"/>
            <w:gridSpan w:val="3"/>
            <w:noWrap/>
          </w:tcPr>
          <w:p w:rsidR="00101895" w:rsidRPr="00BF0358" w:rsidRDefault="00101895" w:rsidP="009E5F06">
            <w:pPr>
              <w:pStyle w:val="TableText"/>
              <w:rPr>
                <w:rFonts w:ascii="Calibri" w:hAnsi="Calibri"/>
                <w:b/>
                <w:sz w:val="20"/>
                <w:szCs w:val="20"/>
              </w:rPr>
            </w:pPr>
            <w:r w:rsidRPr="00BF0358">
              <w:rPr>
                <w:rFonts w:ascii="Calibri" w:hAnsi="Calibri"/>
                <w:b/>
                <w:sz w:val="20"/>
                <w:szCs w:val="20"/>
              </w:rPr>
              <w:t>California</w:t>
            </w:r>
          </w:p>
        </w:tc>
        <w:tc>
          <w:tcPr>
            <w:tcW w:w="3780" w:type="dxa"/>
            <w:gridSpan w:val="2"/>
            <w:noWrap/>
          </w:tcPr>
          <w:p w:rsidR="00101895" w:rsidRPr="00BF0358" w:rsidRDefault="00101895" w:rsidP="009E5F06">
            <w:pPr>
              <w:pStyle w:val="TableText"/>
              <w:rPr>
                <w:rFonts w:ascii="Calibri" w:hAnsi="Calibri"/>
                <w:sz w:val="20"/>
                <w:szCs w:val="20"/>
              </w:rPr>
            </w:pPr>
          </w:p>
        </w:tc>
        <w:tc>
          <w:tcPr>
            <w:tcW w:w="2178" w:type="dxa"/>
            <w:gridSpan w:val="2"/>
          </w:tcPr>
          <w:p w:rsidR="00101895" w:rsidRPr="00BF0358" w:rsidRDefault="00101895" w:rsidP="009E5F06">
            <w:pPr>
              <w:pStyle w:val="TableText"/>
              <w:rPr>
                <w:rFonts w:ascii="Calibri" w:hAnsi="Calibri"/>
                <w:sz w:val="20"/>
                <w:szCs w:val="20"/>
              </w:rPr>
            </w:pP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Golden Sierra</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Rural - Northern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Los Angeles City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Urban Center</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Madera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Rural - Central</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Merced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Rural - Central</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North Central Counties Consortium</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Rural - Northern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trHeight w:val="300"/>
        </w:trPr>
        <w:tc>
          <w:tcPr>
            <w:tcW w:w="3503" w:type="dxa"/>
            <w:gridSpan w:val="3"/>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Sacramento Employment and Training</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Urban Center</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San Bernardino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Balance of State</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San Francisco</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Balance of State</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Southeast Los Angeles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Los Angeles Suburbs</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Verdugo</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Los Angeles Suburbs</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b/>
                <w:sz w:val="20"/>
                <w:szCs w:val="20"/>
              </w:rPr>
            </w:pPr>
            <w:r w:rsidRPr="00BF0358">
              <w:rPr>
                <w:rFonts w:ascii="Calibri" w:hAnsi="Calibri"/>
                <w:b/>
                <w:sz w:val="20"/>
                <w:szCs w:val="20"/>
              </w:rPr>
              <w:t>Hawaii</w:t>
            </w:r>
          </w:p>
        </w:tc>
        <w:tc>
          <w:tcPr>
            <w:tcW w:w="3780" w:type="dxa"/>
            <w:gridSpan w:val="2"/>
            <w:noWrap/>
          </w:tcPr>
          <w:p w:rsidR="00101895" w:rsidRPr="00BF0358" w:rsidRDefault="00101895" w:rsidP="009E5F06">
            <w:pPr>
              <w:pStyle w:val="TableText"/>
              <w:rPr>
                <w:rFonts w:ascii="Calibri" w:hAnsi="Calibri"/>
                <w:sz w:val="20"/>
                <w:szCs w:val="20"/>
              </w:rPr>
            </w:pPr>
          </w:p>
        </w:tc>
        <w:tc>
          <w:tcPr>
            <w:tcW w:w="2178" w:type="dxa"/>
            <w:gridSpan w:val="2"/>
          </w:tcPr>
          <w:p w:rsidR="00101895" w:rsidRPr="00BF0358" w:rsidRDefault="00101895" w:rsidP="009E5F06">
            <w:pPr>
              <w:pStyle w:val="TableText"/>
              <w:rPr>
                <w:rFonts w:ascii="Calibri" w:hAnsi="Calibri"/>
                <w:sz w:val="20"/>
                <w:szCs w:val="20"/>
              </w:rPr>
            </w:pP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Hawaii</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Hawaii Single Stratum</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Maui</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Hawaii Single Stratum</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Oahu</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Hawaii Single Stratum</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Kauai</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Hawaii Single Stratum</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b/>
                <w:sz w:val="20"/>
                <w:szCs w:val="20"/>
              </w:rPr>
            </w:pPr>
            <w:r w:rsidRPr="00BF0358">
              <w:rPr>
                <w:rFonts w:ascii="Calibri" w:hAnsi="Calibri"/>
                <w:b/>
                <w:sz w:val="20"/>
                <w:szCs w:val="20"/>
              </w:rPr>
              <w:t>Ohio</w:t>
            </w:r>
          </w:p>
        </w:tc>
        <w:tc>
          <w:tcPr>
            <w:tcW w:w="3780" w:type="dxa"/>
            <w:gridSpan w:val="2"/>
            <w:noWrap/>
          </w:tcPr>
          <w:p w:rsidR="00101895" w:rsidRPr="00BF0358" w:rsidRDefault="00101895" w:rsidP="009E5F06">
            <w:pPr>
              <w:pStyle w:val="TableText"/>
              <w:rPr>
                <w:rFonts w:ascii="Calibri" w:hAnsi="Calibri"/>
                <w:sz w:val="20"/>
                <w:szCs w:val="20"/>
              </w:rPr>
            </w:pPr>
          </w:p>
        </w:tc>
        <w:tc>
          <w:tcPr>
            <w:tcW w:w="2178" w:type="dxa"/>
            <w:gridSpan w:val="2"/>
          </w:tcPr>
          <w:p w:rsidR="00101895" w:rsidRPr="00BF0358" w:rsidRDefault="00101895" w:rsidP="009E5F06">
            <w:pPr>
              <w:pStyle w:val="TableText"/>
              <w:rPr>
                <w:rFonts w:ascii="Calibri" w:hAnsi="Calibri"/>
                <w:sz w:val="20"/>
                <w:szCs w:val="20"/>
              </w:rPr>
            </w:pP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1 (Adams, Brown, Scioto, Pike Counties)</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Less 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2 (Medina, Summit Counties)</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Less 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3 (Cuyahoga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More 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9 (Lucas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Less 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11 (Franklin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More 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b/>
                <w:sz w:val="20"/>
                <w:szCs w:val="20"/>
              </w:rPr>
            </w:pPr>
            <w:r w:rsidRPr="00BF0358">
              <w:rPr>
                <w:rFonts w:ascii="Calibri" w:hAnsi="Calibri" w:cs="Calibri"/>
                <w:b/>
                <w:sz w:val="20"/>
                <w:szCs w:val="20"/>
              </w:rPr>
              <w:t>South Dakota*</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w:t>
            </w:r>
          </w:p>
        </w:tc>
        <w:tc>
          <w:tcPr>
            <w:tcW w:w="2178" w:type="dxa"/>
            <w:gridSpan w:val="2"/>
          </w:tcPr>
          <w:p w:rsidR="00101895" w:rsidRPr="00BF0358" w:rsidRDefault="00101895" w:rsidP="009E5F06">
            <w:pPr>
              <w:pStyle w:val="TableText"/>
              <w:rPr>
                <w:rFonts w:ascii="Calibri" w:hAnsi="Calibri"/>
                <w:b/>
                <w:sz w:val="20"/>
                <w:szCs w:val="20"/>
              </w:rPr>
            </w:pPr>
            <w:r w:rsidRPr="00BF0358">
              <w:rPr>
                <w:rFonts w:ascii="Calibri" w:hAnsi="Calibri"/>
                <w:b/>
                <w:sz w:val="20"/>
                <w:szCs w:val="20"/>
              </w:rPr>
              <w:t>*</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b/>
                <w:sz w:val="20"/>
                <w:szCs w:val="20"/>
              </w:rPr>
            </w:pPr>
            <w:r w:rsidRPr="00BF0358">
              <w:rPr>
                <w:rFonts w:ascii="Calibri" w:hAnsi="Calibri"/>
                <w:b/>
                <w:sz w:val="20"/>
                <w:szCs w:val="20"/>
              </w:rPr>
              <w:t>Tennessee</w:t>
            </w:r>
          </w:p>
        </w:tc>
        <w:tc>
          <w:tcPr>
            <w:tcW w:w="3780" w:type="dxa"/>
            <w:gridSpan w:val="2"/>
            <w:noWrap/>
          </w:tcPr>
          <w:p w:rsidR="00101895" w:rsidRPr="00BF0358" w:rsidRDefault="00101895" w:rsidP="009E5F06">
            <w:pPr>
              <w:pStyle w:val="TableText"/>
              <w:rPr>
                <w:rFonts w:ascii="Calibri" w:hAnsi="Calibri"/>
                <w:sz w:val="20"/>
                <w:szCs w:val="20"/>
              </w:rPr>
            </w:pPr>
          </w:p>
        </w:tc>
        <w:tc>
          <w:tcPr>
            <w:tcW w:w="2178" w:type="dxa"/>
            <w:gridSpan w:val="2"/>
          </w:tcPr>
          <w:p w:rsidR="00101895" w:rsidRPr="00BF0358" w:rsidRDefault="00101895" w:rsidP="009E5F06">
            <w:pPr>
              <w:pStyle w:val="TableText"/>
              <w:rPr>
                <w:rFonts w:ascii="Calibri" w:hAnsi="Calibri"/>
                <w:b/>
                <w:sz w:val="20"/>
                <w:szCs w:val="20"/>
              </w:rPr>
            </w:pP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1</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Rural</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3</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Smaller City</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5</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Smaller City</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7</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Urban/Rural Mix</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8</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Urban/Rural Mix</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9</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Large City</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10</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Urban/Rural Mix</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12</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Rural</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LWIA 13</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Large City</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b/>
                <w:sz w:val="20"/>
                <w:szCs w:val="20"/>
              </w:rPr>
            </w:pPr>
            <w:r w:rsidRPr="00BF0358">
              <w:rPr>
                <w:rFonts w:ascii="Calibri" w:hAnsi="Calibri"/>
                <w:b/>
                <w:sz w:val="20"/>
                <w:szCs w:val="20"/>
              </w:rPr>
              <w:t>Washington</w:t>
            </w:r>
          </w:p>
        </w:tc>
        <w:tc>
          <w:tcPr>
            <w:tcW w:w="3780" w:type="dxa"/>
            <w:gridSpan w:val="2"/>
            <w:noWrap/>
          </w:tcPr>
          <w:p w:rsidR="00101895" w:rsidRPr="00BF0358" w:rsidRDefault="00101895" w:rsidP="009E5F06">
            <w:pPr>
              <w:pStyle w:val="TableText"/>
              <w:rPr>
                <w:rFonts w:ascii="Calibri" w:hAnsi="Calibri"/>
                <w:sz w:val="20"/>
                <w:szCs w:val="20"/>
              </w:rPr>
            </w:pPr>
          </w:p>
        </w:tc>
        <w:tc>
          <w:tcPr>
            <w:tcW w:w="2178" w:type="dxa"/>
            <w:gridSpan w:val="2"/>
          </w:tcPr>
          <w:p w:rsidR="00101895" w:rsidRPr="00BF0358" w:rsidRDefault="00101895" w:rsidP="009E5F06">
            <w:pPr>
              <w:pStyle w:val="TableText"/>
              <w:rPr>
                <w:rFonts w:ascii="Calibri" w:hAnsi="Calibri"/>
                <w:sz w:val="20"/>
                <w:szCs w:val="20"/>
              </w:rPr>
            </w:pP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2. Pacific Mountain</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Washington Single Stratum</w:t>
            </w:r>
          </w:p>
        </w:tc>
        <w:tc>
          <w:tcPr>
            <w:tcW w:w="2178" w:type="dxa"/>
            <w:gridSpan w:val="2"/>
          </w:tcPr>
          <w:p w:rsidR="00101895" w:rsidRPr="00BF0358" w:rsidRDefault="00101895" w:rsidP="00BF0358">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4. Snohomish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Washington Single Stratum</w:t>
            </w:r>
          </w:p>
        </w:tc>
        <w:tc>
          <w:tcPr>
            <w:tcW w:w="2178" w:type="dxa"/>
            <w:gridSpan w:val="2"/>
          </w:tcPr>
          <w:p w:rsidR="00101895" w:rsidRPr="00BF0358" w:rsidRDefault="00101895" w:rsidP="00BF0358">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szCs w:val="20"/>
              </w:rPr>
            </w:pPr>
            <w:r w:rsidRPr="00BF0358">
              <w:rPr>
                <w:rFonts w:ascii="Calibri" w:hAnsi="Calibri"/>
                <w:sz w:val="20"/>
                <w:szCs w:val="20"/>
              </w:rPr>
              <w:t>Pilot</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5. Seattle-King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Washington Single Stratum</w:t>
            </w:r>
          </w:p>
        </w:tc>
        <w:tc>
          <w:tcPr>
            <w:tcW w:w="2178" w:type="dxa"/>
            <w:gridSpan w:val="2"/>
          </w:tcPr>
          <w:p w:rsidR="00101895" w:rsidRPr="00BF0358" w:rsidRDefault="00101895" w:rsidP="00BF0358">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szCs w:val="20"/>
              </w:rPr>
            </w:pPr>
            <w:r w:rsidRPr="00BF0358">
              <w:rPr>
                <w:rFonts w:ascii="Calibri" w:hAnsi="Calibri"/>
                <w:sz w:val="20"/>
                <w:szCs w:val="20"/>
              </w:rPr>
              <w:t>Pilot</w:t>
            </w: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b/>
                <w:sz w:val="20"/>
                <w:szCs w:val="20"/>
              </w:rPr>
            </w:pPr>
            <w:r w:rsidRPr="00BF0358">
              <w:rPr>
                <w:rFonts w:ascii="Calibri" w:hAnsi="Calibri"/>
                <w:b/>
                <w:sz w:val="20"/>
                <w:szCs w:val="20"/>
              </w:rPr>
              <w:t>Wisconsin</w:t>
            </w:r>
          </w:p>
        </w:tc>
        <w:tc>
          <w:tcPr>
            <w:tcW w:w="3780" w:type="dxa"/>
            <w:gridSpan w:val="2"/>
            <w:noWrap/>
          </w:tcPr>
          <w:p w:rsidR="00101895" w:rsidRPr="00BF0358" w:rsidRDefault="00101895" w:rsidP="009E5F06">
            <w:pPr>
              <w:pStyle w:val="TableText"/>
              <w:rPr>
                <w:rFonts w:ascii="Calibri" w:hAnsi="Calibri"/>
                <w:b/>
                <w:sz w:val="20"/>
                <w:szCs w:val="20"/>
              </w:rPr>
            </w:pPr>
          </w:p>
        </w:tc>
        <w:tc>
          <w:tcPr>
            <w:tcW w:w="2178" w:type="dxa"/>
            <w:gridSpan w:val="2"/>
          </w:tcPr>
          <w:p w:rsidR="00101895" w:rsidRPr="00BF0358" w:rsidRDefault="00101895" w:rsidP="009E5F06">
            <w:pPr>
              <w:pStyle w:val="TableText"/>
              <w:rPr>
                <w:rFonts w:ascii="Calibri" w:hAnsi="Calibri"/>
                <w:b/>
                <w:sz w:val="20"/>
                <w:szCs w:val="20"/>
              </w:rPr>
            </w:pPr>
          </w:p>
        </w:tc>
      </w:tr>
      <w:tr w:rsidR="00101895" w:rsidRPr="0015720B" w:rsidTr="0002139A">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1 Southeast</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2 Milwaukee County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3 Waukesha-Ozaukee-Washington</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Suburban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4 Fox Valley</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Small Urban Center</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5 Bay Area</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Small Urban Center</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6 North Central</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Small Urban Center</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7 Northwest</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Predominantly Rural</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8 West Central</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Predominantly Rural</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9 Western</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Predominantly Rural</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10 South Central</w:t>
            </w:r>
          </w:p>
        </w:tc>
        <w:tc>
          <w:tcPr>
            <w:tcW w:w="3780" w:type="dxa"/>
            <w:gridSpan w:val="2"/>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Suburban</w:t>
            </w:r>
          </w:p>
        </w:tc>
        <w:tc>
          <w:tcPr>
            <w:tcW w:w="2178" w:type="dxa"/>
            <w:gridSpan w:val="2"/>
          </w:tcPr>
          <w:p w:rsidR="00101895" w:rsidRPr="00BF0358" w:rsidRDefault="00101895" w:rsidP="009E5F06">
            <w:pPr>
              <w:pStyle w:val="TableText"/>
              <w:rPr>
                <w:rFonts w:ascii="Calibri" w:hAnsi="Calibri"/>
                <w:sz w:val="20"/>
                <w:szCs w:val="20"/>
              </w:rPr>
            </w:pPr>
            <w:r w:rsidRPr="00BF0358">
              <w:rPr>
                <w:rFonts w:ascii="Calibri" w:hAnsi="Calibri"/>
                <w:sz w:val="20"/>
                <w:szCs w:val="20"/>
              </w:rPr>
              <w:t>Comparison</w:t>
            </w:r>
          </w:p>
        </w:tc>
      </w:tr>
      <w:tr w:rsidR="00101895" w:rsidRPr="0015720B" w:rsidTr="00BF0358">
        <w:tblPrEx>
          <w:tblBorders>
            <w:top w:val="single" w:sz="12" w:space="0" w:color="C00000"/>
            <w:bottom w:val="single" w:sz="4" w:space="0" w:color="C00000"/>
          </w:tblBorders>
        </w:tblPrEx>
        <w:trPr>
          <w:gridBefore w:val="1"/>
          <w:trHeight w:val="300"/>
        </w:trPr>
        <w:tc>
          <w:tcPr>
            <w:tcW w:w="3503" w:type="dxa"/>
            <w:gridSpan w:val="2"/>
            <w:tcBorders>
              <w:bottom w:val="single" w:sz="4" w:space="0" w:color="C00000"/>
            </w:tcBorders>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11 Southwest</w:t>
            </w:r>
          </w:p>
        </w:tc>
        <w:tc>
          <w:tcPr>
            <w:tcW w:w="3780" w:type="dxa"/>
            <w:gridSpan w:val="2"/>
            <w:tcBorders>
              <w:bottom w:val="single" w:sz="4" w:space="0" w:color="C00000"/>
            </w:tcBorders>
            <w:noWrap/>
          </w:tcPr>
          <w:p w:rsidR="00101895" w:rsidRPr="00BF0358" w:rsidRDefault="00101895" w:rsidP="009E5F06">
            <w:pPr>
              <w:pStyle w:val="TableText"/>
              <w:rPr>
                <w:rFonts w:ascii="Calibri" w:hAnsi="Calibri"/>
                <w:sz w:val="20"/>
                <w:szCs w:val="20"/>
              </w:rPr>
            </w:pPr>
            <w:r w:rsidRPr="00BF0358">
              <w:rPr>
                <w:rFonts w:ascii="Calibri" w:hAnsi="Calibri"/>
                <w:sz w:val="20"/>
                <w:szCs w:val="20"/>
              </w:rPr>
              <w:t>Predominantly Rural</w:t>
            </w:r>
          </w:p>
        </w:tc>
        <w:tc>
          <w:tcPr>
            <w:tcW w:w="2178" w:type="dxa"/>
            <w:gridSpan w:val="2"/>
            <w:tcBorders>
              <w:bottom w:val="single" w:sz="4" w:space="0" w:color="C00000"/>
            </w:tcBorders>
          </w:tcPr>
          <w:p w:rsidR="00101895" w:rsidRPr="00BF0358" w:rsidRDefault="00101895" w:rsidP="009E5F06">
            <w:pPr>
              <w:pStyle w:val="TableText"/>
              <w:rPr>
                <w:rFonts w:ascii="Calibri" w:hAnsi="Calibri"/>
                <w:sz w:val="20"/>
                <w:szCs w:val="20"/>
              </w:rPr>
            </w:pPr>
            <w:r w:rsidRPr="00BF0358">
              <w:rPr>
                <w:rFonts w:ascii="Calibri" w:hAnsi="Calibri"/>
                <w:sz w:val="20"/>
                <w:szCs w:val="20"/>
              </w:rPr>
              <w:t>Pilot</w:t>
            </w:r>
          </w:p>
        </w:tc>
      </w:tr>
    </w:tbl>
    <w:p w:rsidR="00101895" w:rsidRPr="0015720B" w:rsidRDefault="00101895" w:rsidP="00433AE0">
      <w:pPr>
        <w:spacing w:line="240" w:lineRule="auto"/>
        <w:ind w:firstLine="0"/>
        <w:jc w:val="left"/>
        <w:rPr>
          <w:rFonts w:ascii="Calibri" w:hAnsi="Calibri" w:cs="Calibri"/>
          <w:sz w:val="20"/>
          <w:szCs w:val="20"/>
        </w:rPr>
      </w:pPr>
    </w:p>
    <w:p w:rsidR="00101895" w:rsidRPr="0015720B" w:rsidRDefault="00101895" w:rsidP="00433AE0">
      <w:pPr>
        <w:pStyle w:val="TableSourceCaption"/>
        <w:ind w:left="180" w:hanging="180"/>
        <w:jc w:val="left"/>
        <w:rPr>
          <w:rFonts w:ascii="Calibri" w:hAnsi="Calibri" w:cs="Calibri"/>
          <w:sz w:val="20"/>
          <w:szCs w:val="20"/>
        </w:rPr>
      </w:pPr>
      <w:r w:rsidRPr="0015720B">
        <w:rPr>
          <w:rFonts w:ascii="Calibri" w:hAnsi="Calibri" w:cs="Calibri"/>
          <w:sz w:val="20"/>
          <w:szCs w:val="20"/>
        </w:rPr>
        <w:t>*</w:t>
      </w:r>
      <w:r>
        <w:rPr>
          <w:rFonts w:ascii="Calibri" w:hAnsi="Calibri" w:cs="Calibri"/>
          <w:sz w:val="20"/>
          <w:szCs w:val="20"/>
        </w:rPr>
        <w:t xml:space="preserve"> The entire states of Alaska, </w:t>
      </w:r>
      <w:r w:rsidRPr="0015720B">
        <w:rPr>
          <w:rFonts w:ascii="Calibri" w:hAnsi="Calibri" w:cs="Calibri"/>
          <w:sz w:val="20"/>
          <w:szCs w:val="20"/>
        </w:rPr>
        <w:t>Delaware</w:t>
      </w:r>
      <w:r>
        <w:rPr>
          <w:rFonts w:ascii="Calibri" w:hAnsi="Calibri" w:cs="Calibri"/>
          <w:sz w:val="20"/>
          <w:szCs w:val="20"/>
        </w:rPr>
        <w:t>, and South Dakota</w:t>
      </w:r>
      <w:r w:rsidRPr="0015720B">
        <w:rPr>
          <w:rFonts w:ascii="Calibri" w:hAnsi="Calibri" w:cs="Calibri"/>
          <w:sz w:val="20"/>
          <w:szCs w:val="20"/>
        </w:rPr>
        <w:t xml:space="preserve"> will be included as DEI pilot sites in the evaluation, but will be excluded from the impact analysis due to a lack of comparison groups in these states. </w:t>
      </w:r>
    </w:p>
    <w:p w:rsidR="00101895" w:rsidRDefault="00101895" w:rsidP="002666B0">
      <w:pPr>
        <w:spacing w:line="240" w:lineRule="auto"/>
        <w:ind w:firstLine="0"/>
        <w:jc w:val="left"/>
        <w:rPr>
          <w:rFonts w:ascii="Calibri" w:hAnsi="Calibri" w:cs="Calibri"/>
          <w:b/>
          <w:sz w:val="22"/>
          <w:szCs w:val="22"/>
        </w:rPr>
      </w:pPr>
    </w:p>
    <w:p w:rsidR="00101895" w:rsidRDefault="00101895" w:rsidP="002666B0">
      <w:pPr>
        <w:spacing w:line="240" w:lineRule="auto"/>
        <w:ind w:firstLine="0"/>
        <w:jc w:val="left"/>
        <w:rPr>
          <w:rFonts w:ascii="Calibri" w:hAnsi="Calibri" w:cs="Calibri"/>
          <w:b/>
          <w:sz w:val="22"/>
          <w:szCs w:val="22"/>
        </w:rPr>
      </w:pPr>
    </w:p>
    <w:p w:rsidR="00101895" w:rsidRPr="00AA66B8" w:rsidRDefault="00101895" w:rsidP="002666B0">
      <w:pPr>
        <w:spacing w:line="240" w:lineRule="auto"/>
        <w:ind w:firstLine="0"/>
        <w:jc w:val="left"/>
        <w:rPr>
          <w:rFonts w:ascii="Calibri" w:hAnsi="Calibri" w:cs="Calibri"/>
          <w:b/>
          <w:sz w:val="22"/>
          <w:szCs w:val="22"/>
        </w:rPr>
      </w:pPr>
      <w:r w:rsidRPr="00AA66B8">
        <w:rPr>
          <w:rFonts w:ascii="Calibri" w:hAnsi="Calibri" w:cs="Calibri"/>
          <w:b/>
          <w:sz w:val="22"/>
          <w:szCs w:val="22"/>
        </w:rPr>
        <w:t>B.1.2</w:t>
      </w:r>
      <w:r w:rsidRPr="00AA66B8">
        <w:rPr>
          <w:rFonts w:ascii="Calibri" w:hAnsi="Calibri" w:cs="Calibri"/>
          <w:b/>
          <w:sz w:val="22"/>
          <w:szCs w:val="22"/>
        </w:rPr>
        <w:tab/>
        <w:t>Respondent Universe</w:t>
      </w:r>
      <w:r>
        <w:rPr>
          <w:rFonts w:ascii="Calibri" w:hAnsi="Calibri" w:cs="Calibri"/>
          <w:b/>
          <w:sz w:val="22"/>
          <w:szCs w:val="22"/>
        </w:rPr>
        <w:t xml:space="preserve"> and Study Sample Size</w:t>
      </w:r>
    </w:p>
    <w:p w:rsidR="00101895" w:rsidRPr="00AA66B8" w:rsidRDefault="00101895" w:rsidP="002666B0">
      <w:pPr>
        <w:spacing w:line="240" w:lineRule="auto"/>
        <w:ind w:firstLine="0"/>
        <w:jc w:val="left"/>
        <w:rPr>
          <w:rFonts w:ascii="Calibri" w:hAnsi="Calibri" w:cs="Calibri"/>
          <w:sz w:val="22"/>
          <w:szCs w:val="22"/>
        </w:rPr>
      </w:pPr>
    </w:p>
    <w:p w:rsidR="00101895" w:rsidRDefault="00101895" w:rsidP="002666B0">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The population of interest includes One-Stop career service</w:t>
      </w:r>
      <w:r>
        <w:rPr>
          <w:rFonts w:ascii="Calibri" w:hAnsi="Calibri" w:cs="Calibri"/>
          <w:sz w:val="22"/>
          <w:szCs w:val="22"/>
        </w:rPr>
        <w:t xml:space="preserve"> centers and their</w:t>
      </w:r>
      <w:r w:rsidRPr="00AA66B8">
        <w:rPr>
          <w:rFonts w:ascii="Calibri" w:hAnsi="Calibri" w:cs="Calibri"/>
          <w:sz w:val="22"/>
          <w:szCs w:val="22"/>
        </w:rPr>
        <w:t xml:space="preserve"> users in the DEI pilot and comparison LWIAs who self-identify as having a disability. </w:t>
      </w:r>
      <w:r>
        <w:rPr>
          <w:rFonts w:ascii="Calibri" w:hAnsi="Calibri" w:cs="Calibri"/>
          <w:sz w:val="22"/>
          <w:szCs w:val="22"/>
        </w:rPr>
        <w:t xml:space="preserve">Most of the DEI grantees will target adult customers with disabilities, but some will target youth customers with disabilities. </w:t>
      </w:r>
      <w:r w:rsidRPr="00AA66B8">
        <w:rPr>
          <w:rFonts w:ascii="Calibri" w:hAnsi="Calibri" w:cs="Calibri"/>
          <w:sz w:val="22"/>
          <w:szCs w:val="22"/>
        </w:rPr>
        <w:t xml:space="preserve"> </w:t>
      </w:r>
    </w:p>
    <w:p w:rsidR="00101895" w:rsidRDefault="00101895" w:rsidP="002666B0">
      <w:pPr>
        <w:spacing w:line="240" w:lineRule="auto"/>
        <w:ind w:firstLine="0"/>
        <w:jc w:val="left"/>
        <w:rPr>
          <w:rFonts w:ascii="Calibri" w:hAnsi="Calibri" w:cs="Calibri"/>
          <w:sz w:val="22"/>
          <w:szCs w:val="22"/>
        </w:rPr>
      </w:pPr>
    </w:p>
    <w:p w:rsidR="00101895" w:rsidRPr="00AA66B8" w:rsidRDefault="00101895" w:rsidP="00C3748E">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r>
        <w:rPr>
          <w:rFonts w:ascii="Calibri" w:hAnsi="Calibri" w:cs="Calibri"/>
          <w:sz w:val="22"/>
          <w:szCs w:val="22"/>
        </w:rPr>
        <w:t>All individuals receiving One-Stop services in the pilot and comparison LWIAs will be included in the study sample, but most of the analysis will focus on the subset of One-Stop clients who self-identify as having a disability.</w:t>
      </w:r>
      <w:r>
        <w:rPr>
          <w:rStyle w:val="FootnoteReference"/>
          <w:rFonts w:ascii="Calibri" w:hAnsi="Calibri"/>
          <w:sz w:val="22"/>
          <w:szCs w:val="22"/>
        </w:rPr>
        <w:footnoteReference w:id="3"/>
      </w:r>
      <w:r>
        <w:rPr>
          <w:rFonts w:ascii="Calibri" w:hAnsi="Calibri" w:cs="Calibri"/>
          <w:sz w:val="22"/>
          <w:szCs w:val="22"/>
        </w:rPr>
        <w:t xml:space="preserve"> </w:t>
      </w:r>
      <w:r w:rsidRPr="00AA66B8">
        <w:rPr>
          <w:rFonts w:ascii="Calibri" w:hAnsi="Calibri" w:cs="Calibri"/>
          <w:sz w:val="22"/>
          <w:szCs w:val="22"/>
        </w:rPr>
        <w:t>A probability sample is not used for two reasons. First, administrative data is currently collected from all individuals using One-Stop services for the WIASRD and Wagner-Peyser data, so the additional data collection effort for people with disabilities would be a natural extension of the existing data collection effort. The additional data collection creates a relatively small burden per person, and a process that randomly samples people with disabilities would be cumbersome without substantially reducing overall customer burden.</w:t>
      </w:r>
      <w:r>
        <w:rPr>
          <w:rFonts w:ascii="Calibri" w:hAnsi="Calibri" w:cs="Calibri"/>
          <w:sz w:val="22"/>
          <w:szCs w:val="22"/>
        </w:rPr>
        <w:t xml:space="preserve">  </w:t>
      </w:r>
      <w:r w:rsidRPr="00AA66B8">
        <w:rPr>
          <w:rFonts w:ascii="Calibri" w:hAnsi="Calibri" w:cs="Calibri"/>
          <w:sz w:val="22"/>
          <w:szCs w:val="22"/>
        </w:rPr>
        <w:t>Second, many sites are likely to have only a small number of customers with disabilities, so collecting data from only a sample would result in low precision. The higher precision is needed in order for the impact analysis to detect the smallest effects that are economically meaningful. The precision of the impact estimates is determined primarily by the site selection process.</w:t>
      </w:r>
    </w:p>
    <w:p w:rsidR="00101895" w:rsidRPr="00AA66B8" w:rsidRDefault="00101895" w:rsidP="00C3748E">
      <w:pPr>
        <w:spacing w:line="240" w:lineRule="auto"/>
        <w:ind w:firstLine="0"/>
        <w:jc w:val="left"/>
        <w:rPr>
          <w:rFonts w:ascii="Calibri" w:hAnsi="Calibri" w:cs="Calibri"/>
          <w:sz w:val="22"/>
          <w:szCs w:val="22"/>
        </w:rPr>
      </w:pPr>
    </w:p>
    <w:p w:rsidR="00101895" w:rsidRDefault="00101895" w:rsidP="002666B0">
      <w:pPr>
        <w:spacing w:line="240" w:lineRule="auto"/>
        <w:ind w:firstLine="0"/>
        <w:jc w:val="left"/>
        <w:rPr>
          <w:rFonts w:ascii="Calibri" w:hAnsi="Calibri" w:cs="Calibri"/>
          <w:sz w:val="22"/>
          <w:szCs w:val="22"/>
        </w:rPr>
      </w:pPr>
      <w:r>
        <w:rPr>
          <w:rFonts w:ascii="Calibri" w:hAnsi="Calibri" w:cs="Calibri"/>
          <w:sz w:val="22"/>
          <w:szCs w:val="22"/>
        </w:rPr>
        <w:tab/>
      </w:r>
      <w:r w:rsidRPr="00AA66B8">
        <w:rPr>
          <w:rFonts w:ascii="Calibri" w:hAnsi="Calibri" w:cs="Calibri"/>
          <w:sz w:val="22"/>
          <w:szCs w:val="22"/>
        </w:rPr>
        <w:t xml:space="preserve">It is estimated that 69,119 adults in 46 sites </w:t>
      </w:r>
      <w:r>
        <w:rPr>
          <w:rFonts w:ascii="Calibri" w:hAnsi="Calibri" w:cs="Calibri"/>
          <w:sz w:val="22"/>
          <w:szCs w:val="22"/>
        </w:rPr>
        <w:t xml:space="preserve">that will target adult clients, </w:t>
      </w:r>
      <w:r w:rsidRPr="00AA66B8">
        <w:rPr>
          <w:rFonts w:ascii="Calibri" w:hAnsi="Calibri" w:cs="Calibri"/>
          <w:sz w:val="22"/>
          <w:szCs w:val="22"/>
        </w:rPr>
        <w:t xml:space="preserve">and 7,837 youth in 17 sites </w:t>
      </w:r>
      <w:r>
        <w:rPr>
          <w:rFonts w:ascii="Calibri" w:hAnsi="Calibri" w:cs="Calibri"/>
          <w:sz w:val="22"/>
          <w:szCs w:val="22"/>
        </w:rPr>
        <w:t xml:space="preserve">that will target youth clients </w:t>
      </w:r>
      <w:r w:rsidRPr="00AA66B8">
        <w:rPr>
          <w:rFonts w:ascii="Calibri" w:hAnsi="Calibri" w:cs="Calibri"/>
          <w:sz w:val="22"/>
          <w:szCs w:val="22"/>
        </w:rPr>
        <w:t xml:space="preserve">will be included in the </w:t>
      </w:r>
      <w:r>
        <w:rPr>
          <w:rFonts w:ascii="Calibri" w:hAnsi="Calibri" w:cs="Calibri"/>
          <w:sz w:val="22"/>
          <w:szCs w:val="22"/>
        </w:rPr>
        <w:t xml:space="preserve">Round 1 </w:t>
      </w:r>
      <w:r w:rsidRPr="00AA66B8">
        <w:rPr>
          <w:rFonts w:ascii="Calibri" w:hAnsi="Calibri" w:cs="Calibri"/>
          <w:sz w:val="22"/>
          <w:szCs w:val="22"/>
        </w:rPr>
        <w:t>DEI data collection effort over the two year period.</w:t>
      </w:r>
      <w:r w:rsidRPr="00AA66B8">
        <w:rPr>
          <w:rStyle w:val="FootnoteReference"/>
          <w:rFonts w:ascii="Calibri" w:hAnsi="Calibri" w:cs="Calibri"/>
          <w:sz w:val="22"/>
          <w:szCs w:val="22"/>
        </w:rPr>
        <w:footnoteReference w:id="4"/>
      </w:r>
      <w:r w:rsidRPr="00AA66B8">
        <w:rPr>
          <w:rFonts w:ascii="Calibri" w:hAnsi="Calibri" w:cs="Calibri"/>
          <w:sz w:val="22"/>
          <w:szCs w:val="22"/>
        </w:rPr>
        <w:t xml:space="preserve"> </w:t>
      </w:r>
      <w:r>
        <w:rPr>
          <w:rFonts w:ascii="Calibri" w:hAnsi="Calibri" w:cs="Calibri"/>
          <w:sz w:val="22"/>
          <w:szCs w:val="22"/>
        </w:rPr>
        <w:t>An estimated 67,956 adults in 42 sites targeting adult clients, and 169 youth in one site targeting youth clients will be included in the Round 2 DEI data collection effort over its two year period. Because</w:t>
      </w:r>
      <w:r w:rsidRPr="00AA66B8">
        <w:rPr>
          <w:rFonts w:ascii="Calibri" w:hAnsi="Calibri" w:cs="Calibri"/>
          <w:sz w:val="22"/>
          <w:szCs w:val="22"/>
        </w:rPr>
        <w:t xml:space="preserve"> a small number of sites </w:t>
      </w:r>
      <w:r>
        <w:rPr>
          <w:rFonts w:ascii="Calibri" w:hAnsi="Calibri" w:cs="Calibri"/>
          <w:sz w:val="22"/>
          <w:szCs w:val="22"/>
        </w:rPr>
        <w:t xml:space="preserve">in each round </w:t>
      </w:r>
      <w:r w:rsidRPr="00AA66B8">
        <w:rPr>
          <w:rFonts w:ascii="Calibri" w:hAnsi="Calibri" w:cs="Calibri"/>
          <w:sz w:val="22"/>
          <w:szCs w:val="22"/>
        </w:rPr>
        <w:t xml:space="preserve">were not randomly assigned to pilot or comparison status, data from these sites will be excluded from the impact analysis.  Therefore, </w:t>
      </w:r>
      <w:r w:rsidRPr="009B382E">
        <w:rPr>
          <w:rFonts w:ascii="Calibri" w:hAnsi="Calibri" w:cs="Calibri"/>
          <w:sz w:val="22"/>
          <w:szCs w:val="22"/>
        </w:rPr>
        <w:t>estimates of the impact analysis power are based on a slightly smaller number of individuals and sites. Table B.2  shows the estimated number of LWIAs and individuals that will participate in the DEI, including</w:t>
      </w:r>
      <w:r w:rsidRPr="00AA66B8">
        <w:rPr>
          <w:rFonts w:ascii="Calibri" w:hAnsi="Calibri" w:cs="Calibri"/>
          <w:sz w:val="22"/>
          <w:szCs w:val="22"/>
        </w:rPr>
        <w:t xml:space="preserve"> both pilot sites and comparison sites</w:t>
      </w:r>
      <w:r>
        <w:rPr>
          <w:rFonts w:ascii="Calibri" w:hAnsi="Calibri" w:cs="Calibri"/>
          <w:sz w:val="22"/>
          <w:szCs w:val="22"/>
        </w:rPr>
        <w:t>, disaggregated by whether the state will target adults or youth</w:t>
      </w:r>
      <w:r w:rsidRPr="00AA66B8">
        <w:rPr>
          <w:rFonts w:ascii="Calibri" w:hAnsi="Calibri" w:cs="Calibri"/>
          <w:sz w:val="22"/>
          <w:szCs w:val="22"/>
        </w:rPr>
        <w:t>. In each of these sites, all individuals who self-identify as having a disability will participate in the data collection effort.</w:t>
      </w:r>
    </w:p>
    <w:p w:rsidR="00101895" w:rsidRDefault="00101895" w:rsidP="002666B0">
      <w:pPr>
        <w:spacing w:line="240" w:lineRule="auto"/>
        <w:ind w:firstLine="0"/>
        <w:jc w:val="left"/>
        <w:rPr>
          <w:rFonts w:ascii="Calibri" w:hAnsi="Calibri" w:cs="Calibri"/>
          <w:sz w:val="22"/>
          <w:szCs w:val="22"/>
        </w:rPr>
      </w:pPr>
    </w:p>
    <w:p w:rsidR="00101895" w:rsidRPr="0024795C" w:rsidRDefault="00101895" w:rsidP="00C3748E">
      <w:pPr>
        <w:pStyle w:val="MarkforTableHeading"/>
        <w:spacing w:line="240" w:lineRule="auto"/>
        <w:jc w:val="left"/>
        <w:rPr>
          <w:rFonts w:ascii="Calibri" w:hAnsi="Calibri" w:cs="Calibri"/>
          <w:b/>
          <w:caps w:val="0"/>
          <w:sz w:val="22"/>
          <w:szCs w:val="22"/>
        </w:rPr>
      </w:pPr>
      <w:r w:rsidRPr="0024795C">
        <w:rPr>
          <w:rFonts w:ascii="Calibri" w:hAnsi="Calibri" w:cs="Calibri"/>
          <w:b/>
          <w:caps w:val="0"/>
          <w:sz w:val="22"/>
          <w:szCs w:val="22"/>
        </w:rPr>
        <w:t>Table B.2 Number of LWIAs Participating in the DEI and Estimated Number of Individuals Participating in the DEI Data Collection</w:t>
      </w:r>
    </w:p>
    <w:tbl>
      <w:tblPr>
        <w:tblW w:w="0" w:type="auto"/>
        <w:tblInd w:w="115" w:type="dxa"/>
        <w:tblBorders>
          <w:top w:val="single" w:sz="12" w:space="0" w:color="C00000"/>
          <w:bottom w:val="single" w:sz="4" w:space="0" w:color="C00000"/>
        </w:tblBorders>
        <w:tblLook w:val="00A0"/>
      </w:tblPr>
      <w:tblGrid>
        <w:gridCol w:w="2351"/>
        <w:gridCol w:w="2445"/>
        <w:gridCol w:w="2557"/>
        <w:gridCol w:w="2223"/>
      </w:tblGrid>
      <w:tr w:rsidR="00101895" w:rsidRPr="00AA66B8" w:rsidTr="009E5F06">
        <w:tc>
          <w:tcPr>
            <w:tcW w:w="2351" w:type="dxa"/>
            <w:tcBorders>
              <w:top w:val="single" w:sz="12" w:space="0" w:color="C00000"/>
              <w:left w:val="nil"/>
              <w:bottom w:val="single" w:sz="2" w:space="0" w:color="auto"/>
              <w:right w:val="nil"/>
            </w:tcBorders>
          </w:tcPr>
          <w:p w:rsidR="00101895" w:rsidRPr="00AA66B8" w:rsidRDefault="00101895" w:rsidP="009E5F06">
            <w:pPr>
              <w:spacing w:line="240" w:lineRule="auto"/>
              <w:ind w:firstLine="0"/>
              <w:jc w:val="left"/>
              <w:rPr>
                <w:rFonts w:ascii="Calibri" w:hAnsi="Calibri" w:cs="Calibri"/>
                <w:sz w:val="20"/>
              </w:rPr>
            </w:pPr>
          </w:p>
        </w:tc>
        <w:tc>
          <w:tcPr>
            <w:tcW w:w="2445" w:type="dxa"/>
            <w:tcBorders>
              <w:top w:val="single" w:sz="12" w:space="0" w:color="C00000"/>
              <w:left w:val="nil"/>
              <w:bottom w:val="single" w:sz="2" w:space="0" w:color="auto"/>
              <w:right w:val="nil"/>
            </w:tcBorders>
          </w:tcPr>
          <w:p w:rsidR="00101895" w:rsidRPr="00AA66B8" w:rsidRDefault="00101895" w:rsidP="009E5F06">
            <w:pPr>
              <w:spacing w:line="240" w:lineRule="auto"/>
              <w:ind w:firstLine="0"/>
              <w:jc w:val="left"/>
              <w:rPr>
                <w:rFonts w:ascii="Calibri" w:hAnsi="Calibri" w:cs="Calibri"/>
                <w:sz w:val="20"/>
              </w:rPr>
            </w:pPr>
            <w:r w:rsidRPr="00AA66B8">
              <w:rPr>
                <w:rFonts w:ascii="Calibri" w:hAnsi="Calibri" w:cs="Calibri"/>
                <w:sz w:val="20"/>
              </w:rPr>
              <w:t>Number of LWIAs</w:t>
            </w:r>
          </w:p>
        </w:tc>
        <w:tc>
          <w:tcPr>
            <w:tcW w:w="2557" w:type="dxa"/>
            <w:tcBorders>
              <w:top w:val="single" w:sz="12" w:space="0" w:color="C00000"/>
              <w:left w:val="nil"/>
              <w:bottom w:val="single" w:sz="2" w:space="0" w:color="auto"/>
              <w:right w:val="nil"/>
            </w:tcBorders>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Average n</w:t>
            </w:r>
            <w:r w:rsidRPr="00AA66B8">
              <w:rPr>
                <w:rFonts w:ascii="Calibri" w:hAnsi="Calibri" w:cs="Calibri"/>
                <w:sz w:val="20"/>
              </w:rPr>
              <w:t xml:space="preserve">umber of Individuals </w:t>
            </w:r>
            <w:r>
              <w:rPr>
                <w:rFonts w:ascii="Calibri" w:hAnsi="Calibri" w:cs="Calibri"/>
                <w:sz w:val="20"/>
              </w:rPr>
              <w:t xml:space="preserve">with Disabilities </w:t>
            </w:r>
            <w:r w:rsidRPr="00AA66B8">
              <w:rPr>
                <w:rFonts w:ascii="Calibri" w:hAnsi="Calibri" w:cs="Calibri"/>
                <w:sz w:val="20"/>
              </w:rPr>
              <w:t>per LWIA</w:t>
            </w:r>
          </w:p>
        </w:tc>
        <w:tc>
          <w:tcPr>
            <w:tcW w:w="2223" w:type="dxa"/>
            <w:tcBorders>
              <w:top w:val="single" w:sz="12" w:space="0" w:color="C00000"/>
              <w:left w:val="nil"/>
              <w:bottom w:val="single" w:sz="2" w:space="0" w:color="auto"/>
              <w:right w:val="nil"/>
            </w:tcBorders>
          </w:tcPr>
          <w:p w:rsidR="00101895" w:rsidRPr="00AA66B8" w:rsidRDefault="00101895" w:rsidP="009E5F06">
            <w:pPr>
              <w:spacing w:line="240" w:lineRule="auto"/>
              <w:ind w:firstLine="0"/>
              <w:jc w:val="left"/>
              <w:rPr>
                <w:rFonts w:ascii="Calibri" w:hAnsi="Calibri" w:cs="Calibri"/>
                <w:sz w:val="20"/>
              </w:rPr>
            </w:pPr>
            <w:r w:rsidRPr="00AA66B8">
              <w:rPr>
                <w:rFonts w:ascii="Calibri" w:hAnsi="Calibri" w:cs="Calibri"/>
                <w:sz w:val="20"/>
              </w:rPr>
              <w:t>Total Number of Individuals</w:t>
            </w:r>
            <w:r>
              <w:rPr>
                <w:rFonts w:ascii="Calibri" w:hAnsi="Calibri" w:cs="Calibri"/>
                <w:sz w:val="20"/>
              </w:rPr>
              <w:t xml:space="preserve"> with Disabilities</w:t>
            </w:r>
          </w:p>
        </w:tc>
      </w:tr>
      <w:tr w:rsidR="00101895" w:rsidRPr="00AA66B8" w:rsidTr="009E5F06">
        <w:tc>
          <w:tcPr>
            <w:tcW w:w="2351" w:type="dxa"/>
          </w:tcPr>
          <w:p w:rsidR="00101895" w:rsidRPr="00AA66B8" w:rsidRDefault="00101895" w:rsidP="009E5F06">
            <w:pPr>
              <w:spacing w:line="240" w:lineRule="auto"/>
              <w:ind w:firstLine="0"/>
              <w:jc w:val="left"/>
              <w:rPr>
                <w:rFonts w:ascii="Calibri" w:hAnsi="Calibri" w:cs="Calibri"/>
                <w:sz w:val="20"/>
              </w:rPr>
            </w:pPr>
            <w:r w:rsidRPr="00AA66B8">
              <w:rPr>
                <w:rFonts w:ascii="Calibri" w:hAnsi="Calibri" w:cs="Calibri"/>
                <w:sz w:val="20"/>
              </w:rPr>
              <w:t>All sites participating in the DEI</w:t>
            </w:r>
          </w:p>
        </w:tc>
        <w:tc>
          <w:tcPr>
            <w:tcW w:w="2445"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106</w:t>
            </w:r>
          </w:p>
        </w:tc>
        <w:tc>
          <w:tcPr>
            <w:tcW w:w="2557"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1,369</w:t>
            </w:r>
          </w:p>
        </w:tc>
        <w:tc>
          <w:tcPr>
            <w:tcW w:w="2223"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145,081</w:t>
            </w:r>
          </w:p>
        </w:tc>
      </w:tr>
      <w:tr w:rsidR="00101895" w:rsidRPr="00AA66B8" w:rsidTr="009E5F06">
        <w:tc>
          <w:tcPr>
            <w:tcW w:w="2351"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 xml:space="preserve">Round 1 </w:t>
            </w:r>
            <w:r w:rsidRPr="00AA66B8">
              <w:rPr>
                <w:rFonts w:ascii="Calibri" w:hAnsi="Calibri" w:cs="Calibri"/>
                <w:sz w:val="20"/>
              </w:rPr>
              <w:t>Adult sites</w:t>
            </w:r>
          </w:p>
        </w:tc>
        <w:tc>
          <w:tcPr>
            <w:tcW w:w="2445" w:type="dxa"/>
          </w:tcPr>
          <w:p w:rsidR="00101895" w:rsidRPr="00AA66B8" w:rsidRDefault="00101895" w:rsidP="009E5F06">
            <w:pPr>
              <w:spacing w:line="240" w:lineRule="auto"/>
              <w:ind w:firstLine="0"/>
              <w:jc w:val="left"/>
              <w:rPr>
                <w:rFonts w:ascii="Calibri" w:hAnsi="Calibri" w:cs="Calibri"/>
                <w:sz w:val="20"/>
              </w:rPr>
            </w:pPr>
            <w:r w:rsidRPr="00AA66B8">
              <w:rPr>
                <w:rFonts w:ascii="Calibri" w:hAnsi="Calibri" w:cs="Calibri"/>
                <w:sz w:val="20"/>
              </w:rPr>
              <w:t>46</w:t>
            </w:r>
          </w:p>
        </w:tc>
        <w:tc>
          <w:tcPr>
            <w:tcW w:w="2557"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1,503</w:t>
            </w:r>
          </w:p>
        </w:tc>
        <w:tc>
          <w:tcPr>
            <w:tcW w:w="2223" w:type="dxa"/>
          </w:tcPr>
          <w:p w:rsidR="00101895" w:rsidRPr="00AA66B8" w:rsidRDefault="00101895" w:rsidP="009E5F06">
            <w:pPr>
              <w:spacing w:line="240" w:lineRule="auto"/>
              <w:ind w:firstLine="0"/>
              <w:jc w:val="left"/>
              <w:rPr>
                <w:rFonts w:ascii="Calibri" w:hAnsi="Calibri" w:cs="Calibri"/>
                <w:sz w:val="20"/>
              </w:rPr>
            </w:pPr>
            <w:r w:rsidRPr="00AA66B8">
              <w:rPr>
                <w:rFonts w:ascii="Calibri" w:hAnsi="Calibri" w:cs="Calibri"/>
                <w:sz w:val="20"/>
              </w:rPr>
              <w:t>69,119</w:t>
            </w:r>
          </w:p>
        </w:tc>
      </w:tr>
      <w:tr w:rsidR="00101895" w:rsidRPr="00AA66B8" w:rsidTr="009E5F06">
        <w:tc>
          <w:tcPr>
            <w:tcW w:w="2351"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Round 1</w:t>
            </w:r>
            <w:r w:rsidRPr="00AA66B8">
              <w:rPr>
                <w:rFonts w:ascii="Calibri" w:hAnsi="Calibri" w:cs="Calibri"/>
                <w:sz w:val="20"/>
              </w:rPr>
              <w:t xml:space="preserve"> Youth sites</w:t>
            </w:r>
          </w:p>
        </w:tc>
        <w:tc>
          <w:tcPr>
            <w:tcW w:w="2445" w:type="dxa"/>
          </w:tcPr>
          <w:p w:rsidR="00101895" w:rsidRPr="00AA66B8" w:rsidRDefault="00101895" w:rsidP="009E5F06">
            <w:pPr>
              <w:spacing w:line="240" w:lineRule="auto"/>
              <w:ind w:firstLine="0"/>
              <w:jc w:val="left"/>
              <w:rPr>
                <w:rFonts w:ascii="Calibri" w:hAnsi="Calibri" w:cs="Calibri"/>
                <w:sz w:val="20"/>
              </w:rPr>
            </w:pPr>
            <w:r w:rsidRPr="00AA66B8">
              <w:rPr>
                <w:rFonts w:ascii="Calibri" w:hAnsi="Calibri" w:cs="Calibri"/>
                <w:sz w:val="20"/>
              </w:rPr>
              <w:t>17</w:t>
            </w:r>
          </w:p>
        </w:tc>
        <w:tc>
          <w:tcPr>
            <w:tcW w:w="2557"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461</w:t>
            </w:r>
          </w:p>
        </w:tc>
        <w:tc>
          <w:tcPr>
            <w:tcW w:w="2223" w:type="dxa"/>
          </w:tcPr>
          <w:p w:rsidR="00101895" w:rsidRPr="00AA66B8" w:rsidRDefault="00101895" w:rsidP="009E5F06">
            <w:pPr>
              <w:spacing w:line="240" w:lineRule="auto"/>
              <w:ind w:firstLine="0"/>
              <w:jc w:val="left"/>
              <w:rPr>
                <w:rFonts w:ascii="Calibri" w:hAnsi="Calibri" w:cs="Calibri"/>
                <w:sz w:val="20"/>
              </w:rPr>
            </w:pPr>
            <w:r w:rsidRPr="00AA66B8">
              <w:rPr>
                <w:rFonts w:ascii="Calibri" w:hAnsi="Calibri" w:cs="Calibri"/>
                <w:sz w:val="20"/>
              </w:rPr>
              <w:t>7,837</w:t>
            </w:r>
          </w:p>
        </w:tc>
      </w:tr>
      <w:tr w:rsidR="00101895" w:rsidRPr="00AA66B8" w:rsidTr="009E5F06">
        <w:tc>
          <w:tcPr>
            <w:tcW w:w="2351"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 xml:space="preserve">Round 2 </w:t>
            </w:r>
            <w:r w:rsidRPr="00AA66B8">
              <w:rPr>
                <w:rFonts w:ascii="Calibri" w:hAnsi="Calibri" w:cs="Calibri"/>
                <w:sz w:val="20"/>
              </w:rPr>
              <w:t>Adult sites</w:t>
            </w:r>
          </w:p>
        </w:tc>
        <w:tc>
          <w:tcPr>
            <w:tcW w:w="2445"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42</w:t>
            </w:r>
          </w:p>
        </w:tc>
        <w:tc>
          <w:tcPr>
            <w:tcW w:w="2557" w:type="dxa"/>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1,618</w:t>
            </w:r>
          </w:p>
        </w:tc>
        <w:tc>
          <w:tcPr>
            <w:tcW w:w="2223" w:type="dxa"/>
          </w:tcPr>
          <w:p w:rsidR="00101895" w:rsidRPr="00AA66B8" w:rsidRDefault="00101895" w:rsidP="009E5F06">
            <w:pPr>
              <w:spacing w:line="240" w:lineRule="auto"/>
              <w:ind w:firstLine="0"/>
              <w:jc w:val="left"/>
              <w:rPr>
                <w:rFonts w:ascii="Calibri" w:hAnsi="Calibri" w:cs="Calibri"/>
                <w:sz w:val="20"/>
              </w:rPr>
            </w:pPr>
            <w:r w:rsidRPr="00FC246A">
              <w:rPr>
                <w:rFonts w:ascii="Calibri" w:hAnsi="Calibri" w:cs="Calibri"/>
                <w:sz w:val="20"/>
              </w:rPr>
              <w:t>67</w:t>
            </w:r>
            <w:r>
              <w:rPr>
                <w:rFonts w:ascii="Calibri" w:hAnsi="Calibri" w:cs="Calibri"/>
                <w:sz w:val="20"/>
              </w:rPr>
              <w:t>,</w:t>
            </w:r>
            <w:r w:rsidRPr="00FC246A">
              <w:rPr>
                <w:rFonts w:ascii="Calibri" w:hAnsi="Calibri" w:cs="Calibri"/>
                <w:sz w:val="20"/>
              </w:rPr>
              <w:t>956</w:t>
            </w:r>
          </w:p>
        </w:tc>
      </w:tr>
      <w:tr w:rsidR="00101895" w:rsidRPr="00AA66B8" w:rsidTr="009E5F06">
        <w:tc>
          <w:tcPr>
            <w:tcW w:w="2351" w:type="dxa"/>
            <w:tcBorders>
              <w:bottom w:val="single" w:sz="4" w:space="0" w:color="C00000"/>
            </w:tcBorders>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Round 2</w:t>
            </w:r>
            <w:r w:rsidRPr="00AA66B8">
              <w:rPr>
                <w:rFonts w:ascii="Calibri" w:hAnsi="Calibri" w:cs="Calibri"/>
                <w:sz w:val="20"/>
              </w:rPr>
              <w:t xml:space="preserve"> Youth sites</w:t>
            </w:r>
          </w:p>
        </w:tc>
        <w:tc>
          <w:tcPr>
            <w:tcW w:w="2445" w:type="dxa"/>
            <w:tcBorders>
              <w:bottom w:val="single" w:sz="4" w:space="0" w:color="C00000"/>
            </w:tcBorders>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w:t>
            </w:r>
          </w:p>
        </w:tc>
        <w:tc>
          <w:tcPr>
            <w:tcW w:w="2557" w:type="dxa"/>
            <w:tcBorders>
              <w:bottom w:val="single" w:sz="4" w:space="0" w:color="C00000"/>
            </w:tcBorders>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169</w:t>
            </w:r>
          </w:p>
        </w:tc>
        <w:tc>
          <w:tcPr>
            <w:tcW w:w="2223" w:type="dxa"/>
            <w:tcBorders>
              <w:bottom w:val="single" w:sz="4" w:space="0" w:color="C00000"/>
            </w:tcBorders>
          </w:tcPr>
          <w:p w:rsidR="00101895" w:rsidRPr="00AA66B8" w:rsidRDefault="00101895" w:rsidP="009E5F06">
            <w:pPr>
              <w:spacing w:line="240" w:lineRule="auto"/>
              <w:ind w:firstLine="0"/>
              <w:jc w:val="left"/>
              <w:rPr>
                <w:rFonts w:ascii="Calibri" w:hAnsi="Calibri" w:cs="Calibri"/>
                <w:sz w:val="20"/>
              </w:rPr>
            </w:pPr>
            <w:r>
              <w:rPr>
                <w:rFonts w:ascii="Calibri" w:hAnsi="Calibri" w:cs="Calibri"/>
                <w:sz w:val="20"/>
              </w:rPr>
              <w:t>169</w:t>
            </w:r>
          </w:p>
        </w:tc>
      </w:tr>
    </w:tbl>
    <w:p w:rsidR="00101895" w:rsidRPr="00AA66B8" w:rsidRDefault="00101895" w:rsidP="00C3748E">
      <w:pPr>
        <w:pStyle w:val="TableSourceCaption"/>
        <w:jc w:val="left"/>
        <w:rPr>
          <w:rFonts w:ascii="Calibri" w:hAnsi="Calibri" w:cs="Calibri"/>
          <w:sz w:val="20"/>
          <w:szCs w:val="20"/>
        </w:rPr>
      </w:pPr>
      <w:r w:rsidRPr="00AA66B8">
        <w:rPr>
          <w:rFonts w:ascii="Calibri" w:hAnsi="Calibri" w:cs="Calibri"/>
          <w:sz w:val="20"/>
          <w:szCs w:val="20"/>
        </w:rPr>
        <w:t>Note: for the purpose of the tabl</w:t>
      </w:r>
      <w:r>
        <w:rPr>
          <w:rFonts w:ascii="Calibri" w:hAnsi="Calibri" w:cs="Calibri"/>
          <w:sz w:val="20"/>
          <w:szCs w:val="20"/>
        </w:rPr>
        <w:t xml:space="preserve">e, Alaska, Delaware, and South Dakota </w:t>
      </w:r>
      <w:r w:rsidRPr="00AA66B8">
        <w:rPr>
          <w:rFonts w:ascii="Calibri" w:hAnsi="Calibri" w:cs="Calibri"/>
          <w:sz w:val="20"/>
          <w:szCs w:val="20"/>
        </w:rPr>
        <w:t>are each considered to be one LWIA.</w:t>
      </w:r>
    </w:p>
    <w:p w:rsidR="00101895" w:rsidRPr="00AA66B8" w:rsidRDefault="00101895" w:rsidP="002666B0">
      <w:pPr>
        <w:spacing w:line="240" w:lineRule="auto"/>
        <w:ind w:firstLine="0"/>
        <w:jc w:val="left"/>
        <w:rPr>
          <w:rFonts w:ascii="Calibri" w:hAnsi="Calibri" w:cs="Calibri"/>
          <w:sz w:val="22"/>
          <w:szCs w:val="22"/>
        </w:rPr>
      </w:pPr>
    </w:p>
    <w:p w:rsidR="00101895" w:rsidRDefault="00101895" w:rsidP="002666B0">
      <w:pPr>
        <w:spacing w:line="240" w:lineRule="auto"/>
        <w:ind w:firstLine="0"/>
        <w:jc w:val="left"/>
        <w:rPr>
          <w:rFonts w:ascii="Calibri" w:hAnsi="Calibri" w:cs="Calibri"/>
          <w:sz w:val="22"/>
          <w:szCs w:val="22"/>
        </w:rPr>
      </w:pPr>
    </w:p>
    <w:p w:rsidR="00101895" w:rsidRDefault="00101895" w:rsidP="002666B0">
      <w:pPr>
        <w:spacing w:line="240" w:lineRule="auto"/>
        <w:ind w:firstLine="0"/>
        <w:jc w:val="left"/>
        <w:rPr>
          <w:rFonts w:ascii="Calibri" w:hAnsi="Calibri" w:cs="Calibri"/>
          <w:sz w:val="22"/>
          <w:szCs w:val="22"/>
        </w:rPr>
      </w:pPr>
      <w:r>
        <w:rPr>
          <w:rFonts w:ascii="Calibri" w:hAnsi="Calibri" w:cs="Calibri"/>
          <w:sz w:val="22"/>
          <w:szCs w:val="22"/>
        </w:rPr>
        <w:tab/>
        <w:t>The study universe is One-Stop service users who self-identify as having disabilities and receive services at One-Stop centers that have indicated a willingness and ability to implement DEI strategies to improve services to people with disabilities in states sufficiently motivated to apply for DEI grant funding, and whose applications were deemed superior by DOL among all applications received. There are important implications of the site selection process and respondent universe for estimating the impacts of the DEI and generalizing the results of the study, which we discuss below.</w:t>
      </w:r>
    </w:p>
    <w:p w:rsidR="00101895" w:rsidRPr="003443F1" w:rsidRDefault="00101895" w:rsidP="003443F1">
      <w:pPr>
        <w:pStyle w:val="BulletBlack"/>
        <w:numPr>
          <w:ilvl w:val="0"/>
          <w:numId w:val="0"/>
        </w:numPr>
        <w:spacing w:before="120"/>
        <w:rPr>
          <w:rFonts w:ascii="Calibri" w:hAnsi="Calibri"/>
          <w:sz w:val="22"/>
          <w:szCs w:val="22"/>
        </w:rPr>
      </w:pPr>
      <w:r>
        <w:rPr>
          <w:rFonts w:ascii="Calibri" w:hAnsi="Calibri"/>
          <w:sz w:val="22"/>
          <w:szCs w:val="22"/>
        </w:rPr>
        <w:tab/>
      </w:r>
      <w:r>
        <w:rPr>
          <w:rFonts w:ascii="Calibri" w:hAnsi="Calibri"/>
          <w:sz w:val="22"/>
          <w:szCs w:val="22"/>
        </w:rPr>
        <w:tab/>
      </w:r>
      <w:r w:rsidRPr="00F739D5">
        <w:rPr>
          <w:rFonts w:ascii="Calibri" w:hAnsi="Calibri"/>
          <w:b/>
          <w:i/>
          <w:sz w:val="22"/>
          <w:szCs w:val="22"/>
        </w:rPr>
        <w:t xml:space="preserve">States </w:t>
      </w:r>
      <w:r>
        <w:rPr>
          <w:rFonts w:ascii="Calibri" w:hAnsi="Calibri"/>
          <w:b/>
          <w:i/>
          <w:sz w:val="22"/>
          <w:szCs w:val="22"/>
        </w:rPr>
        <w:t xml:space="preserve">and LWIAs </w:t>
      </w:r>
      <w:r w:rsidRPr="00F739D5">
        <w:rPr>
          <w:rFonts w:ascii="Calibri" w:hAnsi="Calibri"/>
          <w:b/>
          <w:i/>
          <w:sz w:val="22"/>
          <w:szCs w:val="22"/>
        </w:rPr>
        <w:t>Included in the Study.</w:t>
      </w:r>
      <w:r>
        <w:rPr>
          <w:rFonts w:ascii="Calibri" w:hAnsi="Calibri"/>
          <w:sz w:val="22"/>
          <w:szCs w:val="22"/>
        </w:rPr>
        <w:t xml:space="preserve"> </w:t>
      </w:r>
      <w:r w:rsidRPr="0024795C">
        <w:rPr>
          <w:rFonts w:ascii="Calibri" w:hAnsi="Calibri"/>
          <w:sz w:val="22"/>
          <w:szCs w:val="22"/>
        </w:rPr>
        <w:t xml:space="preserve">The fact that both the states and the </w:t>
      </w:r>
      <w:r>
        <w:rPr>
          <w:rFonts w:ascii="Calibri" w:hAnsi="Calibri"/>
          <w:sz w:val="22"/>
          <w:szCs w:val="22"/>
        </w:rPr>
        <w:t>LWIAs included in the study</w:t>
      </w:r>
      <w:r w:rsidRPr="0024795C">
        <w:rPr>
          <w:rFonts w:ascii="Calibri" w:hAnsi="Calibri"/>
          <w:sz w:val="22"/>
          <w:szCs w:val="22"/>
        </w:rPr>
        <w:t xml:space="preserve"> were selected based on the</w:t>
      </w:r>
      <w:r>
        <w:rPr>
          <w:rFonts w:ascii="Calibri" w:hAnsi="Calibri"/>
          <w:sz w:val="22"/>
          <w:szCs w:val="22"/>
        </w:rPr>
        <w:t>ir</w:t>
      </w:r>
      <w:r w:rsidRPr="0024795C">
        <w:rPr>
          <w:rFonts w:ascii="Calibri" w:hAnsi="Calibri"/>
          <w:sz w:val="22"/>
          <w:szCs w:val="22"/>
        </w:rPr>
        <w:t xml:space="preserve"> willingness </w:t>
      </w:r>
      <w:r>
        <w:rPr>
          <w:rFonts w:ascii="Calibri" w:hAnsi="Calibri"/>
          <w:sz w:val="22"/>
          <w:szCs w:val="22"/>
        </w:rPr>
        <w:t xml:space="preserve">to seek DEI grants </w:t>
      </w:r>
      <w:r w:rsidRPr="0024795C">
        <w:rPr>
          <w:rFonts w:ascii="Calibri" w:hAnsi="Calibri"/>
          <w:sz w:val="22"/>
          <w:szCs w:val="22"/>
        </w:rPr>
        <w:t xml:space="preserve">and </w:t>
      </w:r>
      <w:r>
        <w:rPr>
          <w:rFonts w:ascii="Calibri" w:hAnsi="Calibri"/>
          <w:sz w:val="22"/>
          <w:szCs w:val="22"/>
        </w:rPr>
        <w:t>DOL’s assessment of the quality of the state’s proposal</w:t>
      </w:r>
      <w:r w:rsidRPr="0024795C">
        <w:rPr>
          <w:rFonts w:ascii="Calibri" w:hAnsi="Calibri"/>
          <w:sz w:val="22"/>
          <w:szCs w:val="22"/>
        </w:rPr>
        <w:t xml:space="preserve"> suggests that the impact findings will not necessarily be representative of the experiences of all states and LWIAs that might implement such strategies.</w:t>
      </w:r>
      <w:r>
        <w:rPr>
          <w:rFonts w:ascii="Calibri" w:hAnsi="Calibri"/>
          <w:sz w:val="22"/>
          <w:szCs w:val="22"/>
        </w:rPr>
        <w:t xml:space="preserve"> </w:t>
      </w:r>
      <w:r w:rsidRPr="003443F1">
        <w:rPr>
          <w:rFonts w:ascii="Calibri" w:hAnsi="Calibri"/>
          <w:sz w:val="22"/>
          <w:szCs w:val="22"/>
        </w:rPr>
        <w:t>The estimated impacts might be biased as estimates of impacts for a national program, in which grant funds are made available to all LWIA</w:t>
      </w:r>
      <w:r>
        <w:rPr>
          <w:rFonts w:ascii="Calibri" w:hAnsi="Calibri"/>
          <w:sz w:val="22"/>
          <w:szCs w:val="22"/>
        </w:rPr>
        <w:t>s</w:t>
      </w:r>
      <w:r w:rsidRPr="003443F1">
        <w:rPr>
          <w:rFonts w:ascii="Calibri" w:hAnsi="Calibri"/>
          <w:sz w:val="22"/>
          <w:szCs w:val="22"/>
        </w:rPr>
        <w:t>, but the direction of the bias is uncertain. By design, the estimates should be unbiased for the set of LWIA</w:t>
      </w:r>
      <w:r>
        <w:rPr>
          <w:rFonts w:ascii="Calibri" w:hAnsi="Calibri"/>
          <w:sz w:val="22"/>
          <w:szCs w:val="22"/>
        </w:rPr>
        <w:t>s</w:t>
      </w:r>
      <w:r w:rsidRPr="003443F1">
        <w:rPr>
          <w:rFonts w:ascii="Calibri" w:hAnsi="Calibri"/>
          <w:sz w:val="22"/>
          <w:szCs w:val="22"/>
        </w:rPr>
        <w:t xml:space="preserve"> that agree to participate in the grants and whose states are successful in obtaining grants (internal validity). If grants are made indiscriminately to LWIA</w:t>
      </w:r>
      <w:r>
        <w:rPr>
          <w:rFonts w:ascii="Calibri" w:hAnsi="Calibri"/>
          <w:sz w:val="22"/>
          <w:szCs w:val="22"/>
        </w:rPr>
        <w:t>s external to the study</w:t>
      </w:r>
      <w:r w:rsidRPr="003443F1">
        <w:rPr>
          <w:rFonts w:ascii="Calibri" w:hAnsi="Calibri"/>
          <w:sz w:val="22"/>
          <w:szCs w:val="22"/>
        </w:rPr>
        <w:t>, impacts might be smaller because those LWIA</w:t>
      </w:r>
      <w:r>
        <w:rPr>
          <w:rFonts w:ascii="Calibri" w:hAnsi="Calibri"/>
          <w:sz w:val="22"/>
          <w:szCs w:val="22"/>
        </w:rPr>
        <w:t>s</w:t>
      </w:r>
      <w:r w:rsidRPr="003443F1">
        <w:rPr>
          <w:rFonts w:ascii="Calibri" w:hAnsi="Calibri"/>
          <w:sz w:val="22"/>
          <w:szCs w:val="22"/>
        </w:rPr>
        <w:t xml:space="preserve"> are not motivated or capable of using the grants as intended. It is also possible, however, that impacts for the external LWIA</w:t>
      </w:r>
      <w:r>
        <w:rPr>
          <w:rFonts w:ascii="Calibri" w:hAnsi="Calibri"/>
          <w:sz w:val="22"/>
          <w:szCs w:val="22"/>
        </w:rPr>
        <w:t>s</w:t>
      </w:r>
      <w:r w:rsidRPr="003443F1">
        <w:rPr>
          <w:rFonts w:ascii="Calibri" w:hAnsi="Calibri"/>
          <w:sz w:val="22"/>
          <w:szCs w:val="22"/>
        </w:rPr>
        <w:t xml:space="preserve"> will be larger because, in contrast to the study LWIA</w:t>
      </w:r>
      <w:r>
        <w:rPr>
          <w:rFonts w:ascii="Calibri" w:hAnsi="Calibri"/>
          <w:sz w:val="22"/>
          <w:szCs w:val="22"/>
        </w:rPr>
        <w:t>s</w:t>
      </w:r>
      <w:r w:rsidRPr="003443F1">
        <w:rPr>
          <w:rFonts w:ascii="Calibri" w:hAnsi="Calibri"/>
          <w:sz w:val="22"/>
          <w:szCs w:val="22"/>
        </w:rPr>
        <w:t xml:space="preserve"> which are presumably already motivated to implement DEI and ready and able to use the funds well, the external LWIA</w:t>
      </w:r>
      <w:r>
        <w:rPr>
          <w:rFonts w:ascii="Calibri" w:hAnsi="Calibri"/>
          <w:sz w:val="22"/>
          <w:szCs w:val="22"/>
        </w:rPr>
        <w:t>s</w:t>
      </w:r>
      <w:r w:rsidRPr="003443F1">
        <w:rPr>
          <w:rFonts w:ascii="Calibri" w:hAnsi="Calibri"/>
          <w:sz w:val="22"/>
          <w:szCs w:val="22"/>
        </w:rPr>
        <w:t xml:space="preserve"> might </w:t>
      </w:r>
      <w:r w:rsidRPr="003443F1">
        <w:rPr>
          <w:rFonts w:ascii="Calibri" w:hAnsi="Calibri"/>
          <w:i/>
          <w:sz w:val="22"/>
          <w:szCs w:val="22"/>
        </w:rPr>
        <w:t>become</w:t>
      </w:r>
      <w:r w:rsidRPr="003443F1">
        <w:rPr>
          <w:rFonts w:ascii="Calibri" w:hAnsi="Calibri"/>
          <w:sz w:val="22"/>
          <w:szCs w:val="22"/>
        </w:rPr>
        <w:t xml:space="preserve"> motivated by the newly available funding and might learn how to use the funds well from technical assistance that would also be available. Ultimately the impacts of a national program will depend on how DOL distributes grant funds, regulates their use, provides technical assistance, and monitors LWIA performance.  </w:t>
      </w:r>
    </w:p>
    <w:p w:rsidR="00101895" w:rsidRDefault="00101895" w:rsidP="0024795C">
      <w:pPr>
        <w:pStyle w:val="BulletBlack"/>
        <w:numPr>
          <w:ilvl w:val="0"/>
          <w:numId w:val="0"/>
        </w:numPr>
        <w:spacing w:before="120"/>
        <w:rPr>
          <w:rFonts w:ascii="Calibri" w:hAnsi="Calibri"/>
          <w:sz w:val="22"/>
          <w:szCs w:val="22"/>
        </w:rPr>
      </w:pPr>
      <w:r>
        <w:rPr>
          <w:rFonts w:ascii="Calibri" w:hAnsi="Calibri"/>
          <w:sz w:val="22"/>
          <w:szCs w:val="22"/>
        </w:rPr>
        <w:tab/>
        <w:t>While the impact estimates and other study findings may not necessarily be generalizable to all One-Stop centers, this does not diminish the need to conduct a rigorous evaluation. DOL expects to learn a great deal about the experiences of One-Stop centers in implementing a variety of service strategies intended to improve the employment outcomes of customers with disabilities, a group that historically has been neglected, in part because it is viewed as hard to serve in the One-Stop service environment. Selecting states and LWIAs that are motivated to improve services to this population, rather than selecting LWIAs at random, increases the likelihood that the DEI strategies will be implemented with integrity. The result will be a rigorous, internally valid test of the impacts of these strategies and a comprehensive assessment of One-Stop experiences in undertaking them that can inform how best to implement such services nationally.</w:t>
      </w:r>
    </w:p>
    <w:p w:rsidR="00101895" w:rsidRPr="0024795C" w:rsidRDefault="00101895" w:rsidP="0024795C">
      <w:pPr>
        <w:pStyle w:val="BulletBlack"/>
        <w:numPr>
          <w:ilvl w:val="0"/>
          <w:numId w:val="0"/>
        </w:numPr>
        <w:spacing w:before="120"/>
        <w:rPr>
          <w:rFonts w:ascii="Calibri" w:hAnsi="Calibri"/>
          <w:sz w:val="22"/>
          <w:szCs w:val="22"/>
        </w:rPr>
      </w:pPr>
      <w:r>
        <w:rPr>
          <w:rFonts w:ascii="Calibri" w:hAnsi="Calibri"/>
          <w:sz w:val="22"/>
          <w:szCs w:val="22"/>
        </w:rPr>
        <w:tab/>
      </w:r>
      <w:r>
        <w:rPr>
          <w:rFonts w:ascii="Calibri" w:hAnsi="Calibri"/>
          <w:sz w:val="22"/>
          <w:szCs w:val="22"/>
        </w:rPr>
        <w:tab/>
      </w:r>
      <w:r w:rsidRPr="003443F1">
        <w:rPr>
          <w:rFonts w:ascii="Calibri" w:hAnsi="Calibri"/>
          <w:b/>
          <w:i/>
          <w:sz w:val="22"/>
          <w:szCs w:val="22"/>
        </w:rPr>
        <w:t>Individuals Who Self-Identify Disability.</w:t>
      </w:r>
      <w:r>
        <w:rPr>
          <w:rFonts w:ascii="Calibri" w:hAnsi="Calibri"/>
          <w:sz w:val="22"/>
          <w:szCs w:val="22"/>
        </w:rPr>
        <w:t xml:space="preserve"> Focusing on individuals who self-identify their disabilities might affect the impact estimation if the DEI strategies implemented at the pilot sites affects the likelihood that individuals self-identify disabilities or changes the composition of those who self-identify. For example, one of the DEI strategies is to have One-Stops increase their efforts to become and provide services as an Employment Network under SSA’s Ticket to Work program. This activity, and the community outreach associated with it, might result in more Social Security disability beneficiaries seeking One-Stop services at DEI pilot sites. As those meeting the SSA disability criteria have, by definition, very severe and long-lasting disabilities, and most face significant barriers to employment, it is possible that having a larger share of these individuals represented in the DEI pilot sites will result in lower observed employment outcomes at the pilot sites. Differences in means between the DEI pilot and comparison sites will still be unbiased as estimates of impacts on outcome means for those reporting disabilities, but the estimated impacts will include effects that reflect the impact of DEI on the number of users with disabilities and their characteristics, not just the impacts of DEI on those users with disabilities who would have used One-Stop services in the absence of DEI. To address this and other potential issues associated with relying on customer identification of disabilities in order to identify the DEI target population, DOL plans to match the DEI data with SSA administrative records to identify One-Stop customers who have recently participated in the Social Security disability programs. Recent disability program participation will act as another independent measure of disability that can be used to assess the impact of the DEI on One-Stop service utilization and employment outcomes among people with disabilities. Further, the evaluation will be able to assess the extent to which the impact of the DEI on One-Stop use by Social Security disability beneficiaries and on the characteristics of beneficiary users, and contributes to the impact on mean outcomes for beneficiary users.</w:t>
      </w:r>
    </w:p>
    <w:p w:rsidR="00101895" w:rsidRPr="00AA66B8" w:rsidRDefault="00101895" w:rsidP="002666B0">
      <w:pPr>
        <w:spacing w:line="240" w:lineRule="auto"/>
        <w:ind w:firstLine="0"/>
        <w:jc w:val="left"/>
        <w:rPr>
          <w:rFonts w:ascii="Calibri" w:hAnsi="Calibri" w:cs="Calibri"/>
          <w:sz w:val="22"/>
          <w:szCs w:val="22"/>
        </w:rPr>
      </w:pPr>
      <w:r>
        <w:rPr>
          <w:rFonts w:ascii="Calibri" w:hAnsi="Calibri" w:cs="Calibri"/>
          <w:sz w:val="22"/>
          <w:szCs w:val="22"/>
        </w:rPr>
        <w:t xml:space="preserve"> </w:t>
      </w:r>
    </w:p>
    <w:p w:rsidR="00101895" w:rsidRPr="00AA66B8" w:rsidRDefault="00101895" w:rsidP="004224B4">
      <w:pPr>
        <w:tabs>
          <w:tab w:val="clear" w:pos="432"/>
        </w:tabs>
        <w:spacing w:line="240" w:lineRule="auto"/>
        <w:ind w:firstLine="0"/>
        <w:jc w:val="left"/>
        <w:rPr>
          <w:rFonts w:ascii="Calibri" w:hAnsi="Calibri" w:cs="Calibri"/>
          <w:b/>
          <w:color w:val="000000"/>
        </w:rPr>
      </w:pPr>
      <w:r w:rsidRPr="00AA66B8">
        <w:rPr>
          <w:rFonts w:ascii="Calibri" w:hAnsi="Calibri" w:cs="Calibri"/>
          <w:b/>
        </w:rPr>
        <w:br w:type="page"/>
      </w:r>
    </w:p>
    <w:p w:rsidR="00101895" w:rsidRPr="00AA66B8" w:rsidRDefault="00101895" w:rsidP="004224B4">
      <w:pPr>
        <w:pStyle w:val="Default"/>
        <w:rPr>
          <w:rFonts w:ascii="Calibri" w:hAnsi="Calibri" w:cs="Calibri"/>
        </w:rPr>
      </w:pPr>
      <w:r w:rsidRPr="00AA66B8">
        <w:rPr>
          <w:rFonts w:ascii="Calibri" w:hAnsi="Calibri" w:cs="Calibri"/>
          <w:b/>
        </w:rPr>
        <w:t>B.2 PROCEDURES FOR THE COLLECTION OF INFORMATION</w:t>
      </w:r>
    </w:p>
    <w:p w:rsidR="00101895" w:rsidRPr="00AA66B8" w:rsidRDefault="00101895" w:rsidP="004224B4">
      <w:pPr>
        <w:spacing w:line="240" w:lineRule="auto"/>
        <w:ind w:firstLine="0"/>
        <w:jc w:val="left"/>
        <w:rPr>
          <w:rFonts w:ascii="Calibri" w:hAnsi="Calibri" w:cs="Calibri"/>
        </w:rPr>
      </w:pP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Outcomes of interest will be measured at the individual level and include measures of service utilization and employment outcomes.  The key utilization measure is whether an individual registering for services in a One-Stop center self-identifies as having a disability</w:t>
      </w:r>
      <w:r>
        <w:rPr>
          <w:rFonts w:ascii="Calibri" w:hAnsi="Calibri" w:cs="Calibri"/>
          <w:sz w:val="22"/>
          <w:szCs w:val="22"/>
        </w:rPr>
        <w:t>, or, for some analyses, is identified as a current or recent participant in a Social Security disability program (as determined by matching the DEI data with SSA administrative data)</w:t>
      </w:r>
      <w:r w:rsidRPr="00AA66B8">
        <w:rPr>
          <w:rFonts w:ascii="Calibri" w:hAnsi="Calibri" w:cs="Calibri"/>
          <w:sz w:val="22"/>
          <w:szCs w:val="22"/>
        </w:rPr>
        <w:t xml:space="preserve">. Employment outcomes will be analyzed specifically for customers with disabilities and include </w:t>
      </w:r>
      <w:r>
        <w:rPr>
          <w:rFonts w:ascii="Calibri" w:hAnsi="Calibri" w:cs="Calibri"/>
          <w:sz w:val="22"/>
          <w:szCs w:val="22"/>
        </w:rPr>
        <w:t>employment entry</w:t>
      </w:r>
      <w:r w:rsidRPr="00AA66B8">
        <w:rPr>
          <w:rFonts w:ascii="Calibri" w:hAnsi="Calibri" w:cs="Calibri"/>
          <w:sz w:val="22"/>
          <w:szCs w:val="22"/>
        </w:rPr>
        <w:t>, employment retention, and earnings.  For youth sites, the outcomes of interest also include degree/certification completion, high school/GED graduation, and completion of internship/job shadowing experience.  Analysis of utilization measures will use administrative data on all One-Stop users from randomly assigned LWIAs, while analysis of outcome measures will use data only on customers with disabilities from those LWIAs.</w:t>
      </w:r>
      <w:r>
        <w:rPr>
          <w:rFonts w:ascii="Calibri" w:hAnsi="Calibri" w:cs="Calibri"/>
          <w:sz w:val="22"/>
          <w:szCs w:val="22"/>
        </w:rPr>
        <w:t xml:space="preserve"> Estimates will be developed collectively for all states.</w:t>
      </w:r>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With a random assignment design, there should be no systematic observable or unobservable differences between LWIAs in the treatment and comparison groups except for the availability of the DEI services, which are determined randomly.  Thus, simple differences in the mean values of utilization measures between LWIAs assigned to the two research groups will yield unbiased impact estimates of program effects</w:t>
      </w:r>
      <w:r>
        <w:rPr>
          <w:rFonts w:ascii="Calibri" w:hAnsi="Calibri" w:cs="Calibri"/>
          <w:sz w:val="22"/>
          <w:szCs w:val="22"/>
        </w:rPr>
        <w:t xml:space="preserve"> on mean outcomes for users with disabilities</w:t>
      </w:r>
      <w:r w:rsidRPr="00AA66B8">
        <w:rPr>
          <w:rFonts w:ascii="Calibri" w:hAnsi="Calibri" w:cs="Calibri"/>
          <w:sz w:val="22"/>
          <w:szCs w:val="22"/>
        </w:rPr>
        <w:t xml:space="preserve">, and the associated </w:t>
      </w:r>
      <w:r w:rsidRPr="00AA66B8">
        <w:rPr>
          <w:rFonts w:ascii="Calibri" w:hAnsi="Calibri" w:cs="Calibri"/>
          <w:i/>
          <w:iCs/>
          <w:sz w:val="22"/>
          <w:szCs w:val="22"/>
        </w:rPr>
        <w:t>t</w:t>
      </w:r>
      <w:r w:rsidRPr="00AA66B8">
        <w:rPr>
          <w:rFonts w:ascii="Calibri" w:hAnsi="Calibri" w:cs="Calibri"/>
          <w:sz w:val="22"/>
          <w:szCs w:val="22"/>
        </w:rPr>
        <w:t>-tests (adjusted appropriately for design effects due to weighting</w:t>
      </w:r>
      <w:r>
        <w:rPr>
          <w:rFonts w:ascii="Calibri" w:hAnsi="Calibri" w:cs="Calibri"/>
          <w:sz w:val="22"/>
          <w:szCs w:val="22"/>
        </w:rPr>
        <w:t>,</w:t>
      </w:r>
      <w:r w:rsidRPr="00AA66B8">
        <w:rPr>
          <w:rFonts w:ascii="Calibri" w:hAnsi="Calibri" w:cs="Calibri"/>
          <w:sz w:val="22"/>
          <w:szCs w:val="22"/>
        </w:rPr>
        <w:t xml:space="preserve"> </w:t>
      </w:r>
      <w:r>
        <w:rPr>
          <w:rFonts w:ascii="Calibri" w:hAnsi="Calibri" w:cs="Calibri"/>
          <w:sz w:val="22"/>
          <w:szCs w:val="22"/>
        </w:rPr>
        <w:t xml:space="preserve">which accounts for unequal probability of assignment to treatment groups across strata, </w:t>
      </w:r>
      <w:r w:rsidRPr="00AA66B8">
        <w:rPr>
          <w:rFonts w:ascii="Calibri" w:hAnsi="Calibri" w:cs="Calibri"/>
          <w:sz w:val="22"/>
          <w:szCs w:val="22"/>
        </w:rPr>
        <w:t>and clustering) can be used to assess statistical significance.  Effect sizes will also be calculated.</w:t>
      </w:r>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The analysis will measure the differences in the mean values of employment and other outcomes for customers with disabilities who use the treatment and comparison LWIAs.  Because the availability of the DEI services in pilot LWIAs may influence the customers that choose to use One-Stop services and those who self-identify as having a disability, the difference in mean outcomes reflects both any impact of the DEI services on outcomes for those who would have used the treatment One-Stop centers in the absence of the DEI services as well as the impact of the DEI services on One Stop utilization by customers with disabilities.  Measuring an unconditional impact of the DEI on employment outcomes of customers with disabilities </w:t>
      </w:r>
      <w:r>
        <w:rPr>
          <w:rFonts w:ascii="Calibri" w:hAnsi="Calibri" w:cs="Calibri"/>
          <w:sz w:val="22"/>
          <w:szCs w:val="22"/>
        </w:rPr>
        <w:t xml:space="preserve">who </w:t>
      </w:r>
      <w:r w:rsidRPr="00AA66B8">
        <w:rPr>
          <w:rFonts w:ascii="Calibri" w:hAnsi="Calibri" w:cs="Calibri"/>
          <w:sz w:val="22"/>
          <w:szCs w:val="22"/>
        </w:rPr>
        <w:t xml:space="preserve">would </w:t>
      </w:r>
      <w:r>
        <w:rPr>
          <w:rFonts w:ascii="Calibri" w:hAnsi="Calibri" w:cs="Calibri"/>
          <w:sz w:val="22"/>
          <w:szCs w:val="22"/>
        </w:rPr>
        <w:t xml:space="preserve">use One-Stop services in the absence of DEI would </w:t>
      </w:r>
      <w:r w:rsidRPr="00AA66B8">
        <w:rPr>
          <w:rFonts w:ascii="Calibri" w:hAnsi="Calibri" w:cs="Calibri"/>
          <w:sz w:val="22"/>
          <w:szCs w:val="22"/>
        </w:rPr>
        <w:t xml:space="preserve">have required random assignment at the customer level.  This option was not feasible because </w:t>
      </w:r>
      <w:r>
        <w:rPr>
          <w:rFonts w:ascii="Calibri" w:hAnsi="Calibri" w:cs="Calibri"/>
          <w:sz w:val="22"/>
          <w:szCs w:val="22"/>
        </w:rPr>
        <w:t xml:space="preserve">of </w:t>
      </w:r>
      <w:r w:rsidRPr="00AA66B8">
        <w:rPr>
          <w:rFonts w:ascii="Calibri" w:hAnsi="Calibri" w:cs="Calibri"/>
          <w:sz w:val="22"/>
          <w:szCs w:val="22"/>
        </w:rPr>
        <w:t>the systemic nature of some components of the DEI (e.g., maintaining One-Stop accessibility and the requirement that they become an Employment Network). Random assignment at the customer level also would have imposed a much greater burden on the One Stop centers.</w:t>
      </w: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 xml:space="preserve"> </w:t>
      </w:r>
    </w:p>
    <w:p w:rsidR="00101895"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Pr>
          <w:rFonts w:ascii="Calibri" w:hAnsi="Calibri" w:cs="Calibri"/>
          <w:sz w:val="22"/>
          <w:szCs w:val="22"/>
        </w:rPr>
        <w:t xml:space="preserve">The previous paragraph provides an intuitive description of how the analysis will be performed, but abstracts from important technical details. While the difference in means estimates described would be unbiased estimates of the impacts, their statistical precision can be improved by controlling for individual baseline characteristics. Further, estimation of unbiased standard errors requires the analysis to appropriately account for the stratified, clustered design of the study. That is, sites (and all users with disabilities within the site) are randomly assigned to DEI or comparison groups  as a cluster within strata, defined within each state as described in Table B.1. . </w:t>
      </w:r>
    </w:p>
    <w:p w:rsidR="00101895" w:rsidRPr="00AA66B8" w:rsidRDefault="00101895" w:rsidP="004224B4">
      <w:pPr>
        <w:spacing w:line="240" w:lineRule="auto"/>
        <w:ind w:firstLine="0"/>
        <w:jc w:val="left"/>
        <w:rPr>
          <w:rFonts w:ascii="Calibri" w:hAnsi="Calibri" w:cs="Calibri"/>
          <w:sz w:val="22"/>
          <w:szCs w:val="22"/>
        </w:rPr>
      </w:pPr>
      <w:r>
        <w:rPr>
          <w:rFonts w:ascii="Calibri" w:hAnsi="Calibri" w:cs="Calibri"/>
          <w:sz w:val="22"/>
          <w:szCs w:val="22"/>
        </w:rPr>
        <w:tab/>
      </w:r>
      <w:r w:rsidRPr="00AA66B8">
        <w:rPr>
          <w:rFonts w:ascii="Calibri" w:hAnsi="Calibri" w:cs="Calibri"/>
          <w:sz w:val="22"/>
          <w:szCs w:val="22"/>
        </w:rPr>
        <w:t xml:space="preserve"> </w:t>
      </w:r>
    </w:p>
    <w:p w:rsidR="00101895" w:rsidRPr="00AA66B8" w:rsidRDefault="00101895" w:rsidP="004224B4">
      <w:pPr>
        <w:spacing w:line="240" w:lineRule="auto"/>
        <w:jc w:val="left"/>
        <w:rPr>
          <w:rFonts w:ascii="Calibri" w:hAnsi="Calibri" w:cs="Calibri"/>
          <w:sz w:val="22"/>
          <w:szCs w:val="22"/>
        </w:rPr>
      </w:pPr>
    </w:p>
    <w:p w:rsidR="00101895" w:rsidRDefault="00101895" w:rsidP="004224B4">
      <w:pPr>
        <w:spacing w:line="240" w:lineRule="auto"/>
        <w:jc w:val="left"/>
        <w:rPr>
          <w:rFonts w:ascii="Calibri" w:hAnsi="Calibri" w:cs="Calibri"/>
          <w:sz w:val="22"/>
          <w:szCs w:val="22"/>
        </w:rPr>
      </w:pPr>
      <w:r w:rsidRPr="00AA66B8">
        <w:rPr>
          <w:rFonts w:ascii="Calibri" w:hAnsi="Calibri" w:cs="Calibri"/>
          <w:sz w:val="22"/>
          <w:szCs w:val="22"/>
        </w:rPr>
        <w:tab/>
      </w:r>
      <w:r>
        <w:rPr>
          <w:rFonts w:ascii="Calibri" w:hAnsi="Calibri" w:cs="Calibri"/>
          <w:sz w:val="22"/>
          <w:szCs w:val="22"/>
        </w:rPr>
        <w:t>A</w:t>
      </w:r>
      <w:r w:rsidRPr="00AA66B8">
        <w:rPr>
          <w:rFonts w:ascii="Calibri" w:hAnsi="Calibri" w:cs="Calibri"/>
          <w:sz w:val="22"/>
          <w:szCs w:val="22"/>
        </w:rPr>
        <w:t xml:space="preserve"> two-level hierarchical linear model (HLM) </w:t>
      </w:r>
      <w:r>
        <w:rPr>
          <w:rFonts w:ascii="Calibri" w:hAnsi="Calibri" w:cs="Calibri"/>
          <w:sz w:val="22"/>
          <w:szCs w:val="22"/>
        </w:rPr>
        <w:t>will be used to address both of these issues</w:t>
      </w:r>
      <w:r w:rsidRPr="00AA66B8">
        <w:rPr>
          <w:rFonts w:ascii="Calibri" w:hAnsi="Calibri" w:cs="Calibri"/>
          <w:sz w:val="22"/>
          <w:szCs w:val="22"/>
        </w:rPr>
        <w:t xml:space="preserve"> (Bryk &amp; Raudenbush </w:t>
      </w:r>
      <w:r>
        <w:rPr>
          <w:rFonts w:ascii="Calibri" w:hAnsi="Calibri" w:cs="Calibri"/>
          <w:sz w:val="22"/>
          <w:szCs w:val="22"/>
        </w:rPr>
        <w:t>200</w:t>
      </w:r>
      <w:r w:rsidRPr="00AA66B8">
        <w:rPr>
          <w:rFonts w:ascii="Calibri" w:hAnsi="Calibri" w:cs="Calibri"/>
          <w:sz w:val="22"/>
          <w:szCs w:val="22"/>
        </w:rPr>
        <w:t>2)</w:t>
      </w:r>
      <w:r>
        <w:rPr>
          <w:rFonts w:ascii="Calibri" w:hAnsi="Calibri" w:cs="Calibri"/>
          <w:sz w:val="22"/>
          <w:szCs w:val="22"/>
        </w:rPr>
        <w:t xml:space="preserve">. HLM provides unbiased, minimum variance (i.e., efficient) estimates of impacts for experiments with cluster-randomized designs like the one to be used for the DEI. The HLM estimates represent differences in means that have been adjusted for observable differences in baseline characteristics, with standard errors that have been adjusted for the clustered design of the demonstration. HLM procedures have been implemented in major statistical packages (such as SAS and STATA) and widely used for estimation of models under similar circumstances to those for the DEI.  </w:t>
      </w:r>
    </w:p>
    <w:p w:rsidR="00101895" w:rsidRDefault="00101895" w:rsidP="004224B4">
      <w:pPr>
        <w:spacing w:line="240" w:lineRule="auto"/>
        <w:jc w:val="left"/>
        <w:rPr>
          <w:rFonts w:ascii="Calibri" w:hAnsi="Calibri" w:cs="Calibri"/>
          <w:sz w:val="22"/>
          <w:szCs w:val="22"/>
        </w:rPr>
      </w:pPr>
      <w:r>
        <w:rPr>
          <w:rFonts w:ascii="Calibri" w:hAnsi="Calibri" w:cs="Calibri"/>
          <w:sz w:val="22"/>
          <w:szCs w:val="22"/>
        </w:rPr>
        <w:t xml:space="preserve"> </w:t>
      </w:r>
    </w:p>
    <w:p w:rsidR="00101895" w:rsidRDefault="00101895" w:rsidP="005949C9">
      <w:pPr>
        <w:ind w:left="720"/>
      </w:pPr>
      <w:r>
        <w:t>Several other analytic methods were considered, but HLM was determined to be the most appropriate. Although other regression estimators (e.g., ordinary least squares) would produce unbiased estimates of the impact of the DEI, HLM produces unbiased, efficient (minimum asymptotic variance) estimates with standard errors and associated confidence intervals that account for the cluster-randomized study design. A differences-in-differences estimator was also considered. This method, which would still be implemented in an HLM framework, would compare changes over time in outcomes of individuals in pilot sites to changes over time in outcomes of individuals in comparison sites. Although this estimator would likely improve the precision of the estimates, perhaps substantially, it was judged that the required data before the implementation of the DEI is of poor quality. Furthermore, one of the chief arguments for using differences-in-differences, reducing bias in quasi-experimental settings, (e.g. Card and Krueger, 1994) is not relevant to the DEI evaluation given the experimental design.</w:t>
      </w:r>
    </w:p>
    <w:p w:rsidR="00101895" w:rsidRDefault="00101895" w:rsidP="004224B4">
      <w:pPr>
        <w:spacing w:line="240" w:lineRule="auto"/>
        <w:jc w:val="left"/>
        <w:rPr>
          <w:rFonts w:ascii="Calibri" w:hAnsi="Calibri" w:cs="Calibri"/>
          <w:sz w:val="22"/>
          <w:szCs w:val="22"/>
        </w:rPr>
      </w:pPr>
    </w:p>
    <w:p w:rsidR="00101895" w:rsidRDefault="00101895" w:rsidP="004224B4">
      <w:pPr>
        <w:spacing w:line="240" w:lineRule="auto"/>
        <w:jc w:val="left"/>
        <w:rPr>
          <w:rFonts w:ascii="Calibri" w:hAnsi="Calibri" w:cs="Calibri"/>
          <w:sz w:val="22"/>
          <w:szCs w:val="22"/>
        </w:rPr>
      </w:pPr>
    </w:p>
    <w:p w:rsidR="00101895" w:rsidRPr="00AA66B8" w:rsidRDefault="00101895" w:rsidP="004224B4">
      <w:pPr>
        <w:spacing w:line="240" w:lineRule="auto"/>
        <w:jc w:val="left"/>
        <w:rPr>
          <w:rFonts w:ascii="Calibri" w:hAnsi="Calibri" w:cs="Calibri"/>
          <w:sz w:val="22"/>
          <w:szCs w:val="22"/>
        </w:rPr>
      </w:pPr>
      <w:r>
        <w:rPr>
          <w:rFonts w:ascii="Calibri" w:hAnsi="Calibri" w:cs="Calibri"/>
          <w:sz w:val="22"/>
          <w:szCs w:val="22"/>
        </w:rPr>
        <w:t>Separate</w:t>
      </w:r>
      <w:r w:rsidRPr="00AA66B8">
        <w:rPr>
          <w:rFonts w:ascii="Calibri" w:hAnsi="Calibri" w:cs="Calibri"/>
          <w:sz w:val="22"/>
          <w:szCs w:val="22"/>
        </w:rPr>
        <w:t xml:space="preserve"> </w:t>
      </w:r>
      <w:r>
        <w:rPr>
          <w:rFonts w:ascii="Calibri" w:hAnsi="Calibri" w:cs="Calibri"/>
          <w:sz w:val="22"/>
          <w:szCs w:val="22"/>
        </w:rPr>
        <w:t xml:space="preserve">HLM models will be estimated </w:t>
      </w:r>
      <w:r w:rsidRPr="00AA66B8">
        <w:rPr>
          <w:rFonts w:ascii="Calibri" w:hAnsi="Calibri" w:cs="Calibri"/>
          <w:sz w:val="22"/>
          <w:szCs w:val="22"/>
        </w:rPr>
        <w:t>for adults and dislocated workers</w:t>
      </w:r>
      <w:r>
        <w:rPr>
          <w:rFonts w:ascii="Calibri" w:hAnsi="Calibri" w:cs="Calibri"/>
          <w:sz w:val="22"/>
          <w:szCs w:val="22"/>
        </w:rPr>
        <w:t>. Separate analyses for adults and youth, as well as a combined analysis, will be conducted.  Each is specified as follows</w:t>
      </w:r>
      <w:r w:rsidRPr="00AA66B8">
        <w:rPr>
          <w:rFonts w:ascii="Calibri" w:hAnsi="Calibri" w:cs="Calibri"/>
          <w:sz w:val="22"/>
          <w:szCs w:val="22"/>
        </w:rPr>
        <w:t>:</w:t>
      </w:r>
    </w:p>
    <w:p w:rsidR="00101895" w:rsidRPr="00AA66B8" w:rsidRDefault="00101895" w:rsidP="004224B4">
      <w:pPr>
        <w:spacing w:line="240" w:lineRule="auto"/>
        <w:jc w:val="left"/>
        <w:rPr>
          <w:rFonts w:ascii="Calibri" w:hAnsi="Calibri" w:cs="Calibri"/>
          <w:sz w:val="22"/>
          <w:szCs w:val="22"/>
        </w:rPr>
      </w:pPr>
    </w:p>
    <w:p w:rsidR="00101895" w:rsidRPr="00AA66B8" w:rsidRDefault="00101895" w:rsidP="004224B4">
      <w:pPr>
        <w:spacing w:line="240" w:lineRule="auto"/>
        <w:jc w:val="left"/>
        <w:rPr>
          <w:rFonts w:ascii="Calibri" w:hAnsi="Calibri" w:cs="Calibri"/>
          <w:sz w:val="22"/>
          <w:szCs w:val="22"/>
        </w:rPr>
      </w:pPr>
      <w:r w:rsidRPr="0067233A">
        <w:rPr>
          <w:rFonts w:ascii="Calibri" w:hAnsi="Calibri" w:cs="Calibri"/>
          <w:position w:val="-30"/>
          <w:sz w:val="22"/>
          <w:szCs w:val="22"/>
        </w:rPr>
        <w:object w:dxaOrig="37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34.5pt" o:ole="">
            <v:imagedata r:id="rId7" o:title=""/>
          </v:shape>
          <o:OLEObject Type="Embed" ProgID="Equation.DSMT4" ShapeID="_x0000_i1025" DrawAspect="Content" ObjectID="_1390915691" r:id="rId8"/>
        </w:object>
      </w:r>
    </w:p>
    <w:p w:rsidR="00101895" w:rsidRPr="00AA66B8" w:rsidRDefault="00101895" w:rsidP="004224B4">
      <w:pPr>
        <w:spacing w:line="240" w:lineRule="auto"/>
        <w:jc w:val="left"/>
        <w:rPr>
          <w:rFonts w:ascii="Calibri" w:hAnsi="Calibri" w:cs="Calibri"/>
          <w:sz w:val="22"/>
          <w:szCs w:val="22"/>
        </w:rPr>
      </w:pPr>
      <w:r w:rsidRPr="00AA66B8">
        <w:rPr>
          <w:rFonts w:ascii="Calibri" w:hAnsi="Calibri" w:cs="Calibri"/>
          <w:sz w:val="22"/>
          <w:szCs w:val="22"/>
        </w:rPr>
        <w:t xml:space="preserve">where level 1 corresponds to customers and </w:t>
      </w:r>
      <w:r>
        <w:rPr>
          <w:rFonts w:ascii="Calibri" w:hAnsi="Calibri" w:cs="Calibri"/>
          <w:sz w:val="22"/>
          <w:szCs w:val="22"/>
        </w:rPr>
        <w:t>l</w:t>
      </w:r>
      <w:r w:rsidRPr="00AA66B8">
        <w:rPr>
          <w:rFonts w:ascii="Calibri" w:hAnsi="Calibri" w:cs="Calibri"/>
          <w:sz w:val="22"/>
          <w:szCs w:val="22"/>
        </w:rPr>
        <w:t>evel 2 to sites, and</w:t>
      </w:r>
    </w:p>
    <w:p w:rsidR="00101895" w:rsidRPr="00AA66B8" w:rsidRDefault="00101895" w:rsidP="004224B4">
      <w:pPr>
        <w:spacing w:line="240" w:lineRule="auto"/>
        <w:jc w:val="left"/>
        <w:rPr>
          <w:rFonts w:ascii="Calibri" w:hAnsi="Calibri" w:cs="Calibri"/>
          <w:sz w:val="22"/>
          <w:szCs w:val="22"/>
        </w:rPr>
      </w:pPr>
      <w:r w:rsidRPr="00AA66B8">
        <w:rPr>
          <w:rFonts w:ascii="Calibri" w:hAnsi="Calibri" w:cs="Calibri"/>
          <w:i/>
          <w:position w:val="-12"/>
          <w:sz w:val="22"/>
          <w:szCs w:val="22"/>
        </w:rPr>
        <w:object w:dxaOrig="279" w:dyaOrig="360">
          <v:shape id="_x0000_i1026" type="#_x0000_t75" style="width:14.25pt;height:16.5pt" o:ole="">
            <v:imagedata r:id="rId9" o:title=""/>
          </v:shape>
          <o:OLEObject Type="Embed" ProgID="Equation.DSMT4" ShapeID="_x0000_i1026" DrawAspect="Content" ObjectID="_1390915692" r:id="rId10"/>
        </w:object>
      </w:r>
      <w:r w:rsidRPr="00AA66B8">
        <w:rPr>
          <w:rFonts w:ascii="Calibri" w:hAnsi="Calibri" w:cs="Calibri"/>
          <w:sz w:val="22"/>
          <w:szCs w:val="22"/>
        </w:rPr>
        <w:t xml:space="preserve"> is an outcome variable for customer </w:t>
      </w:r>
      <w:r w:rsidRPr="00AA66B8">
        <w:rPr>
          <w:rFonts w:ascii="Calibri" w:hAnsi="Calibri" w:cs="Calibri"/>
          <w:i/>
          <w:iCs/>
          <w:sz w:val="22"/>
          <w:szCs w:val="22"/>
        </w:rPr>
        <w:t xml:space="preserve">i </w:t>
      </w:r>
      <w:r w:rsidRPr="00AA66B8">
        <w:rPr>
          <w:rFonts w:ascii="Calibri" w:hAnsi="Calibri" w:cs="Calibri"/>
          <w:sz w:val="22"/>
          <w:szCs w:val="22"/>
        </w:rPr>
        <w:t xml:space="preserve">in site </w:t>
      </w:r>
      <w:r w:rsidRPr="00AA66B8">
        <w:rPr>
          <w:rFonts w:ascii="Calibri" w:hAnsi="Calibri" w:cs="Calibri"/>
          <w:i/>
          <w:iCs/>
          <w:sz w:val="22"/>
          <w:szCs w:val="22"/>
        </w:rPr>
        <w:t>s</w:t>
      </w:r>
    </w:p>
    <w:p w:rsidR="00101895" w:rsidRPr="00AA66B8" w:rsidRDefault="00101895" w:rsidP="00877D33">
      <w:pPr>
        <w:spacing w:line="240" w:lineRule="auto"/>
        <w:jc w:val="left"/>
        <w:rPr>
          <w:rFonts w:ascii="Calibri" w:hAnsi="Calibri" w:cs="Calibri"/>
          <w:sz w:val="22"/>
          <w:szCs w:val="22"/>
        </w:rPr>
      </w:pPr>
      <w:r w:rsidRPr="00AA66B8">
        <w:rPr>
          <w:rFonts w:ascii="Calibri" w:hAnsi="Calibri" w:cs="Calibri"/>
          <w:position w:val="-12"/>
          <w:sz w:val="22"/>
          <w:szCs w:val="22"/>
        </w:rPr>
        <w:object w:dxaOrig="360" w:dyaOrig="360">
          <v:shape id="_x0000_i1027" type="#_x0000_t75" style="width:16.5pt;height:16.5pt" o:ole="">
            <v:imagedata r:id="rId11" o:title=""/>
          </v:shape>
          <o:OLEObject Type="Embed" ProgID="Equation.DSMT4" ShapeID="_x0000_i1027" DrawAspect="Content" ObjectID="_1390915693" r:id="rId12"/>
        </w:object>
      </w:r>
      <w:r w:rsidRPr="00AA66B8">
        <w:rPr>
          <w:rFonts w:ascii="Calibri" w:hAnsi="Calibri" w:cs="Calibri"/>
          <w:sz w:val="22"/>
          <w:szCs w:val="22"/>
        </w:rPr>
        <w:t xml:space="preserve"> is a vector of customer-level characteristics </w:t>
      </w:r>
    </w:p>
    <w:p w:rsidR="00101895" w:rsidRPr="00AA66B8" w:rsidRDefault="00101895" w:rsidP="004224B4">
      <w:pPr>
        <w:spacing w:line="240" w:lineRule="auto"/>
        <w:jc w:val="left"/>
        <w:rPr>
          <w:rFonts w:ascii="Calibri" w:hAnsi="Calibri" w:cs="Calibri"/>
          <w:sz w:val="22"/>
          <w:szCs w:val="22"/>
        </w:rPr>
      </w:pPr>
      <w:r w:rsidRPr="00AA66B8">
        <w:rPr>
          <w:rFonts w:ascii="Calibri" w:hAnsi="Calibri" w:cs="Calibri"/>
          <w:i/>
          <w:position w:val="-12"/>
          <w:sz w:val="22"/>
          <w:szCs w:val="22"/>
        </w:rPr>
        <w:object w:dxaOrig="240" w:dyaOrig="360">
          <v:shape id="_x0000_i1028" type="#_x0000_t75" style="width:13.5pt;height:16.5pt" o:ole="">
            <v:imagedata r:id="rId13" o:title=""/>
          </v:shape>
          <o:OLEObject Type="Embed" ProgID="Equation.DSMT4" ShapeID="_x0000_i1028" DrawAspect="Content" ObjectID="_1390915694" r:id="rId14"/>
        </w:object>
      </w:r>
      <w:r w:rsidRPr="00AA66B8">
        <w:rPr>
          <w:rFonts w:ascii="Calibri" w:hAnsi="Calibri" w:cs="Calibri"/>
          <w:i/>
          <w:sz w:val="22"/>
          <w:szCs w:val="22"/>
        </w:rPr>
        <w:t xml:space="preserve"> </w:t>
      </w:r>
      <w:r w:rsidRPr="00AA66B8">
        <w:rPr>
          <w:rFonts w:ascii="Calibri" w:hAnsi="Calibri" w:cs="Calibri"/>
          <w:sz w:val="22"/>
          <w:szCs w:val="22"/>
        </w:rPr>
        <w:t xml:space="preserve">is a variable that equals 1 if site </w:t>
      </w:r>
      <w:r w:rsidRPr="00AA66B8">
        <w:rPr>
          <w:rFonts w:ascii="Calibri" w:hAnsi="Calibri" w:cs="Calibri"/>
          <w:i/>
          <w:sz w:val="22"/>
          <w:szCs w:val="22"/>
        </w:rPr>
        <w:t>s</w:t>
      </w:r>
      <w:r w:rsidRPr="00AA66B8">
        <w:rPr>
          <w:rFonts w:ascii="Calibri" w:hAnsi="Calibri" w:cs="Calibri"/>
          <w:sz w:val="22"/>
          <w:szCs w:val="22"/>
        </w:rPr>
        <w:t xml:space="preserve"> is a pilot site and 0 if it is a comparison site</w:t>
      </w:r>
    </w:p>
    <w:p w:rsidR="00101895" w:rsidRPr="00AA66B8" w:rsidDel="00877D33" w:rsidRDefault="00101895" w:rsidP="004224B4">
      <w:pPr>
        <w:spacing w:line="240" w:lineRule="auto"/>
        <w:jc w:val="left"/>
        <w:rPr>
          <w:rFonts w:ascii="Calibri" w:hAnsi="Calibri" w:cs="Calibri"/>
          <w:sz w:val="22"/>
          <w:szCs w:val="22"/>
        </w:rPr>
      </w:pPr>
    </w:p>
    <w:p w:rsidR="00101895" w:rsidDel="00877D33" w:rsidRDefault="00101895" w:rsidP="004224B4">
      <w:pPr>
        <w:spacing w:line="240" w:lineRule="auto"/>
        <w:jc w:val="left"/>
        <w:rPr>
          <w:rFonts w:ascii="Calibri" w:hAnsi="Calibri" w:cs="Calibri"/>
          <w:iCs/>
          <w:sz w:val="22"/>
          <w:szCs w:val="22"/>
        </w:rPr>
      </w:pPr>
    </w:p>
    <w:p w:rsidR="00101895" w:rsidRPr="00B32967" w:rsidRDefault="00101895" w:rsidP="004224B4">
      <w:pPr>
        <w:spacing w:line="240" w:lineRule="auto"/>
        <w:jc w:val="left"/>
        <w:rPr>
          <w:rFonts w:ascii="Calibri" w:hAnsi="Calibri" w:cs="Calibri"/>
          <w:iCs/>
          <w:sz w:val="22"/>
          <w:szCs w:val="22"/>
        </w:rPr>
      </w:pPr>
      <w:r w:rsidRPr="00B32967">
        <w:rPr>
          <w:rFonts w:ascii="Calibri" w:hAnsi="Calibri" w:cs="Calibri"/>
          <w:i/>
          <w:iCs/>
          <w:position w:val="-10"/>
          <w:sz w:val="22"/>
          <w:szCs w:val="22"/>
        </w:rPr>
        <w:object w:dxaOrig="260" w:dyaOrig="340">
          <v:shape id="_x0000_i1029" type="#_x0000_t75" style="width:13.5pt;height:16.5pt" o:ole="">
            <v:imagedata r:id="rId15" o:title=""/>
          </v:shape>
          <o:OLEObject Type="Embed" ProgID="Equation.DSMT4" ShapeID="_x0000_i1029" DrawAspect="Content" ObjectID="_1390915695" r:id="rId16"/>
        </w:object>
      </w:r>
      <w:r>
        <w:rPr>
          <w:rFonts w:ascii="Calibri" w:hAnsi="Calibri" w:cs="Calibri"/>
          <w:iCs/>
          <w:sz w:val="22"/>
          <w:szCs w:val="22"/>
        </w:rPr>
        <w:t xml:space="preserve"> is a set of stratum fixed effects</w:t>
      </w:r>
    </w:p>
    <w:p w:rsidR="00101895" w:rsidRPr="00AA66B8" w:rsidRDefault="00101895" w:rsidP="00877D33">
      <w:pPr>
        <w:spacing w:line="240" w:lineRule="auto"/>
        <w:jc w:val="left"/>
        <w:rPr>
          <w:rFonts w:ascii="Calibri" w:hAnsi="Calibri" w:cs="Calibri"/>
          <w:iCs/>
          <w:sz w:val="22"/>
          <w:szCs w:val="22"/>
        </w:rPr>
      </w:pPr>
      <w:r w:rsidRPr="00AA66B8">
        <w:rPr>
          <w:rFonts w:ascii="Calibri" w:hAnsi="Calibri" w:cs="Calibri"/>
          <w:iCs/>
          <w:position w:val="-12"/>
          <w:sz w:val="22"/>
          <w:szCs w:val="22"/>
        </w:rPr>
        <w:object w:dxaOrig="279" w:dyaOrig="360">
          <v:shape id="_x0000_i1030" type="#_x0000_t75" style="width:14.25pt;height:16.5pt" o:ole="">
            <v:imagedata r:id="rId17" o:title=""/>
          </v:shape>
          <o:OLEObject Type="Embed" ProgID="Equation.DSMT4" ShapeID="_x0000_i1030" DrawAspect="Content" ObjectID="_1390915696" r:id="rId18"/>
        </w:object>
      </w:r>
      <w:r w:rsidRPr="00AA66B8">
        <w:rPr>
          <w:rFonts w:ascii="Calibri" w:hAnsi="Calibri" w:cs="Calibri"/>
          <w:iCs/>
          <w:sz w:val="22"/>
          <w:szCs w:val="22"/>
        </w:rPr>
        <w:t xml:space="preserve"> represent site-specific random intercepts</w:t>
      </w:r>
    </w:p>
    <w:p w:rsidR="00101895" w:rsidRDefault="00101895" w:rsidP="00877D33">
      <w:pPr>
        <w:spacing w:line="240" w:lineRule="auto"/>
        <w:jc w:val="left"/>
        <w:rPr>
          <w:rFonts w:ascii="Calibri" w:hAnsi="Calibri" w:cs="Calibri"/>
          <w:sz w:val="22"/>
          <w:szCs w:val="22"/>
        </w:rPr>
      </w:pPr>
      <w:r w:rsidRPr="0067233A">
        <w:rPr>
          <w:rFonts w:ascii="Calibri" w:hAnsi="Calibri" w:cs="Calibri"/>
          <w:iCs/>
          <w:position w:val="-10"/>
          <w:sz w:val="22"/>
          <w:szCs w:val="22"/>
        </w:rPr>
        <w:object w:dxaOrig="200" w:dyaOrig="260">
          <v:shape id="_x0000_i1031" type="#_x0000_t75" style="width:8.25pt;height:12pt" o:ole="">
            <v:imagedata r:id="rId19" o:title=""/>
          </v:shape>
          <o:OLEObject Type="Embed" ProgID="Equation.DSMT4" ShapeID="_x0000_i1031" DrawAspect="Content" ObjectID="_1390915697" r:id="rId20"/>
        </w:object>
      </w:r>
      <w:r w:rsidRPr="00AA66B8">
        <w:rPr>
          <w:rFonts w:ascii="Calibri" w:hAnsi="Calibri" w:cs="Calibri"/>
          <w:iCs/>
          <w:sz w:val="22"/>
          <w:szCs w:val="22"/>
        </w:rPr>
        <w:t xml:space="preserve"> represent</w:t>
      </w:r>
      <w:r>
        <w:rPr>
          <w:rFonts w:ascii="Calibri" w:hAnsi="Calibri" w:cs="Calibri"/>
          <w:iCs/>
          <w:sz w:val="22"/>
          <w:szCs w:val="22"/>
        </w:rPr>
        <w:t>s</w:t>
      </w:r>
      <w:r w:rsidRPr="00AA66B8">
        <w:rPr>
          <w:rFonts w:ascii="Calibri" w:hAnsi="Calibri" w:cs="Calibri"/>
          <w:iCs/>
          <w:sz w:val="22"/>
          <w:szCs w:val="22"/>
        </w:rPr>
        <w:t xml:space="preserve"> </w:t>
      </w:r>
      <w:r>
        <w:rPr>
          <w:rFonts w:ascii="Calibri" w:hAnsi="Calibri" w:cs="Calibri"/>
          <w:iCs/>
          <w:sz w:val="22"/>
          <w:szCs w:val="22"/>
        </w:rPr>
        <w:t>the</w:t>
      </w:r>
      <w:r w:rsidRPr="00AA66B8">
        <w:rPr>
          <w:rFonts w:ascii="Calibri" w:hAnsi="Calibri" w:cs="Calibri"/>
          <w:iCs/>
          <w:sz w:val="22"/>
          <w:szCs w:val="22"/>
        </w:rPr>
        <w:t xml:space="preserve"> treatment effect</w:t>
      </w:r>
      <w:r w:rsidRPr="00AA66B8">
        <w:rPr>
          <w:rFonts w:ascii="Calibri" w:hAnsi="Calibri" w:cs="Calibri"/>
          <w:sz w:val="22"/>
          <w:szCs w:val="22"/>
        </w:rPr>
        <w:t xml:space="preserve"> </w:t>
      </w:r>
    </w:p>
    <w:p w:rsidR="00101895" w:rsidRPr="00523C81" w:rsidRDefault="00101895" w:rsidP="00877D33">
      <w:pPr>
        <w:spacing w:line="240" w:lineRule="auto"/>
        <w:jc w:val="left"/>
        <w:rPr>
          <w:rFonts w:ascii="Calibri" w:hAnsi="Calibri" w:cs="Calibri"/>
          <w:sz w:val="22"/>
          <w:szCs w:val="22"/>
        </w:rPr>
      </w:pPr>
      <w:r>
        <w:rPr>
          <w:rFonts w:ascii="Calibri" w:hAnsi="Calibri" w:cs="Calibri"/>
          <w:i/>
          <w:sz w:val="22"/>
          <w:szCs w:val="22"/>
        </w:rPr>
        <w:t>β</w:t>
      </w:r>
      <w:r>
        <w:rPr>
          <w:rFonts w:ascii="Calibri" w:hAnsi="Calibri" w:cs="Calibri"/>
          <w:sz w:val="22"/>
          <w:szCs w:val="22"/>
        </w:rPr>
        <w:t xml:space="preserve"> is a vector of parameters that represent the relationship between customer-level characteristics and the outcome</w:t>
      </w:r>
    </w:p>
    <w:p w:rsidR="00101895" w:rsidRPr="00AA66B8" w:rsidRDefault="00101895" w:rsidP="004224B4">
      <w:pPr>
        <w:spacing w:line="240" w:lineRule="auto"/>
        <w:jc w:val="left"/>
        <w:rPr>
          <w:rFonts w:ascii="Calibri" w:hAnsi="Calibri" w:cs="Calibri"/>
          <w:iCs/>
          <w:sz w:val="22"/>
          <w:szCs w:val="22"/>
        </w:rPr>
      </w:pPr>
      <w:r w:rsidRPr="00AA66B8">
        <w:rPr>
          <w:rFonts w:ascii="Calibri" w:hAnsi="Calibri" w:cs="Calibri"/>
          <w:iCs/>
          <w:position w:val="-12"/>
          <w:sz w:val="22"/>
          <w:szCs w:val="22"/>
        </w:rPr>
        <w:object w:dxaOrig="260" w:dyaOrig="360">
          <v:shape id="_x0000_i1032" type="#_x0000_t75" style="width:10.5pt;height:16.5pt" o:ole="">
            <v:imagedata r:id="rId21" o:title=""/>
          </v:shape>
          <o:OLEObject Type="Embed" ProgID="Equation.DSMT4" ShapeID="_x0000_i1032" DrawAspect="Content" ObjectID="_1390915698" r:id="rId22"/>
        </w:object>
      </w:r>
      <w:r w:rsidRPr="00AA66B8">
        <w:rPr>
          <w:rFonts w:ascii="Calibri" w:hAnsi="Calibri" w:cs="Calibri"/>
          <w:iCs/>
          <w:sz w:val="22"/>
          <w:szCs w:val="22"/>
        </w:rPr>
        <w:t xml:space="preserve"> are customer-level error terms </w:t>
      </w:r>
    </w:p>
    <w:p w:rsidR="00101895" w:rsidRDefault="00101895" w:rsidP="00877D33">
      <w:pPr>
        <w:spacing w:line="240" w:lineRule="auto"/>
        <w:jc w:val="left"/>
        <w:rPr>
          <w:rFonts w:ascii="Calibri" w:hAnsi="Calibri" w:cs="Calibri"/>
          <w:iCs/>
          <w:sz w:val="22"/>
          <w:szCs w:val="22"/>
        </w:rPr>
      </w:pPr>
      <w:r w:rsidRPr="00AA66B8">
        <w:rPr>
          <w:rFonts w:ascii="Calibri" w:hAnsi="Calibri" w:cs="Calibri"/>
          <w:i/>
          <w:position w:val="-12"/>
          <w:sz w:val="22"/>
          <w:szCs w:val="22"/>
        </w:rPr>
        <w:object w:dxaOrig="260" w:dyaOrig="360">
          <v:shape id="_x0000_i1033" type="#_x0000_t75" style="width:10.5pt;height:16.5pt" o:ole="">
            <v:imagedata r:id="rId23" o:title=""/>
          </v:shape>
          <o:OLEObject Type="Embed" ProgID="Equation.DSMT4" ShapeID="_x0000_i1033" DrawAspect="Content" ObjectID="_1390915699" r:id="rId24"/>
        </w:object>
      </w:r>
      <w:r w:rsidRPr="00AA66B8">
        <w:rPr>
          <w:rFonts w:ascii="Calibri" w:hAnsi="Calibri" w:cs="Calibri"/>
          <w:iCs/>
          <w:sz w:val="22"/>
          <w:szCs w:val="22"/>
        </w:rPr>
        <w:t xml:space="preserve">are site-specific random error terms </w:t>
      </w:r>
    </w:p>
    <w:p w:rsidR="00101895" w:rsidRPr="00AA66B8" w:rsidDel="00877D33" w:rsidRDefault="00101895" w:rsidP="004224B4">
      <w:pPr>
        <w:spacing w:line="240" w:lineRule="auto"/>
        <w:jc w:val="left"/>
        <w:rPr>
          <w:rFonts w:ascii="Calibri" w:hAnsi="Calibri" w:cs="Calibri"/>
          <w:iCs/>
          <w:sz w:val="22"/>
          <w:szCs w:val="22"/>
        </w:rPr>
      </w:pPr>
    </w:p>
    <w:p w:rsidR="00101895" w:rsidRPr="00AA66B8" w:rsidRDefault="00101895" w:rsidP="004224B4">
      <w:pPr>
        <w:spacing w:line="240" w:lineRule="auto"/>
        <w:jc w:val="left"/>
        <w:rPr>
          <w:rFonts w:ascii="Calibri" w:hAnsi="Calibri" w:cs="Calibri"/>
          <w:sz w:val="22"/>
          <w:szCs w:val="22"/>
        </w:rPr>
      </w:pPr>
    </w:p>
    <w:p w:rsidR="00101895" w:rsidRPr="00AA66B8" w:rsidRDefault="00101895" w:rsidP="004224B4">
      <w:pPr>
        <w:spacing w:line="240" w:lineRule="auto"/>
        <w:jc w:val="left"/>
        <w:rPr>
          <w:rFonts w:ascii="Calibri" w:hAnsi="Calibri" w:cs="Calibri"/>
          <w:sz w:val="22"/>
          <w:szCs w:val="22"/>
        </w:rPr>
      </w:pPr>
      <w:r w:rsidRPr="00AA66B8">
        <w:rPr>
          <w:rFonts w:ascii="Calibri" w:hAnsi="Calibri" w:cs="Calibri"/>
          <w:sz w:val="22"/>
          <w:szCs w:val="22"/>
        </w:rPr>
        <w:t>By inserting the level</w:t>
      </w:r>
      <w:r>
        <w:rPr>
          <w:rFonts w:ascii="Calibri" w:hAnsi="Calibri" w:cs="Calibri"/>
          <w:sz w:val="22"/>
          <w:szCs w:val="22"/>
        </w:rPr>
        <w:t>-</w:t>
      </w:r>
      <w:r w:rsidRPr="00AA66B8">
        <w:rPr>
          <w:rFonts w:ascii="Calibri" w:hAnsi="Calibri" w:cs="Calibri"/>
          <w:sz w:val="22"/>
          <w:szCs w:val="22"/>
        </w:rPr>
        <w:t>2 equation into the leve</w:t>
      </w:r>
      <w:r>
        <w:rPr>
          <w:rFonts w:ascii="Calibri" w:hAnsi="Calibri" w:cs="Calibri"/>
          <w:sz w:val="22"/>
          <w:szCs w:val="22"/>
        </w:rPr>
        <w:t>l-</w:t>
      </w:r>
      <w:r w:rsidRPr="00AA66B8">
        <w:rPr>
          <w:rFonts w:ascii="Calibri" w:hAnsi="Calibri" w:cs="Calibri"/>
          <w:sz w:val="22"/>
          <w:szCs w:val="22"/>
        </w:rPr>
        <w:t>1 equation, the following single-equation version of this two-level HLM framework is obtained:</w:t>
      </w:r>
    </w:p>
    <w:p w:rsidR="00101895" w:rsidRPr="00AA66B8" w:rsidRDefault="00101895" w:rsidP="004224B4">
      <w:pPr>
        <w:spacing w:line="240" w:lineRule="auto"/>
        <w:jc w:val="left"/>
        <w:rPr>
          <w:rFonts w:ascii="Calibri" w:hAnsi="Calibri" w:cs="Calibri"/>
          <w:position w:val="-12"/>
          <w:sz w:val="22"/>
          <w:szCs w:val="22"/>
        </w:rPr>
      </w:pPr>
    </w:p>
    <w:p w:rsidR="00101895" w:rsidRPr="00AA66B8" w:rsidRDefault="00101895" w:rsidP="004224B4">
      <w:pPr>
        <w:spacing w:line="240" w:lineRule="auto"/>
        <w:jc w:val="left"/>
        <w:rPr>
          <w:rFonts w:ascii="Calibri" w:hAnsi="Calibri" w:cs="Calibri"/>
          <w:sz w:val="22"/>
          <w:szCs w:val="22"/>
        </w:rPr>
      </w:pPr>
      <w:r w:rsidRPr="00AA66B8">
        <w:rPr>
          <w:rFonts w:ascii="Calibri" w:hAnsi="Calibri" w:cs="Calibri"/>
          <w:position w:val="-12"/>
          <w:sz w:val="22"/>
          <w:szCs w:val="22"/>
        </w:rPr>
        <w:object w:dxaOrig="3879" w:dyaOrig="360">
          <v:shape id="_x0000_i1034" type="#_x0000_t75" style="width:192pt;height:16.5pt" o:ole="">
            <v:imagedata r:id="rId25" o:title=""/>
          </v:shape>
          <o:OLEObject Type="Embed" ProgID="Equation.DSMT4" ShapeID="_x0000_i1034" DrawAspect="Content" ObjectID="_1390915700" r:id="rId26"/>
        </w:object>
      </w:r>
    </w:p>
    <w:p w:rsidR="00101895" w:rsidRPr="00AA66B8" w:rsidRDefault="00101895" w:rsidP="004224B4">
      <w:pPr>
        <w:spacing w:line="240" w:lineRule="auto"/>
        <w:jc w:val="left"/>
        <w:rPr>
          <w:rFonts w:ascii="Calibri" w:hAnsi="Calibri" w:cs="Calibri"/>
          <w:sz w:val="22"/>
          <w:szCs w:val="22"/>
        </w:rPr>
      </w:pPr>
    </w:p>
    <w:p w:rsidR="00101895" w:rsidRDefault="00101895" w:rsidP="00D81ED9">
      <w:pPr>
        <w:spacing w:line="240" w:lineRule="auto"/>
        <w:ind w:firstLine="0"/>
        <w:jc w:val="left"/>
        <w:rPr>
          <w:rFonts w:ascii="Calibri" w:hAnsi="Calibri" w:cs="Calibri"/>
          <w:sz w:val="22"/>
          <w:szCs w:val="22"/>
        </w:rPr>
      </w:pPr>
      <w:r w:rsidRPr="00AA66B8">
        <w:rPr>
          <w:rFonts w:ascii="Calibri" w:hAnsi="Calibri" w:cs="Calibri"/>
          <w:sz w:val="22"/>
          <w:szCs w:val="22"/>
        </w:rPr>
        <w:tab/>
        <w:t>The HLMs will include customer-level control variables that pertain to the period prior to random assignment and may be correlated with key outcome measures. These include individual characteristics such as educational attainment, marital status, employment status and earnings at time of registration, employment history variables, race, ethnicity, gender, disability type, severity of impairment, or Ticket assignment. Indicator variables for the random assignment strata will also be included</w:t>
      </w:r>
      <w:r>
        <w:rPr>
          <w:rFonts w:ascii="Calibri" w:hAnsi="Calibri" w:cs="Calibri"/>
          <w:sz w:val="22"/>
          <w:szCs w:val="22"/>
        </w:rPr>
        <w:t xml:space="preserve"> at the site level</w:t>
      </w:r>
      <w:r w:rsidRPr="00AA66B8">
        <w:rPr>
          <w:rFonts w:ascii="Calibri" w:hAnsi="Calibri" w:cs="Calibri"/>
          <w:sz w:val="22"/>
          <w:szCs w:val="22"/>
        </w:rPr>
        <w:t>.</w:t>
      </w:r>
    </w:p>
    <w:p w:rsidR="00101895" w:rsidRPr="00AA66B8" w:rsidRDefault="00101895" w:rsidP="00D81ED9">
      <w:pPr>
        <w:spacing w:line="240" w:lineRule="auto"/>
        <w:ind w:firstLine="0"/>
        <w:jc w:val="left"/>
        <w:rPr>
          <w:rFonts w:ascii="Calibri" w:hAnsi="Calibri" w:cs="Calibri"/>
          <w:sz w:val="22"/>
          <w:szCs w:val="22"/>
        </w:rPr>
      </w:pPr>
    </w:p>
    <w:p w:rsidR="00101895" w:rsidRPr="00AA66B8" w:rsidRDefault="00101895" w:rsidP="004A2303">
      <w:pPr>
        <w:spacing w:line="240" w:lineRule="auto"/>
        <w:ind w:firstLine="0"/>
        <w:jc w:val="left"/>
        <w:rPr>
          <w:rFonts w:ascii="Calibri" w:hAnsi="Calibri" w:cs="Calibri"/>
          <w:sz w:val="22"/>
          <w:szCs w:val="22"/>
        </w:rPr>
      </w:pPr>
      <w:r>
        <w:rPr>
          <w:rFonts w:ascii="Calibri" w:hAnsi="Calibri" w:cs="Calibri"/>
          <w:sz w:val="22"/>
          <w:szCs w:val="22"/>
        </w:rPr>
        <w:t>E</w:t>
      </w:r>
      <w:r w:rsidRPr="00AA66B8">
        <w:rPr>
          <w:rFonts w:ascii="Calibri" w:hAnsi="Calibri" w:cs="Calibri"/>
          <w:sz w:val="22"/>
          <w:szCs w:val="22"/>
        </w:rPr>
        <w:t xml:space="preserve">quation </w:t>
      </w:r>
      <w:r>
        <w:rPr>
          <w:rFonts w:ascii="Calibri" w:hAnsi="Calibri" w:cs="Calibri"/>
          <w:sz w:val="22"/>
          <w:szCs w:val="22"/>
        </w:rPr>
        <w:t xml:space="preserve">(2) </w:t>
      </w:r>
      <w:r w:rsidRPr="00AA66B8">
        <w:rPr>
          <w:rFonts w:ascii="Calibri" w:hAnsi="Calibri" w:cs="Calibri"/>
          <w:sz w:val="22"/>
          <w:szCs w:val="22"/>
        </w:rPr>
        <w:t xml:space="preserve">will be estimated across </w:t>
      </w:r>
      <w:r>
        <w:rPr>
          <w:rFonts w:ascii="Calibri" w:hAnsi="Calibri" w:cs="Calibri"/>
          <w:sz w:val="22"/>
          <w:szCs w:val="22"/>
        </w:rPr>
        <w:t>all sites</w:t>
      </w:r>
      <w:r w:rsidRPr="00AA66B8">
        <w:rPr>
          <w:rFonts w:ascii="Calibri" w:hAnsi="Calibri" w:cs="Calibri"/>
          <w:sz w:val="22"/>
          <w:szCs w:val="22"/>
        </w:rPr>
        <w:t xml:space="preserve">. </w:t>
      </w:r>
      <w:r>
        <w:rPr>
          <w:rFonts w:ascii="Calibri" w:hAnsi="Calibri" w:cs="Calibri"/>
          <w:sz w:val="22"/>
          <w:szCs w:val="22"/>
        </w:rPr>
        <w:t xml:space="preserve">We will use site-level weights that account for unequal probability of assignment of sites to treatment and comparison groups across stratum. </w:t>
      </w:r>
      <w:r w:rsidRPr="00AA66B8">
        <w:rPr>
          <w:rFonts w:ascii="Calibri" w:hAnsi="Calibri" w:cs="Calibri"/>
          <w:sz w:val="22"/>
          <w:szCs w:val="22"/>
        </w:rPr>
        <w:t xml:space="preserve">In this formulation, </w:t>
      </w:r>
      <w:r w:rsidRPr="00AA66B8">
        <w:rPr>
          <w:rFonts w:ascii="Calibri" w:hAnsi="Calibri" w:cs="Calibri"/>
          <w:position w:val="-10"/>
          <w:sz w:val="22"/>
          <w:szCs w:val="22"/>
        </w:rPr>
        <w:object w:dxaOrig="200" w:dyaOrig="340">
          <v:shape id="_x0000_i1035" type="#_x0000_t75" style="width:10.5pt;height:16.5pt" o:ole="">
            <v:imagedata r:id="rId27" o:title=""/>
          </v:shape>
          <o:OLEObject Type="Embed" ProgID="Equation.DSMT4" ShapeID="_x0000_i1035" DrawAspect="Content" ObjectID="_1390915701" r:id="rId28"/>
        </w:object>
      </w:r>
      <w:r w:rsidRPr="00AA66B8">
        <w:rPr>
          <w:rFonts w:ascii="Calibri" w:hAnsi="Calibri" w:cs="Calibri"/>
          <w:sz w:val="22"/>
          <w:szCs w:val="22"/>
        </w:rPr>
        <w:t xml:space="preserve"> represents the regression-adjusted impact estimate of the DEI relative to the comparison group. </w:t>
      </w:r>
      <w:r>
        <w:rPr>
          <w:rFonts w:ascii="Calibri" w:hAnsi="Calibri" w:cs="Calibri"/>
          <w:sz w:val="22"/>
          <w:szCs w:val="22"/>
        </w:rPr>
        <w:t xml:space="preserve">The standard error for </w:t>
      </w:r>
      <w:r w:rsidRPr="00AA66B8">
        <w:rPr>
          <w:rFonts w:ascii="Calibri" w:hAnsi="Calibri" w:cs="Calibri"/>
          <w:position w:val="-10"/>
          <w:sz w:val="22"/>
          <w:szCs w:val="22"/>
        </w:rPr>
        <w:object w:dxaOrig="200" w:dyaOrig="340">
          <v:shape id="_x0000_i1036" type="#_x0000_t75" style="width:10.5pt;height:16.5pt" o:ole="">
            <v:imagedata r:id="rId27" o:title=""/>
          </v:shape>
          <o:OLEObject Type="Embed" ProgID="Equation.DSMT4" ShapeID="_x0000_i1036" DrawAspect="Content" ObjectID="_1390915702" r:id="rId29"/>
        </w:object>
      </w:r>
      <w:r>
        <w:rPr>
          <w:rFonts w:ascii="Calibri" w:hAnsi="Calibri" w:cs="Calibri"/>
          <w:sz w:val="22"/>
          <w:szCs w:val="22"/>
        </w:rPr>
        <w:t xml:space="preserve"> accounts for </w:t>
      </w:r>
      <w:r w:rsidRPr="00AA66B8">
        <w:rPr>
          <w:rFonts w:ascii="Calibri" w:hAnsi="Calibri" w:cs="Calibri"/>
          <w:sz w:val="22"/>
          <w:szCs w:val="22"/>
        </w:rPr>
        <w:t>the clustering of customers within sites because of the inclusion of the site-level error terms (</w:t>
      </w:r>
      <w:r w:rsidRPr="00AA66B8">
        <w:rPr>
          <w:rFonts w:ascii="Calibri" w:hAnsi="Calibri" w:cs="Calibri"/>
          <w:i/>
          <w:sz w:val="22"/>
          <w:szCs w:val="22"/>
        </w:rPr>
        <w:t>u</w:t>
      </w:r>
      <w:r w:rsidRPr="00AA66B8">
        <w:rPr>
          <w:rFonts w:ascii="Calibri" w:hAnsi="Calibri" w:cs="Calibri"/>
          <w:i/>
          <w:sz w:val="22"/>
          <w:szCs w:val="22"/>
          <w:vertAlign w:val="subscript"/>
        </w:rPr>
        <w:t>s</w:t>
      </w:r>
      <w:r w:rsidRPr="00AA66B8">
        <w:rPr>
          <w:rFonts w:ascii="Calibri" w:hAnsi="Calibri" w:cs="Calibri"/>
          <w:sz w:val="22"/>
          <w:szCs w:val="22"/>
          <w:vertAlign w:val="subscript"/>
        </w:rPr>
        <w:t xml:space="preserve"> </w:t>
      </w:r>
      <w:r w:rsidRPr="00AA66B8">
        <w:rPr>
          <w:rFonts w:ascii="Calibri" w:hAnsi="Calibri" w:cs="Calibri"/>
          <w:sz w:val="22"/>
          <w:szCs w:val="22"/>
        </w:rPr>
        <w:t xml:space="preserve">and </w:t>
      </w:r>
      <w:r w:rsidRPr="00AA66B8">
        <w:rPr>
          <w:rFonts w:ascii="Calibri" w:hAnsi="Calibri" w:cs="Calibri"/>
          <w:i/>
          <w:sz w:val="22"/>
          <w:szCs w:val="22"/>
        </w:rPr>
        <w:sym w:font="Symbol" w:char="F074"/>
      </w:r>
      <w:r w:rsidRPr="00AA66B8">
        <w:rPr>
          <w:rFonts w:ascii="Calibri" w:hAnsi="Calibri" w:cs="Calibri"/>
          <w:i/>
          <w:sz w:val="22"/>
          <w:szCs w:val="22"/>
          <w:vertAlign w:val="subscript"/>
        </w:rPr>
        <w:t>s</w:t>
      </w:r>
      <w:r w:rsidRPr="00AA66B8">
        <w:rPr>
          <w:rFonts w:ascii="Calibri" w:hAnsi="Calibri" w:cs="Calibri"/>
          <w:sz w:val="22"/>
          <w:szCs w:val="22"/>
        </w:rPr>
        <w:t>)</w:t>
      </w:r>
      <w:r>
        <w:rPr>
          <w:rFonts w:ascii="Calibri" w:hAnsi="Calibri" w:cs="Calibri"/>
          <w:sz w:val="22"/>
          <w:szCs w:val="22"/>
        </w:rPr>
        <w:t xml:space="preserve"> in equation (2). </w:t>
      </w:r>
      <w:r w:rsidRPr="00AA66B8">
        <w:rPr>
          <w:rFonts w:ascii="Calibri" w:hAnsi="Calibri" w:cs="Calibri"/>
          <w:sz w:val="22"/>
          <w:szCs w:val="22"/>
        </w:rPr>
        <w:t xml:space="preserve">The associated </w:t>
      </w:r>
      <w:r w:rsidRPr="00AA66B8">
        <w:rPr>
          <w:rFonts w:ascii="Calibri" w:hAnsi="Calibri" w:cs="Calibri"/>
          <w:i/>
          <w:iCs/>
          <w:sz w:val="22"/>
          <w:szCs w:val="22"/>
        </w:rPr>
        <w:t>t</w:t>
      </w:r>
      <w:r w:rsidRPr="00AA66B8">
        <w:rPr>
          <w:rFonts w:ascii="Calibri" w:hAnsi="Calibri" w:cs="Calibri"/>
          <w:sz w:val="22"/>
          <w:szCs w:val="22"/>
        </w:rPr>
        <w:t xml:space="preserve">-statistic for these estimates </w:t>
      </w:r>
      <w:r>
        <w:rPr>
          <w:rFonts w:ascii="Calibri" w:hAnsi="Calibri" w:cs="Calibri"/>
          <w:sz w:val="22"/>
          <w:szCs w:val="22"/>
        </w:rPr>
        <w:t xml:space="preserve">will be used to test for </w:t>
      </w:r>
      <w:r w:rsidRPr="00AA66B8">
        <w:rPr>
          <w:rFonts w:ascii="Calibri" w:hAnsi="Calibri" w:cs="Calibri"/>
          <w:sz w:val="22"/>
          <w:szCs w:val="22"/>
        </w:rPr>
        <w:t>statistical significance</w:t>
      </w:r>
      <w:r>
        <w:rPr>
          <w:rFonts w:ascii="Calibri" w:hAnsi="Calibri" w:cs="Calibri"/>
          <w:sz w:val="22"/>
          <w:szCs w:val="22"/>
        </w:rPr>
        <w:t xml:space="preserve"> using a 2-tailed test</w:t>
      </w:r>
      <w:r w:rsidRPr="00AA66B8">
        <w:rPr>
          <w:rFonts w:ascii="Calibri" w:hAnsi="Calibri" w:cs="Calibri"/>
          <w:sz w:val="22"/>
          <w:szCs w:val="22"/>
        </w:rPr>
        <w:t>.  .</w:t>
      </w:r>
      <w:r>
        <w:rPr>
          <w:rFonts w:ascii="Calibri" w:hAnsi="Calibri" w:cs="Calibri"/>
          <w:sz w:val="22"/>
          <w:szCs w:val="22"/>
        </w:rPr>
        <w:t xml:space="preserve"> </w:t>
      </w: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t xml:space="preserve">The specific maximum-likelihood methods for estimating the parameters of the HLM will depend on the form of the dependent variable. Some outcomes will be continuous (such as earnings), some will be binary (such as employment), and some will be categorical (such as number of quarters with any earnings). Accordingly, </w:t>
      </w:r>
      <w:r>
        <w:rPr>
          <w:rFonts w:ascii="Calibri" w:hAnsi="Calibri" w:cs="Calibri"/>
          <w:sz w:val="22"/>
          <w:szCs w:val="22"/>
        </w:rPr>
        <w:t xml:space="preserve">linear regression procedures will be used for continuous outcomes, </w:t>
      </w:r>
      <w:r w:rsidRPr="00AA66B8">
        <w:rPr>
          <w:rFonts w:ascii="Calibri" w:hAnsi="Calibri" w:cs="Calibri"/>
          <w:sz w:val="22"/>
          <w:szCs w:val="22"/>
        </w:rPr>
        <w:t xml:space="preserve">logistic regression procedures will be used for binary outcomes, and multinomial regression procedures will be used for categorical outcomes. </w:t>
      </w:r>
      <w:r>
        <w:rPr>
          <w:rFonts w:ascii="Calibri" w:hAnsi="Calibri" w:cs="Calibri"/>
          <w:sz w:val="22"/>
          <w:szCs w:val="22"/>
        </w:rPr>
        <w:t>The SAS proc mixed and proc nlmixed procedures will be used to estimate HLM model for continuous and binary/categorical outcomes, respectively, producing an estimate of the treatment effect and a variance that accounts for the clustered design. The procedures will produce associated standard errors and t-statistics that enable statistical tests of the treatment effect. Chi-squared tests will be used to test contrasts.</w:t>
      </w:r>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The analysis will be performed separately for sites with a youth focus and </w:t>
      </w:r>
      <w:r>
        <w:rPr>
          <w:rFonts w:ascii="Calibri" w:hAnsi="Calibri" w:cs="Calibri"/>
          <w:sz w:val="22"/>
          <w:szCs w:val="22"/>
        </w:rPr>
        <w:t>those</w:t>
      </w:r>
      <w:r w:rsidRPr="00AA66B8">
        <w:rPr>
          <w:rFonts w:ascii="Calibri" w:hAnsi="Calibri" w:cs="Calibri"/>
          <w:sz w:val="22"/>
          <w:szCs w:val="22"/>
        </w:rPr>
        <w:t xml:space="preserve"> with an adult focus. In addition, a combined analysis will be performed in which the impact of the DEI is estimated for all randomly assigned sites, regardless of youth or adult focus.</w:t>
      </w:r>
    </w:p>
    <w:p w:rsidR="00101895" w:rsidRPr="00AA66B8" w:rsidRDefault="00101895" w:rsidP="004224B4">
      <w:pPr>
        <w:pStyle w:val="Heading3"/>
        <w:spacing w:after="0"/>
        <w:jc w:val="left"/>
        <w:rPr>
          <w:rFonts w:ascii="Calibri" w:hAnsi="Calibri" w:cs="Calibri"/>
        </w:rPr>
      </w:pPr>
    </w:p>
    <w:p w:rsidR="00101895" w:rsidRPr="00AA66B8" w:rsidRDefault="00101895" w:rsidP="004224B4">
      <w:pPr>
        <w:pStyle w:val="Heading3"/>
        <w:spacing w:after="0"/>
        <w:jc w:val="left"/>
        <w:rPr>
          <w:rFonts w:ascii="Calibri" w:hAnsi="Calibri" w:cs="Calibri"/>
        </w:rPr>
      </w:pPr>
      <w:bookmarkStart w:id="6" w:name="_Toc286649301"/>
      <w:r w:rsidRPr="00AA66B8">
        <w:rPr>
          <w:rFonts w:ascii="Calibri" w:hAnsi="Calibri" w:cs="Calibri"/>
        </w:rPr>
        <w:t>B.2.1 Power Analysis</w:t>
      </w:r>
      <w:bookmarkEnd w:id="6"/>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Outcomes are likely to be correlated across individuals within each LWIA even in the absence of the DEI.  Because random assignment of pilot and comparison status occurs at the LWIA level, this clustering effect is expected to reduce the precision of the impact estimates.  The precision of the impact estimates is therefore limited by the number of LWIAs participating in the random assignment process. Although the DEI may be expanded in future years to include more sites, the precision of the impact estimates cannot be improved substantially due to this limitation.</w:t>
      </w:r>
    </w:p>
    <w:p w:rsidR="00101895" w:rsidRPr="00AA66B8" w:rsidRDefault="00101895" w:rsidP="004224B4">
      <w:pPr>
        <w:spacing w:line="240" w:lineRule="auto"/>
        <w:ind w:firstLine="0"/>
        <w:jc w:val="left"/>
        <w:rPr>
          <w:rFonts w:ascii="Calibri" w:hAnsi="Calibri" w:cs="Calibri"/>
          <w:sz w:val="22"/>
          <w:szCs w:val="22"/>
        </w:rPr>
      </w:pPr>
    </w:p>
    <w:p w:rsidR="00101895" w:rsidRDefault="00101895" w:rsidP="004224B4">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To estimate the minimum detectable effect (MDE), that is, the minimum impact that we expect can be detected given the study sample size and method of site selection, several additional assumptions were needed. It is assumed that in each site, 2.7 percent of entrants self-identify as having a disability at baseline on the basis </w:t>
      </w:r>
      <w:r>
        <w:rPr>
          <w:rFonts w:ascii="Calibri" w:hAnsi="Calibri" w:cs="Calibri"/>
          <w:sz w:val="22"/>
          <w:szCs w:val="22"/>
        </w:rPr>
        <w:t xml:space="preserve">of </w:t>
      </w:r>
      <w:r w:rsidRPr="00AA66B8">
        <w:rPr>
          <w:rFonts w:ascii="Calibri" w:hAnsi="Calibri" w:cs="Calibri"/>
          <w:sz w:val="22"/>
          <w:szCs w:val="22"/>
        </w:rPr>
        <w:t>U.S. Department of Labor (n.d.).  In the absence of the DEI, 30 percent are assumed to enter employment, and within each site, the intra-class correlation o</w:t>
      </w:r>
      <w:r>
        <w:rPr>
          <w:rFonts w:ascii="Calibri" w:hAnsi="Calibri" w:cs="Calibri"/>
          <w:sz w:val="22"/>
          <w:szCs w:val="22"/>
        </w:rPr>
        <w:t>f each outcome is five percent.</w:t>
      </w:r>
    </w:p>
    <w:p w:rsidR="00101895" w:rsidRDefault="00101895" w:rsidP="004224B4">
      <w:pPr>
        <w:spacing w:line="240" w:lineRule="auto"/>
        <w:ind w:firstLine="0"/>
        <w:jc w:val="left"/>
        <w:rPr>
          <w:rFonts w:ascii="Calibri" w:hAnsi="Calibri" w:cs="Calibri"/>
          <w:sz w:val="22"/>
          <w:szCs w:val="22"/>
        </w:rPr>
      </w:pPr>
    </w:p>
    <w:p w:rsidR="00101895" w:rsidRPr="00AA66B8" w:rsidRDefault="00101895" w:rsidP="004224B4">
      <w:pPr>
        <w:spacing w:line="240" w:lineRule="auto"/>
        <w:ind w:firstLine="0"/>
        <w:jc w:val="left"/>
        <w:rPr>
          <w:rFonts w:ascii="Calibri" w:hAnsi="Calibri" w:cs="Calibri"/>
          <w:sz w:val="22"/>
          <w:szCs w:val="22"/>
        </w:rPr>
      </w:pPr>
      <w:r>
        <w:rPr>
          <w:rFonts w:ascii="Calibri" w:hAnsi="Calibri" w:cs="Calibri"/>
          <w:sz w:val="22"/>
          <w:szCs w:val="22"/>
        </w:rPr>
        <w:tab/>
      </w:r>
      <w:r w:rsidRPr="00AA66B8">
        <w:rPr>
          <w:rFonts w:ascii="Calibri" w:hAnsi="Calibri" w:cs="Calibri"/>
          <w:sz w:val="22"/>
          <w:szCs w:val="22"/>
        </w:rPr>
        <w:t xml:space="preserve">The estimated MDE for selected outcomes is shown separately for </w:t>
      </w:r>
      <w:r>
        <w:rPr>
          <w:rFonts w:ascii="Calibri" w:hAnsi="Calibri" w:cs="Calibri"/>
          <w:sz w:val="22"/>
          <w:szCs w:val="22"/>
        </w:rPr>
        <w:t xml:space="preserve">several combinations of states.  Table B.3 shows the MDEs for Round 1 </w:t>
      </w:r>
      <w:r w:rsidRPr="00AA66B8">
        <w:rPr>
          <w:rFonts w:ascii="Calibri" w:hAnsi="Calibri" w:cs="Calibri"/>
          <w:sz w:val="22"/>
          <w:szCs w:val="22"/>
        </w:rPr>
        <w:t>states with a youth focus (Arkansas and New Jersey) and those with an adult focus, as well as an analysis that measures a combined youth / adult effect.</w:t>
      </w:r>
      <w:r>
        <w:rPr>
          <w:rFonts w:ascii="Calibri" w:hAnsi="Calibri" w:cs="Calibri"/>
          <w:sz w:val="22"/>
          <w:szCs w:val="22"/>
        </w:rPr>
        <w:t xml:space="preserve">  Table B.3  also shows MDEs for an analysis of Round 2 states, which will include only states with adult focus.  MDEs for a combined analysis using both Round 1 and Round 2 states are also included. An alternate descriptor of the precision of the analysis is the expected margin of error, or the half-width of the 95 percent confidence interval of the impact estimate. The margin of error for each test is also shown in Table B.3.</w:t>
      </w:r>
    </w:p>
    <w:p w:rsidR="00101895" w:rsidRPr="00AA66B8" w:rsidRDefault="00101895" w:rsidP="00AF3137">
      <w:pPr>
        <w:spacing w:line="240" w:lineRule="auto"/>
        <w:ind w:firstLine="0"/>
        <w:jc w:val="left"/>
        <w:rPr>
          <w:rFonts w:ascii="Calibri" w:hAnsi="Calibri" w:cs="Calibri"/>
          <w:sz w:val="22"/>
          <w:szCs w:val="22"/>
        </w:rPr>
      </w:pPr>
      <w:r w:rsidRPr="00AA66B8">
        <w:rPr>
          <w:rFonts w:ascii="Calibri" w:hAnsi="Calibri" w:cs="Calibri"/>
          <w:sz w:val="22"/>
          <w:szCs w:val="22"/>
        </w:rPr>
        <w:tab/>
      </w:r>
    </w:p>
    <w:p w:rsidR="00101895" w:rsidRPr="00884310" w:rsidRDefault="00101895" w:rsidP="00F923FB">
      <w:pPr>
        <w:pStyle w:val="MarkforTableHeading"/>
        <w:spacing w:line="240" w:lineRule="auto"/>
        <w:jc w:val="left"/>
        <w:rPr>
          <w:rFonts w:ascii="Calibri" w:hAnsi="Calibri" w:cs="Calibri"/>
          <w:b/>
          <w:caps w:val="0"/>
          <w:sz w:val="22"/>
          <w:szCs w:val="22"/>
        </w:rPr>
      </w:pPr>
      <w:r w:rsidRPr="00884310">
        <w:rPr>
          <w:rFonts w:ascii="Calibri" w:hAnsi="Calibri" w:cs="Calibri"/>
          <w:b/>
          <w:caps w:val="0"/>
          <w:sz w:val="22"/>
          <w:szCs w:val="22"/>
        </w:rPr>
        <w:t>Table B.3 MDE and Margin of Error Estimates for Key Outcomes</w:t>
      </w:r>
    </w:p>
    <w:tbl>
      <w:tblPr>
        <w:tblW w:w="9443" w:type="dxa"/>
        <w:tblInd w:w="115" w:type="dxa"/>
        <w:tblBorders>
          <w:top w:val="single" w:sz="12" w:space="0" w:color="C00000"/>
          <w:bottom w:val="single" w:sz="4" w:space="0" w:color="C00000"/>
        </w:tblBorders>
        <w:tblLook w:val="00A0"/>
      </w:tblPr>
      <w:tblGrid>
        <w:gridCol w:w="4763"/>
        <w:gridCol w:w="1440"/>
        <w:gridCol w:w="1530"/>
        <w:gridCol w:w="1710"/>
      </w:tblGrid>
      <w:tr w:rsidR="00101895" w:rsidRPr="00D75099" w:rsidTr="00BF0358">
        <w:trPr>
          <w:trHeight w:val="300"/>
        </w:trPr>
        <w:tc>
          <w:tcPr>
            <w:tcW w:w="4763" w:type="dxa"/>
            <w:tcBorders>
              <w:top w:val="single" w:sz="12" w:space="0" w:color="C00000"/>
              <w:bottom w:val="single" w:sz="4" w:space="0" w:color="auto"/>
            </w:tcBorders>
            <w:noWrap/>
          </w:tcPr>
          <w:p w:rsidR="00101895" w:rsidRPr="00BF0358" w:rsidRDefault="00101895" w:rsidP="00025B9F">
            <w:pPr>
              <w:pStyle w:val="TableText"/>
              <w:rPr>
                <w:rFonts w:ascii="Calibri" w:hAnsi="Calibri"/>
                <w:sz w:val="20"/>
                <w:szCs w:val="20"/>
              </w:rPr>
            </w:pPr>
          </w:p>
        </w:tc>
        <w:tc>
          <w:tcPr>
            <w:tcW w:w="1440" w:type="dxa"/>
            <w:tcBorders>
              <w:top w:val="single" w:sz="12" w:space="0" w:color="C00000"/>
              <w:bottom w:val="single" w:sz="4" w:space="0" w:color="auto"/>
            </w:tcBorders>
            <w:noWrap/>
          </w:tcPr>
          <w:p w:rsidR="00101895" w:rsidRPr="00BF0358" w:rsidRDefault="00101895" w:rsidP="00BF0358">
            <w:pPr>
              <w:pStyle w:val="TableText"/>
              <w:jc w:val="right"/>
              <w:rPr>
                <w:rFonts w:ascii="Calibri" w:hAnsi="Calibri"/>
                <w:b/>
                <w:sz w:val="20"/>
                <w:szCs w:val="20"/>
              </w:rPr>
            </w:pPr>
            <w:r w:rsidRPr="00BF0358">
              <w:rPr>
                <w:rFonts w:ascii="Calibri" w:hAnsi="Calibri"/>
                <w:b/>
                <w:sz w:val="20"/>
                <w:szCs w:val="20"/>
              </w:rPr>
              <w:t>Round 1</w:t>
            </w:r>
          </w:p>
        </w:tc>
        <w:tc>
          <w:tcPr>
            <w:tcW w:w="1530" w:type="dxa"/>
            <w:tcBorders>
              <w:top w:val="single" w:sz="12" w:space="0" w:color="C00000"/>
              <w:bottom w:val="single" w:sz="4" w:space="0" w:color="auto"/>
            </w:tcBorders>
            <w:noWrap/>
          </w:tcPr>
          <w:p w:rsidR="00101895" w:rsidRPr="00BF0358" w:rsidRDefault="00101895" w:rsidP="00BF0358">
            <w:pPr>
              <w:pStyle w:val="TableText"/>
              <w:jc w:val="right"/>
              <w:rPr>
                <w:rFonts w:ascii="Calibri" w:hAnsi="Calibri"/>
                <w:b/>
                <w:sz w:val="20"/>
                <w:szCs w:val="20"/>
              </w:rPr>
            </w:pPr>
            <w:r w:rsidRPr="00BF0358">
              <w:rPr>
                <w:rFonts w:ascii="Calibri" w:hAnsi="Calibri"/>
                <w:b/>
                <w:sz w:val="20"/>
                <w:szCs w:val="20"/>
              </w:rPr>
              <w:t>Round 2</w:t>
            </w:r>
          </w:p>
        </w:tc>
        <w:tc>
          <w:tcPr>
            <w:tcW w:w="1710" w:type="dxa"/>
            <w:tcBorders>
              <w:top w:val="single" w:sz="12" w:space="0" w:color="C00000"/>
              <w:bottom w:val="single" w:sz="4" w:space="0" w:color="auto"/>
            </w:tcBorders>
            <w:noWrap/>
          </w:tcPr>
          <w:p w:rsidR="00101895" w:rsidRPr="00BF0358" w:rsidRDefault="00101895" w:rsidP="00BF0358">
            <w:pPr>
              <w:pStyle w:val="TableText"/>
              <w:jc w:val="right"/>
              <w:rPr>
                <w:rFonts w:ascii="Calibri" w:hAnsi="Calibri"/>
                <w:b/>
                <w:sz w:val="20"/>
                <w:szCs w:val="20"/>
              </w:rPr>
            </w:pPr>
            <w:r w:rsidRPr="00BF0358">
              <w:rPr>
                <w:rFonts w:ascii="Calibri" w:hAnsi="Calibri"/>
                <w:b/>
                <w:sz w:val="20"/>
                <w:szCs w:val="20"/>
              </w:rPr>
              <w:t>Round 1 and 2</w:t>
            </w:r>
          </w:p>
        </w:tc>
      </w:tr>
      <w:tr w:rsidR="00101895" w:rsidRPr="00D75099" w:rsidTr="00BF0358">
        <w:trPr>
          <w:trHeight w:val="300"/>
        </w:trPr>
        <w:tc>
          <w:tcPr>
            <w:tcW w:w="4763" w:type="dxa"/>
            <w:tcBorders>
              <w:top w:val="single" w:sz="4" w:space="0" w:color="auto"/>
            </w:tcBorders>
            <w:noWrap/>
          </w:tcPr>
          <w:p w:rsidR="00101895" w:rsidRPr="00BF0358" w:rsidRDefault="00101895" w:rsidP="00025B9F">
            <w:pPr>
              <w:pStyle w:val="TableText"/>
              <w:rPr>
                <w:rFonts w:ascii="Calibri" w:hAnsi="Calibri"/>
                <w:b/>
                <w:sz w:val="20"/>
                <w:szCs w:val="20"/>
              </w:rPr>
            </w:pPr>
            <w:r w:rsidRPr="00BF0358">
              <w:rPr>
                <w:rFonts w:ascii="Calibri" w:hAnsi="Calibri"/>
                <w:b/>
                <w:sz w:val="20"/>
                <w:szCs w:val="20"/>
              </w:rPr>
              <w:t>Number of Sites (LWIAs) Randomly Assigned</w:t>
            </w:r>
          </w:p>
        </w:tc>
        <w:tc>
          <w:tcPr>
            <w:tcW w:w="1440" w:type="dxa"/>
            <w:tcBorders>
              <w:top w:val="single" w:sz="4" w:space="0" w:color="auto"/>
            </w:tcBorders>
            <w:noWrap/>
          </w:tcPr>
          <w:p w:rsidR="00101895" w:rsidRPr="00BF0358" w:rsidRDefault="00101895" w:rsidP="00BF0358">
            <w:pPr>
              <w:pStyle w:val="TableText"/>
              <w:jc w:val="right"/>
              <w:rPr>
                <w:rFonts w:ascii="Calibri" w:hAnsi="Calibri"/>
                <w:sz w:val="20"/>
                <w:szCs w:val="20"/>
              </w:rPr>
            </w:pPr>
          </w:p>
        </w:tc>
        <w:tc>
          <w:tcPr>
            <w:tcW w:w="1530" w:type="dxa"/>
            <w:tcBorders>
              <w:top w:val="single" w:sz="4" w:space="0" w:color="auto"/>
            </w:tcBorders>
            <w:noWrap/>
          </w:tcPr>
          <w:p w:rsidR="00101895" w:rsidRPr="00BF0358" w:rsidRDefault="00101895" w:rsidP="00BF0358">
            <w:pPr>
              <w:pStyle w:val="TableText"/>
              <w:jc w:val="right"/>
              <w:rPr>
                <w:rFonts w:ascii="Calibri" w:hAnsi="Calibri"/>
                <w:sz w:val="20"/>
                <w:szCs w:val="20"/>
              </w:rPr>
            </w:pPr>
          </w:p>
        </w:tc>
        <w:tc>
          <w:tcPr>
            <w:tcW w:w="1710" w:type="dxa"/>
            <w:tcBorders>
              <w:top w:val="single" w:sz="4" w:space="0" w:color="auto"/>
            </w:tcBorders>
            <w:noWrap/>
          </w:tcPr>
          <w:p w:rsidR="00101895" w:rsidRPr="00BF0358" w:rsidRDefault="00101895" w:rsidP="00BF0358">
            <w:pPr>
              <w:pStyle w:val="TableText"/>
              <w:jc w:val="right"/>
              <w:rPr>
                <w:rFonts w:ascii="Calibri" w:hAnsi="Calibri"/>
                <w:sz w:val="20"/>
                <w:szCs w:val="20"/>
              </w:rPr>
            </w:pP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Adult</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43</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42</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85</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Youth</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16</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0</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16</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Combined</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59</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42</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101</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b/>
                <w:sz w:val="20"/>
                <w:szCs w:val="20"/>
              </w:rPr>
            </w:pPr>
            <w:r w:rsidRPr="00BF0358">
              <w:rPr>
                <w:rFonts w:ascii="Calibri" w:hAnsi="Calibri"/>
                <w:b/>
                <w:sz w:val="20"/>
                <w:szCs w:val="20"/>
              </w:rPr>
              <w:t>MDE (Percentage Points) for Key Outcomes</w:t>
            </w:r>
          </w:p>
        </w:tc>
        <w:tc>
          <w:tcPr>
            <w:tcW w:w="1440" w:type="dxa"/>
            <w:noWrap/>
          </w:tcPr>
          <w:p w:rsidR="00101895" w:rsidRPr="00BF0358" w:rsidRDefault="00101895" w:rsidP="00BF0358">
            <w:pPr>
              <w:pStyle w:val="TableText"/>
              <w:jc w:val="right"/>
              <w:rPr>
                <w:rFonts w:ascii="Calibri" w:hAnsi="Calibri"/>
                <w:sz w:val="20"/>
                <w:szCs w:val="20"/>
              </w:rPr>
            </w:pPr>
          </w:p>
        </w:tc>
        <w:tc>
          <w:tcPr>
            <w:tcW w:w="1530" w:type="dxa"/>
            <w:noWrap/>
          </w:tcPr>
          <w:p w:rsidR="00101895" w:rsidRPr="00BF0358" w:rsidRDefault="00101895" w:rsidP="00BF0358">
            <w:pPr>
              <w:pStyle w:val="TableText"/>
              <w:jc w:val="right"/>
              <w:rPr>
                <w:rFonts w:ascii="Calibri" w:hAnsi="Calibri"/>
                <w:sz w:val="20"/>
                <w:szCs w:val="20"/>
              </w:rPr>
            </w:pPr>
          </w:p>
        </w:tc>
        <w:tc>
          <w:tcPr>
            <w:tcW w:w="1710" w:type="dxa"/>
            <w:noWrap/>
          </w:tcPr>
          <w:p w:rsidR="00101895" w:rsidRPr="00BF0358" w:rsidRDefault="00101895" w:rsidP="00BF0358">
            <w:pPr>
              <w:pStyle w:val="TableText"/>
              <w:jc w:val="right"/>
              <w:rPr>
                <w:rFonts w:ascii="Calibri" w:hAnsi="Calibri"/>
                <w:sz w:val="20"/>
                <w:szCs w:val="20"/>
              </w:rPr>
            </w:pP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Employment Rate</w:t>
            </w:r>
          </w:p>
        </w:tc>
        <w:tc>
          <w:tcPr>
            <w:tcW w:w="1440" w:type="dxa"/>
            <w:noWrap/>
          </w:tcPr>
          <w:p w:rsidR="00101895" w:rsidRPr="00BF0358" w:rsidRDefault="00101895" w:rsidP="00BF0358">
            <w:pPr>
              <w:pStyle w:val="TableText"/>
              <w:jc w:val="right"/>
              <w:rPr>
                <w:rFonts w:ascii="Calibri" w:hAnsi="Calibri"/>
                <w:sz w:val="20"/>
                <w:szCs w:val="20"/>
              </w:rPr>
            </w:pPr>
          </w:p>
        </w:tc>
        <w:tc>
          <w:tcPr>
            <w:tcW w:w="1530" w:type="dxa"/>
            <w:noWrap/>
          </w:tcPr>
          <w:p w:rsidR="00101895" w:rsidRPr="00BF0358" w:rsidRDefault="00101895" w:rsidP="00BF0358">
            <w:pPr>
              <w:pStyle w:val="TableText"/>
              <w:jc w:val="right"/>
              <w:rPr>
                <w:rFonts w:ascii="Calibri" w:hAnsi="Calibri"/>
                <w:sz w:val="20"/>
                <w:szCs w:val="20"/>
              </w:rPr>
            </w:pPr>
          </w:p>
        </w:tc>
        <w:tc>
          <w:tcPr>
            <w:tcW w:w="1710" w:type="dxa"/>
            <w:noWrap/>
          </w:tcPr>
          <w:p w:rsidR="00101895" w:rsidRPr="00BF0358" w:rsidRDefault="00101895" w:rsidP="00BF0358">
            <w:pPr>
              <w:pStyle w:val="TableText"/>
              <w:jc w:val="right"/>
              <w:rPr>
                <w:rFonts w:ascii="Calibri" w:hAnsi="Calibri"/>
                <w:sz w:val="20"/>
                <w:szCs w:val="20"/>
              </w:rPr>
            </w:pP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Adult</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9.2</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9.3</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6.4</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Youth</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16.1</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N/A</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16.1</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Combined</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8.2</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9.3</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6.1</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Percent of Customers Reporting a Disability</w:t>
            </w:r>
          </w:p>
        </w:tc>
        <w:tc>
          <w:tcPr>
            <w:tcW w:w="1440" w:type="dxa"/>
            <w:noWrap/>
          </w:tcPr>
          <w:p w:rsidR="00101895" w:rsidRPr="00BF0358" w:rsidRDefault="00101895" w:rsidP="00BF0358">
            <w:pPr>
              <w:pStyle w:val="TableText"/>
              <w:jc w:val="right"/>
              <w:rPr>
                <w:rFonts w:ascii="Calibri" w:hAnsi="Calibri"/>
                <w:sz w:val="20"/>
                <w:szCs w:val="20"/>
              </w:rPr>
            </w:pPr>
          </w:p>
        </w:tc>
        <w:tc>
          <w:tcPr>
            <w:tcW w:w="1530" w:type="dxa"/>
            <w:noWrap/>
          </w:tcPr>
          <w:p w:rsidR="00101895" w:rsidRPr="00BF0358" w:rsidRDefault="00101895" w:rsidP="00BF0358">
            <w:pPr>
              <w:pStyle w:val="TableText"/>
              <w:jc w:val="right"/>
              <w:rPr>
                <w:rFonts w:ascii="Calibri" w:hAnsi="Calibri"/>
                <w:sz w:val="20"/>
                <w:szCs w:val="20"/>
              </w:rPr>
            </w:pPr>
          </w:p>
        </w:tc>
        <w:tc>
          <w:tcPr>
            <w:tcW w:w="1710" w:type="dxa"/>
            <w:noWrap/>
          </w:tcPr>
          <w:p w:rsidR="00101895" w:rsidRPr="00BF0358" w:rsidRDefault="00101895" w:rsidP="00BF0358">
            <w:pPr>
              <w:pStyle w:val="TableText"/>
              <w:jc w:val="right"/>
              <w:rPr>
                <w:rFonts w:ascii="Calibri" w:hAnsi="Calibri"/>
                <w:sz w:val="20"/>
                <w:szCs w:val="20"/>
              </w:rPr>
            </w:pP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Adult</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3.2</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3.3</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2.2</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Youth</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5.6</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N/A</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5.6</w:t>
            </w:r>
          </w:p>
        </w:tc>
      </w:tr>
      <w:tr w:rsidR="00101895" w:rsidRPr="00D75099" w:rsidTr="00BF0358">
        <w:trPr>
          <w:trHeight w:val="300"/>
        </w:trPr>
        <w:tc>
          <w:tcPr>
            <w:tcW w:w="4763" w:type="dxa"/>
            <w:noWrap/>
          </w:tcPr>
          <w:p w:rsidR="00101895" w:rsidRPr="00BF0358" w:rsidRDefault="00101895" w:rsidP="00025B9F">
            <w:pPr>
              <w:pStyle w:val="TableText"/>
              <w:rPr>
                <w:rFonts w:ascii="Calibri" w:hAnsi="Calibri"/>
                <w:sz w:val="20"/>
                <w:szCs w:val="20"/>
              </w:rPr>
            </w:pPr>
            <w:r w:rsidRPr="00BF0358">
              <w:rPr>
                <w:rFonts w:ascii="Calibri" w:hAnsi="Calibri"/>
                <w:sz w:val="20"/>
                <w:szCs w:val="20"/>
              </w:rPr>
              <w:t xml:space="preserve"> Combined</w:t>
            </w:r>
          </w:p>
        </w:tc>
        <w:tc>
          <w:tcPr>
            <w:tcW w:w="144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2.9</w:t>
            </w:r>
          </w:p>
        </w:tc>
        <w:tc>
          <w:tcPr>
            <w:tcW w:w="153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3.3</w:t>
            </w:r>
          </w:p>
        </w:tc>
        <w:tc>
          <w:tcPr>
            <w:tcW w:w="1710" w:type="dxa"/>
            <w:noWrap/>
          </w:tcPr>
          <w:p w:rsidR="00101895" w:rsidRPr="00BF0358" w:rsidRDefault="00101895" w:rsidP="00BF0358">
            <w:pPr>
              <w:pStyle w:val="TableText"/>
              <w:jc w:val="right"/>
              <w:rPr>
                <w:rFonts w:ascii="Calibri" w:hAnsi="Calibri"/>
                <w:sz w:val="20"/>
                <w:szCs w:val="20"/>
              </w:rPr>
            </w:pPr>
            <w:r w:rsidRPr="00BF0358">
              <w:rPr>
                <w:rFonts w:ascii="Calibri" w:hAnsi="Calibri"/>
                <w:sz w:val="20"/>
                <w:szCs w:val="20"/>
              </w:rPr>
              <w:t>2.1</w:t>
            </w: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b/>
                <w:bCs/>
                <w:color w:val="000000"/>
                <w:sz w:val="20"/>
                <w:szCs w:val="20"/>
              </w:rPr>
              <w:t>Margin of Error (Percentage Points) for Key Outcomes</w:t>
            </w:r>
          </w:p>
        </w:tc>
        <w:tc>
          <w:tcPr>
            <w:tcW w:w="1440" w:type="dxa"/>
            <w:noWrap/>
            <w:vAlign w:val="bottom"/>
          </w:tcPr>
          <w:p w:rsidR="00101895" w:rsidRPr="00BF0358" w:rsidRDefault="00101895" w:rsidP="00BF0358">
            <w:pPr>
              <w:pStyle w:val="TableText"/>
              <w:jc w:val="right"/>
              <w:rPr>
                <w:rFonts w:ascii="Calibri" w:hAnsi="Calibri"/>
                <w:sz w:val="20"/>
                <w:szCs w:val="20"/>
              </w:rPr>
            </w:pPr>
          </w:p>
        </w:tc>
        <w:tc>
          <w:tcPr>
            <w:tcW w:w="1530" w:type="dxa"/>
            <w:noWrap/>
            <w:vAlign w:val="bottom"/>
          </w:tcPr>
          <w:p w:rsidR="00101895" w:rsidRPr="00BF0358" w:rsidRDefault="00101895" w:rsidP="00BF0358">
            <w:pPr>
              <w:pStyle w:val="TableText"/>
              <w:jc w:val="right"/>
              <w:rPr>
                <w:rFonts w:ascii="Calibri" w:hAnsi="Calibri"/>
                <w:sz w:val="20"/>
                <w:szCs w:val="20"/>
              </w:rPr>
            </w:pPr>
          </w:p>
        </w:tc>
        <w:tc>
          <w:tcPr>
            <w:tcW w:w="1710" w:type="dxa"/>
            <w:noWrap/>
            <w:vAlign w:val="bottom"/>
          </w:tcPr>
          <w:p w:rsidR="00101895" w:rsidRPr="00BF0358" w:rsidRDefault="00101895" w:rsidP="00BF0358">
            <w:pPr>
              <w:pStyle w:val="TableText"/>
              <w:jc w:val="right"/>
              <w:rPr>
                <w:rFonts w:ascii="Calibri" w:hAnsi="Calibri"/>
                <w:sz w:val="20"/>
                <w:szCs w:val="20"/>
              </w:rPr>
            </w:pP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Employment Rate</w:t>
            </w:r>
          </w:p>
        </w:tc>
        <w:tc>
          <w:tcPr>
            <w:tcW w:w="1440" w:type="dxa"/>
            <w:noWrap/>
            <w:vAlign w:val="bottom"/>
          </w:tcPr>
          <w:p w:rsidR="00101895" w:rsidRPr="00BF0358" w:rsidRDefault="00101895" w:rsidP="00BF0358">
            <w:pPr>
              <w:pStyle w:val="TableText"/>
              <w:jc w:val="right"/>
              <w:rPr>
                <w:rFonts w:ascii="Calibri" w:hAnsi="Calibri"/>
                <w:sz w:val="20"/>
                <w:szCs w:val="20"/>
              </w:rPr>
            </w:pPr>
          </w:p>
        </w:tc>
        <w:tc>
          <w:tcPr>
            <w:tcW w:w="1530" w:type="dxa"/>
            <w:noWrap/>
            <w:vAlign w:val="bottom"/>
          </w:tcPr>
          <w:p w:rsidR="00101895" w:rsidRPr="00BF0358" w:rsidRDefault="00101895" w:rsidP="00BF0358">
            <w:pPr>
              <w:pStyle w:val="TableText"/>
              <w:jc w:val="right"/>
              <w:rPr>
                <w:rFonts w:ascii="Calibri" w:hAnsi="Calibri"/>
                <w:sz w:val="20"/>
                <w:szCs w:val="20"/>
              </w:rPr>
            </w:pPr>
          </w:p>
        </w:tc>
        <w:tc>
          <w:tcPr>
            <w:tcW w:w="1710" w:type="dxa"/>
            <w:noWrap/>
            <w:vAlign w:val="bottom"/>
          </w:tcPr>
          <w:p w:rsidR="00101895" w:rsidRPr="00BF0358" w:rsidRDefault="00101895" w:rsidP="00BF0358">
            <w:pPr>
              <w:pStyle w:val="TableText"/>
              <w:jc w:val="right"/>
              <w:rPr>
                <w:rFonts w:ascii="Calibri" w:hAnsi="Calibri"/>
                <w:sz w:val="20"/>
                <w:szCs w:val="20"/>
              </w:rPr>
            </w:pP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 xml:space="preserve"> Adult</w:t>
            </w:r>
          </w:p>
        </w:tc>
        <w:tc>
          <w:tcPr>
            <w:tcW w:w="144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6.5</w:t>
            </w:r>
          </w:p>
        </w:tc>
        <w:tc>
          <w:tcPr>
            <w:tcW w:w="153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6.6</w:t>
            </w:r>
          </w:p>
        </w:tc>
        <w:tc>
          <w:tcPr>
            <w:tcW w:w="171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4.5</w:t>
            </w: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 xml:space="preserve"> Youth</w:t>
            </w:r>
          </w:p>
        </w:tc>
        <w:tc>
          <w:tcPr>
            <w:tcW w:w="144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11.5</w:t>
            </w:r>
          </w:p>
        </w:tc>
        <w:tc>
          <w:tcPr>
            <w:tcW w:w="153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N/A</w:t>
            </w:r>
          </w:p>
        </w:tc>
        <w:tc>
          <w:tcPr>
            <w:tcW w:w="171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11.5</w:t>
            </w: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 xml:space="preserve"> Combined</w:t>
            </w:r>
          </w:p>
        </w:tc>
        <w:tc>
          <w:tcPr>
            <w:tcW w:w="144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5.8</w:t>
            </w:r>
          </w:p>
        </w:tc>
        <w:tc>
          <w:tcPr>
            <w:tcW w:w="153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6.6</w:t>
            </w:r>
          </w:p>
        </w:tc>
        <w:tc>
          <w:tcPr>
            <w:tcW w:w="171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4.3</w:t>
            </w: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Percent of Customers Reporting a Disability</w:t>
            </w:r>
          </w:p>
        </w:tc>
        <w:tc>
          <w:tcPr>
            <w:tcW w:w="1440" w:type="dxa"/>
            <w:noWrap/>
            <w:vAlign w:val="bottom"/>
          </w:tcPr>
          <w:p w:rsidR="00101895" w:rsidRPr="00BF0358" w:rsidRDefault="00101895" w:rsidP="00BF0358">
            <w:pPr>
              <w:pStyle w:val="TableText"/>
              <w:jc w:val="right"/>
              <w:rPr>
                <w:rFonts w:ascii="Calibri" w:hAnsi="Calibri"/>
                <w:sz w:val="20"/>
                <w:szCs w:val="20"/>
              </w:rPr>
            </w:pPr>
          </w:p>
        </w:tc>
        <w:tc>
          <w:tcPr>
            <w:tcW w:w="1530" w:type="dxa"/>
            <w:noWrap/>
            <w:vAlign w:val="bottom"/>
          </w:tcPr>
          <w:p w:rsidR="00101895" w:rsidRPr="00BF0358" w:rsidRDefault="00101895" w:rsidP="00BF0358">
            <w:pPr>
              <w:pStyle w:val="TableText"/>
              <w:jc w:val="right"/>
              <w:rPr>
                <w:rFonts w:ascii="Calibri" w:hAnsi="Calibri"/>
                <w:sz w:val="20"/>
                <w:szCs w:val="20"/>
              </w:rPr>
            </w:pPr>
          </w:p>
        </w:tc>
        <w:tc>
          <w:tcPr>
            <w:tcW w:w="1710" w:type="dxa"/>
            <w:noWrap/>
            <w:vAlign w:val="bottom"/>
          </w:tcPr>
          <w:p w:rsidR="00101895" w:rsidRPr="00BF0358" w:rsidRDefault="00101895" w:rsidP="00BF0358">
            <w:pPr>
              <w:pStyle w:val="TableText"/>
              <w:jc w:val="right"/>
              <w:rPr>
                <w:rFonts w:ascii="Calibri" w:hAnsi="Calibri"/>
                <w:sz w:val="20"/>
                <w:szCs w:val="20"/>
              </w:rPr>
            </w:pP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 xml:space="preserve"> Adult</w:t>
            </w:r>
          </w:p>
        </w:tc>
        <w:tc>
          <w:tcPr>
            <w:tcW w:w="144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2.3</w:t>
            </w:r>
          </w:p>
        </w:tc>
        <w:tc>
          <w:tcPr>
            <w:tcW w:w="153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2.3</w:t>
            </w:r>
          </w:p>
        </w:tc>
        <w:tc>
          <w:tcPr>
            <w:tcW w:w="171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1.6</w:t>
            </w:r>
          </w:p>
        </w:tc>
      </w:tr>
      <w:tr w:rsidR="00101895" w:rsidRPr="00D75099" w:rsidTr="00BF0358">
        <w:trPr>
          <w:trHeight w:val="300"/>
        </w:trPr>
        <w:tc>
          <w:tcPr>
            <w:tcW w:w="4763" w:type="dxa"/>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 xml:space="preserve"> Youth</w:t>
            </w:r>
          </w:p>
        </w:tc>
        <w:tc>
          <w:tcPr>
            <w:tcW w:w="144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4.0</w:t>
            </w:r>
          </w:p>
        </w:tc>
        <w:tc>
          <w:tcPr>
            <w:tcW w:w="153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N/A</w:t>
            </w:r>
          </w:p>
        </w:tc>
        <w:tc>
          <w:tcPr>
            <w:tcW w:w="1710" w:type="dxa"/>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4.0</w:t>
            </w:r>
          </w:p>
        </w:tc>
      </w:tr>
      <w:tr w:rsidR="00101895" w:rsidRPr="00D75099" w:rsidTr="00BF0358">
        <w:trPr>
          <w:trHeight w:val="300"/>
        </w:trPr>
        <w:tc>
          <w:tcPr>
            <w:tcW w:w="4763" w:type="dxa"/>
            <w:tcBorders>
              <w:bottom w:val="single" w:sz="4" w:space="0" w:color="C00000"/>
            </w:tcBorders>
            <w:noWrap/>
            <w:vAlign w:val="bottom"/>
          </w:tcPr>
          <w:p w:rsidR="00101895" w:rsidRPr="00BF0358" w:rsidRDefault="00101895" w:rsidP="00025B9F">
            <w:pPr>
              <w:pStyle w:val="TableText"/>
              <w:rPr>
                <w:rFonts w:ascii="Calibri" w:hAnsi="Calibri"/>
                <w:sz w:val="20"/>
                <w:szCs w:val="20"/>
              </w:rPr>
            </w:pPr>
            <w:r w:rsidRPr="00BF0358">
              <w:rPr>
                <w:rFonts w:ascii="Calibri" w:hAnsi="Calibri"/>
                <w:color w:val="000000"/>
                <w:sz w:val="20"/>
                <w:szCs w:val="20"/>
              </w:rPr>
              <w:t xml:space="preserve"> Combined</w:t>
            </w:r>
          </w:p>
        </w:tc>
        <w:tc>
          <w:tcPr>
            <w:tcW w:w="1440" w:type="dxa"/>
            <w:tcBorders>
              <w:bottom w:val="single" w:sz="4" w:space="0" w:color="C00000"/>
            </w:tcBorders>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2.0</w:t>
            </w:r>
          </w:p>
        </w:tc>
        <w:tc>
          <w:tcPr>
            <w:tcW w:w="1530" w:type="dxa"/>
            <w:tcBorders>
              <w:bottom w:val="single" w:sz="4" w:space="0" w:color="C00000"/>
            </w:tcBorders>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2.3</w:t>
            </w:r>
          </w:p>
        </w:tc>
        <w:tc>
          <w:tcPr>
            <w:tcW w:w="1710" w:type="dxa"/>
            <w:tcBorders>
              <w:bottom w:val="single" w:sz="4" w:space="0" w:color="C00000"/>
            </w:tcBorders>
            <w:noWrap/>
            <w:vAlign w:val="bottom"/>
          </w:tcPr>
          <w:p w:rsidR="00101895" w:rsidRPr="00BF0358" w:rsidRDefault="00101895" w:rsidP="00BF0358">
            <w:pPr>
              <w:pStyle w:val="TableText"/>
              <w:jc w:val="right"/>
              <w:rPr>
                <w:rFonts w:ascii="Calibri" w:hAnsi="Calibri"/>
                <w:sz w:val="20"/>
                <w:szCs w:val="20"/>
              </w:rPr>
            </w:pPr>
            <w:r w:rsidRPr="00BF0358">
              <w:rPr>
                <w:rFonts w:ascii="Calibri" w:hAnsi="Calibri"/>
                <w:color w:val="000000"/>
                <w:sz w:val="20"/>
                <w:szCs w:val="20"/>
              </w:rPr>
              <w:t>1.5</w:t>
            </w:r>
          </w:p>
        </w:tc>
      </w:tr>
    </w:tbl>
    <w:p w:rsidR="00101895" w:rsidRDefault="00101895" w:rsidP="0024795C">
      <w:pPr>
        <w:pStyle w:val="TableSourceCaption"/>
        <w:ind w:left="540" w:hanging="540"/>
        <w:jc w:val="left"/>
        <w:rPr>
          <w:rFonts w:ascii="Calibri" w:hAnsi="Calibri" w:cs="Calibri"/>
          <w:sz w:val="20"/>
          <w:szCs w:val="20"/>
        </w:rPr>
      </w:pPr>
      <w:r w:rsidRPr="00D75099">
        <w:rPr>
          <w:rFonts w:ascii="Calibri" w:hAnsi="Calibri" w:cs="Calibri"/>
          <w:sz w:val="20"/>
          <w:szCs w:val="20"/>
        </w:rPr>
        <w:t xml:space="preserve">Note: The </w:t>
      </w:r>
      <w:r>
        <w:rPr>
          <w:rFonts w:ascii="Calibri" w:hAnsi="Calibri" w:cs="Calibri"/>
          <w:sz w:val="20"/>
          <w:szCs w:val="20"/>
        </w:rPr>
        <w:t>standard error of the estimate (SE), MDE and margin of error (MOE) are calculated as follows. First SE</w:t>
      </w:r>
      <w:r w:rsidRPr="00D75099">
        <w:rPr>
          <w:rFonts w:ascii="Calibri" w:hAnsi="Calibri" w:cs="Calibri"/>
          <w:sz w:val="20"/>
          <w:szCs w:val="20"/>
        </w:rPr>
        <w:t xml:space="preserve"> is calculated using the expression </w:t>
      </w:r>
      <w:r w:rsidRPr="00D75099">
        <w:rPr>
          <w:rFonts w:ascii="Calibri" w:hAnsi="Calibri" w:cs="Calibri"/>
          <w:position w:val="-24"/>
          <w:sz w:val="20"/>
          <w:szCs w:val="20"/>
        </w:rPr>
        <w:object w:dxaOrig="2240" w:dyaOrig="560">
          <v:shape id="_x0000_i1037" type="#_x0000_t75" style="width:104.25pt;height:25.5pt" o:ole="">
            <v:imagedata r:id="rId30" o:title=""/>
          </v:shape>
          <o:OLEObject Type="Embed" ProgID="Equation.DSMT4" ShapeID="_x0000_i1037" DrawAspect="Content" ObjectID="_1390915703" r:id="rId31"/>
        </w:object>
      </w:r>
      <w:r w:rsidRPr="00D75099">
        <w:rPr>
          <w:rFonts w:ascii="Calibri" w:hAnsi="Calibri" w:cs="Calibri"/>
          <w:sz w:val="20"/>
          <w:szCs w:val="20"/>
        </w:rPr>
        <w:t xml:space="preserve">, where </w:t>
      </w:r>
      <w:r w:rsidRPr="00D75099">
        <w:rPr>
          <w:rFonts w:ascii="Calibri" w:hAnsi="Calibri" w:cs="Calibri"/>
          <w:i/>
          <w:sz w:val="20"/>
          <w:szCs w:val="20"/>
        </w:rPr>
        <w:t>N</w:t>
      </w:r>
      <w:r w:rsidRPr="00D75099">
        <w:rPr>
          <w:rFonts w:ascii="Calibri" w:hAnsi="Calibri" w:cs="Calibri"/>
          <w:sz w:val="20"/>
          <w:szCs w:val="20"/>
        </w:rPr>
        <w:t xml:space="preserve"> is the total number of individuals in all sites, </w:t>
      </w:r>
      <w:r w:rsidRPr="00D75099">
        <w:rPr>
          <w:rFonts w:ascii="Calibri" w:hAnsi="Calibri" w:cs="Calibri"/>
          <w:i/>
          <w:sz w:val="20"/>
          <w:szCs w:val="20"/>
        </w:rPr>
        <w:t>n</w:t>
      </w:r>
      <w:r w:rsidRPr="00D75099">
        <w:rPr>
          <w:rFonts w:ascii="Calibri" w:hAnsi="Calibri" w:cs="Calibri"/>
          <w:sz w:val="20"/>
          <w:szCs w:val="20"/>
        </w:rPr>
        <w:t xml:space="preserve"> is the number of sites, </w:t>
      </w:r>
      <w:r w:rsidRPr="00D75099">
        <w:rPr>
          <w:rFonts w:ascii="Calibri" w:hAnsi="Calibri" w:cs="Calibri"/>
          <w:position w:val="-10"/>
          <w:sz w:val="20"/>
          <w:szCs w:val="20"/>
        </w:rPr>
        <w:object w:dxaOrig="220" w:dyaOrig="240">
          <v:shape id="_x0000_i1038" type="#_x0000_t75" style="width:9pt;height:13.5pt" o:ole="">
            <v:imagedata r:id="rId32" o:title=""/>
          </v:shape>
          <o:OLEObject Type="Embed" ProgID="Equation.DSMT4" ShapeID="_x0000_i1038" DrawAspect="Content" ObjectID="_1390915704" r:id="rId33"/>
        </w:object>
      </w:r>
      <w:r w:rsidRPr="00D75099">
        <w:rPr>
          <w:rFonts w:ascii="Calibri" w:hAnsi="Calibri" w:cs="Calibri"/>
          <w:sz w:val="20"/>
          <w:szCs w:val="20"/>
        </w:rPr>
        <w:t xml:space="preserve"> is the intraclass correlation, and p is the fraction of individuals with a positive outcome in the absence of the DEI. The MDE </w:t>
      </w:r>
      <w:r>
        <w:rPr>
          <w:rFonts w:ascii="Calibri" w:hAnsi="Calibri" w:cs="Calibri"/>
          <w:sz w:val="20"/>
          <w:szCs w:val="20"/>
        </w:rPr>
        <w:t xml:space="preserve">are calculated by multiplying the SE by a factor that is based on assumptions about the statistical test and its degrees of freedom; the latter varies by the number of sites. We assume use of </w:t>
      </w:r>
      <w:r w:rsidRPr="00D75099">
        <w:rPr>
          <w:rFonts w:ascii="Calibri" w:hAnsi="Calibri" w:cs="Calibri"/>
          <w:sz w:val="20"/>
          <w:szCs w:val="20"/>
        </w:rPr>
        <w:t>two-tailed test, 80 percent power, and a 5 percent significance level, with the degrees of freedom equal to one less than the number of sites minus the number of strata. This yields factor</w:t>
      </w:r>
      <w:r>
        <w:rPr>
          <w:rFonts w:ascii="Calibri" w:hAnsi="Calibri" w:cs="Calibri"/>
          <w:sz w:val="20"/>
          <w:szCs w:val="20"/>
        </w:rPr>
        <w:t>s</w:t>
      </w:r>
      <w:r w:rsidRPr="00D75099">
        <w:rPr>
          <w:rFonts w:ascii="Calibri" w:hAnsi="Calibri" w:cs="Calibri"/>
          <w:sz w:val="20"/>
          <w:szCs w:val="20"/>
        </w:rPr>
        <w:t xml:space="preserve"> </w:t>
      </w:r>
      <w:r>
        <w:rPr>
          <w:rFonts w:ascii="Calibri" w:hAnsi="Calibri" w:cs="Calibri"/>
          <w:sz w:val="20"/>
          <w:szCs w:val="20"/>
        </w:rPr>
        <w:t xml:space="preserve">for Round 1 and Round 2 analysis </w:t>
      </w:r>
      <w:r w:rsidRPr="00D75099">
        <w:rPr>
          <w:rFonts w:ascii="Calibri" w:hAnsi="Calibri" w:cs="Calibri"/>
          <w:sz w:val="20"/>
          <w:szCs w:val="20"/>
        </w:rPr>
        <w:t>of 2.</w:t>
      </w:r>
      <w:r>
        <w:rPr>
          <w:rFonts w:ascii="Calibri" w:hAnsi="Calibri" w:cs="Calibri"/>
          <w:sz w:val="20"/>
          <w:szCs w:val="20"/>
        </w:rPr>
        <w:t>86</w:t>
      </w:r>
      <w:r w:rsidRPr="00D75099">
        <w:rPr>
          <w:rFonts w:ascii="Calibri" w:hAnsi="Calibri" w:cs="Calibri"/>
          <w:sz w:val="20"/>
          <w:szCs w:val="20"/>
        </w:rPr>
        <w:t xml:space="preserve"> for </w:t>
      </w:r>
      <w:r>
        <w:rPr>
          <w:rFonts w:ascii="Calibri" w:hAnsi="Calibri" w:cs="Calibri"/>
          <w:sz w:val="20"/>
          <w:szCs w:val="20"/>
        </w:rPr>
        <w:t>adults</w:t>
      </w:r>
      <w:r w:rsidRPr="00D75099">
        <w:rPr>
          <w:rFonts w:ascii="Calibri" w:hAnsi="Calibri" w:cs="Calibri"/>
          <w:sz w:val="20"/>
          <w:szCs w:val="20"/>
        </w:rPr>
        <w:t xml:space="preserve"> 3.08 for youth, and 2.8</w:t>
      </w:r>
      <w:r>
        <w:rPr>
          <w:rFonts w:ascii="Calibri" w:hAnsi="Calibri" w:cs="Calibri"/>
          <w:sz w:val="20"/>
          <w:szCs w:val="20"/>
        </w:rPr>
        <w:t>5</w:t>
      </w:r>
      <w:r w:rsidRPr="00D75099">
        <w:rPr>
          <w:rFonts w:ascii="Calibri" w:hAnsi="Calibri" w:cs="Calibri"/>
          <w:sz w:val="20"/>
          <w:szCs w:val="20"/>
        </w:rPr>
        <w:t xml:space="preserve"> for the combined analysis.</w:t>
      </w:r>
      <w:r>
        <w:rPr>
          <w:rFonts w:ascii="Calibri" w:hAnsi="Calibri" w:cs="Calibri"/>
          <w:sz w:val="20"/>
          <w:szCs w:val="20"/>
        </w:rPr>
        <w:t xml:space="preserve"> Factors are slightly larger for when considering analyses of a single round. The MOE are calculated by multiplying the SE by a different factor that depends on the significance level (but not power) and the degrees of freedom.  The factors for the MOE are 2.01 for adults, 2.20 for youth, and 2.00 for the combined analysis.</w:t>
      </w:r>
    </w:p>
    <w:p w:rsidR="00101895" w:rsidRDefault="00101895" w:rsidP="00AF313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p>
    <w:p w:rsidR="00101895" w:rsidRPr="00AA66B8" w:rsidRDefault="00101895" w:rsidP="00AF3137">
      <w:pPr>
        <w:spacing w:line="240" w:lineRule="auto"/>
        <w:ind w:firstLine="0"/>
        <w:jc w:val="left"/>
        <w:rPr>
          <w:rFonts w:ascii="Calibri" w:hAnsi="Calibri" w:cs="Calibri"/>
          <w:sz w:val="22"/>
          <w:szCs w:val="22"/>
        </w:rPr>
      </w:pPr>
      <w:r>
        <w:rPr>
          <w:rFonts w:ascii="Calibri" w:hAnsi="Calibri" w:cs="Calibri"/>
          <w:sz w:val="22"/>
          <w:szCs w:val="22"/>
        </w:rPr>
        <w:tab/>
      </w:r>
      <w:r w:rsidRPr="00AA66B8">
        <w:rPr>
          <w:rFonts w:ascii="Calibri" w:hAnsi="Calibri" w:cs="Calibri"/>
          <w:sz w:val="22"/>
          <w:szCs w:val="22"/>
        </w:rPr>
        <w:t>The</w:t>
      </w:r>
      <w:r>
        <w:rPr>
          <w:rFonts w:ascii="Calibri" w:hAnsi="Calibri" w:cs="Calibri"/>
          <w:sz w:val="22"/>
          <w:szCs w:val="22"/>
        </w:rPr>
        <w:t xml:space="preserve"> Round 1</w:t>
      </w:r>
      <w:r w:rsidRPr="00AA66B8">
        <w:rPr>
          <w:rFonts w:ascii="Calibri" w:hAnsi="Calibri" w:cs="Calibri"/>
          <w:sz w:val="22"/>
          <w:szCs w:val="22"/>
        </w:rPr>
        <w:t xml:space="preserve"> </w:t>
      </w:r>
      <w:r>
        <w:rPr>
          <w:rFonts w:ascii="Calibri" w:hAnsi="Calibri" w:cs="Calibri"/>
          <w:sz w:val="22"/>
          <w:szCs w:val="22"/>
        </w:rPr>
        <w:t>MDEs</w:t>
      </w:r>
      <w:r w:rsidRPr="00AA66B8">
        <w:rPr>
          <w:rFonts w:ascii="Calibri" w:hAnsi="Calibri" w:cs="Calibri"/>
          <w:sz w:val="22"/>
          <w:szCs w:val="22"/>
        </w:rPr>
        <w:t xml:space="preserve"> are substantial economically: a 9.2 percentage-point impact on the employment rate of adults with disabilities represents a 31 percent increase based on a 30 percent employment rate for comparison sites.  For the youth sites, it will only be possible to detect very large effects.  The analysis for the percentage of One-Stop users who self-identify as having a disability shows that the MDE for adult sites will be over three percentage points, and will be just under twice as large for youth sites. Although small relative to the MDE for the employment rate, these values are very large relative to the percentage of One-Stop clients who report having a disability— 2.7 percent by our assumptions. In other words, the MDE for adult sites represents more than a doubling of the percentage of users who report having a disability.</w:t>
      </w:r>
    </w:p>
    <w:p w:rsidR="00101895" w:rsidRPr="00AA66B8" w:rsidRDefault="00101895" w:rsidP="00AF3137">
      <w:pPr>
        <w:spacing w:line="240" w:lineRule="auto"/>
        <w:ind w:firstLine="0"/>
        <w:jc w:val="left"/>
        <w:rPr>
          <w:rFonts w:ascii="Calibri" w:hAnsi="Calibri" w:cs="Calibri"/>
          <w:sz w:val="22"/>
          <w:szCs w:val="22"/>
        </w:rPr>
      </w:pPr>
    </w:p>
    <w:p w:rsidR="00101895" w:rsidRDefault="00101895" w:rsidP="00AF3137">
      <w:pPr>
        <w:spacing w:line="240" w:lineRule="auto"/>
        <w:ind w:firstLine="0"/>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Round 2 MDEs are similar for analyses of states with an adult focus.  Sites in the only Round 2 state with a youth focus were not randomly assigned, so impacts cannot be measured for youth states using Round 2 data alone.  Combining Round 1 and Round 2 data into a single analysis further reduces the MDEs for the adult and combined adult/youth analysis.  Effects on employment rate as low as 6.1 percentage points and effects on entry rate as low as 2.1 percentage points may be detected for an analysis of all participating states, regardless of round and focus.  </w:t>
      </w:r>
    </w:p>
    <w:p w:rsidR="00101895" w:rsidRDefault="00101895" w:rsidP="00AF3137">
      <w:pPr>
        <w:spacing w:line="240" w:lineRule="auto"/>
        <w:ind w:firstLine="0"/>
        <w:jc w:val="left"/>
        <w:rPr>
          <w:rFonts w:ascii="Calibri" w:hAnsi="Calibri" w:cs="Calibri"/>
          <w:sz w:val="22"/>
          <w:szCs w:val="22"/>
        </w:rPr>
      </w:pPr>
    </w:p>
    <w:p w:rsidR="00101895" w:rsidRPr="00AA66B8" w:rsidRDefault="00101895" w:rsidP="00AF313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The number of sites is determined by the parameters of the DEI grants and the ability of each site to participate in the program, so a calculation with other site sample sizes is not presented.  The average number of customers with disabilities in each LWIA as used in the power calculations is estimated from data available in the DEI grant applications, as described in section B.1.  The average number of total customers in each LWIA is estimated by dividing the average number of customers with disabilities by 0.027, the proportion of customers with disabilities nationwide as reported in U.S. Department of Labor (n.d.).</w:t>
      </w:r>
    </w:p>
    <w:p w:rsidR="00101895" w:rsidRPr="00AA66B8" w:rsidRDefault="00101895" w:rsidP="004224B4">
      <w:pPr>
        <w:spacing w:line="240" w:lineRule="auto"/>
        <w:ind w:firstLine="0"/>
        <w:jc w:val="left"/>
        <w:rPr>
          <w:rFonts w:ascii="Calibri" w:hAnsi="Calibri" w:cs="Calibri"/>
          <w:sz w:val="22"/>
          <w:szCs w:val="22"/>
        </w:rPr>
      </w:pPr>
    </w:p>
    <w:p w:rsidR="00101895" w:rsidRPr="00AA66B8" w:rsidRDefault="00101895" w:rsidP="000525F6">
      <w:pPr>
        <w:pStyle w:val="Heading2"/>
        <w:spacing w:after="0"/>
        <w:ind w:left="0" w:firstLine="0"/>
        <w:jc w:val="left"/>
        <w:rPr>
          <w:rFonts w:ascii="Calibri" w:hAnsi="Calibri" w:cs="Calibri"/>
          <w:caps w:val="0"/>
        </w:rPr>
      </w:pPr>
      <w:bookmarkStart w:id="7" w:name="_Toc286649304"/>
      <w:r w:rsidRPr="00AA66B8">
        <w:rPr>
          <w:rFonts w:ascii="Calibri" w:hAnsi="Calibri" w:cs="Calibri"/>
          <w:caps w:val="0"/>
        </w:rPr>
        <w:t>B.3 Methods to Maximize Response Rates and Deal with Non-response</w:t>
      </w:r>
      <w:bookmarkEnd w:id="7"/>
    </w:p>
    <w:p w:rsidR="00101895" w:rsidRPr="00AA66B8" w:rsidRDefault="00101895" w:rsidP="000525F6">
      <w:pPr>
        <w:spacing w:line="240" w:lineRule="auto"/>
        <w:jc w:val="left"/>
        <w:rPr>
          <w:rFonts w:ascii="Calibri" w:hAnsi="Calibri" w:cs="Calibri"/>
          <w:sz w:val="22"/>
          <w:szCs w:val="22"/>
        </w:rPr>
      </w:pPr>
    </w:p>
    <w:p w:rsidR="00101895" w:rsidRPr="00AA66B8" w:rsidRDefault="00101895" w:rsidP="000525F6">
      <w:pPr>
        <w:spacing w:line="240" w:lineRule="auto"/>
        <w:ind w:firstLine="0"/>
        <w:jc w:val="left"/>
        <w:rPr>
          <w:rFonts w:ascii="Calibri" w:hAnsi="Calibri" w:cs="Calibri"/>
          <w:b/>
          <w:sz w:val="22"/>
          <w:szCs w:val="22"/>
        </w:rPr>
      </w:pPr>
      <w:r w:rsidRPr="00AA66B8">
        <w:rPr>
          <w:rFonts w:ascii="Calibri" w:hAnsi="Calibri" w:cs="Calibri"/>
          <w:b/>
          <w:sz w:val="22"/>
          <w:szCs w:val="22"/>
        </w:rPr>
        <w:t>B.3.1 Site Visits</w:t>
      </w:r>
    </w:p>
    <w:p w:rsidR="00101895" w:rsidRPr="00AA66B8" w:rsidRDefault="00101895" w:rsidP="000525F6">
      <w:pPr>
        <w:spacing w:line="240" w:lineRule="auto"/>
        <w:jc w:val="left"/>
        <w:rPr>
          <w:rFonts w:ascii="Calibri" w:hAnsi="Calibri" w:cs="Calibri"/>
          <w:sz w:val="22"/>
          <w:szCs w:val="22"/>
        </w:rPr>
      </w:pPr>
    </w:p>
    <w:p w:rsidR="00101895" w:rsidRPr="00AA66B8" w:rsidRDefault="00101895" w:rsidP="000525F6">
      <w:pPr>
        <w:spacing w:line="240" w:lineRule="auto"/>
        <w:jc w:val="left"/>
        <w:rPr>
          <w:rFonts w:ascii="Calibri" w:hAnsi="Calibri" w:cs="Calibri"/>
          <w:sz w:val="22"/>
          <w:szCs w:val="22"/>
        </w:rPr>
      </w:pPr>
      <w:r w:rsidRPr="00AA66B8">
        <w:rPr>
          <w:rFonts w:ascii="Calibri" w:hAnsi="Calibri" w:cs="Calibri"/>
          <w:sz w:val="22"/>
          <w:szCs w:val="22"/>
        </w:rPr>
        <w:tab/>
        <w:t xml:space="preserve">Conducting site visits and in-person interviews </w:t>
      </w:r>
      <w:r>
        <w:rPr>
          <w:rFonts w:ascii="Calibri" w:hAnsi="Calibri" w:cs="Calibri"/>
          <w:sz w:val="22"/>
          <w:szCs w:val="22"/>
        </w:rPr>
        <w:t xml:space="preserve">with DEI stakeholders (e.g. state officials, DEI State Leads, Workforce Investment Board staff, DRCs, One-Stop staff, service providers, public and private agency partners, employers and customers) </w:t>
      </w:r>
      <w:r w:rsidRPr="00AA66B8">
        <w:rPr>
          <w:rFonts w:ascii="Calibri" w:hAnsi="Calibri" w:cs="Calibri"/>
          <w:sz w:val="22"/>
          <w:szCs w:val="22"/>
        </w:rPr>
        <w:t>is an important component of the DEI evaluation because:</w:t>
      </w:r>
      <w:r>
        <w:rPr>
          <w:rStyle w:val="FootnoteReference"/>
          <w:rFonts w:ascii="Calibri" w:hAnsi="Calibri"/>
          <w:sz w:val="22"/>
          <w:szCs w:val="22"/>
        </w:rPr>
        <w:footnoteReference w:id="5"/>
      </w:r>
    </w:p>
    <w:p w:rsidR="00101895" w:rsidRPr="00AA66B8" w:rsidRDefault="00101895" w:rsidP="000525F6">
      <w:pPr>
        <w:spacing w:line="240" w:lineRule="auto"/>
        <w:jc w:val="left"/>
        <w:rPr>
          <w:rFonts w:ascii="Calibri" w:hAnsi="Calibri" w:cs="Calibri"/>
          <w:sz w:val="22"/>
          <w:szCs w:val="22"/>
        </w:rPr>
      </w:pPr>
    </w:p>
    <w:p w:rsidR="00101895" w:rsidRPr="00AA66B8" w:rsidRDefault="00101895" w:rsidP="000525F6">
      <w:pPr>
        <w:numPr>
          <w:ilvl w:val="0"/>
          <w:numId w:val="20"/>
        </w:numPr>
        <w:tabs>
          <w:tab w:val="clear" w:pos="432"/>
        </w:tabs>
        <w:spacing w:line="240" w:lineRule="auto"/>
        <w:jc w:val="left"/>
        <w:rPr>
          <w:rFonts w:ascii="Calibri" w:hAnsi="Calibri" w:cs="Calibri"/>
          <w:sz w:val="22"/>
          <w:szCs w:val="22"/>
        </w:rPr>
      </w:pPr>
      <w:r w:rsidRPr="00AA66B8">
        <w:rPr>
          <w:rFonts w:ascii="Calibri" w:hAnsi="Calibri" w:cs="Calibri"/>
          <w:sz w:val="22"/>
          <w:szCs w:val="22"/>
        </w:rPr>
        <w:t>Talking to respondents in person allows the interviewer to establish rapport;</w:t>
      </w:r>
    </w:p>
    <w:p w:rsidR="00101895" w:rsidRPr="00AA66B8" w:rsidRDefault="00101895" w:rsidP="000525F6">
      <w:pPr>
        <w:numPr>
          <w:ilvl w:val="0"/>
          <w:numId w:val="20"/>
        </w:numPr>
        <w:tabs>
          <w:tab w:val="clear" w:pos="432"/>
        </w:tabs>
        <w:spacing w:line="240" w:lineRule="auto"/>
        <w:jc w:val="left"/>
        <w:rPr>
          <w:rFonts w:ascii="Calibri" w:hAnsi="Calibri" w:cs="Calibri"/>
          <w:sz w:val="22"/>
          <w:szCs w:val="22"/>
        </w:rPr>
      </w:pPr>
      <w:r w:rsidRPr="00AA66B8">
        <w:rPr>
          <w:rFonts w:ascii="Calibri" w:hAnsi="Calibri" w:cs="Calibri"/>
          <w:sz w:val="22"/>
          <w:szCs w:val="22"/>
        </w:rPr>
        <w:t>Evaluators can get at the whole story through the totality of the interpersonal experience, such as observation of body language and other visual cues;</w:t>
      </w:r>
    </w:p>
    <w:p w:rsidR="00101895" w:rsidRPr="00AA66B8" w:rsidRDefault="00101895" w:rsidP="000525F6">
      <w:pPr>
        <w:numPr>
          <w:ilvl w:val="0"/>
          <w:numId w:val="20"/>
        </w:numPr>
        <w:tabs>
          <w:tab w:val="clear" w:pos="432"/>
        </w:tabs>
        <w:spacing w:line="240" w:lineRule="auto"/>
        <w:jc w:val="left"/>
        <w:rPr>
          <w:rFonts w:ascii="Calibri" w:hAnsi="Calibri" w:cs="Calibri"/>
          <w:sz w:val="22"/>
          <w:szCs w:val="22"/>
        </w:rPr>
      </w:pPr>
      <w:r w:rsidRPr="00AA66B8">
        <w:rPr>
          <w:rFonts w:ascii="Calibri" w:hAnsi="Calibri" w:cs="Calibri"/>
          <w:sz w:val="22"/>
          <w:szCs w:val="22"/>
        </w:rPr>
        <w:t>Evaluation staff can observe other activities occurring on-site adding to the “fullness” of the data;</w:t>
      </w:r>
    </w:p>
    <w:p w:rsidR="00101895" w:rsidRPr="00AA66B8" w:rsidRDefault="00101895" w:rsidP="000525F6">
      <w:pPr>
        <w:numPr>
          <w:ilvl w:val="0"/>
          <w:numId w:val="20"/>
        </w:numPr>
        <w:tabs>
          <w:tab w:val="clear" w:pos="432"/>
        </w:tabs>
        <w:spacing w:line="240" w:lineRule="auto"/>
        <w:jc w:val="left"/>
        <w:rPr>
          <w:rFonts w:ascii="Calibri" w:hAnsi="Calibri" w:cs="Calibri"/>
          <w:sz w:val="22"/>
          <w:szCs w:val="22"/>
        </w:rPr>
      </w:pPr>
      <w:r w:rsidRPr="00AA66B8">
        <w:rPr>
          <w:rFonts w:ascii="Calibri" w:hAnsi="Calibri" w:cs="Calibri"/>
          <w:sz w:val="22"/>
          <w:szCs w:val="22"/>
        </w:rPr>
        <w:t>Evaluation staff can get a tangible sense of the issues in a locality, which allows site visitors to have richer conversations with respondents because they have a better knowledge of their environment.</w:t>
      </w:r>
    </w:p>
    <w:p w:rsidR="00101895" w:rsidRPr="00AA66B8" w:rsidRDefault="00101895" w:rsidP="000525F6">
      <w:pPr>
        <w:spacing w:line="240" w:lineRule="auto"/>
        <w:jc w:val="left"/>
        <w:rPr>
          <w:rFonts w:ascii="Calibri" w:hAnsi="Calibri" w:cs="Calibri"/>
          <w:sz w:val="22"/>
          <w:szCs w:val="22"/>
        </w:rPr>
      </w:pPr>
    </w:p>
    <w:p w:rsidR="00101895" w:rsidRPr="00AA66B8" w:rsidRDefault="00101895" w:rsidP="000525F6">
      <w:pPr>
        <w:spacing w:line="240" w:lineRule="auto"/>
        <w:jc w:val="left"/>
        <w:rPr>
          <w:rFonts w:ascii="Calibri" w:hAnsi="Calibri" w:cs="Calibri"/>
          <w:sz w:val="22"/>
          <w:szCs w:val="22"/>
        </w:rPr>
      </w:pPr>
      <w:r w:rsidRPr="00AA66B8">
        <w:rPr>
          <w:rFonts w:ascii="Calibri" w:hAnsi="Calibri" w:cs="Calibri"/>
          <w:sz w:val="22"/>
          <w:szCs w:val="22"/>
        </w:rPr>
        <w:tab/>
        <w:t xml:space="preserve">Thorough preparation for the site visits will minimize the risk of non-response from sites and participants. </w:t>
      </w:r>
      <w:r>
        <w:rPr>
          <w:rFonts w:ascii="Calibri" w:hAnsi="Calibri" w:cs="Calibri"/>
          <w:sz w:val="22"/>
          <w:szCs w:val="22"/>
        </w:rPr>
        <w:t>The Solicitations for Grant Announcement for Rounds 1 and 2 (Appendix 6) requires participation in the evaluation. However, recognize that participation among all stakeholders will require communication to reduce reluctance to participate among partners, employers and customers.  T</w:t>
      </w:r>
      <w:r w:rsidRPr="00AA66B8">
        <w:rPr>
          <w:rFonts w:ascii="Calibri" w:hAnsi="Calibri" w:cs="Calibri"/>
          <w:sz w:val="22"/>
          <w:szCs w:val="22"/>
        </w:rPr>
        <w:t xml:space="preserve">hrough early communication that emphasizes the importance of </w:t>
      </w:r>
      <w:r>
        <w:rPr>
          <w:rFonts w:ascii="Calibri" w:hAnsi="Calibri" w:cs="Calibri"/>
          <w:sz w:val="22"/>
          <w:szCs w:val="22"/>
        </w:rPr>
        <w:t xml:space="preserve">all stakeholders </w:t>
      </w:r>
      <w:r w:rsidRPr="00AA66B8">
        <w:rPr>
          <w:rFonts w:ascii="Calibri" w:hAnsi="Calibri" w:cs="Calibri"/>
          <w:sz w:val="22"/>
          <w:szCs w:val="22"/>
        </w:rPr>
        <w:t xml:space="preserve">participation in the study, and the importance of gathering information and different perspectives </w:t>
      </w:r>
      <w:r>
        <w:rPr>
          <w:rFonts w:ascii="Calibri" w:hAnsi="Calibri" w:cs="Calibri"/>
          <w:sz w:val="22"/>
          <w:szCs w:val="22"/>
        </w:rPr>
        <w:t>from each individual respondent, the DEI evaluation team will reduce reluctance to participate fully in the DEI evaluation.</w:t>
      </w:r>
      <w:r w:rsidRPr="00AA66B8">
        <w:rPr>
          <w:rFonts w:ascii="Calibri" w:hAnsi="Calibri" w:cs="Calibri"/>
          <w:sz w:val="22"/>
          <w:szCs w:val="22"/>
        </w:rPr>
        <w:t xml:space="preserve"> The evaluation team will also identify and develop a trust relationship with a local liaison who will advocate for the study, assist in putting together a site visit schedule that takes into account ease and convenience for the respondents, help convince additional respondents to cooperate, and be persistent in following up with participants. Additionally, the evaluation team has designed minimally intrusive data collection methods and tools to help reduce the burden on participants.</w:t>
      </w:r>
    </w:p>
    <w:p w:rsidR="00101895" w:rsidRPr="00AA66B8" w:rsidRDefault="00101895" w:rsidP="000525F6">
      <w:pPr>
        <w:spacing w:line="240" w:lineRule="auto"/>
        <w:jc w:val="left"/>
        <w:rPr>
          <w:rFonts w:ascii="Calibri" w:hAnsi="Calibri" w:cs="Calibri"/>
          <w:sz w:val="22"/>
          <w:szCs w:val="22"/>
        </w:rPr>
      </w:pPr>
    </w:p>
    <w:p w:rsidR="00101895" w:rsidRDefault="00101895" w:rsidP="000525F6">
      <w:pPr>
        <w:spacing w:line="240" w:lineRule="auto"/>
        <w:jc w:val="left"/>
        <w:rPr>
          <w:rFonts w:ascii="Calibri" w:hAnsi="Calibri" w:cs="Calibri"/>
          <w:sz w:val="22"/>
          <w:szCs w:val="22"/>
        </w:rPr>
      </w:pPr>
      <w:r w:rsidRPr="00AA66B8">
        <w:rPr>
          <w:rFonts w:ascii="Calibri" w:hAnsi="Calibri" w:cs="Calibri"/>
          <w:sz w:val="22"/>
          <w:szCs w:val="22"/>
        </w:rPr>
        <w:tab/>
        <w:t xml:space="preserve">Each site will receive advance communication from the evaluation team about the study, as well as the expectations for participants. The study team </w:t>
      </w:r>
      <w:r>
        <w:rPr>
          <w:rFonts w:ascii="Calibri" w:hAnsi="Calibri" w:cs="Calibri"/>
          <w:sz w:val="22"/>
          <w:szCs w:val="22"/>
        </w:rPr>
        <w:t>Evaluation L</w:t>
      </w:r>
      <w:r w:rsidRPr="00AA66B8">
        <w:rPr>
          <w:rFonts w:ascii="Calibri" w:hAnsi="Calibri" w:cs="Calibri"/>
          <w:sz w:val="22"/>
          <w:szCs w:val="22"/>
        </w:rPr>
        <w:t xml:space="preserve">iaison assigned to each </w:t>
      </w:r>
      <w:r>
        <w:rPr>
          <w:rFonts w:ascii="Calibri" w:hAnsi="Calibri" w:cs="Calibri"/>
          <w:sz w:val="22"/>
          <w:szCs w:val="22"/>
        </w:rPr>
        <w:t xml:space="preserve">DEI grantee </w:t>
      </w:r>
      <w:r w:rsidRPr="00AA66B8">
        <w:rPr>
          <w:rFonts w:ascii="Calibri" w:hAnsi="Calibri" w:cs="Calibri"/>
          <w:sz w:val="22"/>
          <w:szCs w:val="22"/>
        </w:rPr>
        <w:t xml:space="preserve">will work with </w:t>
      </w:r>
      <w:r>
        <w:rPr>
          <w:rFonts w:ascii="Calibri" w:hAnsi="Calibri" w:cs="Calibri"/>
          <w:sz w:val="22"/>
          <w:szCs w:val="22"/>
        </w:rPr>
        <w:t xml:space="preserve">the DEI state leads and WIB staff </w:t>
      </w:r>
      <w:r w:rsidRPr="00AA66B8">
        <w:rPr>
          <w:rFonts w:ascii="Calibri" w:hAnsi="Calibri" w:cs="Calibri"/>
          <w:sz w:val="22"/>
          <w:szCs w:val="22"/>
        </w:rPr>
        <w:t xml:space="preserve">to arrange the interviews with key stakeholders. </w:t>
      </w:r>
      <w:r>
        <w:rPr>
          <w:rFonts w:ascii="Calibri" w:hAnsi="Calibri" w:cs="Calibri"/>
          <w:sz w:val="22"/>
          <w:szCs w:val="22"/>
        </w:rPr>
        <w:t xml:space="preserve">The DEI grant requires all participating LWIAs to support the evaluation. </w:t>
      </w:r>
      <w:r w:rsidRPr="00AA66B8">
        <w:rPr>
          <w:rFonts w:ascii="Calibri" w:hAnsi="Calibri" w:cs="Calibri"/>
          <w:sz w:val="22"/>
          <w:szCs w:val="22"/>
        </w:rPr>
        <w:t>Once the interviews are scheduled, each participant will receive written confirmation of the scheduled interview and topics to be covered. Once the interviews for a site have been scheduled, the site visit lead will review the schedule to ensure that an appropriate amount of flexibility is built in to account for potential last-minute schedule conflicts with interview participants. Should an interview respondent fail to keep a pre-scheduled interview appointment, the site visit team will work with the local liaison and the interview participant to reschedule the interview for an alternative time when the team is on site. If this proves too difficult, the site visit team will work with the site liaison and interview participant to schedule a phone interview or identify a substitute respondent.</w:t>
      </w:r>
    </w:p>
    <w:p w:rsidR="00101895" w:rsidRDefault="00101895" w:rsidP="000525F6">
      <w:pPr>
        <w:tabs>
          <w:tab w:val="left" w:pos="1080"/>
        </w:tabs>
        <w:spacing w:line="240" w:lineRule="auto"/>
        <w:ind w:firstLine="0"/>
        <w:jc w:val="left"/>
        <w:rPr>
          <w:rFonts w:ascii="Calibri" w:hAnsi="Calibri" w:cs="Calibri"/>
          <w:sz w:val="22"/>
          <w:szCs w:val="22"/>
        </w:rPr>
      </w:pPr>
    </w:p>
    <w:p w:rsidR="00101895" w:rsidRPr="00AA66B8" w:rsidRDefault="00101895" w:rsidP="000525F6">
      <w:pPr>
        <w:tabs>
          <w:tab w:val="left" w:pos="1080"/>
        </w:tabs>
        <w:spacing w:line="240" w:lineRule="auto"/>
        <w:ind w:firstLine="0"/>
        <w:jc w:val="left"/>
        <w:rPr>
          <w:rFonts w:ascii="Calibri" w:hAnsi="Calibri" w:cs="Calibri"/>
          <w:b/>
          <w:sz w:val="22"/>
          <w:szCs w:val="22"/>
        </w:rPr>
      </w:pPr>
    </w:p>
    <w:p w:rsidR="00101895" w:rsidRPr="00AA66B8" w:rsidRDefault="00101895" w:rsidP="000525F6">
      <w:pPr>
        <w:tabs>
          <w:tab w:val="left" w:pos="1080"/>
        </w:tabs>
        <w:spacing w:line="240" w:lineRule="auto"/>
        <w:ind w:firstLine="0"/>
        <w:jc w:val="left"/>
        <w:rPr>
          <w:rFonts w:ascii="Calibri" w:hAnsi="Calibri" w:cs="Calibri"/>
          <w:b/>
          <w:sz w:val="22"/>
          <w:szCs w:val="22"/>
        </w:rPr>
      </w:pPr>
      <w:r w:rsidRPr="00AA66B8">
        <w:rPr>
          <w:rFonts w:ascii="Calibri" w:hAnsi="Calibri" w:cs="Calibri"/>
          <w:b/>
          <w:sz w:val="22"/>
          <w:szCs w:val="22"/>
        </w:rPr>
        <w:t>B.3.2 DEI Data System</w:t>
      </w:r>
    </w:p>
    <w:p w:rsidR="00101895" w:rsidRPr="00AA66B8" w:rsidRDefault="00101895" w:rsidP="000525F6">
      <w:pPr>
        <w:tabs>
          <w:tab w:val="left" w:pos="1080"/>
        </w:tabs>
        <w:spacing w:line="240" w:lineRule="auto"/>
        <w:ind w:firstLine="0"/>
        <w:jc w:val="left"/>
        <w:rPr>
          <w:rFonts w:ascii="Calibri" w:hAnsi="Calibri" w:cs="Calibri"/>
          <w:b/>
          <w:sz w:val="22"/>
          <w:szCs w:val="22"/>
        </w:rPr>
      </w:pPr>
    </w:p>
    <w:p w:rsidR="00101895" w:rsidRPr="00AA66B8" w:rsidRDefault="00101895" w:rsidP="000525F6">
      <w:pPr>
        <w:tabs>
          <w:tab w:val="left" w:pos="720"/>
        </w:tabs>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The DEI Data System will be integrated into the existing registration process at all participating One-Stops. Therefore, it is expected that response rates will be relatively high as customers that receive services are required to register at a One-Stop. Existing One-Stop administrative data systems have a non-response rate of 8-10 percent. Because the DEI Data System will be linked to the existing administrative data systems via customers’ Social Security Numbers, it is highly likely that non-response rates will be 8-10 percent for the DEI grantees that elected to integrate the DEI Data System data elements into their existing data collection system.</w:t>
      </w:r>
    </w:p>
    <w:p w:rsidR="00101895" w:rsidRPr="00AA66B8" w:rsidRDefault="00101895" w:rsidP="000525F6">
      <w:pPr>
        <w:tabs>
          <w:tab w:val="left" w:pos="720"/>
        </w:tabs>
        <w:spacing w:line="240" w:lineRule="auto"/>
        <w:ind w:firstLine="0"/>
        <w:jc w:val="left"/>
        <w:rPr>
          <w:rFonts w:ascii="Calibri" w:hAnsi="Calibri" w:cs="Calibri"/>
          <w:sz w:val="22"/>
          <w:szCs w:val="22"/>
        </w:rPr>
      </w:pPr>
    </w:p>
    <w:p w:rsidR="00101895" w:rsidRPr="00AA66B8" w:rsidRDefault="00101895" w:rsidP="000525F6">
      <w:pPr>
        <w:tabs>
          <w:tab w:val="left" w:pos="720"/>
        </w:tabs>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r>
        <w:rPr>
          <w:rFonts w:ascii="Calibri" w:hAnsi="Calibri" w:cs="Calibri"/>
          <w:sz w:val="22"/>
          <w:szCs w:val="22"/>
        </w:rPr>
        <w:t xml:space="preserve">The DEI evaluation team conducted conference calls with each DEI grantee to determine how best to incorporate the collection of the additional DEI data elements into their existing data collection process. Grantees were given three options: Add the data elements to their existing WIASRD and Wagner-Peyser data collection systems, use the internet based DEI Data system or submit the additional data elements using hardcopy forms. </w:t>
      </w:r>
      <w:r w:rsidRPr="00AA66B8">
        <w:rPr>
          <w:rFonts w:ascii="Calibri" w:hAnsi="Calibri" w:cs="Calibri"/>
          <w:sz w:val="22"/>
          <w:szCs w:val="22"/>
        </w:rPr>
        <w:t>States that elected to use the Internet web-link or hardcopy form options may have lower response rates because these modes of data collection are not linked directly to existing data systems. In order to minimize non-response for these grantees, the DEI Evaluation Team will provide ongoing technical assistance to all participating One-Stop Career Centers, using webinar technology and site visits. These technical assistance activities also will include a DEI Evaluation Manual, a toll-free helpline, and quarterly monitoring of incoming data for data quality and completion. In addition, the evaluation team will review on a quarterly basis WIASRD and Wagner-Peyser data systems to ensure that each customer with a disability has a DEI Data System record.</w:t>
      </w:r>
    </w:p>
    <w:p w:rsidR="00101895" w:rsidRPr="00AA66B8" w:rsidRDefault="00101895" w:rsidP="000525F6">
      <w:pPr>
        <w:tabs>
          <w:tab w:val="left" w:pos="1080"/>
        </w:tabs>
        <w:spacing w:line="240" w:lineRule="auto"/>
        <w:ind w:firstLine="0"/>
        <w:jc w:val="left"/>
        <w:rPr>
          <w:rFonts w:ascii="Calibri" w:hAnsi="Calibri" w:cs="Calibri"/>
          <w:b/>
        </w:rPr>
      </w:pPr>
    </w:p>
    <w:p w:rsidR="00101895" w:rsidRPr="00AA66B8" w:rsidRDefault="00101895" w:rsidP="000525F6">
      <w:pPr>
        <w:pStyle w:val="Heading2"/>
        <w:spacing w:after="0"/>
        <w:jc w:val="left"/>
        <w:rPr>
          <w:rFonts w:ascii="Calibri" w:hAnsi="Calibri" w:cs="Calibri"/>
          <w:caps w:val="0"/>
        </w:rPr>
      </w:pPr>
      <w:bookmarkStart w:id="8" w:name="_Toc286649305"/>
      <w:r w:rsidRPr="00AA66B8">
        <w:rPr>
          <w:rFonts w:ascii="Calibri" w:hAnsi="Calibri" w:cs="Calibri"/>
          <w:caps w:val="0"/>
        </w:rPr>
        <w:t>B.4 Tests of Procedures or Methods to be Undertaken</w:t>
      </w:r>
      <w:bookmarkEnd w:id="8"/>
    </w:p>
    <w:p w:rsidR="00101895" w:rsidRPr="00AA66B8" w:rsidRDefault="00101895" w:rsidP="000525F6">
      <w:pPr>
        <w:spacing w:line="240" w:lineRule="auto"/>
        <w:jc w:val="left"/>
        <w:rPr>
          <w:rFonts w:ascii="Calibri" w:hAnsi="Calibri" w:cs="Calibri"/>
          <w:sz w:val="22"/>
          <w:szCs w:val="22"/>
        </w:rPr>
      </w:pPr>
    </w:p>
    <w:p w:rsidR="00101895" w:rsidRDefault="00101895" w:rsidP="005A339A">
      <w:pPr>
        <w:spacing w:line="240" w:lineRule="auto"/>
        <w:jc w:val="left"/>
        <w:rPr>
          <w:rFonts w:ascii="Calibri" w:hAnsi="Calibri" w:cs="Calibri"/>
          <w:sz w:val="22"/>
          <w:szCs w:val="22"/>
        </w:rPr>
      </w:pPr>
      <w:r w:rsidRPr="00AA66B8">
        <w:rPr>
          <w:rFonts w:ascii="Calibri" w:hAnsi="Calibri" w:cs="Calibri"/>
          <w:sz w:val="22"/>
          <w:szCs w:val="22"/>
        </w:rPr>
        <w:tab/>
        <w:t xml:space="preserve">The evaluation team has tested the site visit instruments with individuals knowledgeable about the workforce system and employment issues for people with disabilities to ensure that question wording is clear, that the questions are evoking the appropriate information, and that the overall process is not placing an </w:t>
      </w:r>
      <w:r w:rsidRPr="002D0451">
        <w:rPr>
          <w:rFonts w:ascii="Calibri" w:hAnsi="Calibri" w:cs="Calibri"/>
          <w:sz w:val="22"/>
          <w:szCs w:val="22"/>
        </w:rPr>
        <w:t xml:space="preserve">unreasonable burden on participants. These tests included interviews with stakeholders and a discussion about each component of the site visit instrument. Revisions were made to ensure that the questions collect information that is relevant to the study’s research questions. These tests were designed to identify and eliminate problems, allowing </w:t>
      </w:r>
      <w:r>
        <w:rPr>
          <w:rFonts w:ascii="Calibri" w:hAnsi="Calibri" w:cs="Calibri"/>
          <w:sz w:val="22"/>
          <w:szCs w:val="22"/>
        </w:rPr>
        <w:t>the evaluation team</w:t>
      </w:r>
      <w:r w:rsidRPr="002D0451">
        <w:rPr>
          <w:rFonts w:ascii="Calibri" w:hAnsi="Calibri" w:cs="Calibri"/>
          <w:sz w:val="22"/>
          <w:szCs w:val="22"/>
        </w:rPr>
        <w:t xml:space="preserve"> to make corrective changes or adjustments before actually colle</w:t>
      </w:r>
      <w:r w:rsidRPr="005A339A">
        <w:rPr>
          <w:rFonts w:ascii="Calibri" w:hAnsi="Calibri" w:cs="Calibri"/>
          <w:sz w:val="22"/>
          <w:szCs w:val="22"/>
        </w:rPr>
        <w:t xml:space="preserve">cting the data.  </w:t>
      </w:r>
      <w:r>
        <w:rPr>
          <w:rFonts w:ascii="Calibri" w:hAnsi="Calibri" w:cs="Calibri"/>
          <w:sz w:val="22"/>
          <w:szCs w:val="22"/>
        </w:rPr>
        <w:t>The DEI Evaluation Team reviewed the completed interviews to determine if</w:t>
      </w:r>
      <w:r w:rsidRPr="005A339A">
        <w:rPr>
          <w:rFonts w:ascii="Calibri" w:hAnsi="Calibri" w:cs="Calibri"/>
          <w:sz w:val="22"/>
          <w:szCs w:val="22"/>
        </w:rPr>
        <w:t xml:space="preserve"> respondents interpret</w:t>
      </w:r>
      <w:r>
        <w:rPr>
          <w:rFonts w:ascii="Calibri" w:hAnsi="Calibri" w:cs="Calibri"/>
          <w:sz w:val="22"/>
          <w:szCs w:val="22"/>
        </w:rPr>
        <w:t>ed</w:t>
      </w:r>
      <w:r w:rsidRPr="005A339A">
        <w:rPr>
          <w:rFonts w:ascii="Calibri" w:hAnsi="Calibri" w:cs="Calibri"/>
          <w:sz w:val="22"/>
          <w:szCs w:val="22"/>
        </w:rPr>
        <w:t xml:space="preserve"> the questions </w:t>
      </w:r>
      <w:r>
        <w:rPr>
          <w:rFonts w:ascii="Calibri" w:hAnsi="Calibri" w:cs="Calibri"/>
          <w:sz w:val="22"/>
          <w:szCs w:val="22"/>
        </w:rPr>
        <w:t>and probes the way they were intended to be interpreted; a</w:t>
      </w:r>
      <w:r w:rsidRPr="005A339A">
        <w:rPr>
          <w:rFonts w:ascii="Calibri" w:hAnsi="Calibri" w:cs="Calibri"/>
          <w:sz w:val="22"/>
          <w:szCs w:val="22"/>
        </w:rPr>
        <w:t>nalyze</w:t>
      </w:r>
      <w:r>
        <w:rPr>
          <w:rFonts w:ascii="Calibri" w:hAnsi="Calibri" w:cs="Calibri"/>
          <w:sz w:val="22"/>
          <w:szCs w:val="22"/>
        </w:rPr>
        <w:t>d</w:t>
      </w:r>
      <w:r w:rsidRPr="005A339A">
        <w:rPr>
          <w:rFonts w:ascii="Calibri" w:hAnsi="Calibri" w:cs="Calibri"/>
          <w:sz w:val="22"/>
          <w:szCs w:val="22"/>
        </w:rPr>
        <w:t xml:space="preserve"> the data </w:t>
      </w:r>
      <w:r>
        <w:rPr>
          <w:rFonts w:ascii="Calibri" w:hAnsi="Calibri" w:cs="Calibri"/>
          <w:sz w:val="22"/>
          <w:szCs w:val="22"/>
        </w:rPr>
        <w:t>and modified</w:t>
      </w:r>
      <w:r w:rsidRPr="005A339A">
        <w:rPr>
          <w:rFonts w:ascii="Calibri" w:hAnsi="Calibri" w:cs="Calibri"/>
          <w:sz w:val="22"/>
          <w:szCs w:val="22"/>
        </w:rPr>
        <w:t xml:space="preserve"> </w:t>
      </w:r>
      <w:r>
        <w:rPr>
          <w:rFonts w:ascii="Calibri" w:hAnsi="Calibri" w:cs="Calibri"/>
          <w:sz w:val="22"/>
          <w:szCs w:val="22"/>
        </w:rPr>
        <w:t>the</w:t>
      </w:r>
      <w:r w:rsidRPr="005A339A">
        <w:rPr>
          <w:rFonts w:ascii="Calibri" w:hAnsi="Calibri" w:cs="Calibri"/>
          <w:sz w:val="22"/>
          <w:szCs w:val="22"/>
        </w:rPr>
        <w:t xml:space="preserve"> instrument</w:t>
      </w:r>
      <w:r>
        <w:rPr>
          <w:rFonts w:ascii="Calibri" w:hAnsi="Calibri" w:cs="Calibri"/>
          <w:sz w:val="22"/>
          <w:szCs w:val="22"/>
        </w:rPr>
        <w:t>s</w:t>
      </w:r>
      <w:r w:rsidRPr="005A339A">
        <w:rPr>
          <w:rFonts w:ascii="Calibri" w:hAnsi="Calibri" w:cs="Calibri"/>
          <w:sz w:val="22"/>
          <w:szCs w:val="22"/>
        </w:rPr>
        <w:t xml:space="preserve"> based on the information </w:t>
      </w:r>
      <w:r>
        <w:rPr>
          <w:rFonts w:ascii="Calibri" w:hAnsi="Calibri" w:cs="Calibri"/>
          <w:sz w:val="22"/>
          <w:szCs w:val="22"/>
        </w:rPr>
        <w:t xml:space="preserve">gathered during the pilot test. </w:t>
      </w:r>
      <w:r w:rsidRPr="00503DCE">
        <w:rPr>
          <w:rFonts w:ascii="Calibri" w:hAnsi="Calibri" w:cs="Calibri"/>
          <w:sz w:val="22"/>
          <w:szCs w:val="22"/>
        </w:rPr>
        <w:t xml:space="preserve">Tests </w:t>
      </w:r>
      <w:r>
        <w:rPr>
          <w:rFonts w:ascii="Calibri" w:hAnsi="Calibri" w:cs="Calibri"/>
          <w:sz w:val="22"/>
          <w:szCs w:val="22"/>
        </w:rPr>
        <w:t>were</w:t>
      </w:r>
      <w:r w:rsidRPr="00503DCE">
        <w:rPr>
          <w:rFonts w:ascii="Calibri" w:hAnsi="Calibri" w:cs="Calibri"/>
          <w:sz w:val="22"/>
          <w:szCs w:val="22"/>
        </w:rPr>
        <w:t xml:space="preserve"> completed in LWIAs that </w:t>
      </w:r>
      <w:r w:rsidRPr="002D0451">
        <w:rPr>
          <w:rFonts w:ascii="Calibri" w:hAnsi="Calibri" w:cs="Calibri"/>
          <w:sz w:val="22"/>
          <w:szCs w:val="22"/>
        </w:rPr>
        <w:t>are not part of the DEI Evaluation.</w:t>
      </w:r>
      <w:r>
        <w:rPr>
          <w:rFonts w:ascii="Calibri" w:hAnsi="Calibri" w:cs="Calibri"/>
          <w:sz w:val="22"/>
          <w:szCs w:val="22"/>
        </w:rPr>
        <w:t xml:space="preserve"> </w:t>
      </w:r>
    </w:p>
    <w:p w:rsidR="00101895" w:rsidRPr="00A328B3" w:rsidRDefault="00101895" w:rsidP="005A339A">
      <w:pPr>
        <w:spacing w:line="240" w:lineRule="auto"/>
        <w:jc w:val="left"/>
        <w:rPr>
          <w:rFonts w:ascii="Calibri" w:hAnsi="Calibri" w:cs="Calibri"/>
          <w:sz w:val="22"/>
          <w:szCs w:val="22"/>
        </w:rPr>
      </w:pPr>
    </w:p>
    <w:p w:rsidR="00101895" w:rsidRPr="005A339A" w:rsidRDefault="00101895" w:rsidP="002E6FD6">
      <w:pPr>
        <w:spacing w:line="240" w:lineRule="auto"/>
        <w:jc w:val="left"/>
        <w:rPr>
          <w:rFonts w:ascii="Calibri" w:hAnsi="Calibri" w:cs="Calibri"/>
          <w:sz w:val="22"/>
          <w:szCs w:val="22"/>
        </w:rPr>
      </w:pPr>
      <w:r w:rsidRPr="00A328B3">
        <w:rPr>
          <w:rFonts w:ascii="Calibri" w:hAnsi="Calibri" w:cs="Calibri"/>
          <w:sz w:val="22"/>
          <w:szCs w:val="22"/>
        </w:rPr>
        <w:t xml:space="preserve">The qualitative data collected through </w:t>
      </w:r>
      <w:r>
        <w:rPr>
          <w:rFonts w:ascii="Calibri" w:hAnsi="Calibri" w:cs="Calibri"/>
          <w:sz w:val="22"/>
          <w:szCs w:val="22"/>
        </w:rPr>
        <w:t xml:space="preserve">the pilot test </w:t>
      </w:r>
      <w:r w:rsidRPr="00A328B3">
        <w:rPr>
          <w:rFonts w:ascii="Calibri" w:hAnsi="Calibri" w:cs="Calibri"/>
          <w:sz w:val="22"/>
          <w:szCs w:val="22"/>
        </w:rPr>
        <w:t xml:space="preserve">interviews indicated that the instruments </w:t>
      </w:r>
      <w:r>
        <w:rPr>
          <w:rFonts w:ascii="Calibri" w:hAnsi="Calibri" w:cs="Calibri"/>
          <w:sz w:val="22"/>
          <w:szCs w:val="22"/>
        </w:rPr>
        <w:t xml:space="preserve">collect the information </w:t>
      </w:r>
      <w:r w:rsidRPr="00A328B3">
        <w:rPr>
          <w:rFonts w:ascii="Calibri" w:hAnsi="Calibri" w:cs="Calibri"/>
          <w:sz w:val="22"/>
          <w:szCs w:val="22"/>
        </w:rPr>
        <w:t xml:space="preserve">they were supposed </w:t>
      </w:r>
      <w:r>
        <w:rPr>
          <w:rFonts w:ascii="Calibri" w:hAnsi="Calibri" w:cs="Calibri"/>
          <w:sz w:val="22"/>
          <w:szCs w:val="22"/>
        </w:rPr>
        <w:t>collect the resulting data</w:t>
      </w:r>
      <w:r w:rsidRPr="00A328B3">
        <w:rPr>
          <w:rFonts w:ascii="Calibri" w:hAnsi="Calibri" w:cs="Calibri"/>
          <w:sz w:val="22"/>
          <w:szCs w:val="22"/>
        </w:rPr>
        <w:t xml:space="preserve"> were relevant to </w:t>
      </w:r>
      <w:r>
        <w:rPr>
          <w:rFonts w:ascii="Calibri" w:hAnsi="Calibri" w:cs="Calibri"/>
          <w:sz w:val="22"/>
          <w:szCs w:val="22"/>
        </w:rPr>
        <w:t xml:space="preserve">DEI and each stakeholder group. </w:t>
      </w:r>
      <w:r w:rsidRPr="00A328B3">
        <w:rPr>
          <w:rFonts w:ascii="Calibri" w:hAnsi="Calibri" w:cs="Calibri"/>
          <w:sz w:val="22"/>
          <w:szCs w:val="22"/>
        </w:rPr>
        <w:t xml:space="preserve">However, </w:t>
      </w:r>
      <w:r>
        <w:rPr>
          <w:rFonts w:ascii="Calibri" w:hAnsi="Calibri" w:cs="Calibri"/>
          <w:sz w:val="22"/>
          <w:szCs w:val="22"/>
        </w:rPr>
        <w:t xml:space="preserve">the pilot </w:t>
      </w:r>
      <w:r w:rsidRPr="00A328B3">
        <w:rPr>
          <w:rFonts w:ascii="Calibri" w:hAnsi="Calibri" w:cs="Calibri"/>
          <w:sz w:val="22"/>
          <w:szCs w:val="22"/>
        </w:rPr>
        <w:t>interviews also showed how the</w:t>
      </w:r>
      <w:r>
        <w:rPr>
          <w:rFonts w:ascii="Calibri" w:hAnsi="Calibri" w:cs="Calibri"/>
          <w:sz w:val="22"/>
          <w:szCs w:val="22"/>
        </w:rPr>
        <w:t xml:space="preserve"> instruments could be improved. Questions were reworded and reordered for clarity and flow of the interview process and several probes were added to the instruments. </w:t>
      </w:r>
      <w:r w:rsidRPr="00503DCE">
        <w:rPr>
          <w:rFonts w:ascii="Calibri" w:hAnsi="Calibri" w:cs="Calibri"/>
          <w:sz w:val="22"/>
          <w:szCs w:val="22"/>
        </w:rPr>
        <w:t>The DEI Evaluation Team will continue to test the site visit instruments during the OMB review and comment period to refine wording and confirm the estimates of burden.</w:t>
      </w:r>
    </w:p>
    <w:p w:rsidR="00101895" w:rsidRDefault="00101895" w:rsidP="000525F6">
      <w:pPr>
        <w:spacing w:line="240" w:lineRule="auto"/>
        <w:jc w:val="left"/>
        <w:rPr>
          <w:rFonts w:ascii="Calibri" w:hAnsi="Calibri" w:cs="Calibri"/>
          <w:sz w:val="22"/>
          <w:szCs w:val="22"/>
        </w:rPr>
      </w:pPr>
    </w:p>
    <w:p w:rsidR="00101895" w:rsidRPr="00AA66B8" w:rsidRDefault="00101895" w:rsidP="000525F6">
      <w:pPr>
        <w:spacing w:line="240" w:lineRule="auto"/>
        <w:jc w:val="left"/>
        <w:rPr>
          <w:rFonts w:ascii="Calibri" w:hAnsi="Calibri" w:cs="Calibri"/>
        </w:rPr>
      </w:pPr>
      <w:r w:rsidRPr="002D0451">
        <w:rPr>
          <w:rFonts w:ascii="Calibri" w:hAnsi="Calibri" w:cs="Calibri"/>
          <w:sz w:val="22"/>
          <w:szCs w:val="22"/>
        </w:rPr>
        <w:t>In addition</w:t>
      </w:r>
      <w:r w:rsidRPr="00AA66B8">
        <w:rPr>
          <w:rFonts w:ascii="Calibri" w:hAnsi="Calibri" w:cs="Calibri"/>
          <w:sz w:val="22"/>
          <w:szCs w:val="22"/>
        </w:rPr>
        <w:t>, the DEI Data System design has been reviewed extensively by DOL and the DEI grantees. A pilot test was conducted with 9 respondents in January 2011 to determine respondent burden. The DEI Data System prototype will be completed in May 2011 at which time the DEI Evaluation Team will complete another pilot test to assess system usability. Tests will focus on time to complete, comprehension of system instructions, ease of use and human-computer interaction. The DEI Evaluation Team</w:t>
      </w:r>
      <w:r>
        <w:rPr>
          <w:rFonts w:ascii="Calibri" w:hAnsi="Calibri" w:cs="Calibri"/>
          <w:sz w:val="22"/>
          <w:szCs w:val="22"/>
        </w:rPr>
        <w:t>’s</w:t>
      </w:r>
      <w:r w:rsidRPr="00AA66B8">
        <w:rPr>
          <w:rFonts w:ascii="Calibri" w:hAnsi="Calibri" w:cs="Calibri"/>
          <w:sz w:val="22"/>
          <w:szCs w:val="22"/>
        </w:rPr>
        <w:t xml:space="preserve"> Data System staff will provide technical assistance to all participating LWIAs throughout the DEI Evaluation period to ensure that users of the system, regardless of the mode of data collection, complete data collection in a timely manner and that all data element fields are filled-in. </w:t>
      </w:r>
    </w:p>
    <w:p w:rsidR="00101895" w:rsidRPr="00AA66B8" w:rsidRDefault="00101895" w:rsidP="000525F6">
      <w:pPr>
        <w:spacing w:line="240" w:lineRule="auto"/>
        <w:jc w:val="left"/>
        <w:rPr>
          <w:rFonts w:ascii="Calibri" w:hAnsi="Calibri" w:cs="Calibri"/>
          <w:sz w:val="22"/>
          <w:szCs w:val="22"/>
        </w:rPr>
      </w:pPr>
    </w:p>
    <w:p w:rsidR="00101895" w:rsidRPr="00AA66B8" w:rsidRDefault="00101895" w:rsidP="000525F6">
      <w:pPr>
        <w:spacing w:line="240" w:lineRule="auto"/>
        <w:jc w:val="left"/>
        <w:rPr>
          <w:rFonts w:ascii="Calibri" w:hAnsi="Calibri" w:cs="Calibri"/>
          <w:sz w:val="22"/>
          <w:szCs w:val="22"/>
        </w:rPr>
      </w:pPr>
    </w:p>
    <w:p w:rsidR="00101895" w:rsidRPr="00AA66B8" w:rsidRDefault="00101895" w:rsidP="000525F6">
      <w:pPr>
        <w:spacing w:line="240" w:lineRule="auto"/>
        <w:ind w:left="540" w:hanging="540"/>
        <w:jc w:val="left"/>
        <w:rPr>
          <w:rFonts w:ascii="Calibri" w:hAnsi="Calibri" w:cs="Calibri"/>
          <w:b/>
        </w:rPr>
      </w:pPr>
      <w:r w:rsidRPr="00AA66B8">
        <w:rPr>
          <w:rFonts w:ascii="Calibri" w:hAnsi="Calibri" w:cs="Calibri"/>
          <w:b/>
        </w:rPr>
        <w:t xml:space="preserve">B.5 </w:t>
      </w:r>
      <w:r w:rsidRPr="00AA66B8">
        <w:rPr>
          <w:rFonts w:ascii="Calibri" w:hAnsi="Calibri" w:cs="Calibri"/>
          <w:b/>
        </w:rPr>
        <w:tab/>
      </w:r>
      <w:r w:rsidRPr="00AA66B8">
        <w:rPr>
          <w:rFonts w:ascii="Calibri" w:hAnsi="Calibri" w:cs="Calibri"/>
          <w:b/>
        </w:rPr>
        <w:tab/>
        <w:t>INDIVIDUALS CONSULTED ON STATISTICAL ASPECTS AND/OR ANALYZING DATA</w:t>
      </w:r>
    </w:p>
    <w:p w:rsidR="00101895" w:rsidRPr="00AA66B8" w:rsidRDefault="00101895" w:rsidP="000525F6">
      <w:pPr>
        <w:tabs>
          <w:tab w:val="clear" w:pos="432"/>
          <w:tab w:val="left" w:pos="360"/>
          <w:tab w:val="left" w:pos="720"/>
        </w:tabs>
        <w:spacing w:line="240" w:lineRule="auto"/>
        <w:ind w:left="360" w:firstLine="0"/>
        <w:jc w:val="left"/>
        <w:rPr>
          <w:rFonts w:ascii="Calibri" w:hAnsi="Calibri" w:cs="Calibri"/>
          <w:b/>
          <w:color w:val="000000"/>
          <w:sz w:val="22"/>
          <w:szCs w:val="22"/>
        </w:rPr>
      </w:pPr>
    </w:p>
    <w:p w:rsidR="00101895" w:rsidRPr="00AA66B8" w:rsidRDefault="00101895" w:rsidP="000525F6">
      <w:pPr>
        <w:pStyle w:val="ListParagraph"/>
        <w:numPr>
          <w:ilvl w:val="0"/>
          <w:numId w:val="25"/>
        </w:numPr>
        <w:tabs>
          <w:tab w:val="left" w:pos="720"/>
        </w:tabs>
        <w:spacing w:after="0"/>
        <w:jc w:val="left"/>
        <w:rPr>
          <w:rFonts w:ascii="Calibri" w:hAnsi="Calibri" w:cs="Calibri"/>
          <w:color w:val="000000"/>
          <w:sz w:val="22"/>
          <w:szCs w:val="22"/>
        </w:rPr>
      </w:pPr>
      <w:r w:rsidRPr="00AA66B8">
        <w:rPr>
          <w:rFonts w:ascii="Calibri" w:hAnsi="Calibri" w:cs="Calibri"/>
          <w:color w:val="000000"/>
          <w:sz w:val="22"/>
          <w:szCs w:val="22"/>
        </w:rPr>
        <w:t>Gina Livermore, Ph.D., Mathematica Policy Research, Inc. (DEI Evaluation Team Member)</w:t>
      </w:r>
    </w:p>
    <w:p w:rsidR="00101895" w:rsidRPr="00AA66B8" w:rsidRDefault="00101895" w:rsidP="000525F6">
      <w:pPr>
        <w:pStyle w:val="Bullet"/>
        <w:spacing w:after="0"/>
        <w:ind w:left="720"/>
        <w:jc w:val="left"/>
        <w:rPr>
          <w:rFonts w:ascii="Calibri" w:hAnsi="Calibri" w:cs="Calibri"/>
          <w:sz w:val="22"/>
          <w:szCs w:val="22"/>
        </w:rPr>
      </w:pPr>
      <w:hyperlink r:id="rId34" w:history="1">
        <w:r w:rsidRPr="00AA66B8">
          <w:rPr>
            <w:rStyle w:val="Hyperlink"/>
            <w:rFonts w:ascii="Calibri" w:hAnsi="Calibri" w:cs="Calibri"/>
            <w:sz w:val="22"/>
            <w:szCs w:val="22"/>
          </w:rPr>
          <w:t>GLivermore@mathematica-mpr.com</w:t>
        </w:r>
      </w:hyperlink>
    </w:p>
    <w:p w:rsidR="00101895" w:rsidRPr="00AA66B8" w:rsidRDefault="00101895" w:rsidP="000525F6">
      <w:pPr>
        <w:pStyle w:val="Bullet"/>
        <w:spacing w:after="0"/>
        <w:ind w:left="720"/>
        <w:jc w:val="left"/>
        <w:rPr>
          <w:rFonts w:ascii="Calibri" w:hAnsi="Calibri" w:cs="Calibri"/>
          <w:sz w:val="22"/>
          <w:szCs w:val="22"/>
        </w:rPr>
      </w:pPr>
      <w:r w:rsidRPr="00AA66B8">
        <w:rPr>
          <w:rFonts w:ascii="Calibri" w:hAnsi="Calibri" w:cs="Calibri"/>
          <w:sz w:val="22"/>
          <w:szCs w:val="22"/>
        </w:rPr>
        <w:t>202-264-3462</w:t>
      </w:r>
    </w:p>
    <w:p w:rsidR="00101895" w:rsidRPr="00AA66B8" w:rsidRDefault="00101895" w:rsidP="000525F6">
      <w:pPr>
        <w:pStyle w:val="Bullet"/>
        <w:spacing w:after="0"/>
        <w:jc w:val="left"/>
        <w:rPr>
          <w:rFonts w:ascii="Calibri" w:hAnsi="Calibri" w:cs="Calibri"/>
          <w:sz w:val="22"/>
          <w:szCs w:val="22"/>
        </w:rPr>
      </w:pPr>
    </w:p>
    <w:p w:rsidR="00101895" w:rsidRPr="00AA66B8" w:rsidRDefault="00101895" w:rsidP="000525F6">
      <w:pPr>
        <w:pStyle w:val="ListParagraph"/>
        <w:numPr>
          <w:ilvl w:val="0"/>
          <w:numId w:val="25"/>
        </w:numPr>
        <w:tabs>
          <w:tab w:val="left" w:pos="720"/>
        </w:tabs>
        <w:spacing w:after="0"/>
        <w:jc w:val="left"/>
        <w:rPr>
          <w:rFonts w:ascii="Calibri" w:hAnsi="Calibri" w:cs="Calibri"/>
          <w:color w:val="000000"/>
          <w:sz w:val="22"/>
          <w:szCs w:val="22"/>
        </w:rPr>
      </w:pPr>
      <w:r w:rsidRPr="00AA66B8">
        <w:rPr>
          <w:rFonts w:ascii="Calibri" w:hAnsi="Calibri" w:cs="Calibri"/>
          <w:color w:val="000000"/>
          <w:sz w:val="22"/>
          <w:szCs w:val="22"/>
        </w:rPr>
        <w:t>Peter Schochet, Ph.D., Mathematica Policy Research, Inc. (DEI Evaluation Team Member)</w:t>
      </w:r>
    </w:p>
    <w:p w:rsidR="00101895" w:rsidRPr="00AA66B8" w:rsidRDefault="00101895" w:rsidP="000525F6">
      <w:pPr>
        <w:pStyle w:val="Bullet"/>
        <w:tabs>
          <w:tab w:val="left" w:pos="720"/>
        </w:tabs>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hyperlink r:id="rId35" w:history="1">
        <w:r w:rsidRPr="00AA66B8">
          <w:rPr>
            <w:rStyle w:val="Hyperlink"/>
            <w:rFonts w:ascii="Calibri" w:hAnsi="Calibri" w:cs="Calibri"/>
            <w:sz w:val="22"/>
            <w:szCs w:val="22"/>
          </w:rPr>
          <w:t>PSchochet@mathematica-mpr.com</w:t>
        </w:r>
      </w:hyperlink>
      <w:r w:rsidRPr="00AA66B8">
        <w:rPr>
          <w:rFonts w:ascii="Calibri" w:hAnsi="Calibri" w:cs="Calibri"/>
          <w:sz w:val="22"/>
          <w:szCs w:val="22"/>
        </w:rPr>
        <w:t>, 609-936-2783</w:t>
      </w:r>
    </w:p>
    <w:p w:rsidR="00101895" w:rsidRPr="00AA66B8" w:rsidRDefault="00101895" w:rsidP="000525F6">
      <w:pPr>
        <w:pStyle w:val="ListParagraph"/>
        <w:numPr>
          <w:ilvl w:val="0"/>
          <w:numId w:val="25"/>
        </w:numPr>
        <w:tabs>
          <w:tab w:val="left" w:pos="720"/>
        </w:tabs>
        <w:spacing w:after="0"/>
        <w:jc w:val="left"/>
        <w:rPr>
          <w:rFonts w:ascii="Calibri" w:hAnsi="Calibri" w:cs="Calibri"/>
          <w:color w:val="000000"/>
          <w:sz w:val="22"/>
          <w:szCs w:val="22"/>
        </w:rPr>
      </w:pPr>
      <w:r w:rsidRPr="00AA66B8">
        <w:rPr>
          <w:rFonts w:ascii="Calibri" w:hAnsi="Calibri" w:cs="Calibri"/>
          <w:color w:val="000000"/>
          <w:sz w:val="22"/>
          <w:szCs w:val="22"/>
        </w:rPr>
        <w:t>David Stapleton, Ph.D., Mathematica Policy Research, Inc. (DEI Evaluation Team Member)</w:t>
      </w:r>
    </w:p>
    <w:p w:rsidR="00101895" w:rsidRPr="00AA66B8" w:rsidRDefault="00101895" w:rsidP="000525F6">
      <w:pPr>
        <w:pStyle w:val="Bullet"/>
        <w:spacing w:after="0"/>
        <w:ind w:left="720"/>
        <w:jc w:val="left"/>
        <w:rPr>
          <w:rFonts w:ascii="Calibri" w:hAnsi="Calibri" w:cs="Calibri"/>
          <w:sz w:val="22"/>
          <w:szCs w:val="22"/>
        </w:rPr>
      </w:pPr>
      <w:r w:rsidRPr="00AA66B8">
        <w:rPr>
          <w:rFonts w:ascii="Calibri" w:hAnsi="Calibri" w:cs="Calibri"/>
          <w:sz w:val="22"/>
          <w:szCs w:val="22"/>
        </w:rPr>
        <w:t>202-484-4224</w:t>
      </w:r>
    </w:p>
    <w:p w:rsidR="00101895" w:rsidRPr="00AA66B8" w:rsidRDefault="00101895" w:rsidP="000525F6">
      <w:pPr>
        <w:pStyle w:val="Bullet"/>
        <w:spacing w:after="0"/>
        <w:ind w:left="720"/>
        <w:jc w:val="left"/>
        <w:rPr>
          <w:rFonts w:ascii="Calibri" w:hAnsi="Calibri" w:cs="Calibri"/>
          <w:sz w:val="22"/>
          <w:szCs w:val="22"/>
        </w:rPr>
      </w:pPr>
      <w:hyperlink r:id="rId36" w:history="1">
        <w:r w:rsidRPr="00AA66B8">
          <w:rPr>
            <w:rStyle w:val="Hyperlink"/>
            <w:rFonts w:ascii="Calibri" w:hAnsi="Calibri" w:cs="Calibri"/>
            <w:sz w:val="22"/>
            <w:szCs w:val="22"/>
          </w:rPr>
          <w:t>DStapleton@mathematica-mpr.com</w:t>
        </w:r>
      </w:hyperlink>
      <w:r w:rsidRPr="00AA66B8">
        <w:rPr>
          <w:rFonts w:ascii="Calibri" w:hAnsi="Calibri" w:cs="Calibri"/>
          <w:sz w:val="22"/>
          <w:szCs w:val="22"/>
        </w:rPr>
        <w:t xml:space="preserve"> </w:t>
      </w:r>
    </w:p>
    <w:p w:rsidR="00101895" w:rsidRPr="00AA66B8" w:rsidRDefault="00101895" w:rsidP="000525F6">
      <w:pPr>
        <w:pStyle w:val="Bullet"/>
        <w:spacing w:after="0"/>
        <w:jc w:val="left"/>
        <w:rPr>
          <w:rFonts w:ascii="Calibri" w:hAnsi="Calibri" w:cs="Calibri"/>
          <w:sz w:val="22"/>
          <w:szCs w:val="22"/>
        </w:rPr>
      </w:pPr>
    </w:p>
    <w:p w:rsidR="00101895" w:rsidRPr="00AA66B8" w:rsidRDefault="00101895" w:rsidP="000525F6">
      <w:pPr>
        <w:pStyle w:val="ListParagraph"/>
        <w:numPr>
          <w:ilvl w:val="0"/>
          <w:numId w:val="25"/>
        </w:numPr>
        <w:tabs>
          <w:tab w:val="left" w:pos="720"/>
        </w:tabs>
        <w:spacing w:after="0"/>
        <w:jc w:val="left"/>
        <w:rPr>
          <w:rFonts w:ascii="Calibri" w:hAnsi="Calibri" w:cs="Calibri"/>
          <w:color w:val="000000"/>
          <w:sz w:val="22"/>
          <w:szCs w:val="22"/>
        </w:rPr>
      </w:pPr>
      <w:r w:rsidRPr="00AA66B8">
        <w:rPr>
          <w:rFonts w:ascii="Calibri" w:hAnsi="Calibri" w:cs="Calibri"/>
          <w:color w:val="000000"/>
          <w:sz w:val="22"/>
          <w:szCs w:val="22"/>
        </w:rPr>
        <w:t>Nathan Wozny, Ph.D., Mathematica Policy Research, Inc. (DEI Evaluation Team Member)</w:t>
      </w:r>
    </w:p>
    <w:p w:rsidR="00101895" w:rsidRPr="00AA66B8" w:rsidRDefault="00101895" w:rsidP="000525F6">
      <w:pPr>
        <w:pStyle w:val="Bullet"/>
        <w:spacing w:after="0"/>
        <w:ind w:left="720"/>
        <w:jc w:val="left"/>
        <w:rPr>
          <w:rFonts w:ascii="Calibri" w:hAnsi="Calibri" w:cs="Calibri"/>
          <w:sz w:val="22"/>
          <w:szCs w:val="22"/>
        </w:rPr>
      </w:pPr>
      <w:r w:rsidRPr="00AA66B8">
        <w:rPr>
          <w:rFonts w:ascii="Calibri" w:hAnsi="Calibri" w:cs="Calibri"/>
          <w:sz w:val="22"/>
          <w:szCs w:val="22"/>
        </w:rPr>
        <w:t>609-936-2795</w:t>
      </w:r>
    </w:p>
    <w:p w:rsidR="00101895" w:rsidRPr="00AA66B8" w:rsidRDefault="00101895" w:rsidP="000525F6">
      <w:pPr>
        <w:pStyle w:val="Bullet"/>
        <w:spacing w:after="0"/>
        <w:ind w:left="720"/>
        <w:jc w:val="left"/>
        <w:rPr>
          <w:rFonts w:ascii="Calibri" w:hAnsi="Calibri" w:cs="Calibri"/>
          <w:sz w:val="22"/>
          <w:szCs w:val="22"/>
        </w:rPr>
      </w:pPr>
      <w:hyperlink r:id="rId37" w:history="1">
        <w:r w:rsidRPr="00AA66B8">
          <w:rPr>
            <w:rStyle w:val="Hyperlink"/>
            <w:rFonts w:ascii="Calibri" w:hAnsi="Calibri" w:cs="Calibri"/>
            <w:sz w:val="22"/>
            <w:szCs w:val="22"/>
          </w:rPr>
          <w:t>NWozny@mathematica-mpr.com</w:t>
        </w:r>
      </w:hyperlink>
      <w:r w:rsidRPr="00AA66B8">
        <w:rPr>
          <w:rFonts w:ascii="Calibri" w:hAnsi="Calibri" w:cs="Calibri"/>
          <w:sz w:val="22"/>
          <w:szCs w:val="22"/>
        </w:rPr>
        <w:t xml:space="preserve"> </w:t>
      </w:r>
    </w:p>
    <w:p w:rsidR="00101895" w:rsidRPr="00AA66B8" w:rsidRDefault="00101895" w:rsidP="000525F6">
      <w:pPr>
        <w:pStyle w:val="Bullet"/>
        <w:spacing w:after="0"/>
        <w:ind w:left="720"/>
        <w:jc w:val="left"/>
        <w:rPr>
          <w:rFonts w:ascii="Calibri" w:hAnsi="Calibri" w:cs="Calibri"/>
          <w:sz w:val="22"/>
          <w:szCs w:val="22"/>
        </w:rPr>
      </w:pPr>
    </w:p>
    <w:p w:rsidR="00101895" w:rsidRPr="00AA66B8" w:rsidRDefault="00101895" w:rsidP="000525F6">
      <w:pPr>
        <w:spacing w:line="240" w:lineRule="auto"/>
        <w:ind w:firstLine="0"/>
        <w:jc w:val="left"/>
        <w:rPr>
          <w:rFonts w:ascii="Calibri" w:hAnsi="Calibri" w:cs="Calibri"/>
        </w:rPr>
      </w:pPr>
      <w:r w:rsidRPr="00AA66B8">
        <w:rPr>
          <w:rFonts w:ascii="Calibri" w:hAnsi="Calibri" w:cs="Calibri"/>
        </w:rPr>
        <w:br w:type="page"/>
      </w:r>
    </w:p>
    <w:p w:rsidR="00101895" w:rsidRPr="00AA66B8" w:rsidRDefault="00101895" w:rsidP="000525F6">
      <w:pPr>
        <w:pStyle w:val="Heading3"/>
        <w:spacing w:after="0"/>
        <w:jc w:val="left"/>
        <w:rPr>
          <w:rFonts w:ascii="Calibri" w:hAnsi="Calibri" w:cs="Calibri"/>
        </w:rPr>
      </w:pPr>
      <w:r w:rsidRPr="00AA66B8">
        <w:rPr>
          <w:rFonts w:ascii="Calibri" w:hAnsi="Calibri" w:cs="Calibri"/>
        </w:rPr>
        <w:t>References – Part B</w:t>
      </w:r>
    </w:p>
    <w:p w:rsidR="00101895" w:rsidRDefault="00101895" w:rsidP="000525F6">
      <w:pPr>
        <w:pStyle w:val="References"/>
        <w:spacing w:after="0"/>
        <w:jc w:val="left"/>
        <w:rPr>
          <w:rFonts w:ascii="Calibri" w:hAnsi="Calibri" w:cs="Calibri"/>
          <w:sz w:val="22"/>
          <w:szCs w:val="22"/>
        </w:rPr>
      </w:pPr>
    </w:p>
    <w:p w:rsidR="00101895" w:rsidRPr="005949C9" w:rsidRDefault="00101895" w:rsidP="005949C9">
      <w:pPr>
        <w:rPr>
          <w:rFonts w:ascii="Calibri" w:hAnsi="Calibri" w:cs="Calibri"/>
          <w:sz w:val="22"/>
          <w:szCs w:val="22"/>
        </w:rPr>
      </w:pPr>
      <w:r w:rsidRPr="005949C9">
        <w:rPr>
          <w:rFonts w:ascii="Calibri" w:hAnsi="Calibri" w:cs="Calibri"/>
          <w:sz w:val="22"/>
          <w:szCs w:val="22"/>
        </w:rPr>
        <w:t>Card, David &amp; Krueger, Alan B. (1994). "Minimum Wages and Employment: A Case Study of the Fast-Food Industry in New Jersey and Pennsylvania," American Economic Review, vol. 84(4), pages 772-93, September</w:t>
      </w:r>
    </w:p>
    <w:p w:rsidR="00101895" w:rsidRPr="005949C9" w:rsidRDefault="00101895" w:rsidP="000525F6">
      <w:pPr>
        <w:pStyle w:val="References"/>
        <w:spacing w:after="0"/>
        <w:jc w:val="left"/>
        <w:rPr>
          <w:rFonts w:ascii="Calibri" w:hAnsi="Calibri" w:cs="Calibri"/>
          <w:sz w:val="22"/>
          <w:szCs w:val="22"/>
        </w:rPr>
      </w:pPr>
      <w:r w:rsidRPr="005949C9">
        <w:rPr>
          <w:rFonts w:ascii="Calibri" w:hAnsi="Calibri" w:cs="Calibri"/>
          <w:sz w:val="22"/>
          <w:szCs w:val="22"/>
        </w:rPr>
        <w:t xml:space="preserve">Bryk, A., &amp; Raudenbush, S. (2002). </w:t>
      </w:r>
      <w:r w:rsidRPr="005949C9">
        <w:rPr>
          <w:rFonts w:ascii="Calibri" w:hAnsi="Calibri" w:cs="Calibri"/>
          <w:i/>
          <w:sz w:val="22"/>
          <w:szCs w:val="22"/>
        </w:rPr>
        <w:t>Hierarchical linear models: Applications and data analysis methods.</w:t>
      </w:r>
      <w:r w:rsidRPr="005949C9">
        <w:rPr>
          <w:rFonts w:ascii="Calibri" w:hAnsi="Calibri" w:cs="Calibri"/>
          <w:sz w:val="22"/>
          <w:szCs w:val="22"/>
        </w:rPr>
        <w:t xml:space="preserve"> 2nd edition. Newbury Park, CA: Sage Publications.</w:t>
      </w:r>
    </w:p>
    <w:p w:rsidR="00101895" w:rsidRPr="005949C9" w:rsidRDefault="00101895" w:rsidP="000525F6">
      <w:pPr>
        <w:pStyle w:val="References"/>
        <w:spacing w:after="0"/>
        <w:jc w:val="left"/>
        <w:rPr>
          <w:rFonts w:ascii="Calibri" w:hAnsi="Calibri" w:cs="Calibri"/>
          <w:sz w:val="22"/>
          <w:szCs w:val="22"/>
        </w:rPr>
      </w:pPr>
    </w:p>
    <w:p w:rsidR="00101895" w:rsidRDefault="00101895" w:rsidP="00E25F66">
      <w:pPr>
        <w:rPr>
          <w:rFonts w:ascii="Calibri" w:hAnsi="Calibri" w:cs="Calibri"/>
          <w:sz w:val="22"/>
          <w:szCs w:val="22"/>
        </w:rPr>
      </w:pPr>
      <w:r w:rsidRPr="005949C9">
        <w:rPr>
          <w:rFonts w:ascii="Calibri" w:hAnsi="Calibri" w:cs="Calibri"/>
          <w:sz w:val="22"/>
          <w:szCs w:val="22"/>
        </w:rPr>
        <w:t>Dunham, Kate, and Andrew Wiegand. “The Effort to Implement the Youth Offender Demonstration Project (YODP) Impact Evaluation: Lessons and Implications for Further Research.” Oakland, CA: Social Policy Research Associates, 2008.</w:t>
      </w:r>
    </w:p>
    <w:p w:rsidR="00101895" w:rsidRPr="00C852F0" w:rsidRDefault="00101895" w:rsidP="003312DB">
      <w:pPr>
        <w:pStyle w:val="ListBullet"/>
        <w:tabs>
          <w:tab w:val="clear" w:pos="360"/>
          <w:tab w:val="left" w:pos="540"/>
        </w:tabs>
        <w:spacing w:before="120" w:line="240" w:lineRule="auto"/>
        <w:ind w:left="540" w:hanging="540"/>
        <w:jc w:val="both"/>
        <w:rPr>
          <w:b/>
          <w:bCs/>
          <w:sz w:val="24"/>
          <w:szCs w:val="24"/>
        </w:rPr>
      </w:pPr>
      <w:r w:rsidRPr="00C852F0">
        <w:rPr>
          <w:rFonts w:cs="Arial"/>
          <w:spacing w:val="-3"/>
          <w:sz w:val="24"/>
          <w:szCs w:val="24"/>
        </w:rPr>
        <w:t xml:space="preserve">French, W. L., &amp;  Bell, C. H. (1995).  </w:t>
      </w:r>
      <w:r w:rsidRPr="00C852F0">
        <w:rPr>
          <w:rFonts w:cs="Arial"/>
          <w:i/>
          <w:iCs/>
          <w:spacing w:val="-3"/>
          <w:sz w:val="24"/>
          <w:szCs w:val="24"/>
        </w:rPr>
        <w:t xml:space="preserve">Organization Development: Behavioral Science Interventions for Organization Improvement.  </w:t>
      </w:r>
      <w:r w:rsidRPr="00C852F0">
        <w:rPr>
          <w:rFonts w:cs="Arial"/>
          <w:spacing w:val="-3"/>
          <w:sz w:val="24"/>
          <w:szCs w:val="24"/>
        </w:rPr>
        <w:t>5</w:t>
      </w:r>
      <w:r w:rsidRPr="00C852F0">
        <w:rPr>
          <w:rFonts w:cs="Arial"/>
          <w:spacing w:val="-3"/>
          <w:sz w:val="24"/>
          <w:szCs w:val="24"/>
          <w:vertAlign w:val="superscript"/>
        </w:rPr>
        <w:t>th</w:t>
      </w:r>
      <w:r w:rsidRPr="00C852F0">
        <w:rPr>
          <w:rFonts w:cs="Arial"/>
          <w:spacing w:val="-3"/>
          <w:sz w:val="24"/>
          <w:szCs w:val="24"/>
        </w:rPr>
        <w:t xml:space="preserve"> Edition.  Englewood Cliffs, N.J.: Prentice-Hall.</w:t>
      </w:r>
    </w:p>
    <w:p w:rsidR="00101895" w:rsidRPr="005949C9" w:rsidRDefault="00101895" w:rsidP="00E25F66">
      <w:pPr>
        <w:rPr>
          <w:rFonts w:ascii="Calibri" w:hAnsi="Calibri" w:cs="Calibri"/>
          <w:sz w:val="22"/>
          <w:szCs w:val="22"/>
        </w:rPr>
      </w:pPr>
    </w:p>
    <w:p w:rsidR="00101895" w:rsidRPr="005949C9" w:rsidRDefault="00101895" w:rsidP="00E25F66">
      <w:pPr>
        <w:pStyle w:val="References"/>
        <w:spacing w:after="0"/>
        <w:jc w:val="left"/>
        <w:rPr>
          <w:rFonts w:ascii="Calibri" w:hAnsi="Calibri" w:cs="Calibri"/>
          <w:sz w:val="22"/>
          <w:szCs w:val="22"/>
        </w:rPr>
      </w:pPr>
      <w:r w:rsidRPr="005949C9">
        <w:rPr>
          <w:rFonts w:ascii="Calibri" w:hAnsi="Calibri" w:cs="Calibri"/>
          <w:sz w:val="22"/>
          <w:szCs w:val="22"/>
        </w:rPr>
        <w:t>Livermore, G., &amp; Coleman, S. (2010). Use of One-Stops by Social Security Disability beneficiaries in four states implementing Disability Program Navigator initiatives. Washington, DC: Mathematica Policy Research.</w:t>
      </w:r>
    </w:p>
    <w:p w:rsidR="00101895" w:rsidRDefault="00101895" w:rsidP="003312DB">
      <w:pPr>
        <w:pStyle w:val="ListBullet"/>
        <w:tabs>
          <w:tab w:val="clear" w:pos="360"/>
          <w:tab w:val="left" w:pos="540"/>
        </w:tabs>
        <w:spacing w:before="120" w:line="240" w:lineRule="auto"/>
        <w:ind w:left="540" w:hanging="540"/>
        <w:jc w:val="both"/>
        <w:rPr>
          <w:sz w:val="24"/>
          <w:szCs w:val="24"/>
        </w:rPr>
      </w:pPr>
    </w:p>
    <w:p w:rsidR="00101895" w:rsidRPr="00C852F0" w:rsidRDefault="00101895" w:rsidP="003312DB">
      <w:pPr>
        <w:pStyle w:val="ListBullet"/>
        <w:tabs>
          <w:tab w:val="clear" w:pos="360"/>
          <w:tab w:val="left" w:pos="540"/>
        </w:tabs>
        <w:spacing w:before="120" w:line="240" w:lineRule="auto"/>
        <w:ind w:left="540" w:hanging="540"/>
        <w:jc w:val="both"/>
        <w:rPr>
          <w:rFonts w:cs="TechnoRegular"/>
          <w:color w:val="000000"/>
          <w:sz w:val="24"/>
          <w:szCs w:val="24"/>
          <w:lang w:bidi="he-IL"/>
        </w:rPr>
      </w:pPr>
      <w:r w:rsidRPr="00C852F0">
        <w:rPr>
          <w:sz w:val="24"/>
          <w:szCs w:val="24"/>
        </w:rPr>
        <w:t xml:space="preserve">Midgley, G. (Ed.) (2003). </w:t>
      </w:r>
      <w:r w:rsidRPr="00C852F0">
        <w:rPr>
          <w:i/>
          <w:iCs/>
          <w:sz w:val="24"/>
          <w:szCs w:val="24"/>
        </w:rPr>
        <w:t>Systems thinking</w:t>
      </w:r>
      <w:r w:rsidRPr="00C852F0">
        <w:rPr>
          <w:sz w:val="24"/>
          <w:szCs w:val="24"/>
        </w:rPr>
        <w:t>. London: Sage.</w:t>
      </w:r>
    </w:p>
    <w:p w:rsidR="00101895" w:rsidRPr="005949C9" w:rsidRDefault="00101895" w:rsidP="003966A5">
      <w:pPr>
        <w:ind w:firstLine="0"/>
        <w:rPr>
          <w:rFonts w:ascii="Calibri" w:hAnsi="Calibri" w:cs="Calibri"/>
          <w:sz w:val="22"/>
          <w:szCs w:val="22"/>
        </w:rPr>
      </w:pPr>
    </w:p>
    <w:p w:rsidR="00101895" w:rsidRPr="005949C9" w:rsidRDefault="00101895" w:rsidP="003966A5">
      <w:pPr>
        <w:ind w:firstLine="0"/>
        <w:rPr>
          <w:rFonts w:ascii="Calibri" w:hAnsi="Calibri" w:cs="Calibri"/>
          <w:sz w:val="22"/>
          <w:szCs w:val="22"/>
        </w:rPr>
      </w:pPr>
      <w:r w:rsidRPr="005949C9">
        <w:rPr>
          <w:rFonts w:ascii="Calibri" w:hAnsi="Calibri" w:cs="Calibri"/>
          <w:sz w:val="22"/>
          <w:szCs w:val="22"/>
        </w:rPr>
        <w:t>Miller, Cynthia, Johannes Bos, Kristin Porter, Fannie Tseng, and Yasuyo Abe. “The Challenge of Repeating Success in a Changing World: Final Report on the Center for Employment Training Replication Sites.” New York, NY: MDRC, 2005.</w:t>
      </w:r>
    </w:p>
    <w:p w:rsidR="00101895" w:rsidRPr="005949C9" w:rsidRDefault="00101895" w:rsidP="00E25F66">
      <w:pPr>
        <w:pStyle w:val="References"/>
        <w:spacing w:after="0"/>
        <w:jc w:val="left"/>
        <w:rPr>
          <w:rFonts w:ascii="Calibri" w:hAnsi="Calibri" w:cs="Calibri"/>
          <w:sz w:val="22"/>
          <w:szCs w:val="22"/>
        </w:rPr>
      </w:pPr>
      <w:r w:rsidRPr="005949C9">
        <w:rPr>
          <w:rFonts w:ascii="Calibri" w:hAnsi="Calibri" w:cs="Calibri"/>
          <w:sz w:val="22"/>
          <w:szCs w:val="22"/>
        </w:rPr>
        <w:t>Schochet, Peter Z., John Burghardt, and Steven Glazerman. “National Job Corps Study: The Short-Term Impacts of Job Corps on Participants’ Employment and Related Outcomes.” Princeton, NJ: Mathematica Policy Research, 2000.</w:t>
      </w:r>
    </w:p>
    <w:p w:rsidR="00101895" w:rsidRPr="005949C9" w:rsidRDefault="00101895" w:rsidP="00E25F66">
      <w:pPr>
        <w:rPr>
          <w:rFonts w:ascii="Calibri" w:hAnsi="Calibri" w:cs="Calibri"/>
          <w:sz w:val="22"/>
          <w:szCs w:val="22"/>
        </w:rPr>
      </w:pPr>
    </w:p>
    <w:p w:rsidR="00101895" w:rsidRPr="005949C9" w:rsidRDefault="00101895" w:rsidP="000525F6">
      <w:pPr>
        <w:pStyle w:val="References"/>
        <w:spacing w:after="0"/>
        <w:jc w:val="left"/>
        <w:rPr>
          <w:rFonts w:ascii="Calibri" w:hAnsi="Calibri" w:cs="Calibri"/>
          <w:sz w:val="22"/>
          <w:szCs w:val="22"/>
        </w:rPr>
      </w:pPr>
      <w:r w:rsidRPr="005949C9">
        <w:rPr>
          <w:rFonts w:ascii="Calibri" w:hAnsi="Calibri" w:cs="Calibri"/>
          <w:sz w:val="22"/>
          <w:szCs w:val="22"/>
        </w:rPr>
        <w:t>U.S. Department of Labor. (n.d.). Wagner-Peyser Act employment services, state by state PY 2009 performance. Retrieved  from http://www.doleta.gov/performance/results/wagner-peyser_act.cfm</w:t>
      </w:r>
    </w:p>
    <w:p w:rsidR="00101895" w:rsidRDefault="00101895" w:rsidP="0024795C">
      <w:pPr>
        <w:ind w:firstLine="0"/>
        <w:rPr>
          <w:rFonts w:ascii="Calibri" w:hAnsi="Calibri" w:cs="Calibri"/>
          <w:sz w:val="22"/>
          <w:szCs w:val="22"/>
        </w:rPr>
      </w:pPr>
      <w:r w:rsidRPr="005949C9">
        <w:rPr>
          <w:rFonts w:ascii="Calibri" w:hAnsi="Calibri" w:cs="Calibri"/>
          <w:b/>
          <w:sz w:val="22"/>
          <w:szCs w:val="22"/>
        </w:rPr>
        <w:br w:type="page"/>
      </w:r>
    </w:p>
    <w:p w:rsidR="00101895" w:rsidRPr="0049145E" w:rsidRDefault="00101895" w:rsidP="002666B0">
      <w:pPr>
        <w:spacing w:line="240" w:lineRule="auto"/>
        <w:ind w:firstLine="0"/>
        <w:jc w:val="left"/>
        <w:rPr>
          <w:rFonts w:ascii="Calibri" w:hAnsi="Calibri" w:cs="Calibri"/>
        </w:rPr>
      </w:pPr>
      <w:r>
        <w:rPr>
          <w:noProof/>
        </w:rPr>
        <w:pict>
          <v:shapetype id="_x0000_t202" coordsize="21600,21600" o:spt="202" path="m,l,21600r21600,l21600,xe">
            <v:stroke joinstyle="miter"/>
            <v:path gradientshapeok="t" o:connecttype="rect"/>
          </v:shapetype>
          <v:shape id="Text Box 2" o:spid="_x0000_s1030" type="#_x0000_t202" style="position:absolute;margin-left:110.25pt;margin-top:1.2pt;width:288.9pt;height:139.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" strokecolor="white">
            <v:textbox style="mso-fit-shape-to-text:t">
              <w:txbxContent>
                <w:p w:rsidR="00101895" w:rsidRDefault="00101895" w:rsidP="003312DB">
                  <w:pPr>
                    <w:jc w:val="center"/>
                    <w:rPr>
                      <w:rFonts w:ascii="Calibri" w:hAnsi="Calibri"/>
                      <w:b/>
                    </w:rPr>
                  </w:pPr>
                  <w:r>
                    <w:rPr>
                      <w:rFonts w:ascii="Calibri" w:hAnsi="Calibri"/>
                      <w:b/>
                    </w:rPr>
                    <w:t>APPENDIX 5</w:t>
                  </w:r>
                </w:p>
                <w:p w:rsidR="00101895" w:rsidRPr="00F5083B" w:rsidRDefault="00101895" w:rsidP="003312DB">
                  <w:pPr>
                    <w:jc w:val="center"/>
                    <w:rPr>
                      <w:rFonts w:ascii="Calibri" w:hAnsi="Calibri"/>
                      <w:b/>
                    </w:rPr>
                  </w:pPr>
                  <w:r w:rsidRPr="00F5083B">
                    <w:rPr>
                      <w:rFonts w:ascii="Calibri" w:hAnsi="Calibri"/>
                      <w:b/>
                    </w:rPr>
                    <w:t>System Change Framework</w:t>
                  </w:r>
                </w:p>
              </w:txbxContent>
            </v:textbox>
          </v:shape>
        </w:pict>
      </w:r>
    </w:p>
    <w:p w:rsidR="00101895" w:rsidRPr="0049145E" w:rsidRDefault="00101895">
      <w:pPr>
        <w:tabs>
          <w:tab w:val="clear" w:pos="432"/>
        </w:tabs>
        <w:spacing w:line="240" w:lineRule="auto"/>
        <w:ind w:firstLine="0"/>
        <w:jc w:val="left"/>
        <w:rPr>
          <w:rFonts w:ascii="Calibri" w:hAnsi="Calibri" w:cs="Calibri"/>
          <w:b/>
        </w:rPr>
      </w:pPr>
      <w:r>
        <w:rPr>
          <w:noProof/>
        </w:rPr>
        <w:pict>
          <v:shape id="Picture 1" o:spid="_x0000_i1039" type="#_x0000_t75" style="width:482.25pt;height:625.5pt;visibility:visible">
            <v:imagedata r:id="rId38" o:title=""/>
          </v:shape>
        </w:pict>
      </w:r>
    </w:p>
    <w:p w:rsidR="00101895" w:rsidRDefault="00101895">
      <w:pPr>
        <w:tabs>
          <w:tab w:val="clear" w:pos="432"/>
        </w:tabs>
        <w:spacing w:line="240" w:lineRule="auto"/>
        <w:ind w:firstLine="0"/>
        <w:jc w:val="left"/>
        <w:rPr>
          <w:rFonts w:ascii="Calibri" w:hAnsi="Calibri" w:cs="Calibri"/>
          <w:b/>
        </w:rPr>
      </w:pPr>
      <w:r>
        <w:rPr>
          <w:rFonts w:ascii="Calibri" w:hAnsi="Calibri" w:cs="Calibri"/>
          <w:b/>
        </w:rPr>
        <w:br w:type="page"/>
      </w:r>
    </w:p>
    <w:p w:rsidR="00101895" w:rsidRPr="0049145E" w:rsidRDefault="00101895" w:rsidP="007C0DB2">
      <w:pPr>
        <w:tabs>
          <w:tab w:val="clear" w:pos="432"/>
        </w:tabs>
        <w:spacing w:line="240" w:lineRule="auto"/>
        <w:ind w:firstLine="0"/>
        <w:jc w:val="center"/>
        <w:rPr>
          <w:rFonts w:ascii="Calibri" w:hAnsi="Calibri" w:cs="Calibri"/>
          <w:b/>
        </w:rPr>
      </w:pPr>
      <w:r w:rsidRPr="0049145E">
        <w:rPr>
          <w:rFonts w:ascii="Calibri" w:hAnsi="Calibri" w:cs="Calibri"/>
          <w:b/>
        </w:rPr>
        <w:t xml:space="preserve">APPENDIX </w:t>
      </w:r>
      <w:r>
        <w:rPr>
          <w:rFonts w:ascii="Calibri" w:hAnsi="Calibri" w:cs="Calibri"/>
          <w:b/>
        </w:rPr>
        <w:t>6</w:t>
      </w:r>
    </w:p>
    <w:p w:rsidR="00101895" w:rsidRPr="0049145E" w:rsidRDefault="00101895" w:rsidP="007C0DB2">
      <w:pPr>
        <w:tabs>
          <w:tab w:val="clear" w:pos="432"/>
        </w:tabs>
        <w:spacing w:line="240" w:lineRule="auto"/>
        <w:ind w:firstLine="0"/>
        <w:jc w:val="center"/>
        <w:rPr>
          <w:rFonts w:ascii="Calibri" w:hAnsi="Calibri" w:cs="Calibri"/>
          <w:b/>
        </w:rPr>
      </w:pPr>
    </w:p>
    <w:p w:rsidR="00101895" w:rsidRDefault="00101895" w:rsidP="007C0DB2">
      <w:pPr>
        <w:tabs>
          <w:tab w:val="clear" w:pos="432"/>
        </w:tabs>
        <w:spacing w:line="240" w:lineRule="auto"/>
        <w:ind w:firstLine="0"/>
        <w:jc w:val="center"/>
        <w:rPr>
          <w:rFonts w:ascii="Calibri" w:hAnsi="Calibri" w:cs="Calibri"/>
          <w:b/>
        </w:rPr>
      </w:pPr>
      <w:r w:rsidRPr="0049145E">
        <w:rPr>
          <w:rFonts w:ascii="Calibri" w:hAnsi="Calibri" w:cs="Calibri"/>
          <w:b/>
        </w:rPr>
        <w:t>DEI Solicitation for Grant Applications</w:t>
      </w:r>
    </w:p>
    <w:p w:rsidR="00101895" w:rsidRDefault="00101895" w:rsidP="007C0DB2">
      <w:pPr>
        <w:tabs>
          <w:tab w:val="clear" w:pos="432"/>
        </w:tabs>
        <w:spacing w:line="240" w:lineRule="auto"/>
        <w:ind w:firstLine="0"/>
        <w:jc w:val="center"/>
        <w:rPr>
          <w:rFonts w:ascii="Calibri" w:hAnsi="Calibri" w:cs="Calibri"/>
          <w:b/>
        </w:rPr>
      </w:pPr>
    </w:p>
    <w:p w:rsidR="00101895" w:rsidRPr="0049145E" w:rsidRDefault="00101895" w:rsidP="007C0DB2">
      <w:pPr>
        <w:tabs>
          <w:tab w:val="clear" w:pos="432"/>
        </w:tabs>
        <w:spacing w:line="240" w:lineRule="auto"/>
        <w:ind w:firstLine="0"/>
        <w:jc w:val="center"/>
        <w:rPr>
          <w:rFonts w:ascii="Calibri" w:hAnsi="Calibri" w:cs="Calibri"/>
          <w:b/>
        </w:rPr>
      </w:pPr>
      <w:r>
        <w:rPr>
          <w:rFonts w:ascii="Calibri" w:hAnsi="Calibri" w:cs="Calibri"/>
          <w:b/>
        </w:rPr>
        <w:t>ATTACHED</w:t>
      </w:r>
    </w:p>
    <w:p w:rsidR="00101895" w:rsidRPr="0049145E" w:rsidRDefault="00101895" w:rsidP="007C0DB2">
      <w:pPr>
        <w:tabs>
          <w:tab w:val="clear" w:pos="432"/>
        </w:tabs>
        <w:spacing w:line="240" w:lineRule="auto"/>
        <w:ind w:firstLine="0"/>
        <w:jc w:val="center"/>
        <w:rPr>
          <w:rFonts w:ascii="Calibri" w:hAnsi="Calibri" w:cs="Calibri"/>
          <w:b/>
        </w:rPr>
      </w:pPr>
    </w:p>
    <w:p w:rsidR="00101895" w:rsidRPr="00AA66B8" w:rsidRDefault="00101895" w:rsidP="004224B4">
      <w:pPr>
        <w:tabs>
          <w:tab w:val="clear" w:pos="432"/>
        </w:tabs>
        <w:spacing w:line="240" w:lineRule="auto"/>
        <w:ind w:firstLine="0"/>
        <w:jc w:val="left"/>
        <w:rPr>
          <w:rFonts w:ascii="Calibri" w:hAnsi="Calibri" w:cs="Calibri"/>
        </w:rPr>
      </w:pPr>
    </w:p>
    <w:p w:rsidR="00101895" w:rsidRPr="00AA66B8" w:rsidRDefault="00101895" w:rsidP="004224B4">
      <w:pPr>
        <w:tabs>
          <w:tab w:val="clear" w:pos="432"/>
        </w:tabs>
        <w:spacing w:line="240" w:lineRule="auto"/>
        <w:ind w:firstLine="0"/>
        <w:jc w:val="left"/>
        <w:rPr>
          <w:rFonts w:ascii="Calibri" w:hAnsi="Calibri" w:cs="Calibri"/>
          <w:b/>
          <w:sz w:val="18"/>
        </w:rPr>
      </w:pPr>
    </w:p>
    <w:p w:rsidR="00101895" w:rsidRPr="00884310" w:rsidDel="000B5BC3" w:rsidRDefault="00101895" w:rsidP="00884310">
      <w:pPr>
        <w:pStyle w:val="MarkforTableHeading"/>
        <w:spacing w:line="240" w:lineRule="auto"/>
        <w:jc w:val="left"/>
        <w:rPr>
          <w:rFonts w:ascii="Calibri" w:hAnsi="Calibri" w:cs="Calibri"/>
          <w:b/>
          <w:caps w:val="0"/>
          <w:sz w:val="22"/>
          <w:szCs w:val="22"/>
        </w:rPr>
      </w:pPr>
    </w:p>
    <w:p w:rsidR="00101895" w:rsidRPr="00D75099" w:rsidDel="000B5BC3" w:rsidRDefault="00101895" w:rsidP="004224B4">
      <w:pPr>
        <w:pStyle w:val="TableSourceCaption"/>
        <w:jc w:val="left"/>
        <w:rPr>
          <w:rFonts w:ascii="Calibri" w:hAnsi="Calibri" w:cs="Calibri"/>
          <w:sz w:val="20"/>
          <w:szCs w:val="20"/>
        </w:rPr>
      </w:pPr>
    </w:p>
    <w:p w:rsidR="00101895" w:rsidRPr="00AA66B8" w:rsidRDefault="00101895" w:rsidP="004224B4">
      <w:pPr>
        <w:pStyle w:val="MarkforTableHeading"/>
        <w:spacing w:line="240" w:lineRule="auto"/>
        <w:jc w:val="left"/>
        <w:rPr>
          <w:rFonts w:ascii="Calibri" w:hAnsi="Calibri" w:cs="Calibri"/>
          <w:caps w:val="0"/>
        </w:rPr>
      </w:pPr>
    </w:p>
    <w:p w:rsidR="00101895" w:rsidRPr="00AA66B8" w:rsidRDefault="00101895" w:rsidP="00CB7AD4">
      <w:pPr>
        <w:tabs>
          <w:tab w:val="clear" w:pos="432"/>
        </w:tabs>
        <w:spacing w:line="240" w:lineRule="auto"/>
        <w:ind w:firstLine="0"/>
        <w:jc w:val="left"/>
        <w:rPr>
          <w:rFonts w:ascii="Calibri" w:hAnsi="Calibri" w:cs="Calibri"/>
          <w:b/>
        </w:rPr>
      </w:pPr>
    </w:p>
    <w:sectPr w:rsidR="00101895" w:rsidRPr="00AA66B8" w:rsidSect="006816EA">
      <w:footerReference w:type="default" r:id="rId39"/>
      <w:endnotePr>
        <w:numFmt w:val="decimal"/>
      </w:endnotePr>
      <w:pgSz w:w="12240" w:h="15840" w:code="1"/>
      <w:pgMar w:top="1152" w:right="1152" w:bottom="576" w:left="1152"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895" w:rsidRDefault="00101895">
      <w:pPr>
        <w:spacing w:line="240" w:lineRule="auto"/>
        <w:ind w:firstLine="0"/>
      </w:pPr>
    </w:p>
  </w:endnote>
  <w:endnote w:type="continuationSeparator" w:id="0">
    <w:p w:rsidR="00101895" w:rsidRDefault="00101895">
      <w:pPr>
        <w:spacing w:line="240" w:lineRule="auto"/>
        <w:ind w:firstLine="0"/>
      </w:pPr>
    </w:p>
  </w:endnote>
  <w:endnote w:type="continuationNotice" w:id="1">
    <w:p w:rsidR="00101895" w:rsidRDefault="00101895">
      <w:pPr>
        <w:spacing w:line="240" w:lineRule="auto"/>
        <w:ind w:firstLine="0"/>
      </w:pPr>
    </w:p>
    <w:p w:rsidR="00101895" w:rsidRDefault="00101895"/>
    <w:p w:rsidR="00101895" w:rsidRDefault="0010189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C:\Users\dedona-meredith\AppData\Local\Microsoft\Windows\Temporary Internet Files\OLKC918\ML DEI Eval OMB Package Supporting Statement Part B 1-27-12.docx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Techno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95" w:rsidRPr="002C562A" w:rsidRDefault="00101895" w:rsidP="005F31CD">
    <w:pPr>
      <w:pStyle w:val="Footer"/>
      <w:tabs>
        <w:tab w:val="clear" w:pos="432"/>
        <w:tab w:val="clear" w:pos="4320"/>
        <w:tab w:val="clear" w:pos="8640"/>
      </w:tabs>
      <w:ind w:left="-540" w:firstLine="0"/>
      <w:jc w:val="center"/>
    </w:pPr>
    <w:r>
      <w:rPr>
        <w:noProof/>
      </w:rPr>
      <w:pict>
        <v:line id="Line 3" o:spid="_x0000_s2049" style="position:absolute;left:0;text-align:left;z-index:251660288;visibility:visible;mso-wrap-distance-top:-8e-5mm;mso-wrap-distance-bottom:-8e-5mm" from="-6.75pt,6.65pt" to="218.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IFAIAACg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" strokecolor="#7f7f7f">
          <w10:wrap type="square"/>
        </v:line>
      </w:pict>
    </w:r>
    <w:r>
      <w:rPr>
        <w:noProof/>
      </w:rPr>
      <w:pict>
        <v:line id="Line 4" o:spid="_x0000_s2050" style="position:absolute;left:0;text-align:left;z-index:251661312;visibility:visible;mso-wrap-distance-top:-8e-5mm;mso-wrap-distance-bottom:-8e-5mm" from="248.25pt,6.05pt" to="470.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ITFAIAACgEAAAOAAAAZHJzL2Uyb0RvYy54bWysU9uO2jAQfa/Uf7D8Drk0s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" strokecolor="#7f7f7f">
          <w10:wrap type="square"/>
        </v:line>
      </w:pict>
    </w:r>
    <w:r w:rsidRPr="00D43D62">
      <w:rPr>
        <w:rStyle w:val="PageNumber"/>
      </w:rPr>
      <w:fldChar w:fldCharType="begin"/>
    </w:r>
    <w:r w:rsidRPr="00D43D62">
      <w:rPr>
        <w:rStyle w:val="PageNumber"/>
      </w:rPr>
      <w:instrText xml:space="preserve"> PAGE </w:instrText>
    </w:r>
    <w:r w:rsidRPr="00D43D62">
      <w:rPr>
        <w:rStyle w:val="PageNumber"/>
      </w:rPr>
      <w:fldChar w:fldCharType="separate"/>
    </w:r>
    <w:r>
      <w:rPr>
        <w:rStyle w:val="PageNumber"/>
        <w:noProof/>
      </w:rPr>
      <w:t>2</w:t>
    </w:r>
    <w:r w:rsidRPr="00D43D62">
      <w:rPr>
        <w:rStyle w:val="PageNumber"/>
      </w:rPr>
      <w:fldChar w:fldCharType="end"/>
    </w:r>
  </w:p>
  <w:p w:rsidR="00101895" w:rsidRDefault="00101895" w:rsidP="005708C0">
    <w:pPr>
      <w:pStyle w:val="Footer"/>
      <w:tabs>
        <w:tab w:val="clear" w:pos="432"/>
        <w:tab w:val="clear" w:pos="4320"/>
        <w:tab w:val="clear" w:pos="8640"/>
        <w:tab w:val="center" w:pos="4770"/>
        <w:tab w:val="right" w:pos="9360"/>
      </w:tabs>
      <w:spacing w:before="360" w:line="240" w:lineRule="auto"/>
      <w:ind w:firstLine="0"/>
      <w:jc w:val="right"/>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895" w:rsidRDefault="00101895">
      <w:pPr>
        <w:spacing w:line="240" w:lineRule="auto"/>
        <w:ind w:firstLine="0"/>
      </w:pPr>
      <w:r>
        <w:separator/>
      </w:r>
    </w:p>
  </w:footnote>
  <w:footnote w:type="continuationSeparator" w:id="0">
    <w:p w:rsidR="00101895" w:rsidRDefault="00101895">
      <w:pPr>
        <w:spacing w:line="240" w:lineRule="auto"/>
        <w:ind w:firstLine="0"/>
      </w:pPr>
      <w:r>
        <w:separator/>
      </w:r>
    </w:p>
    <w:p w:rsidR="00101895" w:rsidRDefault="00101895">
      <w:pPr>
        <w:spacing w:line="240" w:lineRule="auto"/>
        <w:ind w:firstLine="0"/>
        <w:rPr>
          <w:i/>
        </w:rPr>
      </w:pPr>
      <w:r>
        <w:rPr>
          <w:i/>
        </w:rPr>
        <w:t>(continued)</w:t>
      </w:r>
    </w:p>
  </w:footnote>
  <w:footnote w:type="continuationNotice" w:id="1">
    <w:p w:rsidR="00101895" w:rsidRDefault="00101895">
      <w:pPr>
        <w:pStyle w:val="Footer"/>
        <w:spacing w:line="240" w:lineRule="auto"/>
      </w:pPr>
    </w:p>
  </w:footnote>
  <w:footnote w:id="2">
    <w:p w:rsidR="00101895" w:rsidRDefault="00101895">
      <w:pPr>
        <w:pStyle w:val="FootnoteText"/>
      </w:pPr>
      <w:r w:rsidRPr="001F46CF">
        <w:rPr>
          <w:rStyle w:val="FootnoteReference"/>
          <w:rFonts w:ascii="Calibri" w:hAnsi="Calibri"/>
        </w:rPr>
        <w:footnoteRef/>
      </w:r>
      <w:r w:rsidRPr="0024795C">
        <w:rPr>
          <w:rFonts w:ascii="Calibri" w:hAnsi="Calibri"/>
        </w:rPr>
        <w:t xml:space="preserve"> Note tha</w:t>
      </w:r>
      <w:r>
        <w:rPr>
          <w:rFonts w:ascii="Calibri" w:hAnsi="Calibri"/>
        </w:rPr>
        <w:t xml:space="preserve">t because we are randomizing </w:t>
      </w:r>
      <w:r w:rsidRPr="0024795C">
        <w:rPr>
          <w:rFonts w:ascii="Calibri" w:hAnsi="Calibri"/>
        </w:rPr>
        <w:t>LWIAs</w:t>
      </w:r>
      <w:r>
        <w:rPr>
          <w:rFonts w:ascii="Calibri" w:hAnsi="Calibri"/>
        </w:rPr>
        <w:t>, rather than</w:t>
      </w:r>
      <w:r w:rsidRPr="0024795C">
        <w:rPr>
          <w:rFonts w:ascii="Calibri" w:hAnsi="Calibri"/>
        </w:rPr>
        <w:t xml:space="preserve"> individuals, the number of individuals at a particular site has a relatively minor effect on the study power compared with the number of sites.</w:t>
      </w:r>
    </w:p>
  </w:footnote>
  <w:footnote w:id="3">
    <w:p w:rsidR="00101895" w:rsidRDefault="00101895">
      <w:pPr>
        <w:pStyle w:val="FootnoteText"/>
      </w:pPr>
      <w:r w:rsidRPr="001F46CF">
        <w:rPr>
          <w:rStyle w:val="FootnoteReference"/>
          <w:rFonts w:ascii="Calibri" w:hAnsi="Calibri"/>
        </w:rPr>
        <w:footnoteRef/>
      </w:r>
      <w:r w:rsidRPr="0024795C">
        <w:rPr>
          <w:rFonts w:ascii="Calibri" w:hAnsi="Calibri"/>
        </w:rPr>
        <w:t xml:space="preserve"> DOL plans to have Social Security Administration (SSA) data from SSA</w:t>
      </w:r>
      <w:r w:rsidRPr="001F46CF">
        <w:rPr>
          <w:rFonts w:ascii="Calibri" w:hAnsi="Calibri"/>
        </w:rPr>
        <w:t>’</w:t>
      </w:r>
      <w:r w:rsidRPr="0024795C">
        <w:rPr>
          <w:rFonts w:ascii="Calibri" w:hAnsi="Calibri"/>
        </w:rPr>
        <w:t>s disability programs matched to the DEI data for purposes of identifying One-Stop customers with disabilities based on disability program participation, rather than self-identification. Thus, a part of the analysis will be based on this subset of the client universe.</w:t>
      </w:r>
    </w:p>
  </w:footnote>
  <w:footnote w:id="4">
    <w:p w:rsidR="00101895" w:rsidRDefault="00101895" w:rsidP="002666B0">
      <w:pPr>
        <w:pStyle w:val="FootnoteText"/>
      </w:pPr>
      <w:r w:rsidRPr="001F46CF">
        <w:rPr>
          <w:rStyle w:val="FootnoteReference"/>
          <w:rFonts w:ascii="Calibri" w:hAnsi="Calibri"/>
        </w:rPr>
        <w:footnoteRef/>
      </w:r>
      <w:r w:rsidRPr="0024795C">
        <w:rPr>
          <w:rFonts w:ascii="Calibri" w:hAnsi="Calibri"/>
        </w:rPr>
        <w:t xml:space="preserve"> A site refers to an LWIA or the state-wide LWIBs in Alaska and Delaware.  To determine the number of customers with disabilities from whom data will be collected via the DEI Data System, the numbers of FY 2009 WIASRD and Wagner-Peyser services users were obtained from the DEI grant applications.  These counts were reduced by 11 percent (based on information reported in Livermore, &amp; Coleman 2010) to obtain an approximate unduplicated count of customers with disabilities. The adjusted annual counts are then doubled to obtain the total number of customers with disabilities participating in data collection over the two year period.</w:t>
      </w:r>
    </w:p>
  </w:footnote>
  <w:footnote w:id="5">
    <w:p w:rsidR="00101895" w:rsidRDefault="00101895">
      <w:pPr>
        <w:pStyle w:val="FootnoteText"/>
      </w:pPr>
      <w:r>
        <w:rPr>
          <w:rStyle w:val="FootnoteReference"/>
        </w:rPr>
        <w:footnoteRef/>
      </w:r>
      <w:r>
        <w:t xml:space="preserve"> Site visits will include visits to each study site, which is defined as each state’s participating LWIAs. Within each LWIA, visits will be made to LWIBs, One-Stops, public and private agency partners and employers.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AE642E"/>
    <w:lvl w:ilvl="0">
      <w:start w:val="1"/>
      <w:numFmt w:val="bullet"/>
      <w:lvlText w:val=""/>
      <w:lvlJc w:val="left"/>
      <w:pPr>
        <w:tabs>
          <w:tab w:val="num" w:pos="360"/>
        </w:tabs>
        <w:ind w:left="360" w:hanging="360"/>
      </w:pPr>
      <w:rPr>
        <w:rFonts w:ascii="Symbol" w:hAnsi="Symbol" w:hint="default"/>
      </w:rPr>
    </w:lvl>
  </w:abstractNum>
  <w:abstractNum w:abstractNumId="1">
    <w:nsid w:val="04A72B58"/>
    <w:multiLevelType w:val="hybridMultilevel"/>
    <w:tmpl w:val="57280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1950E5"/>
    <w:multiLevelType w:val="hybridMultilevel"/>
    <w:tmpl w:val="3FF63478"/>
    <w:lvl w:ilvl="0" w:tplc="4C50FFE6">
      <w:start w:val="1"/>
      <w:numFmt w:val="bullet"/>
      <w:lvlText w:val="•"/>
      <w:lvlJc w:val="left"/>
      <w:pPr>
        <w:tabs>
          <w:tab w:val="num" w:pos="720"/>
        </w:tabs>
        <w:ind w:left="720" w:hanging="360"/>
      </w:pPr>
      <w:rPr>
        <w:rFonts w:ascii="Arial" w:hAnsi="Arial" w:hint="default"/>
      </w:rPr>
    </w:lvl>
    <w:lvl w:ilvl="1" w:tplc="C0864B08">
      <w:start w:val="1"/>
      <w:numFmt w:val="bullet"/>
      <w:lvlText w:val="•"/>
      <w:lvlJc w:val="left"/>
      <w:pPr>
        <w:tabs>
          <w:tab w:val="num" w:pos="1440"/>
        </w:tabs>
        <w:ind w:left="1440" w:hanging="360"/>
      </w:pPr>
      <w:rPr>
        <w:rFonts w:ascii="Arial" w:hAnsi="Arial" w:hint="default"/>
      </w:rPr>
    </w:lvl>
    <w:lvl w:ilvl="2" w:tplc="E2BCC5C0" w:tentative="1">
      <w:start w:val="1"/>
      <w:numFmt w:val="bullet"/>
      <w:lvlText w:val="•"/>
      <w:lvlJc w:val="left"/>
      <w:pPr>
        <w:tabs>
          <w:tab w:val="num" w:pos="2160"/>
        </w:tabs>
        <w:ind w:left="2160" w:hanging="360"/>
      </w:pPr>
      <w:rPr>
        <w:rFonts w:ascii="Arial" w:hAnsi="Arial" w:hint="default"/>
      </w:rPr>
    </w:lvl>
    <w:lvl w:ilvl="3" w:tplc="024C81D2" w:tentative="1">
      <w:start w:val="1"/>
      <w:numFmt w:val="bullet"/>
      <w:lvlText w:val="•"/>
      <w:lvlJc w:val="left"/>
      <w:pPr>
        <w:tabs>
          <w:tab w:val="num" w:pos="2880"/>
        </w:tabs>
        <w:ind w:left="2880" w:hanging="360"/>
      </w:pPr>
      <w:rPr>
        <w:rFonts w:ascii="Arial" w:hAnsi="Arial" w:hint="default"/>
      </w:rPr>
    </w:lvl>
    <w:lvl w:ilvl="4" w:tplc="E6841B04" w:tentative="1">
      <w:start w:val="1"/>
      <w:numFmt w:val="bullet"/>
      <w:lvlText w:val="•"/>
      <w:lvlJc w:val="left"/>
      <w:pPr>
        <w:tabs>
          <w:tab w:val="num" w:pos="3600"/>
        </w:tabs>
        <w:ind w:left="3600" w:hanging="360"/>
      </w:pPr>
      <w:rPr>
        <w:rFonts w:ascii="Arial" w:hAnsi="Arial" w:hint="default"/>
      </w:rPr>
    </w:lvl>
    <w:lvl w:ilvl="5" w:tplc="D2E406CC" w:tentative="1">
      <w:start w:val="1"/>
      <w:numFmt w:val="bullet"/>
      <w:lvlText w:val="•"/>
      <w:lvlJc w:val="left"/>
      <w:pPr>
        <w:tabs>
          <w:tab w:val="num" w:pos="4320"/>
        </w:tabs>
        <w:ind w:left="4320" w:hanging="360"/>
      </w:pPr>
      <w:rPr>
        <w:rFonts w:ascii="Arial" w:hAnsi="Arial" w:hint="default"/>
      </w:rPr>
    </w:lvl>
    <w:lvl w:ilvl="6" w:tplc="11568B48" w:tentative="1">
      <w:start w:val="1"/>
      <w:numFmt w:val="bullet"/>
      <w:lvlText w:val="•"/>
      <w:lvlJc w:val="left"/>
      <w:pPr>
        <w:tabs>
          <w:tab w:val="num" w:pos="5040"/>
        </w:tabs>
        <w:ind w:left="5040" w:hanging="360"/>
      </w:pPr>
      <w:rPr>
        <w:rFonts w:ascii="Arial" w:hAnsi="Arial" w:hint="default"/>
      </w:rPr>
    </w:lvl>
    <w:lvl w:ilvl="7" w:tplc="EB222A60" w:tentative="1">
      <w:start w:val="1"/>
      <w:numFmt w:val="bullet"/>
      <w:lvlText w:val="•"/>
      <w:lvlJc w:val="left"/>
      <w:pPr>
        <w:tabs>
          <w:tab w:val="num" w:pos="5760"/>
        </w:tabs>
        <w:ind w:left="5760" w:hanging="360"/>
      </w:pPr>
      <w:rPr>
        <w:rFonts w:ascii="Arial" w:hAnsi="Arial" w:hint="default"/>
      </w:rPr>
    </w:lvl>
    <w:lvl w:ilvl="8" w:tplc="28688072" w:tentative="1">
      <w:start w:val="1"/>
      <w:numFmt w:val="bullet"/>
      <w:lvlText w:val="•"/>
      <w:lvlJc w:val="left"/>
      <w:pPr>
        <w:tabs>
          <w:tab w:val="num" w:pos="6480"/>
        </w:tabs>
        <w:ind w:left="6480" w:hanging="360"/>
      </w:pPr>
      <w:rPr>
        <w:rFonts w:ascii="Arial" w:hAnsi="Arial" w:hint="default"/>
      </w:rPr>
    </w:lvl>
  </w:abstractNum>
  <w:abstractNum w:abstractNumId="3">
    <w:nsid w:val="05E435A6"/>
    <w:multiLevelType w:val="hybridMultilevel"/>
    <w:tmpl w:val="AA6464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D44128C"/>
    <w:multiLevelType w:val="hybridMultilevel"/>
    <w:tmpl w:val="2BACD2D6"/>
    <w:lvl w:ilvl="0" w:tplc="BBBE0D3C">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E521D60"/>
    <w:multiLevelType w:val="hybridMultilevel"/>
    <w:tmpl w:val="2EBADC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8877AC3"/>
    <w:multiLevelType w:val="hybridMultilevel"/>
    <w:tmpl w:val="C5FA96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2ED71EAB"/>
    <w:multiLevelType w:val="singleLevel"/>
    <w:tmpl w:val="B51445BA"/>
    <w:lvl w:ilvl="0">
      <w:start w:val="1"/>
      <w:numFmt w:val="lowerRoman"/>
      <w:lvlText w:val="(%1.)"/>
      <w:lvlJc w:val="left"/>
      <w:pPr>
        <w:tabs>
          <w:tab w:val="num" w:pos="720"/>
        </w:tabs>
      </w:pPr>
      <w:rPr>
        <w:rFonts w:cs="Times New Roman"/>
      </w:rPr>
    </w:lvl>
  </w:abstractNum>
  <w:abstractNum w:abstractNumId="10">
    <w:nsid w:val="3B381A68"/>
    <w:multiLevelType w:val="hybridMultilevel"/>
    <w:tmpl w:val="D08AE13A"/>
    <w:lvl w:ilvl="0" w:tplc="B81C8F38">
      <w:start w:val="1"/>
      <w:numFmt w:val="upperLetter"/>
      <w:lvlText w:val="%1."/>
      <w:lvlJc w:val="left"/>
      <w:pPr>
        <w:ind w:left="621" w:hanging="360"/>
      </w:pPr>
      <w:rPr>
        <w:rFonts w:cs="Times New Roman" w:hint="default"/>
      </w:rPr>
    </w:lvl>
    <w:lvl w:ilvl="1" w:tplc="04090019" w:tentative="1">
      <w:start w:val="1"/>
      <w:numFmt w:val="lowerLetter"/>
      <w:lvlText w:val="%2."/>
      <w:lvlJc w:val="left"/>
      <w:pPr>
        <w:ind w:left="1341" w:hanging="360"/>
      </w:pPr>
      <w:rPr>
        <w:rFonts w:cs="Times New Roman"/>
      </w:rPr>
    </w:lvl>
    <w:lvl w:ilvl="2" w:tplc="0409001B" w:tentative="1">
      <w:start w:val="1"/>
      <w:numFmt w:val="lowerRoman"/>
      <w:lvlText w:val="%3."/>
      <w:lvlJc w:val="right"/>
      <w:pPr>
        <w:ind w:left="2061" w:hanging="180"/>
      </w:pPr>
      <w:rPr>
        <w:rFonts w:cs="Times New Roman"/>
      </w:rPr>
    </w:lvl>
    <w:lvl w:ilvl="3" w:tplc="0409000F" w:tentative="1">
      <w:start w:val="1"/>
      <w:numFmt w:val="decimal"/>
      <w:lvlText w:val="%4."/>
      <w:lvlJc w:val="left"/>
      <w:pPr>
        <w:ind w:left="2781" w:hanging="360"/>
      </w:pPr>
      <w:rPr>
        <w:rFonts w:cs="Times New Roman"/>
      </w:rPr>
    </w:lvl>
    <w:lvl w:ilvl="4" w:tplc="04090019" w:tentative="1">
      <w:start w:val="1"/>
      <w:numFmt w:val="lowerLetter"/>
      <w:lvlText w:val="%5."/>
      <w:lvlJc w:val="left"/>
      <w:pPr>
        <w:ind w:left="3501" w:hanging="360"/>
      </w:pPr>
      <w:rPr>
        <w:rFonts w:cs="Times New Roman"/>
      </w:rPr>
    </w:lvl>
    <w:lvl w:ilvl="5" w:tplc="0409001B" w:tentative="1">
      <w:start w:val="1"/>
      <w:numFmt w:val="lowerRoman"/>
      <w:lvlText w:val="%6."/>
      <w:lvlJc w:val="right"/>
      <w:pPr>
        <w:ind w:left="4221" w:hanging="180"/>
      </w:pPr>
      <w:rPr>
        <w:rFonts w:cs="Times New Roman"/>
      </w:rPr>
    </w:lvl>
    <w:lvl w:ilvl="6" w:tplc="0409000F" w:tentative="1">
      <w:start w:val="1"/>
      <w:numFmt w:val="decimal"/>
      <w:lvlText w:val="%7."/>
      <w:lvlJc w:val="left"/>
      <w:pPr>
        <w:ind w:left="4941" w:hanging="360"/>
      </w:pPr>
      <w:rPr>
        <w:rFonts w:cs="Times New Roman"/>
      </w:rPr>
    </w:lvl>
    <w:lvl w:ilvl="7" w:tplc="04090019" w:tentative="1">
      <w:start w:val="1"/>
      <w:numFmt w:val="lowerLetter"/>
      <w:lvlText w:val="%8."/>
      <w:lvlJc w:val="left"/>
      <w:pPr>
        <w:ind w:left="5661" w:hanging="360"/>
      </w:pPr>
      <w:rPr>
        <w:rFonts w:cs="Times New Roman"/>
      </w:rPr>
    </w:lvl>
    <w:lvl w:ilvl="8" w:tplc="0409001B" w:tentative="1">
      <w:start w:val="1"/>
      <w:numFmt w:val="lowerRoman"/>
      <w:lvlText w:val="%9."/>
      <w:lvlJc w:val="right"/>
      <w:pPr>
        <w:ind w:left="6381" w:hanging="180"/>
      </w:pPr>
      <w:rPr>
        <w:rFonts w:cs="Times New Roman"/>
      </w:rPr>
    </w:lvl>
  </w:abstractNum>
  <w:abstractNum w:abstractNumId="11">
    <w:nsid w:val="45162B90"/>
    <w:multiLevelType w:val="hybridMultilevel"/>
    <w:tmpl w:val="F0D0EE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58419D8"/>
    <w:multiLevelType w:val="multilevel"/>
    <w:tmpl w:val="600640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72C169F"/>
    <w:multiLevelType w:val="hybridMultilevel"/>
    <w:tmpl w:val="3EB4DF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4F245379"/>
    <w:multiLevelType w:val="hybridMultilevel"/>
    <w:tmpl w:val="73003E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061EEE"/>
    <w:multiLevelType w:val="hybridMultilevel"/>
    <w:tmpl w:val="73003E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3FF69EF"/>
    <w:multiLevelType w:val="hybridMultilevel"/>
    <w:tmpl w:val="632AADB0"/>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8">
    <w:nsid w:val="66A80911"/>
    <w:multiLevelType w:val="multilevel"/>
    <w:tmpl w:val="F7F895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9680741"/>
    <w:multiLevelType w:val="hybridMultilevel"/>
    <w:tmpl w:val="CD8A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E1C85"/>
    <w:multiLevelType w:val="hybridMultilevel"/>
    <w:tmpl w:val="D73A83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CE27914"/>
    <w:multiLevelType w:val="hybridMultilevel"/>
    <w:tmpl w:val="A6B28E56"/>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2">
    <w:nsid w:val="70BC2B78"/>
    <w:multiLevelType w:val="hybridMultilevel"/>
    <w:tmpl w:val="A9607B74"/>
    <w:lvl w:ilvl="0" w:tplc="E4DED96E">
      <w:start w:val="1"/>
      <w:numFmt w:val="bullet"/>
      <w:pStyle w:val="Bullet1"/>
      <w:lvlText w:val=""/>
      <w:lvlJc w:val="left"/>
      <w:pPr>
        <w:ind w:left="720" w:hanging="360"/>
      </w:pPr>
      <w:rPr>
        <w:rFonts w:ascii="Symbol" w:hAnsi="Symbol" w:hint="default"/>
        <w:color w:val="001D5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EC18FD"/>
    <w:multiLevelType w:val="singleLevel"/>
    <w:tmpl w:val="C95E96DA"/>
    <w:lvl w:ilvl="0">
      <w:start w:val="1"/>
      <w:numFmt w:val="lowerLetter"/>
      <w:lvlText w:val="(%1)"/>
      <w:lvlJc w:val="left"/>
      <w:pPr>
        <w:tabs>
          <w:tab w:val="num" w:pos="1080"/>
        </w:tabs>
        <w:ind w:left="1080" w:hanging="360"/>
      </w:pPr>
      <w:rPr>
        <w:rFonts w:cs="Times New Roman" w:hint="default"/>
      </w:r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4"/>
  </w:num>
  <w:num w:numId="10">
    <w:abstractNumId w:val="24"/>
  </w:num>
  <w:num w:numId="11">
    <w:abstractNumId w:val="6"/>
  </w:num>
  <w:num w:numId="12">
    <w:abstractNumId w:val="21"/>
  </w:num>
  <w:num w:numId="13">
    <w:abstractNumId w:val="5"/>
  </w:num>
  <w:num w:numId="14">
    <w:abstractNumId w:val="17"/>
  </w:num>
  <w:num w:numId="15">
    <w:abstractNumId w:val="20"/>
  </w:num>
  <w:num w:numId="16">
    <w:abstractNumId w:val="11"/>
  </w:num>
  <w:num w:numId="17">
    <w:abstractNumId w:val="1"/>
  </w:num>
  <w:num w:numId="18">
    <w:abstractNumId w:val="3"/>
  </w:num>
  <w:num w:numId="19">
    <w:abstractNumId w:val="7"/>
  </w:num>
  <w:num w:numId="20">
    <w:abstractNumId w:val="8"/>
  </w:num>
  <w:num w:numId="21">
    <w:abstractNumId w:val="22"/>
  </w:num>
  <w:num w:numId="22">
    <w:abstractNumId w:val="4"/>
  </w:num>
  <w:num w:numId="23">
    <w:abstractNumId w:val="16"/>
  </w:num>
  <w:num w:numId="24">
    <w:abstractNumId w:val="13"/>
  </w:num>
  <w:num w:numId="25">
    <w:abstractNumId w:val="15"/>
  </w:num>
  <w:num w:numId="26">
    <w:abstractNumId w:val="23"/>
  </w:num>
  <w:num w:numId="27">
    <w:abstractNumId w:val="9"/>
  </w:num>
  <w:num w:numId="28">
    <w:abstractNumId w:val="10"/>
  </w:num>
  <w:num w:numId="29">
    <w:abstractNumId w:val="19"/>
  </w:num>
  <w:num w:numId="30">
    <w:abstractNumId w:val="12"/>
  </w:num>
  <w:num w:numId="31">
    <w:abstractNumId w:val="18"/>
  </w:num>
  <w:num w:numId="32">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CF4"/>
    <w:rsid w:val="000007D9"/>
    <w:rsid w:val="00004DDC"/>
    <w:rsid w:val="000054A4"/>
    <w:rsid w:val="000078BD"/>
    <w:rsid w:val="00007FAE"/>
    <w:rsid w:val="00010333"/>
    <w:rsid w:val="00010AF3"/>
    <w:rsid w:val="00010CAF"/>
    <w:rsid w:val="00011F2E"/>
    <w:rsid w:val="000126FF"/>
    <w:rsid w:val="00013158"/>
    <w:rsid w:val="00013568"/>
    <w:rsid w:val="00013606"/>
    <w:rsid w:val="00014AC2"/>
    <w:rsid w:val="0001537B"/>
    <w:rsid w:val="00015C36"/>
    <w:rsid w:val="00017B4F"/>
    <w:rsid w:val="0002139A"/>
    <w:rsid w:val="00021B30"/>
    <w:rsid w:val="000233C2"/>
    <w:rsid w:val="00024496"/>
    <w:rsid w:val="00024CF0"/>
    <w:rsid w:val="00025822"/>
    <w:rsid w:val="00025B9F"/>
    <w:rsid w:val="00031041"/>
    <w:rsid w:val="00031364"/>
    <w:rsid w:val="00033290"/>
    <w:rsid w:val="00034791"/>
    <w:rsid w:val="000353F6"/>
    <w:rsid w:val="00035EED"/>
    <w:rsid w:val="00036DDF"/>
    <w:rsid w:val="00037098"/>
    <w:rsid w:val="00044E6E"/>
    <w:rsid w:val="00045A88"/>
    <w:rsid w:val="000464FA"/>
    <w:rsid w:val="0004665F"/>
    <w:rsid w:val="00046C89"/>
    <w:rsid w:val="00046CA4"/>
    <w:rsid w:val="00046D77"/>
    <w:rsid w:val="000479B6"/>
    <w:rsid w:val="0005183A"/>
    <w:rsid w:val="00052429"/>
    <w:rsid w:val="000525F6"/>
    <w:rsid w:val="0005334F"/>
    <w:rsid w:val="000536D3"/>
    <w:rsid w:val="0005404A"/>
    <w:rsid w:val="00054064"/>
    <w:rsid w:val="000542C5"/>
    <w:rsid w:val="00054472"/>
    <w:rsid w:val="000548F5"/>
    <w:rsid w:val="00054AE9"/>
    <w:rsid w:val="00054E3E"/>
    <w:rsid w:val="00055DB8"/>
    <w:rsid w:val="00057A34"/>
    <w:rsid w:val="00057F96"/>
    <w:rsid w:val="00060FD9"/>
    <w:rsid w:val="00061141"/>
    <w:rsid w:val="00064292"/>
    <w:rsid w:val="00066133"/>
    <w:rsid w:val="00066247"/>
    <w:rsid w:val="00066A11"/>
    <w:rsid w:val="00066AD2"/>
    <w:rsid w:val="000703E5"/>
    <w:rsid w:val="00070535"/>
    <w:rsid w:val="000706FE"/>
    <w:rsid w:val="0007083B"/>
    <w:rsid w:val="000727A2"/>
    <w:rsid w:val="000745E7"/>
    <w:rsid w:val="00076009"/>
    <w:rsid w:val="0007608D"/>
    <w:rsid w:val="00076FE1"/>
    <w:rsid w:val="000777F9"/>
    <w:rsid w:val="0008061F"/>
    <w:rsid w:val="00080897"/>
    <w:rsid w:val="000812AE"/>
    <w:rsid w:val="00081736"/>
    <w:rsid w:val="00081D47"/>
    <w:rsid w:val="000848DE"/>
    <w:rsid w:val="00084B54"/>
    <w:rsid w:val="00084FF1"/>
    <w:rsid w:val="0008551B"/>
    <w:rsid w:val="00085B20"/>
    <w:rsid w:val="00085EF5"/>
    <w:rsid w:val="00085F49"/>
    <w:rsid w:val="00086C01"/>
    <w:rsid w:val="00086C4C"/>
    <w:rsid w:val="000906C0"/>
    <w:rsid w:val="0009142A"/>
    <w:rsid w:val="00092A3F"/>
    <w:rsid w:val="00094234"/>
    <w:rsid w:val="00094BE0"/>
    <w:rsid w:val="0009565D"/>
    <w:rsid w:val="000976FB"/>
    <w:rsid w:val="000A13C5"/>
    <w:rsid w:val="000A1782"/>
    <w:rsid w:val="000A2247"/>
    <w:rsid w:val="000A24D2"/>
    <w:rsid w:val="000A36D0"/>
    <w:rsid w:val="000A3E4C"/>
    <w:rsid w:val="000A5083"/>
    <w:rsid w:val="000A53A7"/>
    <w:rsid w:val="000A5986"/>
    <w:rsid w:val="000A5F59"/>
    <w:rsid w:val="000A697A"/>
    <w:rsid w:val="000B03E8"/>
    <w:rsid w:val="000B1065"/>
    <w:rsid w:val="000B15D3"/>
    <w:rsid w:val="000B20FB"/>
    <w:rsid w:val="000B3204"/>
    <w:rsid w:val="000B38EE"/>
    <w:rsid w:val="000B3A77"/>
    <w:rsid w:val="000B3E0C"/>
    <w:rsid w:val="000B5BC3"/>
    <w:rsid w:val="000B661B"/>
    <w:rsid w:val="000B7345"/>
    <w:rsid w:val="000B7B65"/>
    <w:rsid w:val="000B7F3A"/>
    <w:rsid w:val="000C0118"/>
    <w:rsid w:val="000C0F84"/>
    <w:rsid w:val="000C2594"/>
    <w:rsid w:val="000C3337"/>
    <w:rsid w:val="000C3A06"/>
    <w:rsid w:val="000C3E7C"/>
    <w:rsid w:val="000C417A"/>
    <w:rsid w:val="000C6E44"/>
    <w:rsid w:val="000C74EB"/>
    <w:rsid w:val="000C7907"/>
    <w:rsid w:val="000C7930"/>
    <w:rsid w:val="000C7D65"/>
    <w:rsid w:val="000D00AB"/>
    <w:rsid w:val="000D08B4"/>
    <w:rsid w:val="000D0A65"/>
    <w:rsid w:val="000D54C5"/>
    <w:rsid w:val="000D66B5"/>
    <w:rsid w:val="000D66F9"/>
    <w:rsid w:val="000D75A1"/>
    <w:rsid w:val="000D7B12"/>
    <w:rsid w:val="000D7C91"/>
    <w:rsid w:val="000D7EA9"/>
    <w:rsid w:val="000E16BF"/>
    <w:rsid w:val="000E179E"/>
    <w:rsid w:val="000E202E"/>
    <w:rsid w:val="000E2684"/>
    <w:rsid w:val="000E35DA"/>
    <w:rsid w:val="000E39F7"/>
    <w:rsid w:val="000E4EAA"/>
    <w:rsid w:val="000E5A90"/>
    <w:rsid w:val="000E6D11"/>
    <w:rsid w:val="000E7330"/>
    <w:rsid w:val="000F1680"/>
    <w:rsid w:val="000F1DA5"/>
    <w:rsid w:val="000F2EEC"/>
    <w:rsid w:val="000F5DD0"/>
    <w:rsid w:val="000F6005"/>
    <w:rsid w:val="000F67AB"/>
    <w:rsid w:val="000F6981"/>
    <w:rsid w:val="000F6C60"/>
    <w:rsid w:val="000F70FA"/>
    <w:rsid w:val="000F73D9"/>
    <w:rsid w:val="000F74C1"/>
    <w:rsid w:val="000F7A45"/>
    <w:rsid w:val="001008D0"/>
    <w:rsid w:val="001009A5"/>
    <w:rsid w:val="00101289"/>
    <w:rsid w:val="00101895"/>
    <w:rsid w:val="00101A9C"/>
    <w:rsid w:val="00105637"/>
    <w:rsid w:val="00105D23"/>
    <w:rsid w:val="00106369"/>
    <w:rsid w:val="00106A2D"/>
    <w:rsid w:val="001119ED"/>
    <w:rsid w:val="00112491"/>
    <w:rsid w:val="001124F7"/>
    <w:rsid w:val="00112D58"/>
    <w:rsid w:val="00116EB4"/>
    <w:rsid w:val="00122023"/>
    <w:rsid w:val="00122686"/>
    <w:rsid w:val="00122F91"/>
    <w:rsid w:val="001242F4"/>
    <w:rsid w:val="001260BC"/>
    <w:rsid w:val="001264DC"/>
    <w:rsid w:val="00127772"/>
    <w:rsid w:val="00127D1C"/>
    <w:rsid w:val="00127E53"/>
    <w:rsid w:val="00130B40"/>
    <w:rsid w:val="0013172C"/>
    <w:rsid w:val="00131F16"/>
    <w:rsid w:val="00132375"/>
    <w:rsid w:val="0013282C"/>
    <w:rsid w:val="00133FD7"/>
    <w:rsid w:val="00134CDD"/>
    <w:rsid w:val="00135483"/>
    <w:rsid w:val="00135988"/>
    <w:rsid w:val="00135C28"/>
    <w:rsid w:val="0013626F"/>
    <w:rsid w:val="0013655B"/>
    <w:rsid w:val="00136DCA"/>
    <w:rsid w:val="001370FE"/>
    <w:rsid w:val="00137B32"/>
    <w:rsid w:val="00140DC3"/>
    <w:rsid w:val="001410AA"/>
    <w:rsid w:val="00141D7A"/>
    <w:rsid w:val="001420CC"/>
    <w:rsid w:val="001422FF"/>
    <w:rsid w:val="001427F7"/>
    <w:rsid w:val="00142B9A"/>
    <w:rsid w:val="001430D5"/>
    <w:rsid w:val="00144F04"/>
    <w:rsid w:val="001462D4"/>
    <w:rsid w:val="00146A58"/>
    <w:rsid w:val="00147000"/>
    <w:rsid w:val="00147A2A"/>
    <w:rsid w:val="001514FB"/>
    <w:rsid w:val="00152CA7"/>
    <w:rsid w:val="00153320"/>
    <w:rsid w:val="0015387C"/>
    <w:rsid w:val="001538E3"/>
    <w:rsid w:val="00153F45"/>
    <w:rsid w:val="001546B3"/>
    <w:rsid w:val="00154B46"/>
    <w:rsid w:val="001551F5"/>
    <w:rsid w:val="0015665A"/>
    <w:rsid w:val="00156DF5"/>
    <w:rsid w:val="0015720B"/>
    <w:rsid w:val="00157A19"/>
    <w:rsid w:val="00157B2C"/>
    <w:rsid w:val="0016011B"/>
    <w:rsid w:val="00161606"/>
    <w:rsid w:val="00162977"/>
    <w:rsid w:val="001648D6"/>
    <w:rsid w:val="001654BE"/>
    <w:rsid w:val="001663D0"/>
    <w:rsid w:val="0016664F"/>
    <w:rsid w:val="001669B1"/>
    <w:rsid w:val="00167D08"/>
    <w:rsid w:val="00172AE8"/>
    <w:rsid w:val="001742AC"/>
    <w:rsid w:val="001748EF"/>
    <w:rsid w:val="00174EFE"/>
    <w:rsid w:val="00175059"/>
    <w:rsid w:val="001758CF"/>
    <w:rsid w:val="001768D7"/>
    <w:rsid w:val="00176BA6"/>
    <w:rsid w:val="00177382"/>
    <w:rsid w:val="001776D4"/>
    <w:rsid w:val="00180BF3"/>
    <w:rsid w:val="00181BE6"/>
    <w:rsid w:val="001829BF"/>
    <w:rsid w:val="00182AF1"/>
    <w:rsid w:val="00183056"/>
    <w:rsid w:val="001835D8"/>
    <w:rsid w:val="001836DD"/>
    <w:rsid w:val="001837EF"/>
    <w:rsid w:val="00185795"/>
    <w:rsid w:val="00185BCF"/>
    <w:rsid w:val="00185C26"/>
    <w:rsid w:val="00186069"/>
    <w:rsid w:val="001872E0"/>
    <w:rsid w:val="00187BD6"/>
    <w:rsid w:val="0019028D"/>
    <w:rsid w:val="0019042D"/>
    <w:rsid w:val="00190497"/>
    <w:rsid w:val="00191A55"/>
    <w:rsid w:val="00191BA9"/>
    <w:rsid w:val="00192E41"/>
    <w:rsid w:val="001933B1"/>
    <w:rsid w:val="00194176"/>
    <w:rsid w:val="001946BF"/>
    <w:rsid w:val="001A07D4"/>
    <w:rsid w:val="001A3F75"/>
    <w:rsid w:val="001A784C"/>
    <w:rsid w:val="001A7C5C"/>
    <w:rsid w:val="001B0F4E"/>
    <w:rsid w:val="001B1D18"/>
    <w:rsid w:val="001B1D66"/>
    <w:rsid w:val="001B21F7"/>
    <w:rsid w:val="001B2D61"/>
    <w:rsid w:val="001B64FA"/>
    <w:rsid w:val="001B665D"/>
    <w:rsid w:val="001B7925"/>
    <w:rsid w:val="001C254E"/>
    <w:rsid w:val="001C497E"/>
    <w:rsid w:val="001C59CA"/>
    <w:rsid w:val="001C65B9"/>
    <w:rsid w:val="001C693B"/>
    <w:rsid w:val="001C6FCD"/>
    <w:rsid w:val="001D00D1"/>
    <w:rsid w:val="001D0208"/>
    <w:rsid w:val="001D0904"/>
    <w:rsid w:val="001D0D5B"/>
    <w:rsid w:val="001D1D2D"/>
    <w:rsid w:val="001D1F95"/>
    <w:rsid w:val="001D2486"/>
    <w:rsid w:val="001D2A1B"/>
    <w:rsid w:val="001D4079"/>
    <w:rsid w:val="001D42BF"/>
    <w:rsid w:val="001D46D8"/>
    <w:rsid w:val="001D5006"/>
    <w:rsid w:val="001D5CDA"/>
    <w:rsid w:val="001D7D3A"/>
    <w:rsid w:val="001E18BA"/>
    <w:rsid w:val="001E254F"/>
    <w:rsid w:val="001E45CD"/>
    <w:rsid w:val="001E51FD"/>
    <w:rsid w:val="001E53E8"/>
    <w:rsid w:val="001E541A"/>
    <w:rsid w:val="001E55B8"/>
    <w:rsid w:val="001E5FA0"/>
    <w:rsid w:val="001E612C"/>
    <w:rsid w:val="001E62B1"/>
    <w:rsid w:val="001F05F5"/>
    <w:rsid w:val="001F2256"/>
    <w:rsid w:val="001F278A"/>
    <w:rsid w:val="001F2DE7"/>
    <w:rsid w:val="001F3A36"/>
    <w:rsid w:val="001F3DA5"/>
    <w:rsid w:val="001F4208"/>
    <w:rsid w:val="001F43EC"/>
    <w:rsid w:val="001F46CF"/>
    <w:rsid w:val="001F4CB5"/>
    <w:rsid w:val="001F5167"/>
    <w:rsid w:val="001F5742"/>
    <w:rsid w:val="001F691F"/>
    <w:rsid w:val="001F7908"/>
    <w:rsid w:val="00200B10"/>
    <w:rsid w:val="0020118D"/>
    <w:rsid w:val="002026D8"/>
    <w:rsid w:val="002036DC"/>
    <w:rsid w:val="00204471"/>
    <w:rsid w:val="002047B6"/>
    <w:rsid w:val="00207107"/>
    <w:rsid w:val="002074EF"/>
    <w:rsid w:val="0020795B"/>
    <w:rsid w:val="002111A8"/>
    <w:rsid w:val="00211B6B"/>
    <w:rsid w:val="00211C3F"/>
    <w:rsid w:val="00211CDE"/>
    <w:rsid w:val="00213C05"/>
    <w:rsid w:val="002140D1"/>
    <w:rsid w:val="0021462A"/>
    <w:rsid w:val="00214E48"/>
    <w:rsid w:val="00215D66"/>
    <w:rsid w:val="00216B78"/>
    <w:rsid w:val="002177CC"/>
    <w:rsid w:val="0021798E"/>
    <w:rsid w:val="002201D9"/>
    <w:rsid w:val="002214C2"/>
    <w:rsid w:val="002214D6"/>
    <w:rsid w:val="00221A7A"/>
    <w:rsid w:val="00224558"/>
    <w:rsid w:val="00224F12"/>
    <w:rsid w:val="002266A4"/>
    <w:rsid w:val="0022749B"/>
    <w:rsid w:val="00227EA2"/>
    <w:rsid w:val="002303C2"/>
    <w:rsid w:val="00230B8D"/>
    <w:rsid w:val="0023183E"/>
    <w:rsid w:val="002322BB"/>
    <w:rsid w:val="00232432"/>
    <w:rsid w:val="002348BD"/>
    <w:rsid w:val="0023578C"/>
    <w:rsid w:val="00236499"/>
    <w:rsid w:val="0023662B"/>
    <w:rsid w:val="002370A5"/>
    <w:rsid w:val="00237ABB"/>
    <w:rsid w:val="00237E58"/>
    <w:rsid w:val="0024093C"/>
    <w:rsid w:val="00240CF4"/>
    <w:rsid w:val="002411C1"/>
    <w:rsid w:val="00241A1D"/>
    <w:rsid w:val="00241B31"/>
    <w:rsid w:val="00242AF6"/>
    <w:rsid w:val="0024322A"/>
    <w:rsid w:val="00243237"/>
    <w:rsid w:val="00244322"/>
    <w:rsid w:val="00244760"/>
    <w:rsid w:val="002454F4"/>
    <w:rsid w:val="00246036"/>
    <w:rsid w:val="0024605A"/>
    <w:rsid w:val="00246EAB"/>
    <w:rsid w:val="002478B0"/>
    <w:rsid w:val="0024795C"/>
    <w:rsid w:val="00247A46"/>
    <w:rsid w:val="002504D1"/>
    <w:rsid w:val="002539CB"/>
    <w:rsid w:val="00254D59"/>
    <w:rsid w:val="00254DFA"/>
    <w:rsid w:val="00254EA8"/>
    <w:rsid w:val="0025530B"/>
    <w:rsid w:val="00261200"/>
    <w:rsid w:val="00262F41"/>
    <w:rsid w:val="00264B97"/>
    <w:rsid w:val="0026593E"/>
    <w:rsid w:val="002665F3"/>
    <w:rsid w:val="00266614"/>
    <w:rsid w:val="002666B0"/>
    <w:rsid w:val="002702E4"/>
    <w:rsid w:val="00270DCE"/>
    <w:rsid w:val="00270EC6"/>
    <w:rsid w:val="00270F89"/>
    <w:rsid w:val="002718CC"/>
    <w:rsid w:val="002723DC"/>
    <w:rsid w:val="00273BF4"/>
    <w:rsid w:val="002746F2"/>
    <w:rsid w:val="00274D9A"/>
    <w:rsid w:val="00274ED1"/>
    <w:rsid w:val="00274ED6"/>
    <w:rsid w:val="00275068"/>
    <w:rsid w:val="002751E8"/>
    <w:rsid w:val="0027526E"/>
    <w:rsid w:val="00281A89"/>
    <w:rsid w:val="00282612"/>
    <w:rsid w:val="002826B6"/>
    <w:rsid w:val="00283224"/>
    <w:rsid w:val="002849EE"/>
    <w:rsid w:val="00285E6F"/>
    <w:rsid w:val="00285EF8"/>
    <w:rsid w:val="0028777D"/>
    <w:rsid w:val="002879F9"/>
    <w:rsid w:val="0029102F"/>
    <w:rsid w:val="002925C8"/>
    <w:rsid w:val="002929D2"/>
    <w:rsid w:val="002957D8"/>
    <w:rsid w:val="00295DBE"/>
    <w:rsid w:val="00295FEB"/>
    <w:rsid w:val="00296FD9"/>
    <w:rsid w:val="00297450"/>
    <w:rsid w:val="00297A4F"/>
    <w:rsid w:val="002A089C"/>
    <w:rsid w:val="002A09E3"/>
    <w:rsid w:val="002A0C5D"/>
    <w:rsid w:val="002A13B2"/>
    <w:rsid w:val="002A196D"/>
    <w:rsid w:val="002A2631"/>
    <w:rsid w:val="002A3675"/>
    <w:rsid w:val="002A3F1D"/>
    <w:rsid w:val="002A4F11"/>
    <w:rsid w:val="002A5150"/>
    <w:rsid w:val="002B068D"/>
    <w:rsid w:val="002B0A30"/>
    <w:rsid w:val="002B11D8"/>
    <w:rsid w:val="002B1DC7"/>
    <w:rsid w:val="002B2602"/>
    <w:rsid w:val="002B27D0"/>
    <w:rsid w:val="002B3FA6"/>
    <w:rsid w:val="002B4322"/>
    <w:rsid w:val="002B50A0"/>
    <w:rsid w:val="002B57BF"/>
    <w:rsid w:val="002B59AE"/>
    <w:rsid w:val="002C068D"/>
    <w:rsid w:val="002C2332"/>
    <w:rsid w:val="002C3B23"/>
    <w:rsid w:val="002C413C"/>
    <w:rsid w:val="002C427C"/>
    <w:rsid w:val="002C48BE"/>
    <w:rsid w:val="002C4A92"/>
    <w:rsid w:val="002C562A"/>
    <w:rsid w:val="002C61A5"/>
    <w:rsid w:val="002D0451"/>
    <w:rsid w:val="002D1845"/>
    <w:rsid w:val="002D1AD2"/>
    <w:rsid w:val="002D222F"/>
    <w:rsid w:val="002D31D3"/>
    <w:rsid w:val="002D3D2D"/>
    <w:rsid w:val="002E01C5"/>
    <w:rsid w:val="002E1631"/>
    <w:rsid w:val="002E3B95"/>
    <w:rsid w:val="002E3C1B"/>
    <w:rsid w:val="002E4A65"/>
    <w:rsid w:val="002E4D01"/>
    <w:rsid w:val="002E526F"/>
    <w:rsid w:val="002E5FB2"/>
    <w:rsid w:val="002E61C9"/>
    <w:rsid w:val="002E62AE"/>
    <w:rsid w:val="002E65DD"/>
    <w:rsid w:val="002E6FD6"/>
    <w:rsid w:val="002E75B3"/>
    <w:rsid w:val="002E7768"/>
    <w:rsid w:val="002E79DF"/>
    <w:rsid w:val="002F106A"/>
    <w:rsid w:val="002F162B"/>
    <w:rsid w:val="002F52F6"/>
    <w:rsid w:val="002F60C0"/>
    <w:rsid w:val="002F6E28"/>
    <w:rsid w:val="002F7C83"/>
    <w:rsid w:val="002F7EE7"/>
    <w:rsid w:val="002F7F48"/>
    <w:rsid w:val="003007F0"/>
    <w:rsid w:val="00300839"/>
    <w:rsid w:val="00300CD6"/>
    <w:rsid w:val="00302EE6"/>
    <w:rsid w:val="0030364B"/>
    <w:rsid w:val="00304991"/>
    <w:rsid w:val="00305202"/>
    <w:rsid w:val="00305921"/>
    <w:rsid w:val="003074AE"/>
    <w:rsid w:val="0030774C"/>
    <w:rsid w:val="003100D8"/>
    <w:rsid w:val="00310B0B"/>
    <w:rsid w:val="003114FC"/>
    <w:rsid w:val="00311E21"/>
    <w:rsid w:val="003123A4"/>
    <w:rsid w:val="00312A5E"/>
    <w:rsid w:val="0031378A"/>
    <w:rsid w:val="003139EC"/>
    <w:rsid w:val="003153E9"/>
    <w:rsid w:val="003157A0"/>
    <w:rsid w:val="003165EA"/>
    <w:rsid w:val="00317E9D"/>
    <w:rsid w:val="0032075D"/>
    <w:rsid w:val="003208B6"/>
    <w:rsid w:val="00322998"/>
    <w:rsid w:val="0032317C"/>
    <w:rsid w:val="00324556"/>
    <w:rsid w:val="00324A59"/>
    <w:rsid w:val="0032531B"/>
    <w:rsid w:val="00325866"/>
    <w:rsid w:val="00326F46"/>
    <w:rsid w:val="00330FAF"/>
    <w:rsid w:val="003312DB"/>
    <w:rsid w:val="003313A4"/>
    <w:rsid w:val="00332407"/>
    <w:rsid w:val="00332B89"/>
    <w:rsid w:val="00332C62"/>
    <w:rsid w:val="00332CC6"/>
    <w:rsid w:val="00336884"/>
    <w:rsid w:val="00336A60"/>
    <w:rsid w:val="003427FE"/>
    <w:rsid w:val="00342CD8"/>
    <w:rsid w:val="003439C4"/>
    <w:rsid w:val="003443F1"/>
    <w:rsid w:val="003445D3"/>
    <w:rsid w:val="00345F2B"/>
    <w:rsid w:val="00346766"/>
    <w:rsid w:val="00347CA0"/>
    <w:rsid w:val="00350601"/>
    <w:rsid w:val="003517FA"/>
    <w:rsid w:val="00352136"/>
    <w:rsid w:val="0035230C"/>
    <w:rsid w:val="003528E3"/>
    <w:rsid w:val="00352CCE"/>
    <w:rsid w:val="00355200"/>
    <w:rsid w:val="00356FC6"/>
    <w:rsid w:val="003579BB"/>
    <w:rsid w:val="00357AA1"/>
    <w:rsid w:val="00357D29"/>
    <w:rsid w:val="00360EB4"/>
    <w:rsid w:val="00361516"/>
    <w:rsid w:val="003622C1"/>
    <w:rsid w:val="0036261E"/>
    <w:rsid w:val="00363400"/>
    <w:rsid w:val="00363CCE"/>
    <w:rsid w:val="00363FF1"/>
    <w:rsid w:val="00365756"/>
    <w:rsid w:val="00365ADD"/>
    <w:rsid w:val="00365DA4"/>
    <w:rsid w:val="00366221"/>
    <w:rsid w:val="00367118"/>
    <w:rsid w:val="00367BBE"/>
    <w:rsid w:val="00367EB1"/>
    <w:rsid w:val="00370800"/>
    <w:rsid w:val="00371988"/>
    <w:rsid w:val="00371CE1"/>
    <w:rsid w:val="00373679"/>
    <w:rsid w:val="0037370A"/>
    <w:rsid w:val="0037578E"/>
    <w:rsid w:val="00377287"/>
    <w:rsid w:val="0038011C"/>
    <w:rsid w:val="00380BCC"/>
    <w:rsid w:val="003834E2"/>
    <w:rsid w:val="00383B09"/>
    <w:rsid w:val="00383E10"/>
    <w:rsid w:val="003869E7"/>
    <w:rsid w:val="00387101"/>
    <w:rsid w:val="0038757F"/>
    <w:rsid w:val="00390574"/>
    <w:rsid w:val="003908A8"/>
    <w:rsid w:val="00391FB8"/>
    <w:rsid w:val="003922BD"/>
    <w:rsid w:val="0039230D"/>
    <w:rsid w:val="0039267E"/>
    <w:rsid w:val="003938AB"/>
    <w:rsid w:val="003966A5"/>
    <w:rsid w:val="00396DB3"/>
    <w:rsid w:val="00396FEE"/>
    <w:rsid w:val="003970BB"/>
    <w:rsid w:val="00397E81"/>
    <w:rsid w:val="003A046C"/>
    <w:rsid w:val="003A1506"/>
    <w:rsid w:val="003A1774"/>
    <w:rsid w:val="003A17E0"/>
    <w:rsid w:val="003A1AC5"/>
    <w:rsid w:val="003A26BB"/>
    <w:rsid w:val="003A39E1"/>
    <w:rsid w:val="003A4964"/>
    <w:rsid w:val="003A4D63"/>
    <w:rsid w:val="003A5436"/>
    <w:rsid w:val="003A57FB"/>
    <w:rsid w:val="003A73CE"/>
    <w:rsid w:val="003B0095"/>
    <w:rsid w:val="003B0DB5"/>
    <w:rsid w:val="003B1C27"/>
    <w:rsid w:val="003B318F"/>
    <w:rsid w:val="003B3751"/>
    <w:rsid w:val="003B3B5A"/>
    <w:rsid w:val="003B531F"/>
    <w:rsid w:val="003B6486"/>
    <w:rsid w:val="003C0E20"/>
    <w:rsid w:val="003C1373"/>
    <w:rsid w:val="003C2096"/>
    <w:rsid w:val="003C22AE"/>
    <w:rsid w:val="003C264B"/>
    <w:rsid w:val="003C3E5E"/>
    <w:rsid w:val="003C63EC"/>
    <w:rsid w:val="003C7EC1"/>
    <w:rsid w:val="003D04D4"/>
    <w:rsid w:val="003D06F0"/>
    <w:rsid w:val="003D0804"/>
    <w:rsid w:val="003D1108"/>
    <w:rsid w:val="003D1296"/>
    <w:rsid w:val="003D275B"/>
    <w:rsid w:val="003D27BC"/>
    <w:rsid w:val="003D4955"/>
    <w:rsid w:val="003D61E4"/>
    <w:rsid w:val="003D6E59"/>
    <w:rsid w:val="003D7671"/>
    <w:rsid w:val="003E1854"/>
    <w:rsid w:val="003E1C6D"/>
    <w:rsid w:val="003E2981"/>
    <w:rsid w:val="003E3278"/>
    <w:rsid w:val="003E4A0D"/>
    <w:rsid w:val="003E5668"/>
    <w:rsid w:val="003E6E09"/>
    <w:rsid w:val="003E76CA"/>
    <w:rsid w:val="003F280E"/>
    <w:rsid w:val="003F318D"/>
    <w:rsid w:val="003F3AF5"/>
    <w:rsid w:val="003F4524"/>
    <w:rsid w:val="003F4E12"/>
    <w:rsid w:val="003F6771"/>
    <w:rsid w:val="00401BBD"/>
    <w:rsid w:val="00401CAB"/>
    <w:rsid w:val="0040230C"/>
    <w:rsid w:val="0040368A"/>
    <w:rsid w:val="0040378D"/>
    <w:rsid w:val="004037A4"/>
    <w:rsid w:val="004037E4"/>
    <w:rsid w:val="00404083"/>
    <w:rsid w:val="0040495F"/>
    <w:rsid w:val="00404F0A"/>
    <w:rsid w:val="00406440"/>
    <w:rsid w:val="00406907"/>
    <w:rsid w:val="00407144"/>
    <w:rsid w:val="004111DE"/>
    <w:rsid w:val="00411FD3"/>
    <w:rsid w:val="0041384C"/>
    <w:rsid w:val="00413CC0"/>
    <w:rsid w:val="004158F2"/>
    <w:rsid w:val="00415E83"/>
    <w:rsid w:val="00416AB7"/>
    <w:rsid w:val="00417B7A"/>
    <w:rsid w:val="004209BD"/>
    <w:rsid w:val="00420C3A"/>
    <w:rsid w:val="00421917"/>
    <w:rsid w:val="004224B4"/>
    <w:rsid w:val="00424B8A"/>
    <w:rsid w:val="00425A42"/>
    <w:rsid w:val="00425BE6"/>
    <w:rsid w:val="00426292"/>
    <w:rsid w:val="00430EF0"/>
    <w:rsid w:val="004320E4"/>
    <w:rsid w:val="00432716"/>
    <w:rsid w:val="004338FA"/>
    <w:rsid w:val="00433AE0"/>
    <w:rsid w:val="00434475"/>
    <w:rsid w:val="004348FE"/>
    <w:rsid w:val="004355A5"/>
    <w:rsid w:val="00436BCE"/>
    <w:rsid w:val="00437DFC"/>
    <w:rsid w:val="0044036C"/>
    <w:rsid w:val="0044274D"/>
    <w:rsid w:val="0044394A"/>
    <w:rsid w:val="004443A3"/>
    <w:rsid w:val="00444F0A"/>
    <w:rsid w:val="00445CFA"/>
    <w:rsid w:val="00445F27"/>
    <w:rsid w:val="00445FBB"/>
    <w:rsid w:val="00445FD1"/>
    <w:rsid w:val="00446CE2"/>
    <w:rsid w:val="00446FAF"/>
    <w:rsid w:val="00447A60"/>
    <w:rsid w:val="004504FF"/>
    <w:rsid w:val="00450B39"/>
    <w:rsid w:val="00450C4F"/>
    <w:rsid w:val="004532CC"/>
    <w:rsid w:val="0045348C"/>
    <w:rsid w:val="00453695"/>
    <w:rsid w:val="00453A0F"/>
    <w:rsid w:val="00453C2F"/>
    <w:rsid w:val="00454040"/>
    <w:rsid w:val="00454AD6"/>
    <w:rsid w:val="004571C2"/>
    <w:rsid w:val="00457D27"/>
    <w:rsid w:val="00457F3B"/>
    <w:rsid w:val="004604AB"/>
    <w:rsid w:val="00461B40"/>
    <w:rsid w:val="0046268E"/>
    <w:rsid w:val="00462ED7"/>
    <w:rsid w:val="00464461"/>
    <w:rsid w:val="0046470C"/>
    <w:rsid w:val="00464E48"/>
    <w:rsid w:val="0046555A"/>
    <w:rsid w:val="00467819"/>
    <w:rsid w:val="00467E3A"/>
    <w:rsid w:val="00467F19"/>
    <w:rsid w:val="0047019E"/>
    <w:rsid w:val="00470357"/>
    <w:rsid w:val="00471C18"/>
    <w:rsid w:val="004735EF"/>
    <w:rsid w:val="0047371B"/>
    <w:rsid w:val="00473BD5"/>
    <w:rsid w:val="0047478B"/>
    <w:rsid w:val="00474E9F"/>
    <w:rsid w:val="00475562"/>
    <w:rsid w:val="004759CD"/>
    <w:rsid w:val="00476AF3"/>
    <w:rsid w:val="004776E9"/>
    <w:rsid w:val="0048108E"/>
    <w:rsid w:val="00482225"/>
    <w:rsid w:val="00482A0E"/>
    <w:rsid w:val="0048334E"/>
    <w:rsid w:val="00483CBE"/>
    <w:rsid w:val="00484A97"/>
    <w:rsid w:val="0048649F"/>
    <w:rsid w:val="00486CF7"/>
    <w:rsid w:val="00487096"/>
    <w:rsid w:val="00487334"/>
    <w:rsid w:val="004905F9"/>
    <w:rsid w:val="0049145E"/>
    <w:rsid w:val="004914DC"/>
    <w:rsid w:val="0049337C"/>
    <w:rsid w:val="00493D5D"/>
    <w:rsid w:val="00494846"/>
    <w:rsid w:val="004A15C3"/>
    <w:rsid w:val="004A1A6D"/>
    <w:rsid w:val="004A2303"/>
    <w:rsid w:val="004A2C20"/>
    <w:rsid w:val="004A550B"/>
    <w:rsid w:val="004A6079"/>
    <w:rsid w:val="004A631D"/>
    <w:rsid w:val="004A66EB"/>
    <w:rsid w:val="004A681A"/>
    <w:rsid w:val="004A68AB"/>
    <w:rsid w:val="004A695A"/>
    <w:rsid w:val="004B051E"/>
    <w:rsid w:val="004B0D54"/>
    <w:rsid w:val="004B1582"/>
    <w:rsid w:val="004B21EE"/>
    <w:rsid w:val="004B2F97"/>
    <w:rsid w:val="004B3496"/>
    <w:rsid w:val="004B375E"/>
    <w:rsid w:val="004B3A2F"/>
    <w:rsid w:val="004B4C27"/>
    <w:rsid w:val="004C033D"/>
    <w:rsid w:val="004C0528"/>
    <w:rsid w:val="004C1465"/>
    <w:rsid w:val="004C2800"/>
    <w:rsid w:val="004C2EC4"/>
    <w:rsid w:val="004C30DE"/>
    <w:rsid w:val="004C4E93"/>
    <w:rsid w:val="004C54E3"/>
    <w:rsid w:val="004C632B"/>
    <w:rsid w:val="004C70B3"/>
    <w:rsid w:val="004C70FB"/>
    <w:rsid w:val="004C755A"/>
    <w:rsid w:val="004C778B"/>
    <w:rsid w:val="004D020C"/>
    <w:rsid w:val="004D4390"/>
    <w:rsid w:val="004D5449"/>
    <w:rsid w:val="004D62CD"/>
    <w:rsid w:val="004D6A73"/>
    <w:rsid w:val="004D6FA6"/>
    <w:rsid w:val="004D795F"/>
    <w:rsid w:val="004D7A03"/>
    <w:rsid w:val="004E0AC2"/>
    <w:rsid w:val="004E10BA"/>
    <w:rsid w:val="004E123E"/>
    <w:rsid w:val="004E1C14"/>
    <w:rsid w:val="004E1CCB"/>
    <w:rsid w:val="004E3647"/>
    <w:rsid w:val="004E5350"/>
    <w:rsid w:val="004E5F4A"/>
    <w:rsid w:val="004E6893"/>
    <w:rsid w:val="004E6E1C"/>
    <w:rsid w:val="004E6EC5"/>
    <w:rsid w:val="004E71D4"/>
    <w:rsid w:val="004E75B1"/>
    <w:rsid w:val="004F0D2F"/>
    <w:rsid w:val="004F3C12"/>
    <w:rsid w:val="004F432F"/>
    <w:rsid w:val="004F4348"/>
    <w:rsid w:val="004F4AB5"/>
    <w:rsid w:val="004F76B9"/>
    <w:rsid w:val="004F7AA4"/>
    <w:rsid w:val="0050068A"/>
    <w:rsid w:val="00501375"/>
    <w:rsid w:val="005019FB"/>
    <w:rsid w:val="00503DCE"/>
    <w:rsid w:val="00504858"/>
    <w:rsid w:val="00504AEC"/>
    <w:rsid w:val="00504EE3"/>
    <w:rsid w:val="005058E7"/>
    <w:rsid w:val="00506094"/>
    <w:rsid w:val="00506145"/>
    <w:rsid w:val="005062DC"/>
    <w:rsid w:val="0050641A"/>
    <w:rsid w:val="005123C9"/>
    <w:rsid w:val="00514269"/>
    <w:rsid w:val="00514815"/>
    <w:rsid w:val="005150A2"/>
    <w:rsid w:val="005165DD"/>
    <w:rsid w:val="00516E97"/>
    <w:rsid w:val="00517FD4"/>
    <w:rsid w:val="00521A0E"/>
    <w:rsid w:val="00521C96"/>
    <w:rsid w:val="0052389C"/>
    <w:rsid w:val="00523C81"/>
    <w:rsid w:val="00524352"/>
    <w:rsid w:val="005260E6"/>
    <w:rsid w:val="005265FB"/>
    <w:rsid w:val="005270A2"/>
    <w:rsid w:val="0052738A"/>
    <w:rsid w:val="00527842"/>
    <w:rsid w:val="00527AA6"/>
    <w:rsid w:val="005301F3"/>
    <w:rsid w:val="00531424"/>
    <w:rsid w:val="00531EE7"/>
    <w:rsid w:val="005324B6"/>
    <w:rsid w:val="005326BC"/>
    <w:rsid w:val="00532745"/>
    <w:rsid w:val="00532E71"/>
    <w:rsid w:val="00532EE8"/>
    <w:rsid w:val="005334DE"/>
    <w:rsid w:val="0053414B"/>
    <w:rsid w:val="00534386"/>
    <w:rsid w:val="00536112"/>
    <w:rsid w:val="0053630B"/>
    <w:rsid w:val="00536CF8"/>
    <w:rsid w:val="00537458"/>
    <w:rsid w:val="0054343F"/>
    <w:rsid w:val="00544A9E"/>
    <w:rsid w:val="00545388"/>
    <w:rsid w:val="00545CA1"/>
    <w:rsid w:val="0054624E"/>
    <w:rsid w:val="00547809"/>
    <w:rsid w:val="00547A95"/>
    <w:rsid w:val="00550047"/>
    <w:rsid w:val="005503F6"/>
    <w:rsid w:val="005505F5"/>
    <w:rsid w:val="005506DD"/>
    <w:rsid w:val="00552977"/>
    <w:rsid w:val="0055319E"/>
    <w:rsid w:val="005539BA"/>
    <w:rsid w:val="00555136"/>
    <w:rsid w:val="005566A6"/>
    <w:rsid w:val="005572C3"/>
    <w:rsid w:val="00561629"/>
    <w:rsid w:val="00562241"/>
    <w:rsid w:val="00563012"/>
    <w:rsid w:val="005661CF"/>
    <w:rsid w:val="00566529"/>
    <w:rsid w:val="00566CF5"/>
    <w:rsid w:val="00567F32"/>
    <w:rsid w:val="00570604"/>
    <w:rsid w:val="005708C0"/>
    <w:rsid w:val="0057333F"/>
    <w:rsid w:val="00575826"/>
    <w:rsid w:val="005765D2"/>
    <w:rsid w:val="00577F70"/>
    <w:rsid w:val="00581EE2"/>
    <w:rsid w:val="005827F6"/>
    <w:rsid w:val="00585561"/>
    <w:rsid w:val="005862E1"/>
    <w:rsid w:val="005865EB"/>
    <w:rsid w:val="005866A3"/>
    <w:rsid w:val="00586E21"/>
    <w:rsid w:val="00586F20"/>
    <w:rsid w:val="005904B8"/>
    <w:rsid w:val="00591AE6"/>
    <w:rsid w:val="00592951"/>
    <w:rsid w:val="00592AF2"/>
    <w:rsid w:val="00593BE4"/>
    <w:rsid w:val="00594946"/>
    <w:rsid w:val="005949C9"/>
    <w:rsid w:val="00594C74"/>
    <w:rsid w:val="00596007"/>
    <w:rsid w:val="00597521"/>
    <w:rsid w:val="005976B1"/>
    <w:rsid w:val="005A048A"/>
    <w:rsid w:val="005A2074"/>
    <w:rsid w:val="005A3045"/>
    <w:rsid w:val="005A339A"/>
    <w:rsid w:val="005A41DB"/>
    <w:rsid w:val="005A4683"/>
    <w:rsid w:val="005A4FB0"/>
    <w:rsid w:val="005A5BB9"/>
    <w:rsid w:val="005A66CB"/>
    <w:rsid w:val="005A697B"/>
    <w:rsid w:val="005B0D13"/>
    <w:rsid w:val="005B1F3F"/>
    <w:rsid w:val="005B281F"/>
    <w:rsid w:val="005B28A0"/>
    <w:rsid w:val="005B2C81"/>
    <w:rsid w:val="005B36E5"/>
    <w:rsid w:val="005B62D1"/>
    <w:rsid w:val="005B6B6B"/>
    <w:rsid w:val="005B7B9A"/>
    <w:rsid w:val="005C1B16"/>
    <w:rsid w:val="005C2B20"/>
    <w:rsid w:val="005C2E0E"/>
    <w:rsid w:val="005C5237"/>
    <w:rsid w:val="005C568B"/>
    <w:rsid w:val="005C6969"/>
    <w:rsid w:val="005C73F7"/>
    <w:rsid w:val="005C7DB6"/>
    <w:rsid w:val="005D129E"/>
    <w:rsid w:val="005D31A1"/>
    <w:rsid w:val="005D5F87"/>
    <w:rsid w:val="005D625C"/>
    <w:rsid w:val="005D67F3"/>
    <w:rsid w:val="005D7E42"/>
    <w:rsid w:val="005E077D"/>
    <w:rsid w:val="005E14D6"/>
    <w:rsid w:val="005E1813"/>
    <w:rsid w:val="005E2CA0"/>
    <w:rsid w:val="005E3F27"/>
    <w:rsid w:val="005E4059"/>
    <w:rsid w:val="005E458B"/>
    <w:rsid w:val="005E7F9F"/>
    <w:rsid w:val="005F2976"/>
    <w:rsid w:val="005F2CEB"/>
    <w:rsid w:val="005F2F80"/>
    <w:rsid w:val="005F31CD"/>
    <w:rsid w:val="005F3CAD"/>
    <w:rsid w:val="005F4977"/>
    <w:rsid w:val="005F4E51"/>
    <w:rsid w:val="005F4E9C"/>
    <w:rsid w:val="005F500C"/>
    <w:rsid w:val="005F5085"/>
    <w:rsid w:val="005F5603"/>
    <w:rsid w:val="005F56A1"/>
    <w:rsid w:val="005F7356"/>
    <w:rsid w:val="005F79CC"/>
    <w:rsid w:val="005F79FF"/>
    <w:rsid w:val="005F7C29"/>
    <w:rsid w:val="00600630"/>
    <w:rsid w:val="00600640"/>
    <w:rsid w:val="00600A8F"/>
    <w:rsid w:val="00603121"/>
    <w:rsid w:val="00605492"/>
    <w:rsid w:val="0060562A"/>
    <w:rsid w:val="00606864"/>
    <w:rsid w:val="00611674"/>
    <w:rsid w:val="006130C9"/>
    <w:rsid w:val="00613475"/>
    <w:rsid w:val="006136B3"/>
    <w:rsid w:val="00613B48"/>
    <w:rsid w:val="006150A8"/>
    <w:rsid w:val="0061680C"/>
    <w:rsid w:val="0061701F"/>
    <w:rsid w:val="00617883"/>
    <w:rsid w:val="00620EC8"/>
    <w:rsid w:val="0062259D"/>
    <w:rsid w:val="00622964"/>
    <w:rsid w:val="00622BD4"/>
    <w:rsid w:val="0062311B"/>
    <w:rsid w:val="006258C5"/>
    <w:rsid w:val="00631E37"/>
    <w:rsid w:val="00633318"/>
    <w:rsid w:val="0063334A"/>
    <w:rsid w:val="00634071"/>
    <w:rsid w:val="00635020"/>
    <w:rsid w:val="00635C5A"/>
    <w:rsid w:val="00635EC3"/>
    <w:rsid w:val="0063638D"/>
    <w:rsid w:val="0063684D"/>
    <w:rsid w:val="00637837"/>
    <w:rsid w:val="00640F2F"/>
    <w:rsid w:val="00640FD7"/>
    <w:rsid w:val="00641A44"/>
    <w:rsid w:val="00641AC0"/>
    <w:rsid w:val="006434E6"/>
    <w:rsid w:val="0064388C"/>
    <w:rsid w:val="006443D8"/>
    <w:rsid w:val="00644597"/>
    <w:rsid w:val="00644B81"/>
    <w:rsid w:val="006454FA"/>
    <w:rsid w:val="00651870"/>
    <w:rsid w:val="006522A3"/>
    <w:rsid w:val="00652955"/>
    <w:rsid w:val="0065417A"/>
    <w:rsid w:val="006556F0"/>
    <w:rsid w:val="006560CF"/>
    <w:rsid w:val="00656A40"/>
    <w:rsid w:val="006573F4"/>
    <w:rsid w:val="00657797"/>
    <w:rsid w:val="0066015A"/>
    <w:rsid w:val="0066083E"/>
    <w:rsid w:val="00661209"/>
    <w:rsid w:val="006617A5"/>
    <w:rsid w:val="0066201E"/>
    <w:rsid w:val="00662316"/>
    <w:rsid w:val="0066249E"/>
    <w:rsid w:val="006626CA"/>
    <w:rsid w:val="00662AF8"/>
    <w:rsid w:val="00663C6C"/>
    <w:rsid w:val="00664AFC"/>
    <w:rsid w:val="00665572"/>
    <w:rsid w:val="00671308"/>
    <w:rsid w:val="006721AD"/>
    <w:rsid w:val="0067233A"/>
    <w:rsid w:val="006734A6"/>
    <w:rsid w:val="00673C60"/>
    <w:rsid w:val="0067413D"/>
    <w:rsid w:val="0067430C"/>
    <w:rsid w:val="0067572C"/>
    <w:rsid w:val="00675988"/>
    <w:rsid w:val="00676757"/>
    <w:rsid w:val="0067682B"/>
    <w:rsid w:val="00677FC4"/>
    <w:rsid w:val="006801DD"/>
    <w:rsid w:val="00680D9B"/>
    <w:rsid w:val="006816EA"/>
    <w:rsid w:val="0068197F"/>
    <w:rsid w:val="00681C2C"/>
    <w:rsid w:val="0068259B"/>
    <w:rsid w:val="00682989"/>
    <w:rsid w:val="00682C92"/>
    <w:rsid w:val="00683FB9"/>
    <w:rsid w:val="006844DB"/>
    <w:rsid w:val="00685348"/>
    <w:rsid w:val="00686A03"/>
    <w:rsid w:val="00686D56"/>
    <w:rsid w:val="00690B57"/>
    <w:rsid w:val="00690E33"/>
    <w:rsid w:val="00691D6A"/>
    <w:rsid w:val="00692A88"/>
    <w:rsid w:val="00692FC0"/>
    <w:rsid w:val="006959AF"/>
    <w:rsid w:val="00696666"/>
    <w:rsid w:val="006978C0"/>
    <w:rsid w:val="006A0DFC"/>
    <w:rsid w:val="006A22E2"/>
    <w:rsid w:val="006A2CFF"/>
    <w:rsid w:val="006A3F42"/>
    <w:rsid w:val="006A520F"/>
    <w:rsid w:val="006A7595"/>
    <w:rsid w:val="006A7614"/>
    <w:rsid w:val="006A7F18"/>
    <w:rsid w:val="006B1950"/>
    <w:rsid w:val="006B2044"/>
    <w:rsid w:val="006B5048"/>
    <w:rsid w:val="006B58C3"/>
    <w:rsid w:val="006B6B2D"/>
    <w:rsid w:val="006B7385"/>
    <w:rsid w:val="006B7A79"/>
    <w:rsid w:val="006C1DAD"/>
    <w:rsid w:val="006C32D9"/>
    <w:rsid w:val="006C4B84"/>
    <w:rsid w:val="006C5EC6"/>
    <w:rsid w:val="006C6BBD"/>
    <w:rsid w:val="006D0F6A"/>
    <w:rsid w:val="006D112D"/>
    <w:rsid w:val="006D1CA7"/>
    <w:rsid w:val="006D3710"/>
    <w:rsid w:val="006D3F84"/>
    <w:rsid w:val="006D549C"/>
    <w:rsid w:val="006D5617"/>
    <w:rsid w:val="006D6295"/>
    <w:rsid w:val="006D71C4"/>
    <w:rsid w:val="006D7445"/>
    <w:rsid w:val="006D7D0F"/>
    <w:rsid w:val="006E16A2"/>
    <w:rsid w:val="006E16FE"/>
    <w:rsid w:val="006E289B"/>
    <w:rsid w:val="006E2AEF"/>
    <w:rsid w:val="006E2D6E"/>
    <w:rsid w:val="006E33B4"/>
    <w:rsid w:val="006E392D"/>
    <w:rsid w:val="006E3DE1"/>
    <w:rsid w:val="006E411C"/>
    <w:rsid w:val="006E487E"/>
    <w:rsid w:val="006E5287"/>
    <w:rsid w:val="006E6653"/>
    <w:rsid w:val="006E7547"/>
    <w:rsid w:val="006E7619"/>
    <w:rsid w:val="006F00EC"/>
    <w:rsid w:val="006F053F"/>
    <w:rsid w:val="006F1717"/>
    <w:rsid w:val="006F187F"/>
    <w:rsid w:val="006F2390"/>
    <w:rsid w:val="006F340B"/>
    <w:rsid w:val="006F39BF"/>
    <w:rsid w:val="006F59D1"/>
    <w:rsid w:val="006F5D25"/>
    <w:rsid w:val="006F616D"/>
    <w:rsid w:val="00704710"/>
    <w:rsid w:val="00704CA3"/>
    <w:rsid w:val="007058E7"/>
    <w:rsid w:val="00705984"/>
    <w:rsid w:val="00705AE1"/>
    <w:rsid w:val="00705AFD"/>
    <w:rsid w:val="007061F8"/>
    <w:rsid w:val="00707EF5"/>
    <w:rsid w:val="007103E8"/>
    <w:rsid w:val="007112DF"/>
    <w:rsid w:val="00711C00"/>
    <w:rsid w:val="00711C23"/>
    <w:rsid w:val="00712306"/>
    <w:rsid w:val="00712A21"/>
    <w:rsid w:val="007139E4"/>
    <w:rsid w:val="00713A54"/>
    <w:rsid w:val="00713EE7"/>
    <w:rsid w:val="00715212"/>
    <w:rsid w:val="00717AA3"/>
    <w:rsid w:val="007214EF"/>
    <w:rsid w:val="00721755"/>
    <w:rsid w:val="007231C7"/>
    <w:rsid w:val="00723260"/>
    <w:rsid w:val="00723AE5"/>
    <w:rsid w:val="00723D36"/>
    <w:rsid w:val="00724A60"/>
    <w:rsid w:val="00724AB0"/>
    <w:rsid w:val="00725D18"/>
    <w:rsid w:val="0072677B"/>
    <w:rsid w:val="00726DD4"/>
    <w:rsid w:val="00726F67"/>
    <w:rsid w:val="0073047F"/>
    <w:rsid w:val="007327B2"/>
    <w:rsid w:val="0073313F"/>
    <w:rsid w:val="00735249"/>
    <w:rsid w:val="00735F6A"/>
    <w:rsid w:val="00736650"/>
    <w:rsid w:val="0073754A"/>
    <w:rsid w:val="00740D58"/>
    <w:rsid w:val="007428C8"/>
    <w:rsid w:val="00742AA9"/>
    <w:rsid w:val="00743610"/>
    <w:rsid w:val="00743718"/>
    <w:rsid w:val="00743CDA"/>
    <w:rsid w:val="00745536"/>
    <w:rsid w:val="00745A0F"/>
    <w:rsid w:val="00745D9A"/>
    <w:rsid w:val="0074789E"/>
    <w:rsid w:val="00747B99"/>
    <w:rsid w:val="00751C48"/>
    <w:rsid w:val="00753934"/>
    <w:rsid w:val="00753E8B"/>
    <w:rsid w:val="00753F5D"/>
    <w:rsid w:val="007542EA"/>
    <w:rsid w:val="007549E9"/>
    <w:rsid w:val="00754FAE"/>
    <w:rsid w:val="007569DE"/>
    <w:rsid w:val="00760934"/>
    <w:rsid w:val="0076101B"/>
    <w:rsid w:val="0076140C"/>
    <w:rsid w:val="00762618"/>
    <w:rsid w:val="00762B35"/>
    <w:rsid w:val="00762F6A"/>
    <w:rsid w:val="0076414D"/>
    <w:rsid w:val="0076524D"/>
    <w:rsid w:val="007652CE"/>
    <w:rsid w:val="00765D84"/>
    <w:rsid w:val="00767C66"/>
    <w:rsid w:val="0077004D"/>
    <w:rsid w:val="00774890"/>
    <w:rsid w:val="0077633B"/>
    <w:rsid w:val="007770EA"/>
    <w:rsid w:val="0078015D"/>
    <w:rsid w:val="00780229"/>
    <w:rsid w:val="00781516"/>
    <w:rsid w:val="007826F6"/>
    <w:rsid w:val="00782F14"/>
    <w:rsid w:val="00783413"/>
    <w:rsid w:val="007839D3"/>
    <w:rsid w:val="00783AC1"/>
    <w:rsid w:val="00784D75"/>
    <w:rsid w:val="00786780"/>
    <w:rsid w:val="007868CC"/>
    <w:rsid w:val="00787698"/>
    <w:rsid w:val="007878D9"/>
    <w:rsid w:val="00790914"/>
    <w:rsid w:val="0079488B"/>
    <w:rsid w:val="00794B8A"/>
    <w:rsid w:val="00795C72"/>
    <w:rsid w:val="00796F5E"/>
    <w:rsid w:val="00797C5D"/>
    <w:rsid w:val="007A0EB6"/>
    <w:rsid w:val="007A1830"/>
    <w:rsid w:val="007A1CC2"/>
    <w:rsid w:val="007A2802"/>
    <w:rsid w:val="007A2A35"/>
    <w:rsid w:val="007A2BAB"/>
    <w:rsid w:val="007A3F16"/>
    <w:rsid w:val="007A534C"/>
    <w:rsid w:val="007A5CA4"/>
    <w:rsid w:val="007A657C"/>
    <w:rsid w:val="007A6813"/>
    <w:rsid w:val="007A6B61"/>
    <w:rsid w:val="007A72B2"/>
    <w:rsid w:val="007B034E"/>
    <w:rsid w:val="007B10D7"/>
    <w:rsid w:val="007B1287"/>
    <w:rsid w:val="007B188E"/>
    <w:rsid w:val="007B1FA6"/>
    <w:rsid w:val="007B24CC"/>
    <w:rsid w:val="007B2937"/>
    <w:rsid w:val="007B31F9"/>
    <w:rsid w:val="007B3839"/>
    <w:rsid w:val="007B4682"/>
    <w:rsid w:val="007B4C56"/>
    <w:rsid w:val="007B577E"/>
    <w:rsid w:val="007B679F"/>
    <w:rsid w:val="007B6C58"/>
    <w:rsid w:val="007B791D"/>
    <w:rsid w:val="007C0B34"/>
    <w:rsid w:val="007C0DB2"/>
    <w:rsid w:val="007C1E5B"/>
    <w:rsid w:val="007C20DA"/>
    <w:rsid w:val="007C228F"/>
    <w:rsid w:val="007C4167"/>
    <w:rsid w:val="007C4E0F"/>
    <w:rsid w:val="007C6434"/>
    <w:rsid w:val="007D044D"/>
    <w:rsid w:val="007D0DFF"/>
    <w:rsid w:val="007D2550"/>
    <w:rsid w:val="007D4D7A"/>
    <w:rsid w:val="007D549A"/>
    <w:rsid w:val="007D5503"/>
    <w:rsid w:val="007D64C8"/>
    <w:rsid w:val="007D69D0"/>
    <w:rsid w:val="007D6AF9"/>
    <w:rsid w:val="007D6E9C"/>
    <w:rsid w:val="007D75A4"/>
    <w:rsid w:val="007D7BFE"/>
    <w:rsid w:val="007E12F4"/>
    <w:rsid w:val="007E1408"/>
    <w:rsid w:val="007E2910"/>
    <w:rsid w:val="007E2E47"/>
    <w:rsid w:val="007E3464"/>
    <w:rsid w:val="007E4B90"/>
    <w:rsid w:val="007E4FC3"/>
    <w:rsid w:val="007E5434"/>
    <w:rsid w:val="007E5632"/>
    <w:rsid w:val="007E5BAE"/>
    <w:rsid w:val="007E66FC"/>
    <w:rsid w:val="007E6B13"/>
    <w:rsid w:val="007E78B7"/>
    <w:rsid w:val="007F09FB"/>
    <w:rsid w:val="007F0E16"/>
    <w:rsid w:val="007F1C0F"/>
    <w:rsid w:val="007F2614"/>
    <w:rsid w:val="007F2940"/>
    <w:rsid w:val="007F326D"/>
    <w:rsid w:val="007F45EA"/>
    <w:rsid w:val="007F4B7F"/>
    <w:rsid w:val="007F4D2C"/>
    <w:rsid w:val="007F5191"/>
    <w:rsid w:val="007F52F1"/>
    <w:rsid w:val="007F57BF"/>
    <w:rsid w:val="007F5BDB"/>
    <w:rsid w:val="007F5C25"/>
    <w:rsid w:val="007F686C"/>
    <w:rsid w:val="007F6952"/>
    <w:rsid w:val="007F76BA"/>
    <w:rsid w:val="007F78FD"/>
    <w:rsid w:val="007F7B2F"/>
    <w:rsid w:val="0080215D"/>
    <w:rsid w:val="00802C04"/>
    <w:rsid w:val="00803E04"/>
    <w:rsid w:val="00803EEC"/>
    <w:rsid w:val="00806CA0"/>
    <w:rsid w:val="00806DC6"/>
    <w:rsid w:val="00812C7A"/>
    <w:rsid w:val="008131D6"/>
    <w:rsid w:val="00813711"/>
    <w:rsid w:val="00813EF0"/>
    <w:rsid w:val="0081485F"/>
    <w:rsid w:val="00814B5B"/>
    <w:rsid w:val="00814BF6"/>
    <w:rsid w:val="008155FC"/>
    <w:rsid w:val="00815F6C"/>
    <w:rsid w:val="00816B5B"/>
    <w:rsid w:val="00816DF1"/>
    <w:rsid w:val="00817409"/>
    <w:rsid w:val="0082338D"/>
    <w:rsid w:val="008239C2"/>
    <w:rsid w:val="008241A1"/>
    <w:rsid w:val="00824920"/>
    <w:rsid w:val="008249CE"/>
    <w:rsid w:val="008258E8"/>
    <w:rsid w:val="00825E55"/>
    <w:rsid w:val="00827E92"/>
    <w:rsid w:val="00827EF8"/>
    <w:rsid w:val="008326F5"/>
    <w:rsid w:val="008334FC"/>
    <w:rsid w:val="00833BDB"/>
    <w:rsid w:val="0083420E"/>
    <w:rsid w:val="0083498D"/>
    <w:rsid w:val="00834A10"/>
    <w:rsid w:val="00835785"/>
    <w:rsid w:val="00836742"/>
    <w:rsid w:val="00837B47"/>
    <w:rsid w:val="00841483"/>
    <w:rsid w:val="00841992"/>
    <w:rsid w:val="00841F1D"/>
    <w:rsid w:val="00843A5A"/>
    <w:rsid w:val="00843EF9"/>
    <w:rsid w:val="00845B41"/>
    <w:rsid w:val="008461E1"/>
    <w:rsid w:val="00846B6D"/>
    <w:rsid w:val="008502E7"/>
    <w:rsid w:val="00851154"/>
    <w:rsid w:val="00852978"/>
    <w:rsid w:val="00852BDF"/>
    <w:rsid w:val="0085304C"/>
    <w:rsid w:val="00854157"/>
    <w:rsid w:val="0085484E"/>
    <w:rsid w:val="00855D04"/>
    <w:rsid w:val="00855D1A"/>
    <w:rsid w:val="00856ECC"/>
    <w:rsid w:val="00856F9B"/>
    <w:rsid w:val="00862BD7"/>
    <w:rsid w:val="0086314C"/>
    <w:rsid w:val="008643F2"/>
    <w:rsid w:val="008648D1"/>
    <w:rsid w:val="00865EDF"/>
    <w:rsid w:val="00867A40"/>
    <w:rsid w:val="00870394"/>
    <w:rsid w:val="00870F47"/>
    <w:rsid w:val="00871193"/>
    <w:rsid w:val="008712C6"/>
    <w:rsid w:val="00873469"/>
    <w:rsid w:val="00873968"/>
    <w:rsid w:val="00874925"/>
    <w:rsid w:val="00874ED9"/>
    <w:rsid w:val="008753D9"/>
    <w:rsid w:val="00875C5F"/>
    <w:rsid w:val="008767CB"/>
    <w:rsid w:val="0087785E"/>
    <w:rsid w:val="00877D33"/>
    <w:rsid w:val="008805FA"/>
    <w:rsid w:val="00880C96"/>
    <w:rsid w:val="00882344"/>
    <w:rsid w:val="00882C91"/>
    <w:rsid w:val="0088397C"/>
    <w:rsid w:val="00884310"/>
    <w:rsid w:val="0088568A"/>
    <w:rsid w:val="00885AC8"/>
    <w:rsid w:val="008865C4"/>
    <w:rsid w:val="008901D5"/>
    <w:rsid w:val="008933AE"/>
    <w:rsid w:val="008938DE"/>
    <w:rsid w:val="00893B1D"/>
    <w:rsid w:val="008942DB"/>
    <w:rsid w:val="008948DA"/>
    <w:rsid w:val="00894D54"/>
    <w:rsid w:val="00895A2A"/>
    <w:rsid w:val="00895D52"/>
    <w:rsid w:val="0089608A"/>
    <w:rsid w:val="0089721E"/>
    <w:rsid w:val="00897A88"/>
    <w:rsid w:val="00897FAF"/>
    <w:rsid w:val="008A1F5F"/>
    <w:rsid w:val="008A2750"/>
    <w:rsid w:val="008A3664"/>
    <w:rsid w:val="008A4202"/>
    <w:rsid w:val="008A7091"/>
    <w:rsid w:val="008B032B"/>
    <w:rsid w:val="008B07E4"/>
    <w:rsid w:val="008B0CF9"/>
    <w:rsid w:val="008B1015"/>
    <w:rsid w:val="008B1F35"/>
    <w:rsid w:val="008B4732"/>
    <w:rsid w:val="008B63B1"/>
    <w:rsid w:val="008B703F"/>
    <w:rsid w:val="008C2AA0"/>
    <w:rsid w:val="008C2B96"/>
    <w:rsid w:val="008C3CE9"/>
    <w:rsid w:val="008C4B3A"/>
    <w:rsid w:val="008C4C4F"/>
    <w:rsid w:val="008C51A8"/>
    <w:rsid w:val="008C5210"/>
    <w:rsid w:val="008C5492"/>
    <w:rsid w:val="008C6212"/>
    <w:rsid w:val="008C64EF"/>
    <w:rsid w:val="008C6AD9"/>
    <w:rsid w:val="008C6D50"/>
    <w:rsid w:val="008C7C60"/>
    <w:rsid w:val="008D0210"/>
    <w:rsid w:val="008D17AF"/>
    <w:rsid w:val="008D27A4"/>
    <w:rsid w:val="008D4190"/>
    <w:rsid w:val="008D5354"/>
    <w:rsid w:val="008D5405"/>
    <w:rsid w:val="008D6049"/>
    <w:rsid w:val="008D6078"/>
    <w:rsid w:val="008D7CF4"/>
    <w:rsid w:val="008D7DFF"/>
    <w:rsid w:val="008E01FF"/>
    <w:rsid w:val="008E130A"/>
    <w:rsid w:val="008E13A3"/>
    <w:rsid w:val="008E1742"/>
    <w:rsid w:val="008E23C4"/>
    <w:rsid w:val="008E27F1"/>
    <w:rsid w:val="008E389A"/>
    <w:rsid w:val="008E3ED7"/>
    <w:rsid w:val="008E4025"/>
    <w:rsid w:val="008E49DD"/>
    <w:rsid w:val="008E4A66"/>
    <w:rsid w:val="008E66A4"/>
    <w:rsid w:val="008E6836"/>
    <w:rsid w:val="008E75D0"/>
    <w:rsid w:val="008E7AFC"/>
    <w:rsid w:val="008F24D4"/>
    <w:rsid w:val="008F2DCB"/>
    <w:rsid w:val="008F5468"/>
    <w:rsid w:val="008F5A8F"/>
    <w:rsid w:val="008F75B4"/>
    <w:rsid w:val="00900507"/>
    <w:rsid w:val="0090093D"/>
    <w:rsid w:val="00900977"/>
    <w:rsid w:val="009009D0"/>
    <w:rsid w:val="00900EF9"/>
    <w:rsid w:val="009025F7"/>
    <w:rsid w:val="00902B68"/>
    <w:rsid w:val="009047E7"/>
    <w:rsid w:val="00904E80"/>
    <w:rsid w:val="009062B5"/>
    <w:rsid w:val="00906D8A"/>
    <w:rsid w:val="009076AE"/>
    <w:rsid w:val="00910BEE"/>
    <w:rsid w:val="00912298"/>
    <w:rsid w:val="00912344"/>
    <w:rsid w:val="00912E99"/>
    <w:rsid w:val="0091426F"/>
    <w:rsid w:val="00915B49"/>
    <w:rsid w:val="009160CB"/>
    <w:rsid w:val="0092021B"/>
    <w:rsid w:val="00920592"/>
    <w:rsid w:val="0092070F"/>
    <w:rsid w:val="00921B40"/>
    <w:rsid w:val="009221DC"/>
    <w:rsid w:val="009225E5"/>
    <w:rsid w:val="00923214"/>
    <w:rsid w:val="00927933"/>
    <w:rsid w:val="009315BE"/>
    <w:rsid w:val="00931BDB"/>
    <w:rsid w:val="00932CCC"/>
    <w:rsid w:val="0093402C"/>
    <w:rsid w:val="00934149"/>
    <w:rsid w:val="00934A74"/>
    <w:rsid w:val="00934B00"/>
    <w:rsid w:val="00934DF5"/>
    <w:rsid w:val="009375A5"/>
    <w:rsid w:val="0093767E"/>
    <w:rsid w:val="009409B9"/>
    <w:rsid w:val="00940C26"/>
    <w:rsid w:val="00942A93"/>
    <w:rsid w:val="009431E8"/>
    <w:rsid w:val="00943736"/>
    <w:rsid w:val="00943755"/>
    <w:rsid w:val="00944244"/>
    <w:rsid w:val="00945C3D"/>
    <w:rsid w:val="009468D6"/>
    <w:rsid w:val="00946B0B"/>
    <w:rsid w:val="00947B5E"/>
    <w:rsid w:val="009501AF"/>
    <w:rsid w:val="009501D5"/>
    <w:rsid w:val="00951DB1"/>
    <w:rsid w:val="0095266E"/>
    <w:rsid w:val="009549E5"/>
    <w:rsid w:val="00954F1D"/>
    <w:rsid w:val="00955DAA"/>
    <w:rsid w:val="00956AF8"/>
    <w:rsid w:val="0095754B"/>
    <w:rsid w:val="009601F5"/>
    <w:rsid w:val="009616CE"/>
    <w:rsid w:val="00963813"/>
    <w:rsid w:val="009640B6"/>
    <w:rsid w:val="00965BAF"/>
    <w:rsid w:val="00965F6A"/>
    <w:rsid w:val="00967029"/>
    <w:rsid w:val="009670B9"/>
    <w:rsid w:val="0097012E"/>
    <w:rsid w:val="0097074D"/>
    <w:rsid w:val="00971096"/>
    <w:rsid w:val="00971F15"/>
    <w:rsid w:val="00972918"/>
    <w:rsid w:val="00973A29"/>
    <w:rsid w:val="009747E6"/>
    <w:rsid w:val="00976D71"/>
    <w:rsid w:val="00977BF6"/>
    <w:rsid w:val="00977F4C"/>
    <w:rsid w:val="0098025E"/>
    <w:rsid w:val="00980DB0"/>
    <w:rsid w:val="00980FC9"/>
    <w:rsid w:val="00983171"/>
    <w:rsid w:val="0098370E"/>
    <w:rsid w:val="009839B2"/>
    <w:rsid w:val="00984184"/>
    <w:rsid w:val="00984408"/>
    <w:rsid w:val="00985223"/>
    <w:rsid w:val="0098554F"/>
    <w:rsid w:val="0098661E"/>
    <w:rsid w:val="0098691A"/>
    <w:rsid w:val="00990586"/>
    <w:rsid w:val="0099260A"/>
    <w:rsid w:val="00994EDD"/>
    <w:rsid w:val="009960E8"/>
    <w:rsid w:val="00996ED4"/>
    <w:rsid w:val="00997198"/>
    <w:rsid w:val="00997375"/>
    <w:rsid w:val="009A05F8"/>
    <w:rsid w:val="009A16CF"/>
    <w:rsid w:val="009A1DBC"/>
    <w:rsid w:val="009A2ED1"/>
    <w:rsid w:val="009A37B3"/>
    <w:rsid w:val="009A51D4"/>
    <w:rsid w:val="009A5329"/>
    <w:rsid w:val="009A567A"/>
    <w:rsid w:val="009A73EA"/>
    <w:rsid w:val="009B0DE5"/>
    <w:rsid w:val="009B11DA"/>
    <w:rsid w:val="009B1CE5"/>
    <w:rsid w:val="009B1D4E"/>
    <w:rsid w:val="009B20BD"/>
    <w:rsid w:val="009B229D"/>
    <w:rsid w:val="009B31EA"/>
    <w:rsid w:val="009B31F5"/>
    <w:rsid w:val="009B382E"/>
    <w:rsid w:val="009B3F10"/>
    <w:rsid w:val="009B48D9"/>
    <w:rsid w:val="009B5035"/>
    <w:rsid w:val="009B5512"/>
    <w:rsid w:val="009B5B27"/>
    <w:rsid w:val="009B617A"/>
    <w:rsid w:val="009B61A1"/>
    <w:rsid w:val="009B70E7"/>
    <w:rsid w:val="009C1F4D"/>
    <w:rsid w:val="009C2751"/>
    <w:rsid w:val="009C28DA"/>
    <w:rsid w:val="009C4420"/>
    <w:rsid w:val="009C4D9D"/>
    <w:rsid w:val="009C56BA"/>
    <w:rsid w:val="009C56E4"/>
    <w:rsid w:val="009D0AD9"/>
    <w:rsid w:val="009D1046"/>
    <w:rsid w:val="009D31A3"/>
    <w:rsid w:val="009D3BB3"/>
    <w:rsid w:val="009D4BFC"/>
    <w:rsid w:val="009E0EE4"/>
    <w:rsid w:val="009E1FE1"/>
    <w:rsid w:val="009E2C40"/>
    <w:rsid w:val="009E348B"/>
    <w:rsid w:val="009E590D"/>
    <w:rsid w:val="009E5C33"/>
    <w:rsid w:val="009E5EBE"/>
    <w:rsid w:val="009E5F06"/>
    <w:rsid w:val="009E6772"/>
    <w:rsid w:val="009E68F1"/>
    <w:rsid w:val="009E7DE9"/>
    <w:rsid w:val="009F4136"/>
    <w:rsid w:val="009F4230"/>
    <w:rsid w:val="009F42D3"/>
    <w:rsid w:val="009F580B"/>
    <w:rsid w:val="009F6151"/>
    <w:rsid w:val="009F6621"/>
    <w:rsid w:val="009F7F88"/>
    <w:rsid w:val="00A0446A"/>
    <w:rsid w:val="00A0600D"/>
    <w:rsid w:val="00A06B6D"/>
    <w:rsid w:val="00A07B0E"/>
    <w:rsid w:val="00A11144"/>
    <w:rsid w:val="00A11594"/>
    <w:rsid w:val="00A120FC"/>
    <w:rsid w:val="00A132D7"/>
    <w:rsid w:val="00A133F4"/>
    <w:rsid w:val="00A13F5E"/>
    <w:rsid w:val="00A143A2"/>
    <w:rsid w:val="00A15306"/>
    <w:rsid w:val="00A154D7"/>
    <w:rsid w:val="00A15EE8"/>
    <w:rsid w:val="00A16845"/>
    <w:rsid w:val="00A16EDA"/>
    <w:rsid w:val="00A17BDA"/>
    <w:rsid w:val="00A20ABF"/>
    <w:rsid w:val="00A222CE"/>
    <w:rsid w:val="00A2323B"/>
    <w:rsid w:val="00A24D4B"/>
    <w:rsid w:val="00A24FD8"/>
    <w:rsid w:val="00A25B9A"/>
    <w:rsid w:val="00A267F4"/>
    <w:rsid w:val="00A27149"/>
    <w:rsid w:val="00A2718C"/>
    <w:rsid w:val="00A27C12"/>
    <w:rsid w:val="00A30B5C"/>
    <w:rsid w:val="00A30FE0"/>
    <w:rsid w:val="00A3143B"/>
    <w:rsid w:val="00A317E7"/>
    <w:rsid w:val="00A31D0D"/>
    <w:rsid w:val="00A328B3"/>
    <w:rsid w:val="00A328BC"/>
    <w:rsid w:val="00A3315A"/>
    <w:rsid w:val="00A3317F"/>
    <w:rsid w:val="00A331CF"/>
    <w:rsid w:val="00A33EDE"/>
    <w:rsid w:val="00A346EB"/>
    <w:rsid w:val="00A35B06"/>
    <w:rsid w:val="00A36BBD"/>
    <w:rsid w:val="00A40176"/>
    <w:rsid w:val="00A40A58"/>
    <w:rsid w:val="00A41993"/>
    <w:rsid w:val="00A41E60"/>
    <w:rsid w:val="00A4271E"/>
    <w:rsid w:val="00A42F37"/>
    <w:rsid w:val="00A443D0"/>
    <w:rsid w:val="00A4501A"/>
    <w:rsid w:val="00A45663"/>
    <w:rsid w:val="00A45E39"/>
    <w:rsid w:val="00A46904"/>
    <w:rsid w:val="00A4786A"/>
    <w:rsid w:val="00A50622"/>
    <w:rsid w:val="00A520D7"/>
    <w:rsid w:val="00A52FB5"/>
    <w:rsid w:val="00A53F4D"/>
    <w:rsid w:val="00A55ECD"/>
    <w:rsid w:val="00A56959"/>
    <w:rsid w:val="00A57517"/>
    <w:rsid w:val="00A579C2"/>
    <w:rsid w:val="00A60FFF"/>
    <w:rsid w:val="00A612C4"/>
    <w:rsid w:val="00A620AD"/>
    <w:rsid w:val="00A62825"/>
    <w:rsid w:val="00A6512E"/>
    <w:rsid w:val="00A6616C"/>
    <w:rsid w:val="00A66ACD"/>
    <w:rsid w:val="00A67D41"/>
    <w:rsid w:val="00A706FF"/>
    <w:rsid w:val="00A7070E"/>
    <w:rsid w:val="00A71408"/>
    <w:rsid w:val="00A72325"/>
    <w:rsid w:val="00A73BF1"/>
    <w:rsid w:val="00A73FDF"/>
    <w:rsid w:val="00A77A7B"/>
    <w:rsid w:val="00A77E0F"/>
    <w:rsid w:val="00A80A4F"/>
    <w:rsid w:val="00A8418E"/>
    <w:rsid w:val="00A84DC4"/>
    <w:rsid w:val="00A84EE8"/>
    <w:rsid w:val="00A858A5"/>
    <w:rsid w:val="00A85C33"/>
    <w:rsid w:val="00A86EEC"/>
    <w:rsid w:val="00A87499"/>
    <w:rsid w:val="00A875D9"/>
    <w:rsid w:val="00A9017B"/>
    <w:rsid w:val="00A9102B"/>
    <w:rsid w:val="00A911C1"/>
    <w:rsid w:val="00A92523"/>
    <w:rsid w:val="00A92D8A"/>
    <w:rsid w:val="00A94585"/>
    <w:rsid w:val="00A95492"/>
    <w:rsid w:val="00A95726"/>
    <w:rsid w:val="00AA02A2"/>
    <w:rsid w:val="00AA0585"/>
    <w:rsid w:val="00AA0BED"/>
    <w:rsid w:val="00AA19FE"/>
    <w:rsid w:val="00AA41D0"/>
    <w:rsid w:val="00AA435B"/>
    <w:rsid w:val="00AA66B8"/>
    <w:rsid w:val="00AA7321"/>
    <w:rsid w:val="00AA79FF"/>
    <w:rsid w:val="00AB0473"/>
    <w:rsid w:val="00AB095C"/>
    <w:rsid w:val="00AB0D9E"/>
    <w:rsid w:val="00AB1CE5"/>
    <w:rsid w:val="00AB1E32"/>
    <w:rsid w:val="00AB27EB"/>
    <w:rsid w:val="00AB30C8"/>
    <w:rsid w:val="00AB332E"/>
    <w:rsid w:val="00AB34FC"/>
    <w:rsid w:val="00AB38F3"/>
    <w:rsid w:val="00AB4DC5"/>
    <w:rsid w:val="00AB69AA"/>
    <w:rsid w:val="00AB75D5"/>
    <w:rsid w:val="00AC04C9"/>
    <w:rsid w:val="00AC050F"/>
    <w:rsid w:val="00AC7819"/>
    <w:rsid w:val="00AC7A15"/>
    <w:rsid w:val="00AD06D2"/>
    <w:rsid w:val="00AD1888"/>
    <w:rsid w:val="00AD227E"/>
    <w:rsid w:val="00AD25F8"/>
    <w:rsid w:val="00AD2A1A"/>
    <w:rsid w:val="00AD51BD"/>
    <w:rsid w:val="00AE1DE4"/>
    <w:rsid w:val="00AE24DE"/>
    <w:rsid w:val="00AE2F5E"/>
    <w:rsid w:val="00AE515D"/>
    <w:rsid w:val="00AE52CB"/>
    <w:rsid w:val="00AE542B"/>
    <w:rsid w:val="00AE590F"/>
    <w:rsid w:val="00AE6395"/>
    <w:rsid w:val="00AE6AD7"/>
    <w:rsid w:val="00AE7A6F"/>
    <w:rsid w:val="00AF0D6D"/>
    <w:rsid w:val="00AF1D96"/>
    <w:rsid w:val="00AF3137"/>
    <w:rsid w:val="00AF33D4"/>
    <w:rsid w:val="00AF3E9A"/>
    <w:rsid w:val="00AF61B3"/>
    <w:rsid w:val="00AF64A4"/>
    <w:rsid w:val="00AF6FE9"/>
    <w:rsid w:val="00B0007D"/>
    <w:rsid w:val="00B03544"/>
    <w:rsid w:val="00B03618"/>
    <w:rsid w:val="00B03AEA"/>
    <w:rsid w:val="00B03C94"/>
    <w:rsid w:val="00B0430D"/>
    <w:rsid w:val="00B04B7E"/>
    <w:rsid w:val="00B06143"/>
    <w:rsid w:val="00B06B2C"/>
    <w:rsid w:val="00B07789"/>
    <w:rsid w:val="00B1089D"/>
    <w:rsid w:val="00B10D29"/>
    <w:rsid w:val="00B1240C"/>
    <w:rsid w:val="00B13000"/>
    <w:rsid w:val="00B14102"/>
    <w:rsid w:val="00B16102"/>
    <w:rsid w:val="00B17B6F"/>
    <w:rsid w:val="00B218ED"/>
    <w:rsid w:val="00B24335"/>
    <w:rsid w:val="00B268C6"/>
    <w:rsid w:val="00B26C31"/>
    <w:rsid w:val="00B26F83"/>
    <w:rsid w:val="00B27D7F"/>
    <w:rsid w:val="00B31F6B"/>
    <w:rsid w:val="00B32967"/>
    <w:rsid w:val="00B34AC7"/>
    <w:rsid w:val="00B34D6E"/>
    <w:rsid w:val="00B34E50"/>
    <w:rsid w:val="00B36310"/>
    <w:rsid w:val="00B4172C"/>
    <w:rsid w:val="00B419D4"/>
    <w:rsid w:val="00B43769"/>
    <w:rsid w:val="00B45802"/>
    <w:rsid w:val="00B47040"/>
    <w:rsid w:val="00B4712A"/>
    <w:rsid w:val="00B47397"/>
    <w:rsid w:val="00B5087D"/>
    <w:rsid w:val="00B508A6"/>
    <w:rsid w:val="00B50CAD"/>
    <w:rsid w:val="00B50FF0"/>
    <w:rsid w:val="00B51CC8"/>
    <w:rsid w:val="00B51E14"/>
    <w:rsid w:val="00B52CC1"/>
    <w:rsid w:val="00B52F51"/>
    <w:rsid w:val="00B54A14"/>
    <w:rsid w:val="00B558FE"/>
    <w:rsid w:val="00B564B6"/>
    <w:rsid w:val="00B5693D"/>
    <w:rsid w:val="00B57DEB"/>
    <w:rsid w:val="00B6315F"/>
    <w:rsid w:val="00B63344"/>
    <w:rsid w:val="00B635F2"/>
    <w:rsid w:val="00B63FE0"/>
    <w:rsid w:val="00B6656C"/>
    <w:rsid w:val="00B66D8B"/>
    <w:rsid w:val="00B66FF9"/>
    <w:rsid w:val="00B7004B"/>
    <w:rsid w:val="00B7090D"/>
    <w:rsid w:val="00B714B7"/>
    <w:rsid w:val="00B7254A"/>
    <w:rsid w:val="00B72B35"/>
    <w:rsid w:val="00B734AF"/>
    <w:rsid w:val="00B73BE5"/>
    <w:rsid w:val="00B73CB1"/>
    <w:rsid w:val="00B74135"/>
    <w:rsid w:val="00B7632B"/>
    <w:rsid w:val="00B77DF3"/>
    <w:rsid w:val="00B77F6B"/>
    <w:rsid w:val="00B80635"/>
    <w:rsid w:val="00B81AA8"/>
    <w:rsid w:val="00B82CCA"/>
    <w:rsid w:val="00B82E71"/>
    <w:rsid w:val="00B831C4"/>
    <w:rsid w:val="00B83493"/>
    <w:rsid w:val="00B83714"/>
    <w:rsid w:val="00B83B1B"/>
    <w:rsid w:val="00B859D9"/>
    <w:rsid w:val="00B86F22"/>
    <w:rsid w:val="00B87616"/>
    <w:rsid w:val="00B90C9A"/>
    <w:rsid w:val="00B90DD0"/>
    <w:rsid w:val="00B913E6"/>
    <w:rsid w:val="00B9358F"/>
    <w:rsid w:val="00B93F95"/>
    <w:rsid w:val="00B947E5"/>
    <w:rsid w:val="00B95D3D"/>
    <w:rsid w:val="00B961F2"/>
    <w:rsid w:val="00B96BF4"/>
    <w:rsid w:val="00B96FBE"/>
    <w:rsid w:val="00BA03E1"/>
    <w:rsid w:val="00BA0ADD"/>
    <w:rsid w:val="00BA0D79"/>
    <w:rsid w:val="00BA2230"/>
    <w:rsid w:val="00BA27A9"/>
    <w:rsid w:val="00BA3D6D"/>
    <w:rsid w:val="00BA4642"/>
    <w:rsid w:val="00BA5839"/>
    <w:rsid w:val="00BA65A5"/>
    <w:rsid w:val="00BA75BD"/>
    <w:rsid w:val="00BB01BB"/>
    <w:rsid w:val="00BB142C"/>
    <w:rsid w:val="00BB188B"/>
    <w:rsid w:val="00BB380C"/>
    <w:rsid w:val="00BB53BC"/>
    <w:rsid w:val="00BB5E41"/>
    <w:rsid w:val="00BB721D"/>
    <w:rsid w:val="00BC0132"/>
    <w:rsid w:val="00BC139B"/>
    <w:rsid w:val="00BC1518"/>
    <w:rsid w:val="00BC21B3"/>
    <w:rsid w:val="00BC2DB7"/>
    <w:rsid w:val="00BC3D4F"/>
    <w:rsid w:val="00BC52D6"/>
    <w:rsid w:val="00BC5938"/>
    <w:rsid w:val="00BC5D31"/>
    <w:rsid w:val="00BC5E5D"/>
    <w:rsid w:val="00BC6156"/>
    <w:rsid w:val="00BC61F2"/>
    <w:rsid w:val="00BC62D9"/>
    <w:rsid w:val="00BC645E"/>
    <w:rsid w:val="00BD1E7D"/>
    <w:rsid w:val="00BD31AD"/>
    <w:rsid w:val="00BD4122"/>
    <w:rsid w:val="00BD5B8A"/>
    <w:rsid w:val="00BD7A9C"/>
    <w:rsid w:val="00BD7F10"/>
    <w:rsid w:val="00BE090B"/>
    <w:rsid w:val="00BE1DB3"/>
    <w:rsid w:val="00BE2007"/>
    <w:rsid w:val="00BE2636"/>
    <w:rsid w:val="00BE52FD"/>
    <w:rsid w:val="00BE63BC"/>
    <w:rsid w:val="00BE6F5E"/>
    <w:rsid w:val="00BF0113"/>
    <w:rsid w:val="00BF0358"/>
    <w:rsid w:val="00BF4168"/>
    <w:rsid w:val="00BF532F"/>
    <w:rsid w:val="00BF6FD8"/>
    <w:rsid w:val="00BF72FD"/>
    <w:rsid w:val="00BF7601"/>
    <w:rsid w:val="00C00F1C"/>
    <w:rsid w:val="00C02C1A"/>
    <w:rsid w:val="00C03965"/>
    <w:rsid w:val="00C04412"/>
    <w:rsid w:val="00C10953"/>
    <w:rsid w:val="00C10B2E"/>
    <w:rsid w:val="00C10EA2"/>
    <w:rsid w:val="00C12AD4"/>
    <w:rsid w:val="00C13206"/>
    <w:rsid w:val="00C1372A"/>
    <w:rsid w:val="00C13EA3"/>
    <w:rsid w:val="00C14056"/>
    <w:rsid w:val="00C14296"/>
    <w:rsid w:val="00C17334"/>
    <w:rsid w:val="00C20C31"/>
    <w:rsid w:val="00C21771"/>
    <w:rsid w:val="00C22E2F"/>
    <w:rsid w:val="00C22F81"/>
    <w:rsid w:val="00C23844"/>
    <w:rsid w:val="00C23C0A"/>
    <w:rsid w:val="00C23D7B"/>
    <w:rsid w:val="00C24953"/>
    <w:rsid w:val="00C24E1D"/>
    <w:rsid w:val="00C25858"/>
    <w:rsid w:val="00C25A48"/>
    <w:rsid w:val="00C2606D"/>
    <w:rsid w:val="00C2695D"/>
    <w:rsid w:val="00C27DE4"/>
    <w:rsid w:val="00C27EA0"/>
    <w:rsid w:val="00C300EE"/>
    <w:rsid w:val="00C326EE"/>
    <w:rsid w:val="00C33F28"/>
    <w:rsid w:val="00C36AF4"/>
    <w:rsid w:val="00C37071"/>
    <w:rsid w:val="00C3748E"/>
    <w:rsid w:val="00C37A9F"/>
    <w:rsid w:val="00C410FB"/>
    <w:rsid w:val="00C42430"/>
    <w:rsid w:val="00C42705"/>
    <w:rsid w:val="00C42FBD"/>
    <w:rsid w:val="00C439E6"/>
    <w:rsid w:val="00C450AE"/>
    <w:rsid w:val="00C464FE"/>
    <w:rsid w:val="00C46A37"/>
    <w:rsid w:val="00C47011"/>
    <w:rsid w:val="00C4743A"/>
    <w:rsid w:val="00C476CF"/>
    <w:rsid w:val="00C476E3"/>
    <w:rsid w:val="00C47B69"/>
    <w:rsid w:val="00C51512"/>
    <w:rsid w:val="00C51F37"/>
    <w:rsid w:val="00C520AC"/>
    <w:rsid w:val="00C52E5D"/>
    <w:rsid w:val="00C5395A"/>
    <w:rsid w:val="00C53B5F"/>
    <w:rsid w:val="00C541FD"/>
    <w:rsid w:val="00C550EC"/>
    <w:rsid w:val="00C55423"/>
    <w:rsid w:val="00C55FE7"/>
    <w:rsid w:val="00C600FA"/>
    <w:rsid w:val="00C6200D"/>
    <w:rsid w:val="00C63852"/>
    <w:rsid w:val="00C63905"/>
    <w:rsid w:val="00C67481"/>
    <w:rsid w:val="00C70584"/>
    <w:rsid w:val="00C707CA"/>
    <w:rsid w:val="00C70905"/>
    <w:rsid w:val="00C734EA"/>
    <w:rsid w:val="00C74516"/>
    <w:rsid w:val="00C752E1"/>
    <w:rsid w:val="00C758F5"/>
    <w:rsid w:val="00C760F7"/>
    <w:rsid w:val="00C80F6C"/>
    <w:rsid w:val="00C81782"/>
    <w:rsid w:val="00C818D3"/>
    <w:rsid w:val="00C8486B"/>
    <w:rsid w:val="00C852F0"/>
    <w:rsid w:val="00C85ACA"/>
    <w:rsid w:val="00C85FC3"/>
    <w:rsid w:val="00C878D4"/>
    <w:rsid w:val="00C87BFE"/>
    <w:rsid w:val="00C9019C"/>
    <w:rsid w:val="00C90E85"/>
    <w:rsid w:val="00C90F89"/>
    <w:rsid w:val="00C91074"/>
    <w:rsid w:val="00C9249E"/>
    <w:rsid w:val="00C924D9"/>
    <w:rsid w:val="00C92620"/>
    <w:rsid w:val="00C92E45"/>
    <w:rsid w:val="00C92E5D"/>
    <w:rsid w:val="00C93509"/>
    <w:rsid w:val="00C9450A"/>
    <w:rsid w:val="00C95615"/>
    <w:rsid w:val="00C95D75"/>
    <w:rsid w:val="00C9696B"/>
    <w:rsid w:val="00C96AD0"/>
    <w:rsid w:val="00C9777C"/>
    <w:rsid w:val="00CA047F"/>
    <w:rsid w:val="00CA0698"/>
    <w:rsid w:val="00CA0B68"/>
    <w:rsid w:val="00CA2487"/>
    <w:rsid w:val="00CA248D"/>
    <w:rsid w:val="00CA2BC2"/>
    <w:rsid w:val="00CA3A32"/>
    <w:rsid w:val="00CA3DC2"/>
    <w:rsid w:val="00CA41E3"/>
    <w:rsid w:val="00CA58CB"/>
    <w:rsid w:val="00CA65CA"/>
    <w:rsid w:val="00CA735D"/>
    <w:rsid w:val="00CA78C0"/>
    <w:rsid w:val="00CA7F31"/>
    <w:rsid w:val="00CB0E6E"/>
    <w:rsid w:val="00CB137C"/>
    <w:rsid w:val="00CB1CFB"/>
    <w:rsid w:val="00CB3132"/>
    <w:rsid w:val="00CB4E54"/>
    <w:rsid w:val="00CB58FC"/>
    <w:rsid w:val="00CB5D01"/>
    <w:rsid w:val="00CB6C90"/>
    <w:rsid w:val="00CB7AD4"/>
    <w:rsid w:val="00CC018C"/>
    <w:rsid w:val="00CC03D3"/>
    <w:rsid w:val="00CC0F0C"/>
    <w:rsid w:val="00CC0F43"/>
    <w:rsid w:val="00CC1E19"/>
    <w:rsid w:val="00CC20C6"/>
    <w:rsid w:val="00CC3263"/>
    <w:rsid w:val="00CC37A3"/>
    <w:rsid w:val="00CC519E"/>
    <w:rsid w:val="00CC52EC"/>
    <w:rsid w:val="00CC53AF"/>
    <w:rsid w:val="00CC602E"/>
    <w:rsid w:val="00CC71E3"/>
    <w:rsid w:val="00CC771D"/>
    <w:rsid w:val="00CD034B"/>
    <w:rsid w:val="00CD080E"/>
    <w:rsid w:val="00CD08B4"/>
    <w:rsid w:val="00CD15DC"/>
    <w:rsid w:val="00CD2C86"/>
    <w:rsid w:val="00CD35C5"/>
    <w:rsid w:val="00CD40E2"/>
    <w:rsid w:val="00CD5617"/>
    <w:rsid w:val="00CD6F65"/>
    <w:rsid w:val="00CE16E0"/>
    <w:rsid w:val="00CE42A8"/>
    <w:rsid w:val="00CE78A9"/>
    <w:rsid w:val="00CE7C87"/>
    <w:rsid w:val="00CF0ACD"/>
    <w:rsid w:val="00CF0DC6"/>
    <w:rsid w:val="00CF0F0F"/>
    <w:rsid w:val="00CF119A"/>
    <w:rsid w:val="00CF155A"/>
    <w:rsid w:val="00CF26BA"/>
    <w:rsid w:val="00CF3002"/>
    <w:rsid w:val="00CF4E94"/>
    <w:rsid w:val="00CF4FD5"/>
    <w:rsid w:val="00CF52D8"/>
    <w:rsid w:val="00CF5500"/>
    <w:rsid w:val="00CF6993"/>
    <w:rsid w:val="00CF6A88"/>
    <w:rsid w:val="00CF7B8A"/>
    <w:rsid w:val="00D003A2"/>
    <w:rsid w:val="00D01078"/>
    <w:rsid w:val="00D02C3F"/>
    <w:rsid w:val="00D0368E"/>
    <w:rsid w:val="00D0430A"/>
    <w:rsid w:val="00D066EB"/>
    <w:rsid w:val="00D06C4C"/>
    <w:rsid w:val="00D06DC5"/>
    <w:rsid w:val="00D11A1A"/>
    <w:rsid w:val="00D11D92"/>
    <w:rsid w:val="00D139D0"/>
    <w:rsid w:val="00D14018"/>
    <w:rsid w:val="00D14248"/>
    <w:rsid w:val="00D14FA3"/>
    <w:rsid w:val="00D14FDB"/>
    <w:rsid w:val="00D152BE"/>
    <w:rsid w:val="00D16476"/>
    <w:rsid w:val="00D1724B"/>
    <w:rsid w:val="00D20BD0"/>
    <w:rsid w:val="00D20C42"/>
    <w:rsid w:val="00D212DC"/>
    <w:rsid w:val="00D21FB2"/>
    <w:rsid w:val="00D23764"/>
    <w:rsid w:val="00D2453D"/>
    <w:rsid w:val="00D25B3C"/>
    <w:rsid w:val="00D25E7B"/>
    <w:rsid w:val="00D27ED7"/>
    <w:rsid w:val="00D30FF5"/>
    <w:rsid w:val="00D31069"/>
    <w:rsid w:val="00D311FD"/>
    <w:rsid w:val="00D3195D"/>
    <w:rsid w:val="00D31CA8"/>
    <w:rsid w:val="00D346AC"/>
    <w:rsid w:val="00D34893"/>
    <w:rsid w:val="00D35300"/>
    <w:rsid w:val="00D36033"/>
    <w:rsid w:val="00D40A60"/>
    <w:rsid w:val="00D40BD6"/>
    <w:rsid w:val="00D40CE4"/>
    <w:rsid w:val="00D41332"/>
    <w:rsid w:val="00D41C30"/>
    <w:rsid w:val="00D42C39"/>
    <w:rsid w:val="00D43CE5"/>
    <w:rsid w:val="00D43D62"/>
    <w:rsid w:val="00D43DCA"/>
    <w:rsid w:val="00D443B8"/>
    <w:rsid w:val="00D451FE"/>
    <w:rsid w:val="00D453E2"/>
    <w:rsid w:val="00D47292"/>
    <w:rsid w:val="00D47E3B"/>
    <w:rsid w:val="00D51431"/>
    <w:rsid w:val="00D53107"/>
    <w:rsid w:val="00D55621"/>
    <w:rsid w:val="00D558DA"/>
    <w:rsid w:val="00D560D2"/>
    <w:rsid w:val="00D57045"/>
    <w:rsid w:val="00D575DC"/>
    <w:rsid w:val="00D60886"/>
    <w:rsid w:val="00D61D19"/>
    <w:rsid w:val="00D62AA3"/>
    <w:rsid w:val="00D62B9E"/>
    <w:rsid w:val="00D63770"/>
    <w:rsid w:val="00D63C0E"/>
    <w:rsid w:val="00D63ECA"/>
    <w:rsid w:val="00D64966"/>
    <w:rsid w:val="00D65024"/>
    <w:rsid w:val="00D65650"/>
    <w:rsid w:val="00D66DEA"/>
    <w:rsid w:val="00D67DAC"/>
    <w:rsid w:val="00D70AD9"/>
    <w:rsid w:val="00D7154E"/>
    <w:rsid w:val="00D71F8B"/>
    <w:rsid w:val="00D73EF8"/>
    <w:rsid w:val="00D73F6C"/>
    <w:rsid w:val="00D74FD8"/>
    <w:rsid w:val="00D75099"/>
    <w:rsid w:val="00D754F6"/>
    <w:rsid w:val="00D75F94"/>
    <w:rsid w:val="00D76861"/>
    <w:rsid w:val="00D76907"/>
    <w:rsid w:val="00D76D93"/>
    <w:rsid w:val="00D77566"/>
    <w:rsid w:val="00D80A2A"/>
    <w:rsid w:val="00D80B95"/>
    <w:rsid w:val="00D80BD1"/>
    <w:rsid w:val="00D80FA7"/>
    <w:rsid w:val="00D81BAC"/>
    <w:rsid w:val="00D81ED9"/>
    <w:rsid w:val="00D820EE"/>
    <w:rsid w:val="00D822E4"/>
    <w:rsid w:val="00D82887"/>
    <w:rsid w:val="00D83394"/>
    <w:rsid w:val="00D836E5"/>
    <w:rsid w:val="00D8389E"/>
    <w:rsid w:val="00D864B2"/>
    <w:rsid w:val="00D90DE0"/>
    <w:rsid w:val="00D91637"/>
    <w:rsid w:val="00D91BBE"/>
    <w:rsid w:val="00D929DF"/>
    <w:rsid w:val="00D944C1"/>
    <w:rsid w:val="00D94852"/>
    <w:rsid w:val="00D950FC"/>
    <w:rsid w:val="00D96318"/>
    <w:rsid w:val="00D96DEA"/>
    <w:rsid w:val="00D9776F"/>
    <w:rsid w:val="00DA0669"/>
    <w:rsid w:val="00DA0B5A"/>
    <w:rsid w:val="00DA188C"/>
    <w:rsid w:val="00DA39C5"/>
    <w:rsid w:val="00DA463C"/>
    <w:rsid w:val="00DA53F3"/>
    <w:rsid w:val="00DA68FA"/>
    <w:rsid w:val="00DA7283"/>
    <w:rsid w:val="00DA74E4"/>
    <w:rsid w:val="00DA7E25"/>
    <w:rsid w:val="00DB041B"/>
    <w:rsid w:val="00DB1131"/>
    <w:rsid w:val="00DB2219"/>
    <w:rsid w:val="00DB24A1"/>
    <w:rsid w:val="00DB4EB5"/>
    <w:rsid w:val="00DB5282"/>
    <w:rsid w:val="00DB547B"/>
    <w:rsid w:val="00DB55BF"/>
    <w:rsid w:val="00DB66E8"/>
    <w:rsid w:val="00DB7F42"/>
    <w:rsid w:val="00DC05C1"/>
    <w:rsid w:val="00DC16FF"/>
    <w:rsid w:val="00DC4809"/>
    <w:rsid w:val="00DC5AE0"/>
    <w:rsid w:val="00DD0AB7"/>
    <w:rsid w:val="00DD0EEA"/>
    <w:rsid w:val="00DD1096"/>
    <w:rsid w:val="00DD25F5"/>
    <w:rsid w:val="00DD32AD"/>
    <w:rsid w:val="00DD3C3F"/>
    <w:rsid w:val="00DD3E3B"/>
    <w:rsid w:val="00DD4F10"/>
    <w:rsid w:val="00DD53B9"/>
    <w:rsid w:val="00DD5FB3"/>
    <w:rsid w:val="00DD6FFE"/>
    <w:rsid w:val="00DD7D2D"/>
    <w:rsid w:val="00DD7E90"/>
    <w:rsid w:val="00DE05E5"/>
    <w:rsid w:val="00DE2562"/>
    <w:rsid w:val="00DE2625"/>
    <w:rsid w:val="00DE2EC6"/>
    <w:rsid w:val="00DE3224"/>
    <w:rsid w:val="00DE5262"/>
    <w:rsid w:val="00DE55D4"/>
    <w:rsid w:val="00DE6D52"/>
    <w:rsid w:val="00DF2045"/>
    <w:rsid w:val="00DF2BCA"/>
    <w:rsid w:val="00DF3EAD"/>
    <w:rsid w:val="00DF4203"/>
    <w:rsid w:val="00DF44DC"/>
    <w:rsid w:val="00DF55E1"/>
    <w:rsid w:val="00DF7FF1"/>
    <w:rsid w:val="00E00921"/>
    <w:rsid w:val="00E01036"/>
    <w:rsid w:val="00E0162C"/>
    <w:rsid w:val="00E020E7"/>
    <w:rsid w:val="00E03491"/>
    <w:rsid w:val="00E04285"/>
    <w:rsid w:val="00E04F6B"/>
    <w:rsid w:val="00E0544B"/>
    <w:rsid w:val="00E05717"/>
    <w:rsid w:val="00E068EA"/>
    <w:rsid w:val="00E06D32"/>
    <w:rsid w:val="00E0773E"/>
    <w:rsid w:val="00E10527"/>
    <w:rsid w:val="00E12EBF"/>
    <w:rsid w:val="00E13A76"/>
    <w:rsid w:val="00E14ED5"/>
    <w:rsid w:val="00E15228"/>
    <w:rsid w:val="00E152EF"/>
    <w:rsid w:val="00E15375"/>
    <w:rsid w:val="00E168CA"/>
    <w:rsid w:val="00E16E8D"/>
    <w:rsid w:val="00E17C7B"/>
    <w:rsid w:val="00E216D6"/>
    <w:rsid w:val="00E21D20"/>
    <w:rsid w:val="00E239FC"/>
    <w:rsid w:val="00E23B31"/>
    <w:rsid w:val="00E23B75"/>
    <w:rsid w:val="00E24AFD"/>
    <w:rsid w:val="00E2553B"/>
    <w:rsid w:val="00E25F66"/>
    <w:rsid w:val="00E26098"/>
    <w:rsid w:val="00E26254"/>
    <w:rsid w:val="00E26602"/>
    <w:rsid w:val="00E32F56"/>
    <w:rsid w:val="00E337D3"/>
    <w:rsid w:val="00E33FB4"/>
    <w:rsid w:val="00E35802"/>
    <w:rsid w:val="00E41CEB"/>
    <w:rsid w:val="00E43A91"/>
    <w:rsid w:val="00E45AE2"/>
    <w:rsid w:val="00E4710C"/>
    <w:rsid w:val="00E47544"/>
    <w:rsid w:val="00E478A7"/>
    <w:rsid w:val="00E47ACF"/>
    <w:rsid w:val="00E505DC"/>
    <w:rsid w:val="00E518A7"/>
    <w:rsid w:val="00E51C34"/>
    <w:rsid w:val="00E52D4B"/>
    <w:rsid w:val="00E540D9"/>
    <w:rsid w:val="00E543E4"/>
    <w:rsid w:val="00E54D9F"/>
    <w:rsid w:val="00E55F2A"/>
    <w:rsid w:val="00E57134"/>
    <w:rsid w:val="00E57677"/>
    <w:rsid w:val="00E6148E"/>
    <w:rsid w:val="00E631C6"/>
    <w:rsid w:val="00E63F5C"/>
    <w:rsid w:val="00E64EC5"/>
    <w:rsid w:val="00E66CAC"/>
    <w:rsid w:val="00E67FB8"/>
    <w:rsid w:val="00E70167"/>
    <w:rsid w:val="00E73D11"/>
    <w:rsid w:val="00E74E59"/>
    <w:rsid w:val="00E76EC0"/>
    <w:rsid w:val="00E77504"/>
    <w:rsid w:val="00E80F1A"/>
    <w:rsid w:val="00E82AB1"/>
    <w:rsid w:val="00E83DFA"/>
    <w:rsid w:val="00E840F5"/>
    <w:rsid w:val="00E8425E"/>
    <w:rsid w:val="00E86119"/>
    <w:rsid w:val="00E86821"/>
    <w:rsid w:val="00E87C01"/>
    <w:rsid w:val="00E91FB2"/>
    <w:rsid w:val="00E923B3"/>
    <w:rsid w:val="00E9335D"/>
    <w:rsid w:val="00E93451"/>
    <w:rsid w:val="00E9480E"/>
    <w:rsid w:val="00E94D13"/>
    <w:rsid w:val="00E951F1"/>
    <w:rsid w:val="00E95795"/>
    <w:rsid w:val="00E95E60"/>
    <w:rsid w:val="00E96482"/>
    <w:rsid w:val="00E9740E"/>
    <w:rsid w:val="00EA3521"/>
    <w:rsid w:val="00EA5863"/>
    <w:rsid w:val="00EB0199"/>
    <w:rsid w:val="00EB0585"/>
    <w:rsid w:val="00EB15D2"/>
    <w:rsid w:val="00EB18EA"/>
    <w:rsid w:val="00EB2123"/>
    <w:rsid w:val="00EB2B6C"/>
    <w:rsid w:val="00EB4077"/>
    <w:rsid w:val="00EB43ED"/>
    <w:rsid w:val="00EB5E42"/>
    <w:rsid w:val="00EC0BE4"/>
    <w:rsid w:val="00EC1591"/>
    <w:rsid w:val="00EC2767"/>
    <w:rsid w:val="00EC3D9C"/>
    <w:rsid w:val="00EC4F3A"/>
    <w:rsid w:val="00EC584B"/>
    <w:rsid w:val="00EC65D6"/>
    <w:rsid w:val="00EC6CBE"/>
    <w:rsid w:val="00EC6FF1"/>
    <w:rsid w:val="00EC7535"/>
    <w:rsid w:val="00ED0C08"/>
    <w:rsid w:val="00ED0C61"/>
    <w:rsid w:val="00ED19B6"/>
    <w:rsid w:val="00ED3A47"/>
    <w:rsid w:val="00ED47C6"/>
    <w:rsid w:val="00ED4A22"/>
    <w:rsid w:val="00ED69B3"/>
    <w:rsid w:val="00ED7588"/>
    <w:rsid w:val="00EE0D97"/>
    <w:rsid w:val="00EE1A30"/>
    <w:rsid w:val="00EE2051"/>
    <w:rsid w:val="00EE22B9"/>
    <w:rsid w:val="00EE4F50"/>
    <w:rsid w:val="00EE4FF7"/>
    <w:rsid w:val="00EE588D"/>
    <w:rsid w:val="00EE618A"/>
    <w:rsid w:val="00EE68E1"/>
    <w:rsid w:val="00EE7EC6"/>
    <w:rsid w:val="00EF09F4"/>
    <w:rsid w:val="00EF0A32"/>
    <w:rsid w:val="00EF0ABF"/>
    <w:rsid w:val="00EF1A67"/>
    <w:rsid w:val="00EF28ED"/>
    <w:rsid w:val="00EF4E6C"/>
    <w:rsid w:val="00EF516B"/>
    <w:rsid w:val="00EF5962"/>
    <w:rsid w:val="00EF59A5"/>
    <w:rsid w:val="00EF6168"/>
    <w:rsid w:val="00EF75E0"/>
    <w:rsid w:val="00EF776D"/>
    <w:rsid w:val="00F000FA"/>
    <w:rsid w:val="00F01991"/>
    <w:rsid w:val="00F04138"/>
    <w:rsid w:val="00F05F05"/>
    <w:rsid w:val="00F06756"/>
    <w:rsid w:val="00F12ADA"/>
    <w:rsid w:val="00F142BF"/>
    <w:rsid w:val="00F14784"/>
    <w:rsid w:val="00F153D2"/>
    <w:rsid w:val="00F1625C"/>
    <w:rsid w:val="00F16ABA"/>
    <w:rsid w:val="00F172BF"/>
    <w:rsid w:val="00F1757D"/>
    <w:rsid w:val="00F20DCF"/>
    <w:rsid w:val="00F21DA4"/>
    <w:rsid w:val="00F2283D"/>
    <w:rsid w:val="00F228E1"/>
    <w:rsid w:val="00F230B9"/>
    <w:rsid w:val="00F242D7"/>
    <w:rsid w:val="00F249A5"/>
    <w:rsid w:val="00F25B79"/>
    <w:rsid w:val="00F25E15"/>
    <w:rsid w:val="00F26526"/>
    <w:rsid w:val="00F30F6F"/>
    <w:rsid w:val="00F3210B"/>
    <w:rsid w:val="00F3281B"/>
    <w:rsid w:val="00F33D11"/>
    <w:rsid w:val="00F34C4F"/>
    <w:rsid w:val="00F34FE9"/>
    <w:rsid w:val="00F35125"/>
    <w:rsid w:val="00F35330"/>
    <w:rsid w:val="00F366B6"/>
    <w:rsid w:val="00F36C4F"/>
    <w:rsid w:val="00F37AAF"/>
    <w:rsid w:val="00F400C5"/>
    <w:rsid w:val="00F40AE3"/>
    <w:rsid w:val="00F40E54"/>
    <w:rsid w:val="00F41464"/>
    <w:rsid w:val="00F41546"/>
    <w:rsid w:val="00F44C09"/>
    <w:rsid w:val="00F44D84"/>
    <w:rsid w:val="00F45261"/>
    <w:rsid w:val="00F459B4"/>
    <w:rsid w:val="00F461C8"/>
    <w:rsid w:val="00F46774"/>
    <w:rsid w:val="00F470C3"/>
    <w:rsid w:val="00F4796B"/>
    <w:rsid w:val="00F47A0D"/>
    <w:rsid w:val="00F5083B"/>
    <w:rsid w:val="00F51DF8"/>
    <w:rsid w:val="00F51FF5"/>
    <w:rsid w:val="00F52041"/>
    <w:rsid w:val="00F5243D"/>
    <w:rsid w:val="00F5295D"/>
    <w:rsid w:val="00F536FC"/>
    <w:rsid w:val="00F54F5E"/>
    <w:rsid w:val="00F5689D"/>
    <w:rsid w:val="00F569F1"/>
    <w:rsid w:val="00F56E55"/>
    <w:rsid w:val="00F57AEE"/>
    <w:rsid w:val="00F65881"/>
    <w:rsid w:val="00F65A69"/>
    <w:rsid w:val="00F6619A"/>
    <w:rsid w:val="00F6619F"/>
    <w:rsid w:val="00F72C96"/>
    <w:rsid w:val="00F739D5"/>
    <w:rsid w:val="00F73BB6"/>
    <w:rsid w:val="00F7424D"/>
    <w:rsid w:val="00F74863"/>
    <w:rsid w:val="00F74B3C"/>
    <w:rsid w:val="00F758BF"/>
    <w:rsid w:val="00F75F8A"/>
    <w:rsid w:val="00F76F13"/>
    <w:rsid w:val="00F76FF7"/>
    <w:rsid w:val="00F7700F"/>
    <w:rsid w:val="00F772C8"/>
    <w:rsid w:val="00F80628"/>
    <w:rsid w:val="00F81315"/>
    <w:rsid w:val="00F81B05"/>
    <w:rsid w:val="00F8274E"/>
    <w:rsid w:val="00F82DE6"/>
    <w:rsid w:val="00F83C19"/>
    <w:rsid w:val="00F84577"/>
    <w:rsid w:val="00F84B18"/>
    <w:rsid w:val="00F8626A"/>
    <w:rsid w:val="00F90E2F"/>
    <w:rsid w:val="00F9201D"/>
    <w:rsid w:val="00F923FB"/>
    <w:rsid w:val="00F92AF4"/>
    <w:rsid w:val="00F93535"/>
    <w:rsid w:val="00F94F9A"/>
    <w:rsid w:val="00F9582C"/>
    <w:rsid w:val="00F9709C"/>
    <w:rsid w:val="00F9725D"/>
    <w:rsid w:val="00F97A5E"/>
    <w:rsid w:val="00FA001D"/>
    <w:rsid w:val="00FA07B1"/>
    <w:rsid w:val="00FA385A"/>
    <w:rsid w:val="00FA388E"/>
    <w:rsid w:val="00FA5C3C"/>
    <w:rsid w:val="00FA625E"/>
    <w:rsid w:val="00FA6A3C"/>
    <w:rsid w:val="00FA751F"/>
    <w:rsid w:val="00FA78CD"/>
    <w:rsid w:val="00FB15F1"/>
    <w:rsid w:val="00FB28B7"/>
    <w:rsid w:val="00FB2CDF"/>
    <w:rsid w:val="00FB3073"/>
    <w:rsid w:val="00FB73DC"/>
    <w:rsid w:val="00FC08DA"/>
    <w:rsid w:val="00FC1CD4"/>
    <w:rsid w:val="00FC246A"/>
    <w:rsid w:val="00FC28EE"/>
    <w:rsid w:val="00FC3FB2"/>
    <w:rsid w:val="00FC5611"/>
    <w:rsid w:val="00FC622D"/>
    <w:rsid w:val="00FC6B14"/>
    <w:rsid w:val="00FC7980"/>
    <w:rsid w:val="00FC7BCA"/>
    <w:rsid w:val="00FD0BA8"/>
    <w:rsid w:val="00FD0C9B"/>
    <w:rsid w:val="00FD1251"/>
    <w:rsid w:val="00FD13FC"/>
    <w:rsid w:val="00FD25CB"/>
    <w:rsid w:val="00FD2BFD"/>
    <w:rsid w:val="00FD3441"/>
    <w:rsid w:val="00FD3CF8"/>
    <w:rsid w:val="00FD3D31"/>
    <w:rsid w:val="00FD5D1E"/>
    <w:rsid w:val="00FD6A6C"/>
    <w:rsid w:val="00FD7236"/>
    <w:rsid w:val="00FD7B1A"/>
    <w:rsid w:val="00FD7CF2"/>
    <w:rsid w:val="00FD7DBD"/>
    <w:rsid w:val="00FE06FA"/>
    <w:rsid w:val="00FE0CF3"/>
    <w:rsid w:val="00FE1813"/>
    <w:rsid w:val="00FE1D59"/>
    <w:rsid w:val="00FE215B"/>
    <w:rsid w:val="00FE42E5"/>
    <w:rsid w:val="00FE454D"/>
    <w:rsid w:val="00FE478B"/>
    <w:rsid w:val="00FE4A43"/>
    <w:rsid w:val="00FE7DEC"/>
    <w:rsid w:val="00FF00C7"/>
    <w:rsid w:val="00FF043B"/>
    <w:rsid w:val="00FF3639"/>
    <w:rsid w:val="00FF4328"/>
    <w:rsid w:val="00FF43F7"/>
    <w:rsid w:val="00FF54AF"/>
    <w:rsid w:val="00FF618B"/>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6292"/>
    <w:rPr>
      <w:rFonts w:cs="Times New Roman"/>
      <w:b/>
      <w:caps/>
    </w:rPr>
  </w:style>
  <w:style w:type="character" w:customStyle="1" w:styleId="Heading2Char">
    <w:name w:val="Heading 2 Char"/>
    <w:basedOn w:val="DefaultParagraphFont"/>
    <w:link w:val="Heading2"/>
    <w:uiPriority w:val="99"/>
    <w:semiHidden/>
    <w:locked/>
    <w:rsid w:val="00CC519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C519E"/>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CC519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C519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C519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C519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C519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C519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813711"/>
    <w:rPr>
      <w:rFonts w:cs="Times New Roman"/>
    </w:rPr>
  </w:style>
  <w:style w:type="character" w:styleId="PageNumber">
    <w:name w:val="page number"/>
    <w:basedOn w:val="DefaultParagraphFont"/>
    <w:uiPriority w:val="99"/>
    <w:rsid w:val="003A1506"/>
    <w:rPr>
      <w:rFonts w:cs="Times New Roman"/>
    </w:rPr>
  </w:style>
  <w:style w:type="paragraph" w:customStyle="1" w:styleId="Bullet">
    <w:name w:val="Bullet"/>
    <w:uiPriority w:val="99"/>
    <w:rsid w:val="00A60FFF"/>
    <w:p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2A2631"/>
    <w:rPr>
      <w:rFonts w:cs="Times New Roman"/>
      <w:sz w:val="20"/>
    </w:rPr>
  </w:style>
  <w:style w:type="paragraph" w:customStyle="1" w:styleId="Dash">
    <w:name w:val="Dash"/>
    <w:uiPriority w:val="99"/>
    <w:rsid w:val="00747B99"/>
    <w:pPr>
      <w:numPr>
        <w:numId w:val="11"/>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9"/>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CC519E"/>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10"/>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Hyperlink">
    <w:name w:val="Hyperlink"/>
    <w:basedOn w:val="DefaultParagraphFont"/>
    <w:uiPriority w:val="99"/>
    <w:rsid w:val="002D222F"/>
    <w:rPr>
      <w:rFonts w:ascii="Times New Roman" w:hAnsi="Times New Roman" w:cs="Times New Roman"/>
      <w:color w:val="0000FF"/>
      <w:u w:val="single"/>
    </w:rPr>
  </w:style>
  <w:style w:type="character" w:styleId="FollowedHyperlink">
    <w:name w:val="FollowedHyperlink"/>
    <w:basedOn w:val="DefaultParagraphFont"/>
    <w:uiPriority w:val="99"/>
    <w:semiHidden/>
    <w:rsid w:val="00D66DEA"/>
    <w:rPr>
      <w:rFonts w:cs="Times New Roman"/>
      <w:color w:val="800080"/>
      <w:u w:val="single"/>
    </w:rPr>
  </w:style>
  <w:style w:type="paragraph" w:styleId="NormalWeb">
    <w:name w:val="Normal (Web)"/>
    <w:basedOn w:val="Normal"/>
    <w:uiPriority w:val="99"/>
    <w:rsid w:val="00426292"/>
    <w:pPr>
      <w:tabs>
        <w:tab w:val="clear" w:pos="432"/>
      </w:tabs>
      <w:spacing w:before="100" w:beforeAutospacing="1" w:after="100" w:afterAutospacing="1" w:line="240" w:lineRule="auto"/>
      <w:ind w:firstLine="0"/>
      <w:jc w:val="left"/>
    </w:pPr>
  </w:style>
  <w:style w:type="paragraph" w:customStyle="1" w:styleId="Default">
    <w:name w:val="Default"/>
    <w:uiPriority w:val="99"/>
    <w:rsid w:val="003A57FB"/>
    <w:pPr>
      <w:autoSpaceDE w:val="0"/>
      <w:autoSpaceDN w:val="0"/>
      <w:adjustRightInd w:val="0"/>
    </w:pPr>
    <w:rPr>
      <w:rFonts w:ascii="ELKPBN+TimesNewRoman" w:hAnsi="ELKPBN+TimesNewRoman" w:cs="ELKPBN+TimesNewRoman"/>
      <w:color w:val="000000"/>
      <w:sz w:val="24"/>
      <w:szCs w:val="24"/>
    </w:rPr>
  </w:style>
  <w:style w:type="paragraph" w:styleId="BodyTextIndent3">
    <w:name w:val="Body Text Indent 3"/>
    <w:basedOn w:val="Normal"/>
    <w:link w:val="BodyTextIndent3Char"/>
    <w:uiPriority w:val="99"/>
    <w:rsid w:val="00A42F37"/>
    <w:pPr>
      <w:numPr>
        <w:ilvl w:val="12"/>
      </w:numPr>
      <w:tabs>
        <w:tab w:val="clear" w:pos="432"/>
        <w:tab w:val="left" w:pos="-471"/>
      </w:tabs>
      <w:spacing w:line="240" w:lineRule="auto"/>
      <w:ind w:left="1440" w:hanging="720"/>
      <w:jc w:val="left"/>
    </w:pPr>
    <w:rPr>
      <w:rFonts w:ascii="Arial" w:hAnsi="Arial" w:cs="Arial"/>
    </w:rPr>
  </w:style>
  <w:style w:type="character" w:customStyle="1" w:styleId="BodyTextIndent3Char">
    <w:name w:val="Body Text Indent 3 Char"/>
    <w:basedOn w:val="DefaultParagraphFont"/>
    <w:link w:val="BodyTextIndent3"/>
    <w:uiPriority w:val="99"/>
    <w:locked/>
    <w:rsid w:val="00A42F37"/>
    <w:rPr>
      <w:rFonts w:ascii="Arial" w:hAnsi="Arial" w:cs="Arial"/>
    </w:rPr>
  </w:style>
  <w:style w:type="paragraph" w:customStyle="1" w:styleId="Quick1">
    <w:name w:val="Quick 1."/>
    <w:uiPriority w:val="99"/>
    <w:rsid w:val="00A42F37"/>
    <w:pPr>
      <w:autoSpaceDE w:val="0"/>
      <w:autoSpaceDN w:val="0"/>
      <w:adjustRightInd w:val="0"/>
      <w:ind w:left="-1440"/>
    </w:pPr>
    <w:rPr>
      <w:rFonts w:ascii="Univers" w:hAnsi="Univers"/>
      <w:sz w:val="24"/>
      <w:szCs w:val="24"/>
    </w:rPr>
  </w:style>
  <w:style w:type="table" w:styleId="TableGrid">
    <w:name w:val="Table Grid"/>
    <w:basedOn w:val="TableNormal"/>
    <w:uiPriority w:val="99"/>
    <w:rsid w:val="00D0107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rsid w:val="00A143A2"/>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143A2"/>
    <w:rPr>
      <w:rFonts w:ascii="Courier New" w:hAnsi="Courier New" w:cs="Courier New"/>
      <w:sz w:val="20"/>
      <w:szCs w:val="20"/>
    </w:rPr>
  </w:style>
  <w:style w:type="character" w:styleId="Strong">
    <w:name w:val="Strong"/>
    <w:basedOn w:val="DefaultParagraphFont"/>
    <w:uiPriority w:val="99"/>
    <w:qFormat/>
    <w:rsid w:val="00C37071"/>
    <w:rPr>
      <w:rFonts w:cs="Times New Roman"/>
      <w:b/>
      <w:bCs/>
    </w:rPr>
  </w:style>
  <w:style w:type="paragraph" w:styleId="CommentText">
    <w:name w:val="annotation text"/>
    <w:basedOn w:val="Normal"/>
    <w:link w:val="CommentTextChar"/>
    <w:uiPriority w:val="99"/>
    <w:rsid w:val="00DB55BF"/>
    <w:pPr>
      <w:spacing w:line="240" w:lineRule="auto"/>
    </w:pPr>
    <w:rPr>
      <w:sz w:val="20"/>
      <w:szCs w:val="20"/>
    </w:rPr>
  </w:style>
  <w:style w:type="character" w:customStyle="1" w:styleId="CommentTextChar">
    <w:name w:val="Comment Text Char"/>
    <w:basedOn w:val="DefaultParagraphFont"/>
    <w:link w:val="CommentText"/>
    <w:uiPriority w:val="99"/>
    <w:locked/>
    <w:rsid w:val="00DB55BF"/>
    <w:rPr>
      <w:rFonts w:cs="Times New Roman"/>
      <w:sz w:val="20"/>
      <w:szCs w:val="20"/>
    </w:rPr>
  </w:style>
  <w:style w:type="table" w:customStyle="1" w:styleId="LightShading1">
    <w:name w:val="Light Shading1"/>
    <w:uiPriority w:val="99"/>
    <w:rsid w:val="00DB55BF"/>
    <w:rPr>
      <w:rFonts w:ascii="Calibri"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main-title3">
    <w:name w:val="main-title3"/>
    <w:basedOn w:val="DefaultParagraphFont"/>
    <w:uiPriority w:val="99"/>
    <w:rsid w:val="00DB55BF"/>
    <w:rPr>
      <w:rFonts w:cs="Times New Roman"/>
      <w:b/>
      <w:bCs/>
      <w:sz w:val="37"/>
      <w:szCs w:val="37"/>
    </w:rPr>
  </w:style>
  <w:style w:type="character" w:styleId="CommentReference">
    <w:name w:val="annotation reference"/>
    <w:basedOn w:val="DefaultParagraphFont"/>
    <w:uiPriority w:val="99"/>
    <w:semiHidden/>
    <w:rsid w:val="00DB55BF"/>
    <w:rPr>
      <w:rFonts w:cs="Times New Roman"/>
      <w:sz w:val="16"/>
      <w:szCs w:val="16"/>
    </w:rPr>
  </w:style>
  <w:style w:type="table" w:customStyle="1" w:styleId="LightShading2">
    <w:name w:val="Light Shading2"/>
    <w:uiPriority w:val="99"/>
    <w:rsid w:val="00DB55BF"/>
    <w:rPr>
      <w:rFonts w:ascii="Calibri"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P1-StandPara">
    <w:name w:val="P1-Stand Para"/>
    <w:uiPriority w:val="99"/>
    <w:rsid w:val="00154B46"/>
    <w:pPr>
      <w:spacing w:line="360" w:lineRule="atLeast"/>
      <w:ind w:firstLine="1152"/>
      <w:jc w:val="both"/>
    </w:pPr>
    <w:rPr>
      <w:szCs w:val="20"/>
    </w:rPr>
  </w:style>
  <w:style w:type="paragraph" w:styleId="BodyTextIndent">
    <w:name w:val="Body Text Indent"/>
    <w:basedOn w:val="Normal"/>
    <w:link w:val="BodyTextIndentChar"/>
    <w:uiPriority w:val="99"/>
    <w:rsid w:val="00154B46"/>
    <w:pPr>
      <w:tabs>
        <w:tab w:val="clear" w:pos="432"/>
      </w:tabs>
      <w:spacing w:after="120" w:line="240" w:lineRule="atLeast"/>
      <w:ind w:left="360" w:firstLine="0"/>
    </w:pPr>
    <w:rPr>
      <w:sz w:val="22"/>
      <w:szCs w:val="20"/>
    </w:rPr>
  </w:style>
  <w:style w:type="character" w:customStyle="1" w:styleId="BodyTextIndentChar">
    <w:name w:val="Body Text Indent Char"/>
    <w:basedOn w:val="DefaultParagraphFont"/>
    <w:link w:val="BodyTextIndent"/>
    <w:uiPriority w:val="99"/>
    <w:locked/>
    <w:rsid w:val="00154B46"/>
    <w:rPr>
      <w:rFonts w:cs="Times New Roman"/>
      <w:sz w:val="20"/>
      <w:szCs w:val="20"/>
    </w:rPr>
  </w:style>
  <w:style w:type="paragraph" w:customStyle="1" w:styleId="SL-FlLftSgl">
    <w:name w:val="SL-Fl Lft Sgl"/>
    <w:uiPriority w:val="99"/>
    <w:rsid w:val="00154B46"/>
    <w:pPr>
      <w:spacing w:line="240" w:lineRule="atLeast"/>
      <w:jc w:val="both"/>
    </w:pPr>
    <w:rPr>
      <w:szCs w:val="20"/>
    </w:rPr>
  </w:style>
  <w:style w:type="paragraph" w:customStyle="1" w:styleId="BulletBlack">
    <w:name w:val="Bullet_Black"/>
    <w:basedOn w:val="Normal"/>
    <w:uiPriority w:val="99"/>
    <w:rsid w:val="008865C4"/>
    <w:pPr>
      <w:numPr>
        <w:numId w:val="19"/>
      </w:numPr>
      <w:tabs>
        <w:tab w:val="clear" w:pos="432"/>
        <w:tab w:val="left" w:pos="360"/>
      </w:tabs>
      <w:spacing w:after="120" w:line="240" w:lineRule="auto"/>
      <w:ind w:left="720" w:right="360" w:hanging="288"/>
    </w:pPr>
    <w:rPr>
      <w:rFonts w:ascii="Garamond" w:hAnsi="Garamond"/>
    </w:rPr>
  </w:style>
  <w:style w:type="table" w:customStyle="1" w:styleId="SMPRTableRed">
    <w:name w:val="SMPR_Table_Red"/>
    <w:uiPriority w:val="99"/>
    <w:rsid w:val="008865C4"/>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paragraph" w:customStyle="1" w:styleId="TT-TableTitle">
    <w:name w:val="TT-Table Title"/>
    <w:uiPriority w:val="99"/>
    <w:rsid w:val="00D35300"/>
    <w:pPr>
      <w:tabs>
        <w:tab w:val="left" w:pos="1152"/>
      </w:tabs>
      <w:spacing w:line="240" w:lineRule="atLeast"/>
      <w:ind w:left="1152" w:hanging="1152"/>
    </w:pPr>
    <w:rPr>
      <w:szCs w:val="20"/>
    </w:rPr>
  </w:style>
  <w:style w:type="paragraph" w:styleId="PlainText">
    <w:name w:val="Plain Text"/>
    <w:basedOn w:val="Normal"/>
    <w:link w:val="PlainTextChar"/>
    <w:uiPriority w:val="99"/>
    <w:rsid w:val="0073313F"/>
    <w:pPr>
      <w:tabs>
        <w:tab w:val="clear" w:pos="432"/>
      </w:tabs>
      <w:spacing w:line="240" w:lineRule="auto"/>
      <w:ind w:firstLine="0"/>
      <w:jc w:val="left"/>
    </w:pPr>
    <w:rPr>
      <w:rFonts w:ascii="Courier New" w:hAnsi="Courier New"/>
      <w:sz w:val="20"/>
      <w:szCs w:val="20"/>
    </w:rPr>
  </w:style>
  <w:style w:type="character" w:customStyle="1" w:styleId="PlainTextChar">
    <w:name w:val="Plain Text Char"/>
    <w:basedOn w:val="DefaultParagraphFont"/>
    <w:link w:val="PlainText"/>
    <w:uiPriority w:val="99"/>
    <w:locked/>
    <w:rsid w:val="0073313F"/>
    <w:rPr>
      <w:rFonts w:ascii="Courier New" w:hAnsi="Courier New" w:cs="Times New Roman"/>
      <w:sz w:val="20"/>
      <w:szCs w:val="20"/>
    </w:rPr>
  </w:style>
  <w:style w:type="paragraph" w:styleId="BodyText">
    <w:name w:val="Body Text"/>
    <w:basedOn w:val="Normal"/>
    <w:link w:val="BodyTextChar"/>
    <w:uiPriority w:val="99"/>
    <w:rsid w:val="00004DDC"/>
    <w:pPr>
      <w:spacing w:after="120"/>
    </w:pPr>
  </w:style>
  <w:style w:type="character" w:customStyle="1" w:styleId="BodyTextChar">
    <w:name w:val="Body Text Char"/>
    <w:basedOn w:val="DefaultParagraphFont"/>
    <w:link w:val="BodyText"/>
    <w:uiPriority w:val="99"/>
    <w:locked/>
    <w:rsid w:val="00004DDC"/>
    <w:rPr>
      <w:rFonts w:cs="Times New Roman"/>
    </w:rPr>
  </w:style>
  <w:style w:type="paragraph" w:styleId="CommentSubject">
    <w:name w:val="annotation subject"/>
    <w:basedOn w:val="CommentText"/>
    <w:next w:val="CommentText"/>
    <w:link w:val="CommentSubjectChar"/>
    <w:uiPriority w:val="99"/>
    <w:semiHidden/>
    <w:rsid w:val="00C520AC"/>
    <w:rPr>
      <w:b/>
      <w:bCs/>
    </w:rPr>
  </w:style>
  <w:style w:type="character" w:customStyle="1" w:styleId="CommentSubjectChar">
    <w:name w:val="Comment Subject Char"/>
    <w:basedOn w:val="CommentTextChar"/>
    <w:link w:val="CommentSubject"/>
    <w:uiPriority w:val="99"/>
    <w:semiHidden/>
    <w:locked/>
    <w:rsid w:val="00C520AC"/>
    <w:rPr>
      <w:b/>
      <w:bCs/>
    </w:rPr>
  </w:style>
  <w:style w:type="paragraph" w:customStyle="1" w:styleId="TOCAlevel">
    <w:name w:val="TOC A level"/>
    <w:basedOn w:val="Heading2"/>
    <w:autoRedefine/>
    <w:uiPriority w:val="99"/>
    <w:rsid w:val="00984184"/>
    <w:pPr>
      <w:tabs>
        <w:tab w:val="clear" w:pos="432"/>
        <w:tab w:val="left" w:pos="720"/>
        <w:tab w:val="left" w:pos="1440"/>
        <w:tab w:val="left" w:leader="dot" w:pos="8107"/>
        <w:tab w:val="decimal" w:pos="8352"/>
      </w:tabs>
      <w:autoSpaceDE w:val="0"/>
      <w:autoSpaceDN w:val="0"/>
      <w:adjustRightInd w:val="0"/>
      <w:spacing w:after="0" w:line="360" w:lineRule="auto"/>
      <w:ind w:left="0" w:firstLine="0"/>
    </w:pPr>
    <w:rPr>
      <w:rFonts w:ascii="Calibri" w:hAnsi="Calibri"/>
      <w:caps w:val="0"/>
    </w:rPr>
  </w:style>
  <w:style w:type="paragraph" w:styleId="TOCHeading">
    <w:name w:val="TOC Heading"/>
    <w:basedOn w:val="Heading1"/>
    <w:next w:val="Normal"/>
    <w:uiPriority w:val="99"/>
    <w:qFormat/>
    <w:rsid w:val="00B7632B"/>
    <w:pPr>
      <w:keepNext/>
      <w:tabs>
        <w:tab w:val="clear" w:pos="432"/>
      </w:tabs>
      <w:autoSpaceDE w:val="0"/>
      <w:autoSpaceDN w:val="0"/>
      <w:adjustRightInd w:val="0"/>
      <w:spacing w:before="240" w:after="60" w:line="360" w:lineRule="auto"/>
      <w:jc w:val="both"/>
      <w:outlineLvl w:val="9"/>
    </w:pPr>
    <w:rPr>
      <w:rFonts w:ascii="Cambria" w:hAnsi="Cambria"/>
      <w:bCs/>
      <w:caps w:val="0"/>
      <w:kern w:val="32"/>
      <w:sz w:val="32"/>
      <w:szCs w:val="32"/>
    </w:rPr>
  </w:style>
  <w:style w:type="character" w:customStyle="1" w:styleId="A1">
    <w:name w:val="A1"/>
    <w:uiPriority w:val="99"/>
    <w:rsid w:val="00585561"/>
    <w:rPr>
      <w:color w:val="000000"/>
      <w:sz w:val="22"/>
    </w:rPr>
  </w:style>
  <w:style w:type="paragraph" w:customStyle="1" w:styleId="Bullet1">
    <w:name w:val="Bullet 1"/>
    <w:basedOn w:val="Normal"/>
    <w:uiPriority w:val="99"/>
    <w:rsid w:val="00BA27A9"/>
    <w:pPr>
      <w:numPr>
        <w:numId w:val="21"/>
      </w:numPr>
      <w:tabs>
        <w:tab w:val="clear" w:pos="432"/>
      </w:tabs>
      <w:spacing w:after="40" w:line="240" w:lineRule="auto"/>
    </w:pPr>
    <w:rPr>
      <w:szCs w:val="20"/>
    </w:rPr>
  </w:style>
  <w:style w:type="paragraph" w:styleId="Revision">
    <w:name w:val="Revision"/>
    <w:hidden/>
    <w:uiPriority w:val="99"/>
    <w:semiHidden/>
    <w:rsid w:val="00856ECC"/>
    <w:rPr>
      <w:sz w:val="24"/>
      <w:szCs w:val="24"/>
    </w:rPr>
  </w:style>
  <w:style w:type="paragraph" w:customStyle="1" w:styleId="Pubs">
    <w:name w:val="Pubs"/>
    <w:basedOn w:val="Normal"/>
    <w:uiPriority w:val="99"/>
    <w:rsid w:val="00B74135"/>
    <w:pPr>
      <w:tabs>
        <w:tab w:val="clear" w:pos="432"/>
      </w:tabs>
      <w:snapToGrid w:val="0"/>
      <w:spacing w:before="120" w:line="240" w:lineRule="auto"/>
      <w:ind w:left="360" w:hanging="360"/>
    </w:pPr>
    <w:rPr>
      <w:rFonts w:ascii="Garamond" w:hAnsi="Garamond"/>
      <w:sz w:val="21"/>
      <w:szCs w:val="21"/>
    </w:rPr>
  </w:style>
  <w:style w:type="character" w:styleId="Emphasis">
    <w:name w:val="Emphasis"/>
    <w:basedOn w:val="DefaultParagraphFont"/>
    <w:uiPriority w:val="99"/>
    <w:qFormat/>
    <w:rsid w:val="00136DCA"/>
    <w:rPr>
      <w:rFonts w:cs="Times New Roman"/>
      <w:i/>
      <w:iCs/>
    </w:rPr>
  </w:style>
  <w:style w:type="paragraph" w:styleId="ListBullet">
    <w:name w:val="List Bullet"/>
    <w:basedOn w:val="Normal"/>
    <w:uiPriority w:val="99"/>
    <w:locked/>
    <w:rsid w:val="003312DB"/>
    <w:pPr>
      <w:keepLines/>
      <w:tabs>
        <w:tab w:val="clear" w:pos="432"/>
        <w:tab w:val="left" w:pos="360"/>
      </w:tabs>
      <w:spacing w:before="160" w:line="240" w:lineRule="exact"/>
      <w:ind w:left="300" w:hanging="300"/>
      <w:jc w:val="left"/>
    </w:pPr>
    <w:rPr>
      <w:rFonts w:ascii="Calibri" w:hAnsi="Calibri"/>
      <w:sz w:val="22"/>
      <w:szCs w:val="22"/>
    </w:rPr>
  </w:style>
  <w:style w:type="paragraph" w:styleId="DocumentMap">
    <w:name w:val="Document Map"/>
    <w:basedOn w:val="Normal"/>
    <w:link w:val="DocumentMapChar"/>
    <w:uiPriority w:val="99"/>
    <w:semiHidden/>
    <w:locked/>
    <w:rsid w:val="00D41C3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E52CB"/>
    <w:rPr>
      <w:rFonts w:cs="Times New Roman"/>
      <w:sz w:val="2"/>
    </w:rPr>
  </w:style>
</w:styles>
</file>

<file path=word/webSettings.xml><?xml version="1.0" encoding="utf-8"?>
<w:webSettings xmlns:r="http://schemas.openxmlformats.org/officeDocument/2006/relationships" xmlns:w="http://schemas.openxmlformats.org/wordprocessingml/2006/main">
  <w:divs>
    <w:div w:id="1334837893">
      <w:marLeft w:val="0"/>
      <w:marRight w:val="0"/>
      <w:marTop w:val="0"/>
      <w:marBottom w:val="0"/>
      <w:divBdr>
        <w:top w:val="none" w:sz="0" w:space="0" w:color="auto"/>
        <w:left w:val="none" w:sz="0" w:space="0" w:color="auto"/>
        <w:bottom w:val="none" w:sz="0" w:space="0" w:color="auto"/>
        <w:right w:val="none" w:sz="0" w:space="0" w:color="auto"/>
      </w:divBdr>
    </w:div>
    <w:div w:id="1334837894">
      <w:marLeft w:val="0"/>
      <w:marRight w:val="0"/>
      <w:marTop w:val="0"/>
      <w:marBottom w:val="0"/>
      <w:divBdr>
        <w:top w:val="none" w:sz="0" w:space="0" w:color="auto"/>
        <w:left w:val="none" w:sz="0" w:space="0" w:color="auto"/>
        <w:bottom w:val="none" w:sz="0" w:space="0" w:color="auto"/>
        <w:right w:val="none" w:sz="0" w:space="0" w:color="auto"/>
      </w:divBdr>
    </w:div>
    <w:div w:id="1334837895">
      <w:marLeft w:val="0"/>
      <w:marRight w:val="0"/>
      <w:marTop w:val="0"/>
      <w:marBottom w:val="0"/>
      <w:divBdr>
        <w:top w:val="none" w:sz="0" w:space="0" w:color="auto"/>
        <w:left w:val="none" w:sz="0" w:space="0" w:color="auto"/>
        <w:bottom w:val="none" w:sz="0" w:space="0" w:color="auto"/>
        <w:right w:val="none" w:sz="0" w:space="0" w:color="auto"/>
      </w:divBdr>
    </w:div>
    <w:div w:id="1334837896">
      <w:marLeft w:val="0"/>
      <w:marRight w:val="0"/>
      <w:marTop w:val="0"/>
      <w:marBottom w:val="0"/>
      <w:divBdr>
        <w:top w:val="none" w:sz="0" w:space="0" w:color="auto"/>
        <w:left w:val="none" w:sz="0" w:space="0" w:color="auto"/>
        <w:bottom w:val="none" w:sz="0" w:space="0" w:color="auto"/>
        <w:right w:val="none" w:sz="0" w:space="0" w:color="auto"/>
      </w:divBdr>
    </w:div>
    <w:div w:id="1334837897">
      <w:marLeft w:val="0"/>
      <w:marRight w:val="0"/>
      <w:marTop w:val="0"/>
      <w:marBottom w:val="0"/>
      <w:divBdr>
        <w:top w:val="none" w:sz="0" w:space="0" w:color="auto"/>
        <w:left w:val="none" w:sz="0" w:space="0" w:color="auto"/>
        <w:bottom w:val="none" w:sz="0" w:space="0" w:color="auto"/>
        <w:right w:val="none" w:sz="0" w:space="0" w:color="auto"/>
      </w:divBdr>
    </w:div>
    <w:div w:id="1334837899">
      <w:marLeft w:val="0"/>
      <w:marRight w:val="0"/>
      <w:marTop w:val="0"/>
      <w:marBottom w:val="0"/>
      <w:divBdr>
        <w:top w:val="none" w:sz="0" w:space="0" w:color="auto"/>
        <w:left w:val="none" w:sz="0" w:space="0" w:color="auto"/>
        <w:bottom w:val="none" w:sz="0" w:space="0" w:color="auto"/>
        <w:right w:val="none" w:sz="0" w:space="0" w:color="auto"/>
      </w:divBdr>
    </w:div>
    <w:div w:id="1334837900">
      <w:marLeft w:val="0"/>
      <w:marRight w:val="0"/>
      <w:marTop w:val="0"/>
      <w:marBottom w:val="0"/>
      <w:divBdr>
        <w:top w:val="none" w:sz="0" w:space="0" w:color="auto"/>
        <w:left w:val="none" w:sz="0" w:space="0" w:color="auto"/>
        <w:bottom w:val="none" w:sz="0" w:space="0" w:color="auto"/>
        <w:right w:val="none" w:sz="0" w:space="0" w:color="auto"/>
      </w:divBdr>
    </w:div>
    <w:div w:id="1334837902">
      <w:marLeft w:val="0"/>
      <w:marRight w:val="0"/>
      <w:marTop w:val="0"/>
      <w:marBottom w:val="0"/>
      <w:divBdr>
        <w:top w:val="none" w:sz="0" w:space="0" w:color="auto"/>
        <w:left w:val="none" w:sz="0" w:space="0" w:color="auto"/>
        <w:bottom w:val="none" w:sz="0" w:space="0" w:color="auto"/>
        <w:right w:val="none" w:sz="0" w:space="0" w:color="auto"/>
      </w:divBdr>
    </w:div>
    <w:div w:id="1334837903">
      <w:marLeft w:val="0"/>
      <w:marRight w:val="0"/>
      <w:marTop w:val="0"/>
      <w:marBottom w:val="0"/>
      <w:divBdr>
        <w:top w:val="none" w:sz="0" w:space="0" w:color="auto"/>
        <w:left w:val="none" w:sz="0" w:space="0" w:color="auto"/>
        <w:bottom w:val="none" w:sz="0" w:space="0" w:color="auto"/>
        <w:right w:val="none" w:sz="0" w:space="0" w:color="auto"/>
      </w:divBdr>
    </w:div>
    <w:div w:id="1334837904">
      <w:marLeft w:val="0"/>
      <w:marRight w:val="0"/>
      <w:marTop w:val="0"/>
      <w:marBottom w:val="0"/>
      <w:divBdr>
        <w:top w:val="none" w:sz="0" w:space="0" w:color="auto"/>
        <w:left w:val="none" w:sz="0" w:space="0" w:color="auto"/>
        <w:bottom w:val="none" w:sz="0" w:space="0" w:color="auto"/>
        <w:right w:val="none" w:sz="0" w:space="0" w:color="auto"/>
      </w:divBdr>
    </w:div>
    <w:div w:id="1334837905">
      <w:marLeft w:val="0"/>
      <w:marRight w:val="0"/>
      <w:marTop w:val="0"/>
      <w:marBottom w:val="0"/>
      <w:divBdr>
        <w:top w:val="none" w:sz="0" w:space="0" w:color="auto"/>
        <w:left w:val="none" w:sz="0" w:space="0" w:color="auto"/>
        <w:bottom w:val="none" w:sz="0" w:space="0" w:color="auto"/>
        <w:right w:val="none" w:sz="0" w:space="0" w:color="auto"/>
      </w:divBdr>
    </w:div>
    <w:div w:id="1334837906">
      <w:marLeft w:val="0"/>
      <w:marRight w:val="0"/>
      <w:marTop w:val="0"/>
      <w:marBottom w:val="0"/>
      <w:divBdr>
        <w:top w:val="none" w:sz="0" w:space="0" w:color="auto"/>
        <w:left w:val="none" w:sz="0" w:space="0" w:color="auto"/>
        <w:bottom w:val="none" w:sz="0" w:space="0" w:color="auto"/>
        <w:right w:val="none" w:sz="0" w:space="0" w:color="auto"/>
      </w:divBdr>
    </w:div>
    <w:div w:id="1334837907">
      <w:marLeft w:val="0"/>
      <w:marRight w:val="0"/>
      <w:marTop w:val="0"/>
      <w:marBottom w:val="0"/>
      <w:divBdr>
        <w:top w:val="none" w:sz="0" w:space="0" w:color="auto"/>
        <w:left w:val="none" w:sz="0" w:space="0" w:color="auto"/>
        <w:bottom w:val="none" w:sz="0" w:space="0" w:color="auto"/>
        <w:right w:val="none" w:sz="0" w:space="0" w:color="auto"/>
      </w:divBdr>
    </w:div>
    <w:div w:id="1334837908">
      <w:marLeft w:val="0"/>
      <w:marRight w:val="0"/>
      <w:marTop w:val="0"/>
      <w:marBottom w:val="0"/>
      <w:divBdr>
        <w:top w:val="none" w:sz="0" w:space="0" w:color="auto"/>
        <w:left w:val="none" w:sz="0" w:space="0" w:color="auto"/>
        <w:bottom w:val="none" w:sz="0" w:space="0" w:color="auto"/>
        <w:right w:val="none" w:sz="0" w:space="0" w:color="auto"/>
      </w:divBdr>
    </w:div>
    <w:div w:id="1334837909">
      <w:marLeft w:val="0"/>
      <w:marRight w:val="0"/>
      <w:marTop w:val="0"/>
      <w:marBottom w:val="0"/>
      <w:divBdr>
        <w:top w:val="none" w:sz="0" w:space="0" w:color="auto"/>
        <w:left w:val="none" w:sz="0" w:space="0" w:color="auto"/>
        <w:bottom w:val="none" w:sz="0" w:space="0" w:color="auto"/>
        <w:right w:val="none" w:sz="0" w:space="0" w:color="auto"/>
      </w:divBdr>
    </w:div>
    <w:div w:id="1334837910">
      <w:marLeft w:val="0"/>
      <w:marRight w:val="0"/>
      <w:marTop w:val="0"/>
      <w:marBottom w:val="0"/>
      <w:divBdr>
        <w:top w:val="none" w:sz="0" w:space="0" w:color="auto"/>
        <w:left w:val="none" w:sz="0" w:space="0" w:color="auto"/>
        <w:bottom w:val="none" w:sz="0" w:space="0" w:color="auto"/>
        <w:right w:val="none" w:sz="0" w:space="0" w:color="auto"/>
      </w:divBdr>
    </w:div>
    <w:div w:id="1334837911">
      <w:marLeft w:val="0"/>
      <w:marRight w:val="0"/>
      <w:marTop w:val="0"/>
      <w:marBottom w:val="0"/>
      <w:divBdr>
        <w:top w:val="none" w:sz="0" w:space="0" w:color="auto"/>
        <w:left w:val="none" w:sz="0" w:space="0" w:color="auto"/>
        <w:bottom w:val="none" w:sz="0" w:space="0" w:color="auto"/>
        <w:right w:val="none" w:sz="0" w:space="0" w:color="auto"/>
      </w:divBdr>
    </w:div>
    <w:div w:id="1334837912">
      <w:marLeft w:val="0"/>
      <w:marRight w:val="0"/>
      <w:marTop w:val="0"/>
      <w:marBottom w:val="0"/>
      <w:divBdr>
        <w:top w:val="none" w:sz="0" w:space="0" w:color="auto"/>
        <w:left w:val="none" w:sz="0" w:space="0" w:color="auto"/>
        <w:bottom w:val="none" w:sz="0" w:space="0" w:color="auto"/>
        <w:right w:val="none" w:sz="0" w:space="0" w:color="auto"/>
      </w:divBdr>
    </w:div>
    <w:div w:id="1334837913">
      <w:marLeft w:val="0"/>
      <w:marRight w:val="0"/>
      <w:marTop w:val="0"/>
      <w:marBottom w:val="0"/>
      <w:divBdr>
        <w:top w:val="none" w:sz="0" w:space="0" w:color="auto"/>
        <w:left w:val="none" w:sz="0" w:space="0" w:color="auto"/>
        <w:bottom w:val="none" w:sz="0" w:space="0" w:color="auto"/>
        <w:right w:val="none" w:sz="0" w:space="0" w:color="auto"/>
      </w:divBdr>
    </w:div>
    <w:div w:id="1334837914">
      <w:marLeft w:val="0"/>
      <w:marRight w:val="0"/>
      <w:marTop w:val="0"/>
      <w:marBottom w:val="0"/>
      <w:divBdr>
        <w:top w:val="none" w:sz="0" w:space="0" w:color="auto"/>
        <w:left w:val="none" w:sz="0" w:space="0" w:color="auto"/>
        <w:bottom w:val="none" w:sz="0" w:space="0" w:color="auto"/>
        <w:right w:val="none" w:sz="0" w:space="0" w:color="auto"/>
      </w:divBdr>
    </w:div>
    <w:div w:id="1334837918">
      <w:marLeft w:val="0"/>
      <w:marRight w:val="0"/>
      <w:marTop w:val="0"/>
      <w:marBottom w:val="0"/>
      <w:divBdr>
        <w:top w:val="none" w:sz="0" w:space="0" w:color="auto"/>
        <w:left w:val="none" w:sz="0" w:space="0" w:color="auto"/>
        <w:bottom w:val="none" w:sz="0" w:space="0" w:color="auto"/>
        <w:right w:val="none" w:sz="0" w:space="0" w:color="auto"/>
      </w:divBdr>
    </w:div>
    <w:div w:id="1334837920">
      <w:marLeft w:val="0"/>
      <w:marRight w:val="0"/>
      <w:marTop w:val="0"/>
      <w:marBottom w:val="0"/>
      <w:divBdr>
        <w:top w:val="none" w:sz="0" w:space="0" w:color="auto"/>
        <w:left w:val="none" w:sz="0" w:space="0" w:color="auto"/>
        <w:bottom w:val="none" w:sz="0" w:space="0" w:color="auto"/>
        <w:right w:val="none" w:sz="0" w:space="0" w:color="auto"/>
      </w:divBdr>
    </w:div>
    <w:div w:id="1334837921">
      <w:marLeft w:val="0"/>
      <w:marRight w:val="0"/>
      <w:marTop w:val="0"/>
      <w:marBottom w:val="0"/>
      <w:divBdr>
        <w:top w:val="none" w:sz="0" w:space="0" w:color="auto"/>
        <w:left w:val="none" w:sz="0" w:space="0" w:color="auto"/>
        <w:bottom w:val="none" w:sz="0" w:space="0" w:color="auto"/>
        <w:right w:val="none" w:sz="0" w:space="0" w:color="auto"/>
      </w:divBdr>
    </w:div>
    <w:div w:id="1334837923">
      <w:marLeft w:val="0"/>
      <w:marRight w:val="0"/>
      <w:marTop w:val="0"/>
      <w:marBottom w:val="0"/>
      <w:divBdr>
        <w:top w:val="none" w:sz="0" w:space="0" w:color="auto"/>
        <w:left w:val="none" w:sz="0" w:space="0" w:color="auto"/>
        <w:bottom w:val="none" w:sz="0" w:space="0" w:color="auto"/>
        <w:right w:val="none" w:sz="0" w:space="0" w:color="auto"/>
      </w:divBdr>
    </w:div>
    <w:div w:id="1334837924">
      <w:marLeft w:val="0"/>
      <w:marRight w:val="0"/>
      <w:marTop w:val="0"/>
      <w:marBottom w:val="0"/>
      <w:divBdr>
        <w:top w:val="none" w:sz="0" w:space="0" w:color="auto"/>
        <w:left w:val="none" w:sz="0" w:space="0" w:color="auto"/>
        <w:bottom w:val="none" w:sz="0" w:space="0" w:color="auto"/>
        <w:right w:val="none" w:sz="0" w:space="0" w:color="auto"/>
      </w:divBdr>
    </w:div>
    <w:div w:id="1334837926">
      <w:marLeft w:val="0"/>
      <w:marRight w:val="0"/>
      <w:marTop w:val="0"/>
      <w:marBottom w:val="0"/>
      <w:divBdr>
        <w:top w:val="none" w:sz="0" w:space="0" w:color="auto"/>
        <w:left w:val="none" w:sz="0" w:space="0" w:color="auto"/>
        <w:bottom w:val="none" w:sz="0" w:space="0" w:color="auto"/>
        <w:right w:val="none" w:sz="0" w:space="0" w:color="auto"/>
      </w:divBdr>
    </w:div>
    <w:div w:id="1334837927">
      <w:marLeft w:val="0"/>
      <w:marRight w:val="0"/>
      <w:marTop w:val="0"/>
      <w:marBottom w:val="0"/>
      <w:divBdr>
        <w:top w:val="none" w:sz="0" w:space="0" w:color="auto"/>
        <w:left w:val="none" w:sz="0" w:space="0" w:color="auto"/>
        <w:bottom w:val="none" w:sz="0" w:space="0" w:color="auto"/>
        <w:right w:val="none" w:sz="0" w:space="0" w:color="auto"/>
      </w:divBdr>
    </w:div>
    <w:div w:id="1334837928">
      <w:marLeft w:val="0"/>
      <w:marRight w:val="0"/>
      <w:marTop w:val="0"/>
      <w:marBottom w:val="0"/>
      <w:divBdr>
        <w:top w:val="none" w:sz="0" w:space="0" w:color="auto"/>
        <w:left w:val="none" w:sz="0" w:space="0" w:color="auto"/>
        <w:bottom w:val="none" w:sz="0" w:space="0" w:color="auto"/>
        <w:right w:val="none" w:sz="0" w:space="0" w:color="auto"/>
      </w:divBdr>
    </w:div>
    <w:div w:id="1334837929">
      <w:marLeft w:val="0"/>
      <w:marRight w:val="0"/>
      <w:marTop w:val="0"/>
      <w:marBottom w:val="0"/>
      <w:divBdr>
        <w:top w:val="none" w:sz="0" w:space="0" w:color="auto"/>
        <w:left w:val="none" w:sz="0" w:space="0" w:color="auto"/>
        <w:bottom w:val="none" w:sz="0" w:space="0" w:color="auto"/>
        <w:right w:val="none" w:sz="0" w:space="0" w:color="auto"/>
      </w:divBdr>
    </w:div>
    <w:div w:id="1334837930">
      <w:marLeft w:val="0"/>
      <w:marRight w:val="0"/>
      <w:marTop w:val="0"/>
      <w:marBottom w:val="0"/>
      <w:divBdr>
        <w:top w:val="none" w:sz="0" w:space="0" w:color="auto"/>
        <w:left w:val="none" w:sz="0" w:space="0" w:color="auto"/>
        <w:bottom w:val="none" w:sz="0" w:space="0" w:color="auto"/>
        <w:right w:val="none" w:sz="0" w:space="0" w:color="auto"/>
      </w:divBdr>
    </w:div>
    <w:div w:id="1334837931">
      <w:marLeft w:val="450"/>
      <w:marRight w:val="450"/>
      <w:marTop w:val="75"/>
      <w:marBottom w:val="75"/>
      <w:divBdr>
        <w:top w:val="none" w:sz="0" w:space="0" w:color="auto"/>
        <w:left w:val="none" w:sz="0" w:space="0" w:color="auto"/>
        <w:bottom w:val="none" w:sz="0" w:space="0" w:color="auto"/>
        <w:right w:val="none" w:sz="0" w:space="0" w:color="auto"/>
      </w:divBdr>
      <w:divsChild>
        <w:div w:id="1334837937">
          <w:marLeft w:val="0"/>
          <w:marRight w:val="0"/>
          <w:marTop w:val="0"/>
          <w:marBottom w:val="0"/>
          <w:divBdr>
            <w:top w:val="single" w:sz="2" w:space="0" w:color="B5B5B5"/>
            <w:left w:val="single" w:sz="6" w:space="6" w:color="B5B5B5"/>
            <w:bottom w:val="single" w:sz="6" w:space="0" w:color="B5B5B5"/>
            <w:right w:val="single" w:sz="6" w:space="0" w:color="B5B5B5"/>
          </w:divBdr>
          <w:divsChild>
            <w:div w:id="1334837932">
              <w:marLeft w:val="0"/>
              <w:marRight w:val="0"/>
              <w:marTop w:val="0"/>
              <w:marBottom w:val="0"/>
              <w:divBdr>
                <w:top w:val="none" w:sz="0" w:space="0" w:color="auto"/>
                <w:left w:val="none" w:sz="0" w:space="0" w:color="auto"/>
                <w:bottom w:val="none" w:sz="0" w:space="0" w:color="auto"/>
                <w:right w:val="none" w:sz="0" w:space="0" w:color="auto"/>
              </w:divBdr>
              <w:divsChild>
                <w:div w:id="13348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933">
      <w:marLeft w:val="450"/>
      <w:marRight w:val="450"/>
      <w:marTop w:val="75"/>
      <w:marBottom w:val="75"/>
      <w:divBdr>
        <w:top w:val="none" w:sz="0" w:space="0" w:color="auto"/>
        <w:left w:val="none" w:sz="0" w:space="0" w:color="auto"/>
        <w:bottom w:val="none" w:sz="0" w:space="0" w:color="auto"/>
        <w:right w:val="none" w:sz="0" w:space="0" w:color="auto"/>
      </w:divBdr>
      <w:divsChild>
        <w:div w:id="1334837936">
          <w:marLeft w:val="0"/>
          <w:marRight w:val="0"/>
          <w:marTop w:val="0"/>
          <w:marBottom w:val="0"/>
          <w:divBdr>
            <w:top w:val="single" w:sz="2" w:space="0" w:color="B5B5B5"/>
            <w:left w:val="single" w:sz="6" w:space="6" w:color="B5B5B5"/>
            <w:bottom w:val="single" w:sz="6" w:space="0" w:color="B5B5B5"/>
            <w:right w:val="single" w:sz="6" w:space="0" w:color="B5B5B5"/>
          </w:divBdr>
          <w:divsChild>
            <w:div w:id="1334837915">
              <w:marLeft w:val="0"/>
              <w:marRight w:val="0"/>
              <w:marTop w:val="0"/>
              <w:marBottom w:val="0"/>
              <w:divBdr>
                <w:top w:val="none" w:sz="0" w:space="0" w:color="auto"/>
                <w:left w:val="none" w:sz="0" w:space="0" w:color="auto"/>
                <w:bottom w:val="none" w:sz="0" w:space="0" w:color="auto"/>
                <w:right w:val="none" w:sz="0" w:space="0" w:color="auto"/>
              </w:divBdr>
              <w:divsChild>
                <w:div w:id="13348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935">
      <w:marLeft w:val="0"/>
      <w:marRight w:val="0"/>
      <w:marTop w:val="0"/>
      <w:marBottom w:val="0"/>
      <w:divBdr>
        <w:top w:val="none" w:sz="0" w:space="0" w:color="auto"/>
        <w:left w:val="none" w:sz="0" w:space="0" w:color="auto"/>
        <w:bottom w:val="none" w:sz="0" w:space="0" w:color="auto"/>
        <w:right w:val="none" w:sz="0" w:space="0" w:color="auto"/>
      </w:divBdr>
      <w:divsChild>
        <w:div w:id="1334837917">
          <w:marLeft w:val="0"/>
          <w:marRight w:val="0"/>
          <w:marTop w:val="0"/>
          <w:marBottom w:val="0"/>
          <w:divBdr>
            <w:top w:val="none" w:sz="0" w:space="0" w:color="auto"/>
            <w:left w:val="none" w:sz="0" w:space="0" w:color="auto"/>
            <w:bottom w:val="none" w:sz="0" w:space="0" w:color="auto"/>
            <w:right w:val="none" w:sz="0" w:space="0" w:color="auto"/>
          </w:divBdr>
          <w:divsChild>
            <w:div w:id="1334837934">
              <w:marLeft w:val="2985"/>
              <w:marRight w:val="0"/>
              <w:marTop w:val="0"/>
              <w:marBottom w:val="0"/>
              <w:divBdr>
                <w:top w:val="none" w:sz="0" w:space="0" w:color="auto"/>
                <w:left w:val="none" w:sz="0" w:space="0" w:color="auto"/>
                <w:bottom w:val="none" w:sz="0" w:space="0" w:color="auto"/>
                <w:right w:val="none" w:sz="0" w:space="0" w:color="auto"/>
              </w:divBdr>
              <w:divsChild>
                <w:div w:id="13348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938">
      <w:marLeft w:val="0"/>
      <w:marRight w:val="0"/>
      <w:marTop w:val="0"/>
      <w:marBottom w:val="0"/>
      <w:divBdr>
        <w:top w:val="none" w:sz="0" w:space="0" w:color="auto"/>
        <w:left w:val="none" w:sz="0" w:space="0" w:color="auto"/>
        <w:bottom w:val="none" w:sz="0" w:space="0" w:color="auto"/>
        <w:right w:val="none" w:sz="0" w:space="0" w:color="auto"/>
      </w:divBdr>
    </w:div>
    <w:div w:id="1334837940">
      <w:marLeft w:val="0"/>
      <w:marRight w:val="0"/>
      <w:marTop w:val="0"/>
      <w:marBottom w:val="0"/>
      <w:divBdr>
        <w:top w:val="none" w:sz="0" w:space="0" w:color="auto"/>
        <w:left w:val="none" w:sz="0" w:space="0" w:color="auto"/>
        <w:bottom w:val="none" w:sz="0" w:space="0" w:color="auto"/>
        <w:right w:val="none" w:sz="0" w:space="0" w:color="auto"/>
      </w:divBdr>
      <w:divsChild>
        <w:div w:id="1334837939">
          <w:marLeft w:val="0"/>
          <w:marRight w:val="0"/>
          <w:marTop w:val="0"/>
          <w:marBottom w:val="0"/>
          <w:divBdr>
            <w:top w:val="none" w:sz="0" w:space="0" w:color="auto"/>
            <w:left w:val="none" w:sz="0" w:space="0" w:color="auto"/>
            <w:bottom w:val="none" w:sz="0" w:space="0" w:color="auto"/>
            <w:right w:val="none" w:sz="0" w:space="0" w:color="auto"/>
          </w:divBdr>
          <w:divsChild>
            <w:div w:id="1334837898">
              <w:marLeft w:val="0"/>
              <w:marRight w:val="0"/>
              <w:marTop w:val="0"/>
              <w:marBottom w:val="0"/>
              <w:divBdr>
                <w:top w:val="none" w:sz="0" w:space="0" w:color="auto"/>
                <w:left w:val="none" w:sz="0" w:space="0" w:color="auto"/>
                <w:bottom w:val="none" w:sz="0" w:space="0" w:color="auto"/>
                <w:right w:val="none" w:sz="0" w:space="0" w:color="auto"/>
              </w:divBdr>
              <w:divsChild>
                <w:div w:id="1334837919">
                  <w:marLeft w:val="0"/>
                  <w:marRight w:val="0"/>
                  <w:marTop w:val="0"/>
                  <w:marBottom w:val="0"/>
                  <w:divBdr>
                    <w:top w:val="none" w:sz="0" w:space="0" w:color="auto"/>
                    <w:left w:val="none" w:sz="0" w:space="0" w:color="auto"/>
                    <w:bottom w:val="none" w:sz="0" w:space="0" w:color="auto"/>
                    <w:right w:val="none" w:sz="0" w:space="0" w:color="auto"/>
                  </w:divBdr>
                  <w:divsChild>
                    <w:div w:id="13348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7941">
      <w:marLeft w:val="0"/>
      <w:marRight w:val="0"/>
      <w:marTop w:val="0"/>
      <w:marBottom w:val="0"/>
      <w:divBdr>
        <w:top w:val="none" w:sz="0" w:space="0" w:color="auto"/>
        <w:left w:val="none" w:sz="0" w:space="0" w:color="auto"/>
        <w:bottom w:val="none" w:sz="0" w:space="0" w:color="auto"/>
        <w:right w:val="none" w:sz="0" w:space="0" w:color="auto"/>
      </w:divBdr>
    </w:div>
    <w:div w:id="1334837944">
      <w:marLeft w:val="0"/>
      <w:marRight w:val="0"/>
      <w:marTop w:val="0"/>
      <w:marBottom w:val="0"/>
      <w:divBdr>
        <w:top w:val="none" w:sz="0" w:space="0" w:color="auto"/>
        <w:left w:val="none" w:sz="0" w:space="0" w:color="auto"/>
        <w:bottom w:val="none" w:sz="0" w:space="0" w:color="auto"/>
        <w:right w:val="none" w:sz="0" w:space="0" w:color="auto"/>
      </w:divBdr>
    </w:div>
    <w:div w:id="1334837946">
      <w:marLeft w:val="0"/>
      <w:marRight w:val="0"/>
      <w:marTop w:val="0"/>
      <w:marBottom w:val="0"/>
      <w:divBdr>
        <w:top w:val="none" w:sz="0" w:space="0" w:color="auto"/>
        <w:left w:val="none" w:sz="0" w:space="0" w:color="auto"/>
        <w:bottom w:val="none" w:sz="0" w:space="0" w:color="auto"/>
        <w:right w:val="none" w:sz="0" w:space="0" w:color="auto"/>
      </w:divBdr>
      <w:divsChild>
        <w:div w:id="1334837945">
          <w:marLeft w:val="720"/>
          <w:marRight w:val="0"/>
          <w:marTop w:val="0"/>
          <w:marBottom w:val="0"/>
          <w:divBdr>
            <w:top w:val="none" w:sz="0" w:space="0" w:color="auto"/>
            <w:left w:val="none" w:sz="0" w:space="0" w:color="auto"/>
            <w:bottom w:val="none" w:sz="0" w:space="0" w:color="auto"/>
            <w:right w:val="none" w:sz="0" w:space="0" w:color="auto"/>
          </w:divBdr>
        </w:div>
        <w:div w:id="1334837951">
          <w:marLeft w:val="734"/>
          <w:marRight w:val="0"/>
          <w:marTop w:val="0"/>
          <w:marBottom w:val="0"/>
          <w:divBdr>
            <w:top w:val="none" w:sz="0" w:space="0" w:color="auto"/>
            <w:left w:val="none" w:sz="0" w:space="0" w:color="auto"/>
            <w:bottom w:val="none" w:sz="0" w:space="0" w:color="auto"/>
            <w:right w:val="none" w:sz="0" w:space="0" w:color="auto"/>
          </w:divBdr>
        </w:div>
      </w:divsChild>
    </w:div>
    <w:div w:id="1334837947">
      <w:marLeft w:val="0"/>
      <w:marRight w:val="0"/>
      <w:marTop w:val="0"/>
      <w:marBottom w:val="0"/>
      <w:divBdr>
        <w:top w:val="none" w:sz="0" w:space="0" w:color="auto"/>
        <w:left w:val="none" w:sz="0" w:space="0" w:color="auto"/>
        <w:bottom w:val="none" w:sz="0" w:space="0" w:color="auto"/>
        <w:right w:val="none" w:sz="0" w:space="0" w:color="auto"/>
      </w:divBdr>
    </w:div>
    <w:div w:id="1334837949">
      <w:marLeft w:val="0"/>
      <w:marRight w:val="0"/>
      <w:marTop w:val="0"/>
      <w:marBottom w:val="0"/>
      <w:divBdr>
        <w:top w:val="none" w:sz="0" w:space="0" w:color="auto"/>
        <w:left w:val="none" w:sz="0" w:space="0" w:color="auto"/>
        <w:bottom w:val="none" w:sz="0" w:space="0" w:color="auto"/>
        <w:right w:val="none" w:sz="0" w:space="0" w:color="auto"/>
      </w:divBdr>
    </w:div>
    <w:div w:id="1334837952">
      <w:marLeft w:val="0"/>
      <w:marRight w:val="0"/>
      <w:marTop w:val="0"/>
      <w:marBottom w:val="0"/>
      <w:divBdr>
        <w:top w:val="none" w:sz="0" w:space="0" w:color="auto"/>
        <w:left w:val="none" w:sz="0" w:space="0" w:color="auto"/>
        <w:bottom w:val="none" w:sz="0" w:space="0" w:color="auto"/>
        <w:right w:val="none" w:sz="0" w:space="0" w:color="auto"/>
      </w:divBdr>
      <w:divsChild>
        <w:div w:id="1334837942">
          <w:marLeft w:val="0"/>
          <w:marRight w:val="0"/>
          <w:marTop w:val="0"/>
          <w:marBottom w:val="0"/>
          <w:divBdr>
            <w:top w:val="none" w:sz="0" w:space="0" w:color="auto"/>
            <w:left w:val="none" w:sz="0" w:space="0" w:color="auto"/>
            <w:bottom w:val="none" w:sz="0" w:space="0" w:color="auto"/>
            <w:right w:val="none" w:sz="0" w:space="0" w:color="auto"/>
          </w:divBdr>
          <w:divsChild>
            <w:div w:id="1334837953">
              <w:marLeft w:val="0"/>
              <w:marRight w:val="0"/>
              <w:marTop w:val="0"/>
              <w:marBottom w:val="0"/>
              <w:divBdr>
                <w:top w:val="none" w:sz="0" w:space="0" w:color="auto"/>
                <w:left w:val="none" w:sz="0" w:space="0" w:color="auto"/>
                <w:bottom w:val="none" w:sz="0" w:space="0" w:color="auto"/>
                <w:right w:val="none" w:sz="0" w:space="0" w:color="auto"/>
              </w:divBdr>
              <w:divsChild>
                <w:div w:id="1334837958">
                  <w:marLeft w:val="0"/>
                  <w:marRight w:val="0"/>
                  <w:marTop w:val="0"/>
                  <w:marBottom w:val="0"/>
                  <w:divBdr>
                    <w:top w:val="none" w:sz="0" w:space="0" w:color="auto"/>
                    <w:left w:val="none" w:sz="0" w:space="0" w:color="auto"/>
                    <w:bottom w:val="none" w:sz="0" w:space="0" w:color="auto"/>
                    <w:right w:val="none" w:sz="0" w:space="0" w:color="auto"/>
                  </w:divBdr>
                  <w:divsChild>
                    <w:div w:id="1334837957">
                      <w:marLeft w:val="0"/>
                      <w:marRight w:val="0"/>
                      <w:marTop w:val="0"/>
                      <w:marBottom w:val="0"/>
                      <w:divBdr>
                        <w:top w:val="none" w:sz="0" w:space="0" w:color="auto"/>
                        <w:left w:val="none" w:sz="0" w:space="0" w:color="auto"/>
                        <w:bottom w:val="none" w:sz="0" w:space="0" w:color="auto"/>
                        <w:right w:val="none" w:sz="0" w:space="0" w:color="auto"/>
                      </w:divBdr>
                      <w:divsChild>
                        <w:div w:id="1334837892">
                          <w:marLeft w:val="0"/>
                          <w:marRight w:val="0"/>
                          <w:marTop w:val="0"/>
                          <w:marBottom w:val="0"/>
                          <w:divBdr>
                            <w:top w:val="none" w:sz="0" w:space="0" w:color="auto"/>
                            <w:left w:val="none" w:sz="0" w:space="0" w:color="auto"/>
                            <w:bottom w:val="none" w:sz="0" w:space="0" w:color="auto"/>
                            <w:right w:val="none" w:sz="0" w:space="0" w:color="auto"/>
                          </w:divBdr>
                          <w:divsChild>
                            <w:div w:id="1334837888">
                              <w:marLeft w:val="0"/>
                              <w:marRight w:val="0"/>
                              <w:marTop w:val="0"/>
                              <w:marBottom w:val="0"/>
                              <w:divBdr>
                                <w:top w:val="none" w:sz="0" w:space="0" w:color="auto"/>
                                <w:left w:val="none" w:sz="0" w:space="0" w:color="auto"/>
                                <w:bottom w:val="none" w:sz="0" w:space="0" w:color="auto"/>
                                <w:right w:val="none" w:sz="0" w:space="0" w:color="auto"/>
                              </w:divBdr>
                              <w:divsChild>
                                <w:div w:id="13348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837954">
      <w:marLeft w:val="0"/>
      <w:marRight w:val="0"/>
      <w:marTop w:val="0"/>
      <w:marBottom w:val="0"/>
      <w:divBdr>
        <w:top w:val="none" w:sz="0" w:space="0" w:color="auto"/>
        <w:left w:val="none" w:sz="0" w:space="0" w:color="auto"/>
        <w:bottom w:val="none" w:sz="0" w:space="0" w:color="auto"/>
        <w:right w:val="none" w:sz="0" w:space="0" w:color="auto"/>
      </w:divBdr>
      <w:divsChild>
        <w:div w:id="1334837950">
          <w:marLeft w:val="0"/>
          <w:marRight w:val="0"/>
          <w:marTop w:val="0"/>
          <w:marBottom w:val="0"/>
          <w:divBdr>
            <w:top w:val="none" w:sz="0" w:space="0" w:color="auto"/>
            <w:left w:val="none" w:sz="0" w:space="0" w:color="auto"/>
            <w:bottom w:val="none" w:sz="0" w:space="0" w:color="auto"/>
            <w:right w:val="none" w:sz="0" w:space="0" w:color="auto"/>
          </w:divBdr>
          <w:divsChild>
            <w:div w:id="1334837890">
              <w:marLeft w:val="0"/>
              <w:marRight w:val="0"/>
              <w:marTop w:val="0"/>
              <w:marBottom w:val="0"/>
              <w:divBdr>
                <w:top w:val="none" w:sz="0" w:space="0" w:color="auto"/>
                <w:left w:val="none" w:sz="0" w:space="0" w:color="auto"/>
                <w:bottom w:val="none" w:sz="0" w:space="0" w:color="auto"/>
                <w:right w:val="none" w:sz="0" w:space="0" w:color="auto"/>
              </w:divBdr>
              <w:divsChild>
                <w:div w:id="1334837956">
                  <w:marLeft w:val="0"/>
                  <w:marRight w:val="0"/>
                  <w:marTop w:val="0"/>
                  <w:marBottom w:val="0"/>
                  <w:divBdr>
                    <w:top w:val="none" w:sz="0" w:space="0" w:color="auto"/>
                    <w:left w:val="none" w:sz="0" w:space="0" w:color="auto"/>
                    <w:bottom w:val="none" w:sz="0" w:space="0" w:color="auto"/>
                    <w:right w:val="none" w:sz="0" w:space="0" w:color="auto"/>
                  </w:divBdr>
                  <w:divsChild>
                    <w:div w:id="1334837943">
                      <w:marLeft w:val="0"/>
                      <w:marRight w:val="0"/>
                      <w:marTop w:val="0"/>
                      <w:marBottom w:val="0"/>
                      <w:divBdr>
                        <w:top w:val="none" w:sz="0" w:space="0" w:color="auto"/>
                        <w:left w:val="none" w:sz="0" w:space="0" w:color="auto"/>
                        <w:bottom w:val="none" w:sz="0" w:space="0" w:color="auto"/>
                        <w:right w:val="none" w:sz="0" w:space="0" w:color="auto"/>
                      </w:divBdr>
                      <w:divsChild>
                        <w:div w:id="1334837959">
                          <w:marLeft w:val="0"/>
                          <w:marRight w:val="0"/>
                          <w:marTop w:val="0"/>
                          <w:marBottom w:val="0"/>
                          <w:divBdr>
                            <w:top w:val="none" w:sz="0" w:space="0" w:color="auto"/>
                            <w:left w:val="none" w:sz="0" w:space="0" w:color="auto"/>
                            <w:bottom w:val="none" w:sz="0" w:space="0" w:color="auto"/>
                            <w:right w:val="none" w:sz="0" w:space="0" w:color="auto"/>
                          </w:divBdr>
                          <w:divsChild>
                            <w:div w:id="1334837948">
                              <w:marLeft w:val="0"/>
                              <w:marRight w:val="0"/>
                              <w:marTop w:val="0"/>
                              <w:marBottom w:val="0"/>
                              <w:divBdr>
                                <w:top w:val="none" w:sz="0" w:space="0" w:color="auto"/>
                                <w:left w:val="none" w:sz="0" w:space="0" w:color="auto"/>
                                <w:bottom w:val="none" w:sz="0" w:space="0" w:color="auto"/>
                                <w:right w:val="none" w:sz="0" w:space="0" w:color="auto"/>
                              </w:divBdr>
                              <w:divsChild>
                                <w:div w:id="13348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837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yperlink" Target="mailto:GLivermore@mathematica-mpr.com"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hyperlink" Target="mailto:NWozny@mathematica-mpr.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hyperlink" Target="mailto:DStapleton@mathematica-mpr.com" TargetMode="Externa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hyperlink" Target="mailto:PSchochet@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22</Pages>
  <Words>7711</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Authors</dc:creator>
  <cp:keywords/>
  <dc:description/>
  <cp:lastModifiedBy>Meredith L. DeDona</cp:lastModifiedBy>
  <cp:revision>4</cp:revision>
  <cp:lastPrinted>2012-01-30T16:00:00Z</cp:lastPrinted>
  <dcterms:created xsi:type="dcterms:W3CDTF">2012-02-08T17:22:00Z</dcterms:created>
  <dcterms:modified xsi:type="dcterms:W3CDTF">2012-02-16T21:42:00Z</dcterms:modified>
</cp:coreProperties>
</file>