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68" w:type="dxa"/>
        <w:jc w:val="center"/>
        <w:tblInd w:w="648" w:type="dxa"/>
        <w:tblLook w:val="04A0" w:firstRow="1" w:lastRow="0" w:firstColumn="1" w:lastColumn="0" w:noHBand="0" w:noVBand="1"/>
      </w:tblPr>
      <w:tblGrid>
        <w:gridCol w:w="1561"/>
        <w:gridCol w:w="1993"/>
        <w:gridCol w:w="2818"/>
        <w:gridCol w:w="2019"/>
        <w:gridCol w:w="1977"/>
      </w:tblGrid>
      <w:tr w:rsidR="00FD6E0C" w:rsidTr="005C57D0">
        <w:trPr>
          <w:trHeight w:val="908"/>
          <w:tblHeader/>
          <w:jc w:val="center"/>
        </w:trPr>
        <w:tc>
          <w:tcPr>
            <w:tcW w:w="1082" w:type="dxa"/>
            <w:tcBorders>
              <w:top w:val="single" w:sz="4" w:space="0" w:color="auto"/>
              <w:left w:val="single" w:sz="4" w:space="0" w:color="auto"/>
              <w:bottom w:val="single" w:sz="4" w:space="0" w:color="auto"/>
              <w:right w:val="single" w:sz="4" w:space="0" w:color="auto"/>
            </w:tcBorders>
          </w:tcPr>
          <w:p w:rsidR="00FD6E0C" w:rsidRPr="005C57D0" w:rsidRDefault="00FD6E0C" w:rsidP="00270FC6">
            <w:pPr>
              <w:spacing w:after="200" w:line="276" w:lineRule="auto"/>
              <w:rPr>
                <w:rFonts w:ascii="Times New Roman" w:hAnsi="Times New Roman" w:cs="Times New Roman"/>
                <w:b/>
              </w:rPr>
            </w:pPr>
            <w:bookmarkStart w:id="0" w:name="_GoBack"/>
            <w:bookmarkEnd w:id="0"/>
          </w:p>
        </w:tc>
        <w:tc>
          <w:tcPr>
            <w:tcW w:w="2064" w:type="dxa"/>
            <w:tcBorders>
              <w:left w:val="single" w:sz="4" w:space="0" w:color="auto"/>
            </w:tcBorders>
          </w:tcPr>
          <w:p w:rsidR="00FD6E0C" w:rsidRPr="005C57D0" w:rsidRDefault="00FD6E0C">
            <w:pPr>
              <w:spacing w:after="200" w:line="276" w:lineRule="auto"/>
              <w:rPr>
                <w:rFonts w:ascii="Times New Roman" w:hAnsi="Times New Roman" w:cs="Times New Roman"/>
                <w:b/>
              </w:rPr>
            </w:pPr>
            <w:r w:rsidRPr="005C57D0">
              <w:rPr>
                <w:rFonts w:ascii="Times New Roman" w:hAnsi="Times New Roman" w:cs="Times New Roman"/>
                <w:b/>
              </w:rPr>
              <w:t>Last Reauthorization (2008 )</w:t>
            </w:r>
          </w:p>
        </w:tc>
        <w:tc>
          <w:tcPr>
            <w:tcW w:w="2938" w:type="dxa"/>
          </w:tcPr>
          <w:p w:rsidR="00FD6E0C" w:rsidRPr="005C57D0" w:rsidRDefault="00FD6E0C">
            <w:pPr>
              <w:spacing w:after="200" w:line="276" w:lineRule="auto"/>
              <w:rPr>
                <w:rFonts w:ascii="Times New Roman" w:hAnsi="Times New Roman" w:cs="Times New Roman"/>
                <w:b/>
              </w:rPr>
            </w:pPr>
            <w:r w:rsidRPr="005C57D0">
              <w:rPr>
                <w:rFonts w:ascii="Times New Roman" w:hAnsi="Times New Roman" w:cs="Times New Roman"/>
                <w:b/>
              </w:rPr>
              <w:t>Pending Request(Sept. 2011)</w:t>
            </w:r>
          </w:p>
        </w:tc>
        <w:tc>
          <w:tcPr>
            <w:tcW w:w="2189" w:type="dxa"/>
          </w:tcPr>
          <w:p w:rsidR="00FD6E0C" w:rsidRPr="005C57D0" w:rsidRDefault="00FD6E0C" w:rsidP="00B66976">
            <w:pPr>
              <w:spacing w:after="200" w:line="276" w:lineRule="auto"/>
              <w:rPr>
                <w:rFonts w:ascii="Times New Roman" w:hAnsi="Times New Roman" w:cs="Times New Roman"/>
                <w:b/>
              </w:rPr>
            </w:pPr>
            <w:r w:rsidRPr="005C57D0">
              <w:rPr>
                <w:rFonts w:ascii="Times New Roman" w:hAnsi="Times New Roman" w:cs="Times New Roman"/>
                <w:b/>
              </w:rPr>
              <w:t>Revised Request</w:t>
            </w:r>
            <w:r w:rsidR="00541187" w:rsidRPr="005C57D0">
              <w:rPr>
                <w:rFonts w:ascii="Times New Roman" w:hAnsi="Times New Roman" w:cs="Times New Roman"/>
                <w:b/>
              </w:rPr>
              <w:t xml:space="preserve"> </w:t>
            </w:r>
            <w:r w:rsidRPr="005C57D0">
              <w:rPr>
                <w:rFonts w:ascii="Times New Roman" w:hAnsi="Times New Roman" w:cs="Times New Roman"/>
                <w:b/>
              </w:rPr>
              <w:t>(</w:t>
            </w:r>
            <w:r w:rsidR="00B66976">
              <w:rPr>
                <w:rFonts w:ascii="Times New Roman" w:hAnsi="Times New Roman" w:cs="Times New Roman"/>
                <w:b/>
              </w:rPr>
              <w:t>proposed</w:t>
            </w:r>
            <w:r w:rsidR="00B66976" w:rsidRPr="005C57D0">
              <w:rPr>
                <w:rFonts w:ascii="Times New Roman" w:hAnsi="Times New Roman" w:cs="Times New Roman"/>
                <w:b/>
              </w:rPr>
              <w:t xml:space="preserve"> </w:t>
            </w:r>
            <w:r w:rsidR="00B66976">
              <w:rPr>
                <w:rFonts w:ascii="Times New Roman" w:hAnsi="Times New Roman" w:cs="Times New Roman"/>
                <w:b/>
              </w:rPr>
              <w:t xml:space="preserve"> </w:t>
            </w:r>
            <w:r w:rsidRPr="005C57D0">
              <w:rPr>
                <w:rFonts w:ascii="Times New Roman" w:hAnsi="Times New Roman" w:cs="Times New Roman"/>
                <w:b/>
              </w:rPr>
              <w:t>2014)</w:t>
            </w:r>
          </w:p>
        </w:tc>
        <w:tc>
          <w:tcPr>
            <w:tcW w:w="2095" w:type="dxa"/>
          </w:tcPr>
          <w:p w:rsidR="00FD6E0C" w:rsidRPr="005C57D0" w:rsidRDefault="00FD6E0C" w:rsidP="00D31670">
            <w:pPr>
              <w:spacing w:after="200" w:line="276" w:lineRule="auto"/>
              <w:rPr>
                <w:rFonts w:ascii="Times New Roman" w:hAnsi="Times New Roman" w:cs="Times New Roman"/>
                <w:b/>
              </w:rPr>
            </w:pPr>
            <w:r w:rsidRPr="005C57D0">
              <w:rPr>
                <w:rFonts w:ascii="Times New Roman" w:hAnsi="Times New Roman" w:cs="Times New Roman"/>
                <w:b/>
              </w:rPr>
              <w:t>Statement of Differences (2008 v. 2014)</w:t>
            </w:r>
          </w:p>
        </w:tc>
      </w:tr>
      <w:tr w:rsidR="00FD6E0C" w:rsidTr="005C57D0">
        <w:trPr>
          <w:trHeight w:val="836"/>
          <w:jc w:val="center"/>
        </w:trPr>
        <w:tc>
          <w:tcPr>
            <w:tcW w:w="1082" w:type="dxa"/>
            <w:tcBorders>
              <w:top w:val="single" w:sz="4" w:space="0" w:color="auto"/>
            </w:tcBorders>
          </w:tcPr>
          <w:p w:rsidR="00FD6E0C" w:rsidRPr="002A6419" w:rsidRDefault="00FD6E0C" w:rsidP="001824ED">
            <w:pPr>
              <w:spacing w:after="200" w:line="276" w:lineRule="auto"/>
              <w:rPr>
                <w:rFonts w:ascii="Times New Roman" w:hAnsi="Times New Roman" w:cs="Times New Roman"/>
              </w:rPr>
            </w:pPr>
            <w:r w:rsidRPr="002A6419">
              <w:rPr>
                <w:rFonts w:ascii="Times New Roman" w:hAnsi="Times New Roman" w:cs="Times New Roman"/>
              </w:rPr>
              <w:t>Contractor Establishments</w:t>
            </w:r>
          </w:p>
        </w:tc>
        <w:tc>
          <w:tcPr>
            <w:tcW w:w="2064" w:type="dxa"/>
          </w:tcPr>
          <w:p w:rsidR="00FD6E0C" w:rsidRPr="002A6419" w:rsidRDefault="00FD6E0C" w:rsidP="001824ED">
            <w:pPr>
              <w:spacing w:after="200" w:line="276" w:lineRule="auto"/>
              <w:rPr>
                <w:rFonts w:ascii="Times New Roman" w:hAnsi="Times New Roman" w:cs="Times New Roman"/>
              </w:rPr>
            </w:pPr>
            <w:r w:rsidRPr="002A6419">
              <w:rPr>
                <w:rFonts w:ascii="Times New Roman" w:hAnsi="Times New Roman" w:cs="Times New Roman"/>
              </w:rPr>
              <w:t>99,028</w:t>
            </w:r>
          </w:p>
        </w:tc>
        <w:tc>
          <w:tcPr>
            <w:tcW w:w="2938" w:type="dxa"/>
          </w:tcPr>
          <w:p w:rsidR="00FD6E0C" w:rsidRPr="002A6419" w:rsidRDefault="00FD6E0C">
            <w:pPr>
              <w:spacing w:after="200" w:line="276" w:lineRule="auto"/>
              <w:rPr>
                <w:rFonts w:ascii="Times New Roman" w:hAnsi="Times New Roman" w:cs="Times New Roman"/>
              </w:rPr>
            </w:pPr>
            <w:r w:rsidRPr="002A6419">
              <w:rPr>
                <w:rFonts w:ascii="Times New Roman" w:hAnsi="Times New Roman" w:cs="Times New Roman"/>
              </w:rPr>
              <w:t>171,275 (46,291 parent companies)</w:t>
            </w:r>
          </w:p>
        </w:tc>
        <w:tc>
          <w:tcPr>
            <w:tcW w:w="2189" w:type="dxa"/>
          </w:tcPr>
          <w:p w:rsidR="00FD6E0C" w:rsidRPr="002A6419" w:rsidRDefault="00AA453E" w:rsidP="00AA453E">
            <w:pPr>
              <w:spacing w:after="200" w:line="276" w:lineRule="auto"/>
              <w:rPr>
                <w:rFonts w:ascii="Times New Roman" w:hAnsi="Times New Roman" w:cs="Times New Roman"/>
              </w:rPr>
            </w:pPr>
            <w:r>
              <w:rPr>
                <w:rFonts w:ascii="Times New Roman" w:hAnsi="Times New Roman" w:cs="Times New Roman"/>
              </w:rPr>
              <w:t>116,079</w:t>
            </w:r>
            <w:r w:rsidR="00FD6E0C" w:rsidRPr="002A6419">
              <w:rPr>
                <w:rFonts w:ascii="Times New Roman" w:hAnsi="Times New Roman" w:cs="Times New Roman"/>
              </w:rPr>
              <w:t xml:space="preserve"> (</w:t>
            </w:r>
            <w:r>
              <w:rPr>
                <w:rFonts w:ascii="Times New Roman" w:hAnsi="Times New Roman" w:cs="Times New Roman"/>
              </w:rPr>
              <w:t>23,619</w:t>
            </w:r>
            <w:r w:rsidR="00480478" w:rsidRPr="002A6419">
              <w:rPr>
                <w:rFonts w:ascii="Times New Roman" w:hAnsi="Times New Roman" w:cs="Times New Roman"/>
              </w:rPr>
              <w:t xml:space="preserve"> </w:t>
            </w:r>
            <w:r w:rsidR="00FD6E0C" w:rsidRPr="002A6419">
              <w:rPr>
                <w:rFonts w:ascii="Times New Roman" w:hAnsi="Times New Roman" w:cs="Times New Roman"/>
              </w:rPr>
              <w:t>parent companies)</w:t>
            </w:r>
          </w:p>
        </w:tc>
        <w:tc>
          <w:tcPr>
            <w:tcW w:w="2095" w:type="dxa"/>
          </w:tcPr>
          <w:p w:rsidR="00FD6E0C" w:rsidRPr="002A6419" w:rsidRDefault="00FD6E0C" w:rsidP="00AA453E">
            <w:pPr>
              <w:spacing w:after="200" w:line="276" w:lineRule="auto"/>
              <w:rPr>
                <w:rFonts w:ascii="Times New Roman" w:hAnsi="Times New Roman" w:cs="Times New Roman"/>
              </w:rPr>
            </w:pPr>
            <w:r w:rsidRPr="002A6419">
              <w:rPr>
                <w:rFonts w:ascii="Times New Roman" w:hAnsi="Times New Roman" w:cs="Times New Roman"/>
              </w:rPr>
              <w:t xml:space="preserve">Increase establishment count by </w:t>
            </w:r>
            <w:r w:rsidR="00AA453E">
              <w:rPr>
                <w:rFonts w:ascii="Times New Roman" w:hAnsi="Times New Roman" w:cs="Times New Roman"/>
              </w:rPr>
              <w:t>17</w:t>
            </w:r>
            <w:r w:rsidRPr="002A6419">
              <w:rPr>
                <w:rFonts w:ascii="Times New Roman" w:hAnsi="Times New Roman" w:cs="Times New Roman"/>
              </w:rPr>
              <w:t>%.</w:t>
            </w:r>
          </w:p>
        </w:tc>
      </w:tr>
      <w:tr w:rsidR="002A2291" w:rsidTr="005C57D0">
        <w:trPr>
          <w:trHeight w:val="854"/>
          <w:jc w:val="center"/>
        </w:trPr>
        <w:tc>
          <w:tcPr>
            <w:tcW w:w="1082" w:type="dxa"/>
          </w:tcPr>
          <w:p w:rsidR="002A2291" w:rsidRPr="005C57D0" w:rsidRDefault="002A2291">
            <w:pPr>
              <w:spacing w:after="200" w:line="276" w:lineRule="auto"/>
              <w:rPr>
                <w:rFonts w:ascii="Times New Roman" w:hAnsi="Times New Roman" w:cs="Times New Roman"/>
              </w:rPr>
            </w:pPr>
            <w:r w:rsidRPr="005C57D0">
              <w:rPr>
                <w:rFonts w:ascii="Times New Roman" w:hAnsi="Times New Roman" w:cs="Times New Roman"/>
              </w:rPr>
              <w:t>Total Hours</w:t>
            </w:r>
          </w:p>
        </w:tc>
        <w:tc>
          <w:tcPr>
            <w:tcW w:w="2064" w:type="dxa"/>
          </w:tcPr>
          <w:p w:rsidR="002A2291" w:rsidRPr="005C57D0" w:rsidRDefault="002A2291">
            <w:pPr>
              <w:spacing w:after="200" w:line="276" w:lineRule="auto"/>
              <w:rPr>
                <w:rFonts w:ascii="Times New Roman" w:hAnsi="Times New Roman" w:cs="Times New Roman"/>
              </w:rPr>
            </w:pPr>
            <w:r w:rsidRPr="005C57D0">
              <w:rPr>
                <w:rFonts w:ascii="Times New Roman" w:hAnsi="Times New Roman" w:cs="Times New Roman"/>
              </w:rPr>
              <w:t>10,045,984</w:t>
            </w:r>
          </w:p>
        </w:tc>
        <w:tc>
          <w:tcPr>
            <w:tcW w:w="2938" w:type="dxa"/>
          </w:tcPr>
          <w:p w:rsidR="002A2291" w:rsidRPr="005C57D0" w:rsidRDefault="002A2291">
            <w:pPr>
              <w:spacing w:after="200" w:line="276" w:lineRule="auto"/>
              <w:rPr>
                <w:rFonts w:ascii="Times New Roman" w:hAnsi="Times New Roman" w:cs="Times New Roman"/>
              </w:rPr>
            </w:pPr>
            <w:r w:rsidRPr="005C57D0">
              <w:rPr>
                <w:rFonts w:ascii="Times New Roman" w:hAnsi="Times New Roman" w:cs="Times New Roman"/>
              </w:rPr>
              <w:t>11,949,346</w:t>
            </w:r>
          </w:p>
        </w:tc>
        <w:tc>
          <w:tcPr>
            <w:tcW w:w="2189" w:type="dxa"/>
          </w:tcPr>
          <w:p w:rsidR="002A2291" w:rsidRPr="005C57D0" w:rsidRDefault="00AA453E" w:rsidP="00A96193">
            <w:pPr>
              <w:spacing w:after="200" w:line="276" w:lineRule="auto"/>
              <w:rPr>
                <w:rFonts w:ascii="Times New Roman" w:hAnsi="Times New Roman" w:cs="Times New Roman"/>
              </w:rPr>
            </w:pPr>
            <w:r>
              <w:rPr>
                <w:rFonts w:ascii="Times New Roman" w:hAnsi="Times New Roman" w:cs="Times New Roman"/>
              </w:rPr>
              <w:t>8,114,62</w:t>
            </w:r>
            <w:r w:rsidR="00A96193">
              <w:rPr>
                <w:rFonts w:ascii="Times New Roman" w:hAnsi="Times New Roman" w:cs="Times New Roman"/>
              </w:rPr>
              <w:t>8</w:t>
            </w:r>
          </w:p>
        </w:tc>
        <w:tc>
          <w:tcPr>
            <w:tcW w:w="2095" w:type="dxa"/>
          </w:tcPr>
          <w:p w:rsidR="002A2291" w:rsidRPr="005C57D0" w:rsidRDefault="00284BD6">
            <w:pPr>
              <w:spacing w:after="200" w:line="276" w:lineRule="auto"/>
              <w:rPr>
                <w:rFonts w:ascii="Times New Roman" w:hAnsi="Times New Roman" w:cs="Times New Roman"/>
              </w:rPr>
            </w:pPr>
            <w:r>
              <w:rPr>
                <w:rFonts w:ascii="Times New Roman" w:hAnsi="Times New Roman" w:cs="Times New Roman"/>
              </w:rPr>
              <w:t xml:space="preserve">Decreased </w:t>
            </w:r>
            <w:r w:rsidR="002A2291" w:rsidRPr="005C57D0">
              <w:rPr>
                <w:rFonts w:ascii="Times New Roman" w:hAnsi="Times New Roman" w:cs="Times New Roman"/>
              </w:rPr>
              <w:t>time and hours associated with specific actions.</w:t>
            </w:r>
          </w:p>
        </w:tc>
      </w:tr>
      <w:tr w:rsidR="002A2291" w:rsidTr="005C57D0">
        <w:trPr>
          <w:trHeight w:val="836"/>
          <w:jc w:val="center"/>
        </w:trPr>
        <w:tc>
          <w:tcPr>
            <w:tcW w:w="1082" w:type="dxa"/>
          </w:tcPr>
          <w:p w:rsidR="001D3F3C" w:rsidRPr="005C57D0" w:rsidRDefault="002A2291">
            <w:pPr>
              <w:spacing w:after="200" w:line="276" w:lineRule="auto"/>
              <w:rPr>
                <w:rFonts w:ascii="Times New Roman" w:hAnsi="Times New Roman" w:cs="Times New Roman"/>
              </w:rPr>
            </w:pPr>
            <w:r w:rsidRPr="005C57D0">
              <w:rPr>
                <w:rFonts w:ascii="Times New Roman" w:hAnsi="Times New Roman" w:cs="Times New Roman"/>
              </w:rPr>
              <w:t>Total Cost</w:t>
            </w:r>
            <w:r w:rsidR="001D3F3C">
              <w:rPr>
                <w:rStyle w:val="EndnoteReference"/>
                <w:rFonts w:ascii="Times New Roman" w:hAnsi="Times New Roman" w:cs="Times New Roman"/>
              </w:rPr>
              <w:endnoteReference w:id="1"/>
            </w:r>
          </w:p>
        </w:tc>
        <w:tc>
          <w:tcPr>
            <w:tcW w:w="2064" w:type="dxa"/>
          </w:tcPr>
          <w:p w:rsidR="002A2291" w:rsidRPr="005C57D0" w:rsidRDefault="002A2291" w:rsidP="008F7BA9">
            <w:pPr>
              <w:spacing w:after="200" w:line="276" w:lineRule="auto"/>
              <w:rPr>
                <w:rFonts w:ascii="Times New Roman" w:hAnsi="Times New Roman" w:cs="Times New Roman"/>
              </w:rPr>
            </w:pPr>
            <w:r w:rsidRPr="005C57D0">
              <w:rPr>
                <w:rFonts w:ascii="Times New Roman" w:hAnsi="Times New Roman" w:cs="Times New Roman"/>
              </w:rPr>
              <w:t>$351,296,005</w:t>
            </w:r>
            <w:r w:rsidR="002A6419" w:rsidRPr="005C57D0">
              <w:rPr>
                <w:rFonts w:ascii="Times New Roman" w:hAnsi="Times New Roman" w:cs="Times New Roman"/>
              </w:rPr>
              <w:t xml:space="preserve"> </w:t>
            </w:r>
          </w:p>
        </w:tc>
        <w:tc>
          <w:tcPr>
            <w:tcW w:w="2938" w:type="dxa"/>
          </w:tcPr>
          <w:p w:rsidR="002A2291" w:rsidRPr="005C57D0" w:rsidRDefault="002A2291">
            <w:pPr>
              <w:spacing w:after="200" w:line="276" w:lineRule="auto"/>
              <w:rPr>
                <w:rFonts w:ascii="Times New Roman" w:hAnsi="Times New Roman" w:cs="Times New Roman"/>
              </w:rPr>
            </w:pPr>
            <w:r w:rsidRPr="005C57D0">
              <w:rPr>
                <w:rFonts w:ascii="Times New Roman" w:hAnsi="Times New Roman" w:cs="Times New Roman"/>
              </w:rPr>
              <w:t>$438,784,764</w:t>
            </w:r>
          </w:p>
        </w:tc>
        <w:tc>
          <w:tcPr>
            <w:tcW w:w="2189" w:type="dxa"/>
          </w:tcPr>
          <w:p w:rsidR="002A2291" w:rsidRPr="005C57D0" w:rsidRDefault="002A2291" w:rsidP="00AA453E">
            <w:pPr>
              <w:spacing w:after="200" w:line="276" w:lineRule="auto"/>
              <w:rPr>
                <w:rFonts w:ascii="Times New Roman" w:hAnsi="Times New Roman" w:cs="Times New Roman"/>
              </w:rPr>
            </w:pPr>
            <w:r w:rsidRPr="005C57D0">
              <w:rPr>
                <w:rFonts w:ascii="Times New Roman" w:hAnsi="Times New Roman" w:cs="Times New Roman"/>
              </w:rPr>
              <w:t>$</w:t>
            </w:r>
            <w:r w:rsidR="00AA453E">
              <w:rPr>
                <w:rFonts w:ascii="Times New Roman" w:hAnsi="Times New Roman" w:cs="Times New Roman"/>
              </w:rPr>
              <w:t>313,711,518</w:t>
            </w:r>
            <w:r w:rsidRPr="005C57D0">
              <w:rPr>
                <w:rFonts w:ascii="Times New Roman" w:hAnsi="Times New Roman" w:cs="Times New Roman"/>
              </w:rPr>
              <w:t xml:space="preserve"> </w:t>
            </w:r>
          </w:p>
        </w:tc>
        <w:tc>
          <w:tcPr>
            <w:tcW w:w="2095" w:type="dxa"/>
          </w:tcPr>
          <w:p w:rsidR="00904EF9" w:rsidRPr="005C57D0" w:rsidRDefault="002A2291" w:rsidP="00904EF9">
            <w:pPr>
              <w:spacing w:after="200" w:line="276" w:lineRule="auto"/>
              <w:rPr>
                <w:rFonts w:ascii="Times New Roman" w:hAnsi="Times New Roman" w:cs="Times New Roman"/>
              </w:rPr>
            </w:pPr>
            <w:r w:rsidRPr="005C57D0">
              <w:rPr>
                <w:rFonts w:ascii="Times New Roman" w:hAnsi="Times New Roman" w:cs="Times New Roman"/>
              </w:rPr>
              <w:t>Proposed 2014 revisions to individual wage data request will decrease reporting burden.</w:t>
            </w:r>
            <w:r w:rsidR="002A6419" w:rsidRPr="005C57D0">
              <w:rPr>
                <w:rStyle w:val="EndnoteReference"/>
                <w:rFonts w:ascii="Times New Roman" w:hAnsi="Times New Roman" w:cs="Times New Roman"/>
              </w:rPr>
              <w:endnoteReference w:id="2"/>
            </w:r>
            <w:r w:rsidR="00904EF9" w:rsidRPr="005C57D0">
              <w:rPr>
                <w:rFonts w:ascii="Times New Roman" w:hAnsi="Times New Roman" w:cs="Times New Roman"/>
              </w:rPr>
              <w:t xml:space="preserve"> Proposed 2014 reporting revisions for 503 </w:t>
            </w:r>
            <w:r w:rsidR="00904EF9">
              <w:rPr>
                <w:rFonts w:ascii="Times New Roman" w:hAnsi="Times New Roman" w:cs="Times New Roman"/>
              </w:rPr>
              <w:t xml:space="preserve">and VEVRAA </w:t>
            </w:r>
            <w:r w:rsidR="00904EF9" w:rsidRPr="005C57D0">
              <w:rPr>
                <w:rFonts w:ascii="Times New Roman" w:hAnsi="Times New Roman" w:cs="Times New Roman"/>
              </w:rPr>
              <w:t>increased the reporting burden.</w:t>
            </w:r>
            <w:r w:rsidR="00904EF9" w:rsidRPr="005C57D0">
              <w:rPr>
                <w:rStyle w:val="EndnoteReference"/>
                <w:rFonts w:ascii="Times New Roman" w:hAnsi="Times New Roman" w:cs="Times New Roman"/>
              </w:rPr>
              <w:endnoteReference w:id="3"/>
            </w:r>
            <w:r w:rsidR="00904EF9" w:rsidRPr="007A3450">
              <w:rPr>
                <w:rFonts w:ascii="Times New Roman" w:hAnsi="Times New Roman" w:cs="Times New Roman"/>
                <w:vertAlign w:val="superscript"/>
              </w:rPr>
              <w:t xml:space="preserve">, </w:t>
            </w:r>
            <w:r w:rsidR="00904EF9" w:rsidRPr="005C57D0">
              <w:rPr>
                <w:rStyle w:val="EndnoteReference"/>
                <w:rFonts w:ascii="Times New Roman" w:hAnsi="Times New Roman" w:cs="Times New Roman"/>
              </w:rPr>
              <w:endnoteReference w:id="4"/>
            </w:r>
          </w:p>
        </w:tc>
      </w:tr>
      <w:tr w:rsidR="002A2291" w:rsidTr="005C57D0">
        <w:trPr>
          <w:trHeight w:val="836"/>
          <w:jc w:val="center"/>
        </w:trPr>
        <w:tc>
          <w:tcPr>
            <w:tcW w:w="1082" w:type="dxa"/>
          </w:tcPr>
          <w:p w:rsidR="002A2291" w:rsidRPr="005C57D0" w:rsidRDefault="002A2291">
            <w:pPr>
              <w:spacing w:after="200" w:line="276" w:lineRule="auto"/>
              <w:rPr>
                <w:rFonts w:ascii="Times New Roman" w:hAnsi="Times New Roman" w:cs="Times New Roman"/>
              </w:rPr>
            </w:pPr>
            <w:r w:rsidRPr="005C57D0">
              <w:rPr>
                <w:rFonts w:ascii="Times New Roman" w:hAnsi="Times New Roman" w:cs="Times New Roman"/>
              </w:rPr>
              <w:t>Total Recurring Cost Per Establishment</w:t>
            </w:r>
          </w:p>
        </w:tc>
        <w:tc>
          <w:tcPr>
            <w:tcW w:w="2064" w:type="dxa"/>
          </w:tcPr>
          <w:p w:rsidR="002A2291" w:rsidRPr="005C57D0" w:rsidRDefault="002A2291">
            <w:pPr>
              <w:spacing w:after="200" w:line="276" w:lineRule="auto"/>
              <w:rPr>
                <w:rFonts w:ascii="Times New Roman" w:hAnsi="Times New Roman" w:cs="Times New Roman"/>
              </w:rPr>
            </w:pPr>
            <w:r w:rsidRPr="005C57D0">
              <w:rPr>
                <w:rFonts w:ascii="Times New Roman" w:hAnsi="Times New Roman" w:cs="Times New Roman"/>
              </w:rPr>
              <w:t>$3,547</w:t>
            </w:r>
          </w:p>
        </w:tc>
        <w:tc>
          <w:tcPr>
            <w:tcW w:w="2938" w:type="dxa"/>
          </w:tcPr>
          <w:p w:rsidR="002A2291" w:rsidRPr="005C57D0" w:rsidRDefault="002A2291">
            <w:pPr>
              <w:spacing w:after="200" w:line="276" w:lineRule="auto"/>
              <w:rPr>
                <w:rFonts w:ascii="Times New Roman" w:hAnsi="Times New Roman" w:cs="Times New Roman"/>
              </w:rPr>
            </w:pPr>
            <w:r w:rsidRPr="005C57D0">
              <w:rPr>
                <w:rFonts w:ascii="Times New Roman" w:hAnsi="Times New Roman" w:cs="Times New Roman"/>
              </w:rPr>
              <w:t>$2,562</w:t>
            </w:r>
          </w:p>
        </w:tc>
        <w:tc>
          <w:tcPr>
            <w:tcW w:w="2189" w:type="dxa"/>
          </w:tcPr>
          <w:p w:rsidR="002A2291" w:rsidRPr="005C57D0" w:rsidRDefault="002A2291" w:rsidP="00AA453E">
            <w:pPr>
              <w:spacing w:after="200" w:line="276" w:lineRule="auto"/>
              <w:rPr>
                <w:rFonts w:ascii="Times New Roman" w:hAnsi="Times New Roman" w:cs="Times New Roman"/>
              </w:rPr>
            </w:pPr>
            <w:r w:rsidRPr="005C57D0">
              <w:rPr>
                <w:rFonts w:ascii="Times New Roman" w:hAnsi="Times New Roman" w:cs="Times New Roman"/>
              </w:rPr>
              <w:t>$</w:t>
            </w:r>
            <w:r w:rsidR="00AA453E">
              <w:rPr>
                <w:rFonts w:ascii="Times New Roman" w:hAnsi="Times New Roman" w:cs="Times New Roman"/>
              </w:rPr>
              <w:t>2,703</w:t>
            </w:r>
          </w:p>
        </w:tc>
        <w:tc>
          <w:tcPr>
            <w:tcW w:w="2095" w:type="dxa"/>
          </w:tcPr>
          <w:p w:rsidR="002A2291" w:rsidRPr="005C57D0" w:rsidRDefault="002A2291">
            <w:pPr>
              <w:spacing w:after="200" w:line="276" w:lineRule="auto"/>
              <w:rPr>
                <w:rFonts w:ascii="Times New Roman" w:hAnsi="Times New Roman" w:cs="Times New Roman"/>
              </w:rPr>
            </w:pPr>
          </w:p>
        </w:tc>
      </w:tr>
      <w:tr w:rsidR="00541187" w:rsidTr="005C57D0">
        <w:trPr>
          <w:trHeight w:val="836"/>
          <w:jc w:val="center"/>
        </w:trPr>
        <w:tc>
          <w:tcPr>
            <w:tcW w:w="1082" w:type="dxa"/>
          </w:tcPr>
          <w:p w:rsidR="00541187" w:rsidRPr="005C57D0" w:rsidRDefault="00541187">
            <w:pPr>
              <w:spacing w:after="200" w:line="276" w:lineRule="auto"/>
              <w:rPr>
                <w:rFonts w:ascii="Times New Roman" w:hAnsi="Times New Roman" w:cs="Times New Roman"/>
              </w:rPr>
            </w:pPr>
            <w:r w:rsidRPr="005C57D0">
              <w:rPr>
                <w:rFonts w:ascii="Times New Roman" w:hAnsi="Times New Roman" w:cs="Times New Roman"/>
              </w:rPr>
              <w:t>One-time Start-up Cost</w:t>
            </w:r>
          </w:p>
        </w:tc>
        <w:tc>
          <w:tcPr>
            <w:tcW w:w="2064" w:type="dxa"/>
          </w:tcPr>
          <w:p w:rsidR="00541187" w:rsidRPr="005C57D0" w:rsidRDefault="00541187">
            <w:pPr>
              <w:spacing w:after="200" w:line="276" w:lineRule="auto"/>
              <w:rPr>
                <w:rFonts w:ascii="Times New Roman" w:hAnsi="Times New Roman" w:cs="Times New Roman"/>
              </w:rPr>
            </w:pPr>
            <w:r w:rsidRPr="005C57D0">
              <w:rPr>
                <w:rFonts w:ascii="Times New Roman" w:hAnsi="Times New Roman" w:cs="Times New Roman"/>
              </w:rPr>
              <w:t>Not Calculated</w:t>
            </w:r>
          </w:p>
        </w:tc>
        <w:tc>
          <w:tcPr>
            <w:tcW w:w="2938" w:type="dxa"/>
          </w:tcPr>
          <w:p w:rsidR="00541187" w:rsidRPr="005C57D0" w:rsidRDefault="00541187">
            <w:pPr>
              <w:spacing w:after="200" w:line="276" w:lineRule="auto"/>
              <w:rPr>
                <w:rFonts w:ascii="Times New Roman" w:hAnsi="Times New Roman" w:cs="Times New Roman"/>
              </w:rPr>
            </w:pPr>
            <w:r w:rsidRPr="005C57D0">
              <w:rPr>
                <w:rFonts w:ascii="Times New Roman" w:hAnsi="Times New Roman" w:cs="Times New Roman"/>
              </w:rPr>
              <w:t>$34,980,836  (originally presented:$129,483,900</w:t>
            </w:r>
            <w:r w:rsidR="002A6419" w:rsidRPr="005C57D0">
              <w:rPr>
                <w:rStyle w:val="EndnoteReference"/>
                <w:rFonts w:ascii="Times New Roman" w:hAnsi="Times New Roman" w:cs="Times New Roman"/>
              </w:rPr>
              <w:endnoteReference w:id="5"/>
            </w:r>
            <w:r w:rsidR="002A6419" w:rsidRPr="005C57D0">
              <w:rPr>
                <w:rFonts w:ascii="Times New Roman" w:hAnsi="Times New Roman" w:cs="Times New Roman"/>
              </w:rPr>
              <w:t xml:space="preserve"> </w:t>
            </w:r>
            <w:r w:rsidRPr="005C57D0">
              <w:rPr>
                <w:rFonts w:ascii="Times New Roman" w:hAnsi="Times New Roman" w:cs="Times New Roman"/>
              </w:rPr>
              <w:t xml:space="preserve"> calculated as if each establishment adjusted its HRIS)</w:t>
            </w:r>
          </w:p>
        </w:tc>
        <w:tc>
          <w:tcPr>
            <w:tcW w:w="2189" w:type="dxa"/>
          </w:tcPr>
          <w:p w:rsidR="00584B81" w:rsidRDefault="00584B81">
            <w:pPr>
              <w:spacing w:after="200" w:line="276" w:lineRule="auto"/>
              <w:rPr>
                <w:rFonts w:ascii="Times New Roman" w:hAnsi="Times New Roman" w:cs="Times New Roman"/>
              </w:rPr>
            </w:pPr>
            <w:r>
              <w:rPr>
                <w:rFonts w:ascii="Times New Roman" w:hAnsi="Times New Roman" w:cs="Times New Roman"/>
              </w:rPr>
              <w:t>No start-up cost</w:t>
            </w:r>
            <w:r>
              <w:rPr>
                <w:rStyle w:val="EndnoteReference"/>
                <w:rFonts w:ascii="Times New Roman" w:hAnsi="Times New Roman" w:cs="Times New Roman"/>
              </w:rPr>
              <w:endnoteReference w:id="6"/>
            </w:r>
          </w:p>
          <w:p w:rsidR="00541187" w:rsidRPr="005C57D0" w:rsidRDefault="00541187">
            <w:pPr>
              <w:spacing w:after="200" w:line="276" w:lineRule="auto"/>
              <w:rPr>
                <w:rFonts w:ascii="Times New Roman" w:hAnsi="Times New Roman" w:cs="Times New Roman"/>
              </w:rPr>
            </w:pPr>
          </w:p>
        </w:tc>
        <w:tc>
          <w:tcPr>
            <w:tcW w:w="2095" w:type="dxa"/>
          </w:tcPr>
          <w:p w:rsidR="00541187" w:rsidRPr="005C57D0" w:rsidRDefault="00541187">
            <w:pPr>
              <w:spacing w:after="200" w:line="276" w:lineRule="auto"/>
              <w:rPr>
                <w:rFonts w:ascii="Times New Roman" w:hAnsi="Times New Roman" w:cs="Times New Roman"/>
              </w:rPr>
            </w:pPr>
          </w:p>
        </w:tc>
      </w:tr>
      <w:tr w:rsidR="00541187" w:rsidTr="005C57D0">
        <w:trPr>
          <w:trHeight w:val="836"/>
          <w:jc w:val="center"/>
        </w:trPr>
        <w:tc>
          <w:tcPr>
            <w:tcW w:w="1082" w:type="dxa"/>
          </w:tcPr>
          <w:p w:rsidR="00541187" w:rsidRPr="005C57D0" w:rsidRDefault="00541187">
            <w:pPr>
              <w:spacing w:after="200" w:line="276" w:lineRule="auto"/>
              <w:rPr>
                <w:rFonts w:ascii="Times New Roman" w:hAnsi="Times New Roman" w:cs="Times New Roman"/>
              </w:rPr>
            </w:pPr>
            <w:r w:rsidRPr="005C57D0">
              <w:rPr>
                <w:rFonts w:ascii="Times New Roman" w:hAnsi="Times New Roman" w:cs="Times New Roman"/>
              </w:rPr>
              <w:t>Total Per Establishment One-time Cost</w:t>
            </w:r>
          </w:p>
        </w:tc>
        <w:tc>
          <w:tcPr>
            <w:tcW w:w="2064" w:type="dxa"/>
          </w:tcPr>
          <w:p w:rsidR="00541187" w:rsidRPr="005C57D0" w:rsidRDefault="00541187">
            <w:pPr>
              <w:spacing w:after="200" w:line="276" w:lineRule="auto"/>
              <w:rPr>
                <w:rFonts w:ascii="Times New Roman" w:hAnsi="Times New Roman" w:cs="Times New Roman"/>
              </w:rPr>
            </w:pPr>
            <w:r w:rsidRPr="005C57D0">
              <w:rPr>
                <w:rFonts w:ascii="Times New Roman" w:hAnsi="Times New Roman" w:cs="Times New Roman"/>
              </w:rPr>
              <w:t>Not calculated</w:t>
            </w:r>
          </w:p>
        </w:tc>
        <w:tc>
          <w:tcPr>
            <w:tcW w:w="2938" w:type="dxa"/>
          </w:tcPr>
          <w:p w:rsidR="00541187" w:rsidRPr="005C57D0" w:rsidRDefault="00541187">
            <w:pPr>
              <w:spacing w:after="200" w:line="276" w:lineRule="auto"/>
              <w:rPr>
                <w:rFonts w:ascii="Times New Roman" w:hAnsi="Times New Roman" w:cs="Times New Roman"/>
              </w:rPr>
            </w:pPr>
            <w:r w:rsidRPr="005C57D0">
              <w:rPr>
                <w:rFonts w:ascii="Times New Roman" w:hAnsi="Times New Roman" w:cs="Times New Roman"/>
              </w:rPr>
              <w:t>$204 (originally presented: $756 calculated as if each establishment adjusted its HRIS)</w:t>
            </w:r>
          </w:p>
        </w:tc>
        <w:tc>
          <w:tcPr>
            <w:tcW w:w="2189" w:type="dxa"/>
          </w:tcPr>
          <w:p w:rsidR="002A6419" w:rsidRPr="005C57D0" w:rsidRDefault="002A6419">
            <w:pPr>
              <w:spacing w:after="200" w:line="276" w:lineRule="auto"/>
              <w:rPr>
                <w:rFonts w:ascii="Times New Roman" w:hAnsi="Times New Roman" w:cs="Times New Roman"/>
              </w:rPr>
            </w:pPr>
          </w:p>
        </w:tc>
        <w:tc>
          <w:tcPr>
            <w:tcW w:w="2095" w:type="dxa"/>
          </w:tcPr>
          <w:p w:rsidR="00541187" w:rsidRPr="005C57D0" w:rsidRDefault="00541187" w:rsidP="002A2291">
            <w:pPr>
              <w:spacing w:after="200" w:line="276" w:lineRule="auto"/>
              <w:rPr>
                <w:rFonts w:ascii="Times New Roman" w:hAnsi="Times New Roman" w:cs="Times New Roman"/>
              </w:rPr>
            </w:pPr>
          </w:p>
        </w:tc>
      </w:tr>
      <w:tr w:rsidR="00541187" w:rsidTr="005C57D0">
        <w:trPr>
          <w:trHeight w:val="1115"/>
          <w:jc w:val="center"/>
        </w:trPr>
        <w:tc>
          <w:tcPr>
            <w:tcW w:w="1082" w:type="dxa"/>
          </w:tcPr>
          <w:p w:rsidR="00541187" w:rsidRPr="005C57D0" w:rsidRDefault="00541187" w:rsidP="00541187">
            <w:pPr>
              <w:spacing w:after="200" w:line="276" w:lineRule="auto"/>
              <w:rPr>
                <w:rFonts w:ascii="Times New Roman" w:hAnsi="Times New Roman" w:cs="Times New Roman"/>
              </w:rPr>
            </w:pPr>
            <w:r w:rsidRPr="005C57D0">
              <w:rPr>
                <w:rFonts w:ascii="Times New Roman" w:hAnsi="Times New Roman" w:cs="Times New Roman"/>
                <w:b/>
              </w:rPr>
              <w:t>Final Cost (with startup) Per Establishment</w:t>
            </w:r>
          </w:p>
        </w:tc>
        <w:tc>
          <w:tcPr>
            <w:tcW w:w="2064" w:type="dxa"/>
          </w:tcPr>
          <w:p w:rsidR="002A6419" w:rsidRPr="005C57D0" w:rsidRDefault="00541187" w:rsidP="00541187">
            <w:pPr>
              <w:spacing w:after="200" w:line="276" w:lineRule="auto"/>
              <w:rPr>
                <w:rFonts w:ascii="Times New Roman" w:hAnsi="Times New Roman" w:cs="Times New Roman"/>
              </w:rPr>
            </w:pPr>
            <w:r w:rsidRPr="005C57D0">
              <w:rPr>
                <w:rFonts w:ascii="Times New Roman" w:hAnsi="Times New Roman" w:cs="Times New Roman"/>
                <w:b/>
              </w:rPr>
              <w:t>$3,548</w:t>
            </w:r>
            <w:r w:rsidR="002A6419" w:rsidRPr="005C57D0">
              <w:rPr>
                <w:rStyle w:val="EndnoteReference"/>
                <w:rFonts w:ascii="Times New Roman" w:hAnsi="Times New Roman" w:cs="Times New Roman"/>
                <w:b/>
              </w:rPr>
              <w:endnoteReference w:id="7"/>
            </w:r>
          </w:p>
          <w:p w:rsidR="00541187" w:rsidRPr="005C57D0" w:rsidRDefault="00541187" w:rsidP="00541187">
            <w:pPr>
              <w:spacing w:after="200" w:line="276" w:lineRule="auto"/>
              <w:rPr>
                <w:rFonts w:ascii="Times New Roman" w:hAnsi="Times New Roman" w:cs="Times New Roman"/>
              </w:rPr>
            </w:pPr>
          </w:p>
        </w:tc>
        <w:tc>
          <w:tcPr>
            <w:tcW w:w="2938" w:type="dxa"/>
          </w:tcPr>
          <w:p w:rsidR="002A6419" w:rsidRPr="005C57D0" w:rsidRDefault="00541187" w:rsidP="00541187">
            <w:pPr>
              <w:spacing w:after="200" w:line="276" w:lineRule="auto"/>
              <w:rPr>
                <w:rFonts w:ascii="Times New Roman" w:hAnsi="Times New Roman" w:cs="Times New Roman"/>
              </w:rPr>
            </w:pPr>
            <w:r w:rsidRPr="005C57D0">
              <w:rPr>
                <w:rFonts w:ascii="Times New Roman" w:hAnsi="Times New Roman" w:cs="Times New Roman"/>
                <w:b/>
              </w:rPr>
              <w:t>$2,767</w:t>
            </w:r>
            <w:r w:rsidR="002A6419" w:rsidRPr="005C57D0">
              <w:rPr>
                <w:rStyle w:val="EndnoteReference"/>
                <w:rFonts w:ascii="Times New Roman" w:hAnsi="Times New Roman" w:cs="Times New Roman"/>
                <w:b/>
              </w:rPr>
              <w:endnoteReference w:id="8"/>
            </w:r>
          </w:p>
        </w:tc>
        <w:tc>
          <w:tcPr>
            <w:tcW w:w="2189" w:type="dxa"/>
          </w:tcPr>
          <w:p w:rsidR="002A6419" w:rsidRPr="005C57D0" w:rsidRDefault="00541187" w:rsidP="00AA453E">
            <w:pPr>
              <w:spacing w:after="200" w:line="276" w:lineRule="auto"/>
              <w:rPr>
                <w:rFonts w:ascii="Times New Roman" w:hAnsi="Times New Roman" w:cs="Times New Roman"/>
              </w:rPr>
            </w:pPr>
            <w:r w:rsidRPr="005C57D0">
              <w:rPr>
                <w:rFonts w:ascii="Times New Roman" w:hAnsi="Times New Roman" w:cs="Times New Roman"/>
                <w:b/>
              </w:rPr>
              <w:t>$</w:t>
            </w:r>
            <w:r w:rsidR="00AA453E">
              <w:rPr>
                <w:rFonts w:ascii="Times New Roman" w:hAnsi="Times New Roman" w:cs="Times New Roman"/>
                <w:b/>
              </w:rPr>
              <w:t>2,703</w:t>
            </w:r>
            <w:r w:rsidR="002A6419" w:rsidRPr="005C57D0">
              <w:rPr>
                <w:rStyle w:val="EndnoteReference"/>
                <w:rFonts w:ascii="Times New Roman" w:hAnsi="Times New Roman" w:cs="Times New Roman"/>
                <w:b/>
              </w:rPr>
              <w:endnoteReference w:id="9"/>
            </w:r>
          </w:p>
        </w:tc>
        <w:tc>
          <w:tcPr>
            <w:tcW w:w="2095" w:type="dxa"/>
          </w:tcPr>
          <w:p w:rsidR="00541187" w:rsidRPr="005C57D0" w:rsidRDefault="00541187" w:rsidP="00AA453E">
            <w:pPr>
              <w:spacing w:after="200" w:line="276" w:lineRule="auto"/>
              <w:rPr>
                <w:rFonts w:ascii="Times New Roman" w:hAnsi="Times New Roman" w:cs="Times New Roman"/>
              </w:rPr>
            </w:pPr>
            <w:r w:rsidRPr="005C57D0">
              <w:rPr>
                <w:rFonts w:ascii="Times New Roman" w:hAnsi="Times New Roman" w:cs="Times New Roman"/>
                <w:b/>
              </w:rPr>
              <w:t>A Reduction in Recurring Cost Over 2008: ($</w:t>
            </w:r>
            <w:r w:rsidR="00AA453E">
              <w:rPr>
                <w:rFonts w:ascii="Times New Roman" w:hAnsi="Times New Roman" w:cs="Times New Roman"/>
                <w:b/>
              </w:rPr>
              <w:t>845</w:t>
            </w:r>
            <w:r w:rsidRPr="005C57D0">
              <w:rPr>
                <w:rFonts w:ascii="Times New Roman" w:hAnsi="Times New Roman" w:cs="Times New Roman"/>
                <w:b/>
              </w:rPr>
              <w:t>) per establishment.</w:t>
            </w:r>
          </w:p>
        </w:tc>
      </w:tr>
    </w:tbl>
    <w:p w:rsidR="000723F2" w:rsidRDefault="000723F2"/>
    <w:sectPr w:rsidR="000723F2" w:rsidSect="00C94932">
      <w:headerReference w:type="default" r:id="rId8"/>
      <w:headerReference w:type="first" r:id="rId9"/>
      <w:endnotePr>
        <w:numFmt w:val="decimal"/>
      </w:endnotePr>
      <w:pgSz w:w="12240" w:h="15840"/>
      <w:pgMar w:top="1245"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06" w:rsidRDefault="00821206" w:rsidP="00270FC6">
      <w:pPr>
        <w:spacing w:after="0" w:line="240" w:lineRule="auto"/>
      </w:pPr>
      <w:r>
        <w:separator/>
      </w:r>
    </w:p>
  </w:endnote>
  <w:endnote w:type="continuationSeparator" w:id="0">
    <w:p w:rsidR="00821206" w:rsidRDefault="00821206" w:rsidP="00270FC6">
      <w:pPr>
        <w:spacing w:after="0" w:line="240" w:lineRule="auto"/>
      </w:pPr>
      <w:r>
        <w:continuationSeparator/>
      </w:r>
    </w:p>
  </w:endnote>
  <w:endnote w:id="1">
    <w:p w:rsidR="001D3F3C" w:rsidRDefault="001D3F3C" w:rsidP="00743EA5">
      <w:r w:rsidRPr="00743EA5">
        <w:rPr>
          <w:rFonts w:ascii="Times New Roman" w:hAnsi="Times New Roman" w:cs="Times New Roman"/>
          <w:sz w:val="24"/>
          <w:szCs w:val="24"/>
          <w:vertAlign w:val="superscript"/>
        </w:rPr>
        <w:endnoteRef/>
      </w:r>
      <w:r w:rsidRPr="00743EA5">
        <w:rPr>
          <w:rFonts w:ascii="Times New Roman" w:hAnsi="Times New Roman" w:cs="Times New Roman"/>
          <w:sz w:val="24"/>
          <w:szCs w:val="24"/>
        </w:rPr>
        <w:t xml:space="preserve"> Total cost includes AAP development, recordkeeping, reporting, and third party disclosure.  </w:t>
      </w:r>
    </w:p>
  </w:endnote>
  <w:endnote w:id="2">
    <w:p w:rsidR="002A6419" w:rsidRDefault="002A6419" w:rsidP="002A2291">
      <w:pPr>
        <w:spacing w:after="0" w:line="240" w:lineRule="auto"/>
        <w:rPr>
          <w:rFonts w:ascii="Times New Roman" w:hAnsi="Times New Roman" w:cs="Times New Roman"/>
          <w:sz w:val="24"/>
          <w:szCs w:val="24"/>
        </w:rPr>
      </w:pPr>
      <w:r w:rsidRPr="005C57D0">
        <w:rPr>
          <w:rStyle w:val="EndnoteReference"/>
          <w:rFonts w:ascii="Times New Roman" w:hAnsi="Times New Roman" w:cs="Times New Roman"/>
          <w:sz w:val="24"/>
          <w:szCs w:val="24"/>
        </w:rPr>
        <w:endnoteRef/>
      </w:r>
      <w:r w:rsidRPr="005C57D0">
        <w:rPr>
          <w:rFonts w:ascii="Times New Roman" w:hAnsi="Times New Roman" w:cs="Times New Roman"/>
          <w:sz w:val="24"/>
          <w:szCs w:val="24"/>
        </w:rPr>
        <w:t xml:space="preserve"> In the 2008 request contractors were required to provide annualized compensation data (wages, salaries, commissions, and bonuses) summarized by range, rate, grade, or level showing total number of employees by race and gender and total compensation by race and gender.  The proposed Scheduling Letter and Itemized Listing no longer require contractors to summarize and analyze their compensation data before submitting it for a compliance evaluation.  Thus decreasing the cost associated with the scheduling letter.  The decrease is $129.90 per contractor establishment, and includes a reduction of 3.36 labor hours per contractor establishment.  </w:t>
      </w:r>
    </w:p>
    <w:p w:rsidR="00C94932" w:rsidRPr="005C57D0" w:rsidRDefault="00C94932" w:rsidP="002A2291">
      <w:pPr>
        <w:spacing w:after="0" w:line="240" w:lineRule="auto"/>
        <w:rPr>
          <w:rFonts w:ascii="Times New Roman" w:hAnsi="Times New Roman" w:cs="Times New Roman"/>
          <w:sz w:val="24"/>
          <w:szCs w:val="24"/>
        </w:rPr>
      </w:pPr>
    </w:p>
  </w:endnote>
  <w:endnote w:id="3">
    <w:p w:rsidR="00904EF9" w:rsidRDefault="00904EF9" w:rsidP="00904EF9">
      <w:pPr>
        <w:spacing w:after="0" w:line="240" w:lineRule="auto"/>
        <w:rPr>
          <w:rFonts w:ascii="Times New Roman" w:hAnsi="Times New Roman" w:cs="Times New Roman"/>
          <w:sz w:val="24"/>
          <w:szCs w:val="24"/>
        </w:rPr>
      </w:pPr>
      <w:r w:rsidRPr="005C57D0">
        <w:rPr>
          <w:rStyle w:val="EndnoteReference"/>
          <w:rFonts w:ascii="Times New Roman" w:hAnsi="Times New Roman" w:cs="Times New Roman"/>
          <w:sz w:val="24"/>
          <w:szCs w:val="24"/>
        </w:rPr>
        <w:endnoteRef/>
      </w:r>
      <w:r w:rsidRPr="005C57D0">
        <w:rPr>
          <w:rFonts w:ascii="Times New Roman" w:hAnsi="Times New Roman" w:cs="Times New Roman"/>
          <w:sz w:val="24"/>
          <w:szCs w:val="24"/>
        </w:rPr>
        <w:t xml:space="preserve"> New items added for section 503 increased the cost by $61.08 per contractor establishment, including an increase of 1.58 labor hours per contractor establishment. This estimate includes section 503 and VEVRAA reasonable accommodation costs. </w:t>
      </w:r>
    </w:p>
    <w:p w:rsidR="00C94932" w:rsidRPr="005C57D0" w:rsidRDefault="00C94932" w:rsidP="00904EF9">
      <w:pPr>
        <w:spacing w:after="0" w:line="240" w:lineRule="auto"/>
        <w:rPr>
          <w:rFonts w:ascii="Times New Roman" w:hAnsi="Times New Roman" w:cs="Times New Roman"/>
          <w:sz w:val="24"/>
          <w:szCs w:val="24"/>
        </w:rPr>
      </w:pPr>
    </w:p>
  </w:endnote>
  <w:endnote w:id="4">
    <w:p w:rsidR="00904EF9" w:rsidRDefault="00904EF9" w:rsidP="00904EF9">
      <w:pPr>
        <w:pStyle w:val="EndnoteText"/>
        <w:rPr>
          <w:rFonts w:ascii="Times New Roman" w:hAnsi="Times New Roman" w:cs="Times New Roman"/>
          <w:sz w:val="24"/>
          <w:szCs w:val="24"/>
        </w:rPr>
      </w:pPr>
      <w:r w:rsidRPr="00584B81">
        <w:rPr>
          <w:rStyle w:val="EndnoteReference"/>
          <w:rFonts w:ascii="Times New Roman" w:hAnsi="Times New Roman" w:cs="Times New Roman"/>
          <w:sz w:val="24"/>
          <w:szCs w:val="24"/>
        </w:rPr>
        <w:endnoteRef/>
      </w:r>
      <w:r w:rsidRPr="005C57D0">
        <w:rPr>
          <w:rFonts w:ascii="Times New Roman" w:hAnsi="Times New Roman" w:cs="Times New Roman"/>
          <w:sz w:val="24"/>
          <w:szCs w:val="24"/>
        </w:rPr>
        <w:t xml:space="preserve"> New items added for VEVRAA increased the cost by $51.42 per contractor establishment, including an increase of 1.33 labor hours per contractor establishment.</w:t>
      </w:r>
    </w:p>
    <w:p w:rsidR="00C94932" w:rsidRPr="005C57D0" w:rsidRDefault="00C94932" w:rsidP="00904EF9">
      <w:pPr>
        <w:pStyle w:val="EndnoteText"/>
        <w:rPr>
          <w:rFonts w:ascii="Times New Roman" w:hAnsi="Times New Roman" w:cs="Times New Roman"/>
          <w:sz w:val="24"/>
          <w:szCs w:val="24"/>
        </w:rPr>
      </w:pPr>
    </w:p>
  </w:endnote>
  <w:endnote w:id="5">
    <w:p w:rsidR="002A6419" w:rsidRDefault="002A6419" w:rsidP="00541187">
      <w:pPr>
        <w:spacing w:after="0" w:line="240" w:lineRule="auto"/>
        <w:rPr>
          <w:rFonts w:ascii="Times New Roman" w:hAnsi="Times New Roman" w:cs="Times New Roman"/>
          <w:sz w:val="24"/>
          <w:szCs w:val="24"/>
        </w:rPr>
      </w:pPr>
      <w:r w:rsidRPr="005C57D0">
        <w:rPr>
          <w:rStyle w:val="EndnoteReference"/>
          <w:rFonts w:ascii="Times New Roman" w:hAnsi="Times New Roman" w:cs="Times New Roman"/>
          <w:sz w:val="24"/>
          <w:szCs w:val="24"/>
        </w:rPr>
        <w:endnoteRef/>
      </w:r>
      <w:r w:rsidRPr="005C57D0">
        <w:rPr>
          <w:rFonts w:ascii="Times New Roman" w:hAnsi="Times New Roman" w:cs="Times New Roman"/>
          <w:sz w:val="24"/>
          <w:szCs w:val="24"/>
        </w:rPr>
        <w:t xml:space="preserve"> Start-up cost is in addition to the estimated total recurring cost. The one-time start-up cost of $129,483,900 that OFCCP estimated in 2011 assumes that each establishment would modify its H</w:t>
      </w:r>
      <w:r w:rsidR="00005EA9">
        <w:rPr>
          <w:rFonts w:ascii="Times New Roman" w:hAnsi="Times New Roman" w:cs="Times New Roman"/>
          <w:sz w:val="24"/>
          <w:szCs w:val="24"/>
        </w:rPr>
        <w:t xml:space="preserve">uman </w:t>
      </w:r>
      <w:r w:rsidRPr="005C57D0">
        <w:rPr>
          <w:rFonts w:ascii="Times New Roman" w:hAnsi="Times New Roman" w:cs="Times New Roman"/>
          <w:sz w:val="24"/>
          <w:szCs w:val="24"/>
        </w:rPr>
        <w:t>R</w:t>
      </w:r>
      <w:r w:rsidR="00005EA9">
        <w:rPr>
          <w:rFonts w:ascii="Times New Roman" w:hAnsi="Times New Roman" w:cs="Times New Roman"/>
          <w:sz w:val="24"/>
          <w:szCs w:val="24"/>
        </w:rPr>
        <w:t xml:space="preserve">esources </w:t>
      </w:r>
      <w:r w:rsidRPr="005C57D0">
        <w:rPr>
          <w:rFonts w:ascii="Times New Roman" w:hAnsi="Times New Roman" w:cs="Times New Roman"/>
          <w:sz w:val="24"/>
          <w:szCs w:val="24"/>
        </w:rPr>
        <w:t>I</w:t>
      </w:r>
      <w:r w:rsidR="00005EA9">
        <w:rPr>
          <w:rFonts w:ascii="Times New Roman" w:hAnsi="Times New Roman" w:cs="Times New Roman"/>
          <w:sz w:val="24"/>
          <w:szCs w:val="24"/>
        </w:rPr>
        <w:t xml:space="preserve">nformation </w:t>
      </w:r>
      <w:r w:rsidRPr="005C57D0">
        <w:rPr>
          <w:rFonts w:ascii="Times New Roman" w:hAnsi="Times New Roman" w:cs="Times New Roman"/>
          <w:sz w:val="24"/>
          <w:szCs w:val="24"/>
        </w:rPr>
        <w:t>S</w:t>
      </w:r>
      <w:r w:rsidR="00005EA9">
        <w:rPr>
          <w:rFonts w:ascii="Times New Roman" w:hAnsi="Times New Roman" w:cs="Times New Roman"/>
          <w:sz w:val="24"/>
          <w:szCs w:val="24"/>
        </w:rPr>
        <w:t>ystems (HRIS)</w:t>
      </w:r>
      <w:r w:rsidRPr="005C57D0">
        <w:rPr>
          <w:rFonts w:ascii="Times New Roman" w:hAnsi="Times New Roman" w:cs="Times New Roman"/>
          <w:sz w:val="24"/>
          <w:szCs w:val="24"/>
        </w:rPr>
        <w:t xml:space="preserve">; this resulted in an overestimation of the cost.   OFCCP </w:t>
      </w:r>
      <w:r w:rsidR="00005EA9">
        <w:rPr>
          <w:rFonts w:ascii="Times New Roman" w:hAnsi="Times New Roman" w:cs="Times New Roman"/>
          <w:sz w:val="24"/>
          <w:szCs w:val="24"/>
        </w:rPr>
        <w:t xml:space="preserve">is now aware </w:t>
      </w:r>
      <w:r w:rsidRPr="005C57D0">
        <w:rPr>
          <w:rFonts w:ascii="Times New Roman" w:hAnsi="Times New Roman" w:cs="Times New Roman"/>
          <w:sz w:val="24"/>
          <w:szCs w:val="24"/>
        </w:rPr>
        <w:t>that parent companies are typically responsible for making these IT systems adjustments</w:t>
      </w:r>
      <w:r w:rsidR="00DF20AA">
        <w:rPr>
          <w:rFonts w:ascii="Times New Roman" w:hAnsi="Times New Roman" w:cs="Times New Roman"/>
          <w:sz w:val="24"/>
          <w:szCs w:val="24"/>
        </w:rPr>
        <w:t>.</w:t>
      </w:r>
      <w:r w:rsidRPr="005C57D0">
        <w:rPr>
          <w:rFonts w:ascii="Times New Roman" w:hAnsi="Times New Roman" w:cs="Times New Roman"/>
          <w:sz w:val="24"/>
          <w:szCs w:val="24"/>
        </w:rPr>
        <w:t xml:space="preserve"> </w:t>
      </w:r>
      <w:r w:rsidR="00DF20AA">
        <w:rPr>
          <w:rFonts w:ascii="Times New Roman" w:hAnsi="Times New Roman" w:cs="Times New Roman"/>
          <w:sz w:val="24"/>
          <w:szCs w:val="24"/>
        </w:rPr>
        <w:t>U</w:t>
      </w:r>
      <w:r w:rsidRPr="005C57D0">
        <w:rPr>
          <w:rFonts w:ascii="Times New Roman" w:hAnsi="Times New Roman" w:cs="Times New Roman"/>
          <w:sz w:val="24"/>
          <w:szCs w:val="24"/>
        </w:rPr>
        <w:t xml:space="preserve">nder this </w:t>
      </w:r>
      <w:r w:rsidR="006B5EB1" w:rsidRPr="005C57D0">
        <w:rPr>
          <w:rFonts w:ascii="Times New Roman" w:hAnsi="Times New Roman" w:cs="Times New Roman"/>
          <w:sz w:val="24"/>
          <w:szCs w:val="24"/>
        </w:rPr>
        <w:t>approach;</w:t>
      </w:r>
      <w:r w:rsidRPr="005C57D0">
        <w:rPr>
          <w:rFonts w:ascii="Times New Roman" w:hAnsi="Times New Roman" w:cs="Times New Roman"/>
          <w:sz w:val="24"/>
          <w:szCs w:val="24"/>
        </w:rPr>
        <w:t xml:space="preserve"> the start-up cost </w:t>
      </w:r>
      <w:r w:rsidR="00005EA9">
        <w:rPr>
          <w:rFonts w:ascii="Times New Roman" w:hAnsi="Times New Roman" w:cs="Times New Roman"/>
          <w:sz w:val="24"/>
          <w:szCs w:val="24"/>
        </w:rPr>
        <w:t xml:space="preserve">decreased </w:t>
      </w:r>
      <w:r w:rsidRPr="005C57D0">
        <w:rPr>
          <w:rFonts w:ascii="Times New Roman" w:hAnsi="Times New Roman" w:cs="Times New Roman"/>
          <w:sz w:val="24"/>
          <w:szCs w:val="24"/>
        </w:rPr>
        <w:t xml:space="preserve">to $34,980,836.  </w:t>
      </w:r>
    </w:p>
    <w:p w:rsidR="00C94932" w:rsidRPr="005C57D0" w:rsidRDefault="00C94932" w:rsidP="00541187">
      <w:pPr>
        <w:spacing w:after="0" w:line="240" w:lineRule="auto"/>
        <w:rPr>
          <w:rFonts w:ascii="Times New Roman" w:hAnsi="Times New Roman" w:cs="Times New Roman"/>
          <w:sz w:val="24"/>
          <w:szCs w:val="24"/>
        </w:rPr>
      </w:pPr>
    </w:p>
  </w:endnote>
  <w:endnote w:id="6">
    <w:p w:rsidR="00584B81" w:rsidRDefault="00584B81">
      <w:pPr>
        <w:pStyle w:val="EndnoteText"/>
        <w:rPr>
          <w:rFonts w:ascii="Times New Roman" w:hAnsi="Times New Roman" w:cs="Times New Roman"/>
          <w:sz w:val="24"/>
          <w:szCs w:val="24"/>
        </w:rPr>
      </w:pPr>
      <w:r w:rsidRPr="00A50752">
        <w:rPr>
          <w:rStyle w:val="EndnoteReference"/>
          <w:rFonts w:ascii="Times New Roman" w:hAnsi="Times New Roman" w:cs="Times New Roman"/>
          <w:sz w:val="24"/>
          <w:szCs w:val="24"/>
        </w:rPr>
        <w:endnoteRef/>
      </w:r>
      <w:r w:rsidRPr="00A50752">
        <w:rPr>
          <w:rFonts w:ascii="Times New Roman" w:hAnsi="Times New Roman" w:cs="Times New Roman"/>
        </w:rPr>
        <w:t xml:space="preserve"> </w:t>
      </w:r>
      <w:r w:rsidRPr="00A50752">
        <w:rPr>
          <w:rFonts w:ascii="Times New Roman" w:hAnsi="Times New Roman" w:cs="Times New Roman"/>
          <w:sz w:val="24"/>
          <w:szCs w:val="24"/>
        </w:rPr>
        <w:t xml:space="preserve">OFCCP has modified its proposed 2011 Itemized Listing to allow contractors to submit their employment activity data by job group or job title, as they currently do.  Therefore there </w:t>
      </w:r>
      <w:r w:rsidR="00005EA9">
        <w:rPr>
          <w:rFonts w:ascii="Times New Roman" w:hAnsi="Times New Roman" w:cs="Times New Roman"/>
          <w:sz w:val="24"/>
          <w:szCs w:val="24"/>
        </w:rPr>
        <w:t>are</w:t>
      </w:r>
      <w:r w:rsidRPr="00A50752">
        <w:rPr>
          <w:rFonts w:ascii="Times New Roman" w:hAnsi="Times New Roman" w:cs="Times New Roman"/>
          <w:sz w:val="24"/>
          <w:szCs w:val="24"/>
        </w:rPr>
        <w:t xml:space="preserve"> no additional start-up costs associated with the ICR.</w:t>
      </w:r>
    </w:p>
    <w:p w:rsidR="00C94932" w:rsidRDefault="00C94932">
      <w:pPr>
        <w:pStyle w:val="EndnoteText"/>
      </w:pPr>
    </w:p>
  </w:endnote>
  <w:endnote w:id="7">
    <w:p w:rsidR="002A6419" w:rsidRDefault="002A6419" w:rsidP="00541187">
      <w:pPr>
        <w:pStyle w:val="EndnoteText"/>
        <w:rPr>
          <w:rFonts w:ascii="Times New Roman" w:hAnsi="Times New Roman" w:cs="Times New Roman"/>
          <w:sz w:val="24"/>
          <w:szCs w:val="24"/>
        </w:rPr>
      </w:pPr>
      <w:r w:rsidRPr="005C57D0">
        <w:rPr>
          <w:rStyle w:val="EndnoteReference"/>
          <w:rFonts w:ascii="Times New Roman" w:hAnsi="Times New Roman" w:cs="Times New Roman"/>
          <w:sz w:val="24"/>
          <w:szCs w:val="24"/>
        </w:rPr>
        <w:endnoteRef/>
      </w:r>
      <w:r w:rsidRPr="005C57D0">
        <w:rPr>
          <w:rFonts w:ascii="Times New Roman" w:hAnsi="Times New Roman" w:cs="Times New Roman"/>
          <w:sz w:val="24"/>
          <w:szCs w:val="24"/>
        </w:rPr>
        <w:t xml:space="preserve"> This includes the annual maintenance and operation cost of $1.21 per contractor establishment.</w:t>
      </w:r>
    </w:p>
    <w:p w:rsidR="00C94932" w:rsidRPr="005C57D0" w:rsidRDefault="00C94932" w:rsidP="00541187">
      <w:pPr>
        <w:pStyle w:val="EndnoteText"/>
        <w:rPr>
          <w:rFonts w:ascii="Times New Roman" w:hAnsi="Times New Roman" w:cs="Times New Roman"/>
          <w:sz w:val="24"/>
          <w:szCs w:val="24"/>
        </w:rPr>
      </w:pPr>
    </w:p>
  </w:endnote>
  <w:endnote w:id="8">
    <w:p w:rsidR="002A6419" w:rsidRDefault="002A6419" w:rsidP="00541187">
      <w:pPr>
        <w:pStyle w:val="EndnoteText"/>
        <w:rPr>
          <w:rFonts w:ascii="Times New Roman" w:hAnsi="Times New Roman" w:cs="Times New Roman"/>
          <w:sz w:val="24"/>
          <w:szCs w:val="24"/>
        </w:rPr>
      </w:pPr>
      <w:r w:rsidRPr="005C57D0">
        <w:rPr>
          <w:rStyle w:val="EndnoteReference"/>
          <w:rFonts w:ascii="Times New Roman" w:hAnsi="Times New Roman" w:cs="Times New Roman"/>
          <w:sz w:val="24"/>
          <w:szCs w:val="24"/>
        </w:rPr>
        <w:endnoteRef/>
      </w:r>
      <w:r w:rsidRPr="005C57D0">
        <w:rPr>
          <w:rFonts w:ascii="Times New Roman" w:hAnsi="Times New Roman" w:cs="Times New Roman"/>
          <w:sz w:val="24"/>
          <w:szCs w:val="24"/>
        </w:rPr>
        <w:t xml:space="preserve"> This includes the annual maintenance and operation cost of $1.05 per contractor establishment.</w:t>
      </w:r>
    </w:p>
    <w:p w:rsidR="00C94932" w:rsidRPr="005C57D0" w:rsidRDefault="00C94932" w:rsidP="00541187">
      <w:pPr>
        <w:pStyle w:val="EndnoteText"/>
        <w:rPr>
          <w:rFonts w:ascii="Times New Roman" w:hAnsi="Times New Roman" w:cs="Times New Roman"/>
          <w:sz w:val="24"/>
          <w:szCs w:val="24"/>
        </w:rPr>
      </w:pPr>
    </w:p>
  </w:endnote>
  <w:endnote w:id="9">
    <w:p w:rsidR="002A6419" w:rsidRPr="005C57D0" w:rsidRDefault="002A6419" w:rsidP="00541187">
      <w:pPr>
        <w:pStyle w:val="EndnoteText"/>
        <w:rPr>
          <w:rFonts w:ascii="Times New Roman" w:hAnsi="Times New Roman" w:cs="Times New Roman"/>
        </w:rPr>
      </w:pPr>
      <w:r w:rsidRPr="005C57D0">
        <w:rPr>
          <w:rStyle w:val="EndnoteReference"/>
          <w:rFonts w:ascii="Times New Roman" w:hAnsi="Times New Roman" w:cs="Times New Roman"/>
          <w:sz w:val="24"/>
          <w:szCs w:val="24"/>
        </w:rPr>
        <w:endnoteRef/>
      </w:r>
      <w:r w:rsidRPr="005C57D0">
        <w:rPr>
          <w:rFonts w:ascii="Times New Roman" w:hAnsi="Times New Roman" w:cs="Times New Roman"/>
          <w:sz w:val="24"/>
          <w:szCs w:val="24"/>
        </w:rPr>
        <w:t xml:space="preserve"> This includes the annual maintenance and operation cost of $</w:t>
      </w:r>
      <w:r w:rsidR="00AA453E">
        <w:rPr>
          <w:rFonts w:ascii="Times New Roman" w:hAnsi="Times New Roman" w:cs="Times New Roman"/>
          <w:sz w:val="24"/>
          <w:szCs w:val="24"/>
        </w:rPr>
        <w:t>1.10</w:t>
      </w:r>
      <w:r w:rsidR="002349FB" w:rsidRPr="005C57D0">
        <w:rPr>
          <w:rFonts w:ascii="Times New Roman" w:hAnsi="Times New Roman" w:cs="Times New Roman"/>
          <w:sz w:val="24"/>
          <w:szCs w:val="24"/>
        </w:rPr>
        <w:t xml:space="preserve"> </w:t>
      </w:r>
      <w:r w:rsidRPr="005C57D0">
        <w:rPr>
          <w:rFonts w:ascii="Times New Roman" w:hAnsi="Times New Roman" w:cs="Times New Roman"/>
          <w:sz w:val="24"/>
          <w:szCs w:val="24"/>
        </w:rPr>
        <w:t>per contractor establishment.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06" w:rsidRDefault="00821206" w:rsidP="00270FC6">
      <w:pPr>
        <w:spacing w:after="0" w:line="240" w:lineRule="auto"/>
      </w:pPr>
      <w:r>
        <w:separator/>
      </w:r>
    </w:p>
  </w:footnote>
  <w:footnote w:type="continuationSeparator" w:id="0">
    <w:p w:rsidR="00821206" w:rsidRDefault="00821206" w:rsidP="00270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87" w:rsidRDefault="006B5EB1" w:rsidP="005C57D0">
    <w:pPr>
      <w:pStyle w:val="Header"/>
      <w:jc w:val="center"/>
      <w:rPr>
        <w:rFonts w:ascii="Times New Roman" w:hAnsi="Times New Roman" w:cs="Times New Roman"/>
        <w:sz w:val="28"/>
        <w:szCs w:val="28"/>
      </w:rPr>
    </w:pPr>
    <w:r>
      <w:rPr>
        <w:rFonts w:ascii="Times New Roman" w:hAnsi="Times New Roman" w:cs="Times New Roman"/>
        <w:sz w:val="28"/>
        <w:szCs w:val="28"/>
      </w:rPr>
      <w:t>End Notes</w:t>
    </w:r>
  </w:p>
  <w:p w:rsidR="006B5EB1" w:rsidRPr="005C57D0" w:rsidRDefault="006B5EB1" w:rsidP="005C57D0">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B1" w:rsidRPr="003F6CCB" w:rsidRDefault="006B5EB1" w:rsidP="006B5EB1">
    <w:pPr>
      <w:jc w:val="center"/>
      <w:rPr>
        <w:rFonts w:ascii="Times New Roman" w:hAnsi="Times New Roman" w:cs="Times New Roman"/>
        <w:sz w:val="28"/>
        <w:szCs w:val="28"/>
      </w:rPr>
    </w:pPr>
    <w:r w:rsidRPr="003F6CCB">
      <w:rPr>
        <w:rFonts w:ascii="Times New Roman" w:hAnsi="Times New Roman" w:cs="Times New Roman"/>
        <w:sz w:val="28"/>
        <w:szCs w:val="28"/>
      </w:rPr>
      <w:t>Scheduling Letter</w:t>
    </w:r>
    <w:r w:rsidR="00904EF9">
      <w:rPr>
        <w:rFonts w:ascii="Times New Roman" w:hAnsi="Times New Roman" w:cs="Times New Roman"/>
        <w:sz w:val="28"/>
        <w:szCs w:val="28"/>
      </w:rPr>
      <w:t xml:space="preserve"> Cost Comparison </w:t>
    </w:r>
  </w:p>
  <w:p w:rsidR="006B5EB1" w:rsidRDefault="006B5EB1" w:rsidP="005C57D0">
    <w:pPr>
      <w:pStyle w:val="Header"/>
      <w:jc w:val="center"/>
      <w:rPr>
        <w:rFonts w:ascii="Times New Roman" w:hAnsi="Times New Roman" w:cs="Times New Roman"/>
        <w:sz w:val="28"/>
        <w:szCs w:val="28"/>
      </w:rPr>
    </w:pPr>
    <w:r w:rsidRPr="00904EF9">
      <w:rPr>
        <w:rFonts w:ascii="Times New Roman" w:hAnsi="Times New Roman" w:cs="Times New Roman"/>
      </w:rPr>
      <w:t xml:space="preserve">rev. </w:t>
    </w:r>
    <w:r w:rsidR="00904EF9">
      <w:rPr>
        <w:rFonts w:ascii="Times New Roman" w:hAnsi="Times New Roman" w:cs="Times New Roman"/>
      </w:rPr>
      <w:t>(</w:t>
    </w:r>
    <w:r w:rsidR="00480478" w:rsidRPr="00904EF9">
      <w:rPr>
        <w:rFonts w:ascii="Times New Roman" w:hAnsi="Times New Roman" w:cs="Times New Roman"/>
      </w:rPr>
      <w:t>5.</w:t>
    </w:r>
    <w:r w:rsidR="00AA453E">
      <w:rPr>
        <w:rFonts w:ascii="Times New Roman" w:hAnsi="Times New Roman" w:cs="Times New Roman"/>
      </w:rPr>
      <w:t>14</w:t>
    </w:r>
    <w:r w:rsidRPr="00904EF9">
      <w:rPr>
        <w:rFonts w:ascii="Times New Roman" w:hAnsi="Times New Roman" w:cs="Times New Roman"/>
      </w:rPr>
      <w:t>.2014)</w:t>
    </w:r>
  </w:p>
  <w:p w:rsidR="006B5EB1" w:rsidRDefault="006B5EB1" w:rsidP="005C57D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E7"/>
    <w:rsid w:val="00005EA9"/>
    <w:rsid w:val="000324F7"/>
    <w:rsid w:val="00035B89"/>
    <w:rsid w:val="00046553"/>
    <w:rsid w:val="000723F2"/>
    <w:rsid w:val="0008532B"/>
    <w:rsid w:val="000D3175"/>
    <w:rsid w:val="001060F3"/>
    <w:rsid w:val="00115859"/>
    <w:rsid w:val="00115A65"/>
    <w:rsid w:val="0013255E"/>
    <w:rsid w:val="00133094"/>
    <w:rsid w:val="00140C96"/>
    <w:rsid w:val="00151CC0"/>
    <w:rsid w:val="0015640E"/>
    <w:rsid w:val="0018201B"/>
    <w:rsid w:val="001824ED"/>
    <w:rsid w:val="00190AC8"/>
    <w:rsid w:val="001C08D5"/>
    <w:rsid w:val="001C4DC8"/>
    <w:rsid w:val="001D3F3C"/>
    <w:rsid w:val="001F6C5F"/>
    <w:rsid w:val="002349FB"/>
    <w:rsid w:val="00253F9B"/>
    <w:rsid w:val="00257265"/>
    <w:rsid w:val="00257841"/>
    <w:rsid w:val="00262B98"/>
    <w:rsid w:val="00262D60"/>
    <w:rsid w:val="00265C52"/>
    <w:rsid w:val="00270FC6"/>
    <w:rsid w:val="002741FB"/>
    <w:rsid w:val="00275730"/>
    <w:rsid w:val="00284BD6"/>
    <w:rsid w:val="002A2291"/>
    <w:rsid w:val="002A6419"/>
    <w:rsid w:val="002B0C0F"/>
    <w:rsid w:val="0030048A"/>
    <w:rsid w:val="00303D8A"/>
    <w:rsid w:val="0032227F"/>
    <w:rsid w:val="003412B6"/>
    <w:rsid w:val="0035352B"/>
    <w:rsid w:val="00371598"/>
    <w:rsid w:val="003F0CE6"/>
    <w:rsid w:val="0040435B"/>
    <w:rsid w:val="00406F69"/>
    <w:rsid w:val="00464EA5"/>
    <w:rsid w:val="004778A8"/>
    <w:rsid w:val="00480478"/>
    <w:rsid w:val="004C7202"/>
    <w:rsid w:val="004F1AE6"/>
    <w:rsid w:val="004F2A4D"/>
    <w:rsid w:val="00506479"/>
    <w:rsid w:val="005143A2"/>
    <w:rsid w:val="00541187"/>
    <w:rsid w:val="005608BE"/>
    <w:rsid w:val="00564E23"/>
    <w:rsid w:val="00584B81"/>
    <w:rsid w:val="00596758"/>
    <w:rsid w:val="005C57D0"/>
    <w:rsid w:val="005C6D0A"/>
    <w:rsid w:val="00611C6C"/>
    <w:rsid w:val="00622E34"/>
    <w:rsid w:val="00634952"/>
    <w:rsid w:val="00634EF6"/>
    <w:rsid w:val="00645A26"/>
    <w:rsid w:val="00646851"/>
    <w:rsid w:val="006545B7"/>
    <w:rsid w:val="006569FC"/>
    <w:rsid w:val="006708A4"/>
    <w:rsid w:val="00682AA6"/>
    <w:rsid w:val="00697B16"/>
    <w:rsid w:val="006B0EC9"/>
    <w:rsid w:val="006B54B8"/>
    <w:rsid w:val="006B5EB1"/>
    <w:rsid w:val="006D097B"/>
    <w:rsid w:val="006E530A"/>
    <w:rsid w:val="00716EEC"/>
    <w:rsid w:val="00726B59"/>
    <w:rsid w:val="00743EA5"/>
    <w:rsid w:val="00745D3B"/>
    <w:rsid w:val="007642B9"/>
    <w:rsid w:val="00796997"/>
    <w:rsid w:val="007C45AB"/>
    <w:rsid w:val="007F1CD3"/>
    <w:rsid w:val="00810D37"/>
    <w:rsid w:val="00821206"/>
    <w:rsid w:val="0086190F"/>
    <w:rsid w:val="00872001"/>
    <w:rsid w:val="008839DD"/>
    <w:rsid w:val="008863B2"/>
    <w:rsid w:val="00895EB2"/>
    <w:rsid w:val="008C7919"/>
    <w:rsid w:val="008D148F"/>
    <w:rsid w:val="008F665A"/>
    <w:rsid w:val="008F7BA9"/>
    <w:rsid w:val="00904EF9"/>
    <w:rsid w:val="00941CDE"/>
    <w:rsid w:val="00974411"/>
    <w:rsid w:val="0097778A"/>
    <w:rsid w:val="009802AF"/>
    <w:rsid w:val="00981E81"/>
    <w:rsid w:val="009B3837"/>
    <w:rsid w:val="009C78E8"/>
    <w:rsid w:val="009F5F1E"/>
    <w:rsid w:val="00A21323"/>
    <w:rsid w:val="00A4687F"/>
    <w:rsid w:val="00A47A91"/>
    <w:rsid w:val="00A50752"/>
    <w:rsid w:val="00A52B62"/>
    <w:rsid w:val="00A572F0"/>
    <w:rsid w:val="00A77B86"/>
    <w:rsid w:val="00A820DC"/>
    <w:rsid w:val="00A96193"/>
    <w:rsid w:val="00AA453E"/>
    <w:rsid w:val="00AD53D3"/>
    <w:rsid w:val="00AD7817"/>
    <w:rsid w:val="00AE3D6C"/>
    <w:rsid w:val="00B47626"/>
    <w:rsid w:val="00B66976"/>
    <w:rsid w:val="00BA5AD7"/>
    <w:rsid w:val="00BD01D3"/>
    <w:rsid w:val="00C11B4D"/>
    <w:rsid w:val="00C325AA"/>
    <w:rsid w:val="00C37855"/>
    <w:rsid w:val="00C45022"/>
    <w:rsid w:val="00C94932"/>
    <w:rsid w:val="00CD26B5"/>
    <w:rsid w:val="00CE541F"/>
    <w:rsid w:val="00D11424"/>
    <w:rsid w:val="00D141B5"/>
    <w:rsid w:val="00D23159"/>
    <w:rsid w:val="00D31670"/>
    <w:rsid w:val="00D321E8"/>
    <w:rsid w:val="00D34D8E"/>
    <w:rsid w:val="00D401F2"/>
    <w:rsid w:val="00D504E0"/>
    <w:rsid w:val="00D606CA"/>
    <w:rsid w:val="00D724D5"/>
    <w:rsid w:val="00D90C8D"/>
    <w:rsid w:val="00DA733D"/>
    <w:rsid w:val="00DA7BE9"/>
    <w:rsid w:val="00DB5E7E"/>
    <w:rsid w:val="00DC1CE7"/>
    <w:rsid w:val="00DE7896"/>
    <w:rsid w:val="00DF20AA"/>
    <w:rsid w:val="00E01FBD"/>
    <w:rsid w:val="00E02E86"/>
    <w:rsid w:val="00E404EE"/>
    <w:rsid w:val="00E437D4"/>
    <w:rsid w:val="00E6026E"/>
    <w:rsid w:val="00E62357"/>
    <w:rsid w:val="00E64331"/>
    <w:rsid w:val="00EC1EE9"/>
    <w:rsid w:val="00ED4CF7"/>
    <w:rsid w:val="00ED7FC0"/>
    <w:rsid w:val="00EF1EC1"/>
    <w:rsid w:val="00F70347"/>
    <w:rsid w:val="00F81553"/>
    <w:rsid w:val="00FA2ECC"/>
    <w:rsid w:val="00FC2C0F"/>
    <w:rsid w:val="00FD6B14"/>
    <w:rsid w:val="00FD6E0C"/>
    <w:rsid w:val="00FF1521"/>
    <w:rsid w:val="00FF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1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1670"/>
    <w:pPr>
      <w:ind w:left="720"/>
      <w:contextualSpacing/>
    </w:pPr>
  </w:style>
  <w:style w:type="paragraph" w:styleId="FootnoteText">
    <w:name w:val="footnote text"/>
    <w:basedOn w:val="Normal"/>
    <w:link w:val="FootnoteTextChar"/>
    <w:uiPriority w:val="99"/>
    <w:semiHidden/>
    <w:unhideWhenUsed/>
    <w:rsid w:val="00270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FC6"/>
    <w:rPr>
      <w:sz w:val="20"/>
      <w:szCs w:val="20"/>
    </w:rPr>
  </w:style>
  <w:style w:type="character" w:styleId="FootnoteReference">
    <w:name w:val="footnote reference"/>
    <w:basedOn w:val="DefaultParagraphFont"/>
    <w:uiPriority w:val="99"/>
    <w:semiHidden/>
    <w:unhideWhenUsed/>
    <w:rsid w:val="00270FC6"/>
    <w:rPr>
      <w:vertAlign w:val="superscript"/>
    </w:rPr>
  </w:style>
  <w:style w:type="paragraph" w:styleId="BalloonText">
    <w:name w:val="Balloon Text"/>
    <w:basedOn w:val="Normal"/>
    <w:link w:val="BalloonTextChar"/>
    <w:uiPriority w:val="99"/>
    <w:semiHidden/>
    <w:unhideWhenUsed/>
    <w:rsid w:val="000D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175"/>
    <w:rPr>
      <w:rFonts w:ascii="Tahoma" w:hAnsi="Tahoma" w:cs="Tahoma"/>
      <w:sz w:val="16"/>
      <w:szCs w:val="16"/>
    </w:rPr>
  </w:style>
  <w:style w:type="character" w:styleId="CommentReference">
    <w:name w:val="annotation reference"/>
    <w:basedOn w:val="DefaultParagraphFont"/>
    <w:uiPriority w:val="99"/>
    <w:semiHidden/>
    <w:unhideWhenUsed/>
    <w:rsid w:val="00CD26B5"/>
    <w:rPr>
      <w:sz w:val="16"/>
      <w:szCs w:val="16"/>
    </w:rPr>
  </w:style>
  <w:style w:type="paragraph" w:styleId="CommentText">
    <w:name w:val="annotation text"/>
    <w:basedOn w:val="Normal"/>
    <w:link w:val="CommentTextChar"/>
    <w:uiPriority w:val="99"/>
    <w:semiHidden/>
    <w:unhideWhenUsed/>
    <w:rsid w:val="00CD26B5"/>
    <w:pPr>
      <w:spacing w:line="240" w:lineRule="auto"/>
    </w:pPr>
    <w:rPr>
      <w:sz w:val="20"/>
      <w:szCs w:val="20"/>
    </w:rPr>
  </w:style>
  <w:style w:type="character" w:customStyle="1" w:styleId="CommentTextChar">
    <w:name w:val="Comment Text Char"/>
    <w:basedOn w:val="DefaultParagraphFont"/>
    <w:link w:val="CommentText"/>
    <w:uiPriority w:val="99"/>
    <w:semiHidden/>
    <w:rsid w:val="00CD26B5"/>
    <w:rPr>
      <w:sz w:val="20"/>
      <w:szCs w:val="20"/>
    </w:rPr>
  </w:style>
  <w:style w:type="paragraph" w:styleId="CommentSubject">
    <w:name w:val="annotation subject"/>
    <w:basedOn w:val="CommentText"/>
    <w:next w:val="CommentText"/>
    <w:link w:val="CommentSubjectChar"/>
    <w:uiPriority w:val="99"/>
    <w:semiHidden/>
    <w:unhideWhenUsed/>
    <w:rsid w:val="00CD26B5"/>
    <w:rPr>
      <w:b/>
      <w:bCs/>
    </w:rPr>
  </w:style>
  <w:style w:type="character" w:customStyle="1" w:styleId="CommentSubjectChar">
    <w:name w:val="Comment Subject Char"/>
    <w:basedOn w:val="CommentTextChar"/>
    <w:link w:val="CommentSubject"/>
    <w:uiPriority w:val="99"/>
    <w:semiHidden/>
    <w:rsid w:val="00CD26B5"/>
    <w:rPr>
      <w:b/>
      <w:bCs/>
      <w:sz w:val="20"/>
      <w:szCs w:val="20"/>
    </w:rPr>
  </w:style>
  <w:style w:type="paragraph" w:styleId="Revision">
    <w:name w:val="Revision"/>
    <w:hidden/>
    <w:uiPriority w:val="99"/>
    <w:semiHidden/>
    <w:rsid w:val="00DE7896"/>
    <w:pPr>
      <w:spacing w:after="0" w:line="240" w:lineRule="auto"/>
    </w:pPr>
  </w:style>
  <w:style w:type="paragraph" w:styleId="Header">
    <w:name w:val="header"/>
    <w:basedOn w:val="Normal"/>
    <w:link w:val="HeaderChar"/>
    <w:uiPriority w:val="99"/>
    <w:unhideWhenUsed/>
    <w:rsid w:val="0054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187"/>
  </w:style>
  <w:style w:type="paragraph" w:styleId="Footer">
    <w:name w:val="footer"/>
    <w:basedOn w:val="Normal"/>
    <w:link w:val="FooterChar"/>
    <w:uiPriority w:val="99"/>
    <w:unhideWhenUsed/>
    <w:rsid w:val="00541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187"/>
  </w:style>
  <w:style w:type="paragraph" w:styleId="EndnoteText">
    <w:name w:val="endnote text"/>
    <w:basedOn w:val="Normal"/>
    <w:link w:val="EndnoteTextChar"/>
    <w:uiPriority w:val="99"/>
    <w:semiHidden/>
    <w:unhideWhenUsed/>
    <w:rsid w:val="002A64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6419"/>
    <w:rPr>
      <w:sz w:val="20"/>
      <w:szCs w:val="20"/>
    </w:rPr>
  </w:style>
  <w:style w:type="character" w:styleId="EndnoteReference">
    <w:name w:val="endnote reference"/>
    <w:basedOn w:val="DefaultParagraphFont"/>
    <w:uiPriority w:val="99"/>
    <w:semiHidden/>
    <w:unhideWhenUsed/>
    <w:rsid w:val="002A64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1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1670"/>
    <w:pPr>
      <w:ind w:left="720"/>
      <w:contextualSpacing/>
    </w:pPr>
  </w:style>
  <w:style w:type="paragraph" w:styleId="FootnoteText">
    <w:name w:val="footnote text"/>
    <w:basedOn w:val="Normal"/>
    <w:link w:val="FootnoteTextChar"/>
    <w:uiPriority w:val="99"/>
    <w:semiHidden/>
    <w:unhideWhenUsed/>
    <w:rsid w:val="00270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FC6"/>
    <w:rPr>
      <w:sz w:val="20"/>
      <w:szCs w:val="20"/>
    </w:rPr>
  </w:style>
  <w:style w:type="character" w:styleId="FootnoteReference">
    <w:name w:val="footnote reference"/>
    <w:basedOn w:val="DefaultParagraphFont"/>
    <w:uiPriority w:val="99"/>
    <w:semiHidden/>
    <w:unhideWhenUsed/>
    <w:rsid w:val="00270FC6"/>
    <w:rPr>
      <w:vertAlign w:val="superscript"/>
    </w:rPr>
  </w:style>
  <w:style w:type="paragraph" w:styleId="BalloonText">
    <w:name w:val="Balloon Text"/>
    <w:basedOn w:val="Normal"/>
    <w:link w:val="BalloonTextChar"/>
    <w:uiPriority w:val="99"/>
    <w:semiHidden/>
    <w:unhideWhenUsed/>
    <w:rsid w:val="000D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175"/>
    <w:rPr>
      <w:rFonts w:ascii="Tahoma" w:hAnsi="Tahoma" w:cs="Tahoma"/>
      <w:sz w:val="16"/>
      <w:szCs w:val="16"/>
    </w:rPr>
  </w:style>
  <w:style w:type="character" w:styleId="CommentReference">
    <w:name w:val="annotation reference"/>
    <w:basedOn w:val="DefaultParagraphFont"/>
    <w:uiPriority w:val="99"/>
    <w:semiHidden/>
    <w:unhideWhenUsed/>
    <w:rsid w:val="00CD26B5"/>
    <w:rPr>
      <w:sz w:val="16"/>
      <w:szCs w:val="16"/>
    </w:rPr>
  </w:style>
  <w:style w:type="paragraph" w:styleId="CommentText">
    <w:name w:val="annotation text"/>
    <w:basedOn w:val="Normal"/>
    <w:link w:val="CommentTextChar"/>
    <w:uiPriority w:val="99"/>
    <w:semiHidden/>
    <w:unhideWhenUsed/>
    <w:rsid w:val="00CD26B5"/>
    <w:pPr>
      <w:spacing w:line="240" w:lineRule="auto"/>
    </w:pPr>
    <w:rPr>
      <w:sz w:val="20"/>
      <w:szCs w:val="20"/>
    </w:rPr>
  </w:style>
  <w:style w:type="character" w:customStyle="1" w:styleId="CommentTextChar">
    <w:name w:val="Comment Text Char"/>
    <w:basedOn w:val="DefaultParagraphFont"/>
    <w:link w:val="CommentText"/>
    <w:uiPriority w:val="99"/>
    <w:semiHidden/>
    <w:rsid w:val="00CD26B5"/>
    <w:rPr>
      <w:sz w:val="20"/>
      <w:szCs w:val="20"/>
    </w:rPr>
  </w:style>
  <w:style w:type="paragraph" w:styleId="CommentSubject">
    <w:name w:val="annotation subject"/>
    <w:basedOn w:val="CommentText"/>
    <w:next w:val="CommentText"/>
    <w:link w:val="CommentSubjectChar"/>
    <w:uiPriority w:val="99"/>
    <w:semiHidden/>
    <w:unhideWhenUsed/>
    <w:rsid w:val="00CD26B5"/>
    <w:rPr>
      <w:b/>
      <w:bCs/>
    </w:rPr>
  </w:style>
  <w:style w:type="character" w:customStyle="1" w:styleId="CommentSubjectChar">
    <w:name w:val="Comment Subject Char"/>
    <w:basedOn w:val="CommentTextChar"/>
    <w:link w:val="CommentSubject"/>
    <w:uiPriority w:val="99"/>
    <w:semiHidden/>
    <w:rsid w:val="00CD26B5"/>
    <w:rPr>
      <w:b/>
      <w:bCs/>
      <w:sz w:val="20"/>
      <w:szCs w:val="20"/>
    </w:rPr>
  </w:style>
  <w:style w:type="paragraph" w:styleId="Revision">
    <w:name w:val="Revision"/>
    <w:hidden/>
    <w:uiPriority w:val="99"/>
    <w:semiHidden/>
    <w:rsid w:val="00DE7896"/>
    <w:pPr>
      <w:spacing w:after="0" w:line="240" w:lineRule="auto"/>
    </w:pPr>
  </w:style>
  <w:style w:type="paragraph" w:styleId="Header">
    <w:name w:val="header"/>
    <w:basedOn w:val="Normal"/>
    <w:link w:val="HeaderChar"/>
    <w:uiPriority w:val="99"/>
    <w:unhideWhenUsed/>
    <w:rsid w:val="0054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187"/>
  </w:style>
  <w:style w:type="paragraph" w:styleId="Footer">
    <w:name w:val="footer"/>
    <w:basedOn w:val="Normal"/>
    <w:link w:val="FooterChar"/>
    <w:uiPriority w:val="99"/>
    <w:unhideWhenUsed/>
    <w:rsid w:val="00541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187"/>
  </w:style>
  <w:style w:type="paragraph" w:styleId="EndnoteText">
    <w:name w:val="endnote text"/>
    <w:basedOn w:val="Normal"/>
    <w:link w:val="EndnoteTextChar"/>
    <w:uiPriority w:val="99"/>
    <w:semiHidden/>
    <w:unhideWhenUsed/>
    <w:rsid w:val="002A64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6419"/>
    <w:rPr>
      <w:sz w:val="20"/>
      <w:szCs w:val="20"/>
    </w:rPr>
  </w:style>
  <w:style w:type="character" w:styleId="EndnoteReference">
    <w:name w:val="endnote reference"/>
    <w:basedOn w:val="DefaultParagraphFont"/>
    <w:uiPriority w:val="99"/>
    <w:semiHidden/>
    <w:unhideWhenUsed/>
    <w:rsid w:val="002A6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72D3-D91F-48A6-AD8B-2CD0F8EB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Debra A - OFCCP</dc:creator>
  <cp:lastModifiedBy>Kraak, Margaret - OFCCP</cp:lastModifiedBy>
  <cp:revision>2</cp:revision>
  <cp:lastPrinted>2014-05-05T15:00:00Z</cp:lastPrinted>
  <dcterms:created xsi:type="dcterms:W3CDTF">2014-09-12T18:21:00Z</dcterms:created>
  <dcterms:modified xsi:type="dcterms:W3CDTF">2014-09-12T18:21:00Z</dcterms:modified>
</cp:coreProperties>
</file>