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0366" w:rsidRDefault="00A80366">
      <w:pPr>
        <w:keepNext/>
        <w:keepLines/>
        <w:widowControl w:val="0"/>
        <w:spacing w:after="360"/>
        <w:jc w:val="center"/>
        <w:rPr>
          <w:b/>
          <w:sz w:val="32"/>
        </w:rPr>
      </w:pPr>
      <w:r>
        <w:rPr>
          <w:b/>
          <w:sz w:val="32"/>
        </w:rPr>
        <w:t xml:space="preserve">SUPPORTING STATEMENT FOR </w:t>
      </w:r>
      <w:r>
        <w:rPr>
          <w:b/>
          <w:sz w:val="32"/>
        </w:rPr>
        <w:br/>
        <w:t>PAPERWORK REDUCTION ACT SUBMISSION</w:t>
      </w:r>
    </w:p>
    <w:p w:rsidR="00A80366" w:rsidRPr="00D30F43" w:rsidRDefault="00A80366">
      <w:pPr>
        <w:keepNext/>
        <w:keepLines/>
        <w:widowControl w:val="0"/>
        <w:spacing w:after="360"/>
        <w:jc w:val="center"/>
        <w:rPr>
          <w:b/>
          <w:sz w:val="32"/>
        </w:rPr>
      </w:pPr>
      <w:r w:rsidRPr="00D30F43">
        <w:rPr>
          <w:b/>
          <w:sz w:val="32"/>
        </w:rPr>
        <w:t>Nonimmigrant Visa Application</w:t>
      </w:r>
      <w:r w:rsidR="00D30F43" w:rsidRPr="00D30F43">
        <w:rPr>
          <w:b/>
          <w:sz w:val="32"/>
        </w:rPr>
        <w:t xml:space="preserve">, OMB No. 1405-0018, </w:t>
      </w:r>
      <w:r w:rsidR="00D30F43">
        <w:rPr>
          <w:b/>
          <w:sz w:val="32"/>
        </w:rPr>
        <w:t>Form DS-156</w:t>
      </w:r>
    </w:p>
    <w:p w:rsidR="00A80366" w:rsidRPr="00DD655C" w:rsidRDefault="00A80366">
      <w:pPr>
        <w:pStyle w:val="Heading1"/>
        <w:jc w:val="left"/>
        <w:rPr>
          <w:lang w:val="fr-FR"/>
        </w:rPr>
      </w:pPr>
      <w:r w:rsidRPr="00DD655C">
        <w:rPr>
          <w:lang w:val="fr-FR"/>
        </w:rPr>
        <w:t>A.</w:t>
      </w:r>
      <w:r w:rsidRPr="00DD655C">
        <w:rPr>
          <w:lang w:val="fr-FR"/>
        </w:rPr>
        <w:tab/>
        <w:t>JUSTIFICATION</w:t>
      </w:r>
    </w:p>
    <w:p w:rsidR="00A80366" w:rsidRPr="00DD655C" w:rsidRDefault="00A80366">
      <w:pPr>
        <w:pStyle w:val="p6"/>
        <w:widowControl/>
        <w:tabs>
          <w:tab w:val="clear" w:pos="204"/>
        </w:tabs>
        <w:spacing w:line="240" w:lineRule="auto"/>
        <w:rPr>
          <w:lang w:val="fr-FR"/>
        </w:rPr>
      </w:pPr>
    </w:p>
    <w:p w:rsidR="00A80366" w:rsidRDefault="00A80366">
      <w:pPr>
        <w:rPr>
          <w:sz w:val="24"/>
        </w:rPr>
      </w:pPr>
      <w:r>
        <w:rPr>
          <w:sz w:val="24"/>
        </w:rPr>
        <w:t xml:space="preserve">1.  The Immigration and Nationality Act (“INA”), 8 U.S.C. 1101 </w:t>
      </w:r>
      <w:r>
        <w:rPr>
          <w:sz w:val="24"/>
          <w:u w:val="single"/>
        </w:rPr>
        <w:t>et seq</w:t>
      </w:r>
      <w:r>
        <w:rPr>
          <w:sz w:val="24"/>
        </w:rPr>
        <w:t xml:space="preserve">., statutorily mandates the application and eligibility requirements for aliens seeking to obtain nonimmigrant visas.  INA Section 221(a) [8 U.S.C. 1201] (Attachment 1) provides that a consular officer may issue a nonimmigrant visa to an alien who has made proper application </w:t>
      </w:r>
      <w:proofErr w:type="spellStart"/>
      <w:r>
        <w:rPr>
          <w:sz w:val="24"/>
        </w:rPr>
        <w:t>therefor</w:t>
      </w:r>
      <w:proofErr w:type="spellEnd"/>
      <w:r>
        <w:rPr>
          <w:sz w:val="24"/>
        </w:rPr>
        <w:t>.</w:t>
      </w:r>
    </w:p>
    <w:p w:rsidR="00A80366" w:rsidRDefault="00A80366">
      <w:pPr>
        <w:rPr>
          <w:sz w:val="24"/>
        </w:rPr>
      </w:pPr>
    </w:p>
    <w:p w:rsidR="00A80366" w:rsidRDefault="00A80366">
      <w:pPr>
        <w:rPr>
          <w:sz w:val="24"/>
        </w:rPr>
      </w:pPr>
      <w:r>
        <w:rPr>
          <w:sz w:val="24"/>
        </w:rPr>
        <w:t>INA Section 222(c) [8 U.S.C. 1202] (Attachment 2) specifically requires that, “Every alien applying for a nonimmigrant visa and for alien registration shall make application therefor</w:t>
      </w:r>
      <w:r w:rsidR="00043D12">
        <w:rPr>
          <w:sz w:val="24"/>
        </w:rPr>
        <w:t>e</w:t>
      </w:r>
      <w:r>
        <w:rPr>
          <w:sz w:val="24"/>
        </w:rPr>
        <w:t xml:space="preserve"> in such form and manner as shall be by regulations prescribed.  In the application the alien shall state his full and true name, . . </w:t>
      </w:r>
      <w:proofErr w:type="gramStart"/>
      <w:r>
        <w:rPr>
          <w:sz w:val="24"/>
        </w:rPr>
        <w:t>.and</w:t>
      </w:r>
      <w:proofErr w:type="gramEnd"/>
      <w:r>
        <w:rPr>
          <w:sz w:val="24"/>
        </w:rPr>
        <w:t xml:space="preserve"> such additional information necessary to the identification of the applicant, the determination of  his eligibility for a nonimmigrant visa, and the enforcement of the immigration and nationality laws as may be by regulations prescribed.”</w:t>
      </w:r>
    </w:p>
    <w:p w:rsidR="00A80366" w:rsidRDefault="00A80366">
      <w:pPr>
        <w:rPr>
          <w:sz w:val="24"/>
        </w:rPr>
      </w:pPr>
    </w:p>
    <w:p w:rsidR="00A80366" w:rsidRDefault="00A80366">
      <w:pPr>
        <w:rPr>
          <w:sz w:val="24"/>
        </w:rPr>
      </w:pPr>
      <w:r>
        <w:rPr>
          <w:sz w:val="24"/>
        </w:rPr>
        <w:t xml:space="preserve">Department of State regulations pertaining to nonimmigrant visas under the INA are published at 22 CFR 41.  The regulations pertaining </w:t>
      </w:r>
      <w:r w:rsidR="00FC68E9">
        <w:rPr>
          <w:sz w:val="24"/>
        </w:rPr>
        <w:t xml:space="preserve">specifically </w:t>
      </w:r>
      <w:r>
        <w:rPr>
          <w:sz w:val="24"/>
        </w:rPr>
        <w:t xml:space="preserve">to the filing of an application using the DS-156 are </w:t>
      </w:r>
      <w:r w:rsidR="00FC68E9">
        <w:rPr>
          <w:sz w:val="24"/>
        </w:rPr>
        <w:t>found at</w:t>
      </w:r>
      <w:r>
        <w:rPr>
          <w:sz w:val="24"/>
        </w:rPr>
        <w:t xml:space="preserve"> 22 CFR 41.103 (Attachment 3).</w:t>
      </w:r>
    </w:p>
    <w:p w:rsidR="00A80366" w:rsidRDefault="00A80366">
      <w:pPr>
        <w:rPr>
          <w:sz w:val="24"/>
        </w:rPr>
      </w:pPr>
    </w:p>
    <w:p w:rsidR="00A80366" w:rsidRDefault="00A80366" w:rsidP="005A2F09">
      <w:pPr>
        <w:pStyle w:val="p6"/>
        <w:widowControl/>
        <w:tabs>
          <w:tab w:val="clear" w:pos="204"/>
        </w:tabs>
        <w:spacing w:line="240" w:lineRule="auto"/>
      </w:pPr>
      <w:r>
        <w:t xml:space="preserve">2.  </w:t>
      </w:r>
      <w:r w:rsidR="005A2F09">
        <w:t xml:space="preserve">Department of State consular officers use the information provided on Form DS-156 (Nonimmigrant Visa Application) to fulfill the legal requirements identified in the above </w:t>
      </w:r>
      <w:r w:rsidR="00E93240">
        <w:t>N</w:t>
      </w:r>
      <w:r w:rsidR="005A2F09">
        <w:t>umber 1.   The information requested on the form is limited to that which is necessary for consular officers to determine efficiently the eligibility and classification of an alien seeking a nonimmigrant visa to the United States.  A consular officer is unable to approve a nonimmigrant visa without collecting this information.</w:t>
      </w:r>
    </w:p>
    <w:p w:rsidR="005A2F09" w:rsidRDefault="005A2F09" w:rsidP="005A2F09">
      <w:pPr>
        <w:pStyle w:val="p6"/>
        <w:widowControl/>
        <w:tabs>
          <w:tab w:val="clear" w:pos="204"/>
        </w:tabs>
        <w:spacing w:line="240" w:lineRule="auto"/>
      </w:pPr>
    </w:p>
    <w:p w:rsidR="003E367A" w:rsidRPr="003E367A" w:rsidRDefault="00A80366" w:rsidP="003E367A">
      <w:pPr>
        <w:rPr>
          <w:sz w:val="24"/>
          <w:szCs w:val="24"/>
        </w:rPr>
      </w:pPr>
      <w:r w:rsidRPr="00D30F43">
        <w:rPr>
          <w:sz w:val="24"/>
          <w:szCs w:val="24"/>
        </w:rPr>
        <w:t xml:space="preserve"> 3</w:t>
      </w:r>
      <w:r>
        <w:t xml:space="preserve">.  </w:t>
      </w:r>
      <w:r w:rsidR="00BC59ED" w:rsidRPr="00D101EF">
        <w:rPr>
          <w:sz w:val="24"/>
          <w:szCs w:val="24"/>
        </w:rPr>
        <w:t>The dynamic, user-guided electronic version of the DS-156, the DS-160, is now live worldwide.</w:t>
      </w:r>
      <w:r w:rsidR="00BC59ED">
        <w:rPr>
          <w:sz w:val="24"/>
          <w:szCs w:val="24"/>
        </w:rPr>
        <w:t xml:space="preserve"> </w:t>
      </w:r>
      <w:r w:rsidR="00BC59ED" w:rsidRPr="00D101EF">
        <w:rPr>
          <w:sz w:val="24"/>
          <w:szCs w:val="24"/>
        </w:rPr>
        <w:t xml:space="preserve"> </w:t>
      </w:r>
      <w:r w:rsidR="005A2F09">
        <w:rPr>
          <w:sz w:val="24"/>
          <w:szCs w:val="24"/>
        </w:rPr>
        <w:t>However, the Department</w:t>
      </w:r>
      <w:r w:rsidR="00BC59ED">
        <w:rPr>
          <w:sz w:val="24"/>
          <w:szCs w:val="24"/>
        </w:rPr>
        <w:t xml:space="preserve"> will retain the DS-156 as applicants and posts adjust to the electronic process and </w:t>
      </w:r>
      <w:r w:rsidR="00FC68E9">
        <w:rPr>
          <w:sz w:val="24"/>
          <w:szCs w:val="24"/>
        </w:rPr>
        <w:t>during any occurrence</w:t>
      </w:r>
      <w:r w:rsidR="00BC59ED">
        <w:rPr>
          <w:sz w:val="24"/>
          <w:szCs w:val="24"/>
        </w:rPr>
        <w:t xml:space="preserve"> of technological failure of the DS-160</w:t>
      </w:r>
      <w:r w:rsidR="00BC59ED" w:rsidRPr="00D101EF">
        <w:rPr>
          <w:sz w:val="24"/>
          <w:szCs w:val="24"/>
        </w:rPr>
        <w:t xml:space="preserve">.    </w:t>
      </w:r>
    </w:p>
    <w:p w:rsidR="00A80366" w:rsidRDefault="00A80366">
      <w:pPr>
        <w:rPr>
          <w:sz w:val="24"/>
        </w:rPr>
      </w:pPr>
    </w:p>
    <w:p w:rsidR="00A80366" w:rsidRDefault="00A80366">
      <w:pPr>
        <w:rPr>
          <w:sz w:val="24"/>
        </w:rPr>
      </w:pPr>
      <w:r>
        <w:rPr>
          <w:sz w:val="24"/>
        </w:rPr>
        <w:t xml:space="preserve">4.  </w:t>
      </w:r>
      <w:r w:rsidR="00BC59ED">
        <w:rPr>
          <w:sz w:val="24"/>
        </w:rPr>
        <w:t xml:space="preserve">Form DS-156 is required by regulation of all nonimmigrant applicants </w:t>
      </w:r>
      <w:r w:rsidR="00FC68E9">
        <w:rPr>
          <w:sz w:val="24"/>
        </w:rPr>
        <w:t xml:space="preserve">who </w:t>
      </w:r>
      <w:r w:rsidR="00BC59ED">
        <w:rPr>
          <w:sz w:val="24"/>
        </w:rPr>
        <w:t>do not use the electronic version (DS-160).  Information collected by the DS-156 is not duplicative of information maintained elsewhere or otherwise available.</w:t>
      </w:r>
    </w:p>
    <w:p w:rsidR="00A80366" w:rsidRDefault="00A80366">
      <w:pPr>
        <w:rPr>
          <w:sz w:val="24"/>
        </w:rPr>
      </w:pPr>
    </w:p>
    <w:p w:rsidR="00A80366" w:rsidRDefault="00A80366">
      <w:pPr>
        <w:rPr>
          <w:sz w:val="24"/>
        </w:rPr>
      </w:pPr>
      <w:r>
        <w:rPr>
          <w:sz w:val="24"/>
        </w:rPr>
        <w:t>5.  The information collection does not involve small businesses or other small entities.</w:t>
      </w:r>
    </w:p>
    <w:p w:rsidR="00A80366" w:rsidRDefault="00A80366">
      <w:pPr>
        <w:rPr>
          <w:sz w:val="24"/>
        </w:rPr>
      </w:pPr>
    </w:p>
    <w:p w:rsidR="00A80366" w:rsidRDefault="00A80366">
      <w:pPr>
        <w:rPr>
          <w:sz w:val="24"/>
        </w:rPr>
      </w:pPr>
      <w:r>
        <w:rPr>
          <w:sz w:val="24"/>
        </w:rPr>
        <w:lastRenderedPageBreak/>
        <w:t>6.  This information collection is essential for determining whether an applicant is eligible for a nonimmigrant visa.  An applicant fills out the form one time per visa application; it is not possible to collect the information less frequently since consular officers need up to date information to determine efficiently whether an applicant is eligible to receive a visa.</w:t>
      </w:r>
    </w:p>
    <w:p w:rsidR="00A80366" w:rsidRDefault="00A80366">
      <w:pPr>
        <w:rPr>
          <w:sz w:val="24"/>
        </w:rPr>
      </w:pPr>
    </w:p>
    <w:p w:rsidR="00A80366" w:rsidRDefault="00A80366">
      <w:pPr>
        <w:rPr>
          <w:sz w:val="24"/>
        </w:rPr>
      </w:pPr>
      <w:r>
        <w:rPr>
          <w:sz w:val="24"/>
        </w:rPr>
        <w:t>7.  Not applicable; no such circumstances exist.</w:t>
      </w:r>
    </w:p>
    <w:p w:rsidR="00BC59ED" w:rsidRDefault="00BC59ED">
      <w:pPr>
        <w:rPr>
          <w:sz w:val="24"/>
        </w:rPr>
      </w:pPr>
    </w:p>
    <w:p w:rsidR="005A2F09" w:rsidRDefault="00BC59ED" w:rsidP="005A2F09">
      <w:pPr>
        <w:rPr>
          <w:sz w:val="24"/>
          <w:szCs w:val="24"/>
        </w:rPr>
      </w:pPr>
      <w:r w:rsidRPr="00BC59ED">
        <w:rPr>
          <w:sz w:val="24"/>
          <w:szCs w:val="24"/>
        </w:rPr>
        <w:t>8</w:t>
      </w:r>
      <w:r>
        <w:rPr>
          <w:sz w:val="24"/>
          <w:szCs w:val="24"/>
        </w:rPr>
        <w:t>.</w:t>
      </w:r>
      <w:r w:rsidRPr="00BC59ED">
        <w:rPr>
          <w:sz w:val="24"/>
          <w:szCs w:val="24"/>
        </w:rPr>
        <w:t xml:space="preserve">  </w:t>
      </w:r>
      <w:r w:rsidR="00BE77B8" w:rsidRPr="00BC59ED">
        <w:rPr>
          <w:sz w:val="24"/>
          <w:szCs w:val="24"/>
        </w:rPr>
        <w:t>The Department of State (Visa Services</w:t>
      </w:r>
      <w:r w:rsidR="00E93240">
        <w:rPr>
          <w:sz w:val="24"/>
          <w:szCs w:val="24"/>
        </w:rPr>
        <w:t xml:space="preserve"> (CA/VO)</w:t>
      </w:r>
      <w:r w:rsidR="00BE77B8" w:rsidRPr="00BC59ED">
        <w:rPr>
          <w:sz w:val="24"/>
          <w:szCs w:val="24"/>
        </w:rPr>
        <w:t xml:space="preserve">, Bureau of Consular Affairs) has solicited public comments on this collection via Public Notice published in the </w:t>
      </w:r>
      <w:r w:rsidR="00BE77B8" w:rsidRPr="00BC59ED">
        <w:rPr>
          <w:i/>
          <w:sz w:val="24"/>
          <w:szCs w:val="24"/>
        </w:rPr>
        <w:t>Federal Register</w:t>
      </w:r>
      <w:r w:rsidR="00BE77B8" w:rsidRPr="00BC59ED">
        <w:rPr>
          <w:iCs/>
          <w:sz w:val="24"/>
          <w:szCs w:val="24"/>
        </w:rPr>
        <w:t>.</w:t>
      </w:r>
      <w:r w:rsidR="00BE77B8" w:rsidRPr="00BC59ED">
        <w:rPr>
          <w:sz w:val="24"/>
          <w:szCs w:val="24"/>
        </w:rPr>
        <w:t xml:space="preserve"> </w:t>
      </w:r>
      <w:r w:rsidRPr="00BC59ED">
        <w:rPr>
          <w:sz w:val="24"/>
          <w:szCs w:val="24"/>
        </w:rPr>
        <w:t>No comments were received.</w:t>
      </w:r>
      <w:r w:rsidR="00BE77B8" w:rsidRPr="00BC59ED">
        <w:rPr>
          <w:rFonts w:eastAsia="Batang"/>
          <w:sz w:val="24"/>
          <w:szCs w:val="24"/>
        </w:rPr>
        <w:t xml:space="preserve">  </w:t>
      </w:r>
      <w:r w:rsidR="00BE77B8" w:rsidRPr="00BC59ED">
        <w:rPr>
          <w:sz w:val="24"/>
          <w:szCs w:val="24"/>
        </w:rPr>
        <w:t xml:space="preserve"> </w:t>
      </w:r>
      <w:r w:rsidR="00E93240">
        <w:rPr>
          <w:sz w:val="24"/>
          <w:szCs w:val="24"/>
        </w:rPr>
        <w:t>CA/VO</w:t>
      </w:r>
      <w:r w:rsidR="00BE77B8" w:rsidRPr="00BC59ED">
        <w:rPr>
          <w:sz w:val="24"/>
          <w:szCs w:val="24"/>
        </w:rPr>
        <w:t xml:space="preserve"> meets regularly with immigration experts of the Department of Homeland Security to coordinate policy.  </w:t>
      </w:r>
      <w:r w:rsidRPr="00BC59ED">
        <w:rPr>
          <w:sz w:val="24"/>
          <w:szCs w:val="24"/>
        </w:rPr>
        <w:t xml:space="preserve">The Office of Visa Services also holds regularly scheduled formal meetings with representatives of the </w:t>
      </w:r>
      <w:r w:rsidR="00E93240">
        <w:rPr>
          <w:sz w:val="24"/>
          <w:szCs w:val="24"/>
        </w:rPr>
        <w:t>immigration bar</w:t>
      </w:r>
      <w:r w:rsidRPr="00BC59ED">
        <w:rPr>
          <w:sz w:val="24"/>
          <w:szCs w:val="24"/>
        </w:rPr>
        <w:t xml:space="preserve">, during which their opinions and suggestions regarding visa procedures and operations are discussed. </w:t>
      </w:r>
    </w:p>
    <w:p w:rsidR="005A2F09" w:rsidRDefault="005A2F09" w:rsidP="005A2F09">
      <w:pPr>
        <w:rPr>
          <w:sz w:val="24"/>
          <w:szCs w:val="24"/>
        </w:rPr>
      </w:pPr>
    </w:p>
    <w:p w:rsidR="00A80366" w:rsidRPr="005A2F09" w:rsidRDefault="005A2F09" w:rsidP="005A2F09">
      <w:pPr>
        <w:rPr>
          <w:sz w:val="24"/>
          <w:szCs w:val="24"/>
        </w:rPr>
      </w:pPr>
      <w:r>
        <w:rPr>
          <w:sz w:val="24"/>
          <w:szCs w:val="24"/>
        </w:rPr>
        <w:t xml:space="preserve">9.   </w:t>
      </w:r>
      <w:r w:rsidR="00A80366" w:rsidRPr="005A2F09">
        <w:rPr>
          <w:sz w:val="24"/>
        </w:rPr>
        <w:t xml:space="preserve">No payment or gift is provided to respondents. </w:t>
      </w:r>
    </w:p>
    <w:p w:rsidR="00A80366" w:rsidRDefault="00A80366">
      <w:pPr>
        <w:rPr>
          <w:sz w:val="24"/>
        </w:rPr>
      </w:pPr>
    </w:p>
    <w:p w:rsidR="00A80366" w:rsidRDefault="00A80366">
      <w:pPr>
        <w:pStyle w:val="p6"/>
        <w:tabs>
          <w:tab w:val="clear" w:pos="204"/>
          <w:tab w:val="left" w:pos="720"/>
        </w:tabs>
        <w:rPr>
          <w:color w:val="000000"/>
        </w:rPr>
      </w:pPr>
      <w:r>
        <w:t xml:space="preserve">10.  </w:t>
      </w:r>
      <w:r>
        <w:rPr>
          <w:color w:val="000000"/>
        </w:rPr>
        <w:t xml:space="preserve">In accordance with Section 222(f) of the INA (Attachment </w:t>
      </w:r>
      <w:r w:rsidR="00D30F43">
        <w:rPr>
          <w:color w:val="000000"/>
        </w:rPr>
        <w:t>4</w:t>
      </w:r>
      <w:r>
        <w:rPr>
          <w:color w:val="000000"/>
        </w:rPr>
        <w:t>), information obtained from applicants in the visa process is considered confidential and is to be used only for the formulation, amendment, administration, or enforcement of the immigration, nationality, and other laws of the United States.</w:t>
      </w:r>
    </w:p>
    <w:p w:rsidR="00A80366" w:rsidRDefault="00A80366">
      <w:pPr>
        <w:pStyle w:val="p6"/>
        <w:tabs>
          <w:tab w:val="clear" w:pos="204"/>
        </w:tabs>
        <w:spacing w:before="240"/>
      </w:pPr>
      <w:r>
        <w:t>11.  The questions on the collection are designed to solicit the information necessary to determine whether an applicant is eligible for a visa under Section 101(a</w:t>
      </w:r>
      <w:proofErr w:type="gramStart"/>
      <w:r>
        <w:t>)(</w:t>
      </w:r>
      <w:proofErr w:type="gramEnd"/>
      <w:r>
        <w:t xml:space="preserve">15) of the INA.  Consular officers may not issue a visa to aliens who are ineligible under Section 212(a) of the INA.  In order to enforce this provision of the law, the application form specifically asks for information concerning the alien’s health, criminal offenses, narcotic addiction, political affiliation with subversive organizations, participation in genocide and involvement in Nazi war crimes.  In addition, questions concerning an applicant’s marital status, employment and financial support are necessary to identify an applicant and to assist in determining eligibility for a nonimmigrant visa.  As noted in Number 10 above, such information is considered confidential under Section 222(f) of the INA. </w:t>
      </w:r>
    </w:p>
    <w:p w:rsidR="00A80366" w:rsidRDefault="00A80366">
      <w:pPr>
        <w:pStyle w:val="p6"/>
      </w:pPr>
    </w:p>
    <w:p w:rsidR="00D54FF5" w:rsidRDefault="00D54FF5" w:rsidP="00D54FF5">
      <w:pPr>
        <w:pStyle w:val="p6"/>
        <w:widowControl/>
        <w:tabs>
          <w:tab w:val="clear" w:pos="204"/>
        </w:tabs>
        <w:spacing w:line="240" w:lineRule="auto"/>
      </w:pPr>
      <w:r>
        <w:t xml:space="preserve">12.  The Department expects that approximately 800,000 aliens will complete the DS-156 in FY-10.  This is a decrease of 9,200,000, as most applicants have transitioned to using the electronic version of the form, the DS-160.   The DS-156 will be used as a backup in case of a technological failure of the DS-160.  </w:t>
      </w:r>
    </w:p>
    <w:p w:rsidR="00D54FF5" w:rsidRDefault="00D54FF5" w:rsidP="00D54FF5">
      <w:pPr>
        <w:rPr>
          <w:sz w:val="24"/>
        </w:rPr>
      </w:pPr>
    </w:p>
    <w:p w:rsidR="00D54FF5" w:rsidRDefault="00D54FF5" w:rsidP="00D54FF5">
      <w:pPr>
        <w:rPr>
          <w:sz w:val="24"/>
        </w:rPr>
      </w:pPr>
      <w:r>
        <w:rPr>
          <w:sz w:val="24"/>
        </w:rPr>
        <w:t>Finding the necessary background information is estimated to require that an applicant spend one hour to fill out the entire form.  Therefore the annual hour burden to respondents is estimated to be 800,000 hours.</w:t>
      </w:r>
    </w:p>
    <w:p w:rsidR="00A80366" w:rsidRDefault="00A80366">
      <w:pPr>
        <w:tabs>
          <w:tab w:val="left" w:pos="360"/>
        </w:tabs>
        <w:rPr>
          <w:sz w:val="24"/>
        </w:rPr>
      </w:pPr>
    </w:p>
    <w:p w:rsidR="00D54FF5" w:rsidRDefault="00A80366" w:rsidP="00D54FF5">
      <w:pPr>
        <w:pStyle w:val="p6"/>
        <w:widowControl/>
        <w:tabs>
          <w:tab w:val="clear" w:pos="204"/>
        </w:tabs>
        <w:spacing w:line="240" w:lineRule="auto"/>
      </w:pPr>
      <w:r>
        <w:t xml:space="preserve">13.  </w:t>
      </w:r>
      <w:r w:rsidR="00D54FF5">
        <w:t>The Department of State charges an application fee of $140 per application for the vast majority of applicants.</w:t>
      </w:r>
      <w:r w:rsidR="007E6B4B">
        <w:t xml:space="preserve">  This </w:t>
      </w:r>
      <w:r w:rsidR="00C24028">
        <w:t>figure</w:t>
      </w:r>
      <w:r w:rsidR="009A49EE">
        <w:t xml:space="preserve"> </w:t>
      </w:r>
      <w:r w:rsidR="007E6B4B">
        <w:t xml:space="preserve">includes the $1 </w:t>
      </w:r>
      <w:r w:rsidR="00C24028">
        <w:t xml:space="preserve">increase mandated by Section 239 of the William </w:t>
      </w:r>
      <w:r w:rsidR="007E6B4B">
        <w:t xml:space="preserve">Wilberforce </w:t>
      </w:r>
      <w:r w:rsidR="00C24028">
        <w:t>Trafficking Victims Protection Reauthorization Act of 2008, Public Law 110-457</w:t>
      </w:r>
      <w:r w:rsidR="007E6B4B">
        <w:t>.</w:t>
      </w:r>
      <w:r w:rsidR="00D54FF5">
        <w:t xml:space="preserve">  Therefore, we estimate the annual cost to be $112,000,000. </w:t>
      </w:r>
    </w:p>
    <w:p w:rsidR="00A80366" w:rsidRDefault="00A80366" w:rsidP="00D54FF5">
      <w:pPr>
        <w:pStyle w:val="p6"/>
        <w:widowControl/>
        <w:tabs>
          <w:tab w:val="clear" w:pos="204"/>
        </w:tabs>
        <w:spacing w:line="240" w:lineRule="auto"/>
      </w:pPr>
    </w:p>
    <w:p w:rsidR="00A80366" w:rsidRDefault="00A80366">
      <w:pPr>
        <w:rPr>
          <w:sz w:val="24"/>
        </w:rPr>
      </w:pPr>
      <w:r>
        <w:rPr>
          <w:sz w:val="24"/>
        </w:rPr>
        <w:t xml:space="preserve">14.  </w:t>
      </w:r>
      <w:r w:rsidR="00D54FF5">
        <w:rPr>
          <w:sz w:val="24"/>
        </w:rPr>
        <w:t xml:space="preserve">Section 140(a) of the Foreign Relations Authorization Act, </w:t>
      </w:r>
      <w:r w:rsidR="00E80D84" w:rsidRPr="00E80D84">
        <w:rPr>
          <w:sz w:val="24"/>
        </w:rPr>
        <w:t>Fiscal Years 1994 and 1995</w:t>
      </w:r>
      <w:r w:rsidR="00D4292F">
        <w:rPr>
          <w:sz w:val="24"/>
        </w:rPr>
        <w:t xml:space="preserve">, </w:t>
      </w:r>
      <w:r w:rsidR="00D54FF5">
        <w:rPr>
          <w:sz w:val="24"/>
        </w:rPr>
        <w:t>Public Law 103-236 (Attachment 5) authorizes the Department to collect a machine readable visa fee from nonimmigrant visa applicants.  The fee was established to cover the cost of processing nonimmigrant visa applications.  The Department of State estimates that the cost to the Federal Government of processing a single nonimmigrant visa application (with an applicant pool of 800,000) is $</w:t>
      </w:r>
      <w:r w:rsidR="007E6B4B">
        <w:rPr>
          <w:sz w:val="24"/>
        </w:rPr>
        <w:t>138</w:t>
      </w:r>
      <w:r w:rsidR="00D54FF5">
        <w:rPr>
          <w:sz w:val="24"/>
        </w:rPr>
        <w:t>.93.  The estimated annual cost to the Federal Government is therefore $</w:t>
      </w:r>
      <w:r w:rsidR="007E6B4B">
        <w:rPr>
          <w:sz w:val="24"/>
        </w:rPr>
        <w:t>111,144</w:t>
      </w:r>
      <w:r w:rsidR="00D54FF5">
        <w:rPr>
          <w:sz w:val="24"/>
        </w:rPr>
        <w:t>,000</w:t>
      </w:r>
      <w:r w:rsidR="00790D3B">
        <w:rPr>
          <w:sz w:val="24"/>
        </w:rPr>
        <w:t xml:space="preserve"> </w:t>
      </w:r>
      <w:r w:rsidR="00D54FF5">
        <w:rPr>
          <w:sz w:val="24"/>
        </w:rPr>
        <w:t>($13</w:t>
      </w:r>
      <w:r w:rsidR="007E6B4B">
        <w:rPr>
          <w:sz w:val="24"/>
        </w:rPr>
        <w:t>8</w:t>
      </w:r>
      <w:r w:rsidR="00D54FF5">
        <w:rPr>
          <w:sz w:val="24"/>
        </w:rPr>
        <w:t>.93 x 800,000 applications).  The study used to determine the cost of this service used an element of Activity Based Costing (ABC).  ABC is a business management tool that provides insight into the relationship between inputs (resources) and outputs (products and services) by quantifying how work is performed in an organization (activities).  Both direct and indirect costs are included in the calculation.  Direct costs included salaries and expenses and indirect costs consist of a broad range of indirect and support costs related to consular services.</w:t>
      </w:r>
    </w:p>
    <w:p w:rsidR="00A80366" w:rsidRDefault="00A80366">
      <w:pPr>
        <w:rPr>
          <w:sz w:val="24"/>
        </w:rPr>
      </w:pPr>
    </w:p>
    <w:p w:rsidR="00A80366" w:rsidRDefault="00A80366">
      <w:pPr>
        <w:pStyle w:val="p6"/>
        <w:widowControl/>
        <w:tabs>
          <w:tab w:val="clear" w:pos="204"/>
        </w:tabs>
        <w:spacing w:line="240" w:lineRule="auto"/>
      </w:pPr>
      <w:r>
        <w:t xml:space="preserve">15.  </w:t>
      </w:r>
      <w:r w:rsidR="00D54FF5">
        <w:t>The annual reporting burden estimate decreased 9,200,000 hours due to a decrease in the expected number of annual respondents completing the paper version of the nonimmigrant visa application form.  The Department of State anticipates that 800,000 nonimmigrant visa applicants annually will complete the DS-156.  Although the cost of each individual application rose due to an increase in the cost of service (</w:t>
      </w:r>
      <w:r w:rsidR="00D54FF5" w:rsidRPr="003E5608">
        <w:rPr>
          <w:color w:val="000000"/>
          <w:szCs w:val="24"/>
        </w:rPr>
        <w:t>Interim final rule</w:t>
      </w:r>
      <w:r w:rsidR="00D54FF5">
        <w:rPr>
          <w:color w:val="000000"/>
          <w:sz w:val="20"/>
        </w:rPr>
        <w:t xml:space="preserve">, RIN 1400-AC57, </w:t>
      </w:r>
      <w:r w:rsidR="00D54FF5">
        <w:t>Attachment 6), the total estimated cost burden decreased from $1,310,000,000 to $112,000,000 due to a decrease in estimated number of respondents annually submitting an application.</w:t>
      </w:r>
    </w:p>
    <w:p w:rsidR="00A80366" w:rsidRDefault="00A80366">
      <w:pPr>
        <w:rPr>
          <w:sz w:val="24"/>
        </w:rPr>
      </w:pPr>
    </w:p>
    <w:p w:rsidR="00A80366" w:rsidRDefault="00A80366">
      <w:pPr>
        <w:rPr>
          <w:sz w:val="24"/>
        </w:rPr>
      </w:pPr>
      <w:r>
        <w:rPr>
          <w:sz w:val="24"/>
        </w:rPr>
        <w:t xml:space="preserve">16.  A quantitative summary of all Department of State visa activities is published in the annual </w:t>
      </w:r>
      <w:r>
        <w:rPr>
          <w:sz w:val="24"/>
          <w:u w:val="single"/>
        </w:rPr>
        <w:t>Report of the Visa Office</w:t>
      </w:r>
      <w:r>
        <w:rPr>
          <w:sz w:val="24"/>
        </w:rPr>
        <w:t>.</w:t>
      </w:r>
    </w:p>
    <w:p w:rsidR="00A80366" w:rsidRDefault="00A80366">
      <w:pPr>
        <w:pStyle w:val="Header"/>
        <w:tabs>
          <w:tab w:val="clear" w:pos="4320"/>
          <w:tab w:val="clear" w:pos="8640"/>
        </w:tabs>
      </w:pPr>
    </w:p>
    <w:p w:rsidR="00A80366" w:rsidRDefault="00A80366">
      <w:pPr>
        <w:rPr>
          <w:sz w:val="24"/>
        </w:rPr>
      </w:pPr>
      <w:r>
        <w:rPr>
          <w:sz w:val="24"/>
        </w:rPr>
        <w:t xml:space="preserve">17.  Not applicable.  The Department </w:t>
      </w:r>
      <w:r w:rsidR="00D30F43">
        <w:rPr>
          <w:sz w:val="24"/>
        </w:rPr>
        <w:t xml:space="preserve">will </w:t>
      </w:r>
      <w:r>
        <w:rPr>
          <w:sz w:val="24"/>
        </w:rPr>
        <w:t xml:space="preserve">display the expiration date for OMB approval of the information collection.  </w:t>
      </w:r>
    </w:p>
    <w:p w:rsidR="00A80366" w:rsidRDefault="00A80366">
      <w:pPr>
        <w:rPr>
          <w:sz w:val="24"/>
        </w:rPr>
      </w:pPr>
    </w:p>
    <w:p w:rsidR="00A80366" w:rsidRDefault="00A80366">
      <w:pPr>
        <w:rPr>
          <w:sz w:val="24"/>
        </w:rPr>
      </w:pPr>
      <w:r>
        <w:rPr>
          <w:sz w:val="24"/>
        </w:rPr>
        <w:t>18.  The Department is not requesting any exception to the certification statement identified in item 19 of OMB Form 83-I.</w:t>
      </w:r>
    </w:p>
    <w:p w:rsidR="00A80366" w:rsidRDefault="00A80366">
      <w:pPr>
        <w:rPr>
          <w:sz w:val="24"/>
        </w:rPr>
      </w:pPr>
    </w:p>
    <w:p w:rsidR="00A80366" w:rsidRDefault="00A80366">
      <w:pPr>
        <w:jc w:val="center"/>
        <w:rPr>
          <w:sz w:val="24"/>
        </w:rPr>
      </w:pPr>
      <w:r>
        <w:rPr>
          <w:sz w:val="24"/>
        </w:rPr>
        <w:t>B.  STATISTICAL METHODS</w:t>
      </w:r>
    </w:p>
    <w:p w:rsidR="00A80366" w:rsidRDefault="00A80366">
      <w:pPr>
        <w:rPr>
          <w:sz w:val="24"/>
        </w:rPr>
      </w:pPr>
    </w:p>
    <w:p w:rsidR="00A80366" w:rsidRDefault="00A80366">
      <w:pPr>
        <w:rPr>
          <w:sz w:val="24"/>
        </w:rPr>
      </w:pPr>
      <w:r>
        <w:rPr>
          <w:sz w:val="24"/>
        </w:rPr>
        <w:t>This collection does not employ statistical methods.</w:t>
      </w:r>
    </w:p>
    <w:p w:rsidR="00A80366" w:rsidRDefault="00A80366">
      <w:pPr>
        <w:rPr>
          <w:sz w:val="24"/>
        </w:rPr>
      </w:pPr>
    </w:p>
    <w:p w:rsidR="00A80366" w:rsidRDefault="00A80366">
      <w:pPr>
        <w:rPr>
          <w:b/>
          <w:sz w:val="24"/>
          <w:u w:val="single"/>
        </w:rPr>
      </w:pPr>
      <w:r>
        <w:rPr>
          <w:sz w:val="24"/>
        </w:rPr>
        <w:br w:type="page"/>
      </w:r>
      <w:r>
        <w:rPr>
          <w:b/>
          <w:sz w:val="24"/>
          <w:u w:val="single"/>
        </w:rPr>
        <w:lastRenderedPageBreak/>
        <w:t>Attachment 1</w:t>
      </w:r>
    </w:p>
    <w:p w:rsidR="00A80366" w:rsidRDefault="00A80366"/>
    <w:p w:rsidR="00A80366" w:rsidRDefault="00A80366">
      <w:pPr>
        <w:pStyle w:val="p6"/>
        <w:widowControl/>
        <w:tabs>
          <w:tab w:val="clear" w:pos="204"/>
        </w:tabs>
        <w:spacing w:line="240" w:lineRule="auto"/>
        <w:rPr>
          <w:b/>
        </w:rPr>
      </w:pPr>
      <w:r>
        <w:rPr>
          <w:b/>
        </w:rPr>
        <w:t>INA Section 221(a) [8 U.S.C. 1201]</w:t>
      </w:r>
    </w:p>
    <w:p w:rsidR="00A80366" w:rsidRDefault="00A80366"/>
    <w:p w:rsidR="00A80366" w:rsidRDefault="00A80366">
      <w:pPr>
        <w:pStyle w:val="BodyText"/>
        <w:rPr>
          <w:sz w:val="24"/>
        </w:rPr>
      </w:pPr>
      <w:r>
        <w:rPr>
          <w:sz w:val="24"/>
        </w:rPr>
        <w:t xml:space="preserve">(a) Under the conditions hereinafter prescribed and subject to the limitations prescribed in this Act or regulations issued </w:t>
      </w:r>
      <w:proofErr w:type="spellStart"/>
      <w:r>
        <w:rPr>
          <w:sz w:val="24"/>
        </w:rPr>
        <w:t>thereunder</w:t>
      </w:r>
      <w:proofErr w:type="spellEnd"/>
      <w:r>
        <w:rPr>
          <w:sz w:val="24"/>
        </w:rPr>
        <w:t xml:space="preserve">, a consular officer may issue  (1) to an immigrant who has made proper application </w:t>
      </w:r>
      <w:proofErr w:type="spellStart"/>
      <w:r>
        <w:rPr>
          <w:sz w:val="24"/>
        </w:rPr>
        <w:t>therefor</w:t>
      </w:r>
      <w:proofErr w:type="spellEnd"/>
      <w:r>
        <w:rPr>
          <w:sz w:val="24"/>
        </w:rPr>
        <w:t xml:space="preserve">, an immigrant visa which shall consist of the application provided for in section 222, </w:t>
      </w:r>
      <w:proofErr w:type="spellStart"/>
      <w:r>
        <w:rPr>
          <w:sz w:val="24"/>
        </w:rPr>
        <w:t>visaed</w:t>
      </w:r>
      <w:proofErr w:type="spellEnd"/>
      <w:r>
        <w:rPr>
          <w:sz w:val="24"/>
        </w:rPr>
        <w:t xml:space="preserve"> by such consular officer, and shall specify the foreign state, if any, to which the immigrant is charged, the immigrant's particular status under such foreign state, the preference,  immediate relative, or  special immigrant classification to which the alien is charged, the date on which the validity of the visa shall expire, and such additional information as may be required;  and (2) to a nonimmigrant who has made proper application  </w:t>
      </w:r>
      <w:proofErr w:type="spellStart"/>
      <w:r>
        <w:rPr>
          <w:sz w:val="24"/>
        </w:rPr>
        <w:t>therefor</w:t>
      </w:r>
      <w:proofErr w:type="spellEnd"/>
      <w:r>
        <w:rPr>
          <w:sz w:val="24"/>
        </w:rPr>
        <w:t>, a nonimmigrant visa, which shall specify the  classification under section 101(a)(15) of the nonimmigrant, the period during which the nonimmigrant visa shall be valid,  and such additional information as may be required.</w:t>
      </w:r>
    </w:p>
    <w:p w:rsidR="00A80366" w:rsidRDefault="00A80366">
      <w:pPr>
        <w:sectPr w:rsidR="00A80366">
          <w:pgSz w:w="12240" w:h="15840" w:code="1"/>
          <w:pgMar w:top="1440" w:right="1800" w:bottom="1440" w:left="1800" w:header="720" w:footer="720" w:gutter="0"/>
          <w:paperSrc w:first="256" w:other="256"/>
          <w:cols w:space="720"/>
        </w:sectPr>
      </w:pPr>
    </w:p>
    <w:p w:rsidR="00A80366" w:rsidRDefault="00A80366">
      <w:pPr>
        <w:pStyle w:val="Heading2"/>
      </w:pPr>
      <w:r>
        <w:lastRenderedPageBreak/>
        <w:t>Attachment 2</w:t>
      </w:r>
    </w:p>
    <w:p w:rsidR="00A80366" w:rsidRDefault="00A80366">
      <w:pPr>
        <w:rPr>
          <w:sz w:val="24"/>
        </w:rPr>
      </w:pPr>
    </w:p>
    <w:p w:rsidR="00A80366" w:rsidRDefault="00A80366">
      <w:pPr>
        <w:pStyle w:val="Heading3"/>
      </w:pPr>
      <w:r>
        <w:t>INA Section 222(c) [8 U.S.C. 1202]</w:t>
      </w:r>
    </w:p>
    <w:p w:rsidR="00A80366" w:rsidRDefault="00A80366">
      <w:pPr>
        <w:rPr>
          <w:sz w:val="24"/>
        </w:rPr>
      </w:pPr>
    </w:p>
    <w:p w:rsidR="00A80366" w:rsidRDefault="00A80366">
      <w:pPr>
        <w:pStyle w:val="p6"/>
        <w:widowControl/>
        <w:tabs>
          <w:tab w:val="clear" w:pos="204"/>
        </w:tabs>
        <w:spacing w:line="240" w:lineRule="auto"/>
      </w:pPr>
      <w:r>
        <w:t xml:space="preserve">(c) Every alien applying for a nonimmigrant visa and for alien registration shall make application </w:t>
      </w:r>
      <w:proofErr w:type="spellStart"/>
      <w:r>
        <w:t>therefor</w:t>
      </w:r>
      <w:proofErr w:type="spellEnd"/>
      <w:r>
        <w:t xml:space="preserve"> in such form and manner as shall be by regulations prescribed.  In the application the alien shall state his full and true name, the date and place of birth, his nationality, the purpose and length of his intended stay in the United States; his marital status; and such additional information necessary to the identification of the applicant, the determination of his eligibility for a nonimmigrant visa, and the enforcement of the immigration and nationality laws as may be by regulations prescribed.  </w:t>
      </w:r>
      <w:r w:rsidR="00A30A1C">
        <w:t xml:space="preserve">The alien shall provide complete and accurate information in response to any request for information contained in the application.  </w:t>
      </w:r>
      <w:r>
        <w:t>At the discretion of the Secretary of State, application forms for the various classes of nonimmigrant admissions described in section 101(a</w:t>
      </w:r>
      <w:proofErr w:type="gramStart"/>
      <w:r>
        <w:t>)(</w:t>
      </w:r>
      <w:proofErr w:type="gramEnd"/>
      <w:r>
        <w:t>15) may vary according to the class of visa being requested.</w:t>
      </w:r>
    </w:p>
    <w:p w:rsidR="00A80366" w:rsidRDefault="00A80366">
      <w:pPr>
        <w:pStyle w:val="p6"/>
        <w:widowControl/>
        <w:tabs>
          <w:tab w:val="clear" w:pos="204"/>
        </w:tabs>
        <w:spacing w:line="240" w:lineRule="auto"/>
      </w:pPr>
      <w:r>
        <w:br w:type="page"/>
      </w:r>
    </w:p>
    <w:p w:rsidR="00A80366" w:rsidRDefault="00A80366">
      <w:pPr>
        <w:rPr>
          <w:b/>
          <w:sz w:val="24"/>
          <w:u w:val="single"/>
        </w:rPr>
      </w:pPr>
      <w:r>
        <w:rPr>
          <w:b/>
          <w:sz w:val="24"/>
          <w:u w:val="single"/>
        </w:rPr>
        <w:lastRenderedPageBreak/>
        <w:t>Attachment 3</w:t>
      </w:r>
    </w:p>
    <w:p w:rsidR="00A80366" w:rsidRDefault="00A80366">
      <w:pPr>
        <w:rPr>
          <w:b/>
          <w:sz w:val="24"/>
          <w:u w:val="single"/>
        </w:rPr>
      </w:pPr>
    </w:p>
    <w:p w:rsidR="00A80366" w:rsidRDefault="00A80366">
      <w:pPr>
        <w:pStyle w:val="p6"/>
        <w:widowControl/>
        <w:tabs>
          <w:tab w:val="clear" w:pos="204"/>
        </w:tabs>
        <w:spacing w:line="240" w:lineRule="auto"/>
        <w:rPr>
          <w:b/>
        </w:rPr>
      </w:pPr>
      <w:r>
        <w:rPr>
          <w:b/>
        </w:rPr>
        <w:t>22 CFR 41.103</w:t>
      </w:r>
    </w:p>
    <w:p w:rsidR="00A80366" w:rsidRDefault="00A80366">
      <w:pPr>
        <w:rPr>
          <w:sz w:val="24"/>
        </w:rPr>
      </w:pPr>
    </w:p>
    <w:p w:rsidR="008326EC" w:rsidRDefault="008326EC" w:rsidP="008326EC">
      <w:pPr>
        <w:pStyle w:val="p6"/>
      </w:pPr>
      <w:r>
        <w:t xml:space="preserve">(a) Filing an application </w:t>
      </w:r>
      <w:proofErr w:type="gramStart"/>
      <w:r>
        <w:t>—(</w:t>
      </w:r>
      <w:proofErr w:type="gramEnd"/>
      <w:r>
        <w:t>1) Filing of application required. Every alien seeking a nonimmigrant visa must make an electronic application on Form DS–160 or, as directed by a consular officer, an application on Form DS–156. The Form DS–160 must be signed electronically by clicking the box designated “Sign Application” in the certification section of the application.</w:t>
      </w:r>
    </w:p>
    <w:p w:rsidR="008326EC" w:rsidRDefault="008326EC" w:rsidP="008326EC">
      <w:pPr>
        <w:pStyle w:val="p6"/>
      </w:pPr>
    </w:p>
    <w:p w:rsidR="008326EC" w:rsidRDefault="008326EC" w:rsidP="008326EC">
      <w:pPr>
        <w:pStyle w:val="p6"/>
      </w:pPr>
      <w:r>
        <w:t>(2) Filing of an electronic application (Form DS–160) or Form DS–156 by alien under 16 or physically incapable. The application for an alien under 16 years of age or one physically incapable of completing an application may be completed and executed by the alien's parent or guardian, or if the alien has no parent or guardian, by any person having legal custody of, or a legitimate interest in, the alien.</w:t>
      </w:r>
    </w:p>
    <w:p w:rsidR="008326EC" w:rsidRDefault="008326EC" w:rsidP="008326EC">
      <w:pPr>
        <w:pStyle w:val="p6"/>
      </w:pPr>
    </w:p>
    <w:p w:rsidR="008326EC" w:rsidRDefault="008326EC" w:rsidP="008326EC">
      <w:pPr>
        <w:pStyle w:val="p6"/>
      </w:pPr>
      <w:r>
        <w:t>(3) Waiver of filing of application when personal appearance is waived. Even if personal appearance of a visa applicant is waived pursuant to 22 CFR 41.102, the requirement for filing an application is not waived.</w:t>
      </w:r>
    </w:p>
    <w:p w:rsidR="00A80366" w:rsidRDefault="00A80366">
      <w:pPr>
        <w:rPr>
          <w:b/>
          <w:sz w:val="24"/>
          <w:u w:val="single"/>
        </w:rPr>
      </w:pPr>
    </w:p>
    <w:p w:rsidR="00A80366" w:rsidRDefault="00A80366">
      <w:pPr>
        <w:pStyle w:val="p6"/>
        <w:widowControl/>
        <w:tabs>
          <w:tab w:val="clear" w:pos="204"/>
        </w:tabs>
        <w:spacing w:line="240" w:lineRule="auto"/>
      </w:pPr>
      <w:r>
        <w:rPr>
          <w:b/>
          <w:u w:val="single"/>
        </w:rPr>
        <w:br w:type="page"/>
      </w:r>
    </w:p>
    <w:p w:rsidR="00A80366" w:rsidRDefault="00A80366">
      <w:pPr>
        <w:rPr>
          <w:sz w:val="24"/>
        </w:rPr>
      </w:pPr>
    </w:p>
    <w:p w:rsidR="00A80366" w:rsidRDefault="00A80366">
      <w:pPr>
        <w:rPr>
          <w:b/>
          <w:sz w:val="24"/>
        </w:rPr>
      </w:pPr>
    </w:p>
    <w:p w:rsidR="00A80366" w:rsidRDefault="00A80366">
      <w:pPr>
        <w:rPr>
          <w:b/>
          <w:sz w:val="24"/>
          <w:u w:val="single"/>
        </w:rPr>
      </w:pPr>
      <w:r>
        <w:rPr>
          <w:b/>
          <w:sz w:val="24"/>
          <w:u w:val="single"/>
        </w:rPr>
        <w:t xml:space="preserve">Attachment </w:t>
      </w:r>
      <w:r w:rsidR="00D30F43">
        <w:rPr>
          <w:b/>
          <w:sz w:val="24"/>
          <w:u w:val="single"/>
        </w:rPr>
        <w:t>4</w:t>
      </w:r>
    </w:p>
    <w:p w:rsidR="00A80366" w:rsidRDefault="00A80366">
      <w:pPr>
        <w:rPr>
          <w:b/>
          <w:sz w:val="24"/>
          <w:u w:val="single"/>
        </w:rPr>
      </w:pPr>
    </w:p>
    <w:p w:rsidR="00A80366" w:rsidRDefault="00A80366">
      <w:pPr>
        <w:rPr>
          <w:b/>
          <w:sz w:val="24"/>
        </w:rPr>
      </w:pPr>
      <w:r>
        <w:rPr>
          <w:b/>
          <w:sz w:val="24"/>
        </w:rPr>
        <w:t>INA Section 222(f)</w:t>
      </w:r>
    </w:p>
    <w:p w:rsidR="00A80366" w:rsidRDefault="00A80366">
      <w:pPr>
        <w:rPr>
          <w:b/>
          <w:sz w:val="24"/>
          <w:u w:val="single"/>
        </w:rPr>
      </w:pPr>
    </w:p>
    <w:p w:rsidR="00A80366" w:rsidRDefault="00A80366">
      <w:pPr>
        <w:rPr>
          <w:sz w:val="24"/>
        </w:rPr>
      </w:pPr>
      <w:r>
        <w:rPr>
          <w:sz w:val="24"/>
        </w:rPr>
        <w:t xml:space="preserve">(f) The records of the Department of State and of diplomatic and consular offices of the United States pertaining to the issuance or refusal of visas or permits to enter the United States shall be considered confidential and shall be used only for the formulation, amendment, administration, or enforcement of the immigration, nationality, and other laws of the United States, except that-- </w:t>
      </w:r>
    </w:p>
    <w:p w:rsidR="00A80366" w:rsidRDefault="00A80366">
      <w:pPr>
        <w:rPr>
          <w:sz w:val="24"/>
        </w:rPr>
      </w:pPr>
      <w:r>
        <w:rPr>
          <w:sz w:val="24"/>
        </w:rPr>
        <w:t xml:space="preserve">(1) </w:t>
      </w:r>
      <w:proofErr w:type="gramStart"/>
      <w:r>
        <w:rPr>
          <w:sz w:val="24"/>
        </w:rPr>
        <w:t>in</w:t>
      </w:r>
      <w:proofErr w:type="gramEnd"/>
      <w:r>
        <w:rPr>
          <w:sz w:val="24"/>
        </w:rPr>
        <w:t xml:space="preserve"> the discretion of the Secretary of State certified copies of such records may be made available to a court which certifies that the information contained in such records is needed by the court in the interest of the ends of justice in a case pending before the court. </w:t>
      </w:r>
    </w:p>
    <w:p w:rsidR="00A80366" w:rsidRDefault="00A80366">
      <w:pPr>
        <w:pStyle w:val="p6"/>
        <w:widowControl/>
        <w:tabs>
          <w:tab w:val="clear" w:pos="204"/>
        </w:tabs>
        <w:spacing w:line="240" w:lineRule="auto"/>
      </w:pPr>
      <w:r>
        <w:t xml:space="preserve">(2) </w:t>
      </w:r>
      <w:proofErr w:type="gramStart"/>
      <w:r>
        <w:t>the</w:t>
      </w:r>
      <w:proofErr w:type="gramEnd"/>
      <w:r>
        <w:t xml:space="preserve"> Secretary of State, in the Secretary's discretion and on the basis of reciprocity, may provide to a foreign government information in the Department of State's computerized visa lookout database and, when necessary and appropriate, other records covered by this section related to information in the database-- </w:t>
      </w:r>
    </w:p>
    <w:p w:rsidR="00A80366" w:rsidRDefault="00A80366">
      <w:pPr>
        <w:rPr>
          <w:sz w:val="24"/>
        </w:rPr>
      </w:pPr>
      <w:r>
        <w:rPr>
          <w:sz w:val="24"/>
        </w:rPr>
        <w:t xml:space="preserve">(A) with regard to individual aliens, at any time on a case-by-case basis for the purpose of preventing, investigating, or punishing acts that would constitute a crime in the United States, including, but not limited to, terrorism or trafficking in controlled substances, persons, or illicit weapons; or </w:t>
      </w:r>
    </w:p>
    <w:p w:rsidR="00A80366" w:rsidRDefault="00A80366">
      <w:pPr>
        <w:rPr>
          <w:sz w:val="24"/>
        </w:rPr>
      </w:pPr>
      <w:r>
        <w:rPr>
          <w:sz w:val="24"/>
        </w:rPr>
        <w:t xml:space="preserve">(B) with regard to any or all aliens in the database, pursuant to such conditions as the Secretary of State shall establish in an agreement with the foreign government in which that government agrees to use such information and records for the purposes described in subparagraph (A) or to deny visas to persons who would be inadmissible to the United States. </w:t>
      </w:r>
    </w:p>
    <w:p w:rsidR="00A80366" w:rsidRDefault="00A80366">
      <w:pPr>
        <w:rPr>
          <w:b/>
          <w:sz w:val="24"/>
          <w:u w:val="single"/>
        </w:rPr>
      </w:pPr>
    </w:p>
    <w:p w:rsidR="00A80366" w:rsidRDefault="00A80366">
      <w:pPr>
        <w:rPr>
          <w:b/>
          <w:sz w:val="24"/>
          <w:u w:val="single"/>
        </w:rPr>
      </w:pPr>
      <w:r>
        <w:rPr>
          <w:b/>
          <w:sz w:val="24"/>
          <w:u w:val="single"/>
        </w:rPr>
        <w:br w:type="page"/>
      </w:r>
      <w:r>
        <w:rPr>
          <w:b/>
          <w:sz w:val="24"/>
          <w:u w:val="single"/>
        </w:rPr>
        <w:lastRenderedPageBreak/>
        <w:t xml:space="preserve">Attachment </w:t>
      </w:r>
      <w:r w:rsidR="00D30F43">
        <w:rPr>
          <w:b/>
          <w:sz w:val="24"/>
          <w:u w:val="single"/>
        </w:rPr>
        <w:t>5</w:t>
      </w:r>
    </w:p>
    <w:p w:rsidR="008326EC" w:rsidRDefault="008326EC">
      <w:pPr>
        <w:rPr>
          <w:b/>
          <w:sz w:val="24"/>
          <w:u w:val="single"/>
        </w:rPr>
      </w:pPr>
    </w:p>
    <w:p w:rsidR="008326EC" w:rsidRPr="008326EC" w:rsidRDefault="00E80D84">
      <w:pPr>
        <w:rPr>
          <w:b/>
          <w:sz w:val="24"/>
          <w:u w:val="single"/>
        </w:rPr>
      </w:pPr>
      <w:r w:rsidRPr="00E80D84">
        <w:rPr>
          <w:b/>
          <w:sz w:val="24"/>
        </w:rPr>
        <w:t>Section 140(a) of the Foreign Relations Authorization Act</w:t>
      </w:r>
      <w:r w:rsidR="00D4292F">
        <w:rPr>
          <w:b/>
          <w:sz w:val="24"/>
        </w:rPr>
        <w:t>,</w:t>
      </w:r>
      <w:r w:rsidR="008326EC">
        <w:rPr>
          <w:b/>
          <w:sz w:val="24"/>
        </w:rPr>
        <w:t xml:space="preserve"> Fiscal Years 1994 and 1995</w:t>
      </w:r>
      <w:r w:rsidRPr="00E80D84">
        <w:rPr>
          <w:b/>
          <w:sz w:val="24"/>
        </w:rPr>
        <w:t>, Public Law 103-236</w:t>
      </w:r>
    </w:p>
    <w:p w:rsidR="00A80366" w:rsidRDefault="00A80366">
      <w:pPr>
        <w:rPr>
          <w:b/>
          <w:sz w:val="24"/>
          <w:u w:val="single"/>
        </w:rPr>
      </w:pPr>
    </w:p>
    <w:p w:rsidR="00A80366" w:rsidRDefault="00A80366">
      <w:pPr>
        <w:rPr>
          <w:sz w:val="24"/>
        </w:rPr>
      </w:pPr>
      <w:proofErr w:type="gramStart"/>
      <w:r>
        <w:rPr>
          <w:sz w:val="24"/>
        </w:rPr>
        <w:t>SEC. 140.</w:t>
      </w:r>
      <w:proofErr w:type="gramEnd"/>
      <w:r>
        <w:rPr>
          <w:sz w:val="24"/>
        </w:rPr>
        <w:t xml:space="preserve"> </w:t>
      </w:r>
      <w:proofErr w:type="gramStart"/>
      <w:r>
        <w:rPr>
          <w:sz w:val="24"/>
        </w:rPr>
        <w:t>VISAS.</w:t>
      </w:r>
      <w:proofErr w:type="gramEnd"/>
      <w:r>
        <w:rPr>
          <w:sz w:val="24"/>
        </w:rPr>
        <w:t xml:space="preserve"> </w:t>
      </w:r>
    </w:p>
    <w:p w:rsidR="00A80366" w:rsidRDefault="00A80366">
      <w:pPr>
        <w:rPr>
          <w:sz w:val="24"/>
        </w:rPr>
      </w:pPr>
      <w:r>
        <w:rPr>
          <w:sz w:val="24"/>
        </w:rPr>
        <w:t>(</w:t>
      </w:r>
      <w:proofErr w:type="gramStart"/>
      <w:r>
        <w:rPr>
          <w:sz w:val="24"/>
        </w:rPr>
        <w:t>a</w:t>
      </w:r>
      <w:proofErr w:type="gramEnd"/>
      <w:r>
        <w:rPr>
          <w:sz w:val="24"/>
        </w:rPr>
        <w:t xml:space="preserve">) SURCHARGE FOR PROCESSING CERTAIN VISAS- </w:t>
      </w:r>
    </w:p>
    <w:p w:rsidR="00A80366" w:rsidRDefault="00A80366">
      <w:pPr>
        <w:rPr>
          <w:sz w:val="24"/>
        </w:rPr>
      </w:pPr>
      <w:r>
        <w:rPr>
          <w:sz w:val="24"/>
        </w:rPr>
        <w:t xml:space="preserve">(1) Notwithstanding any other provision of law, the Secretary of State is authorized to charge a fee or surcharge for processing machine readable nonimmigrant visas and machine readable combined border crossing identification cards and nonimmigrant visas. </w:t>
      </w:r>
    </w:p>
    <w:p w:rsidR="00A80366" w:rsidRDefault="00A80366">
      <w:pPr>
        <w:rPr>
          <w:sz w:val="24"/>
        </w:rPr>
      </w:pPr>
      <w:r>
        <w:rPr>
          <w:sz w:val="24"/>
        </w:rPr>
        <w:t xml:space="preserve">(2) Fees collected under the authority of subsection (a) shall be deposited as an offsetting collection to any Department of State appropriation, to recover the costs of providing consular services. Such fees shall remain available for obligation until expended. </w:t>
      </w:r>
    </w:p>
    <w:p w:rsidR="00A80366" w:rsidRDefault="00A80366">
      <w:pPr>
        <w:rPr>
          <w:sz w:val="24"/>
        </w:rPr>
      </w:pPr>
      <w:r>
        <w:rPr>
          <w:sz w:val="24"/>
        </w:rPr>
        <w:t xml:space="preserve">(3) For fiscal years 1994 and 1995, fees deposited under the authority of paragraph (2) may not exceed a total of $107,500,000. For subsequent fiscal years, fees may be collected under the authority of paragraph (1) only in such amounts as shall be prescribed in subsequent authorization Acts. </w:t>
      </w:r>
    </w:p>
    <w:p w:rsidR="00A80366" w:rsidRDefault="00A80366">
      <w:pPr>
        <w:rPr>
          <w:sz w:val="24"/>
        </w:rPr>
      </w:pPr>
      <w:r>
        <w:rPr>
          <w:sz w:val="24"/>
        </w:rPr>
        <w:t xml:space="preserve">(4) The provisions of the Act of August 18, 1856 (Revised Statutes 1726-28; 22 U.S.C. 4212-14), concerning accounting for consular fees shall not apply to fees collected under this subsection. </w:t>
      </w:r>
    </w:p>
    <w:p w:rsidR="00A80366" w:rsidRDefault="00A80366">
      <w:pPr>
        <w:rPr>
          <w:sz w:val="24"/>
        </w:rPr>
      </w:pPr>
      <w:r>
        <w:rPr>
          <w:sz w:val="24"/>
        </w:rPr>
        <w:t xml:space="preserve">(5) No fee or surcharge authorized under paragraph (1) may be charged to a citizen of a country that is a signatory as of the date of enactment of this Act to the North American Free Trade Agreement, except that the Secretary of State may charge such fee or surcharge to a citizen of such a country if the Secretary determines that such country charges a visa application or issuance fee to citizens of the United States. </w:t>
      </w:r>
    </w:p>
    <w:p w:rsidR="00A80366" w:rsidRDefault="00A80366">
      <w:pPr>
        <w:rPr>
          <w:b/>
          <w:sz w:val="24"/>
          <w:u w:val="single"/>
        </w:rPr>
      </w:pPr>
    </w:p>
    <w:p w:rsidR="00D46617" w:rsidRDefault="00D46617">
      <w:pPr>
        <w:rPr>
          <w:b/>
          <w:sz w:val="24"/>
          <w:u w:val="single"/>
        </w:rPr>
      </w:pPr>
    </w:p>
    <w:p w:rsidR="00D46617" w:rsidRDefault="00D46617">
      <w:pPr>
        <w:rPr>
          <w:b/>
          <w:sz w:val="24"/>
          <w:u w:val="single"/>
        </w:rPr>
      </w:pPr>
    </w:p>
    <w:p w:rsidR="00D46617" w:rsidRDefault="00D46617">
      <w:pPr>
        <w:rPr>
          <w:b/>
          <w:sz w:val="24"/>
          <w:u w:val="single"/>
        </w:rPr>
      </w:pPr>
    </w:p>
    <w:p w:rsidR="00D46617" w:rsidRDefault="00D46617">
      <w:pPr>
        <w:rPr>
          <w:b/>
          <w:sz w:val="24"/>
          <w:u w:val="single"/>
        </w:rPr>
      </w:pPr>
    </w:p>
    <w:p w:rsidR="00D46617" w:rsidRDefault="00D46617">
      <w:pPr>
        <w:rPr>
          <w:b/>
          <w:sz w:val="24"/>
          <w:u w:val="single"/>
        </w:rPr>
      </w:pPr>
    </w:p>
    <w:p w:rsidR="00D46617" w:rsidRDefault="00D46617">
      <w:pPr>
        <w:rPr>
          <w:b/>
          <w:sz w:val="24"/>
          <w:u w:val="single"/>
        </w:rPr>
      </w:pPr>
    </w:p>
    <w:p w:rsidR="00D46617" w:rsidRDefault="00D46617">
      <w:pPr>
        <w:rPr>
          <w:b/>
          <w:sz w:val="24"/>
          <w:u w:val="single"/>
        </w:rPr>
      </w:pPr>
    </w:p>
    <w:p w:rsidR="00D46617" w:rsidRDefault="00D46617">
      <w:pPr>
        <w:rPr>
          <w:b/>
          <w:sz w:val="24"/>
          <w:u w:val="single"/>
        </w:rPr>
      </w:pPr>
    </w:p>
    <w:p w:rsidR="00D46617" w:rsidRDefault="00D46617">
      <w:pPr>
        <w:rPr>
          <w:b/>
          <w:sz w:val="24"/>
          <w:u w:val="single"/>
        </w:rPr>
      </w:pPr>
    </w:p>
    <w:p w:rsidR="00D46617" w:rsidRDefault="00D46617">
      <w:pPr>
        <w:rPr>
          <w:b/>
          <w:sz w:val="24"/>
          <w:u w:val="single"/>
        </w:rPr>
      </w:pPr>
    </w:p>
    <w:p w:rsidR="00D46617" w:rsidRDefault="00D46617">
      <w:pPr>
        <w:rPr>
          <w:b/>
          <w:sz w:val="24"/>
          <w:u w:val="single"/>
        </w:rPr>
      </w:pPr>
    </w:p>
    <w:p w:rsidR="00D46617" w:rsidRDefault="00D46617">
      <w:pPr>
        <w:rPr>
          <w:b/>
          <w:sz w:val="24"/>
          <w:u w:val="single"/>
        </w:rPr>
      </w:pPr>
    </w:p>
    <w:p w:rsidR="00D46617" w:rsidRDefault="00D46617">
      <w:pPr>
        <w:rPr>
          <w:b/>
          <w:sz w:val="24"/>
          <w:u w:val="single"/>
        </w:rPr>
      </w:pPr>
    </w:p>
    <w:p w:rsidR="00D46617" w:rsidRDefault="00D46617">
      <w:pPr>
        <w:rPr>
          <w:b/>
          <w:sz w:val="24"/>
          <w:u w:val="single"/>
        </w:rPr>
      </w:pPr>
    </w:p>
    <w:p w:rsidR="00D46617" w:rsidRDefault="00D46617">
      <w:pPr>
        <w:rPr>
          <w:b/>
          <w:sz w:val="24"/>
          <w:u w:val="single"/>
        </w:rPr>
      </w:pPr>
    </w:p>
    <w:p w:rsidR="00D46617" w:rsidRDefault="00D46617">
      <w:pPr>
        <w:rPr>
          <w:b/>
          <w:sz w:val="24"/>
          <w:u w:val="single"/>
        </w:rPr>
      </w:pPr>
      <w:r>
        <w:rPr>
          <w:b/>
          <w:sz w:val="24"/>
          <w:u w:val="single"/>
        </w:rPr>
        <w:br w:type="page"/>
      </w:r>
    </w:p>
    <w:p w:rsidR="00D46617" w:rsidRDefault="00D46617" w:rsidP="00D46617">
      <w:pPr>
        <w:rPr>
          <w:b/>
          <w:sz w:val="24"/>
          <w:u w:val="single"/>
        </w:rPr>
      </w:pPr>
      <w:r>
        <w:rPr>
          <w:b/>
          <w:sz w:val="24"/>
          <w:u w:val="single"/>
        </w:rPr>
        <w:lastRenderedPageBreak/>
        <w:t>Attachment 6</w:t>
      </w:r>
    </w:p>
    <w:p w:rsidR="00D46617" w:rsidRDefault="00D46617" w:rsidP="00D46617">
      <w:pPr>
        <w:rPr>
          <w:b/>
          <w:sz w:val="24"/>
          <w:u w:val="single"/>
        </w:rPr>
      </w:pPr>
    </w:p>
    <w:p w:rsidR="00D46617" w:rsidRDefault="00D46617" w:rsidP="00D46617">
      <w:pPr>
        <w:widowControl w:val="0"/>
        <w:autoSpaceDE w:val="0"/>
        <w:autoSpaceDN w:val="0"/>
        <w:adjustRightInd w:val="0"/>
        <w:rPr>
          <w:sz w:val="24"/>
          <w:szCs w:val="24"/>
        </w:rPr>
        <w:sectPr w:rsidR="00D46617">
          <w:headerReference w:type="default" r:id="rId11"/>
          <w:footerReference w:type="default" r:id="rId12"/>
          <w:pgSz w:w="12240" w:h="15840"/>
          <w:pgMar w:top="2520" w:right="1080" w:bottom="1800" w:left="1080" w:header="720" w:footer="720" w:gutter="0"/>
          <w:pgNumType w:start="1"/>
          <w:cols w:space="720"/>
          <w:noEndnote/>
        </w:sectPr>
      </w:pPr>
    </w:p>
    <w:p w:rsidR="00D46617" w:rsidRDefault="00D46617" w:rsidP="00D46617">
      <w:pPr>
        <w:widowControl w:val="0"/>
        <w:autoSpaceDE w:val="0"/>
        <w:autoSpaceDN w:val="0"/>
        <w:adjustRightInd w:val="0"/>
        <w:rPr>
          <w:sz w:val="24"/>
          <w:szCs w:val="24"/>
        </w:rPr>
        <w:sectPr w:rsidR="00D46617">
          <w:type w:val="continuous"/>
          <w:pgSz w:w="12240" w:h="15840"/>
          <w:pgMar w:top="2016" w:right="1080" w:bottom="1800" w:left="1080" w:header="720" w:footer="720" w:gutter="0"/>
          <w:cols w:space="720"/>
          <w:noEndnote/>
        </w:sectPr>
      </w:pPr>
    </w:p>
    <w:p w:rsidR="00D46617" w:rsidRDefault="00D46617" w:rsidP="00D46617">
      <w:pPr>
        <w:widowControl w:val="0"/>
        <w:autoSpaceDE w:val="0"/>
        <w:autoSpaceDN w:val="0"/>
        <w:adjustRightInd w:val="0"/>
        <w:jc w:val="center"/>
        <w:rPr>
          <w:color w:val="000000"/>
          <w:sz w:val="24"/>
          <w:szCs w:val="24"/>
        </w:rPr>
      </w:pPr>
      <w:bookmarkStart w:id="0" w:name="Document0zzSDUNumber1"/>
      <w:bookmarkEnd w:id="0"/>
      <w:r>
        <w:rPr>
          <w:color w:val="000000"/>
        </w:rPr>
        <w:lastRenderedPageBreak/>
        <w:t>RULES and REGULATIONS</w:t>
      </w:r>
    </w:p>
    <w:p w:rsidR="00D46617" w:rsidRDefault="00D46617" w:rsidP="00D46617">
      <w:pPr>
        <w:widowControl w:val="0"/>
        <w:autoSpaceDE w:val="0"/>
        <w:autoSpaceDN w:val="0"/>
        <w:adjustRightInd w:val="0"/>
        <w:rPr>
          <w:color w:val="000000"/>
          <w:sz w:val="24"/>
          <w:szCs w:val="24"/>
        </w:rPr>
      </w:pPr>
    </w:p>
    <w:p w:rsidR="00D46617" w:rsidRDefault="00D46617" w:rsidP="00D46617">
      <w:pPr>
        <w:widowControl w:val="0"/>
        <w:autoSpaceDE w:val="0"/>
        <w:autoSpaceDN w:val="0"/>
        <w:adjustRightInd w:val="0"/>
        <w:jc w:val="center"/>
        <w:rPr>
          <w:color w:val="000000"/>
          <w:sz w:val="24"/>
          <w:szCs w:val="24"/>
        </w:rPr>
      </w:pPr>
      <w:r>
        <w:rPr>
          <w:color w:val="000000"/>
        </w:rPr>
        <w:t>DEPARTMENT OF STATE</w:t>
      </w:r>
    </w:p>
    <w:p w:rsidR="00D46617" w:rsidRDefault="00D46617" w:rsidP="00D46617">
      <w:pPr>
        <w:widowControl w:val="0"/>
        <w:autoSpaceDE w:val="0"/>
        <w:autoSpaceDN w:val="0"/>
        <w:adjustRightInd w:val="0"/>
        <w:rPr>
          <w:color w:val="000000"/>
          <w:sz w:val="24"/>
          <w:szCs w:val="24"/>
        </w:rPr>
      </w:pPr>
    </w:p>
    <w:p w:rsidR="00D46617" w:rsidRPr="00877DFA" w:rsidRDefault="00D46617" w:rsidP="00D46617">
      <w:pPr>
        <w:jc w:val="center"/>
      </w:pPr>
      <w:r w:rsidRPr="00877DFA">
        <w:t xml:space="preserve">22 CFR </w:t>
      </w:r>
      <w:proofErr w:type="gramStart"/>
      <w:r w:rsidRPr="00877DFA">
        <w:t>Part</w:t>
      </w:r>
      <w:proofErr w:type="gramEnd"/>
      <w:r w:rsidRPr="00877DFA">
        <w:t xml:space="preserve"> 22</w:t>
      </w:r>
    </w:p>
    <w:p w:rsidR="00D46617" w:rsidRPr="00877DFA" w:rsidRDefault="00D46617" w:rsidP="00D46617">
      <w:pPr>
        <w:jc w:val="center"/>
      </w:pPr>
    </w:p>
    <w:p w:rsidR="00D46617" w:rsidRPr="00877DFA" w:rsidRDefault="00D46617" w:rsidP="00D46617">
      <w:pPr>
        <w:jc w:val="center"/>
      </w:pPr>
      <w:r w:rsidRPr="00877DFA">
        <w:t>[Public Notice: 7018]</w:t>
      </w:r>
    </w:p>
    <w:p w:rsidR="00D46617" w:rsidRPr="00877DFA" w:rsidRDefault="00D46617" w:rsidP="00D46617">
      <w:pPr>
        <w:jc w:val="center"/>
      </w:pPr>
    </w:p>
    <w:p w:rsidR="00D46617" w:rsidRPr="00877DFA" w:rsidRDefault="00D46617" w:rsidP="00D46617">
      <w:pPr>
        <w:jc w:val="center"/>
      </w:pPr>
      <w:r w:rsidRPr="00877DFA">
        <w:t>RIN 1400-AC57</w:t>
      </w:r>
    </w:p>
    <w:p w:rsidR="00D46617" w:rsidRPr="00877DFA" w:rsidRDefault="00D46617" w:rsidP="00D46617">
      <w:pPr>
        <w:jc w:val="center"/>
      </w:pPr>
    </w:p>
    <w:p w:rsidR="00D46617" w:rsidRPr="00877DFA" w:rsidRDefault="00D46617" w:rsidP="00D46617">
      <w:pPr>
        <w:jc w:val="center"/>
      </w:pPr>
      <w:r w:rsidRPr="00877DFA">
        <w:t>Schedule of Fees for Consular Services, Department of State and Overseas Embassies and Consulates</w:t>
      </w:r>
    </w:p>
    <w:p w:rsidR="00D46617" w:rsidRPr="00877DFA" w:rsidRDefault="00D46617" w:rsidP="00D46617">
      <w:pPr>
        <w:jc w:val="center"/>
      </w:pPr>
    </w:p>
    <w:p w:rsidR="00D46617" w:rsidRPr="00877DFA" w:rsidRDefault="00D46617" w:rsidP="00D46617">
      <w:pPr>
        <w:jc w:val="center"/>
      </w:pPr>
      <w:r w:rsidRPr="00877DFA">
        <w:t>Thursday, May 20, 2010</w:t>
      </w:r>
    </w:p>
    <w:p w:rsidR="00D46617" w:rsidRPr="00877DFA" w:rsidRDefault="00D46617" w:rsidP="00D46617">
      <w:pPr>
        <w:jc w:val="center"/>
      </w:pPr>
    </w:p>
    <w:p w:rsidR="00D46617" w:rsidRPr="00877DFA" w:rsidRDefault="00D46617" w:rsidP="00D46617">
      <w:pPr>
        <w:jc w:val="center"/>
      </w:pPr>
      <w:r w:rsidRPr="00877DFA">
        <w:t>AGENCY: Bureau of Consular Affairs, State.</w:t>
      </w:r>
    </w:p>
    <w:p w:rsidR="00D46617" w:rsidRPr="00877DFA" w:rsidRDefault="00D46617" w:rsidP="00D46617">
      <w:pPr>
        <w:jc w:val="center"/>
      </w:pPr>
    </w:p>
    <w:p w:rsidR="00D46617" w:rsidRPr="00877DFA" w:rsidRDefault="00D46617" w:rsidP="00D46617">
      <w:pPr>
        <w:jc w:val="center"/>
      </w:pPr>
      <w:r w:rsidRPr="00877DFA">
        <w:t>*28188 ACTION: Interim final rule.</w:t>
      </w:r>
    </w:p>
    <w:p w:rsidR="00D46617" w:rsidRPr="00877DFA" w:rsidRDefault="00D46617" w:rsidP="00D46617"/>
    <w:p w:rsidR="00D46617" w:rsidRPr="00877DFA" w:rsidRDefault="00D46617" w:rsidP="00D46617">
      <w:r w:rsidRPr="00877DFA">
        <w:t>SUMMARY: Further to the Department's proposed rule to amend the Schedule of Fees for Consular Services (Schedule) for nonimmigrant visa and border crossing card application processing fees, this rule raises from $131 to $140 the fee charged for the processing of an application for most non-petition-based nonimmigrant visas (Machine-Readable Visas or MRVs) and adult Border Crossing Cards (BCCs). The rule also provides new tiers of the application fee for certain categories of petition-based nonimmigrant visas and treaty trader and investor visas (all of which are also MRVs). Finally, the rule increases the $13 BCC fee charged to Mexican citizen minors who apply in Mexico, and whose parent or guardian already has a BCC or is applying for one, by raising that fee to $14 by virtue of a congressionally mandated surcharge that went into effect in 2009. The Department of State is adjusting the fees to ensure that sufficient resources are available to meet the costs of providing consular services in light of an independent cost of service study's findings that the U.S. Government is not fully covering its costs for the processing of these visas under the current cost structure. Eighty-one comments were received during the period for public comment, and this rule also addresses a comment received about a prior change to the MRV fee implemented on January 1, 2008. This rule addresses comments received thus far, and reopens the comment period on these fees for an additional 60 days.</w:t>
      </w:r>
    </w:p>
    <w:p w:rsidR="00D46617" w:rsidRPr="00877DFA" w:rsidRDefault="00D46617" w:rsidP="00D46617"/>
    <w:p w:rsidR="00D46617" w:rsidRPr="00877DFA" w:rsidRDefault="00D46617" w:rsidP="00D46617">
      <w:r w:rsidRPr="00877DFA">
        <w:t>DATES: Effective Date: This interim final rule becomes effective June 4, 2010. Comment date: Written comments must be received on or before July 19, 2010.</w:t>
      </w:r>
    </w:p>
    <w:p w:rsidR="00D46617" w:rsidRPr="00877DFA" w:rsidRDefault="00D46617" w:rsidP="00D46617"/>
    <w:p w:rsidR="00D46617" w:rsidRPr="00877DFA" w:rsidRDefault="00D46617" w:rsidP="00D46617">
      <w:r w:rsidRPr="00877DFA">
        <w:t>ADDRESSES: Interested parties may contact the Department by any of the following methods:</w:t>
      </w:r>
    </w:p>
    <w:p w:rsidR="00D46617" w:rsidRPr="00877DFA" w:rsidRDefault="00D46617" w:rsidP="00D46617"/>
    <w:p w:rsidR="00D46617" w:rsidRPr="00877DFA" w:rsidRDefault="00D46617" w:rsidP="00D46617">
      <w:r w:rsidRPr="00877DFA">
        <w:t>• Persons with access to the Internet may view this notice and submit comments by going to the regulations.gov Web site at: http://www.regulations.gov/index.cfm.</w:t>
      </w:r>
    </w:p>
    <w:p w:rsidR="00D46617" w:rsidRPr="00877DFA" w:rsidRDefault="00D46617" w:rsidP="00D46617"/>
    <w:p w:rsidR="00D46617" w:rsidRPr="00877DFA" w:rsidRDefault="00D46617" w:rsidP="00D46617">
      <w:r w:rsidRPr="00877DFA">
        <w:t xml:space="preserve">• Mail (paper, disk, or CD-ROM): U.S. Department of State, Office of the Executive Director, Bureau of Consular Affairs, U.S. Department of State, Suite H1001, 2401 E Street, </w:t>
      </w:r>
      <w:proofErr w:type="gramStart"/>
      <w:r w:rsidRPr="00877DFA">
        <w:t>NW.,</w:t>
      </w:r>
      <w:proofErr w:type="gramEnd"/>
      <w:r w:rsidRPr="00877DFA">
        <w:t xml:space="preserve"> Washington, DC 20520.</w:t>
      </w:r>
    </w:p>
    <w:p w:rsidR="00D46617" w:rsidRPr="00877DFA" w:rsidRDefault="00D46617" w:rsidP="00D46617"/>
    <w:p w:rsidR="00D46617" w:rsidRPr="00877DFA" w:rsidRDefault="00D46617" w:rsidP="00D46617">
      <w:r w:rsidRPr="00877DFA">
        <w:t>• E-mail: fees@state.gov. You must include the RIN (1400-AC57) in the subject line of your message.</w:t>
      </w:r>
    </w:p>
    <w:p w:rsidR="00D46617" w:rsidRPr="00877DFA" w:rsidRDefault="00D46617" w:rsidP="00D46617"/>
    <w:p w:rsidR="00D46617" w:rsidRPr="00877DFA" w:rsidRDefault="00D46617" w:rsidP="00D46617">
      <w:r w:rsidRPr="00877DFA">
        <w:lastRenderedPageBreak/>
        <w:t xml:space="preserve">FOR FURTHER INFORMATION CONTACT: Amber Baskette, Office of the Executive Director, Bureau of Consular Affairs, Department of State; phone: 202-663-3923, </w:t>
      </w:r>
      <w:proofErr w:type="spellStart"/>
      <w:r w:rsidRPr="00877DFA">
        <w:t>telefax</w:t>
      </w:r>
      <w:proofErr w:type="spellEnd"/>
      <w:r w:rsidRPr="00877DFA">
        <w:t>: 202-663-2599; e-mail: fees@state.gov.</w:t>
      </w:r>
    </w:p>
    <w:p w:rsidR="00D46617" w:rsidRPr="00877DFA" w:rsidRDefault="00D46617" w:rsidP="00D46617"/>
    <w:p w:rsidR="00D46617" w:rsidRPr="00877DFA" w:rsidRDefault="00D46617" w:rsidP="00D46617">
      <w:r w:rsidRPr="00877DFA">
        <w:t>SUPPLEMENTARY INFORMATION:</w:t>
      </w:r>
    </w:p>
    <w:p w:rsidR="00D46617" w:rsidRPr="00877DFA" w:rsidRDefault="00D46617" w:rsidP="00D46617"/>
    <w:p w:rsidR="00D46617" w:rsidRPr="00877DFA" w:rsidRDefault="00D46617" w:rsidP="00D46617">
      <w:r w:rsidRPr="00877DFA">
        <w:t>Background</w:t>
      </w:r>
    </w:p>
    <w:p w:rsidR="00D46617" w:rsidRPr="00877DFA" w:rsidRDefault="00D46617" w:rsidP="00D46617"/>
    <w:p w:rsidR="00D46617" w:rsidRPr="00877DFA" w:rsidRDefault="00D46617" w:rsidP="00D46617">
      <w:r w:rsidRPr="00877DFA">
        <w:t xml:space="preserve">The Department published a proposed rule in the Federal Register, </w:t>
      </w:r>
      <w:hyperlink r:id="rId13" w:history="1">
        <w:r w:rsidRPr="00877DFA">
          <w:rPr>
            <w:rStyle w:val="Hyperlink"/>
          </w:rPr>
          <w:t>74 FR 66076</w:t>
        </w:r>
      </w:hyperlink>
      <w:r w:rsidRPr="00877DFA">
        <w:t xml:space="preserve">, on December 14, 2009, proposing to amend </w:t>
      </w:r>
      <w:hyperlink r:id="rId14" w:history="1">
        <w:r w:rsidRPr="00877DFA">
          <w:rPr>
            <w:rStyle w:val="Hyperlink"/>
          </w:rPr>
          <w:t>22 CFR 22.1</w:t>
        </w:r>
      </w:hyperlink>
      <w:r w:rsidRPr="00877DFA">
        <w:t xml:space="preserve">. Specifically, the rule proposed changes to the Schedule of Fees for Consular Services for nonimmigrant visa and border crossing card application processing fees, and provided 60 days for comments from the public. In response to requests by the public for more information and a further opportunity to submit comments, the Department subsequently published a supplementary notice in the Federal Register, </w:t>
      </w:r>
      <w:hyperlink r:id="rId15" w:history="1">
        <w:r w:rsidRPr="00877DFA">
          <w:rPr>
            <w:rStyle w:val="Hyperlink"/>
          </w:rPr>
          <w:t>75 FR 14111</w:t>
        </w:r>
      </w:hyperlink>
      <w:r w:rsidRPr="00877DFA">
        <w:t>, on March 24, 2010 (Public Notice 6928). The supplementary notice provided a more detailed explanation of the Cost of Survey Study (</w:t>
      </w:r>
      <w:proofErr w:type="spellStart"/>
      <w:r w:rsidRPr="00877DFA">
        <w:t>CoSS</w:t>
      </w:r>
      <w:proofErr w:type="spellEnd"/>
      <w:r w:rsidRPr="00877DFA">
        <w:t xml:space="preserve">), the activity-based costing model that the Department used to determine the proposed fees for consular services, and reopened the comment period for an additional 15 days. During this and the previous 60-*28189 day comment period, 81 comments were received, either by e-mail or through the submission process at http://www.regulations.gov. The current notice reflects responses by the Department to the comments received in the 75 days during which the comment period for this proposed rule was open. While the Department will implement the proposed changes to the Schedule of Fees contained in this notice and begin collecting the new fees 15 days after publication of this rule, on that same date it will also post additional information regarding the </w:t>
      </w:r>
      <w:proofErr w:type="spellStart"/>
      <w:r w:rsidRPr="00877DFA">
        <w:t>CoSS</w:t>
      </w:r>
      <w:proofErr w:type="spellEnd"/>
      <w:r w:rsidRPr="00877DFA">
        <w:t xml:space="preserve"> model and fee-setting exercise on its Web site (travel.state.gov) and will accept further public comments for an additional 60 days. The Department will consider these further comments, and whether to make any changes to the rule in response to them, prior to publishing a final rule.</w:t>
      </w:r>
    </w:p>
    <w:p w:rsidR="00D46617" w:rsidRPr="00877DFA" w:rsidRDefault="00D46617" w:rsidP="00D46617"/>
    <w:p w:rsidR="00D46617" w:rsidRPr="00877DFA" w:rsidRDefault="00D46617" w:rsidP="00D46617">
      <w:r w:rsidRPr="00877DFA">
        <w:t>What Is the Authority for This Action?</w:t>
      </w:r>
    </w:p>
    <w:p w:rsidR="00D46617" w:rsidRPr="00877DFA" w:rsidRDefault="00D46617" w:rsidP="00D46617"/>
    <w:p w:rsidR="00D46617" w:rsidRPr="00877DFA" w:rsidRDefault="00D46617" w:rsidP="00D46617">
      <w:r w:rsidRPr="00877DFA">
        <w:t xml:space="preserve">As explained when the revised Schedule of Fees was published as a proposed rule, the Department of State derives the statutory authority to set the amount of fees for the consular services it provides, and to charge those fees, from the general user charges statute, </w:t>
      </w:r>
      <w:hyperlink r:id="rId16" w:history="1">
        <w:r w:rsidRPr="00877DFA">
          <w:rPr>
            <w:rStyle w:val="Hyperlink"/>
          </w:rPr>
          <w:t>31 U.S.C. 9701</w:t>
        </w:r>
      </w:hyperlink>
      <w:r w:rsidRPr="00877DFA">
        <w:t xml:space="preserve">. See, e.g., </w:t>
      </w:r>
      <w:hyperlink r:id="rId17" w:history="1">
        <w:r w:rsidRPr="00877DFA">
          <w:rPr>
            <w:rStyle w:val="Hyperlink"/>
          </w:rPr>
          <w:t>31 U.S.C. 9701(b</w:t>
        </w:r>
        <w:proofErr w:type="gramStart"/>
        <w:r w:rsidRPr="00877DFA">
          <w:rPr>
            <w:rStyle w:val="Hyperlink"/>
          </w:rPr>
          <w:t>)(</w:t>
        </w:r>
        <w:proofErr w:type="gramEnd"/>
        <w:r w:rsidRPr="00877DFA">
          <w:rPr>
            <w:rStyle w:val="Hyperlink"/>
          </w:rPr>
          <w:t>2)(A)</w:t>
        </w:r>
      </w:hyperlink>
      <w:r w:rsidRPr="00877DFA">
        <w:t xml:space="preserve"> (“The head of each agency * * * may prescribe regulations establishing the charge for a service or thing of value provided by the agency * * * based on * * * the costs to the Government.”). As implemented through </w:t>
      </w:r>
      <w:hyperlink r:id="rId18" w:history="1">
        <w:r w:rsidRPr="00877DFA">
          <w:rPr>
            <w:rStyle w:val="Hyperlink"/>
          </w:rPr>
          <w:t>Executive Order 10718</w:t>
        </w:r>
      </w:hyperlink>
      <w:r w:rsidRPr="00877DFA">
        <w:t xml:space="preserve"> of June 27, 1957, </w:t>
      </w:r>
      <w:hyperlink r:id="rId19" w:history="1">
        <w:r w:rsidRPr="00877DFA">
          <w:rPr>
            <w:rStyle w:val="Hyperlink"/>
          </w:rPr>
          <w:t>22 U.S.C. 4219</w:t>
        </w:r>
      </w:hyperlink>
      <w:r w:rsidRPr="00877DFA">
        <w:t xml:space="preserve"> further authorizes the Department to establish fees to be charged for official services provided by U.S. embassies and consulates. When a service provided by the Department “provides special benefits to an identifiable recipient beyond those that accrue to the general public,” guidance issued by the Office of Management and Budget (OMB) directs that charges for the good or service in question shall be “sufficient to recover the full cost to the Federal Government * * * of providing the service * * * or good * * * .” OMB Circular A-25</w:t>
      </w:r>
      <w:proofErr w:type="gramStart"/>
      <w:r w:rsidRPr="00877DFA">
        <w:t>, )</w:t>
      </w:r>
      <w:proofErr w:type="gramEnd"/>
      <w:r w:rsidRPr="00877DFA">
        <w:t xml:space="preserve"> 6(a)(1), (a)(2)(a).</w:t>
      </w:r>
    </w:p>
    <w:p w:rsidR="00D46617" w:rsidRPr="00877DFA" w:rsidRDefault="00D46617" w:rsidP="00D46617"/>
    <w:p w:rsidR="00D46617" w:rsidRPr="00877DFA" w:rsidRDefault="00D46617" w:rsidP="00D46617">
      <w:r w:rsidRPr="00877DFA">
        <w:t xml:space="preserve">Other authorities allow the Department to charge fees for consular services, but not to determine the amount of such fees, as the amount is statutorily determined, such as the $13 fee, discussed below, for machine-readable BCCs for certain Mexican citizen minors. Omnibus Consolidated and Emergency Supplemental Appropriations Act of 1999, </w:t>
      </w:r>
      <w:hyperlink r:id="rId20" w:history="1">
        <w:r w:rsidRPr="00877DFA">
          <w:rPr>
            <w:rStyle w:val="Hyperlink"/>
          </w:rPr>
          <w:t>Public Law 105-277, 112 Stat. 2681-</w:t>
        </w:r>
      </w:hyperlink>
      <w:r w:rsidRPr="00877DFA">
        <w:t xml:space="preserve">50, Div. </w:t>
      </w:r>
      <w:proofErr w:type="gramStart"/>
      <w:r w:rsidRPr="00877DFA">
        <w:t xml:space="preserve">A, Title IV, § 410(a), (reproduced at </w:t>
      </w:r>
      <w:hyperlink r:id="rId21" w:history="1">
        <w:r w:rsidRPr="00877DFA">
          <w:rPr>
            <w:rStyle w:val="Hyperlink"/>
          </w:rPr>
          <w:t>8 U.S.C. 1351</w:t>
        </w:r>
      </w:hyperlink>
      <w:r w:rsidRPr="00877DFA">
        <w:t xml:space="preserve"> note).</w:t>
      </w:r>
      <w:proofErr w:type="gramEnd"/>
    </w:p>
    <w:p w:rsidR="00D46617" w:rsidRPr="00877DFA" w:rsidRDefault="00D46617" w:rsidP="00D46617"/>
    <w:p w:rsidR="00D46617" w:rsidRPr="00877DFA" w:rsidRDefault="00D46617" w:rsidP="00D46617">
      <w:r w:rsidRPr="00877DFA">
        <w:t xml:space="preserve">A number of other statutes address specific fees and surcharges related to nonimmigrant visas. A cost-based, nonimmigrant visa processing fee for MRVs and BCCs is authorized by section 140(a) of the Foreign Relations Authorization Act, Fiscal Years 1994 and 1995, </w:t>
      </w:r>
      <w:hyperlink r:id="rId22" w:history="1">
        <w:r w:rsidRPr="00877DFA">
          <w:rPr>
            <w:rStyle w:val="Hyperlink"/>
          </w:rPr>
          <w:t>Public Law 103-236, 108 Stat. 382,</w:t>
        </w:r>
      </w:hyperlink>
      <w:r w:rsidRPr="00877DFA">
        <w:t xml:space="preserve"> as amended, and such fees remain available to the Department until expended. See, e.g., Enhanced Border Security and Visa Entry Reform Act of 2002, </w:t>
      </w:r>
      <w:hyperlink r:id="rId23" w:history="1">
        <w:r w:rsidRPr="00877DFA">
          <w:rPr>
            <w:rStyle w:val="Hyperlink"/>
          </w:rPr>
          <w:t>Public Law 107-173, 116 Stat. 543</w:t>
        </w:r>
      </w:hyperlink>
      <w:r w:rsidRPr="00877DFA">
        <w:t xml:space="preserve">; see also </w:t>
      </w:r>
      <w:hyperlink r:id="rId24" w:history="1">
        <w:r w:rsidRPr="00877DFA">
          <w:rPr>
            <w:rStyle w:val="Hyperlink"/>
          </w:rPr>
          <w:t>8 U.S.C. 1351</w:t>
        </w:r>
      </w:hyperlink>
      <w:r w:rsidRPr="00877DFA">
        <w:t xml:space="preserve"> note (reproducing amended law allowing for retention of MRV and BCC fees). Furthermore, section 239(a) of the William Wilberforce Trafficking Victims Protection Reauthorization Act of 2008 (“Wilberforce Act”) requires the Secretary of State to collect a $1 surcharge on all MRVs and BCCs in addition to the processing fee, including on BCCs issued to Mexican citizen minors qualifying for a statutorily mandated $13 processing fee; this surcharge must be deposited into the Treasury. See </w:t>
      </w:r>
      <w:hyperlink r:id="rId25" w:history="1">
        <w:r w:rsidRPr="00877DFA">
          <w:rPr>
            <w:rStyle w:val="Hyperlink"/>
          </w:rPr>
          <w:t>Public Law 110-457, 122 Stat. 5044,</w:t>
        </w:r>
      </w:hyperlink>
      <w:r w:rsidRPr="00877DFA">
        <w:t xml:space="preserve"> Title II, § 239 (reproduced at </w:t>
      </w:r>
      <w:hyperlink r:id="rId26" w:history="1">
        <w:r w:rsidRPr="00877DFA">
          <w:rPr>
            <w:rStyle w:val="Hyperlink"/>
          </w:rPr>
          <w:t>8 U.S.C. 1351</w:t>
        </w:r>
      </w:hyperlink>
      <w:r w:rsidRPr="00877DFA">
        <w:t xml:space="preserve"> note).</w:t>
      </w:r>
    </w:p>
    <w:p w:rsidR="00D46617" w:rsidRPr="00877DFA" w:rsidRDefault="00D46617" w:rsidP="00D46617"/>
    <w:p w:rsidR="00D46617" w:rsidRPr="00877DFA" w:rsidRDefault="00D46617" w:rsidP="00D46617">
      <w:r w:rsidRPr="00877DFA">
        <w:lastRenderedPageBreak/>
        <w:t xml:space="preserve">The Department last changed MRV and BCC fees in an interim final rule dated December 20, 2007 and effective January 1, 2008. </w:t>
      </w:r>
      <w:hyperlink r:id="rId27" w:history="1">
        <w:proofErr w:type="gramStart"/>
        <w:r w:rsidRPr="00877DFA">
          <w:rPr>
            <w:rStyle w:val="Hyperlink"/>
          </w:rPr>
          <w:t>72 FR 72243</w:t>
        </w:r>
      </w:hyperlink>
      <w:r w:rsidRPr="00877DFA">
        <w:t>.</w:t>
      </w:r>
      <w:proofErr w:type="gramEnd"/>
      <w:r w:rsidRPr="00877DFA">
        <w:t xml:space="preserve"> See Department of State Schedule for Fees and Funds, </w:t>
      </w:r>
      <w:hyperlink r:id="rId28" w:history="1">
        <w:r w:rsidRPr="00877DFA">
          <w:rPr>
            <w:rStyle w:val="Hyperlink"/>
          </w:rPr>
          <w:t>22 CFR 22.1</w:t>
        </w:r>
      </w:hyperlink>
      <w:r w:rsidRPr="00877DFA">
        <w:t>-</w:t>
      </w:r>
      <w:hyperlink r:id="rId29" w:history="1">
        <w:r w:rsidRPr="00877DFA">
          <w:rPr>
            <w:rStyle w:val="Hyperlink"/>
          </w:rPr>
          <w:t>22.5</w:t>
        </w:r>
      </w:hyperlink>
      <w:r w:rsidRPr="00877DFA">
        <w:t>. This rule changed the MRV fee from $100 to $131.</w:t>
      </w:r>
    </w:p>
    <w:p w:rsidR="00D46617" w:rsidRPr="00877DFA" w:rsidRDefault="00D46617" w:rsidP="00D46617"/>
    <w:p w:rsidR="00D46617" w:rsidRPr="00877DFA" w:rsidRDefault="00D46617" w:rsidP="00D46617">
      <w:r w:rsidRPr="00877DFA">
        <w:t>Why Is the Department Raising the Nonimmigrant Visa Fees at This Time?</w:t>
      </w:r>
    </w:p>
    <w:p w:rsidR="00D46617" w:rsidRPr="00877DFA" w:rsidRDefault="00D46617" w:rsidP="00D46617"/>
    <w:p w:rsidR="00D46617" w:rsidRPr="00877DFA" w:rsidRDefault="00D46617" w:rsidP="00D46617">
      <w:r w:rsidRPr="00877DFA">
        <w:t>Consistent with OMB Circular A-25 guidelines, the Department contracted for an independent cost of service study (</w:t>
      </w:r>
      <w:proofErr w:type="spellStart"/>
      <w:r w:rsidRPr="00877DFA">
        <w:t>CoSS</w:t>
      </w:r>
      <w:proofErr w:type="spellEnd"/>
      <w:r w:rsidRPr="00877DFA">
        <w:t>), which used an activity-based costing model from August 2007 through June 2009 to provide the basis for updating the Schedule. The results of that study are the foundation of the current changes to the Schedule.</w:t>
      </w:r>
    </w:p>
    <w:p w:rsidR="00D46617" w:rsidRPr="00877DFA" w:rsidRDefault="00D46617" w:rsidP="00D46617"/>
    <w:p w:rsidR="00D46617" w:rsidRPr="00877DFA" w:rsidRDefault="00D46617" w:rsidP="00D46617">
      <w:r w:rsidRPr="00877DFA">
        <w:t xml:space="preserve">The </w:t>
      </w:r>
      <w:proofErr w:type="spellStart"/>
      <w:r w:rsidRPr="00877DFA">
        <w:t>CoSS</w:t>
      </w:r>
      <w:proofErr w:type="spellEnd"/>
      <w:r w:rsidRPr="00877DFA">
        <w:t xml:space="preserve"> concluded that the average cost to the U.S. Government of accepting, processing, adjudicating, and issuing a non-petition-based MRV application, including an application for a BCC, is approximately $136.93 for Fiscal Year 2010. (The only exception is the non-petition-based E category visa, discussed below, for which costs are greater than $136.93.) The </w:t>
      </w:r>
      <w:proofErr w:type="spellStart"/>
      <w:r w:rsidRPr="00877DFA">
        <w:t>CoSS</w:t>
      </w:r>
      <w:proofErr w:type="spellEnd"/>
      <w:r w:rsidRPr="00877DFA">
        <w:t xml:space="preserve"> arrived at the $136.93 figure taking into account actual and projected costs of worldwide nonimmigrant visa operations, visa workload, and other related costs. Please note that in the proposed rule published December 14, 2009, the Department used a figure of $136.37, which was calculated using a weighted average of Fiscal Year 2009 and Fiscal Year 2010 costs; the $136.93 figure now included is based exclusively on Fiscal Year 2010 </w:t>
      </w:r>
      <w:proofErr w:type="spellStart"/>
      <w:r w:rsidRPr="00877DFA">
        <w:t>costs^as</w:t>
      </w:r>
      <w:proofErr w:type="spellEnd"/>
      <w:r w:rsidRPr="00877DFA">
        <w:t xml:space="preserve"> are all other costs presented in this Interim Final Rule. This cost also includes the unrecovered costs of processing BCCs for certain Mexican citizen minors. That processing fee is statutorily frozen at $13, even though such BCCs cost the Department the same amount to process as all other MRVs and </w:t>
      </w:r>
      <w:proofErr w:type="spellStart"/>
      <w:r w:rsidRPr="00877DFA">
        <w:t>BCCs^that</w:t>
      </w:r>
      <w:proofErr w:type="spellEnd"/>
      <w:r w:rsidRPr="00877DFA">
        <w:t xml:space="preserve"> is, significantly more than $13. (As discussed below, a statutorily imposed $1 surcharge brings the total fee for Mexican citizen minor BCCs to $14.) The Department's costs beyond $13 must, by statute, be recovered by charging more for all MRVs, as well as all BCCs not meeting the requirements for the reduced fee. See Omnibus Consolidated and Emergency Supplemental Appropriations Act of 1999, </w:t>
      </w:r>
      <w:hyperlink r:id="rId30" w:history="1">
        <w:r w:rsidRPr="00877DFA">
          <w:rPr>
            <w:rStyle w:val="Hyperlink"/>
          </w:rPr>
          <w:t>Public Law 105-277</w:t>
        </w:r>
      </w:hyperlink>
      <w:r w:rsidRPr="00877DFA">
        <w:t xml:space="preserve">, </w:t>
      </w:r>
      <w:proofErr w:type="gramStart"/>
      <w:r w:rsidRPr="00877DFA">
        <w:t>Div</w:t>
      </w:r>
      <w:proofErr w:type="gramEnd"/>
      <w:r w:rsidRPr="00877DFA">
        <w:t>. A, Title IV, § 410(a</w:t>
      </w:r>
      <w:proofErr w:type="gramStart"/>
      <w:r w:rsidRPr="00877DFA">
        <w:t>)(</w:t>
      </w:r>
      <w:proofErr w:type="gramEnd"/>
      <w:r w:rsidRPr="00877DFA">
        <w:t xml:space="preserve">3) (reproduced at </w:t>
      </w:r>
      <w:hyperlink r:id="rId31" w:history="1">
        <w:r w:rsidRPr="00877DFA">
          <w:rPr>
            <w:rStyle w:val="Hyperlink"/>
          </w:rPr>
          <w:t>8 U.S.C. 1351</w:t>
        </w:r>
      </w:hyperlink>
      <w:r w:rsidRPr="00877DFA">
        <w:t xml:space="preserve"> note) (Department “shall set the amount of the fee [for processing MRVs and all other BCCs] at a level that will ensure the full recovery by the Department * * * of the costs of processing” all MRVs and BCCs, including reduced cost BCCs for qualifying Mexican citizen minors).</w:t>
      </w:r>
    </w:p>
    <w:p w:rsidR="00D46617" w:rsidRPr="00877DFA" w:rsidRDefault="00D46617" w:rsidP="00D46617"/>
    <w:p w:rsidR="00D46617" w:rsidRPr="00877DFA" w:rsidRDefault="00D46617" w:rsidP="00D46617">
      <w:r w:rsidRPr="00877DFA">
        <w:t xml:space="preserve">Subsequent to the completion of data-gathering for the </w:t>
      </w:r>
      <w:proofErr w:type="spellStart"/>
      <w:r w:rsidRPr="00877DFA">
        <w:t>CoSS</w:t>
      </w:r>
      <w:proofErr w:type="spellEnd"/>
      <w:r w:rsidRPr="00877DFA">
        <w:t>, the Department's Bureau of Consular Affairs decided to consolidate visa operations support services through an initiative called the Global Support Strategy (GSS) in Fiscal Year 2010. GSS consolidates in one contract costs of services currently being paid by MRV and BCC applicants directly to various private vendors in addition to the application processing fee paid to the Department, including appointment setting, fee collection, offsite data collection services, and document delivery. The GSS contract was initiated due to concerns that total application fees for visa services varied from country to country because, although the Department charges the same application processing fee for the same category of visa across all countries, the private vendors providing the necessary ancillary services charged fees that were different from one another. The Department's intent is to charge a consistent fee worldwide to applicants for the same category of visa that is comprehensive of the services the Department performs to process the visa, including any support services performed by companies contracted by the Department. The Department awarded the GSS contract on February 26, 2010, but total costs are not yet known. According to Department estimates, the costs of GSS services performed in Fiscal Year 2010 will be at least $2 per application. Future costs *28190 related to GSS will be significantly higher and will impact fee revenue for the Department. When this additional cost is factored in along with the costs of recovering losses from the Mexican citizen minor BCC, the estimated cost to the U.S. Government of accepting, processing, and adjudicating non-petition-based MRV (except E category) applications, and BCC applications for all Mexican citizens not qualifying for a reduced-fee minor BCC, becomes $138.93.</w:t>
      </w:r>
    </w:p>
    <w:p w:rsidR="00D46617" w:rsidRPr="00877DFA" w:rsidRDefault="00D46617" w:rsidP="00D46617"/>
    <w:p w:rsidR="00D46617" w:rsidRPr="00877DFA" w:rsidRDefault="00D46617" w:rsidP="00D46617">
      <w:r w:rsidRPr="00877DFA">
        <w:t xml:space="preserve">Moreover, section 239(a) of the Wilberforce Act requires the Department to collect a fee or surcharge of $1 (“Wilberforce surcharge”) in addition to cost-based fees charged for MRVs and BCCs, to support anti-trafficking programs. See Wilberforce Act, </w:t>
      </w:r>
      <w:hyperlink r:id="rId32" w:history="1">
        <w:r w:rsidRPr="00877DFA">
          <w:rPr>
            <w:rStyle w:val="Hyperlink"/>
          </w:rPr>
          <w:t>Public Law 110-457</w:t>
        </w:r>
        <w:proofErr w:type="gramStart"/>
        <w:r w:rsidRPr="00877DFA">
          <w:rPr>
            <w:rStyle w:val="Hyperlink"/>
          </w:rPr>
          <w:t>,Title</w:t>
        </w:r>
        <w:proofErr w:type="gramEnd"/>
        <w:r w:rsidRPr="00877DFA">
          <w:rPr>
            <w:rStyle w:val="Hyperlink"/>
          </w:rPr>
          <w:t xml:space="preserve"> II, § 239.</w:t>
        </w:r>
      </w:hyperlink>
    </w:p>
    <w:p w:rsidR="00D46617" w:rsidRPr="00877DFA" w:rsidRDefault="00D46617" w:rsidP="00D46617"/>
    <w:p w:rsidR="00D46617" w:rsidRPr="00877DFA" w:rsidRDefault="00D46617" w:rsidP="00D46617">
      <w:r w:rsidRPr="00877DFA">
        <w:t xml:space="preserve">Combining the $138.93 cost to the U.S. Government with the $1 Wilberforce surcharge, the Department has determined that the fee for non-petition-based MRV (except E category) and BCC applications, with the exception of certain Mexican citizen minors' BCCs statutorily set at $13, will be $140. (The BCC fee is being set at the same level as the MRV fee^$140^ because its processing procedures, and attendant production costs, are almost identical to those of the MRV.) This $140 fee will allow </w:t>
      </w:r>
      <w:r w:rsidRPr="00877DFA">
        <w:lastRenderedPageBreak/>
        <w:t>the Government to recover the full cost of processing these visa applications during the anticipated period of the current Schedule, and to comply with its statutory obligation to collect from applicants the $1 Wilberforce surcharge. The Department rounded up to $140 to make it easier for U.S. embassies and consulates to convert to foreign currencies, which are most often used to pay the fee.</w:t>
      </w:r>
    </w:p>
    <w:p w:rsidR="00D46617" w:rsidRPr="00877DFA" w:rsidRDefault="00D46617" w:rsidP="00D46617"/>
    <w:p w:rsidR="00D46617" w:rsidRPr="00877DFA" w:rsidRDefault="00D46617" w:rsidP="00D46617">
      <w:r w:rsidRPr="00877DFA">
        <w:t xml:space="preserve">As noted above, for Mexican citizens under 15 years of age who apply for a BCC in Mexico, and have at least one parent or guardian who has a BCC or is also applying for one, the BCC fee is statutorily set at $13. See Consolidated and Emergency Supplemental Appropriations Act of 1999, </w:t>
      </w:r>
      <w:hyperlink r:id="rId33" w:history="1">
        <w:r w:rsidRPr="00877DFA">
          <w:rPr>
            <w:rStyle w:val="Hyperlink"/>
          </w:rPr>
          <w:t>Public Law 105-277</w:t>
        </w:r>
      </w:hyperlink>
      <w:r w:rsidRPr="00877DFA">
        <w:t xml:space="preserve">, </w:t>
      </w:r>
      <w:proofErr w:type="gramStart"/>
      <w:r w:rsidRPr="00877DFA">
        <w:t>Div</w:t>
      </w:r>
      <w:proofErr w:type="gramEnd"/>
      <w:r w:rsidRPr="00877DFA">
        <w:t>. A, Title IV, § 410(a</w:t>
      </w:r>
      <w:proofErr w:type="gramStart"/>
      <w:r w:rsidRPr="00877DFA">
        <w:t>)(</w:t>
      </w:r>
      <w:proofErr w:type="gramEnd"/>
      <w:r w:rsidRPr="00877DFA">
        <w:t xml:space="preserve">1)(A) (reproduced at </w:t>
      </w:r>
      <w:hyperlink r:id="rId34" w:history="1">
        <w:r w:rsidRPr="00877DFA">
          <w:rPr>
            <w:rStyle w:val="Hyperlink"/>
          </w:rPr>
          <w:t>8 U.S.C. 1351</w:t>
        </w:r>
      </w:hyperlink>
      <w:r w:rsidRPr="00877DFA">
        <w:t xml:space="preserve"> note). Nevertheless, the $1 Wilberforce surcharge applies to this fee by the terms of law establishing the surcharge, which postdates </w:t>
      </w:r>
      <w:hyperlink r:id="rId35" w:history="1">
        <w:r w:rsidRPr="00877DFA">
          <w:rPr>
            <w:rStyle w:val="Hyperlink"/>
          </w:rPr>
          <w:t>Public Law 105-277</w:t>
        </w:r>
      </w:hyperlink>
      <w:r w:rsidRPr="00877DFA">
        <w:t xml:space="preserve">, Division A, Title IV, § 410(a)(1)(A), and does not exempt it from its application. See Wilberforce Act, </w:t>
      </w:r>
      <w:hyperlink r:id="rId36" w:history="1">
        <w:r w:rsidRPr="00877DFA">
          <w:rPr>
            <w:rStyle w:val="Hyperlink"/>
          </w:rPr>
          <w:t>Public Law 110-457, Title II, § 239(a).</w:t>
        </w:r>
      </w:hyperlink>
      <w:r w:rsidRPr="00877DFA">
        <w:t xml:space="preserve"> Therefore, the Department must now charge $14 for this category of BCC.</w:t>
      </w:r>
    </w:p>
    <w:p w:rsidR="00D46617" w:rsidRPr="00877DFA" w:rsidRDefault="00D46617" w:rsidP="00D46617"/>
    <w:p w:rsidR="00D46617" w:rsidRPr="00877DFA" w:rsidRDefault="00D46617" w:rsidP="00D46617">
      <w:r w:rsidRPr="00877DFA">
        <w:t xml:space="preserve">As discussed in the supplementary notice of March 24, 2010, the Department has used detailed activity-based costing models in past years to set fees in Consular Schedules of Fees. However, in previous iterations of the </w:t>
      </w:r>
      <w:proofErr w:type="spellStart"/>
      <w:r w:rsidRPr="00877DFA">
        <w:t>CoSS</w:t>
      </w:r>
      <w:proofErr w:type="spellEnd"/>
      <w:r w:rsidRPr="00877DFA">
        <w:t xml:space="preserve">, the Department was not able to review the activity-based costs of its services, including the production of MRVs and BCCs, with the same degree of accuracy that the most recent </w:t>
      </w:r>
      <w:proofErr w:type="spellStart"/>
      <w:r w:rsidRPr="00877DFA">
        <w:t>CoSS</w:t>
      </w:r>
      <w:proofErr w:type="spellEnd"/>
      <w:r w:rsidRPr="00877DFA">
        <w:t xml:space="preserve"> now allows.</w:t>
      </w:r>
    </w:p>
    <w:p w:rsidR="00D46617" w:rsidRPr="00877DFA" w:rsidRDefault="00D46617" w:rsidP="00D46617"/>
    <w:p w:rsidR="00D46617" w:rsidRPr="00877DFA" w:rsidRDefault="00D46617" w:rsidP="00D46617">
      <w:r w:rsidRPr="00877DFA">
        <w:t xml:space="preserve">The most recent </w:t>
      </w:r>
      <w:proofErr w:type="spellStart"/>
      <w:r w:rsidRPr="00877DFA">
        <w:t>CoSS</w:t>
      </w:r>
      <w:proofErr w:type="spellEnd"/>
      <w:r w:rsidRPr="00877DFA">
        <w:t xml:space="preserve"> found that the cost of accepting, adjudicating, and issuing MRV applications for the following categories of visas is appreciably higher than for other categories: E (treaty-trader or treaty-investor); H (temporary workers and trainees); K (</w:t>
      </w:r>
      <w:proofErr w:type="spellStart"/>
      <w:r w:rsidRPr="00877DFA">
        <w:t>fianc´E</w:t>
      </w:r>
      <w:proofErr w:type="spellEnd"/>
      <w:r w:rsidRPr="00877DFA">
        <w:t>(e)s and certain spouses of U.S. citizens); L (</w:t>
      </w:r>
      <w:proofErr w:type="spellStart"/>
      <w:r w:rsidRPr="00877DFA">
        <w:t>intracompany</w:t>
      </w:r>
      <w:proofErr w:type="spellEnd"/>
      <w:r w:rsidRPr="00877DFA">
        <w:t xml:space="preserve"> transferee); O (aliens with extraordinary ability); P (athletes, artists, and entertainers); Q (international cultural exchange visitors); and R (aliens in religious occupations). Each of these visa categories requires the Department to perform a number of additional tasks and processes beyond those that are necessary for producing a BCC or other MRV, including review of extensive documentation and a more in-depth interview of the applicant. Some of the specific additional tasks and processes required to process the K-category </w:t>
      </w:r>
      <w:proofErr w:type="spellStart"/>
      <w:r w:rsidRPr="00877DFA">
        <w:t>fianc´</w:t>
      </w:r>
      <w:proofErr w:type="gramStart"/>
      <w:r w:rsidRPr="00877DFA">
        <w:t>E</w:t>
      </w:r>
      <w:proofErr w:type="spellEnd"/>
      <w:r w:rsidRPr="00877DFA">
        <w:t>(</w:t>
      </w:r>
      <w:proofErr w:type="gramEnd"/>
      <w:r w:rsidRPr="00877DFA">
        <w:t>e) visa, for example, are described below in the “Analysis of Comments” section.</w:t>
      </w:r>
    </w:p>
    <w:p w:rsidR="00D46617" w:rsidRPr="00877DFA" w:rsidRDefault="00D46617" w:rsidP="00D46617"/>
    <w:p w:rsidR="00D46617" w:rsidRPr="00877DFA" w:rsidRDefault="00D46617" w:rsidP="00D46617">
      <w:r w:rsidRPr="00877DFA">
        <w:t xml:space="preserve">The </w:t>
      </w:r>
      <w:proofErr w:type="spellStart"/>
      <w:r w:rsidRPr="00877DFA">
        <w:t>CoSS</w:t>
      </w:r>
      <w:proofErr w:type="spellEnd"/>
      <w:r w:rsidRPr="00877DFA">
        <w:t xml:space="preserve"> determined that for FY 2010, the average cost of processing applications for H, L, O, P, Q, and R visas is $148.16; the average cost of processing applications for K visas is $348.39; and the average cost of processing applications for E visas is $390.58. These totals do not include the Wilberforce surcharge or any funding for GSS. Rather than setting a single MRV fee applicable to all MRVs regardless of category as was done in the past, the Department has concluded that it will be more equitable to set the fee for each MRV category at a level commensurate with the average cost of producing that particular product. Accordingly, since applications for BCCs and non-petition-based MRVs (except E-category) require less review and have unit costs lower than E, H, K, L, O, P, Q, or R visa applications, the applicant should pay a lower fee. By the same token, those applying for an H, L, O, P, Q, or R visa should pay a lower fee than those applying for an E or K visa, as the latter two categories require an even more extensive review.</w:t>
      </w:r>
    </w:p>
    <w:p w:rsidR="00D46617" w:rsidRPr="00877DFA" w:rsidRDefault="00D46617" w:rsidP="00D46617"/>
    <w:p w:rsidR="00D46617" w:rsidRPr="00877DFA" w:rsidRDefault="00D46617" w:rsidP="00D46617">
      <w:r w:rsidRPr="00877DFA">
        <w:t xml:space="preserve">Therefore, this rule establishes the following fees for these categories corresponding to projected cost figures for the visa category as determined by the </w:t>
      </w:r>
      <w:proofErr w:type="spellStart"/>
      <w:r w:rsidRPr="00877DFA">
        <w:t>CoSS</w:t>
      </w:r>
      <w:proofErr w:type="spellEnd"/>
      <w:r w:rsidRPr="00877DFA">
        <w:t xml:space="preserve">. These fees incorporate the $1 Wilberforce surcharge that must be added to all nonimmigrant MRVs, see </w:t>
      </w:r>
      <w:hyperlink r:id="rId37" w:history="1">
        <w:r w:rsidRPr="00877DFA">
          <w:rPr>
            <w:rStyle w:val="Hyperlink"/>
          </w:rPr>
          <w:t>Public Law 110-457, Title II, § 239(a)</w:t>
        </w:r>
      </w:hyperlink>
      <w:r w:rsidRPr="00877DFA">
        <w:t>:</w:t>
      </w:r>
    </w:p>
    <w:p w:rsidR="00D46617" w:rsidRPr="00877DFA" w:rsidRDefault="00D46617" w:rsidP="00D46617"/>
    <w:p w:rsidR="00D46617" w:rsidRPr="00877DFA" w:rsidRDefault="00D46617" w:rsidP="00D46617">
      <w:r w:rsidRPr="00877DFA">
        <w:t>^H, L, O, P, Q, and R: $150;</w:t>
      </w:r>
    </w:p>
    <w:p w:rsidR="00D46617" w:rsidRPr="00877DFA" w:rsidRDefault="00D46617" w:rsidP="00D46617"/>
    <w:p w:rsidR="00D46617" w:rsidRPr="00877DFA" w:rsidRDefault="00D46617" w:rsidP="00D46617">
      <w:r w:rsidRPr="00877DFA">
        <w:t>^E: $390; and</w:t>
      </w:r>
    </w:p>
    <w:p w:rsidR="00D46617" w:rsidRPr="00877DFA" w:rsidRDefault="00D46617" w:rsidP="00D46617"/>
    <w:p w:rsidR="00D46617" w:rsidRPr="00877DFA" w:rsidRDefault="00D46617" w:rsidP="00D46617">
      <w:r w:rsidRPr="00877DFA">
        <w:t>^K: $350.</w:t>
      </w:r>
    </w:p>
    <w:p w:rsidR="00D46617" w:rsidRPr="00877DFA" w:rsidRDefault="00D46617" w:rsidP="00D46617"/>
    <w:p w:rsidR="00D46617" w:rsidRPr="00877DFA" w:rsidRDefault="00D46617" w:rsidP="00D46617">
      <w:r w:rsidRPr="00877DFA">
        <w:t>The Department rounded these fees to the nearest $10 for the ease of converting to foreign currencies, which are most often used to pay the fee. The additional revenue resulting from this rounding will be used for GSS services.</w:t>
      </w:r>
    </w:p>
    <w:p w:rsidR="00D46617" w:rsidRPr="00877DFA" w:rsidRDefault="00D46617" w:rsidP="00D46617"/>
    <w:p w:rsidR="00D46617" w:rsidRPr="00877DFA" w:rsidRDefault="00D46617" w:rsidP="00D46617">
      <w:r w:rsidRPr="00877DFA">
        <w:t>Analysis of Comments</w:t>
      </w:r>
    </w:p>
    <w:p w:rsidR="00D46617" w:rsidRPr="00877DFA" w:rsidRDefault="00D46617" w:rsidP="00D46617"/>
    <w:p w:rsidR="00D46617" w:rsidRPr="00877DFA" w:rsidRDefault="00D46617" w:rsidP="00D46617">
      <w:r w:rsidRPr="00877DFA">
        <w:lastRenderedPageBreak/>
        <w:t>As noted, the proposed rule was published for comment on December 14, 2009. During the comment period, which initially closed February 12, 2010 and was subsequently extended until April 8, 2010, the Department received 81 comments. With the publication of this interim final version of the rule, the Department is reopening the comment period for an additional 60 days, and will consider any further comments received before publishing a final rule.</w:t>
      </w:r>
    </w:p>
    <w:p w:rsidR="00D46617" w:rsidRPr="00877DFA" w:rsidRDefault="00D46617" w:rsidP="00D46617"/>
    <w:p w:rsidR="00D46617" w:rsidRPr="00877DFA" w:rsidRDefault="00D46617" w:rsidP="00D46617">
      <w:r w:rsidRPr="00877DFA">
        <w:t xml:space="preserve">The majority of comments received^48 out of 81^criticized the increase in the application fee for K-category </w:t>
      </w:r>
      <w:proofErr w:type="spellStart"/>
      <w:r w:rsidRPr="00877DFA">
        <w:t>fianc´</w:t>
      </w:r>
      <w:proofErr w:type="gramStart"/>
      <w:r w:rsidRPr="00877DFA">
        <w:t>E</w:t>
      </w:r>
      <w:proofErr w:type="spellEnd"/>
      <w:r w:rsidRPr="00877DFA">
        <w:t>(</w:t>
      </w:r>
      <w:proofErr w:type="gramEnd"/>
      <w:r w:rsidRPr="00877DFA">
        <w:t xml:space="preserve">e) visas. The Department of State is adjusting the fee for K-category </w:t>
      </w:r>
      <w:proofErr w:type="spellStart"/>
      <w:r w:rsidRPr="00877DFA">
        <w:t>fianc´</w:t>
      </w:r>
      <w:proofErr w:type="gramStart"/>
      <w:r w:rsidRPr="00877DFA">
        <w:t>E</w:t>
      </w:r>
      <w:proofErr w:type="spellEnd"/>
      <w:r w:rsidRPr="00877DFA">
        <w:t>(</w:t>
      </w:r>
      <w:proofErr w:type="gramEnd"/>
      <w:r w:rsidRPr="00877DFA">
        <w:t xml:space="preserve">e) visas from $131 to $350 specifically because adjudicating a K visa requires a review of extensive documentation and a more in-depth interview of the applicant than other categories MRVs. As noted in the supplementary notice, for example, a K visa requires pre-processing of the case at the National Visa Center, where the petition is received from the Department of Homeland Security (DHS), packaged, and assigned to the appropriate embassy or consulate. K visa processing also requires intake and review of materials not required by some other categories of nonimmigrant visas, such as the I-134 affidavit of support and the DS-2054 medical examination report. See </w:t>
      </w:r>
      <w:hyperlink r:id="rId38" w:history="1">
        <w:r w:rsidRPr="00877DFA">
          <w:rPr>
            <w:rStyle w:val="Hyperlink"/>
          </w:rPr>
          <w:t>75 FR 14111, 14113</w:t>
        </w:r>
      </w:hyperlink>
      <w:r w:rsidRPr="00877DFA">
        <w:t>. The higher incidence of fraud in K visa applications also requires, in many cases, a more extensive fraud investigation than is necessary for some other types of visa. Indeed, Department of State processing of a K visa is almost identical to that required for a family-based immigrant visa, so it follows that the costs of K visa processing are similar to those for immigrant visas. (Spouses, children, and parents applying for immigrant visas to the United States currently pay the Department of State a $355 application processing fee as well as a $45 immigrant visa security surcharge, items 32 and 36 on the Schedule of Fees.)</w:t>
      </w:r>
    </w:p>
    <w:p w:rsidR="00D46617" w:rsidRPr="00877DFA" w:rsidRDefault="00D46617" w:rsidP="00D46617"/>
    <w:p w:rsidR="00D46617" w:rsidRPr="00877DFA" w:rsidRDefault="00D46617" w:rsidP="00D46617">
      <w:r w:rsidRPr="00877DFA">
        <w:t xml:space="preserve">Several authors commented on the overall price of a K visa, which includes fees paid by the U.S. citizen </w:t>
      </w:r>
      <w:proofErr w:type="spellStart"/>
      <w:r w:rsidRPr="00877DFA">
        <w:t>fianc´</w:t>
      </w:r>
      <w:proofErr w:type="gramStart"/>
      <w:r w:rsidRPr="00877DFA">
        <w:t>E</w:t>
      </w:r>
      <w:proofErr w:type="spellEnd"/>
      <w:r w:rsidRPr="00877DFA">
        <w:t>(</w:t>
      </w:r>
      <w:proofErr w:type="gramEnd"/>
      <w:r w:rsidRPr="00877DFA">
        <w:t xml:space="preserve">e) to *28191 DHS. It is important to note, however, that DHS fees are not received by and do not cover the costs of Department of State processing. While the Department of State is aware of the financial impact this fee increase will have on individuals seeking to bring their </w:t>
      </w:r>
      <w:proofErr w:type="spellStart"/>
      <w:r w:rsidRPr="00877DFA">
        <w:t>fianc´E</w:t>
      </w:r>
      <w:proofErr w:type="spellEnd"/>
      <w:r w:rsidRPr="00877DFA">
        <w:t>(e)s to the United States, the Department has concluded that it would be more equitable to those applying for other categories of MRVs, for which such extensive review is not necessary, to establish separate fees that more accurately reflect the cost of processing these visas, rather than set a single average fee for all MRV categories that is necessarily higher due to the inclusion of K visas in the calculation.</w:t>
      </w:r>
    </w:p>
    <w:p w:rsidR="00D46617" w:rsidRPr="00877DFA" w:rsidRDefault="00D46617" w:rsidP="00D46617"/>
    <w:p w:rsidR="00D46617" w:rsidRPr="00877DFA" w:rsidRDefault="00D46617" w:rsidP="00D46617">
      <w:r w:rsidRPr="00877DFA">
        <w:t xml:space="preserve">The Department received one comment that supported the fee increase for K visas, but argued that these fees should be based not on the cost of maintaining the current level of visa processing services, but rather should assess the quality of those services and seek to determine if there would be a public preference for higher fees if they resulted in higher quality expedited visa services. This proposal offers an alternative to the current fee structure, which is based on cost. See, e.g., </w:t>
      </w:r>
      <w:hyperlink r:id="rId39" w:history="1">
        <w:r w:rsidRPr="00877DFA">
          <w:rPr>
            <w:rStyle w:val="Hyperlink"/>
          </w:rPr>
          <w:t>31 U.S.C. 9701(b</w:t>
        </w:r>
        <w:proofErr w:type="gramStart"/>
        <w:r w:rsidRPr="00877DFA">
          <w:rPr>
            <w:rStyle w:val="Hyperlink"/>
          </w:rPr>
          <w:t>)(</w:t>
        </w:r>
        <w:proofErr w:type="gramEnd"/>
        <w:r w:rsidRPr="00877DFA">
          <w:rPr>
            <w:rStyle w:val="Hyperlink"/>
          </w:rPr>
          <w:t>2)</w:t>
        </w:r>
      </w:hyperlink>
      <w:r w:rsidRPr="00877DFA">
        <w:t>; OMB Circular A-25, ) 6(a)(2). Furthermore, while the Department does not as a policy offer expedited visa service in exchange for a higher fee, it appreciates the recommendation and will examine it for future fee-setting exercises.</w:t>
      </w:r>
    </w:p>
    <w:p w:rsidR="00D46617" w:rsidRPr="00877DFA" w:rsidRDefault="00D46617" w:rsidP="00D46617"/>
    <w:p w:rsidR="00D46617" w:rsidRPr="00877DFA" w:rsidRDefault="00D46617" w:rsidP="00D46617">
      <w:r w:rsidRPr="00877DFA">
        <w:t xml:space="preserve">One commenter argued that Australian applicants for E-3 “treaty alien in a specialty occupation” visas, which are not petition-based, should be charged the same fee as applicants for H visas, which are petition-based, rather than the proposed higher E </w:t>
      </w:r>
      <w:proofErr w:type="spellStart"/>
      <w:r w:rsidRPr="00877DFA">
        <w:t>rate^that</w:t>
      </w:r>
      <w:proofErr w:type="spellEnd"/>
      <w:r w:rsidRPr="00877DFA">
        <w:t xml:space="preserve"> is, $150 instead of $390. However, because E-3 visas are not petition-based when issued overseas, they require the Department of State visa adjudicator to both determine whether the employment falls under the E-3 program (similar to the work DHS performs in adjudicating the petition), and assess the eligibility of the applicant; this process is more similar to other E visas than to H visas, for which DHS has already adjudicated a petition.</w:t>
      </w:r>
    </w:p>
    <w:p w:rsidR="00D46617" w:rsidRPr="00877DFA" w:rsidRDefault="00D46617" w:rsidP="00D46617"/>
    <w:p w:rsidR="00D46617" w:rsidRPr="00877DFA" w:rsidRDefault="00D46617" w:rsidP="00D46617">
      <w:r w:rsidRPr="00877DFA">
        <w:t xml:space="preserve">One comment requested that the Department allow exchange visitors in the United States on a J-1 visa to renew their visas by mail in order to save costs. Current policies and procedures do allow a consular officer to waive the physical appearance of an applicant in the J-1 visa class, but only if he or she meets a number of specific criteria. </w:t>
      </w:r>
      <w:proofErr w:type="gramStart"/>
      <w:r w:rsidRPr="00877DFA">
        <w:t>9 Foreign Affairs Manual 41.102 N3.</w:t>
      </w:r>
      <w:proofErr w:type="gramEnd"/>
    </w:p>
    <w:p w:rsidR="00D46617" w:rsidRPr="00877DFA" w:rsidRDefault="00D46617" w:rsidP="00D46617"/>
    <w:p w:rsidR="00D46617" w:rsidRPr="00877DFA" w:rsidRDefault="00D46617" w:rsidP="00D46617">
      <w:r w:rsidRPr="00877DFA">
        <w:t xml:space="preserve">The Department of State received seven comments endorsing the fee increases or asking that the fees be increased further. As described above, the Department has set the current proposed fees at cost, and it may not set its fees above cost. See, e.g., </w:t>
      </w:r>
      <w:hyperlink r:id="rId40" w:history="1">
        <w:r w:rsidRPr="00877DFA">
          <w:rPr>
            <w:rStyle w:val="Hyperlink"/>
          </w:rPr>
          <w:t>31 U.S.C. § 9701(b</w:t>
        </w:r>
        <w:proofErr w:type="gramStart"/>
        <w:r w:rsidRPr="00877DFA">
          <w:rPr>
            <w:rStyle w:val="Hyperlink"/>
          </w:rPr>
          <w:t>)(</w:t>
        </w:r>
        <w:proofErr w:type="gramEnd"/>
        <w:r w:rsidRPr="00877DFA">
          <w:rPr>
            <w:rStyle w:val="Hyperlink"/>
          </w:rPr>
          <w:t>2)(A)</w:t>
        </w:r>
      </w:hyperlink>
      <w:r w:rsidRPr="00877DFA">
        <w:t>. The Department received one request for clarification as to whether these fee increases will eliminate all visa reciprocity fees. They will not eliminate such fees.</w:t>
      </w:r>
    </w:p>
    <w:p w:rsidR="00D46617" w:rsidRPr="00877DFA" w:rsidRDefault="00D46617" w:rsidP="00D46617"/>
    <w:p w:rsidR="00D46617" w:rsidRPr="00877DFA" w:rsidRDefault="00D46617" w:rsidP="00D46617">
      <w:r w:rsidRPr="00877DFA">
        <w:lastRenderedPageBreak/>
        <w:t>A number of other comments proposed alternatives to cost-based fees, or expressed other concerns over charging fees commensurate with the Department's cost to produce the visa in question. For instance, the Department received six comments arguing that increasing MRV fees would be disadvantageous to applicants in less wealthy nations, and one comment arguing that fees should be based on the ability of the applicant to pay, rather than the cost to the U.S. Government of providing the service. The Department received four comments questioning whether increasing these fees will result in higher visa fees charged to U.S. citizens by foreign governments, two of which referenced China in particular. Two additional comments argued against the fee increases in general, suggesting that these fee changes were based not on cost but only on a desire to get more money from applicants. The Department is sympathetic to those with less means to cover the costs of a visa application, and acknowledges that the higher fees may result in some countries reciprocally raising visa fees charged to U.S. applicants. Nevertheless, as noted above, the Department of State is required to recover the costs of visa processing through user fees, and the Department has accordingly set these fees at a level that will allow full cost recovery.</w:t>
      </w:r>
    </w:p>
    <w:p w:rsidR="00D46617" w:rsidRPr="00877DFA" w:rsidRDefault="00D46617" w:rsidP="00D46617"/>
    <w:p w:rsidR="00D46617" w:rsidRPr="00877DFA" w:rsidRDefault="00D46617" w:rsidP="00D46617">
      <w:r w:rsidRPr="00877DFA">
        <w:t>The Department received two comments regarding U.S. nationality law, which is not affected in any way by this rule.</w:t>
      </w:r>
    </w:p>
    <w:p w:rsidR="00D46617" w:rsidRPr="00877DFA" w:rsidRDefault="00D46617" w:rsidP="00D46617"/>
    <w:p w:rsidR="00D46617" w:rsidRPr="00877DFA" w:rsidRDefault="00D46617" w:rsidP="00D46617">
      <w:r w:rsidRPr="00877DFA">
        <w:t>The Department received five comments, including one submitted jointly by United Air Lines, Inc. and the U.S. Travel Association on January 29, 2010, that expressed concern that raising MRV fees would result in a decline in travel to the United States and harm the U.S. economy. While the Department appreciates the concerns expressed, it reiterates that it is required to set its visa processing user fees at an amount that allows full cost recovery, so that these services are not subsidized by U.S. taxpayers. See, e.g., OMB Circular A-25</w:t>
      </w:r>
      <w:proofErr w:type="gramStart"/>
      <w:r w:rsidRPr="00877DFA">
        <w:t>, )</w:t>
      </w:r>
      <w:proofErr w:type="gramEnd"/>
      <w:r w:rsidRPr="00877DFA">
        <w:t xml:space="preserve"> 6(a)(2). The Department also points out that 92 percent of MRV applicants will see an increase of less than ten dollars. In addition, demand for U.S. nonimmigrant visas did not decline as a result of the last MRV fee increase, which took effect January 1, 2008. In fact, workload in the final three quarters of Fiscal Year 2008 was greater than the same period in Fiscal Year 2007.</w:t>
      </w:r>
    </w:p>
    <w:p w:rsidR="00D46617" w:rsidRPr="00877DFA" w:rsidRDefault="00D46617" w:rsidP="00D46617"/>
    <w:p w:rsidR="00D46617" w:rsidRPr="00877DFA" w:rsidRDefault="00D46617" w:rsidP="00D46617">
      <w:r w:rsidRPr="00877DFA">
        <w:t xml:space="preserve">Three comments, including the previously referenced joint comment from United Air Lines and the U.S. Travel Association, one from the American Immigration Lawyers Association, and one from the Air Transport Association of America, Inc., requested that the Cost of Service Study be made publicly available. In response, the Department published the supplementary notice of March 24, 2010, </w:t>
      </w:r>
      <w:proofErr w:type="gramStart"/>
      <w:r w:rsidRPr="00877DFA">
        <w:t>see</w:t>
      </w:r>
      <w:proofErr w:type="gramEnd"/>
      <w:r w:rsidRPr="00877DFA">
        <w:t xml:space="preserve"> </w:t>
      </w:r>
      <w:hyperlink r:id="rId41" w:history="1">
        <w:r w:rsidRPr="00877DFA">
          <w:rPr>
            <w:rStyle w:val="Hyperlink"/>
          </w:rPr>
          <w:t>75 FR 14111</w:t>
        </w:r>
      </w:hyperlink>
      <w:r w:rsidRPr="00877DFA">
        <w:t xml:space="preserve">, and allowed an additional 15 days for public comment. The Department received one further comment from United Airlines and the U.S. Travel Association, on April 8, 2010, within the 15-day period. That comment made an additional request for actual cost and related data and specifically requested: Specific inputs used to determine cost for the U.S. passport book and passport card; that the Department confirm how the </w:t>
      </w:r>
      <w:proofErr w:type="spellStart"/>
      <w:r w:rsidRPr="00877DFA">
        <w:t>CoSS</w:t>
      </w:r>
      <w:proofErr w:type="spellEnd"/>
      <w:r w:rsidRPr="00877DFA">
        <w:t xml:space="preserve"> ensured that administrative support costs were correctly attributed to individual consular services and that these costs for positions not dedicated to fee-based consular activities were excluded from the </w:t>
      </w:r>
      <w:proofErr w:type="spellStart"/>
      <w:r w:rsidRPr="00877DFA">
        <w:t>CoSS</w:t>
      </w:r>
      <w:proofErr w:type="spellEnd"/>
      <w:r w:rsidRPr="00877DFA">
        <w:t xml:space="preserve">; and that the Department confirm whether the </w:t>
      </w:r>
      <w:proofErr w:type="spellStart"/>
      <w:r w:rsidRPr="00877DFA">
        <w:t>CoSS</w:t>
      </w:r>
      <w:proofErr w:type="spellEnd"/>
      <w:r w:rsidRPr="00877DFA">
        <w:t xml:space="preserve"> accounted for the transition to the DS-160 electronic nonimmigrant visa application. The comment also requested that the Department suspend final publication of the rules, release additional data supporting its proposed fee increases, and hold a public meeting to address questions from the public.</w:t>
      </w:r>
    </w:p>
    <w:p w:rsidR="00D46617" w:rsidRPr="00877DFA" w:rsidRDefault="00D46617" w:rsidP="00D46617"/>
    <w:p w:rsidR="00D46617" w:rsidRPr="00877DFA" w:rsidRDefault="00D46617" w:rsidP="00D46617">
      <w:r w:rsidRPr="00877DFA">
        <w:t>Concerning the request for specific inputs used to determine the cost for the U.S. passport book and card, the Department will address that request in the separate interim final rule governing fees for those and other consular services, RIN 1400-AC58.</w:t>
      </w:r>
    </w:p>
    <w:p w:rsidR="00D46617" w:rsidRPr="00877DFA" w:rsidRDefault="00D46617" w:rsidP="00D46617"/>
    <w:p w:rsidR="00D46617" w:rsidRPr="00877DFA" w:rsidRDefault="00D46617" w:rsidP="00D46617">
      <w:r w:rsidRPr="00877DFA">
        <w:t xml:space="preserve">With regard to the question of administrative support costs, the International Cooperative Administrative Support Services (ICASS) system is the means by which the Department shares with other agencies the costs of shared administrative support at embassies and consulates overseas. The </w:t>
      </w:r>
      <w:proofErr w:type="spellStart"/>
      <w:r w:rsidRPr="00877DFA">
        <w:t>CoSS</w:t>
      </w:r>
      <w:proofErr w:type="spellEnd"/>
      <w:r w:rsidRPr="00877DFA">
        <w:t xml:space="preserve"> includes not all Department of State ICASS costs, but rather only the share of those costs equal to the share of consular “desks” at all embassies and consulates. The consular share of ICASS </w:t>
      </w:r>
      <w:proofErr w:type="spellStart"/>
      <w:r w:rsidRPr="00877DFA">
        <w:t>costs^which</w:t>
      </w:r>
      <w:proofErr w:type="spellEnd"/>
      <w:r w:rsidRPr="00877DFA">
        <w:t xml:space="preserve"> represent an “allocated cost”, a concept described in more detail in the supplementary notice of March 24, 2010^was then assigned equally within *28192 the model to all overseas services. Because the Department aims to use the most accurate and complete cost data in its cost calculations, beginning in Fiscal Year 2011 the Bureau of Consular Affairs will be considered its own separate entity for ICASS purposes, which the Department believes will result in a more precise accounting of ICASS costs than calculating consular ICASS costs based on the proportion of consular staff. We anticipate that this adjustment will actually increase the ICASS costs attributed to consular services.</w:t>
      </w:r>
    </w:p>
    <w:p w:rsidR="00D46617" w:rsidRPr="00877DFA" w:rsidRDefault="00D46617" w:rsidP="00D46617"/>
    <w:p w:rsidR="00D46617" w:rsidRPr="00877DFA" w:rsidRDefault="00D46617" w:rsidP="00D46617">
      <w:r w:rsidRPr="00877DFA">
        <w:t xml:space="preserve">With regard to the DS-160, United and the U.S. Travel Association suggest that the DS-160 will “presumably reduce the space, personnel, storage and other costs associated with previous paper based nonimmigrant visa applications.” The most </w:t>
      </w:r>
      <w:r w:rsidRPr="00877DFA">
        <w:lastRenderedPageBreak/>
        <w:t xml:space="preserve">recent </w:t>
      </w:r>
      <w:proofErr w:type="spellStart"/>
      <w:r w:rsidRPr="00877DFA">
        <w:t>CoSS</w:t>
      </w:r>
      <w:proofErr w:type="spellEnd"/>
      <w:r w:rsidRPr="00877DFA">
        <w:t>, upon which the proposed fees are based, were calculated using Fiscal Years 2006, 2007, and 2008 as “base years” and Fiscal Years 2009 and 2010 as “predictive years.” The DS-160 was still only a pilot program through Fiscal Year 2009, and has not yet been rolled out worldwide. Once changes in costs are known, they will of course be incorporated into future Cost of Service Studies. Further, while the DS-160 presents great advantages in making more applicant data available electronically and allowing advance review of such data, it has not thus far resulted in any significant time savings for consular staff. Even storage space and labor required to box and ship applications will continue until all previous paper applications are retired from embassies and consulates, which we anticipate will be sometime in Fiscal Year 2011.</w:t>
      </w:r>
    </w:p>
    <w:p w:rsidR="00D46617" w:rsidRPr="00877DFA" w:rsidRDefault="00D46617" w:rsidP="00D46617"/>
    <w:p w:rsidR="00D46617" w:rsidRPr="00877DFA" w:rsidRDefault="00D46617" w:rsidP="00D46617">
      <w:r w:rsidRPr="00877DFA">
        <w:t xml:space="preserve">Based on review of all the comments, including those of United and the U.S. Travel Association, the Department has determined that it is unnecessary to suspend publication of this interim final rule pending release of additional data or a public meeting. As explained above, the Department has provided information regarding the basis for the MRV and BCC fee increases in an initial notice of proposed rulemaking on December 14, 2009, and provided additional qualitative information in response to the requests of United, the U.S. Travel Association, and others in a supplemental notice dated March 24, 2010. The Department provided the public a total of 75 days in which to make comments and pose questions to the Department about the proposed MRV and BCC fee changes. The Department determined that a supplemental written notice would provide more useful information and reach a broader public audience, than a public meeting or other action. The Department has also decided to post additional quantitative information regarding its </w:t>
      </w:r>
      <w:proofErr w:type="spellStart"/>
      <w:r w:rsidRPr="00877DFA">
        <w:t>CoSS</w:t>
      </w:r>
      <w:proofErr w:type="spellEnd"/>
      <w:r w:rsidRPr="00877DFA">
        <w:t xml:space="preserve"> model and fee-setting exercise on its Web site (travel.state.gov), which will be available on the date this rule is published. It will accept public comments for an additional 60 days and consider them in advance of publishing a final rule.</w:t>
      </w:r>
    </w:p>
    <w:p w:rsidR="00D46617" w:rsidRPr="00877DFA" w:rsidRDefault="00D46617" w:rsidP="00D46617"/>
    <w:p w:rsidR="00D46617" w:rsidRPr="00877DFA" w:rsidRDefault="00D46617" w:rsidP="00D46617">
      <w:r w:rsidRPr="00877DFA">
        <w:t>The American Immigration Lawyers Association argued that the Department did not provide evidence to support what it termed a “substantial” increase for petition-based employment visas, and stated that adjudication of these petition-based visa applications should require less time than for non-petition cases. The Department has provided cost data for those cases: The average cost of processing applications for H, L, O, P, Q, and R visas is $148.16 in Fiscal Year 2010, versus $136.93 for most non-petition-based visas. (</w:t>
      </w:r>
      <w:proofErr w:type="gramStart"/>
      <w:r w:rsidRPr="00877DFA">
        <w:t>Neither cost figure includes the Wilberforce surcharge or</w:t>
      </w:r>
      <w:proofErr w:type="gramEnd"/>
      <w:r w:rsidRPr="00877DFA">
        <w:t xml:space="preserve"> GSS costs.) As discussed above, the unit cost for petition-based cases includes the costs of activities that are not required for non-petition cases, such as receiving petition information from DHS, conducting reviews of government and commercial databases to confirm the existence of the petitioning business, and entering that data into the Petition Information Management Service (PIMS) database. The single exception to the greater expense of producing petition-based visas is the non-petition-based E-category visa which, for reasons described above, is even more costly to produce than the various categories of petition-based visa.</w:t>
      </w:r>
    </w:p>
    <w:p w:rsidR="00D46617" w:rsidRPr="00877DFA" w:rsidRDefault="00D46617" w:rsidP="00D46617"/>
    <w:p w:rsidR="00D46617" w:rsidRPr="00877DFA" w:rsidRDefault="00D46617" w:rsidP="00D46617">
      <w:r w:rsidRPr="00877DFA">
        <w:t xml:space="preserve">The Department received a comment from the Microsoft Corporation regarding the January 2008 MRV fee increase resulting from the interim final rule dated December 20, 2007. See </w:t>
      </w:r>
      <w:hyperlink r:id="rId42" w:history="1">
        <w:r w:rsidRPr="00877DFA">
          <w:rPr>
            <w:rStyle w:val="Hyperlink"/>
          </w:rPr>
          <w:t>72 FR 72243</w:t>
        </w:r>
      </w:hyperlink>
      <w:r w:rsidRPr="00877DFA">
        <w:t xml:space="preserve">. That comment argued that the Department should give the public an opportunity to comment on proposed MRV fee changes before they are put into effect, and that it should make available a more detailed analysis of overall cost. The Department has made this information available, and has given the public a total of 75 days to comment on it and the proposed fees, in the proposed rule of December 14, 2009, and the supplementary notice of March 24, 2010. See 74 FR 66076, </w:t>
      </w:r>
      <w:hyperlink r:id="rId43" w:history="1">
        <w:r w:rsidRPr="00877DFA">
          <w:rPr>
            <w:rStyle w:val="Hyperlink"/>
          </w:rPr>
          <w:t>75 FR 14111</w:t>
        </w:r>
      </w:hyperlink>
      <w:r w:rsidRPr="00877DFA">
        <w:t>. The comment also touched upon the cost of FBI fingerprint and name checks, suggesting that such checks may not be effective or necessary. The U.S. Government has determined that checking the fingerprints of visa applicants against the FBI's Integrated Automated Fingerprint Identification System database is a critical tool for identifying applicants with criminal ineligibilities. Further, FBI name checks are an important piece of the interagency clearance process for applicants subject to security advisory opinions. Microsoft also argued that the December 20, 2007 interim final rule did not provide assurance that the fee increases would lead to improvements in customer service. However, as noted repeatedly above, these fees must be based on actual cost. See, e.g., OMB Circular A-25</w:t>
      </w:r>
      <w:proofErr w:type="gramStart"/>
      <w:r w:rsidRPr="00877DFA">
        <w:t>, )</w:t>
      </w:r>
      <w:proofErr w:type="gramEnd"/>
      <w:r w:rsidRPr="00877DFA">
        <w:t xml:space="preserve"> 6(a)(2). While customer service is extremely important to the Department and it strives constantly to improve the quality of its service, changing process or altering customer service standards do not figure strictly into the calculus of setting user fees.</w:t>
      </w:r>
    </w:p>
    <w:p w:rsidR="00D46617" w:rsidRPr="00877DFA" w:rsidRDefault="00D46617" w:rsidP="00D46617"/>
    <w:p w:rsidR="00D46617" w:rsidRPr="00877DFA" w:rsidRDefault="00D46617" w:rsidP="00D46617">
      <w:r w:rsidRPr="00877DFA">
        <w:t xml:space="preserve">Finally, in their joint comment of January 29, 2010, United Airlines and the U.S. Travel Association protested the incorporation of a $2 startup cost per MRV or BCC application for GSS, since as of the date of the proposed rule on MRV and BCC fees, final costs of GSS were not yet known and the contract had not yet been awarded, and thus the Department had not yet incurred any GSS startup costs. The Department awarded the GSS contract on February 26, 2010, with a 10-year </w:t>
      </w:r>
      <w:r w:rsidRPr="00877DFA">
        <w:lastRenderedPageBreak/>
        <w:t>ceiling of $2.8 billion. The costs of the three-to-five task orders the Department will award under this contract in Fiscal Year 2010 will be at least $2 per application.</w:t>
      </w:r>
    </w:p>
    <w:p w:rsidR="00D46617" w:rsidRPr="00877DFA" w:rsidRDefault="00D46617" w:rsidP="00D46617"/>
    <w:p w:rsidR="00D46617" w:rsidRPr="00877DFA" w:rsidRDefault="00D46617" w:rsidP="00D46617">
      <w:r w:rsidRPr="00877DFA">
        <w:t>Regulatory Findings</w:t>
      </w:r>
    </w:p>
    <w:p w:rsidR="00D46617" w:rsidRPr="00877DFA" w:rsidRDefault="00D46617" w:rsidP="00D46617"/>
    <w:p w:rsidR="00D46617" w:rsidRPr="00877DFA" w:rsidRDefault="00D46617" w:rsidP="00D46617">
      <w:r w:rsidRPr="00877DFA">
        <w:t xml:space="preserve">Administrative Procedure Act </w:t>
      </w:r>
    </w:p>
    <w:p w:rsidR="00D46617" w:rsidRPr="00877DFA" w:rsidRDefault="00D46617" w:rsidP="00D46617"/>
    <w:p w:rsidR="00D46617" w:rsidRPr="00877DFA" w:rsidRDefault="00D46617" w:rsidP="00D46617">
      <w:r w:rsidRPr="00877DFA">
        <w:t xml:space="preserve">The Department is issuing this interim final rule, with an effective date 15 days from the date of publication. The Administrative Procedure Act permits a final rule to become effective fewer than 30 days after publication if the issuing agency finds good cause. </w:t>
      </w:r>
      <w:hyperlink r:id="rId44" w:history="1">
        <w:r w:rsidRPr="00877DFA">
          <w:rPr>
            <w:rStyle w:val="Hyperlink"/>
          </w:rPr>
          <w:t>5 U.S.C. § 553(d</w:t>
        </w:r>
        <w:proofErr w:type="gramStart"/>
        <w:r w:rsidRPr="00877DFA">
          <w:rPr>
            <w:rStyle w:val="Hyperlink"/>
          </w:rPr>
          <w:t>)(</w:t>
        </w:r>
        <w:proofErr w:type="gramEnd"/>
        <w:r w:rsidRPr="00877DFA">
          <w:rPr>
            <w:rStyle w:val="Hyperlink"/>
          </w:rPr>
          <w:t>3)</w:t>
        </w:r>
      </w:hyperlink>
      <w:r w:rsidRPr="00877DFA">
        <w:t>. The Department finds that good cause exists for an early effective date in this instance for the following reasons.</w:t>
      </w:r>
    </w:p>
    <w:p w:rsidR="00D46617" w:rsidRPr="00877DFA" w:rsidRDefault="00D46617" w:rsidP="00D46617"/>
    <w:p w:rsidR="00D46617" w:rsidRPr="00877DFA" w:rsidRDefault="00D46617" w:rsidP="00D46617">
      <w:r w:rsidRPr="00877DFA">
        <w:t xml:space="preserve">As stated in the supplementary information above, the Department's mandate is to align as closely as possible its user fees for consular services with the actual, measured costs of those services. This enables better cost recovery and ensures that U.S. taxpayers do not subsidize consular services. </w:t>
      </w:r>
      <w:hyperlink r:id="rId45" w:history="1">
        <w:proofErr w:type="gramStart"/>
        <w:r w:rsidRPr="00877DFA">
          <w:rPr>
            <w:rStyle w:val="Hyperlink"/>
          </w:rPr>
          <w:t>31 U.S.C. 9701</w:t>
        </w:r>
      </w:hyperlink>
      <w:r w:rsidRPr="00877DFA">
        <w:t>; OMB Circular A-25.</w:t>
      </w:r>
      <w:proofErr w:type="gramEnd"/>
      <w:r w:rsidRPr="00877DFA">
        <w:t xml:space="preserve"> See also GAO-08-386SP, Federal User Fees: A Design Guide. The </w:t>
      </w:r>
      <w:proofErr w:type="spellStart"/>
      <w:r w:rsidRPr="00877DFA">
        <w:t>CoSS</w:t>
      </w:r>
      <w:proofErr w:type="spellEnd"/>
      <w:r w:rsidRPr="00877DFA">
        <w:t>, which supports the fees set by this rule, used data from past years, as well as predictive data for Fiscal Years 2010 *28193 and 2011, to determine the amount of the fees set by this rule.</w:t>
      </w:r>
    </w:p>
    <w:p w:rsidR="00D46617" w:rsidRPr="00877DFA" w:rsidRDefault="00D46617" w:rsidP="00D46617"/>
    <w:p w:rsidR="00D46617" w:rsidRPr="00877DFA" w:rsidRDefault="00D46617" w:rsidP="00D46617">
      <w:r w:rsidRPr="00877DFA">
        <w:t>The fees currently charged by the Department cover less than 94 percent of the underlying services' true cost. On a monthly basis, taxpayers are paying $5.4 million in unmet costs for consular services that should be borne by those who actually benefit from those services. In the current economic climate, this shortfall is unusually grave, exacerbating budgetary pressures and threatening other critical Department priorities. It is thus in the public's interest to make the appropriated funds currently used to fill this gap available as soon as possible.</w:t>
      </w:r>
    </w:p>
    <w:p w:rsidR="00D46617" w:rsidRPr="00877DFA" w:rsidRDefault="00D46617" w:rsidP="00D46617"/>
    <w:p w:rsidR="00D46617" w:rsidRPr="00877DFA" w:rsidRDefault="00D46617" w:rsidP="00D46617">
      <w:r w:rsidRPr="00877DFA">
        <w:t>For these reasons, and because the public's level of preparation for this fee increase is unlikely to be meaningfully improved by 15 additional days of advance warning, the Department finds that good cause exists for making this rule effective 15 days after its publication as an interim final rule.</w:t>
      </w:r>
    </w:p>
    <w:p w:rsidR="00D46617" w:rsidRPr="00877DFA" w:rsidRDefault="00D46617" w:rsidP="00D46617"/>
    <w:p w:rsidR="00D46617" w:rsidRPr="00877DFA" w:rsidRDefault="00D46617" w:rsidP="00D46617">
      <w:r w:rsidRPr="00877DFA">
        <w:t xml:space="preserve">Regulatory Flexibility Act </w:t>
      </w:r>
    </w:p>
    <w:p w:rsidR="00D46617" w:rsidRPr="00877DFA" w:rsidRDefault="00D46617" w:rsidP="00D46617"/>
    <w:p w:rsidR="00D46617" w:rsidRPr="00877DFA" w:rsidRDefault="00D46617" w:rsidP="00D46617">
      <w:r w:rsidRPr="00877DFA">
        <w:t xml:space="preserve">The Department, in accordance with the Regulatory Flexibility Act, </w:t>
      </w:r>
      <w:hyperlink r:id="rId46" w:history="1">
        <w:r w:rsidRPr="00877DFA">
          <w:rPr>
            <w:rStyle w:val="Hyperlink"/>
          </w:rPr>
          <w:t>5 U.S.C. 605(b)</w:t>
        </w:r>
      </w:hyperlink>
      <w:r w:rsidRPr="00877DFA">
        <w:t xml:space="preserve">, has reviewed this rule and, by approving it, certifies that it will not have a significant economic impact on a substantial number of small entities as defined in </w:t>
      </w:r>
      <w:hyperlink r:id="rId47" w:history="1">
        <w:r w:rsidRPr="00877DFA">
          <w:rPr>
            <w:rStyle w:val="Hyperlink"/>
          </w:rPr>
          <w:t>5 U.S.C. 601(6)</w:t>
        </w:r>
      </w:hyperlink>
      <w:r w:rsidRPr="00877DFA">
        <w:t>. This rule raises the application processing fee for nonimmigrant visas. Although the issuance of some of these visas is contingent upon approval by DHS of a petition filed by a U.S. company with DHS, and these companies pay a fee to DHS to cover the processing of the petition, the visa itself is sought and paid for by an individual foreign national overseas who seeks to come to the United States for a temporary stay. The amount of the petition fees that are paid by small entities to DHS is not controlled by the amount of the visa fees paid by individuals to the Department of State. While small entities may be required to cover or reimburse employees for application fees, the exact number of such entities that does so is unknown. Given that the increase in petition fees accounts for only 7 percent of the total percentage of visa fee increases, the modest 15 percent increase in the application fee for employment-based nonimmigrant visas is not likely to have a significant economic impact on the small entities that choose to reimburse the applicant for the visa fee.</w:t>
      </w:r>
    </w:p>
    <w:p w:rsidR="00D46617" w:rsidRPr="00877DFA" w:rsidRDefault="00D46617" w:rsidP="00D46617"/>
    <w:p w:rsidR="00D46617" w:rsidRPr="00877DFA" w:rsidRDefault="00D46617" w:rsidP="00D46617">
      <w:r w:rsidRPr="00877DFA">
        <w:t xml:space="preserve">Unfunded Mandates Act of 1995 </w:t>
      </w:r>
    </w:p>
    <w:p w:rsidR="00D46617" w:rsidRPr="00877DFA" w:rsidRDefault="00D46617" w:rsidP="00D46617"/>
    <w:p w:rsidR="00D46617" w:rsidRPr="00877DFA" w:rsidRDefault="00D46617" w:rsidP="00D46617">
      <w:r w:rsidRPr="00877DFA">
        <w:t>This rule will not result in the expenditure by state, local, and tribal governments, in the aggregate, or by the private sector, of $100 million or more in any year, and it will not significantly or uniquely affect small governments. Therefore, no actions were deemed necessary under the provisions of the Unfunded Mandates Reform Act of 1995, 2 U.S.C. Chapter 25.</w:t>
      </w:r>
    </w:p>
    <w:p w:rsidR="00D46617" w:rsidRPr="00877DFA" w:rsidRDefault="00D46617" w:rsidP="00D46617"/>
    <w:p w:rsidR="00D46617" w:rsidRPr="00877DFA" w:rsidRDefault="00D46617" w:rsidP="00D46617">
      <w:r w:rsidRPr="00877DFA">
        <w:t xml:space="preserve">Small Business Regulatory Enforcement Fairness Act of 1996 </w:t>
      </w:r>
    </w:p>
    <w:p w:rsidR="00D46617" w:rsidRPr="00877DFA" w:rsidRDefault="00D46617" w:rsidP="00D46617"/>
    <w:p w:rsidR="00D46617" w:rsidRPr="00877DFA" w:rsidRDefault="00D46617" w:rsidP="00D46617">
      <w:r w:rsidRPr="00877DFA">
        <w:t xml:space="preserve">This rule is not a major rule as defined by section 804 of the Small Business Regulatory Enforcement Fairness Act of 1996. See </w:t>
      </w:r>
      <w:hyperlink r:id="rId48" w:history="1">
        <w:r w:rsidRPr="00877DFA">
          <w:rPr>
            <w:rStyle w:val="Hyperlink"/>
          </w:rPr>
          <w:t>5 U.S.C. 804(2)</w:t>
        </w:r>
      </w:hyperlink>
      <w:r w:rsidRPr="00877DFA">
        <w:t xml:space="preserve">. This rule will not result in an annual effect on the economy of $100 million or more; a major increase in </w:t>
      </w:r>
      <w:r w:rsidRPr="00877DFA">
        <w:lastRenderedPageBreak/>
        <w:t>costs or prices for consumers, individual industries, federal, state, or local government agencies, or geographic regions; or significant adverse effects on competition, employment, investment, productivity, innovation, or on the ability of United States-based enterprises to compete with foreign-based enterprises in domestic and export markets.</w:t>
      </w:r>
    </w:p>
    <w:p w:rsidR="00D46617" w:rsidRPr="00877DFA" w:rsidRDefault="00D46617" w:rsidP="00D46617"/>
    <w:p w:rsidR="00D46617" w:rsidRPr="00877DFA" w:rsidRDefault="004362E3" w:rsidP="00D46617">
      <w:hyperlink r:id="rId49" w:history="1">
        <w:r w:rsidR="00D46617" w:rsidRPr="00877DFA">
          <w:rPr>
            <w:rStyle w:val="Hyperlink"/>
          </w:rPr>
          <w:t>Executive Order 12866</w:t>
        </w:r>
      </w:hyperlink>
    </w:p>
    <w:p w:rsidR="00D46617" w:rsidRPr="00877DFA" w:rsidRDefault="00D46617" w:rsidP="00D46617"/>
    <w:p w:rsidR="00D46617" w:rsidRPr="00877DFA" w:rsidRDefault="00D46617" w:rsidP="00D46617">
      <w:r w:rsidRPr="00877DFA">
        <w:t xml:space="preserve">OMB considers this rule to be a “significant regulatory action” under </w:t>
      </w:r>
      <w:hyperlink r:id="rId50" w:history="1">
        <w:r w:rsidRPr="00877DFA">
          <w:rPr>
            <w:rStyle w:val="Hyperlink"/>
          </w:rPr>
          <w:t>Executive Order 12866</w:t>
        </w:r>
      </w:hyperlink>
      <w:r w:rsidRPr="00877DFA">
        <w:t xml:space="preserve">, section 3(f), Regulatory Planning and Review, September. </w:t>
      </w:r>
      <w:proofErr w:type="gramStart"/>
      <w:r w:rsidRPr="00877DFA">
        <w:t>30, 1993.</w:t>
      </w:r>
      <w:proofErr w:type="gramEnd"/>
      <w:r w:rsidRPr="00877DFA">
        <w:t xml:space="preserve"> Accordingly, this rule was submitted to OMB for review. This rule is necessary in light of the Department of State's </w:t>
      </w:r>
      <w:proofErr w:type="spellStart"/>
      <w:r w:rsidRPr="00877DFA">
        <w:t>CoSS</w:t>
      </w:r>
      <w:proofErr w:type="spellEnd"/>
      <w:r w:rsidRPr="00877DFA">
        <w:t xml:space="preserve"> finding that the cost of processing nonimmigrant visas has increased since the fee was last set in 2007. The Department is setting the nonimmigrant visa fees in accordance with </w:t>
      </w:r>
      <w:hyperlink r:id="rId51" w:history="1">
        <w:r w:rsidRPr="00877DFA">
          <w:rPr>
            <w:rStyle w:val="Hyperlink"/>
          </w:rPr>
          <w:t>31 U.S.C. 9701</w:t>
        </w:r>
      </w:hyperlink>
      <w:r w:rsidRPr="00877DFA">
        <w:t xml:space="preserve"> and other applicable legal authority, as described in detail above. See, e.g., </w:t>
      </w:r>
      <w:hyperlink r:id="rId52" w:history="1">
        <w:r w:rsidRPr="00877DFA">
          <w:rPr>
            <w:rStyle w:val="Hyperlink"/>
          </w:rPr>
          <w:t>31 U.S.C. 9701(b</w:t>
        </w:r>
        <w:proofErr w:type="gramStart"/>
        <w:r w:rsidRPr="00877DFA">
          <w:rPr>
            <w:rStyle w:val="Hyperlink"/>
          </w:rPr>
          <w:t>)(</w:t>
        </w:r>
        <w:proofErr w:type="gramEnd"/>
        <w:r w:rsidRPr="00877DFA">
          <w:rPr>
            <w:rStyle w:val="Hyperlink"/>
          </w:rPr>
          <w:t>2)(A)</w:t>
        </w:r>
      </w:hyperlink>
      <w:r w:rsidRPr="00877DFA">
        <w:t xml:space="preserve"> (“The head of each agency * * * may prescribe regulations establishing the charge for a service or thing of value provided by the agency * * * based on * * * the costs to the Government.”). This regulation sets the fees for nonimmigrant visas at the amount required to recover the costs associated with providing this service to foreign nationals.</w:t>
      </w:r>
    </w:p>
    <w:p w:rsidR="00D46617" w:rsidRPr="00877DFA" w:rsidRDefault="00D46617" w:rsidP="00D46617"/>
    <w:p w:rsidR="00D46617" w:rsidRPr="00877DFA" w:rsidRDefault="004362E3" w:rsidP="00D46617">
      <w:hyperlink r:id="rId53" w:history="1">
        <w:r w:rsidR="00D46617" w:rsidRPr="00877DFA">
          <w:rPr>
            <w:rStyle w:val="Hyperlink"/>
          </w:rPr>
          <w:t>Executive Orders 12372</w:t>
        </w:r>
      </w:hyperlink>
      <w:r w:rsidR="00D46617" w:rsidRPr="00877DFA">
        <w:t xml:space="preserve"> and </w:t>
      </w:r>
      <w:hyperlink r:id="rId54" w:history="1">
        <w:r w:rsidR="00D46617" w:rsidRPr="00877DFA">
          <w:rPr>
            <w:rStyle w:val="Hyperlink"/>
          </w:rPr>
          <w:t>13132</w:t>
        </w:r>
      </w:hyperlink>
    </w:p>
    <w:p w:rsidR="00D46617" w:rsidRPr="00877DFA" w:rsidRDefault="00D46617" w:rsidP="00D46617"/>
    <w:p w:rsidR="00D46617" w:rsidRPr="00877DFA" w:rsidRDefault="00D46617" w:rsidP="00D46617">
      <w:r w:rsidRPr="00877DFA">
        <w:t xml:space="preserve">This regulation will not have substantial direct effects on the states, on the relationship between the national government and the states, or on the distribution of power and responsibilities among the various levels of government. Therefore, in accordance with section 6 of </w:t>
      </w:r>
      <w:hyperlink r:id="rId55" w:history="1">
        <w:r w:rsidRPr="00877DFA">
          <w:rPr>
            <w:rStyle w:val="Hyperlink"/>
          </w:rPr>
          <w:t>Executive Order 13132</w:t>
        </w:r>
      </w:hyperlink>
      <w:r w:rsidRPr="00877DFA">
        <w:t xml:space="preserve">, it is determined that this rule does not have sufficient federalism implications to require consultations or warrant the preparation of a federalism summary impact statement. The regulations implementing </w:t>
      </w:r>
      <w:hyperlink r:id="rId56" w:history="1">
        <w:r w:rsidRPr="00877DFA">
          <w:rPr>
            <w:rStyle w:val="Hyperlink"/>
          </w:rPr>
          <w:t>Executive Order 12372</w:t>
        </w:r>
      </w:hyperlink>
      <w:r w:rsidRPr="00877DFA">
        <w:t xml:space="preserve"> regarding intergovernmental consultation on federal programs and activities do not apply to this regulation.</w:t>
      </w:r>
    </w:p>
    <w:p w:rsidR="00D46617" w:rsidRPr="00877DFA" w:rsidRDefault="00D46617" w:rsidP="00D46617"/>
    <w:p w:rsidR="00D46617" w:rsidRPr="00877DFA" w:rsidRDefault="004362E3" w:rsidP="00D46617">
      <w:hyperlink r:id="rId57" w:history="1">
        <w:r w:rsidR="00D46617" w:rsidRPr="00877DFA">
          <w:rPr>
            <w:rStyle w:val="Hyperlink"/>
          </w:rPr>
          <w:t>Executive Order 13175</w:t>
        </w:r>
      </w:hyperlink>
    </w:p>
    <w:p w:rsidR="00D46617" w:rsidRPr="00877DFA" w:rsidRDefault="00D46617" w:rsidP="00D46617"/>
    <w:p w:rsidR="00D46617" w:rsidRPr="00877DFA" w:rsidRDefault="00D46617" w:rsidP="00D46617">
      <w:r w:rsidRPr="00877DFA">
        <w:t xml:space="preserve">The Department has determined that this rulemaking will not have tribal implications, will not impose substantial direct compliance costs on Indian tribal governments, and will not preempt tribal law. Accordingly, the requirements of section 5 of </w:t>
      </w:r>
      <w:hyperlink r:id="rId58" w:history="1">
        <w:r w:rsidRPr="00877DFA">
          <w:rPr>
            <w:rStyle w:val="Hyperlink"/>
          </w:rPr>
          <w:t>Executive Order 13175</w:t>
        </w:r>
      </w:hyperlink>
      <w:r w:rsidRPr="00877DFA">
        <w:t xml:space="preserve"> do not apply to this rulemaking.</w:t>
      </w:r>
    </w:p>
    <w:p w:rsidR="00D46617" w:rsidRPr="00877DFA" w:rsidRDefault="00D46617" w:rsidP="00D46617"/>
    <w:p w:rsidR="00D46617" w:rsidRPr="00877DFA" w:rsidRDefault="00D46617" w:rsidP="00D46617">
      <w:r w:rsidRPr="00877DFA">
        <w:t xml:space="preserve">Paperwork Reduction Act </w:t>
      </w:r>
    </w:p>
    <w:p w:rsidR="00D46617" w:rsidRPr="00877DFA" w:rsidRDefault="00D46617" w:rsidP="00D46617"/>
    <w:p w:rsidR="00D46617" w:rsidRPr="00877DFA" w:rsidRDefault="00D46617" w:rsidP="00D46617">
      <w:r w:rsidRPr="00877DFA">
        <w:t>This rule does not impose any new or modify any existing reporting or recordkeeping requirements.</w:t>
      </w:r>
    </w:p>
    <w:p w:rsidR="00D46617" w:rsidRPr="00877DFA" w:rsidRDefault="00D46617" w:rsidP="00D46617"/>
    <w:p w:rsidR="00D46617" w:rsidRPr="00877DFA" w:rsidRDefault="00D46617" w:rsidP="00D46617">
      <w:r w:rsidRPr="00877DFA">
        <w:t xml:space="preserve">List of Subjects in 22 CFR </w:t>
      </w:r>
      <w:proofErr w:type="gramStart"/>
      <w:r w:rsidRPr="00877DFA">
        <w:t>Part</w:t>
      </w:r>
      <w:proofErr w:type="gramEnd"/>
      <w:r w:rsidRPr="00877DFA">
        <w:t xml:space="preserve"> 22</w:t>
      </w:r>
    </w:p>
    <w:p w:rsidR="00D46617" w:rsidRPr="00877DFA" w:rsidRDefault="00D46617" w:rsidP="00D46617"/>
    <w:p w:rsidR="00D46617" w:rsidRPr="00877DFA" w:rsidRDefault="00D46617" w:rsidP="00D46617">
      <w:proofErr w:type="gramStart"/>
      <w:r w:rsidRPr="00877DFA">
        <w:t>Consular services, fees, passports and visas.</w:t>
      </w:r>
      <w:proofErr w:type="gramEnd"/>
    </w:p>
    <w:p w:rsidR="00D46617" w:rsidRPr="00877DFA" w:rsidRDefault="00D46617" w:rsidP="00D46617"/>
    <w:p w:rsidR="00D46617" w:rsidRPr="00877DFA" w:rsidRDefault="00D46617" w:rsidP="00D46617">
      <w:r w:rsidRPr="00877DFA">
        <w:t>Accordingly, for the reasons stated in the preamble, 22 CFR part 22 is amended as follows:</w:t>
      </w:r>
    </w:p>
    <w:p w:rsidR="00D46617" w:rsidRPr="00877DFA" w:rsidRDefault="00D46617" w:rsidP="00D46617"/>
    <w:p w:rsidR="00D46617" w:rsidRPr="00877DFA" w:rsidRDefault="00D46617" w:rsidP="00D46617">
      <w:r w:rsidRPr="00877DFA">
        <w:t>PART 22</w:t>
      </w:r>
      <w:proofErr w:type="gramStart"/>
      <w:r w:rsidRPr="00877DFA">
        <w:t>^[</w:t>
      </w:r>
      <w:proofErr w:type="gramEnd"/>
      <w:r w:rsidRPr="00877DFA">
        <w:t>AMENDED]1. The authority citation for part 22 is revised to read as follows:</w:t>
      </w:r>
    </w:p>
    <w:p w:rsidR="00D46617" w:rsidRPr="00877DFA" w:rsidRDefault="00D46617" w:rsidP="00D46617"/>
    <w:p w:rsidR="00D46617" w:rsidRPr="00877DFA" w:rsidRDefault="00D46617" w:rsidP="00D46617">
      <w:r w:rsidRPr="00877DFA">
        <w:t xml:space="preserve">Authority: </w:t>
      </w:r>
      <w:hyperlink r:id="rId59" w:history="1">
        <w:r w:rsidRPr="00877DFA">
          <w:rPr>
            <w:rStyle w:val="Hyperlink"/>
          </w:rPr>
          <w:t>8 U.S.C. 1101</w:t>
        </w:r>
      </w:hyperlink>
      <w:r w:rsidRPr="00877DFA">
        <w:t xml:space="preserve"> note, 1153 note, 1183a note, 1351, 1351 note, 1714, 1714 note; </w:t>
      </w:r>
      <w:hyperlink r:id="rId60" w:history="1">
        <w:r w:rsidRPr="00877DFA">
          <w:rPr>
            <w:rStyle w:val="Hyperlink"/>
          </w:rPr>
          <w:t>10 U.S.C. 2602(c)</w:t>
        </w:r>
      </w:hyperlink>
      <w:r w:rsidRPr="00877DFA">
        <w:t xml:space="preserve">; 11 U.S.C. 1157 note; </w:t>
      </w:r>
      <w:hyperlink r:id="rId61" w:history="1">
        <w:r w:rsidRPr="00877DFA">
          <w:rPr>
            <w:rStyle w:val="Hyperlink"/>
          </w:rPr>
          <w:t>22 U.S.C. 214</w:t>
        </w:r>
      </w:hyperlink>
      <w:r w:rsidRPr="00877DFA">
        <w:t xml:space="preserve">, </w:t>
      </w:r>
      <w:hyperlink r:id="rId62" w:history="1">
        <w:r w:rsidRPr="00877DFA">
          <w:rPr>
            <w:rStyle w:val="Hyperlink"/>
          </w:rPr>
          <w:t>214</w:t>
        </w:r>
      </w:hyperlink>
      <w:r w:rsidRPr="00877DFA">
        <w:t xml:space="preserve"> note, 1475e, 2504(a), 4201, 4206, 4215, 4219, 6551; </w:t>
      </w:r>
      <w:hyperlink r:id="rId63" w:history="1">
        <w:r w:rsidRPr="00877DFA">
          <w:rPr>
            <w:rStyle w:val="Hyperlink"/>
          </w:rPr>
          <w:t>31 U.S.C. 9701</w:t>
        </w:r>
      </w:hyperlink>
      <w:r w:rsidRPr="00877DFA">
        <w:t xml:space="preserve">; </w:t>
      </w:r>
      <w:hyperlink r:id="rId64" w:history="1">
        <w:r w:rsidRPr="00877DFA">
          <w:rPr>
            <w:rStyle w:val="Hyperlink"/>
          </w:rPr>
          <w:t>Exec. Order 10,718</w:t>
        </w:r>
      </w:hyperlink>
      <w:r w:rsidRPr="00877DFA">
        <w:t xml:space="preserve">, </w:t>
      </w:r>
      <w:hyperlink r:id="rId65" w:history="1">
        <w:r w:rsidRPr="00877DFA">
          <w:rPr>
            <w:rStyle w:val="Hyperlink"/>
          </w:rPr>
          <w:t>22 FR 4632 (1957)</w:t>
        </w:r>
      </w:hyperlink>
      <w:r w:rsidRPr="00877DFA">
        <w:t xml:space="preserve">; </w:t>
      </w:r>
      <w:hyperlink r:id="rId66" w:history="1">
        <w:r w:rsidRPr="00877DFA">
          <w:rPr>
            <w:rStyle w:val="Hyperlink"/>
          </w:rPr>
          <w:t>Exec. Order 11,295</w:t>
        </w:r>
      </w:hyperlink>
      <w:r w:rsidRPr="00877DFA">
        <w:t xml:space="preserve">, </w:t>
      </w:r>
      <w:hyperlink r:id="rId67" w:history="1">
        <w:r w:rsidRPr="00877DFA">
          <w:rPr>
            <w:rStyle w:val="Hyperlink"/>
          </w:rPr>
          <w:t>31 FR 10603 (1966)</w:t>
        </w:r>
      </w:hyperlink>
      <w:r w:rsidRPr="00877DFA">
        <w:t>.</w:t>
      </w:r>
    </w:p>
    <w:p w:rsidR="00D46617" w:rsidRPr="00877DFA" w:rsidRDefault="00D46617" w:rsidP="00D46617"/>
    <w:p w:rsidR="00D46617" w:rsidRPr="00877DFA" w:rsidRDefault="004362E3" w:rsidP="00D46617">
      <w:hyperlink r:id="rId68" w:history="1">
        <w:r w:rsidR="00D46617" w:rsidRPr="00877DFA">
          <w:rPr>
            <w:rStyle w:val="Hyperlink"/>
          </w:rPr>
          <w:t>22 CFR § 22.1</w:t>
        </w:r>
      </w:hyperlink>
    </w:p>
    <w:p w:rsidR="00D46617" w:rsidRPr="00877DFA" w:rsidRDefault="00D46617" w:rsidP="00D46617"/>
    <w:p w:rsidR="00D46617" w:rsidRPr="00877DFA" w:rsidRDefault="00D46617" w:rsidP="00D46617">
      <w:r w:rsidRPr="00877DFA">
        <w:t xml:space="preserve">2. Revise </w:t>
      </w:r>
      <w:hyperlink r:id="rId69" w:history="1">
        <w:r w:rsidRPr="00877DFA">
          <w:rPr>
            <w:rStyle w:val="Hyperlink"/>
          </w:rPr>
          <w:t>§ 22.1</w:t>
        </w:r>
      </w:hyperlink>
      <w:r w:rsidRPr="00877DFA">
        <w:t xml:space="preserve"> Item 21 to read as follows:</w:t>
      </w:r>
    </w:p>
    <w:p w:rsidR="00D46617" w:rsidRPr="00877DFA" w:rsidRDefault="00D46617" w:rsidP="00D46617"/>
    <w:p w:rsidR="00D46617" w:rsidRPr="00877DFA" w:rsidRDefault="004362E3" w:rsidP="00D46617">
      <w:hyperlink r:id="rId70" w:history="1">
        <w:r w:rsidR="00D46617" w:rsidRPr="00877DFA">
          <w:rPr>
            <w:rStyle w:val="Hyperlink"/>
          </w:rPr>
          <w:t>22 CFR § 22.1</w:t>
        </w:r>
      </w:hyperlink>
    </w:p>
    <w:p w:rsidR="00D46617" w:rsidRPr="00877DFA" w:rsidRDefault="00D46617" w:rsidP="00D46617"/>
    <w:p w:rsidR="00D46617" w:rsidRPr="00877DFA" w:rsidRDefault="004362E3" w:rsidP="00D46617">
      <w:hyperlink r:id="rId71" w:history="1">
        <w:r w:rsidR="00D46617" w:rsidRPr="00877DFA">
          <w:rPr>
            <w:rStyle w:val="Hyperlink"/>
          </w:rPr>
          <w:t>§ 22.1</w:t>
        </w:r>
      </w:hyperlink>
      <w:r w:rsidR="00D46617" w:rsidRPr="00877DFA">
        <w:t xml:space="preserve"> Schedule of fees.</w:t>
      </w:r>
    </w:p>
    <w:p w:rsidR="00D46617" w:rsidRPr="00877DFA" w:rsidRDefault="00D46617" w:rsidP="00D46617"/>
    <w:p w:rsidR="00D46617" w:rsidRPr="00877DFA" w:rsidRDefault="00D46617" w:rsidP="00D46617">
      <w:r w:rsidRPr="00877DFA">
        <w:t>* * * * *</w:t>
      </w:r>
    </w:p>
    <w:p w:rsidR="00D46617" w:rsidRPr="00877DFA" w:rsidRDefault="00D46617" w:rsidP="00D46617"/>
    <w:tbl>
      <w:tblPr>
        <w:tblW w:w="0" w:type="auto"/>
        <w:tblInd w:w="28" w:type="dxa"/>
        <w:tblLayout w:type="fixed"/>
        <w:tblCellMar>
          <w:left w:w="0" w:type="dxa"/>
          <w:right w:w="0" w:type="dxa"/>
        </w:tblCellMar>
        <w:tblLook w:val="0000"/>
      </w:tblPr>
      <w:tblGrid>
        <w:gridCol w:w="5040"/>
        <w:gridCol w:w="5040"/>
      </w:tblGrid>
      <w:tr w:rsidR="00D46617" w:rsidRPr="00877DFA" w:rsidTr="00D46617">
        <w:tc>
          <w:tcPr>
            <w:tcW w:w="5040" w:type="dxa"/>
            <w:tcBorders>
              <w:top w:val="nil"/>
              <w:left w:val="nil"/>
              <w:bottom w:val="single" w:sz="8" w:space="0" w:color="auto"/>
              <w:right w:val="nil"/>
            </w:tcBorders>
            <w:tcMar>
              <w:top w:w="28" w:type="dxa"/>
              <w:left w:w="28" w:type="dxa"/>
              <w:bottom w:w="28" w:type="dxa"/>
              <w:right w:w="28" w:type="dxa"/>
            </w:tcMar>
          </w:tcPr>
          <w:p w:rsidR="00D46617" w:rsidRPr="00877DFA" w:rsidRDefault="00D46617" w:rsidP="00D46617">
            <w:r w:rsidRPr="00877DFA">
              <w:t xml:space="preserve">Item No. </w:t>
            </w:r>
          </w:p>
        </w:tc>
        <w:tc>
          <w:tcPr>
            <w:tcW w:w="5040" w:type="dxa"/>
            <w:tcBorders>
              <w:top w:val="nil"/>
              <w:left w:val="nil"/>
              <w:bottom w:val="single" w:sz="8" w:space="0" w:color="auto"/>
              <w:right w:val="nil"/>
            </w:tcBorders>
            <w:tcMar>
              <w:top w:w="28" w:type="dxa"/>
              <w:left w:w="28" w:type="dxa"/>
              <w:bottom w:w="28" w:type="dxa"/>
              <w:right w:w="28" w:type="dxa"/>
            </w:tcMar>
          </w:tcPr>
          <w:p w:rsidR="00D46617" w:rsidRPr="00877DFA" w:rsidRDefault="00D46617" w:rsidP="00D46617">
            <w:r w:rsidRPr="00877DFA">
              <w:t>Fee</w:t>
            </w:r>
          </w:p>
        </w:tc>
      </w:tr>
      <w:tr w:rsidR="00D46617" w:rsidRPr="00877DFA" w:rsidTr="00D46617">
        <w:tc>
          <w:tcPr>
            <w:tcW w:w="5040" w:type="dxa"/>
            <w:tcBorders>
              <w:top w:val="nil"/>
              <w:left w:val="nil"/>
              <w:bottom w:val="single" w:sz="8" w:space="0" w:color="auto"/>
              <w:right w:val="nil"/>
            </w:tcBorders>
            <w:tcMar>
              <w:top w:w="28" w:type="dxa"/>
              <w:left w:w="28" w:type="dxa"/>
              <w:bottom w:w="28" w:type="dxa"/>
              <w:right w:w="28" w:type="dxa"/>
            </w:tcMar>
          </w:tcPr>
          <w:p w:rsidR="00D46617" w:rsidRPr="00877DFA" w:rsidRDefault="00D46617" w:rsidP="00D46617">
            <w:r w:rsidRPr="00877DFA">
              <w:t xml:space="preserve">SCHEDULE OF FEES FOR CONSULAR SERVICES </w:t>
            </w:r>
          </w:p>
        </w:tc>
        <w:tc>
          <w:tcPr>
            <w:tcW w:w="5040" w:type="dxa"/>
            <w:tcBorders>
              <w:top w:val="nil"/>
              <w:left w:val="nil"/>
              <w:bottom w:val="single" w:sz="8" w:space="0" w:color="auto"/>
              <w:right w:val="nil"/>
            </w:tcBorders>
            <w:tcMar>
              <w:top w:w="28" w:type="dxa"/>
              <w:left w:w="28" w:type="dxa"/>
              <w:bottom w:w="28" w:type="dxa"/>
              <w:right w:w="28" w:type="dxa"/>
            </w:tcMar>
          </w:tcPr>
          <w:p w:rsidR="00D46617" w:rsidRPr="00877DFA" w:rsidRDefault="00D46617" w:rsidP="00D46617"/>
        </w:tc>
      </w:tr>
      <w:tr w:rsidR="00D46617" w:rsidRPr="00877DFA" w:rsidTr="00D46617">
        <w:tc>
          <w:tcPr>
            <w:tcW w:w="5040" w:type="dxa"/>
            <w:tcBorders>
              <w:top w:val="nil"/>
              <w:left w:val="nil"/>
              <w:bottom w:val="single" w:sz="8" w:space="0" w:color="auto"/>
              <w:right w:val="nil"/>
            </w:tcBorders>
            <w:tcMar>
              <w:top w:w="28" w:type="dxa"/>
              <w:left w:w="28" w:type="dxa"/>
              <w:bottom w:w="28" w:type="dxa"/>
              <w:right w:w="28" w:type="dxa"/>
            </w:tcMar>
          </w:tcPr>
          <w:p w:rsidR="00D46617" w:rsidRPr="00877DFA" w:rsidRDefault="00D46617" w:rsidP="00D46617">
            <w:r w:rsidRPr="00877DFA">
              <w:t> </w:t>
            </w:r>
          </w:p>
          <w:p w:rsidR="00D46617" w:rsidRPr="00877DFA" w:rsidRDefault="00D46617" w:rsidP="00D46617"/>
        </w:tc>
        <w:tc>
          <w:tcPr>
            <w:tcW w:w="5040" w:type="dxa"/>
            <w:tcBorders>
              <w:top w:val="nil"/>
              <w:left w:val="nil"/>
              <w:bottom w:val="single" w:sz="8" w:space="0" w:color="auto"/>
              <w:right w:val="nil"/>
            </w:tcBorders>
            <w:tcMar>
              <w:top w:w="28" w:type="dxa"/>
              <w:left w:w="28" w:type="dxa"/>
              <w:bottom w:w="28" w:type="dxa"/>
              <w:right w:w="28" w:type="dxa"/>
            </w:tcMar>
          </w:tcPr>
          <w:p w:rsidR="00D46617" w:rsidRPr="00877DFA" w:rsidRDefault="00D46617" w:rsidP="00D46617"/>
        </w:tc>
      </w:tr>
      <w:tr w:rsidR="00D46617" w:rsidRPr="00877DFA" w:rsidTr="00D46617">
        <w:trPr>
          <w:trHeight w:val="43"/>
        </w:trPr>
        <w:tc>
          <w:tcPr>
            <w:tcW w:w="5040" w:type="dxa"/>
            <w:tcBorders>
              <w:top w:val="nil"/>
              <w:left w:val="nil"/>
              <w:bottom w:val="single" w:sz="8" w:space="0" w:color="auto"/>
              <w:right w:val="nil"/>
            </w:tcBorders>
            <w:tcMar>
              <w:top w:w="28" w:type="dxa"/>
              <w:left w:w="28" w:type="dxa"/>
              <w:bottom w:w="28" w:type="dxa"/>
              <w:right w:w="28" w:type="dxa"/>
            </w:tcMar>
          </w:tcPr>
          <w:p w:rsidR="00D46617" w:rsidRPr="00877DFA" w:rsidRDefault="00D46617" w:rsidP="00D46617">
            <w:r w:rsidRPr="00877DFA">
              <w:t>* * * * * * *</w:t>
            </w:r>
          </w:p>
        </w:tc>
        <w:tc>
          <w:tcPr>
            <w:tcW w:w="5040" w:type="dxa"/>
            <w:tcBorders>
              <w:top w:val="nil"/>
              <w:left w:val="nil"/>
              <w:bottom w:val="single" w:sz="8" w:space="0" w:color="auto"/>
              <w:right w:val="nil"/>
            </w:tcBorders>
            <w:tcMar>
              <w:top w:w="28" w:type="dxa"/>
              <w:left w:w="28" w:type="dxa"/>
              <w:bottom w:w="28" w:type="dxa"/>
              <w:right w:w="28" w:type="dxa"/>
            </w:tcMar>
          </w:tcPr>
          <w:p w:rsidR="00D46617" w:rsidRPr="00877DFA" w:rsidRDefault="00D46617" w:rsidP="00D46617">
            <w:r w:rsidRPr="00877DFA">
              <w:t xml:space="preserve"> </w:t>
            </w:r>
          </w:p>
        </w:tc>
      </w:tr>
      <w:tr w:rsidR="00D46617" w:rsidRPr="00877DFA" w:rsidTr="00D46617">
        <w:tc>
          <w:tcPr>
            <w:tcW w:w="5040" w:type="dxa"/>
            <w:tcBorders>
              <w:top w:val="nil"/>
              <w:left w:val="nil"/>
              <w:bottom w:val="single" w:sz="8" w:space="0" w:color="auto"/>
              <w:right w:val="nil"/>
            </w:tcBorders>
            <w:tcMar>
              <w:top w:w="28" w:type="dxa"/>
              <w:left w:w="28" w:type="dxa"/>
              <w:bottom w:w="28" w:type="dxa"/>
              <w:right w:w="28" w:type="dxa"/>
            </w:tcMar>
          </w:tcPr>
          <w:p w:rsidR="00D46617" w:rsidRPr="00877DFA" w:rsidRDefault="00D46617" w:rsidP="00D46617">
            <w:r w:rsidRPr="00877DFA">
              <w:t xml:space="preserve">Nonimmigrant Visa Services </w:t>
            </w:r>
          </w:p>
        </w:tc>
        <w:tc>
          <w:tcPr>
            <w:tcW w:w="5040" w:type="dxa"/>
            <w:tcBorders>
              <w:top w:val="nil"/>
              <w:left w:val="nil"/>
              <w:bottom w:val="single" w:sz="8" w:space="0" w:color="auto"/>
              <w:right w:val="nil"/>
            </w:tcBorders>
            <w:tcMar>
              <w:top w:w="28" w:type="dxa"/>
              <w:left w:w="28" w:type="dxa"/>
              <w:bottom w:w="28" w:type="dxa"/>
              <w:right w:w="28" w:type="dxa"/>
            </w:tcMar>
          </w:tcPr>
          <w:p w:rsidR="00D46617" w:rsidRPr="00877DFA" w:rsidRDefault="00D46617" w:rsidP="00D46617"/>
        </w:tc>
      </w:tr>
      <w:tr w:rsidR="00D46617" w:rsidRPr="00877DFA" w:rsidTr="00D46617">
        <w:tc>
          <w:tcPr>
            <w:tcW w:w="5040" w:type="dxa"/>
            <w:tcBorders>
              <w:top w:val="nil"/>
              <w:left w:val="nil"/>
              <w:bottom w:val="single" w:sz="8" w:space="0" w:color="auto"/>
              <w:right w:val="nil"/>
            </w:tcBorders>
            <w:tcMar>
              <w:top w:w="28" w:type="dxa"/>
              <w:left w:w="28" w:type="dxa"/>
              <w:bottom w:w="28" w:type="dxa"/>
              <w:right w:w="28" w:type="dxa"/>
            </w:tcMar>
          </w:tcPr>
          <w:p w:rsidR="00D46617" w:rsidRPr="00877DFA" w:rsidRDefault="00D46617" w:rsidP="00D46617">
            <w:r w:rsidRPr="00877DFA">
              <w:t>21. Nonimmigrant visa and border crossing card application processing fees (per person):</w:t>
            </w:r>
          </w:p>
        </w:tc>
        <w:tc>
          <w:tcPr>
            <w:tcW w:w="5040" w:type="dxa"/>
            <w:tcBorders>
              <w:top w:val="nil"/>
              <w:left w:val="nil"/>
              <w:bottom w:val="single" w:sz="8" w:space="0" w:color="auto"/>
              <w:right w:val="nil"/>
            </w:tcBorders>
            <w:tcMar>
              <w:top w:w="28" w:type="dxa"/>
              <w:left w:w="28" w:type="dxa"/>
              <w:bottom w:w="28" w:type="dxa"/>
              <w:right w:w="28" w:type="dxa"/>
            </w:tcMar>
          </w:tcPr>
          <w:p w:rsidR="00D46617" w:rsidRPr="00877DFA" w:rsidRDefault="00D46617" w:rsidP="00D46617">
            <w:r w:rsidRPr="00877DFA">
              <w:t xml:space="preserve"> </w:t>
            </w:r>
          </w:p>
        </w:tc>
      </w:tr>
      <w:tr w:rsidR="00D46617" w:rsidRPr="00877DFA" w:rsidTr="00D46617">
        <w:tc>
          <w:tcPr>
            <w:tcW w:w="5040" w:type="dxa"/>
            <w:tcBorders>
              <w:top w:val="nil"/>
              <w:left w:val="nil"/>
              <w:bottom w:val="single" w:sz="8" w:space="0" w:color="auto"/>
              <w:right w:val="nil"/>
            </w:tcBorders>
            <w:tcMar>
              <w:top w:w="28" w:type="dxa"/>
              <w:left w:w="28" w:type="dxa"/>
              <w:bottom w:w="28" w:type="dxa"/>
              <w:right w:w="28" w:type="dxa"/>
            </w:tcMar>
          </w:tcPr>
          <w:p w:rsidR="00D46617" w:rsidRPr="00877DFA" w:rsidRDefault="00D46617" w:rsidP="00D46617">
            <w:r w:rsidRPr="00877DFA">
              <w:t>(a) Non-petition-based nonimmigrant visa (except E category)</w:t>
            </w:r>
          </w:p>
        </w:tc>
        <w:tc>
          <w:tcPr>
            <w:tcW w:w="5040" w:type="dxa"/>
            <w:tcBorders>
              <w:top w:val="nil"/>
              <w:left w:val="nil"/>
              <w:bottom w:val="single" w:sz="8" w:space="0" w:color="auto"/>
              <w:right w:val="nil"/>
            </w:tcBorders>
            <w:tcMar>
              <w:top w:w="28" w:type="dxa"/>
              <w:left w:w="28" w:type="dxa"/>
              <w:bottom w:w="28" w:type="dxa"/>
              <w:right w:w="28" w:type="dxa"/>
            </w:tcMar>
          </w:tcPr>
          <w:p w:rsidR="00D46617" w:rsidRPr="00877DFA" w:rsidRDefault="00D46617" w:rsidP="00D46617">
            <w:r w:rsidRPr="00877DFA">
              <w:t xml:space="preserve"> $140</w:t>
            </w:r>
          </w:p>
        </w:tc>
      </w:tr>
      <w:tr w:rsidR="00D46617" w:rsidRPr="00877DFA" w:rsidTr="00D46617">
        <w:tc>
          <w:tcPr>
            <w:tcW w:w="5040" w:type="dxa"/>
            <w:tcBorders>
              <w:top w:val="nil"/>
              <w:left w:val="nil"/>
              <w:bottom w:val="single" w:sz="8" w:space="0" w:color="auto"/>
              <w:right w:val="nil"/>
            </w:tcBorders>
            <w:tcMar>
              <w:top w:w="28" w:type="dxa"/>
              <w:left w:w="28" w:type="dxa"/>
              <w:bottom w:w="28" w:type="dxa"/>
              <w:right w:w="28" w:type="dxa"/>
            </w:tcMar>
          </w:tcPr>
          <w:p w:rsidR="00D46617" w:rsidRPr="00877DFA" w:rsidRDefault="00D46617" w:rsidP="00D46617">
            <w:r w:rsidRPr="00877DFA">
              <w:t>(b) H, L, O, P, Q and R category nonimmigrant visa</w:t>
            </w:r>
          </w:p>
        </w:tc>
        <w:tc>
          <w:tcPr>
            <w:tcW w:w="5040" w:type="dxa"/>
            <w:tcBorders>
              <w:top w:val="nil"/>
              <w:left w:val="nil"/>
              <w:bottom w:val="single" w:sz="8" w:space="0" w:color="auto"/>
              <w:right w:val="nil"/>
            </w:tcBorders>
            <w:tcMar>
              <w:top w:w="28" w:type="dxa"/>
              <w:left w:w="28" w:type="dxa"/>
              <w:bottom w:w="28" w:type="dxa"/>
              <w:right w:w="28" w:type="dxa"/>
            </w:tcMar>
          </w:tcPr>
          <w:p w:rsidR="00D46617" w:rsidRPr="00877DFA" w:rsidRDefault="00D46617" w:rsidP="00D46617">
            <w:r w:rsidRPr="00877DFA">
              <w:t xml:space="preserve"> $150</w:t>
            </w:r>
          </w:p>
        </w:tc>
      </w:tr>
      <w:tr w:rsidR="00D46617" w:rsidRPr="00877DFA" w:rsidTr="00D46617">
        <w:tc>
          <w:tcPr>
            <w:tcW w:w="5040" w:type="dxa"/>
            <w:tcBorders>
              <w:top w:val="nil"/>
              <w:left w:val="nil"/>
              <w:bottom w:val="single" w:sz="8" w:space="0" w:color="auto"/>
              <w:right w:val="nil"/>
            </w:tcBorders>
            <w:tcMar>
              <w:top w:w="28" w:type="dxa"/>
              <w:left w:w="28" w:type="dxa"/>
              <w:bottom w:w="28" w:type="dxa"/>
              <w:right w:w="28" w:type="dxa"/>
            </w:tcMar>
          </w:tcPr>
          <w:p w:rsidR="00D46617" w:rsidRPr="00877DFA" w:rsidRDefault="00D46617" w:rsidP="00D46617">
            <w:r w:rsidRPr="00877DFA">
              <w:t>(c) E category nonimmigrant visa</w:t>
            </w:r>
          </w:p>
        </w:tc>
        <w:tc>
          <w:tcPr>
            <w:tcW w:w="5040" w:type="dxa"/>
            <w:tcBorders>
              <w:top w:val="nil"/>
              <w:left w:val="nil"/>
              <w:bottom w:val="single" w:sz="8" w:space="0" w:color="auto"/>
              <w:right w:val="nil"/>
            </w:tcBorders>
            <w:tcMar>
              <w:top w:w="28" w:type="dxa"/>
              <w:left w:w="28" w:type="dxa"/>
              <w:bottom w:w="28" w:type="dxa"/>
              <w:right w:w="28" w:type="dxa"/>
            </w:tcMar>
          </w:tcPr>
          <w:p w:rsidR="00D46617" w:rsidRPr="00877DFA" w:rsidRDefault="00D46617" w:rsidP="00D46617">
            <w:r w:rsidRPr="00877DFA">
              <w:t xml:space="preserve"> $390</w:t>
            </w:r>
          </w:p>
        </w:tc>
      </w:tr>
      <w:tr w:rsidR="00D46617" w:rsidRPr="00877DFA" w:rsidTr="00D46617">
        <w:tc>
          <w:tcPr>
            <w:tcW w:w="5040" w:type="dxa"/>
            <w:tcBorders>
              <w:top w:val="nil"/>
              <w:left w:val="nil"/>
              <w:bottom w:val="single" w:sz="8" w:space="0" w:color="auto"/>
              <w:right w:val="nil"/>
            </w:tcBorders>
            <w:tcMar>
              <w:top w:w="28" w:type="dxa"/>
              <w:left w:w="28" w:type="dxa"/>
              <w:bottom w:w="28" w:type="dxa"/>
              <w:right w:w="28" w:type="dxa"/>
            </w:tcMar>
          </w:tcPr>
          <w:p w:rsidR="00D46617" w:rsidRPr="00877DFA" w:rsidRDefault="00D46617" w:rsidP="00D46617">
            <w:r w:rsidRPr="00877DFA">
              <w:t>(d) K category nonimmigrant visa</w:t>
            </w:r>
          </w:p>
        </w:tc>
        <w:tc>
          <w:tcPr>
            <w:tcW w:w="5040" w:type="dxa"/>
            <w:tcBorders>
              <w:top w:val="nil"/>
              <w:left w:val="nil"/>
              <w:bottom w:val="single" w:sz="8" w:space="0" w:color="auto"/>
              <w:right w:val="nil"/>
            </w:tcBorders>
            <w:tcMar>
              <w:top w:w="28" w:type="dxa"/>
              <w:left w:w="28" w:type="dxa"/>
              <w:bottom w:w="28" w:type="dxa"/>
              <w:right w:w="28" w:type="dxa"/>
            </w:tcMar>
          </w:tcPr>
          <w:p w:rsidR="00D46617" w:rsidRPr="00877DFA" w:rsidRDefault="00D46617" w:rsidP="00D46617">
            <w:r w:rsidRPr="00877DFA">
              <w:t xml:space="preserve"> $350</w:t>
            </w:r>
          </w:p>
        </w:tc>
      </w:tr>
      <w:tr w:rsidR="00D46617" w:rsidRPr="00877DFA" w:rsidTr="00D46617">
        <w:tc>
          <w:tcPr>
            <w:tcW w:w="5040" w:type="dxa"/>
            <w:tcBorders>
              <w:top w:val="nil"/>
              <w:left w:val="nil"/>
              <w:bottom w:val="single" w:sz="8" w:space="0" w:color="auto"/>
              <w:right w:val="nil"/>
            </w:tcBorders>
            <w:tcMar>
              <w:top w:w="28" w:type="dxa"/>
              <w:left w:w="28" w:type="dxa"/>
              <w:bottom w:w="28" w:type="dxa"/>
              <w:right w:w="28" w:type="dxa"/>
            </w:tcMar>
          </w:tcPr>
          <w:p w:rsidR="00D46617" w:rsidRPr="00877DFA" w:rsidRDefault="00D46617" w:rsidP="00D46617">
            <w:r w:rsidRPr="00877DFA">
              <w:t xml:space="preserve">(e) Border crossing </w:t>
            </w:r>
            <w:proofErr w:type="spellStart"/>
            <w:r w:rsidRPr="00877DFA">
              <w:t>card^age</w:t>
            </w:r>
            <w:proofErr w:type="spellEnd"/>
            <w:r w:rsidRPr="00877DFA">
              <w:t xml:space="preserve"> 15 and over (valid 10 years)</w:t>
            </w:r>
          </w:p>
        </w:tc>
        <w:tc>
          <w:tcPr>
            <w:tcW w:w="5040" w:type="dxa"/>
            <w:tcBorders>
              <w:top w:val="nil"/>
              <w:left w:val="nil"/>
              <w:bottom w:val="single" w:sz="8" w:space="0" w:color="auto"/>
              <w:right w:val="nil"/>
            </w:tcBorders>
            <w:tcMar>
              <w:top w:w="28" w:type="dxa"/>
              <w:left w:w="28" w:type="dxa"/>
              <w:bottom w:w="28" w:type="dxa"/>
              <w:right w:w="28" w:type="dxa"/>
            </w:tcMar>
          </w:tcPr>
          <w:p w:rsidR="00D46617" w:rsidRPr="00877DFA" w:rsidRDefault="00D46617" w:rsidP="00D46617">
            <w:r w:rsidRPr="00877DFA">
              <w:t xml:space="preserve"> $140</w:t>
            </w:r>
          </w:p>
        </w:tc>
      </w:tr>
      <w:tr w:rsidR="00D46617" w:rsidRPr="00877DFA" w:rsidTr="00D46617">
        <w:tc>
          <w:tcPr>
            <w:tcW w:w="5040" w:type="dxa"/>
            <w:tcBorders>
              <w:top w:val="nil"/>
              <w:left w:val="nil"/>
              <w:bottom w:val="single" w:sz="8" w:space="0" w:color="auto"/>
              <w:right w:val="nil"/>
            </w:tcBorders>
            <w:tcMar>
              <w:top w:w="28" w:type="dxa"/>
              <w:left w:w="28" w:type="dxa"/>
              <w:bottom w:w="28" w:type="dxa"/>
              <w:right w:w="28" w:type="dxa"/>
            </w:tcMar>
          </w:tcPr>
          <w:p w:rsidR="00D46617" w:rsidRPr="00877DFA" w:rsidRDefault="00D46617" w:rsidP="00D46617">
            <w:r w:rsidRPr="00877DFA">
              <w:t xml:space="preserve">(f) Border crossing </w:t>
            </w:r>
            <w:proofErr w:type="spellStart"/>
            <w:r w:rsidRPr="00877DFA">
              <w:t>card^under</w:t>
            </w:r>
            <w:proofErr w:type="spellEnd"/>
            <w:r w:rsidRPr="00877DFA">
              <w:t xml:space="preserve"> age 15; for Mexican citizens if parent or guardian has or is applying for a border crossing card (valid 10 years or until the applicant reaches age 15, whichever is sooner)</w:t>
            </w:r>
          </w:p>
        </w:tc>
        <w:tc>
          <w:tcPr>
            <w:tcW w:w="5040" w:type="dxa"/>
            <w:tcBorders>
              <w:top w:val="nil"/>
              <w:left w:val="nil"/>
              <w:bottom w:val="single" w:sz="8" w:space="0" w:color="auto"/>
              <w:right w:val="nil"/>
            </w:tcBorders>
            <w:tcMar>
              <w:top w:w="28" w:type="dxa"/>
              <w:left w:w="28" w:type="dxa"/>
              <w:bottom w:w="28" w:type="dxa"/>
              <w:right w:w="28" w:type="dxa"/>
            </w:tcMar>
          </w:tcPr>
          <w:p w:rsidR="00D46617" w:rsidRPr="00877DFA" w:rsidRDefault="00D46617" w:rsidP="00D46617">
            <w:r w:rsidRPr="00877DFA">
              <w:t xml:space="preserve"> $14</w:t>
            </w:r>
          </w:p>
        </w:tc>
      </w:tr>
      <w:tr w:rsidR="00D46617" w:rsidRPr="00877DFA" w:rsidTr="00D46617">
        <w:tc>
          <w:tcPr>
            <w:tcW w:w="5040" w:type="dxa"/>
            <w:tcBorders>
              <w:top w:val="nil"/>
              <w:left w:val="nil"/>
              <w:bottom w:val="single" w:sz="8" w:space="0" w:color="auto"/>
              <w:right w:val="nil"/>
            </w:tcBorders>
            <w:tcMar>
              <w:top w:w="28" w:type="dxa"/>
              <w:left w:w="28" w:type="dxa"/>
              <w:bottom w:w="28" w:type="dxa"/>
              <w:right w:w="28" w:type="dxa"/>
            </w:tcMar>
          </w:tcPr>
          <w:p w:rsidR="00D46617" w:rsidRPr="00877DFA" w:rsidRDefault="00D46617" w:rsidP="00D46617">
            <w:r w:rsidRPr="00877DFA">
              <w:t> </w:t>
            </w:r>
          </w:p>
          <w:p w:rsidR="00D46617" w:rsidRPr="00877DFA" w:rsidRDefault="00D46617" w:rsidP="00D46617"/>
        </w:tc>
        <w:tc>
          <w:tcPr>
            <w:tcW w:w="5040" w:type="dxa"/>
            <w:tcBorders>
              <w:top w:val="nil"/>
              <w:left w:val="nil"/>
              <w:bottom w:val="single" w:sz="8" w:space="0" w:color="auto"/>
              <w:right w:val="nil"/>
            </w:tcBorders>
            <w:tcMar>
              <w:top w:w="28" w:type="dxa"/>
              <w:left w:w="28" w:type="dxa"/>
              <w:bottom w:w="28" w:type="dxa"/>
              <w:right w:w="28" w:type="dxa"/>
            </w:tcMar>
          </w:tcPr>
          <w:p w:rsidR="00D46617" w:rsidRPr="00877DFA" w:rsidRDefault="00D46617" w:rsidP="00D46617"/>
        </w:tc>
      </w:tr>
      <w:tr w:rsidR="00D46617" w:rsidRPr="00877DFA" w:rsidTr="00D46617">
        <w:tc>
          <w:tcPr>
            <w:tcW w:w="5040" w:type="dxa"/>
            <w:tcBorders>
              <w:top w:val="nil"/>
              <w:left w:val="nil"/>
              <w:bottom w:val="single" w:sz="8" w:space="0" w:color="auto"/>
              <w:right w:val="nil"/>
            </w:tcBorders>
            <w:tcMar>
              <w:top w:w="28" w:type="dxa"/>
              <w:left w:w="28" w:type="dxa"/>
              <w:bottom w:w="28" w:type="dxa"/>
              <w:right w:w="28" w:type="dxa"/>
            </w:tcMar>
          </w:tcPr>
          <w:p w:rsidR="00D46617" w:rsidRPr="00877DFA" w:rsidRDefault="00D46617" w:rsidP="00D46617">
            <w:r w:rsidRPr="00877DFA">
              <w:t>* * * * * * *</w:t>
            </w:r>
          </w:p>
        </w:tc>
        <w:tc>
          <w:tcPr>
            <w:tcW w:w="5040" w:type="dxa"/>
            <w:tcBorders>
              <w:top w:val="nil"/>
              <w:left w:val="nil"/>
              <w:bottom w:val="single" w:sz="8" w:space="0" w:color="auto"/>
              <w:right w:val="nil"/>
            </w:tcBorders>
            <w:tcMar>
              <w:top w:w="28" w:type="dxa"/>
              <w:left w:w="28" w:type="dxa"/>
              <w:bottom w:w="28" w:type="dxa"/>
              <w:right w:w="28" w:type="dxa"/>
            </w:tcMar>
          </w:tcPr>
          <w:p w:rsidR="00D46617" w:rsidRPr="00877DFA" w:rsidRDefault="00D46617" w:rsidP="00D46617">
            <w:r w:rsidRPr="00877DFA">
              <w:t xml:space="preserve"> </w:t>
            </w:r>
          </w:p>
        </w:tc>
      </w:tr>
    </w:tbl>
    <w:p w:rsidR="00D46617" w:rsidRPr="00877DFA" w:rsidRDefault="00D46617" w:rsidP="00D46617">
      <w:proofErr w:type="gramStart"/>
      <w:r w:rsidRPr="00877DFA">
        <w:t>Dated: May 14, 2010.</w:t>
      </w:r>
      <w:proofErr w:type="gramEnd"/>
    </w:p>
    <w:p w:rsidR="00D46617" w:rsidRPr="00877DFA" w:rsidRDefault="00D46617" w:rsidP="00D46617"/>
    <w:p w:rsidR="00D46617" w:rsidRPr="00877DFA" w:rsidRDefault="00D46617" w:rsidP="00D46617">
      <w:r w:rsidRPr="00877DFA">
        <w:t xml:space="preserve"> Patrick Kennedy,</w:t>
      </w:r>
    </w:p>
    <w:p w:rsidR="00D46617" w:rsidRDefault="00D46617" w:rsidP="00D46617">
      <w:pPr>
        <w:widowControl w:val="0"/>
        <w:autoSpaceDE w:val="0"/>
        <w:autoSpaceDN w:val="0"/>
        <w:adjustRightInd w:val="0"/>
        <w:rPr>
          <w:color w:val="000000"/>
          <w:sz w:val="24"/>
          <w:szCs w:val="24"/>
        </w:rPr>
      </w:pPr>
    </w:p>
    <w:p w:rsidR="00D46617" w:rsidRDefault="00D46617" w:rsidP="00D46617">
      <w:pPr>
        <w:widowControl w:val="0"/>
        <w:autoSpaceDE w:val="0"/>
        <w:autoSpaceDN w:val="0"/>
        <w:adjustRightInd w:val="0"/>
        <w:jc w:val="both"/>
        <w:rPr>
          <w:color w:val="000000"/>
          <w:sz w:val="24"/>
          <w:szCs w:val="24"/>
        </w:rPr>
      </w:pPr>
      <w:proofErr w:type="gramStart"/>
      <w:r>
        <w:rPr>
          <w:color w:val="000000"/>
        </w:rPr>
        <w:t>Under Secretary of State for Management, Department of State.</w:t>
      </w:r>
      <w:proofErr w:type="gramEnd"/>
    </w:p>
    <w:p w:rsidR="00D46617" w:rsidRDefault="00D46617" w:rsidP="00D46617">
      <w:pPr>
        <w:widowControl w:val="0"/>
        <w:autoSpaceDE w:val="0"/>
        <w:autoSpaceDN w:val="0"/>
        <w:adjustRightInd w:val="0"/>
        <w:rPr>
          <w:color w:val="000000"/>
          <w:sz w:val="24"/>
          <w:szCs w:val="24"/>
        </w:rPr>
      </w:pPr>
    </w:p>
    <w:p w:rsidR="00D46617" w:rsidRDefault="00D46617" w:rsidP="00D46617">
      <w:pPr>
        <w:widowControl w:val="0"/>
        <w:autoSpaceDE w:val="0"/>
        <w:autoSpaceDN w:val="0"/>
        <w:adjustRightInd w:val="0"/>
        <w:jc w:val="both"/>
        <w:rPr>
          <w:color w:val="000000"/>
          <w:sz w:val="24"/>
          <w:szCs w:val="24"/>
        </w:rPr>
      </w:pPr>
      <w:r>
        <w:rPr>
          <w:color w:val="000000"/>
        </w:rPr>
        <w:t>[FR Doc. 2010-12125 Filed 5-19-10; 8:45 am]</w:t>
      </w:r>
    </w:p>
    <w:p w:rsidR="00D46617" w:rsidRDefault="00D46617" w:rsidP="00D46617">
      <w:pPr>
        <w:widowControl w:val="0"/>
        <w:autoSpaceDE w:val="0"/>
        <w:autoSpaceDN w:val="0"/>
        <w:adjustRightInd w:val="0"/>
        <w:rPr>
          <w:color w:val="000000"/>
          <w:sz w:val="24"/>
          <w:szCs w:val="24"/>
        </w:rPr>
      </w:pPr>
    </w:p>
    <w:p w:rsidR="00D46617" w:rsidRDefault="00D46617" w:rsidP="00D46617">
      <w:pPr>
        <w:widowControl w:val="0"/>
        <w:autoSpaceDE w:val="0"/>
        <w:autoSpaceDN w:val="0"/>
        <w:adjustRightInd w:val="0"/>
        <w:jc w:val="both"/>
        <w:rPr>
          <w:color w:val="000000"/>
          <w:sz w:val="24"/>
          <w:szCs w:val="24"/>
        </w:rPr>
      </w:pPr>
      <w:r>
        <w:rPr>
          <w:color w:val="000000"/>
        </w:rPr>
        <w:t>BILLING CODE 4710-06-P</w:t>
      </w:r>
    </w:p>
    <w:p w:rsidR="00D46617" w:rsidRDefault="00D46617" w:rsidP="00D46617">
      <w:pPr>
        <w:widowControl w:val="0"/>
        <w:autoSpaceDE w:val="0"/>
        <w:autoSpaceDN w:val="0"/>
        <w:adjustRightInd w:val="0"/>
        <w:rPr>
          <w:color w:val="000000"/>
          <w:sz w:val="24"/>
          <w:szCs w:val="24"/>
        </w:rPr>
      </w:pPr>
    </w:p>
    <w:p w:rsidR="00D46617" w:rsidRDefault="00D46617" w:rsidP="00D46617">
      <w:pPr>
        <w:widowControl w:val="0"/>
        <w:autoSpaceDE w:val="0"/>
        <w:autoSpaceDN w:val="0"/>
        <w:adjustRightInd w:val="0"/>
        <w:jc w:val="both"/>
        <w:rPr>
          <w:color w:val="000000"/>
          <w:sz w:val="24"/>
          <w:szCs w:val="24"/>
        </w:rPr>
      </w:pPr>
      <w:proofErr w:type="gramStart"/>
      <w:r>
        <w:rPr>
          <w:color w:val="000000"/>
        </w:rPr>
        <w:t>75 FR 28188-02, 2010 WL 1989571 (F.R.)</w:t>
      </w:r>
      <w:proofErr w:type="gramEnd"/>
    </w:p>
    <w:p w:rsidR="00D46617" w:rsidRDefault="00D46617" w:rsidP="00D46617">
      <w:pPr>
        <w:widowControl w:val="0"/>
        <w:autoSpaceDE w:val="0"/>
        <w:autoSpaceDN w:val="0"/>
        <w:adjustRightInd w:val="0"/>
        <w:jc w:val="both"/>
        <w:rPr>
          <w:color w:val="000000"/>
          <w:sz w:val="24"/>
          <w:szCs w:val="24"/>
        </w:rPr>
      </w:pPr>
      <w:r>
        <w:rPr>
          <w:color w:val="000000"/>
        </w:rPr>
        <w:t>END OF DOCUMENT</w:t>
      </w:r>
    </w:p>
    <w:p w:rsidR="00D46617" w:rsidRDefault="00D46617" w:rsidP="00D46617">
      <w:pPr>
        <w:widowControl w:val="0"/>
        <w:autoSpaceDE w:val="0"/>
        <w:autoSpaceDN w:val="0"/>
        <w:adjustRightInd w:val="0"/>
        <w:jc w:val="both"/>
        <w:rPr>
          <w:sz w:val="24"/>
          <w:szCs w:val="24"/>
        </w:rPr>
        <w:sectPr w:rsidR="00D46617">
          <w:type w:val="continuous"/>
          <w:pgSz w:w="12240" w:h="15840"/>
          <w:pgMar w:top="2016" w:right="1080" w:bottom="1800" w:left="1080" w:header="720" w:footer="720" w:gutter="0"/>
          <w:cols w:space="720"/>
          <w:noEndnote/>
        </w:sectPr>
      </w:pPr>
      <w:bookmarkStart w:id="1" w:name="last-page"/>
      <w:bookmarkEnd w:id="1"/>
    </w:p>
    <w:p w:rsidR="00D46617" w:rsidRDefault="00D46617" w:rsidP="00D46617">
      <w:pPr>
        <w:widowControl w:val="0"/>
        <w:autoSpaceDE w:val="0"/>
        <w:autoSpaceDN w:val="0"/>
        <w:adjustRightInd w:val="0"/>
        <w:rPr>
          <w:color w:val="000000"/>
          <w:sz w:val="24"/>
          <w:szCs w:val="24"/>
        </w:rPr>
      </w:pPr>
    </w:p>
    <w:p w:rsidR="00D46617" w:rsidRDefault="00D46617" w:rsidP="00D46617">
      <w:pPr>
        <w:widowControl w:val="0"/>
        <w:autoSpaceDE w:val="0"/>
        <w:autoSpaceDN w:val="0"/>
        <w:adjustRightInd w:val="0"/>
        <w:rPr>
          <w:sz w:val="24"/>
          <w:szCs w:val="24"/>
        </w:rPr>
      </w:pPr>
    </w:p>
    <w:p w:rsidR="00D46617" w:rsidRDefault="00D46617" w:rsidP="00D46617">
      <w:pPr>
        <w:widowControl w:val="0"/>
        <w:autoSpaceDE w:val="0"/>
        <w:autoSpaceDN w:val="0"/>
        <w:adjustRightInd w:val="0"/>
        <w:rPr>
          <w:sz w:val="24"/>
          <w:szCs w:val="24"/>
        </w:rPr>
      </w:pPr>
    </w:p>
    <w:p w:rsidR="00D46617" w:rsidRDefault="00D46617" w:rsidP="00D46617">
      <w:pPr>
        <w:rPr>
          <w:b/>
          <w:sz w:val="24"/>
          <w:u w:val="single"/>
        </w:rPr>
      </w:pPr>
    </w:p>
    <w:p w:rsidR="00D46617" w:rsidRDefault="00D46617">
      <w:pPr>
        <w:rPr>
          <w:b/>
          <w:sz w:val="24"/>
          <w:u w:val="single"/>
        </w:rPr>
      </w:pPr>
    </w:p>
    <w:sectPr w:rsidR="00D46617" w:rsidSect="00632AB5">
      <w:pgSz w:w="12240" w:h="15840"/>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6FFF" w:rsidRDefault="00866FFF">
      <w:r>
        <w:separator/>
      </w:r>
    </w:p>
  </w:endnote>
  <w:endnote w:type="continuationSeparator" w:id="0">
    <w:p w:rsidR="00866FFF" w:rsidRDefault="00866FF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156D" w:rsidRDefault="00A1156D">
    <w:pPr>
      <w:widowControl w:val="0"/>
      <w:autoSpaceDE w:val="0"/>
      <w:autoSpaceDN w:val="0"/>
      <w:adjustRightInd w:val="0"/>
      <w:jc w:val="center"/>
      <w:rPr>
        <w:rFonts w:ascii="Arial" w:hAnsi="Arial" w:cs="Arial"/>
        <w:color w:val="000000"/>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6FFF" w:rsidRDefault="00866FFF">
      <w:r>
        <w:separator/>
      </w:r>
    </w:p>
  </w:footnote>
  <w:footnote w:type="continuationSeparator" w:id="0">
    <w:p w:rsidR="00866FFF" w:rsidRDefault="00866FF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156D" w:rsidRDefault="00A1156D">
    <w:r>
      <w:cr/>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439D2"/>
    <w:multiLevelType w:val="singleLevel"/>
    <w:tmpl w:val="0409000F"/>
    <w:lvl w:ilvl="0">
      <w:start w:val="11"/>
      <w:numFmt w:val="decimal"/>
      <w:lvlText w:val="%1."/>
      <w:lvlJc w:val="left"/>
      <w:pPr>
        <w:tabs>
          <w:tab w:val="num" w:pos="360"/>
        </w:tabs>
        <w:ind w:left="360" w:hanging="360"/>
      </w:pPr>
      <w:rPr>
        <w:rFonts w:hint="default"/>
      </w:rPr>
    </w:lvl>
  </w:abstractNum>
  <w:abstractNum w:abstractNumId="1">
    <w:nsid w:val="0D7629F9"/>
    <w:multiLevelType w:val="singleLevel"/>
    <w:tmpl w:val="0409000F"/>
    <w:lvl w:ilvl="0">
      <w:start w:val="3"/>
      <w:numFmt w:val="decimal"/>
      <w:lvlText w:val="%1."/>
      <w:lvlJc w:val="left"/>
      <w:pPr>
        <w:tabs>
          <w:tab w:val="num" w:pos="360"/>
        </w:tabs>
        <w:ind w:left="360" w:hanging="360"/>
      </w:pPr>
      <w:rPr>
        <w:rFonts w:hint="default"/>
      </w:rPr>
    </w:lvl>
  </w:abstractNum>
  <w:abstractNum w:abstractNumId="2">
    <w:nsid w:val="0DF77AFA"/>
    <w:multiLevelType w:val="singleLevel"/>
    <w:tmpl w:val="933E2958"/>
    <w:lvl w:ilvl="0">
      <w:start w:val="11"/>
      <w:numFmt w:val="decimal"/>
      <w:lvlText w:val="%1."/>
      <w:lvlJc w:val="left"/>
      <w:pPr>
        <w:tabs>
          <w:tab w:val="num" w:pos="420"/>
        </w:tabs>
        <w:ind w:left="420" w:hanging="420"/>
      </w:pPr>
      <w:rPr>
        <w:rFonts w:hint="default"/>
      </w:rPr>
    </w:lvl>
  </w:abstractNum>
  <w:abstractNum w:abstractNumId="3">
    <w:nsid w:val="219B0229"/>
    <w:multiLevelType w:val="singleLevel"/>
    <w:tmpl w:val="0409000F"/>
    <w:lvl w:ilvl="0">
      <w:start w:val="3"/>
      <w:numFmt w:val="decimal"/>
      <w:lvlText w:val="%1."/>
      <w:lvlJc w:val="left"/>
      <w:pPr>
        <w:tabs>
          <w:tab w:val="num" w:pos="360"/>
        </w:tabs>
        <w:ind w:left="360" w:hanging="360"/>
      </w:pPr>
      <w:rPr>
        <w:rFonts w:hint="default"/>
      </w:rPr>
    </w:lvl>
  </w:abstractNum>
  <w:abstractNum w:abstractNumId="4">
    <w:nsid w:val="28CA7DA5"/>
    <w:multiLevelType w:val="hybridMultilevel"/>
    <w:tmpl w:val="ACFA755C"/>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C9227FC"/>
    <w:multiLevelType w:val="multilevel"/>
    <w:tmpl w:val="42C024FE"/>
    <w:lvl w:ilvl="0">
      <w:start w:val="9"/>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nsid w:val="2D3A468D"/>
    <w:multiLevelType w:val="singleLevel"/>
    <w:tmpl w:val="672ECC3E"/>
    <w:lvl w:ilvl="0">
      <w:start w:val="8"/>
      <w:numFmt w:val="decimal"/>
      <w:lvlText w:val="%1."/>
      <w:lvlJc w:val="left"/>
      <w:pPr>
        <w:tabs>
          <w:tab w:val="num" w:pos="360"/>
        </w:tabs>
        <w:ind w:left="360" w:hanging="360"/>
      </w:pPr>
      <w:rPr>
        <w:rFonts w:hint="default"/>
      </w:rPr>
    </w:lvl>
  </w:abstractNum>
  <w:abstractNum w:abstractNumId="7">
    <w:nsid w:val="344337B1"/>
    <w:multiLevelType w:val="hybridMultilevel"/>
    <w:tmpl w:val="81E81972"/>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6825303"/>
    <w:multiLevelType w:val="singleLevel"/>
    <w:tmpl w:val="04090019"/>
    <w:lvl w:ilvl="0">
      <w:start w:val="1"/>
      <w:numFmt w:val="lowerLetter"/>
      <w:lvlText w:val="(%1)"/>
      <w:lvlJc w:val="left"/>
      <w:pPr>
        <w:tabs>
          <w:tab w:val="num" w:pos="360"/>
        </w:tabs>
        <w:ind w:left="360" w:hanging="360"/>
      </w:pPr>
      <w:rPr>
        <w:rFonts w:hint="default"/>
      </w:rPr>
    </w:lvl>
  </w:abstractNum>
  <w:abstractNum w:abstractNumId="9">
    <w:nsid w:val="4AF1389C"/>
    <w:multiLevelType w:val="singleLevel"/>
    <w:tmpl w:val="0896BB9E"/>
    <w:lvl w:ilvl="0">
      <w:start w:val="13"/>
      <w:numFmt w:val="decimal"/>
      <w:lvlText w:val="%1."/>
      <w:lvlJc w:val="left"/>
      <w:pPr>
        <w:tabs>
          <w:tab w:val="num" w:pos="420"/>
        </w:tabs>
        <w:ind w:left="420" w:hanging="420"/>
      </w:pPr>
      <w:rPr>
        <w:rFonts w:hint="default"/>
      </w:rPr>
    </w:lvl>
  </w:abstractNum>
  <w:abstractNum w:abstractNumId="10">
    <w:nsid w:val="5F9E005F"/>
    <w:multiLevelType w:val="singleLevel"/>
    <w:tmpl w:val="0409000F"/>
    <w:lvl w:ilvl="0">
      <w:start w:val="3"/>
      <w:numFmt w:val="decimal"/>
      <w:lvlText w:val="%1."/>
      <w:lvlJc w:val="left"/>
      <w:pPr>
        <w:tabs>
          <w:tab w:val="num" w:pos="360"/>
        </w:tabs>
        <w:ind w:left="360" w:hanging="360"/>
      </w:pPr>
      <w:rPr>
        <w:rFonts w:hint="default"/>
      </w:rPr>
    </w:lvl>
  </w:abstractNum>
  <w:abstractNum w:abstractNumId="11">
    <w:nsid w:val="659B37BE"/>
    <w:multiLevelType w:val="singleLevel"/>
    <w:tmpl w:val="0409000F"/>
    <w:lvl w:ilvl="0">
      <w:start w:val="3"/>
      <w:numFmt w:val="decimal"/>
      <w:lvlText w:val="%1."/>
      <w:lvlJc w:val="left"/>
      <w:pPr>
        <w:tabs>
          <w:tab w:val="num" w:pos="360"/>
        </w:tabs>
        <w:ind w:left="360" w:hanging="360"/>
      </w:pPr>
      <w:rPr>
        <w:rFonts w:hint="default"/>
      </w:rPr>
    </w:lvl>
  </w:abstractNum>
  <w:abstractNum w:abstractNumId="12">
    <w:nsid w:val="67D51F13"/>
    <w:multiLevelType w:val="hybridMultilevel"/>
    <w:tmpl w:val="F8F2F9B4"/>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AD40BBE"/>
    <w:multiLevelType w:val="singleLevel"/>
    <w:tmpl w:val="0409000F"/>
    <w:lvl w:ilvl="0">
      <w:start w:val="3"/>
      <w:numFmt w:val="decimal"/>
      <w:lvlText w:val="%1."/>
      <w:lvlJc w:val="left"/>
      <w:pPr>
        <w:tabs>
          <w:tab w:val="num" w:pos="360"/>
        </w:tabs>
        <w:ind w:left="360" w:hanging="360"/>
      </w:pPr>
      <w:rPr>
        <w:rFonts w:hint="default"/>
      </w:rPr>
    </w:lvl>
  </w:abstractNum>
  <w:abstractNum w:abstractNumId="14">
    <w:nsid w:val="6D9E22F1"/>
    <w:multiLevelType w:val="singleLevel"/>
    <w:tmpl w:val="41BEA6EC"/>
    <w:lvl w:ilvl="0">
      <w:start w:val="11"/>
      <w:numFmt w:val="decimal"/>
      <w:lvlText w:val="%1."/>
      <w:lvlJc w:val="left"/>
      <w:pPr>
        <w:tabs>
          <w:tab w:val="num" w:pos="720"/>
        </w:tabs>
        <w:ind w:left="720" w:hanging="720"/>
      </w:pPr>
      <w:rPr>
        <w:rFonts w:hint="default"/>
      </w:rPr>
    </w:lvl>
  </w:abstractNum>
  <w:abstractNum w:abstractNumId="15">
    <w:nsid w:val="70D4463A"/>
    <w:multiLevelType w:val="hybridMultilevel"/>
    <w:tmpl w:val="CCAED8E6"/>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A392BE3"/>
    <w:multiLevelType w:val="singleLevel"/>
    <w:tmpl w:val="B08A2E28"/>
    <w:lvl w:ilvl="0">
      <w:start w:val="12"/>
      <w:numFmt w:val="decimal"/>
      <w:lvlText w:val="%1."/>
      <w:lvlJc w:val="left"/>
      <w:pPr>
        <w:tabs>
          <w:tab w:val="num" w:pos="420"/>
        </w:tabs>
        <w:ind w:left="420" w:hanging="420"/>
      </w:pPr>
      <w:rPr>
        <w:rFonts w:hint="default"/>
      </w:rPr>
    </w:lvl>
  </w:abstractNum>
  <w:abstractNum w:abstractNumId="17">
    <w:nsid w:val="7BAE11F0"/>
    <w:multiLevelType w:val="singleLevel"/>
    <w:tmpl w:val="C660D960"/>
    <w:lvl w:ilvl="0">
      <w:start w:val="8"/>
      <w:numFmt w:val="decimal"/>
      <w:lvlText w:val="%1."/>
      <w:lvlJc w:val="left"/>
      <w:pPr>
        <w:tabs>
          <w:tab w:val="num" w:pos="720"/>
        </w:tabs>
        <w:ind w:left="720" w:hanging="720"/>
      </w:pPr>
      <w:rPr>
        <w:rFonts w:hint="default"/>
      </w:rPr>
    </w:lvl>
  </w:abstractNum>
  <w:num w:numId="1">
    <w:abstractNumId w:val="17"/>
  </w:num>
  <w:num w:numId="2">
    <w:abstractNumId w:val="14"/>
  </w:num>
  <w:num w:numId="3">
    <w:abstractNumId w:val="1"/>
  </w:num>
  <w:num w:numId="4">
    <w:abstractNumId w:val="11"/>
  </w:num>
  <w:num w:numId="5">
    <w:abstractNumId w:val="6"/>
  </w:num>
  <w:num w:numId="6">
    <w:abstractNumId w:val="0"/>
  </w:num>
  <w:num w:numId="7">
    <w:abstractNumId w:val="2"/>
  </w:num>
  <w:num w:numId="8">
    <w:abstractNumId w:val="8"/>
  </w:num>
  <w:num w:numId="9">
    <w:abstractNumId w:val="9"/>
  </w:num>
  <w:num w:numId="10">
    <w:abstractNumId w:val="10"/>
  </w:num>
  <w:num w:numId="11">
    <w:abstractNumId w:val="13"/>
  </w:num>
  <w:num w:numId="12">
    <w:abstractNumId w:val="3"/>
  </w:num>
  <w:num w:numId="13">
    <w:abstractNumId w:val="16"/>
  </w:num>
  <w:num w:numId="14">
    <w:abstractNumId w:val="5"/>
  </w:num>
  <w:num w:numId="15">
    <w:abstractNumId w:val="4"/>
  </w:num>
  <w:num w:numId="16">
    <w:abstractNumId w:val="7"/>
  </w:num>
  <w:num w:numId="17">
    <w:abstractNumId w:val="12"/>
  </w:num>
  <w:num w:numId="18">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4941EA"/>
    <w:rsid w:val="000077F1"/>
    <w:rsid w:val="00017993"/>
    <w:rsid w:val="00036B45"/>
    <w:rsid w:val="00043D12"/>
    <w:rsid w:val="00062CE1"/>
    <w:rsid w:val="00077F57"/>
    <w:rsid w:val="000E60F6"/>
    <w:rsid w:val="001906AC"/>
    <w:rsid w:val="00196D59"/>
    <w:rsid w:val="00287146"/>
    <w:rsid w:val="002E6891"/>
    <w:rsid w:val="00321602"/>
    <w:rsid w:val="003371C2"/>
    <w:rsid w:val="003E367A"/>
    <w:rsid w:val="0041173D"/>
    <w:rsid w:val="004362E3"/>
    <w:rsid w:val="004941EA"/>
    <w:rsid w:val="00537896"/>
    <w:rsid w:val="00573338"/>
    <w:rsid w:val="005A2F09"/>
    <w:rsid w:val="00632AB5"/>
    <w:rsid w:val="006501C8"/>
    <w:rsid w:val="0066525C"/>
    <w:rsid w:val="00683200"/>
    <w:rsid w:val="006A28F3"/>
    <w:rsid w:val="006E097C"/>
    <w:rsid w:val="00790D3B"/>
    <w:rsid w:val="0079365B"/>
    <w:rsid w:val="007B0FF0"/>
    <w:rsid w:val="007E6B4B"/>
    <w:rsid w:val="008326EC"/>
    <w:rsid w:val="00845844"/>
    <w:rsid w:val="00866FFF"/>
    <w:rsid w:val="008906CD"/>
    <w:rsid w:val="008B7370"/>
    <w:rsid w:val="009A49EE"/>
    <w:rsid w:val="00A1156D"/>
    <w:rsid w:val="00A2446B"/>
    <w:rsid w:val="00A30A1C"/>
    <w:rsid w:val="00A63C55"/>
    <w:rsid w:val="00A73715"/>
    <w:rsid w:val="00A80366"/>
    <w:rsid w:val="00AE3CEB"/>
    <w:rsid w:val="00B1536C"/>
    <w:rsid w:val="00B73B44"/>
    <w:rsid w:val="00BC59ED"/>
    <w:rsid w:val="00BC5F22"/>
    <w:rsid w:val="00BE77B8"/>
    <w:rsid w:val="00C215C1"/>
    <w:rsid w:val="00C24028"/>
    <w:rsid w:val="00C80B49"/>
    <w:rsid w:val="00D30F43"/>
    <w:rsid w:val="00D33650"/>
    <w:rsid w:val="00D4292F"/>
    <w:rsid w:val="00D46617"/>
    <w:rsid w:val="00D54FF5"/>
    <w:rsid w:val="00DD655C"/>
    <w:rsid w:val="00DE1017"/>
    <w:rsid w:val="00E16ABE"/>
    <w:rsid w:val="00E200A0"/>
    <w:rsid w:val="00E80D84"/>
    <w:rsid w:val="00E93240"/>
    <w:rsid w:val="00EF01F0"/>
    <w:rsid w:val="00EF1E4E"/>
    <w:rsid w:val="00EF3A15"/>
    <w:rsid w:val="00FC68E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32AB5"/>
  </w:style>
  <w:style w:type="paragraph" w:styleId="Heading1">
    <w:name w:val="heading 1"/>
    <w:basedOn w:val="Normal"/>
    <w:next w:val="Normal"/>
    <w:qFormat/>
    <w:rsid w:val="00632AB5"/>
    <w:pPr>
      <w:keepNext/>
      <w:jc w:val="center"/>
      <w:outlineLvl w:val="0"/>
    </w:pPr>
    <w:rPr>
      <w:b/>
      <w:sz w:val="24"/>
    </w:rPr>
  </w:style>
  <w:style w:type="paragraph" w:styleId="Heading2">
    <w:name w:val="heading 2"/>
    <w:basedOn w:val="Normal"/>
    <w:next w:val="Normal"/>
    <w:qFormat/>
    <w:rsid w:val="00632AB5"/>
    <w:pPr>
      <w:keepNext/>
      <w:outlineLvl w:val="1"/>
    </w:pPr>
    <w:rPr>
      <w:b/>
      <w:sz w:val="24"/>
      <w:u w:val="single"/>
    </w:rPr>
  </w:style>
  <w:style w:type="paragraph" w:styleId="Heading3">
    <w:name w:val="heading 3"/>
    <w:basedOn w:val="Normal"/>
    <w:next w:val="Normal"/>
    <w:qFormat/>
    <w:rsid w:val="00632AB5"/>
    <w:pPr>
      <w:keepNext/>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6">
    <w:name w:val="p6"/>
    <w:basedOn w:val="Normal"/>
    <w:rsid w:val="00632AB5"/>
    <w:pPr>
      <w:widowControl w:val="0"/>
      <w:tabs>
        <w:tab w:val="left" w:pos="204"/>
      </w:tabs>
      <w:spacing w:line="238" w:lineRule="atLeast"/>
    </w:pPr>
    <w:rPr>
      <w:sz w:val="24"/>
    </w:rPr>
  </w:style>
  <w:style w:type="paragraph" w:styleId="Header">
    <w:name w:val="header"/>
    <w:basedOn w:val="Normal"/>
    <w:rsid w:val="00632AB5"/>
    <w:pPr>
      <w:tabs>
        <w:tab w:val="center" w:pos="4320"/>
        <w:tab w:val="right" w:pos="8640"/>
      </w:tabs>
    </w:pPr>
    <w:rPr>
      <w:sz w:val="24"/>
    </w:rPr>
  </w:style>
  <w:style w:type="character" w:styleId="Hyperlink">
    <w:name w:val="Hyperlink"/>
    <w:basedOn w:val="DefaultParagraphFont"/>
    <w:rsid w:val="00632AB5"/>
    <w:rPr>
      <w:color w:val="0000FF"/>
      <w:u w:val="single"/>
    </w:rPr>
  </w:style>
  <w:style w:type="paragraph" w:styleId="BodyText">
    <w:name w:val="Body Text"/>
    <w:basedOn w:val="Normal"/>
    <w:rsid w:val="00632AB5"/>
    <w:rPr>
      <w:sz w:val="16"/>
    </w:rPr>
  </w:style>
  <w:style w:type="paragraph" w:styleId="BodyTextIndent">
    <w:name w:val="Body Text Indent"/>
    <w:basedOn w:val="Normal"/>
    <w:rsid w:val="00632AB5"/>
    <w:pPr>
      <w:ind w:firstLine="720"/>
    </w:pPr>
    <w:rPr>
      <w:sz w:val="24"/>
    </w:rPr>
  </w:style>
  <w:style w:type="paragraph" w:styleId="BalloonText">
    <w:name w:val="Balloon Text"/>
    <w:basedOn w:val="Normal"/>
    <w:semiHidden/>
    <w:rsid w:val="0079365B"/>
    <w:rPr>
      <w:rFonts w:ascii="Tahoma" w:hAnsi="Tahoma" w:cs="Tahoma"/>
      <w:sz w:val="16"/>
      <w:szCs w:val="16"/>
    </w:rPr>
  </w:style>
  <w:style w:type="paragraph" w:styleId="ListParagraph">
    <w:name w:val="List Paragraph"/>
    <w:basedOn w:val="Normal"/>
    <w:uiPriority w:val="34"/>
    <w:qFormat/>
    <w:rsid w:val="00BC59ED"/>
    <w:pPr>
      <w:ind w:left="720"/>
      <w:contextualSpacing/>
    </w:pPr>
  </w:style>
  <w:style w:type="character" w:styleId="CommentReference">
    <w:name w:val="annotation reference"/>
    <w:basedOn w:val="DefaultParagraphFont"/>
    <w:rsid w:val="00E93240"/>
    <w:rPr>
      <w:sz w:val="16"/>
      <w:szCs w:val="16"/>
    </w:rPr>
  </w:style>
  <w:style w:type="paragraph" w:styleId="CommentText">
    <w:name w:val="annotation text"/>
    <w:basedOn w:val="Normal"/>
    <w:link w:val="CommentTextChar"/>
    <w:rsid w:val="00E93240"/>
  </w:style>
  <w:style w:type="character" w:customStyle="1" w:styleId="CommentTextChar">
    <w:name w:val="Comment Text Char"/>
    <w:basedOn w:val="DefaultParagraphFont"/>
    <w:link w:val="CommentText"/>
    <w:rsid w:val="00E93240"/>
  </w:style>
  <w:style w:type="paragraph" w:styleId="CommentSubject">
    <w:name w:val="annotation subject"/>
    <w:basedOn w:val="CommentText"/>
    <w:next w:val="CommentText"/>
    <w:link w:val="CommentSubjectChar"/>
    <w:rsid w:val="00E93240"/>
    <w:rPr>
      <w:b/>
      <w:bCs/>
    </w:rPr>
  </w:style>
  <w:style w:type="character" w:customStyle="1" w:styleId="CommentSubjectChar">
    <w:name w:val="Comment Subject Char"/>
    <w:basedOn w:val="CommentTextChar"/>
    <w:link w:val="CommentSubject"/>
    <w:rsid w:val="00E93240"/>
    <w:rPr>
      <w:b/>
      <w:bCs/>
    </w:rPr>
  </w:style>
</w:styles>
</file>

<file path=word/webSettings.xml><?xml version="1.0" encoding="utf-8"?>
<w:webSettings xmlns:r="http://schemas.openxmlformats.org/officeDocument/2006/relationships" xmlns:w="http://schemas.openxmlformats.org/wordprocessingml/2006/main">
  <w:divs>
    <w:div w:id="1731464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westlaw.com/Find/Default.wl?rs=dfa1.0&amp;vr=2.0&amp;DB=0001037&amp;DocName=74FR66076&amp;FindType=Y" TargetMode="External"/><Relationship Id="rId18" Type="http://schemas.openxmlformats.org/officeDocument/2006/relationships/hyperlink" Target="http://www.westlaw.com/Find/Default.wl?rs=dfa1.0&amp;vr=2.0&amp;DB=0001043&amp;FindType=Y&amp;SerialNum=1957056389" TargetMode="External"/><Relationship Id="rId26" Type="http://schemas.openxmlformats.org/officeDocument/2006/relationships/hyperlink" Target="http://www.westlaw.com/Find/Default.wl?rs=dfa1.0&amp;vr=2.0&amp;DB=1000546&amp;DocName=8USCAS1351&amp;FindType=L" TargetMode="External"/><Relationship Id="rId39" Type="http://schemas.openxmlformats.org/officeDocument/2006/relationships/hyperlink" Target="http://www.westlaw.com/Find/Default.wl?rs=dfa1.0&amp;vr=2.0&amp;DB=1000546&amp;DocName=31USCAS9701&amp;FindType=L&amp;ReferencePositionType=T&amp;ReferencePosition=SP_c0ae00006c482" TargetMode="External"/><Relationship Id="rId21" Type="http://schemas.openxmlformats.org/officeDocument/2006/relationships/hyperlink" Target="http://www.westlaw.com/Find/Default.wl?rs=dfa1.0&amp;vr=2.0&amp;DB=1000546&amp;DocName=8USCAS1351&amp;FindType=L" TargetMode="External"/><Relationship Id="rId34" Type="http://schemas.openxmlformats.org/officeDocument/2006/relationships/hyperlink" Target="http://www.westlaw.com/Find/Default.wl?rs=dfa1.0&amp;vr=2.0&amp;DB=1000546&amp;DocName=8USCAS1351&amp;FindType=L" TargetMode="External"/><Relationship Id="rId42" Type="http://schemas.openxmlformats.org/officeDocument/2006/relationships/hyperlink" Target="http://www.westlaw.com/Find/Default.wl?rs=dfa1.0&amp;vr=2.0&amp;DB=0001037&amp;DocName=72FR72243&amp;FindType=Y" TargetMode="External"/><Relationship Id="rId47" Type="http://schemas.openxmlformats.org/officeDocument/2006/relationships/hyperlink" Target="http://www.westlaw.com/Find/Default.wl?rs=dfa1.0&amp;vr=2.0&amp;DB=1000546&amp;DocName=5USCAS601&amp;FindType=L&amp;ReferencePositionType=T&amp;ReferencePosition=SP_1e9a0000fd6a3" TargetMode="External"/><Relationship Id="rId50" Type="http://schemas.openxmlformats.org/officeDocument/2006/relationships/hyperlink" Target="http://www.westlaw.com/Find/Default.wl?rs=dfa1.0&amp;vr=2.0&amp;DB=0001043&amp;FindType=Y&amp;SerialNum=1993511360" TargetMode="External"/><Relationship Id="rId55" Type="http://schemas.openxmlformats.org/officeDocument/2006/relationships/hyperlink" Target="http://www.westlaw.com/Find/Default.wl?rs=dfa1.0&amp;vr=2.0&amp;DB=0001043&amp;FindType=Y&amp;SerialNum=1999733461" TargetMode="External"/><Relationship Id="rId63" Type="http://schemas.openxmlformats.org/officeDocument/2006/relationships/hyperlink" Target="http://www.westlaw.com/Find/Default.wl?rs=dfa1.0&amp;vr=2.0&amp;DB=1000546&amp;DocName=31USCAS9701&amp;FindType=L" TargetMode="External"/><Relationship Id="rId68" Type="http://schemas.openxmlformats.org/officeDocument/2006/relationships/hyperlink" Target="http://www.westlaw.com/Find/Default.wl?rs=dfa1.0&amp;vr=2.0&amp;DB=1000547&amp;DocName=22CFRS22.1&amp;FindType=L" TargetMode="External"/><Relationship Id="rId7" Type="http://schemas.openxmlformats.org/officeDocument/2006/relationships/settings" Target="settings.xml"/><Relationship Id="rId71" Type="http://schemas.openxmlformats.org/officeDocument/2006/relationships/hyperlink" Target="http://www.westlaw.com/Find/Default.wl?rs=dfa1.0&amp;vr=2.0&amp;DB=1000547&amp;DocName=22CFRS22.1&amp;FindType=L" TargetMode="External"/><Relationship Id="rId2" Type="http://schemas.openxmlformats.org/officeDocument/2006/relationships/customXml" Target="../customXml/item2.xml"/><Relationship Id="rId16" Type="http://schemas.openxmlformats.org/officeDocument/2006/relationships/hyperlink" Target="http://www.westlaw.com/Find/Default.wl?rs=dfa1.0&amp;vr=2.0&amp;DB=1000546&amp;DocName=31USCAS9701&amp;FindType=L" TargetMode="External"/><Relationship Id="rId29" Type="http://schemas.openxmlformats.org/officeDocument/2006/relationships/hyperlink" Target="http://www.westlaw.com/Find/Default.wl?rs=dfa1.0&amp;vr=2.0&amp;DB=1000547&amp;DocName=22CFRS22.5&amp;FindType=L" TargetMode="External"/><Relationship Id="rId11" Type="http://schemas.openxmlformats.org/officeDocument/2006/relationships/header" Target="header1.xml"/><Relationship Id="rId24" Type="http://schemas.openxmlformats.org/officeDocument/2006/relationships/hyperlink" Target="http://www.westlaw.com/Find/Default.wl?rs=dfa1.0&amp;vr=2.0&amp;DB=1000546&amp;DocName=8USCAS1351&amp;FindType=L" TargetMode="External"/><Relationship Id="rId32" Type="http://schemas.openxmlformats.org/officeDocument/2006/relationships/hyperlink" Target="http://www.westlaw.com/Find/Default.wl?rs=dfa1.0&amp;vr=2.0&amp;DB=1077005&amp;DocName=UU%28IE404DAF0D5-A011DDBC03E-3FA6ED9E47F%29&amp;FindType=l" TargetMode="External"/><Relationship Id="rId37" Type="http://schemas.openxmlformats.org/officeDocument/2006/relationships/hyperlink" Target="http://www.westlaw.com/Find/Default.wl?rs=dfa1.0&amp;vr=2.0&amp;DB=1077005&amp;DocName=UU%28IE404DAF0D5-A011DDBC03E-3FA6ED9E47F%29&amp;FindType=l" TargetMode="External"/><Relationship Id="rId40" Type="http://schemas.openxmlformats.org/officeDocument/2006/relationships/hyperlink" Target="http://www.westlaw.com/Find/Default.wl?rs=dfa1.0&amp;vr=2.0&amp;DB=1000546&amp;DocName=31USCAS9701&amp;FindType=L&amp;ReferencePositionType=T&amp;ReferencePosition=SP_1eca000045f07" TargetMode="External"/><Relationship Id="rId45" Type="http://schemas.openxmlformats.org/officeDocument/2006/relationships/hyperlink" Target="http://www.westlaw.com/Find/Default.wl?rs=dfa1.0&amp;vr=2.0&amp;DB=1000546&amp;DocName=31USCAS9701&amp;FindType=L" TargetMode="External"/><Relationship Id="rId53" Type="http://schemas.openxmlformats.org/officeDocument/2006/relationships/hyperlink" Target="http://www.westlaw.com/Find/Default.wl?rs=dfa1.0&amp;vr=2.0&amp;DB=0001043&amp;FindType=Y&amp;SerialNum=1982250154" TargetMode="External"/><Relationship Id="rId58" Type="http://schemas.openxmlformats.org/officeDocument/2006/relationships/hyperlink" Target="http://www.westlaw.com/Find/Default.wl?rs=dfa1.0&amp;vr=2.0&amp;DB=0001043&amp;FindType=Y&amp;SerialNum=2000955756" TargetMode="External"/><Relationship Id="rId66" Type="http://schemas.openxmlformats.org/officeDocument/2006/relationships/hyperlink" Target="http://www.westlaw.com/Find/Default.wl?rs=dfa1.0&amp;vr=2.0&amp;DB=0001043&amp;FindType=Y&amp;SerialNum=1966084858" TargetMode="External"/><Relationship Id="rId5" Type="http://schemas.openxmlformats.org/officeDocument/2006/relationships/numbering" Target="numbering.xml"/><Relationship Id="rId15" Type="http://schemas.openxmlformats.org/officeDocument/2006/relationships/hyperlink" Target="http://www.westlaw.com/Find/Default.wl?rs=dfa1.0&amp;vr=2.0&amp;DB=0001037&amp;DocName=75FR14111&amp;FindType=Y" TargetMode="External"/><Relationship Id="rId23" Type="http://schemas.openxmlformats.org/officeDocument/2006/relationships/hyperlink" Target="http://www.westlaw.com/Find/Default.wl?rs=dfa1.0&amp;vr=2.0&amp;DB=1077005&amp;DocName=UU%28I0C30235494-A448C4A8D0E-BB06DD97457%29&amp;FindType=l" TargetMode="External"/><Relationship Id="rId28" Type="http://schemas.openxmlformats.org/officeDocument/2006/relationships/hyperlink" Target="http://www.westlaw.com/Find/Default.wl?rs=dfa1.0&amp;vr=2.0&amp;DB=1000547&amp;DocName=22CFRS22.1&amp;FindType=L" TargetMode="External"/><Relationship Id="rId36" Type="http://schemas.openxmlformats.org/officeDocument/2006/relationships/hyperlink" Target="http://www.westlaw.com/Find/Default.wl?rs=dfa1.0&amp;vr=2.0&amp;DB=1077005&amp;DocName=UU%28IE404DAF0D5-A011DDBC03E-3FA6ED9E47F%29&amp;FindType=l" TargetMode="External"/><Relationship Id="rId49" Type="http://schemas.openxmlformats.org/officeDocument/2006/relationships/hyperlink" Target="http://www.westlaw.com/Find/Default.wl?rs=dfa1.0&amp;vr=2.0&amp;DB=0001043&amp;FindType=Y&amp;SerialNum=1993511360" TargetMode="External"/><Relationship Id="rId57" Type="http://schemas.openxmlformats.org/officeDocument/2006/relationships/hyperlink" Target="http://www.westlaw.com/Find/Default.wl?rs=dfa1.0&amp;vr=2.0&amp;DB=0001043&amp;FindType=Y&amp;SerialNum=2000955756" TargetMode="External"/><Relationship Id="rId61" Type="http://schemas.openxmlformats.org/officeDocument/2006/relationships/hyperlink" Target="http://www.westlaw.com/Find/Default.wl?rs=dfa1.0&amp;vr=2.0&amp;DB=1000546&amp;DocName=22USCAS214&amp;FindType=L" TargetMode="External"/><Relationship Id="rId10" Type="http://schemas.openxmlformats.org/officeDocument/2006/relationships/endnotes" Target="endnotes.xml"/><Relationship Id="rId19" Type="http://schemas.openxmlformats.org/officeDocument/2006/relationships/hyperlink" Target="http://www.westlaw.com/Find/Default.wl?rs=dfa1.0&amp;vr=2.0&amp;DB=1000546&amp;DocName=22USCAS4219&amp;FindType=L" TargetMode="External"/><Relationship Id="rId31" Type="http://schemas.openxmlformats.org/officeDocument/2006/relationships/hyperlink" Target="http://www.westlaw.com/Find/Default.wl?rs=dfa1.0&amp;vr=2.0&amp;DB=1000546&amp;DocName=8USCAS1351&amp;FindType=L" TargetMode="External"/><Relationship Id="rId44" Type="http://schemas.openxmlformats.org/officeDocument/2006/relationships/hyperlink" Target="http://www.westlaw.com/Find/Default.wl?rs=dfa1.0&amp;vr=2.0&amp;DB=1000546&amp;DocName=5USCAS553&amp;FindType=L&amp;ReferencePositionType=T&amp;ReferencePosition=SP_17df000040924" TargetMode="External"/><Relationship Id="rId52" Type="http://schemas.openxmlformats.org/officeDocument/2006/relationships/hyperlink" Target="http://www.westlaw.com/Find/Default.wl?rs=dfa1.0&amp;vr=2.0&amp;DB=1000546&amp;DocName=31USCAS9701&amp;FindType=L&amp;ReferencePositionType=T&amp;ReferencePosition=SP_1eca000045f07" TargetMode="External"/><Relationship Id="rId60" Type="http://schemas.openxmlformats.org/officeDocument/2006/relationships/hyperlink" Target="http://www.westlaw.com/Find/Default.wl?rs=dfa1.0&amp;vr=2.0&amp;DB=1000546&amp;DocName=10USCAS2602&amp;FindType=L&amp;ReferencePositionType=T&amp;ReferencePosition=SP_4b24000003ba5" TargetMode="External"/><Relationship Id="rId65" Type="http://schemas.openxmlformats.org/officeDocument/2006/relationships/hyperlink" Target="http://www.westlaw.com/Find/Default.wl?rs=dfa1.0&amp;vr=2.0&amp;DB=0001037&amp;DocName=22FR4632&amp;FindType=Y" TargetMode="External"/><Relationship Id="rId73"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westlaw.com/Find/Default.wl?rs=dfa1.0&amp;vr=2.0&amp;DB=1000547&amp;DocName=22CFRS22.1&amp;FindType=L" TargetMode="External"/><Relationship Id="rId22" Type="http://schemas.openxmlformats.org/officeDocument/2006/relationships/hyperlink" Target="http://www.westlaw.com/Find/Default.wl?rs=dfa1.0&amp;vr=2.0&amp;DB=1077005&amp;DocName=UU%28I3459F6D813-65416B9E80E-98242EE0D58%29&amp;FindType=l" TargetMode="External"/><Relationship Id="rId27" Type="http://schemas.openxmlformats.org/officeDocument/2006/relationships/hyperlink" Target="http://www.westlaw.com/Find/Default.wl?rs=dfa1.0&amp;vr=2.0&amp;DB=0001037&amp;DocName=72FR72243&amp;FindType=Y" TargetMode="External"/><Relationship Id="rId30" Type="http://schemas.openxmlformats.org/officeDocument/2006/relationships/hyperlink" Target="http://www.westlaw.com/Find/Default.wl?rs=dfa1.0&amp;vr=2.0&amp;DB=1077005&amp;DocName=UU%28I45C7A9AD79-DC4C79854BD-A702B30A97D%29&amp;FindType=l" TargetMode="External"/><Relationship Id="rId35" Type="http://schemas.openxmlformats.org/officeDocument/2006/relationships/hyperlink" Target="http://www.westlaw.com/Find/Default.wl?rs=dfa1.0&amp;vr=2.0&amp;DB=1077005&amp;DocName=UU%28I45C7A9AD79-DC4C79854BD-A702B30A97D%29&amp;FindType=l" TargetMode="External"/><Relationship Id="rId43" Type="http://schemas.openxmlformats.org/officeDocument/2006/relationships/hyperlink" Target="http://www.westlaw.com/Find/Default.wl?rs=dfa1.0&amp;vr=2.0&amp;DB=0001037&amp;DocName=75FR14111&amp;FindType=Y" TargetMode="External"/><Relationship Id="rId48" Type="http://schemas.openxmlformats.org/officeDocument/2006/relationships/hyperlink" Target="http://www.westlaw.com/Find/Default.wl?rs=dfa1.0&amp;vr=2.0&amp;DB=1000546&amp;DocName=5USCAS804&amp;FindType=L&amp;ReferencePositionType=T&amp;ReferencePosition=SP_58730000872b1" TargetMode="External"/><Relationship Id="rId56" Type="http://schemas.openxmlformats.org/officeDocument/2006/relationships/hyperlink" Target="http://www.westlaw.com/Find/Default.wl?rs=dfa1.0&amp;vr=2.0&amp;DB=0001043&amp;FindType=Y&amp;SerialNum=1982250154" TargetMode="External"/><Relationship Id="rId64" Type="http://schemas.openxmlformats.org/officeDocument/2006/relationships/hyperlink" Target="http://www.westlaw.com/Find/Default.wl?rs=dfa1.0&amp;vr=2.0&amp;DB=0001043&amp;FindType=Y&amp;SerialNum=1957056389" TargetMode="External"/><Relationship Id="rId69" Type="http://schemas.openxmlformats.org/officeDocument/2006/relationships/hyperlink" Target="http://www.westlaw.com/Find/Default.wl?rs=dfa1.0&amp;vr=2.0&amp;DB=1000547&amp;DocName=22CFRS22.1&amp;FindType=L" TargetMode="External"/><Relationship Id="rId8" Type="http://schemas.openxmlformats.org/officeDocument/2006/relationships/webSettings" Target="webSettings.xml"/><Relationship Id="rId51" Type="http://schemas.openxmlformats.org/officeDocument/2006/relationships/hyperlink" Target="http://www.westlaw.com/Find/Default.wl?rs=dfa1.0&amp;vr=2.0&amp;DB=1000546&amp;DocName=31USCAS9701&amp;FindType=L" TargetMode="External"/><Relationship Id="rId72"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www.westlaw.com/Find/Default.wl?rs=dfa1.0&amp;vr=2.0&amp;DB=1000546&amp;DocName=31USCAS9701&amp;FindType=L&amp;ReferencePositionType=T&amp;ReferencePosition=SP_1eca000045f07" TargetMode="External"/><Relationship Id="rId25" Type="http://schemas.openxmlformats.org/officeDocument/2006/relationships/hyperlink" Target="http://www.westlaw.com/Find/Default.wl?rs=dfa1.0&amp;vr=2.0&amp;DB=1077005&amp;DocName=UU%28IE404DAF0D5-A011DDBC03E-3FA6ED9E47F%29&amp;FindType=l" TargetMode="External"/><Relationship Id="rId33" Type="http://schemas.openxmlformats.org/officeDocument/2006/relationships/hyperlink" Target="http://www.westlaw.com/Find/Default.wl?rs=dfa1.0&amp;vr=2.0&amp;DB=1077005&amp;DocName=UU%28I45C7A9AD79-DC4C79854BD-A702B30A97D%29&amp;FindType=l" TargetMode="External"/><Relationship Id="rId38" Type="http://schemas.openxmlformats.org/officeDocument/2006/relationships/hyperlink" Target="http://www.westlaw.com/Find/Default.wl?rs=dfa1.0&amp;vr=2.0&amp;DB=FR&amp;DocName=UUID%28IFE7381D0372311DFB5ABD6CB68EA7672%29&amp;FindType=l&amp;ReferencePositionType=S&amp;ReferencePosition=14111" TargetMode="External"/><Relationship Id="rId46" Type="http://schemas.openxmlformats.org/officeDocument/2006/relationships/hyperlink" Target="http://www.westlaw.com/Find/Default.wl?rs=dfa1.0&amp;vr=2.0&amp;DB=1000546&amp;DocName=5USCAS605&amp;FindType=L&amp;ReferencePositionType=T&amp;ReferencePosition=SP_a83b000018c76" TargetMode="External"/><Relationship Id="rId59" Type="http://schemas.openxmlformats.org/officeDocument/2006/relationships/hyperlink" Target="http://www.westlaw.com/Find/Default.wl?rs=dfa1.0&amp;vr=2.0&amp;DB=1000546&amp;DocName=8USCAS1101&amp;FindType=L" TargetMode="External"/><Relationship Id="rId67" Type="http://schemas.openxmlformats.org/officeDocument/2006/relationships/hyperlink" Target="http://www.westlaw.com/Find/Default.wl?rs=dfa1.0&amp;vr=2.0&amp;DB=0001037&amp;DocName=31FR10603&amp;FindType=Y" TargetMode="External"/><Relationship Id="rId20" Type="http://schemas.openxmlformats.org/officeDocument/2006/relationships/hyperlink" Target="http://www.westlaw.com/Find/Default.wl?rs=dfa1.0&amp;vr=2.0&amp;DB=1077005&amp;DocName=UU%28I45C7A9AD79-DC4C79854BD-A702B30A97D%29&amp;FindType=l" TargetMode="External"/><Relationship Id="rId41" Type="http://schemas.openxmlformats.org/officeDocument/2006/relationships/hyperlink" Target="http://www.westlaw.com/Find/Default.wl?rs=dfa1.0&amp;vr=2.0&amp;DB=0001037&amp;DocName=75FR14111&amp;FindType=Y" TargetMode="External"/><Relationship Id="rId54" Type="http://schemas.openxmlformats.org/officeDocument/2006/relationships/hyperlink" Target="http://www.westlaw.com/Find/Default.wl?rs=dfa1.0&amp;vr=2.0&amp;DB=0001043&amp;FindType=Y&amp;SerialNum=1999733461" TargetMode="External"/><Relationship Id="rId62" Type="http://schemas.openxmlformats.org/officeDocument/2006/relationships/hyperlink" Target="http://www.westlaw.com/Find/Default.wl?rs=dfa1.0&amp;vr=2.0&amp;DB=1000546&amp;DocName=22USCAS214&amp;FindType=L" TargetMode="External"/><Relationship Id="rId70" Type="http://schemas.openxmlformats.org/officeDocument/2006/relationships/hyperlink" Target="http://www.westlaw.com/Find/Default.wl?rs=dfa1.0&amp;vr=2.0&amp;DB=1000547&amp;DocName=22CFRS22.1&amp;FindType=L"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17D65575041C144AC00B7A5639C1B3C" ma:contentTypeVersion="1" ma:contentTypeDescription="Create a new document." ma:contentTypeScope="" ma:versionID="69d50b0e2973a00a534d5d65c3b971c1">
  <xsd:schema xmlns:xsd="http://www.w3.org/2001/XMLSchema" xmlns:p="http://schemas.microsoft.com/office/2006/metadata/properties" targetNamespace="http://schemas.microsoft.com/office/2006/metadata/properties" ma:root="true" ma:fieldsID="c321cfdb1bb2ac12195656399fe0b55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B94AFF-3E74-4789-B293-8CF84BCBA31D}">
  <ds:schemaRefs>
    <ds:schemaRef ds:uri="http://schemas.microsoft.com/office/2006/metadata/properties"/>
  </ds:schemaRefs>
</ds:datastoreItem>
</file>

<file path=customXml/itemProps2.xml><?xml version="1.0" encoding="utf-8"?>
<ds:datastoreItem xmlns:ds="http://schemas.openxmlformats.org/officeDocument/2006/customXml" ds:itemID="{5471CA19-3582-4179-BC07-0D1311B925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710A3DB3-CFA2-4B54-940E-BAFDCFCF4C9F}">
  <ds:schemaRefs>
    <ds:schemaRef ds:uri="http://schemas.microsoft.com/sharepoint/v3/contenttype/forms"/>
  </ds:schemaRefs>
</ds:datastoreItem>
</file>

<file path=customXml/itemProps4.xml><?xml version="1.0" encoding="utf-8"?>
<ds:datastoreItem xmlns:ds="http://schemas.openxmlformats.org/officeDocument/2006/customXml" ds:itemID="{FB17C936-5234-4F77-B543-09DDCD887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363</TotalTime>
  <Pages>19</Pages>
  <Words>8703</Words>
  <Characters>53767</Characters>
  <Application>Microsoft Office Word</Application>
  <DocSecurity>0</DocSecurity>
  <Lines>896</Lines>
  <Paragraphs>232</Paragraphs>
  <ScaleCrop>false</ScaleCrop>
  <HeadingPairs>
    <vt:vector size="2" baseType="variant">
      <vt:variant>
        <vt:lpstr>Title</vt:lpstr>
      </vt:variant>
      <vt:variant>
        <vt:i4>1</vt:i4>
      </vt:variant>
    </vt:vector>
  </HeadingPairs>
  <TitlesOfParts>
    <vt:vector size="1" baseType="lpstr">
      <vt:lpstr>Attachment to Standard Form 83</vt:lpstr>
    </vt:vector>
  </TitlesOfParts>
  <Company>U.S. Department of State</Company>
  <LinksUpToDate>false</LinksUpToDate>
  <CharactersWithSpaces>62238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to Standard Form 83</dc:title>
  <dc:subject/>
  <dc:creator>AbasoloJ</dc:creator>
  <cp:keywords/>
  <cp:lastModifiedBy>ciupekra</cp:lastModifiedBy>
  <cp:revision>13</cp:revision>
  <cp:lastPrinted>2000-04-21T16:36:00Z</cp:lastPrinted>
  <dcterms:created xsi:type="dcterms:W3CDTF">2011-02-23T15:12:00Z</dcterms:created>
  <dcterms:modified xsi:type="dcterms:W3CDTF">2011-04-05T15:26:00Z</dcterms:modified>
</cp:coreProperties>
</file>