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6A" w:rsidRDefault="003C1B9D">
      <w:pPr>
        <w:tabs>
          <w:tab w:val="center" w:pos="4680"/>
        </w:tabs>
        <w:jc w:val="center"/>
        <w:rPr>
          <w:b/>
          <w:bCs/>
        </w:rPr>
      </w:pPr>
      <w:r>
        <w:rPr>
          <w:b/>
          <w:bCs/>
        </w:rPr>
        <w:t>SUPPORTING STATEMENT</w:t>
      </w:r>
    </w:p>
    <w:p w:rsidR="0031726A" w:rsidRDefault="003C1B9D">
      <w:pPr>
        <w:jc w:val="center"/>
        <w:rPr>
          <w:b/>
        </w:rPr>
      </w:pPr>
      <w:r>
        <w:rPr>
          <w:b/>
        </w:rPr>
        <w:t>ENVIRONMENTAL PROTECTION AGENCY</w:t>
      </w:r>
    </w:p>
    <w:p w:rsidR="0031726A" w:rsidRDefault="0031726A">
      <w:pPr>
        <w:tabs>
          <w:tab w:val="center" w:pos="4680"/>
        </w:tabs>
      </w:pPr>
    </w:p>
    <w:p w:rsidR="0031726A" w:rsidRDefault="003C1B9D">
      <w:pPr>
        <w:rPr>
          <w:b/>
          <w:bCs/>
        </w:rPr>
      </w:pPr>
      <w:r>
        <w:rPr>
          <w:b/>
          <w:bCs/>
        </w:rPr>
        <w:t>NESHAP for Vinyl Chloride (40 CFR Part 61, Subpart F) (Renewal)</w:t>
      </w:r>
    </w:p>
    <w:p w:rsidR="0031726A" w:rsidRDefault="0031726A"/>
    <w:p w:rsidR="0031726A" w:rsidRDefault="003C1B9D">
      <w:pPr>
        <w:rPr>
          <w:b/>
          <w:bCs/>
        </w:rPr>
      </w:pPr>
      <w:r>
        <w:rPr>
          <w:b/>
          <w:bCs/>
        </w:rPr>
        <w:t>1.  Identification of the Information Collection</w:t>
      </w:r>
    </w:p>
    <w:p w:rsidR="0031726A" w:rsidRDefault="0031726A"/>
    <w:p w:rsidR="0031726A" w:rsidRDefault="003C1B9D">
      <w:pPr>
        <w:ind w:firstLine="720"/>
      </w:pPr>
      <w:r>
        <w:rPr>
          <w:b/>
          <w:bCs/>
        </w:rPr>
        <w:t>1(a)  Title of the Information Collection</w:t>
      </w:r>
    </w:p>
    <w:p w:rsidR="0031726A" w:rsidRDefault="0031726A"/>
    <w:p w:rsidR="0031726A" w:rsidRDefault="003C1B9D">
      <w:r>
        <w:t>NESHAP for</w:t>
      </w:r>
      <w:r>
        <w:rPr>
          <w:b/>
        </w:rPr>
        <w:t xml:space="preserve"> </w:t>
      </w:r>
      <w:r>
        <w:rPr>
          <w:bCs/>
        </w:rPr>
        <w:t>Vinyl Chloride (40 CFR Part 61, Subpart F) (Renewal)</w:t>
      </w:r>
    </w:p>
    <w:p w:rsidR="0031726A" w:rsidRDefault="003C1B9D">
      <w:r>
        <w:t>EPA ICR Number 0186.12, OMB Control Number 2060-0071</w:t>
      </w:r>
    </w:p>
    <w:p w:rsidR="0031726A" w:rsidRDefault="0031726A"/>
    <w:p w:rsidR="0031726A" w:rsidRDefault="003C1B9D">
      <w:pPr>
        <w:ind w:firstLine="720"/>
      </w:pPr>
      <w:r>
        <w:rPr>
          <w:b/>
          <w:bCs/>
        </w:rPr>
        <w:t>1(b)  Short Characterization/Abstract</w:t>
      </w:r>
    </w:p>
    <w:p w:rsidR="0031726A" w:rsidRDefault="0031726A"/>
    <w:p w:rsidR="0031726A" w:rsidRDefault="003C1B9D">
      <w:pPr>
        <w:ind w:firstLine="720"/>
      </w:pPr>
      <w:r>
        <w:t>The National Emissions Standards for Hazardous Air Pollutants (NESHAP) for Vinyl Chloride (VC) were proposed on December 24, 1975, promulgated on October 21, 1976, and amended on June 7, 1977, September 30, 1986, September 23, 1988, and December 23, 1992.  These standards apply to exhaust gases and oxychlorination vents at ethylene dichloride (EDC) plants; exhaust gases at vinyl chloride monomer (VCM) plants; and exhaust gases, reactor opening losses, manual vent valves, and stripping residuals at polyvinyl chloride (PVC) plants.  The standards also apply to relief valves and fugitive emission sources at all three types of plants.</w:t>
      </w:r>
    </w:p>
    <w:p w:rsidR="0031726A" w:rsidRDefault="0031726A"/>
    <w:p w:rsidR="0031726A" w:rsidRDefault="003C1B9D">
      <w:pPr>
        <w:ind w:firstLine="720"/>
      </w:pPr>
      <w:r>
        <w:t>In general, all the NESHAP standards implement section 112(b) of the Clean Air Act, as amended, and are based on the Administrator’s determination that vinyl chloride emissions from polyvinyl chloride (PVC), ethylene dichloride (EDC), and vinyl chloride monomer (VCM) plants cause or contribute to air pollution.  The standards require continuous monitoring of the reactor pressure and temperature.  The continuous monitoring system monitors VC emissions from the stack to judge compliance with the numerical limits in the standards.  The parameters are used to judge the operation of the reactor so that the source and EPA will be aware of improper operation and maintenance.</w:t>
      </w:r>
    </w:p>
    <w:p w:rsidR="0031726A" w:rsidRDefault="0031726A"/>
    <w:p w:rsidR="0031726A" w:rsidRDefault="003C1B9D">
      <w:pPr>
        <w:ind w:firstLine="720"/>
      </w:pPr>
      <w:r>
        <w:t>All the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Adequate recordkeeping and reporting ensure that affected facilities will continue to operate control equipment and use proper work practices to achieve compliance.  In addition, reporting assists EPA in identifying new facilities subject to the standards.  The standards implicitly require initial reports required by the General Provisions of 40 CFR sections 61.7 and 61.9.  These initial reports include application for approval of construction or modification, the notification of startup, and the notification of performance testing.  The standards also require quarterly reporting of vinyl chloride emissions from stripping, reactor openings, and exhausts.  Reports must be submitted within 10 days of each valve discharge and manual vent valve discharge.  Facilities must also maintain records of reactor parameters and emissions as well as records related to malfunctions, calibrations, and leaks detected.</w:t>
      </w:r>
    </w:p>
    <w:p w:rsidR="0031726A" w:rsidRDefault="0031726A"/>
    <w:p w:rsidR="0031726A" w:rsidRDefault="003C1B9D">
      <w:pPr>
        <w:ind w:firstLine="720"/>
      </w:pPr>
      <w:r>
        <w:t>Any owner or operator subject to the provisions of this part will maintain a file of these measurements, and retain the file for at least three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regional office.</w:t>
      </w:r>
    </w:p>
    <w:p w:rsidR="0031726A" w:rsidRDefault="0031726A">
      <w:pPr>
        <w:ind w:firstLine="720"/>
      </w:pPr>
    </w:p>
    <w:p w:rsidR="0031726A" w:rsidRPr="00F72CCD" w:rsidRDefault="003C1B9D">
      <w:pPr>
        <w:ind w:firstLine="720"/>
      </w:pPr>
      <w:r w:rsidRPr="00F72CCD">
        <w:t>Approximately 28 sources are currently subject to the standard, and it is estimated that there will be no new growth in the industry over the next three years.</w:t>
      </w:r>
    </w:p>
    <w:p w:rsidR="0031726A" w:rsidRPr="00F72CCD" w:rsidRDefault="0031726A">
      <w:pPr>
        <w:ind w:firstLine="720"/>
      </w:pPr>
    </w:p>
    <w:p w:rsidR="0031726A" w:rsidRDefault="003C1B9D">
      <w:pPr>
        <w:ind w:firstLine="720"/>
      </w:pPr>
      <w:r w:rsidRPr="00F72CCD">
        <w:t>There are approximately 28 vinyl chloride plants in the United States, which are owned and operated by the vinyl chloride industry.  None of the 28 facilities in the United States are owned by state, local, tribal or the Federal government.  They are owned</w:t>
      </w:r>
      <w:r>
        <w:t xml:space="preserve"> and operated by privately owned for-profit businesses. </w:t>
      </w:r>
    </w:p>
    <w:p w:rsidR="0031726A" w:rsidRDefault="0031726A">
      <w:pPr>
        <w:ind w:firstLine="720"/>
      </w:pPr>
    </w:p>
    <w:p w:rsidR="0031726A" w:rsidRDefault="003C1B9D">
      <w:pPr>
        <w:ind w:firstLine="720"/>
      </w:pPr>
      <w:r>
        <w:t>The Office of Management and Budget (OMB) approved the currently active ICR with the following “Terms of Clearance:”</w:t>
      </w:r>
    </w:p>
    <w:p w:rsidR="0031726A" w:rsidRDefault="0031726A"/>
    <w:p w:rsidR="0031726A" w:rsidRDefault="003C1B9D">
      <w:pPr>
        <w:ind w:left="1440" w:right="1440"/>
      </w:pPr>
      <w:r>
        <w:t>“When this ICR is submitted for renewal, EPA should verify that the wage rates referenced in sections 6(b) and 6(c) of the supporting statement have been updated to current values and properly loaded to include overhead, consistent with current EPA and OMB guidelines.”</w:t>
      </w:r>
    </w:p>
    <w:p w:rsidR="0031726A" w:rsidRDefault="0031726A">
      <w:pPr>
        <w:ind w:left="720"/>
      </w:pPr>
    </w:p>
    <w:p w:rsidR="0031726A" w:rsidRDefault="003C1B9D">
      <w:pPr>
        <w:pBdr>
          <w:top w:val="single" w:sz="4" w:space="0" w:color="FFFFFF"/>
          <w:left w:val="single" w:sz="4" w:space="0" w:color="FFFFFF"/>
          <w:bottom w:val="single" w:sz="4" w:space="0" w:color="FFFFFF"/>
          <w:right w:val="single" w:sz="4" w:space="0" w:color="FFFFFF"/>
        </w:pBdr>
        <w:ind w:firstLine="720"/>
      </w:pPr>
      <w:r>
        <w:t>EPA has addressed these terms of clearance by ensuring that the current renewal is updated with the most recent available labor rates.  See Section 6(f) for a description of the resulting changes to the affected public and the federal government.</w:t>
      </w:r>
    </w:p>
    <w:p w:rsidR="0031726A" w:rsidRDefault="0031726A">
      <w:pPr>
        <w:pBdr>
          <w:top w:val="single" w:sz="4" w:space="0" w:color="FFFFFF"/>
          <w:left w:val="single" w:sz="4" w:space="0" w:color="FFFFFF"/>
          <w:bottom w:val="single" w:sz="4" w:space="0" w:color="FFFFFF"/>
          <w:right w:val="single" w:sz="4" w:space="0" w:color="FFFFFF"/>
        </w:pBdr>
        <w:ind w:firstLine="720"/>
      </w:pPr>
    </w:p>
    <w:p w:rsidR="0031726A" w:rsidRDefault="003C1B9D">
      <w:pPr>
        <w:ind w:firstLine="720"/>
        <w:rPr>
          <w:bCs/>
        </w:rPr>
      </w:pPr>
      <w:r>
        <w:t>The burden to the “Affected Public” can be found in Table 1. Annual Respondent Burden and Cost, NESHAP for Vinyl Chloride (</w:t>
      </w:r>
      <w:r>
        <w:rPr>
          <w:bCs/>
        </w:rPr>
        <w:t>40 CFR Part 61, Subpart F</w:t>
      </w:r>
      <w:r>
        <w:t>) (Renewal).  The to the “Federal government” is attributed entirely to work performed by Federal employees or government contractors, and may be found listed below in Table 2. Annual Agency Burden and Cost, NESHAP for</w:t>
      </w:r>
      <w:r>
        <w:rPr>
          <w:b/>
        </w:rPr>
        <w:t xml:space="preserve"> </w:t>
      </w:r>
      <w:r>
        <w:rPr>
          <w:bCs/>
        </w:rPr>
        <w:t>Vinyl Chloride (40 CFR Part 61, Subpart F</w:t>
      </w:r>
      <w:r>
        <w:t>) (Renewal).</w:t>
      </w:r>
    </w:p>
    <w:p w:rsidR="0031726A" w:rsidRDefault="0031726A">
      <w:pPr>
        <w:pBdr>
          <w:top w:val="single" w:sz="4" w:space="0" w:color="FFFFFF"/>
          <w:left w:val="single" w:sz="4" w:space="0" w:color="FFFFFF"/>
          <w:bottom w:val="single" w:sz="4" w:space="0" w:color="FFFFFF"/>
          <w:right w:val="single" w:sz="4" w:space="0" w:color="FFFFFF"/>
        </w:pBdr>
        <w:ind w:firstLine="720"/>
      </w:pPr>
    </w:p>
    <w:p w:rsidR="0031726A" w:rsidRDefault="003C1B9D">
      <w:r>
        <w:rPr>
          <w:b/>
          <w:bCs/>
        </w:rPr>
        <w:t>2.  Need for and Use of the Collection</w:t>
      </w:r>
    </w:p>
    <w:p w:rsidR="0031726A" w:rsidRDefault="0031726A"/>
    <w:p w:rsidR="0031726A" w:rsidRDefault="003C1B9D">
      <w:pPr>
        <w:ind w:firstLine="720"/>
      </w:pPr>
      <w:r>
        <w:rPr>
          <w:b/>
          <w:bCs/>
        </w:rPr>
        <w:t>2(a)  Need/Authority for the Collection</w:t>
      </w:r>
    </w:p>
    <w:p w:rsidR="0031726A" w:rsidRDefault="0031726A"/>
    <w:p w:rsidR="0031726A" w:rsidRDefault="003C1B9D">
      <w:pPr>
        <w:ind w:firstLine="720"/>
      </w:pPr>
      <w:r>
        <w:t>The EPA is charged under section 112 of the Clean Air Act, as amended, to establish standards of performance for each category or subcategory of major sources and area sources of hazardous air pollutants (HAP).  These standards are applicable to new or existing sources of HAP and shall require the maximum degree of emission reduction.  In addition, section 114(a) states that the Administrator may require any owner or operator subject to any requirement of this Act to:</w:t>
      </w:r>
    </w:p>
    <w:p w:rsidR="0031726A" w:rsidRDefault="0031726A"/>
    <w:p w:rsidR="0031726A" w:rsidRDefault="003C1B9D">
      <w:pPr>
        <w:ind w:left="1440" w:right="1440"/>
      </w:pPr>
      <w:r>
        <w:t xml:space="preserve">(A) Establish and maintain such records; (B) make such reports; (C) install, use, and maintain such monitoring equipment, and use such </w:t>
      </w:r>
      <w:r>
        <w:lastRenderedPageBreak/>
        <w:t>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31726A" w:rsidRDefault="0031726A">
      <w:pPr>
        <w:ind w:left="1440" w:right="1440"/>
      </w:pPr>
    </w:p>
    <w:p w:rsidR="0031726A" w:rsidRDefault="003C1B9D">
      <w:pPr>
        <w:ind w:firstLine="720"/>
      </w:pPr>
      <w:r>
        <w:t>In the Administrator's judgment, vinyl chloride plants which produce: 1) ethylene dichloride by reaction of oxygen and hydrogen chloride with ethylene; 2) vinyl chloride by any process; and/or 3) one or more polymers containing any fraction of polymerized vinyl chloride - cause or contribute to air pollution that may reasonably be anticipated to endanger public health or welfare.  Therefore, the NESHAP was promulgated for this source category at 40 CFR part 61, subpart F.</w:t>
      </w:r>
    </w:p>
    <w:p w:rsidR="0031726A" w:rsidRDefault="0031726A"/>
    <w:p w:rsidR="0031726A" w:rsidRDefault="003C1B9D">
      <w:pPr>
        <w:ind w:firstLine="720"/>
      </w:pPr>
      <w:r>
        <w:rPr>
          <w:b/>
          <w:bCs/>
        </w:rPr>
        <w:t>2(b)  Practical Utility/Users of the Data</w:t>
      </w:r>
    </w:p>
    <w:p w:rsidR="0031726A" w:rsidRDefault="0031726A"/>
    <w:p w:rsidR="0031726A" w:rsidRDefault="003C1B9D">
      <w:pPr>
        <w:ind w:firstLine="720"/>
      </w:pPr>
      <w: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31726A" w:rsidRDefault="0031726A">
      <w:pPr>
        <w:ind w:firstLine="720"/>
      </w:pPr>
    </w:p>
    <w:p w:rsidR="0031726A" w:rsidRDefault="003C1B9D">
      <w:pPr>
        <w:ind w:firstLine="720"/>
      </w:pPr>
      <w: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 a continuous emission monitor.</w:t>
      </w:r>
    </w:p>
    <w:p w:rsidR="0031726A" w:rsidRDefault="0031726A">
      <w:pPr>
        <w:ind w:firstLine="720"/>
      </w:pPr>
    </w:p>
    <w:p w:rsidR="0031726A" w:rsidRDefault="003C1B9D">
      <w:pPr>
        <w:ind w:firstLine="720"/>
      </w:pPr>
      <w:r>
        <w:t>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w:t>
      </w:r>
    </w:p>
    <w:p w:rsidR="0031726A" w:rsidRDefault="0031726A"/>
    <w:p w:rsidR="0031726A" w:rsidRDefault="003C1B9D">
      <w:r>
        <w:rPr>
          <w:b/>
          <w:bCs/>
        </w:rPr>
        <w:t>3.  Nonduplication, Consultations, and Other Collection Criteria</w:t>
      </w:r>
    </w:p>
    <w:p w:rsidR="0031726A" w:rsidRDefault="0031726A"/>
    <w:p w:rsidR="0031726A" w:rsidRDefault="003C1B9D">
      <w:pPr>
        <w:ind w:firstLine="720"/>
      </w:pPr>
      <w:r>
        <w:t>The requested recordkeeping and reporting are required under 40 CFR part 61, subpart F.</w:t>
      </w:r>
    </w:p>
    <w:p w:rsidR="0031726A" w:rsidRDefault="0031726A"/>
    <w:p w:rsidR="0031726A" w:rsidRDefault="003C1B9D">
      <w:pPr>
        <w:ind w:firstLine="720"/>
      </w:pPr>
      <w:r>
        <w:rPr>
          <w:b/>
          <w:bCs/>
        </w:rPr>
        <w:t>3(a)  Non</w:t>
      </w:r>
      <w:r w:rsidR="00090F05">
        <w:rPr>
          <w:b/>
          <w:bCs/>
        </w:rPr>
        <w:t>-</w:t>
      </w:r>
      <w:r>
        <w:rPr>
          <w:b/>
          <w:bCs/>
        </w:rPr>
        <w:t>duplication</w:t>
      </w:r>
    </w:p>
    <w:p w:rsidR="0031726A" w:rsidRDefault="0031726A"/>
    <w:p w:rsidR="0031726A" w:rsidRDefault="003C1B9D">
      <w:pPr>
        <w:ind w:firstLine="720"/>
      </w:pPr>
      <w:r>
        <w:t xml:space="preserve">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no duplication </w:t>
      </w:r>
      <w:r>
        <w:lastRenderedPageBreak/>
        <w:t>exists.</w:t>
      </w:r>
    </w:p>
    <w:p w:rsidR="0031726A" w:rsidRDefault="0031726A"/>
    <w:p w:rsidR="0031726A" w:rsidRDefault="003C1B9D">
      <w:pPr>
        <w:ind w:firstLine="720"/>
      </w:pPr>
      <w:r>
        <w:rPr>
          <w:b/>
          <w:bCs/>
        </w:rPr>
        <w:t>3(b)  Public Notice Required Prior to ICR Submission to OMB</w:t>
      </w:r>
    </w:p>
    <w:p w:rsidR="0031726A" w:rsidRDefault="003C1B9D">
      <w:pPr>
        <w:spacing w:before="240"/>
        <w:ind w:firstLine="720"/>
      </w:pPr>
      <w:r>
        <w:t xml:space="preserve">An announcement of a public comment period for the renewal of this ICR was published in the </w:t>
      </w:r>
      <w:r>
        <w:rPr>
          <w:u w:val="single"/>
        </w:rPr>
        <w:t xml:space="preserve">Federal </w:t>
      </w:r>
      <w:r w:rsidRPr="00BA5701">
        <w:rPr>
          <w:u w:val="single"/>
        </w:rPr>
        <w:t>Register</w:t>
      </w:r>
      <w:r w:rsidRPr="00BA5701">
        <w:t xml:space="preserve"> (75 </w:t>
      </w:r>
      <w:r w:rsidRPr="00BA5701">
        <w:rPr>
          <w:u w:val="single"/>
        </w:rPr>
        <w:t>FR</w:t>
      </w:r>
      <w:r w:rsidRPr="00BA5701">
        <w:t xml:space="preserve"> 30812) on June 2, 2010.  No</w:t>
      </w:r>
      <w:r>
        <w:t xml:space="preserve"> comments were received on the burden published in the </w:t>
      </w:r>
      <w:r>
        <w:rPr>
          <w:u w:val="single"/>
        </w:rPr>
        <w:t>Federal Register</w:t>
      </w:r>
      <w:r>
        <w:t>.</w:t>
      </w:r>
    </w:p>
    <w:p w:rsidR="0031726A" w:rsidRDefault="0031726A"/>
    <w:p w:rsidR="0031726A" w:rsidRDefault="003C1B9D">
      <w:pPr>
        <w:ind w:firstLine="720"/>
      </w:pPr>
      <w:r>
        <w:rPr>
          <w:b/>
          <w:bCs/>
        </w:rPr>
        <w:t>3(c)  Consultations</w:t>
      </w:r>
    </w:p>
    <w:p w:rsidR="0031726A" w:rsidRDefault="0031726A"/>
    <w:p w:rsidR="0031726A" w:rsidRDefault="003C1B9D">
      <w:pPr>
        <w:widowControl/>
        <w:ind w:firstLine="720"/>
      </w:pPr>
      <w:r>
        <w:t>T</w:t>
      </w:r>
      <w:r>
        <w:rPr>
          <w:bCs/>
        </w:rPr>
        <w:t xml:space="preserve">he Agency’s industry experts were consulted, and the Agency’s internal data sources and projections of industry growth over the next three years were considered.  </w:t>
      </w:r>
      <w:r>
        <w:t>The primary source of information as reported by industry, in compliance with the recordkeeping and reporting provisions in the standard, is the Online Tracking Information System (OTIS), which is operated and maintained by the EPA Office of Compliance.  OTIS is the EPA database for the collection, maintenance, and retrieval of all compliance data.  The growth rate for the industry is based on our consultations with the Agency’s internal industry experts.  Approximately 28 respondents will be subject to the standard over the three-year period covered by this ICR.</w:t>
      </w:r>
    </w:p>
    <w:p w:rsidR="0031726A" w:rsidRDefault="0031726A"/>
    <w:p w:rsidR="0031726A" w:rsidRDefault="003C1B9D">
      <w:pPr>
        <w:ind w:firstLine="720"/>
      </w:pPr>
      <w: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p>
    <w:p w:rsidR="0031726A" w:rsidRDefault="0031726A">
      <w:pPr>
        <w:pBdr>
          <w:top w:val="single" w:sz="6" w:space="0" w:color="FFFFFF"/>
          <w:left w:val="single" w:sz="6" w:space="0" w:color="FFFFFF"/>
          <w:bottom w:val="single" w:sz="6" w:space="0" w:color="FFFFFF"/>
          <w:right w:val="single" w:sz="6" w:space="0" w:color="FFFFFF"/>
        </w:pBdr>
        <w:ind w:firstLine="720"/>
      </w:pPr>
    </w:p>
    <w:p w:rsidR="0031726A" w:rsidRDefault="003C1B9D">
      <w:pPr>
        <w:ind w:firstLine="720"/>
      </w:pPr>
      <w:r>
        <w:rPr>
          <w:b/>
          <w:bCs/>
        </w:rPr>
        <w:t>3(d)  Effects of Less Frequent Collection</w:t>
      </w:r>
    </w:p>
    <w:p w:rsidR="0031726A" w:rsidRDefault="0031726A"/>
    <w:p w:rsidR="0031726A" w:rsidRDefault="003C1B9D">
      <w:pPr>
        <w:ind w:firstLine="720"/>
      </w:pPr>
      <w: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31726A" w:rsidRDefault="0031726A"/>
    <w:p w:rsidR="0031726A" w:rsidRDefault="003C1B9D">
      <w:pPr>
        <w:ind w:firstLine="720"/>
      </w:pPr>
      <w:r>
        <w:rPr>
          <w:b/>
          <w:bCs/>
        </w:rPr>
        <w:t>3(e)  General Guidelines</w:t>
      </w:r>
    </w:p>
    <w:p w:rsidR="0031726A" w:rsidRDefault="0031726A"/>
    <w:p w:rsidR="0031726A" w:rsidRDefault="003C1B9D">
      <w:pPr>
        <w:ind w:firstLine="720"/>
      </w:pPr>
      <w:r>
        <w:t>None of these reporting or recordkeeping requirements violate any of the regulations established by OMB at 5 CFR part 1320, section 1320.5.</w:t>
      </w:r>
    </w:p>
    <w:p w:rsidR="0031726A" w:rsidRDefault="0031726A">
      <w:pPr>
        <w:tabs>
          <w:tab w:val="left" w:pos="-1440"/>
        </w:tabs>
        <w:ind w:left="720" w:hanging="720"/>
      </w:pPr>
    </w:p>
    <w:p w:rsidR="0031726A" w:rsidRDefault="003C1B9D">
      <w:pPr>
        <w:ind w:firstLine="720"/>
      </w:pPr>
      <w: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the five years.  In addition, EPA would be prevented from pursuing the violators due to the destruction or </w:t>
      </w:r>
      <w:r>
        <w:lastRenderedPageBreak/>
        <w:t>nonexistence of essential records.</w:t>
      </w:r>
    </w:p>
    <w:p w:rsidR="0031726A" w:rsidRDefault="0031726A"/>
    <w:p w:rsidR="0031726A" w:rsidRDefault="003C1B9D">
      <w:pPr>
        <w:ind w:firstLine="720"/>
      </w:pPr>
      <w:r>
        <w:rPr>
          <w:b/>
          <w:bCs/>
        </w:rPr>
        <w:t>3(f)  Confidentiality</w:t>
      </w:r>
    </w:p>
    <w:p w:rsidR="0031726A" w:rsidRDefault="0031726A"/>
    <w:p w:rsidR="0031726A" w:rsidRDefault="003C1B9D">
      <w:pPr>
        <w:ind w:firstLine="720"/>
      </w:pPr>
      <w:r>
        <w:t xml:space="preserve">Any information submitted to the Agency for which a claim of confidentiality is made will be safeguarded according to the Agency policies set forth in title 40, chapter 1, part 2, subpart B - Confidentiality of Business Information (CBI) (see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31726A" w:rsidRDefault="0031726A">
      <w:pPr>
        <w:ind w:firstLine="720"/>
      </w:pPr>
    </w:p>
    <w:p w:rsidR="0031726A" w:rsidRDefault="003C1B9D">
      <w:pPr>
        <w:ind w:firstLine="720"/>
      </w:pPr>
      <w:r>
        <w:rPr>
          <w:b/>
          <w:bCs/>
        </w:rPr>
        <w:t>3(g)  Sensitive Questions</w:t>
      </w:r>
    </w:p>
    <w:p w:rsidR="0031726A" w:rsidRDefault="0031726A">
      <w:pPr>
        <w:ind w:firstLine="720"/>
      </w:pPr>
    </w:p>
    <w:p w:rsidR="0031726A" w:rsidRDefault="003C1B9D">
      <w:pPr>
        <w:ind w:firstLine="720"/>
      </w:pPr>
      <w:r>
        <w:t>None of the reporting or recordkeeping requirements contain</w:t>
      </w:r>
      <w:r w:rsidR="00CE3198" w:rsidRPr="00FA53A3">
        <w:t>s</w:t>
      </w:r>
      <w:r>
        <w:t xml:space="preserve"> sensitive questions.</w:t>
      </w:r>
    </w:p>
    <w:p w:rsidR="0031726A" w:rsidRDefault="0031726A">
      <w:pPr>
        <w:rPr>
          <w:b/>
          <w:bCs/>
        </w:rPr>
      </w:pPr>
    </w:p>
    <w:p w:rsidR="0031726A" w:rsidRDefault="003C1B9D">
      <w:pPr>
        <w:rPr>
          <w:b/>
          <w:bCs/>
        </w:rPr>
      </w:pPr>
      <w:r>
        <w:rPr>
          <w:b/>
          <w:bCs/>
        </w:rPr>
        <w:t>4.  The Respondents and the Information Requested</w:t>
      </w:r>
    </w:p>
    <w:p w:rsidR="0031726A" w:rsidRDefault="0031726A">
      <w:pPr>
        <w:rPr>
          <w:b/>
          <w:bCs/>
        </w:rPr>
      </w:pPr>
    </w:p>
    <w:p w:rsidR="0031726A" w:rsidRDefault="003C1B9D">
      <w:pPr>
        <w:ind w:firstLine="720"/>
        <w:rPr>
          <w:b/>
          <w:bCs/>
        </w:rPr>
      </w:pPr>
      <w:r>
        <w:rPr>
          <w:b/>
          <w:bCs/>
        </w:rPr>
        <w:t>4(a)  Respondents/SIC Codes</w:t>
      </w:r>
    </w:p>
    <w:p w:rsidR="0031726A" w:rsidRDefault="0031726A">
      <w:pPr>
        <w:ind w:firstLine="720"/>
      </w:pPr>
    </w:p>
    <w:p w:rsidR="0031726A" w:rsidRDefault="003C1B9D">
      <w:pPr>
        <w:ind w:firstLine="720"/>
      </w:pPr>
      <w:r>
        <w:t>The respondents to the recordkeeping and reporting requirements are ethylene dichloride, vinyl chloride, and polyvinyl chloride manufacturing plants.  The United States Standard Industrial Classification (SIC) code for the respondents affected by the standards is 2821 which corresponds to the North American Industry Classification System (NAICS) 325211 for Vinyl Chloride.</w:t>
      </w:r>
    </w:p>
    <w:p w:rsidR="0031726A" w:rsidRDefault="0031726A">
      <w:pPr>
        <w:ind w:firstLine="720"/>
      </w:pPr>
    </w:p>
    <w:p w:rsidR="0031726A" w:rsidRDefault="003C1B9D">
      <w:pPr>
        <w:ind w:firstLine="720"/>
      </w:pPr>
      <w:r>
        <w:rPr>
          <w:b/>
          <w:bCs/>
        </w:rPr>
        <w:t>4(b)  Information Requested</w:t>
      </w:r>
    </w:p>
    <w:p w:rsidR="0031726A" w:rsidRDefault="0031726A"/>
    <w:p w:rsidR="0031726A" w:rsidRDefault="003C1B9D">
      <w:pPr>
        <w:ind w:firstLine="720"/>
      </w:pPr>
      <w:r>
        <w:t>None of these reporting or recordkeeping requirements violate any of the regulations established by OMB at 5 CFR part 1320, section 1320.5.</w:t>
      </w:r>
    </w:p>
    <w:p w:rsidR="0031726A" w:rsidRDefault="0031726A"/>
    <w:p w:rsidR="0031726A" w:rsidRDefault="003C1B9D">
      <w:pPr>
        <w:ind w:firstLine="1440"/>
        <w:rPr>
          <w:rStyle w:val="1"/>
          <w:rFonts w:ascii="Agency FB" w:hAnsi="Agency FB"/>
        </w:rPr>
      </w:pPr>
      <w:r>
        <w:rPr>
          <w:b/>
          <w:bCs/>
        </w:rPr>
        <w:t>(i)  Data Items</w:t>
      </w:r>
    </w:p>
    <w:p w:rsidR="0031726A" w:rsidRDefault="0031726A"/>
    <w:p w:rsidR="0031726A" w:rsidRDefault="003C1B9D">
      <w:pPr>
        <w:ind w:firstLine="720"/>
      </w:pPr>
      <w:r>
        <w:t>In this ICR, all the data recorded or reported is required by National Emission Standards for Hazardous Air Pollutants for Vinyl Chloride (40 CFR part 61, subpart F).</w:t>
      </w:r>
    </w:p>
    <w:p w:rsidR="0031726A" w:rsidRDefault="0031726A">
      <w:pPr>
        <w:ind w:firstLine="720"/>
      </w:pPr>
    </w:p>
    <w:p w:rsidR="0031726A" w:rsidRDefault="003C1B9D">
      <w:pPr>
        <w:ind w:firstLine="720"/>
      </w:pPr>
      <w:r>
        <w:t>A source must make the following reports:</w:t>
      </w:r>
    </w:p>
    <w:p w:rsidR="0031726A" w:rsidRDefault="0031726A"/>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6480"/>
        <w:gridCol w:w="2880"/>
      </w:tblGrid>
      <w:tr w:rsidR="0031726A">
        <w:trPr>
          <w:cantSplit/>
          <w:tblHeader/>
          <w:jc w:val="center"/>
        </w:trPr>
        <w:tc>
          <w:tcPr>
            <w:tcW w:w="9360" w:type="dxa"/>
            <w:gridSpan w:val="2"/>
            <w:vAlign w:val="center"/>
          </w:tcPr>
          <w:p w:rsidR="0031726A" w:rsidRDefault="003C1B9D">
            <w:pPr>
              <w:jc w:val="center"/>
              <w:rPr>
                <w:b/>
              </w:rPr>
            </w:pPr>
            <w:r>
              <w:rPr>
                <w:b/>
              </w:rPr>
              <w:t>Notifications</w:t>
            </w:r>
          </w:p>
        </w:tc>
      </w:tr>
      <w:tr w:rsidR="0031726A">
        <w:trPr>
          <w:cantSplit/>
          <w:jc w:val="center"/>
        </w:trPr>
        <w:tc>
          <w:tcPr>
            <w:tcW w:w="6480" w:type="dxa"/>
            <w:vAlign w:val="center"/>
          </w:tcPr>
          <w:p w:rsidR="0031726A" w:rsidRDefault="003C1B9D">
            <w:r>
              <w:t>Notification and application of construction or modification</w:t>
            </w:r>
          </w:p>
        </w:tc>
        <w:tc>
          <w:tcPr>
            <w:tcW w:w="2880" w:type="dxa"/>
            <w:vAlign w:val="center"/>
          </w:tcPr>
          <w:p w:rsidR="0031726A" w:rsidRDefault="003C1B9D">
            <w:r>
              <w:t>61.07</w:t>
            </w:r>
          </w:p>
        </w:tc>
      </w:tr>
      <w:tr w:rsidR="0031726A">
        <w:trPr>
          <w:cantSplit/>
          <w:jc w:val="center"/>
        </w:trPr>
        <w:tc>
          <w:tcPr>
            <w:tcW w:w="6480" w:type="dxa"/>
            <w:vAlign w:val="center"/>
          </w:tcPr>
          <w:p w:rsidR="0031726A" w:rsidRDefault="003C1B9D">
            <w:r>
              <w:t>Notification of anticipated date of initial startup</w:t>
            </w:r>
          </w:p>
        </w:tc>
        <w:tc>
          <w:tcPr>
            <w:tcW w:w="2880" w:type="dxa"/>
            <w:vAlign w:val="center"/>
          </w:tcPr>
          <w:p w:rsidR="0031726A" w:rsidRDefault="003C1B9D">
            <w:r>
              <w:t>61.09(a)(1)</w:t>
            </w:r>
          </w:p>
        </w:tc>
      </w:tr>
      <w:tr w:rsidR="0031726A">
        <w:trPr>
          <w:cantSplit/>
          <w:jc w:val="center"/>
        </w:trPr>
        <w:tc>
          <w:tcPr>
            <w:tcW w:w="6480" w:type="dxa"/>
            <w:vAlign w:val="center"/>
          </w:tcPr>
          <w:p w:rsidR="0031726A" w:rsidRDefault="003C1B9D">
            <w:r>
              <w:t>Notification of actual startup</w:t>
            </w:r>
          </w:p>
        </w:tc>
        <w:tc>
          <w:tcPr>
            <w:tcW w:w="2880" w:type="dxa"/>
            <w:vAlign w:val="center"/>
          </w:tcPr>
          <w:p w:rsidR="0031726A" w:rsidRDefault="003C1B9D">
            <w:r>
              <w:t>61.09(a)(2)</w:t>
            </w:r>
          </w:p>
        </w:tc>
      </w:tr>
      <w:tr w:rsidR="0031726A">
        <w:trPr>
          <w:cantSplit/>
          <w:jc w:val="center"/>
        </w:trPr>
        <w:tc>
          <w:tcPr>
            <w:tcW w:w="6480" w:type="dxa"/>
            <w:vAlign w:val="center"/>
          </w:tcPr>
          <w:p w:rsidR="0031726A" w:rsidRDefault="003C1B9D">
            <w:r>
              <w:t>Notification of physical or operational change which may increase the emission rate</w:t>
            </w:r>
          </w:p>
        </w:tc>
        <w:tc>
          <w:tcPr>
            <w:tcW w:w="2880" w:type="dxa"/>
            <w:vAlign w:val="center"/>
          </w:tcPr>
          <w:p w:rsidR="0031726A" w:rsidRDefault="003C1B9D">
            <w:r>
              <w:t>61.15</w:t>
            </w:r>
          </w:p>
        </w:tc>
      </w:tr>
      <w:tr w:rsidR="0031726A">
        <w:trPr>
          <w:cantSplit/>
          <w:jc w:val="center"/>
        </w:trPr>
        <w:tc>
          <w:tcPr>
            <w:tcW w:w="6480" w:type="dxa"/>
            <w:vAlign w:val="center"/>
          </w:tcPr>
          <w:p w:rsidR="0031726A" w:rsidRDefault="003C1B9D">
            <w:r>
              <w:t>Notification of performance tests</w:t>
            </w:r>
          </w:p>
        </w:tc>
        <w:tc>
          <w:tcPr>
            <w:tcW w:w="2880" w:type="dxa"/>
            <w:vAlign w:val="center"/>
          </w:tcPr>
          <w:p w:rsidR="0031726A" w:rsidRDefault="003C1B9D">
            <w:r>
              <w:t>61.13(f)</w:t>
            </w:r>
          </w:p>
        </w:tc>
      </w:tr>
      <w:tr w:rsidR="0031726A">
        <w:trPr>
          <w:cantSplit/>
          <w:jc w:val="center"/>
        </w:trPr>
        <w:tc>
          <w:tcPr>
            <w:tcW w:w="6480" w:type="dxa"/>
            <w:vAlign w:val="center"/>
          </w:tcPr>
          <w:p w:rsidR="0031726A" w:rsidRDefault="003C1B9D">
            <w:r>
              <w:t>Notification of emissions testing</w:t>
            </w:r>
          </w:p>
        </w:tc>
        <w:tc>
          <w:tcPr>
            <w:tcW w:w="2880" w:type="dxa"/>
            <w:vAlign w:val="center"/>
          </w:tcPr>
          <w:p w:rsidR="0031726A" w:rsidRDefault="003C1B9D">
            <w:r>
              <w:t>61.13(c)</w:t>
            </w:r>
          </w:p>
        </w:tc>
      </w:tr>
      <w:tr w:rsidR="0031726A">
        <w:trPr>
          <w:cantSplit/>
          <w:jc w:val="center"/>
        </w:trPr>
        <w:tc>
          <w:tcPr>
            <w:tcW w:w="6480" w:type="dxa"/>
            <w:vAlign w:val="center"/>
          </w:tcPr>
          <w:p w:rsidR="0031726A" w:rsidRDefault="003C1B9D">
            <w:r>
              <w:t>Application for waiver of testing</w:t>
            </w:r>
          </w:p>
        </w:tc>
        <w:tc>
          <w:tcPr>
            <w:tcW w:w="2880" w:type="dxa"/>
            <w:vAlign w:val="center"/>
          </w:tcPr>
          <w:p w:rsidR="0031726A" w:rsidRDefault="003C1B9D">
            <w:r>
              <w:t>61.13(i)(1), and 61.13(i)(2)</w:t>
            </w:r>
          </w:p>
        </w:tc>
      </w:tr>
      <w:tr w:rsidR="0031726A">
        <w:trPr>
          <w:cantSplit/>
          <w:jc w:val="center"/>
        </w:trPr>
        <w:tc>
          <w:tcPr>
            <w:tcW w:w="6480" w:type="dxa"/>
            <w:vAlign w:val="center"/>
          </w:tcPr>
          <w:p w:rsidR="0031726A" w:rsidRDefault="003C1B9D">
            <w:r>
              <w:t>Application for equivalent equipment and procedures</w:t>
            </w:r>
          </w:p>
        </w:tc>
        <w:tc>
          <w:tcPr>
            <w:tcW w:w="2880" w:type="dxa"/>
            <w:vAlign w:val="center"/>
          </w:tcPr>
          <w:p w:rsidR="0031726A" w:rsidRDefault="003C1B9D">
            <w:r>
              <w:t>61.66</w:t>
            </w:r>
          </w:p>
        </w:tc>
      </w:tr>
      <w:tr w:rsidR="0031726A">
        <w:trPr>
          <w:cantSplit/>
          <w:jc w:val="center"/>
        </w:trPr>
        <w:tc>
          <w:tcPr>
            <w:tcW w:w="6480" w:type="dxa"/>
            <w:vAlign w:val="center"/>
          </w:tcPr>
          <w:p w:rsidR="0031726A" w:rsidRDefault="003C1B9D">
            <w:r>
              <w:lastRenderedPageBreak/>
              <w:t>Initial report</w:t>
            </w:r>
          </w:p>
        </w:tc>
        <w:tc>
          <w:tcPr>
            <w:tcW w:w="2880" w:type="dxa"/>
            <w:vAlign w:val="center"/>
          </w:tcPr>
          <w:p w:rsidR="0031726A" w:rsidRDefault="003C1B9D">
            <w:r>
              <w:t>61.69</w:t>
            </w:r>
          </w:p>
        </w:tc>
      </w:tr>
      <w:tr w:rsidR="0031726A">
        <w:trPr>
          <w:cantSplit/>
          <w:jc w:val="center"/>
        </w:trPr>
        <w:tc>
          <w:tcPr>
            <w:tcW w:w="6480" w:type="dxa"/>
            <w:vAlign w:val="center"/>
          </w:tcPr>
          <w:p w:rsidR="0031726A" w:rsidRDefault="003C1B9D">
            <w:r>
              <w:t>Quarterly report</w:t>
            </w:r>
          </w:p>
        </w:tc>
        <w:tc>
          <w:tcPr>
            <w:tcW w:w="2880" w:type="dxa"/>
            <w:vAlign w:val="center"/>
          </w:tcPr>
          <w:p w:rsidR="0031726A" w:rsidRDefault="003C1B9D">
            <w:r>
              <w:t>61.70(a)(1)</w:t>
            </w:r>
          </w:p>
        </w:tc>
      </w:tr>
      <w:tr w:rsidR="0031726A">
        <w:trPr>
          <w:cantSplit/>
          <w:jc w:val="center"/>
        </w:trPr>
        <w:tc>
          <w:tcPr>
            <w:tcW w:w="6480" w:type="dxa"/>
            <w:vAlign w:val="center"/>
          </w:tcPr>
          <w:p w:rsidR="0031726A" w:rsidRDefault="003C1B9D">
            <w:r>
              <w:t>Manual vent valve (MVV) discharge report</w:t>
            </w:r>
          </w:p>
        </w:tc>
        <w:tc>
          <w:tcPr>
            <w:tcW w:w="2880" w:type="dxa"/>
            <w:vAlign w:val="center"/>
          </w:tcPr>
          <w:p w:rsidR="0031726A" w:rsidRDefault="003C1B9D">
            <w:r>
              <w:t>61.64(a)(3)</w:t>
            </w:r>
          </w:p>
        </w:tc>
      </w:tr>
      <w:tr w:rsidR="0031726A">
        <w:trPr>
          <w:cantSplit/>
          <w:jc w:val="center"/>
        </w:trPr>
        <w:tc>
          <w:tcPr>
            <w:tcW w:w="6480" w:type="dxa"/>
            <w:vAlign w:val="center"/>
          </w:tcPr>
          <w:p w:rsidR="0031726A" w:rsidRDefault="003C1B9D">
            <w:r>
              <w:t>Relief valve discharge (RVD) report</w:t>
            </w:r>
          </w:p>
        </w:tc>
        <w:tc>
          <w:tcPr>
            <w:tcW w:w="2880" w:type="dxa"/>
            <w:vAlign w:val="center"/>
          </w:tcPr>
          <w:p w:rsidR="0031726A" w:rsidRDefault="003C1B9D">
            <w:r>
              <w:t>61.65(a)</w:t>
            </w:r>
          </w:p>
        </w:tc>
      </w:tr>
    </w:tbl>
    <w:p w:rsidR="0031726A" w:rsidRDefault="0031726A"/>
    <w:p w:rsidR="0031726A" w:rsidRDefault="003C1B9D">
      <w:pPr>
        <w:ind w:firstLine="720"/>
      </w:pPr>
      <w:r>
        <w:t>A source must keep the following records:</w:t>
      </w:r>
    </w:p>
    <w:p w:rsidR="0031726A" w:rsidRDefault="0031726A"/>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6480"/>
        <w:gridCol w:w="2880"/>
      </w:tblGrid>
      <w:tr w:rsidR="0031726A">
        <w:trPr>
          <w:cantSplit/>
          <w:tblHeader/>
          <w:jc w:val="center"/>
        </w:trPr>
        <w:tc>
          <w:tcPr>
            <w:tcW w:w="9360" w:type="dxa"/>
            <w:gridSpan w:val="2"/>
            <w:vAlign w:val="center"/>
          </w:tcPr>
          <w:p w:rsidR="0031726A" w:rsidRDefault="003C1B9D">
            <w:pPr>
              <w:jc w:val="center"/>
              <w:rPr>
                <w:b/>
              </w:rPr>
            </w:pPr>
            <w:r>
              <w:rPr>
                <w:b/>
              </w:rPr>
              <w:t>Recordkeeping</w:t>
            </w:r>
          </w:p>
        </w:tc>
      </w:tr>
      <w:tr w:rsidR="0031726A">
        <w:trPr>
          <w:cantSplit/>
          <w:jc w:val="center"/>
        </w:trPr>
        <w:tc>
          <w:tcPr>
            <w:tcW w:w="6480" w:type="dxa"/>
            <w:vAlign w:val="center"/>
          </w:tcPr>
          <w:p w:rsidR="0031726A" w:rsidRDefault="003C1B9D">
            <w:r>
              <w:t>Startup, shutdown, malfunction, periods where the continuous monitoring system is inoperative</w:t>
            </w:r>
          </w:p>
        </w:tc>
        <w:tc>
          <w:tcPr>
            <w:tcW w:w="2880" w:type="dxa"/>
            <w:vAlign w:val="center"/>
          </w:tcPr>
          <w:p w:rsidR="0031726A" w:rsidRDefault="003C1B9D">
            <w:r>
              <w:t>61.14(f)</w:t>
            </w:r>
          </w:p>
        </w:tc>
      </w:tr>
      <w:tr w:rsidR="0031726A">
        <w:trPr>
          <w:cantSplit/>
          <w:jc w:val="center"/>
        </w:trPr>
        <w:tc>
          <w:tcPr>
            <w:tcW w:w="6480" w:type="dxa"/>
            <w:vAlign w:val="center"/>
          </w:tcPr>
          <w:p w:rsidR="0031726A" w:rsidRDefault="003C1B9D">
            <w:r>
              <w:t>Emission test results and other data needed to determine emissions</w:t>
            </w:r>
          </w:p>
        </w:tc>
        <w:tc>
          <w:tcPr>
            <w:tcW w:w="2880" w:type="dxa"/>
            <w:vAlign w:val="center"/>
          </w:tcPr>
          <w:p w:rsidR="0031726A" w:rsidRDefault="003C1B9D">
            <w:r>
              <w:t>61.13(g), and 61.71(1)(3)</w:t>
            </w:r>
          </w:p>
        </w:tc>
      </w:tr>
      <w:tr w:rsidR="0031726A">
        <w:trPr>
          <w:cantSplit/>
          <w:jc w:val="center"/>
        </w:trPr>
        <w:tc>
          <w:tcPr>
            <w:tcW w:w="6480" w:type="dxa"/>
            <w:vAlign w:val="center"/>
          </w:tcPr>
          <w:p w:rsidR="0031726A" w:rsidRDefault="003C1B9D">
            <w:r>
              <w:t>Records of leak detected</w:t>
            </w:r>
          </w:p>
        </w:tc>
        <w:tc>
          <w:tcPr>
            <w:tcW w:w="2880" w:type="dxa"/>
            <w:vAlign w:val="center"/>
          </w:tcPr>
          <w:p w:rsidR="0031726A" w:rsidRDefault="003C1B9D">
            <w:r>
              <w:t>61.71(a)(1), and 61.71(a)(2)</w:t>
            </w:r>
          </w:p>
        </w:tc>
      </w:tr>
      <w:tr w:rsidR="0031726A">
        <w:trPr>
          <w:cantSplit/>
          <w:jc w:val="center"/>
        </w:trPr>
        <w:tc>
          <w:tcPr>
            <w:tcW w:w="6480" w:type="dxa"/>
            <w:vAlign w:val="center"/>
          </w:tcPr>
          <w:p w:rsidR="0031726A" w:rsidRDefault="003C1B9D">
            <w:r>
              <w:t>Performance test records, leaks detected, emissions records, and daily operating records are required to be retained on-site for three years</w:t>
            </w:r>
          </w:p>
        </w:tc>
        <w:tc>
          <w:tcPr>
            <w:tcW w:w="2880" w:type="dxa"/>
            <w:vAlign w:val="center"/>
          </w:tcPr>
          <w:p w:rsidR="0031726A" w:rsidRDefault="003C1B9D">
            <w:r>
              <w:t>61.67(f), and 61.71(a)</w:t>
            </w:r>
          </w:p>
        </w:tc>
      </w:tr>
    </w:tbl>
    <w:p w:rsidR="0031726A" w:rsidRDefault="0031726A"/>
    <w:p w:rsidR="0031726A" w:rsidRDefault="003C1B9D">
      <w:r>
        <w:rPr>
          <w:u w:val="single"/>
        </w:rPr>
        <w:t>Electronic Reporting</w:t>
      </w:r>
    </w:p>
    <w:p w:rsidR="0031726A" w:rsidRDefault="0031726A"/>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1726A" w:rsidRDefault="0031726A">
      <w:pPr>
        <w:pBdr>
          <w:top w:val="single" w:sz="6" w:space="0" w:color="FFFFFF"/>
          <w:left w:val="single" w:sz="6" w:space="0" w:color="FFFFFF"/>
          <w:bottom w:val="single" w:sz="6" w:space="0" w:color="FFFFFF"/>
          <w:right w:val="single" w:sz="6" w:space="0" w:color="FFFFFF"/>
        </w:pBdr>
        <w:ind w:firstLine="720"/>
        <w:rPr>
          <w:color w:val="000000"/>
        </w:rPr>
      </w:pPr>
    </w:p>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31726A" w:rsidRDefault="0031726A"/>
    <w:p w:rsidR="00BB16F2" w:rsidRDefault="00BB16F2" w:rsidP="00BB16F2">
      <w:pPr>
        <w:ind w:firstLine="1440"/>
        <w:rPr>
          <w:rStyle w:val="1"/>
          <w:rFonts w:ascii="Agency FB" w:hAnsi="Agency FB"/>
        </w:rPr>
      </w:pPr>
      <w:r>
        <w:rPr>
          <w:b/>
          <w:bCs/>
        </w:rPr>
        <w:t>(ii)  Respondent Activities</w:t>
      </w:r>
    </w:p>
    <w:p w:rsidR="00BB16F2" w:rsidRDefault="00BB16F2"/>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9360"/>
      </w:tblGrid>
      <w:tr w:rsidR="0031726A">
        <w:trPr>
          <w:cantSplit/>
          <w:tblHeader/>
          <w:jc w:val="center"/>
        </w:trPr>
        <w:tc>
          <w:tcPr>
            <w:tcW w:w="9360" w:type="dxa"/>
            <w:vAlign w:val="center"/>
          </w:tcPr>
          <w:p w:rsidR="0031726A" w:rsidRDefault="003C1B9D">
            <w:pPr>
              <w:jc w:val="center"/>
              <w:rPr>
                <w:b/>
              </w:rPr>
            </w:pPr>
            <w:r>
              <w:rPr>
                <w:b/>
              </w:rPr>
              <w:t>Respondent Activities</w:t>
            </w:r>
          </w:p>
        </w:tc>
      </w:tr>
      <w:tr w:rsidR="0031726A">
        <w:trPr>
          <w:cantSplit/>
          <w:jc w:val="center"/>
        </w:trPr>
        <w:tc>
          <w:tcPr>
            <w:tcW w:w="9360" w:type="dxa"/>
            <w:vAlign w:val="center"/>
          </w:tcPr>
          <w:p w:rsidR="0031726A" w:rsidRDefault="003C1B9D">
            <w:r>
              <w:t>Read instructions.</w:t>
            </w:r>
          </w:p>
        </w:tc>
      </w:tr>
      <w:tr w:rsidR="0031726A">
        <w:trPr>
          <w:cantSplit/>
          <w:jc w:val="center"/>
        </w:trPr>
        <w:tc>
          <w:tcPr>
            <w:tcW w:w="9360" w:type="dxa"/>
            <w:vAlign w:val="center"/>
          </w:tcPr>
          <w:p w:rsidR="0031726A" w:rsidRDefault="003C1B9D">
            <w:r>
              <w:t>Perform initial performance test, Reference Method 106, 107, and or 601 test, and repeat performance tests if necessary.</w:t>
            </w:r>
          </w:p>
        </w:tc>
      </w:tr>
      <w:tr w:rsidR="0031726A">
        <w:trPr>
          <w:cantSplit/>
          <w:jc w:val="center"/>
        </w:trPr>
        <w:tc>
          <w:tcPr>
            <w:tcW w:w="9360" w:type="dxa"/>
            <w:vAlign w:val="center"/>
          </w:tcPr>
          <w:p w:rsidR="0031726A" w:rsidRDefault="003C1B9D">
            <w:r>
              <w:t>Write the notification and reports listed above.</w:t>
            </w:r>
          </w:p>
        </w:tc>
      </w:tr>
      <w:tr w:rsidR="0031726A">
        <w:trPr>
          <w:cantSplit/>
          <w:jc w:val="center"/>
        </w:trPr>
        <w:tc>
          <w:tcPr>
            <w:tcW w:w="9360" w:type="dxa"/>
            <w:vAlign w:val="center"/>
          </w:tcPr>
          <w:p w:rsidR="0031726A" w:rsidRDefault="003C1B9D">
            <w:r>
              <w:t>Enter information required to be recorded above.</w:t>
            </w:r>
          </w:p>
        </w:tc>
      </w:tr>
      <w:tr w:rsidR="0031726A">
        <w:trPr>
          <w:cantSplit/>
          <w:jc w:val="center"/>
        </w:trPr>
        <w:tc>
          <w:tcPr>
            <w:tcW w:w="9360" w:type="dxa"/>
            <w:vAlign w:val="center"/>
          </w:tcPr>
          <w:p w:rsidR="0031726A" w:rsidRDefault="003C1B9D">
            <w:r>
              <w:t>Submit the required reports developing, acquiring, installing, and utilizing technology and systems for the purpose of collecting, validating, and verifying information.</w:t>
            </w:r>
          </w:p>
        </w:tc>
      </w:tr>
      <w:tr w:rsidR="0031726A">
        <w:trPr>
          <w:cantSplit/>
          <w:jc w:val="center"/>
        </w:trPr>
        <w:tc>
          <w:tcPr>
            <w:tcW w:w="9360" w:type="dxa"/>
            <w:vAlign w:val="center"/>
          </w:tcPr>
          <w:p w:rsidR="0031726A" w:rsidRDefault="003C1B9D">
            <w:r>
              <w:t>Develop, acquire, install, and utilize technology and systems for the purpose of processing and maintaining information.</w:t>
            </w:r>
          </w:p>
        </w:tc>
      </w:tr>
      <w:tr w:rsidR="0031726A">
        <w:trPr>
          <w:cantSplit/>
          <w:jc w:val="center"/>
        </w:trPr>
        <w:tc>
          <w:tcPr>
            <w:tcW w:w="9360" w:type="dxa"/>
            <w:vAlign w:val="center"/>
          </w:tcPr>
          <w:p w:rsidR="0031726A" w:rsidRDefault="003C1B9D">
            <w:r>
              <w:t>Develop, acquire, install and utilize technology and systems for the purpose of disclosing and providing information.</w:t>
            </w:r>
          </w:p>
        </w:tc>
      </w:tr>
      <w:tr w:rsidR="0031726A">
        <w:trPr>
          <w:cantSplit/>
          <w:jc w:val="center"/>
        </w:trPr>
        <w:tc>
          <w:tcPr>
            <w:tcW w:w="9360" w:type="dxa"/>
            <w:vAlign w:val="center"/>
          </w:tcPr>
          <w:p w:rsidR="0031726A" w:rsidRDefault="003C1B9D">
            <w:r>
              <w:lastRenderedPageBreak/>
              <w:t>Adjust the existing ways to comply with any previously applicable instructions and requirements.</w:t>
            </w:r>
          </w:p>
        </w:tc>
      </w:tr>
      <w:tr w:rsidR="0031726A">
        <w:trPr>
          <w:cantSplit/>
          <w:jc w:val="center"/>
        </w:trPr>
        <w:tc>
          <w:tcPr>
            <w:tcW w:w="9360" w:type="dxa"/>
            <w:vAlign w:val="center"/>
          </w:tcPr>
          <w:p w:rsidR="0031726A" w:rsidRDefault="003C1B9D">
            <w:r>
              <w:t>Train personnel to be able to respond to a collection of information.</w:t>
            </w:r>
          </w:p>
        </w:tc>
      </w:tr>
      <w:tr w:rsidR="0031726A">
        <w:trPr>
          <w:cantSplit/>
          <w:jc w:val="center"/>
        </w:trPr>
        <w:tc>
          <w:tcPr>
            <w:tcW w:w="9360" w:type="dxa"/>
            <w:vAlign w:val="center"/>
          </w:tcPr>
          <w:p w:rsidR="0031726A" w:rsidRDefault="003C1B9D">
            <w:r>
              <w:t>Transmit, or otherwise disclose the information.</w:t>
            </w:r>
          </w:p>
        </w:tc>
      </w:tr>
    </w:tbl>
    <w:p w:rsidR="0031726A" w:rsidRDefault="0031726A"/>
    <w:p w:rsidR="0031726A" w:rsidRDefault="003C1B9D">
      <w:pPr>
        <w:ind w:firstLine="720"/>
        <w:rPr>
          <w:color w:val="000000"/>
        </w:rPr>
      </w:pPr>
      <w:r>
        <w:rPr>
          <w:color w:val="000000"/>
        </w:rPr>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31726A" w:rsidRDefault="0031726A"/>
    <w:p w:rsidR="0031726A" w:rsidRDefault="003C1B9D">
      <w:pPr>
        <w:rPr>
          <w:b/>
          <w:bCs/>
        </w:rPr>
      </w:pPr>
      <w:r>
        <w:rPr>
          <w:b/>
          <w:bCs/>
        </w:rPr>
        <w:t>5.  The Information Collected</w:t>
      </w:r>
      <w:r w:rsidR="00BB16F2">
        <w:rPr>
          <w:b/>
          <w:bCs/>
        </w:rPr>
        <w:t>-</w:t>
      </w:r>
      <w:r>
        <w:rPr>
          <w:b/>
          <w:bCs/>
        </w:rPr>
        <w:t>Agency Activities, Collection Methodology, and Information Management</w:t>
      </w:r>
    </w:p>
    <w:p w:rsidR="0031726A" w:rsidRDefault="0031726A">
      <w:pPr>
        <w:rPr>
          <w:b/>
          <w:bCs/>
        </w:rPr>
      </w:pPr>
    </w:p>
    <w:p w:rsidR="0031726A" w:rsidRDefault="003C1B9D">
      <w:pPr>
        <w:ind w:firstLine="720"/>
      </w:pPr>
      <w:r>
        <w:rPr>
          <w:b/>
          <w:bCs/>
        </w:rPr>
        <w:t>5(a)  Agency Activities</w:t>
      </w:r>
    </w:p>
    <w:p w:rsidR="0031726A" w:rsidRDefault="0031726A"/>
    <w:p w:rsidR="0031726A" w:rsidRDefault="003C1B9D">
      <w:pPr>
        <w:ind w:firstLine="720"/>
      </w:pPr>
      <w:r>
        <w:t>EPA conducts the following activities in connection with the acquisition, analysis, storage, and distribution of the required information.</w:t>
      </w:r>
    </w:p>
    <w:p w:rsidR="0031726A" w:rsidRDefault="0031726A"/>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9360"/>
      </w:tblGrid>
      <w:tr w:rsidR="0031726A">
        <w:trPr>
          <w:cantSplit/>
          <w:tblHeader/>
          <w:jc w:val="center"/>
        </w:trPr>
        <w:tc>
          <w:tcPr>
            <w:tcW w:w="9360" w:type="dxa"/>
            <w:vAlign w:val="center"/>
          </w:tcPr>
          <w:p w:rsidR="0031726A" w:rsidRDefault="003C1B9D">
            <w:pPr>
              <w:jc w:val="center"/>
              <w:rPr>
                <w:b/>
              </w:rPr>
            </w:pPr>
            <w:r>
              <w:rPr>
                <w:b/>
              </w:rPr>
              <w:t>Agency Activities</w:t>
            </w:r>
          </w:p>
        </w:tc>
      </w:tr>
      <w:tr w:rsidR="0031726A">
        <w:trPr>
          <w:cantSplit/>
          <w:jc w:val="center"/>
        </w:trPr>
        <w:tc>
          <w:tcPr>
            <w:tcW w:w="9360" w:type="dxa"/>
            <w:vAlign w:val="center"/>
          </w:tcPr>
          <w:p w:rsidR="0031726A" w:rsidRDefault="003C1B9D">
            <w:r>
              <w:t>Observe initial performance tests and repeat performance tests if necessary.</w:t>
            </w:r>
          </w:p>
        </w:tc>
      </w:tr>
      <w:tr w:rsidR="0031726A">
        <w:trPr>
          <w:cantSplit/>
          <w:jc w:val="center"/>
        </w:trPr>
        <w:tc>
          <w:tcPr>
            <w:tcW w:w="9360" w:type="dxa"/>
            <w:vAlign w:val="center"/>
          </w:tcPr>
          <w:p w:rsidR="0031726A" w:rsidRDefault="003C1B9D">
            <w:r>
              <w:t>Review notifications and reports, including performance test reports, excess emissions reports, required to be submitted by industry.</w:t>
            </w:r>
          </w:p>
        </w:tc>
      </w:tr>
      <w:tr w:rsidR="0031726A">
        <w:trPr>
          <w:cantSplit/>
          <w:jc w:val="center"/>
        </w:trPr>
        <w:tc>
          <w:tcPr>
            <w:tcW w:w="9360" w:type="dxa"/>
            <w:vAlign w:val="center"/>
          </w:tcPr>
          <w:p w:rsidR="0031726A" w:rsidRDefault="003C1B9D">
            <w:r>
              <w:t>Audit facility records.</w:t>
            </w:r>
          </w:p>
        </w:tc>
      </w:tr>
      <w:tr w:rsidR="0031726A">
        <w:trPr>
          <w:cantSplit/>
          <w:jc w:val="center"/>
        </w:trPr>
        <w:tc>
          <w:tcPr>
            <w:tcW w:w="9360" w:type="dxa"/>
            <w:vAlign w:val="center"/>
          </w:tcPr>
          <w:p w:rsidR="0031726A" w:rsidRDefault="003C1B9D">
            <w:r>
              <w:t>Input, analyze, and maintain data in the Online Tracking Information System (OTIS).</w:t>
            </w:r>
          </w:p>
        </w:tc>
      </w:tr>
    </w:tbl>
    <w:p w:rsidR="0031726A" w:rsidRDefault="0031726A">
      <w:pPr>
        <w:rPr>
          <w:b/>
          <w:bCs/>
        </w:rPr>
      </w:pPr>
    </w:p>
    <w:p w:rsidR="0031726A" w:rsidRDefault="003C1B9D">
      <w:pPr>
        <w:ind w:firstLine="720"/>
      </w:pPr>
      <w:r>
        <w:rPr>
          <w:b/>
          <w:bCs/>
        </w:rPr>
        <w:t>5(b)  Collection Methodology and Management</w:t>
      </w:r>
    </w:p>
    <w:p w:rsidR="0031726A" w:rsidRDefault="0031726A"/>
    <w:p w:rsidR="0031726A" w:rsidRDefault="003C1B9D">
      <w:pPr>
        <w:ind w:right="-180" w:firstLine="720"/>
      </w:pPr>
      <w:r>
        <w:t>Following notification of startup, the reviewing authority might inspect the source to determine whether the pollution control devices are properly installed and operational.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w:t>
      </w:r>
    </w:p>
    <w:p w:rsidR="0031726A" w:rsidRDefault="0031726A">
      <w:pPr>
        <w:ind w:right="-180" w:firstLine="720"/>
      </w:pPr>
    </w:p>
    <w:p w:rsidR="0031726A" w:rsidRDefault="003C1B9D">
      <w:pPr>
        <w:ind w:firstLine="720"/>
      </w:pPr>
      <w:r>
        <w:t xml:space="preserve">Information contained in the reports is entered </w:t>
      </w:r>
      <w:r w:rsidRPr="005916D6">
        <w:t>into OTIS</w:t>
      </w:r>
      <w:r w:rsidR="00CE3198" w:rsidRPr="005916D6">
        <w:t>,</w:t>
      </w:r>
      <w:r w:rsidRPr="005916D6">
        <w:t xml:space="preserve"> which is</w:t>
      </w:r>
      <w:r>
        <w:t xml:space="preserve"> operated and maintained by the EPA Office of Compliance.  OTIS is the EPA database for the collection, maintenance, and retrieval of compliance data for approximately 125,000 industrial and government-owned facilities.  EPA uses OTIS for tracking air pollution compliance and enforcement by local and state regulatory agencies, EPA regional offices, and EPA headquarters.  EPA delegated Authorities can edit, store, retrieve and analyze the data.</w:t>
      </w:r>
    </w:p>
    <w:p w:rsidR="0031726A" w:rsidRDefault="0031726A"/>
    <w:p w:rsidR="0031726A" w:rsidRDefault="003C1B9D">
      <w:pPr>
        <w:ind w:firstLine="720"/>
      </w:pPr>
      <w:r>
        <w:t>The records required by this regulation must be retained by the owner or operator for five years.</w:t>
      </w:r>
    </w:p>
    <w:p w:rsidR="0031726A" w:rsidRDefault="0031726A">
      <w:pPr>
        <w:ind w:firstLine="720"/>
      </w:pPr>
    </w:p>
    <w:p w:rsidR="0031726A" w:rsidRDefault="003C1B9D">
      <w:pPr>
        <w:ind w:firstLine="720"/>
      </w:pPr>
      <w:r>
        <w:rPr>
          <w:b/>
          <w:bCs/>
        </w:rPr>
        <w:t>5(c)  Small Entity Flexibility</w:t>
      </w:r>
    </w:p>
    <w:p w:rsidR="0031726A" w:rsidRDefault="0031726A"/>
    <w:p w:rsidR="0031726A" w:rsidRDefault="003C1B9D">
      <w:pPr>
        <w:ind w:firstLine="720"/>
        <w:rPr>
          <w:color w:val="000000"/>
        </w:rPr>
      </w:pPr>
      <w:r>
        <w:rPr>
          <w:color w:val="000000"/>
        </w:rPr>
        <w:t xml:space="preserve">The majority of the respondents are large entities (i.e., large businesses).  However, the impact on small entities (i.e., small businesses) was taken into consideration during the development of the regulation.  After reviewing relevant available background documents related to the standard, an estimate of the number of small entities affected could not be determined.  Due to technical </w:t>
      </w:r>
      <w:r w:rsidR="00CE3198">
        <w:rPr>
          <w:color w:val="000000"/>
        </w:rPr>
        <w:t>considerations</w:t>
      </w:r>
      <w:r>
        <w:rPr>
          <w:color w:val="000000"/>
        </w:rPr>
        <w:t xml:space="preserve">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31726A" w:rsidRDefault="0031726A"/>
    <w:p w:rsidR="0031726A" w:rsidRDefault="003C1B9D">
      <w:pPr>
        <w:ind w:firstLine="720"/>
      </w:pPr>
      <w:r>
        <w:rPr>
          <w:b/>
          <w:bCs/>
        </w:rPr>
        <w:t>5(d)  Collection Schedule</w:t>
      </w:r>
    </w:p>
    <w:p w:rsidR="0031726A" w:rsidRDefault="0031726A"/>
    <w:p w:rsidR="0031726A" w:rsidRDefault="003C1B9D">
      <w:pPr>
        <w:ind w:firstLine="720"/>
      </w:pPr>
      <w:r>
        <w:t>The specific frequency for each information collection activity within this request is shown in Table 1. Annual Respondent Burden and Cost, NESHAP for Vinyl Chloride (40 CFR Part 61, Subpart F) (Renewal).</w:t>
      </w:r>
    </w:p>
    <w:p w:rsidR="0031726A" w:rsidRDefault="0031726A">
      <w:pPr>
        <w:ind w:firstLine="720"/>
      </w:pPr>
    </w:p>
    <w:p w:rsidR="0031726A" w:rsidRDefault="003C1B9D">
      <w:pPr>
        <w:rPr>
          <w:b/>
          <w:bCs/>
        </w:rPr>
      </w:pPr>
      <w:r>
        <w:rPr>
          <w:b/>
          <w:bCs/>
        </w:rPr>
        <w:t>6.  Estimating the Burden and Cost of the Collection</w:t>
      </w:r>
    </w:p>
    <w:p w:rsidR="0031726A" w:rsidRDefault="0031726A"/>
    <w:p w:rsidR="0031726A" w:rsidRDefault="003C1B9D">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Wherever appropriate, specific tasks and major assumptions have been identified.  Responses to this information collection are mandatory.</w:t>
      </w:r>
    </w:p>
    <w:p w:rsidR="0031726A" w:rsidRDefault="0031726A">
      <w:pPr>
        <w:ind w:firstLine="720"/>
      </w:pPr>
    </w:p>
    <w:p w:rsidR="0031726A" w:rsidRDefault="003C1B9D">
      <w:pPr>
        <w:ind w:firstLine="720"/>
      </w:pPr>
      <w:r>
        <w:t>The Agency may not conduct or sponsor, and a person is not required to respond to, a collection of information unless it displays a currently valid OMB Control Number.</w:t>
      </w:r>
    </w:p>
    <w:p w:rsidR="0031726A" w:rsidRDefault="0031726A"/>
    <w:p w:rsidR="0031726A" w:rsidRDefault="003C1B9D">
      <w:pPr>
        <w:ind w:firstLine="720"/>
      </w:pPr>
      <w:r>
        <w:rPr>
          <w:b/>
          <w:bCs/>
        </w:rPr>
        <w:t>6(a)  Estimating Respondent Burden</w:t>
      </w:r>
    </w:p>
    <w:p w:rsidR="0031726A" w:rsidRDefault="0031726A"/>
    <w:p w:rsidR="0031726A" w:rsidRDefault="003C1B9D">
      <w:pPr>
        <w:ind w:firstLine="720"/>
      </w:pPr>
      <w:r>
        <w:t>The average annual burden to industry over the next three years from these recordkeeping and reporting requirements is estimated to be 11,826 (Total Labor Hours from Table 1).  These hours are based on Agency studies and background documents from the development of the regulation, Agency knowledge and experience with the NESHAP program, the previously approved ICR, and any comments received.</w:t>
      </w:r>
    </w:p>
    <w:p w:rsidR="0031726A" w:rsidRDefault="0031726A">
      <w:pPr>
        <w:rPr>
          <w:b/>
          <w:bCs/>
        </w:rPr>
      </w:pPr>
    </w:p>
    <w:p w:rsidR="0031726A" w:rsidRDefault="003C1B9D">
      <w:pPr>
        <w:ind w:firstLine="720"/>
        <w:rPr>
          <w:b/>
          <w:bCs/>
        </w:rPr>
      </w:pPr>
      <w:r>
        <w:rPr>
          <w:b/>
          <w:bCs/>
        </w:rPr>
        <w:t>6(b)  Estimating Respondent Costs</w:t>
      </w:r>
    </w:p>
    <w:p w:rsidR="0031726A" w:rsidRDefault="0031726A">
      <w:pPr>
        <w:rPr>
          <w:b/>
          <w:bCs/>
        </w:rPr>
      </w:pPr>
    </w:p>
    <w:p w:rsidR="0031726A" w:rsidRDefault="003C1B9D">
      <w:pPr>
        <w:ind w:firstLine="1440"/>
      </w:pPr>
      <w:r>
        <w:rPr>
          <w:b/>
          <w:bCs/>
        </w:rPr>
        <w:t>(i)  Estimating Labor Costs</w:t>
      </w:r>
      <w:r>
        <w:t xml:space="preserve"> </w:t>
      </w:r>
    </w:p>
    <w:p w:rsidR="0031726A" w:rsidRDefault="0031726A"/>
    <w:p w:rsidR="0031726A" w:rsidRDefault="003C1B9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$116.05 ($</w:t>
      </w:r>
      <w:r w:rsidR="005916D6">
        <w:rPr>
          <w:color w:val="000000"/>
        </w:rPr>
        <w:t>55.26</w:t>
      </w:r>
      <w:r>
        <w:rPr>
          <w:color w:val="000000"/>
        </w:rPr>
        <w:t xml:space="preserve"> +</w:t>
      </w:r>
      <w:r w:rsidR="004221DC">
        <w:rPr>
          <w:color w:val="000000"/>
        </w:rPr>
        <w:t>1</w:t>
      </w:r>
      <w:r w:rsidR="005916D6">
        <w:rPr>
          <w:color w:val="000000"/>
        </w:rPr>
        <w:t>1</w:t>
      </w:r>
      <w:r w:rsidR="004221DC">
        <w:rPr>
          <w:color w:val="000000"/>
        </w:rPr>
        <w:t>0</w:t>
      </w:r>
      <w:r>
        <w:rPr>
          <w:color w:val="000000"/>
        </w:rPr>
        <w:t xml:space="preserve"> %)  </w:t>
      </w:r>
    </w:p>
    <w:p w:rsidR="0031726A" w:rsidRDefault="003C1B9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$97.21 ($</w:t>
      </w:r>
      <w:r w:rsidR="005916D6">
        <w:rPr>
          <w:color w:val="000000"/>
        </w:rPr>
        <w:t>46.29</w:t>
      </w:r>
      <w:r>
        <w:rPr>
          <w:color w:val="000000"/>
        </w:rPr>
        <w:t xml:space="preserve"> +</w:t>
      </w:r>
      <w:r w:rsidR="004221DC">
        <w:rPr>
          <w:color w:val="000000"/>
        </w:rPr>
        <w:t>1</w:t>
      </w:r>
      <w:r w:rsidR="005916D6">
        <w:rPr>
          <w:color w:val="000000"/>
        </w:rPr>
        <w:t>1</w:t>
      </w:r>
      <w:r w:rsidR="004221DC">
        <w:rPr>
          <w:color w:val="000000"/>
        </w:rPr>
        <w:t>0</w:t>
      </w:r>
      <w:r>
        <w:rPr>
          <w:color w:val="000000"/>
        </w:rPr>
        <w:t xml:space="preserve"> %)</w:t>
      </w:r>
    </w:p>
    <w:p w:rsidR="0031726A" w:rsidRDefault="003C1B9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$48.87 ($</w:t>
      </w:r>
      <w:r w:rsidR="005916D6">
        <w:rPr>
          <w:color w:val="000000"/>
        </w:rPr>
        <w:t>23.27</w:t>
      </w:r>
      <w:r>
        <w:rPr>
          <w:color w:val="000000"/>
        </w:rPr>
        <w:t xml:space="preserve"> +</w:t>
      </w:r>
      <w:r w:rsidR="004221DC">
        <w:rPr>
          <w:color w:val="000000"/>
        </w:rPr>
        <w:t>1</w:t>
      </w:r>
      <w:r w:rsidR="005916D6">
        <w:rPr>
          <w:color w:val="000000"/>
        </w:rPr>
        <w:t>1</w:t>
      </w:r>
      <w:r w:rsidR="004221DC">
        <w:rPr>
          <w:color w:val="000000"/>
        </w:rPr>
        <w:t>0</w:t>
      </w:r>
      <w:r>
        <w:rPr>
          <w:color w:val="000000"/>
        </w:rPr>
        <w:t xml:space="preserve"> %)</w:t>
      </w:r>
    </w:p>
    <w:p w:rsidR="0031726A" w:rsidRDefault="0031726A">
      <w:pPr>
        <w:tabs>
          <w:tab w:val="left" w:pos="-1440"/>
        </w:tabs>
        <w:ind w:left="2880" w:hanging="2160"/>
      </w:pPr>
    </w:p>
    <w:p w:rsidR="0031726A" w:rsidRDefault="003C1B9D">
      <w:pPr>
        <w:tabs>
          <w:tab w:val="left" w:pos="-1440"/>
        </w:tabs>
      </w:pPr>
      <w:r>
        <w:t xml:space="preserve">These rates are from the United States Department of Labor, Bureau of Labor Statistics, March 2010, “Table 2. Civilian workers industry, by occupational and industry group.”  The rates are </w:t>
      </w:r>
      <w:r>
        <w:lastRenderedPageBreak/>
        <w:t>from column 1, “Total compensation.”  The rates have been increased by 1</w:t>
      </w:r>
      <w:r w:rsidR="005916D6">
        <w:t>1</w:t>
      </w:r>
      <w:r>
        <w:t>0 percent to account for the benefit packages available to those employed by private industry.</w:t>
      </w:r>
    </w:p>
    <w:p w:rsidR="0031726A" w:rsidRDefault="0031726A">
      <w:pPr>
        <w:tabs>
          <w:tab w:val="left" w:pos="-1440"/>
        </w:tabs>
        <w:ind w:left="2880" w:hanging="2160"/>
      </w:pPr>
    </w:p>
    <w:p w:rsidR="0031726A" w:rsidRDefault="003C1B9D">
      <w:pPr>
        <w:ind w:firstLine="1440"/>
        <w:rPr>
          <w:b/>
          <w:bCs/>
        </w:rPr>
      </w:pPr>
      <w:r>
        <w:rPr>
          <w:b/>
          <w:bCs/>
        </w:rPr>
        <w:t>(ii)  Estimating Capital and Operation</w:t>
      </w:r>
      <w:r w:rsidR="00BB16F2">
        <w:rPr>
          <w:b/>
          <w:bCs/>
        </w:rPr>
        <w:t>s</w:t>
      </w:r>
      <w:r>
        <w:rPr>
          <w:b/>
          <w:bCs/>
        </w:rPr>
        <w:t xml:space="preserve"> and Maintenance Costs</w:t>
      </w:r>
    </w:p>
    <w:p w:rsidR="0031726A" w:rsidRDefault="0031726A">
      <w:pPr>
        <w:ind w:firstLine="1440"/>
      </w:pPr>
    </w:p>
    <w:p w:rsidR="0031726A" w:rsidRDefault="003C1B9D">
      <w:pP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p w:rsidR="0031726A" w:rsidRDefault="0031726A">
      <w:pPr>
        <w:pBdr>
          <w:top w:val="single" w:sz="6" w:space="0" w:color="FFFFFF"/>
          <w:left w:val="single" w:sz="6" w:space="0" w:color="FFFFFF"/>
          <w:bottom w:val="single" w:sz="6" w:space="0" w:color="FFFFFF"/>
          <w:right w:val="single" w:sz="6" w:space="0" w:color="FFFFFF"/>
        </w:pBdr>
        <w:tabs>
          <w:tab w:val="left" w:pos="-1080"/>
        </w:tabs>
        <w:rPr>
          <w:color w:val="000000"/>
        </w:rPr>
      </w:pPr>
    </w:p>
    <w:p w:rsidR="0031726A" w:rsidRDefault="003C1B9D">
      <w:pPr>
        <w:pBdr>
          <w:top w:val="single" w:sz="6" w:space="0" w:color="FFFFFF"/>
          <w:left w:val="single" w:sz="6" w:space="0" w:color="FFFFFF"/>
          <w:bottom w:val="single" w:sz="6" w:space="0" w:color="FFFFFF"/>
          <w:right w:val="single" w:sz="6" w:space="0" w:color="FFFFFF"/>
        </w:pBdr>
        <w:tabs>
          <w:tab w:val="left" w:pos="-1080"/>
        </w:tabs>
        <w:ind w:firstLine="1440"/>
        <w:rPr>
          <w:color w:val="000000"/>
        </w:rPr>
      </w:pPr>
      <w:r>
        <w:rPr>
          <w:b/>
          <w:bCs/>
          <w:color w:val="000000"/>
        </w:rPr>
        <w:t>(iii)  Capital/Start</w:t>
      </w:r>
      <w:r w:rsidR="00BB16F2">
        <w:rPr>
          <w:b/>
          <w:bCs/>
          <w:color w:val="000000"/>
        </w:rPr>
        <w:t>-</w:t>
      </w:r>
      <w:r>
        <w:rPr>
          <w:b/>
          <w:bCs/>
          <w:color w:val="000000"/>
        </w:rPr>
        <w:t>up</w:t>
      </w:r>
      <w:r w:rsidR="00BB16F2">
        <w:rPr>
          <w:b/>
          <w:bCs/>
          <w:color w:val="000000"/>
        </w:rPr>
        <w:t xml:space="preserve"> </w:t>
      </w:r>
      <w:r>
        <w:rPr>
          <w:b/>
          <w:bCs/>
          <w:color w:val="000000"/>
        </w:rPr>
        <w:t>Operat</w:t>
      </w:r>
      <w:r w:rsidR="00BB16F2">
        <w:rPr>
          <w:b/>
          <w:bCs/>
          <w:color w:val="000000"/>
        </w:rPr>
        <w:t>ing</w:t>
      </w:r>
      <w:r>
        <w:rPr>
          <w:b/>
          <w:bCs/>
          <w:color w:val="000000"/>
        </w:rPr>
        <w:t xml:space="preserve"> and Maintenance (O&amp;M) Costs</w:t>
      </w:r>
    </w:p>
    <w:p w:rsidR="0031726A" w:rsidRDefault="0031726A">
      <w:pPr>
        <w:pBdr>
          <w:top w:val="single" w:sz="6" w:space="0" w:color="FFFFFF"/>
          <w:left w:val="single" w:sz="6" w:space="0" w:color="FFFFFF"/>
          <w:bottom w:val="single" w:sz="6" w:space="0" w:color="FFFFFF"/>
          <w:right w:val="single" w:sz="6" w:space="0" w:color="FFFFFF"/>
        </w:pBdr>
        <w:tabs>
          <w:tab w:val="left" w:pos="-1080"/>
        </w:tabs>
        <w:rPr>
          <w:color w:val="00000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440"/>
        <w:gridCol w:w="1260"/>
        <w:gridCol w:w="1350"/>
        <w:gridCol w:w="1350"/>
        <w:gridCol w:w="1260"/>
        <w:gridCol w:w="1170"/>
      </w:tblGrid>
      <w:tr w:rsidR="0031726A">
        <w:trPr>
          <w:cantSplit/>
          <w:tblHeader/>
          <w:jc w:val="center"/>
        </w:trPr>
        <w:tc>
          <w:tcPr>
            <w:tcW w:w="9360" w:type="dxa"/>
            <w:gridSpan w:val="7"/>
          </w:tcPr>
          <w:p w:rsidR="0031726A" w:rsidRDefault="003C1B9D">
            <w:pPr>
              <w:jc w:val="center"/>
              <w:rPr>
                <w:b/>
              </w:rPr>
            </w:pPr>
            <w:r>
              <w:rPr>
                <w:b/>
              </w:rPr>
              <w:t>Capital/Start</w:t>
            </w:r>
            <w:r w:rsidR="0001081B">
              <w:rPr>
                <w:b/>
              </w:rPr>
              <w:t>-</w:t>
            </w:r>
            <w:r>
              <w:rPr>
                <w:b/>
              </w:rPr>
              <w:t>up vs. Operati</w:t>
            </w:r>
            <w:r w:rsidR="0001081B">
              <w:rPr>
                <w:b/>
              </w:rPr>
              <w:t>ng</w:t>
            </w:r>
            <w:r>
              <w:rPr>
                <w:b/>
              </w:rPr>
              <w:t xml:space="preserve"> and Maintenance (O&amp;M) Costs</w:t>
            </w:r>
          </w:p>
        </w:tc>
      </w:tr>
      <w:tr w:rsidR="0031726A">
        <w:trPr>
          <w:cantSplit/>
          <w:tblHeader/>
          <w:jc w:val="center"/>
        </w:trPr>
        <w:tc>
          <w:tcPr>
            <w:tcW w:w="1530" w:type="dxa"/>
          </w:tcPr>
          <w:p w:rsidR="0031726A" w:rsidRDefault="003C1B9D">
            <w:pPr>
              <w:jc w:val="center"/>
              <w:rPr>
                <w:sz w:val="20"/>
                <w:szCs w:val="20"/>
              </w:rPr>
            </w:pPr>
            <w:r>
              <w:rPr>
                <w:sz w:val="20"/>
                <w:szCs w:val="20"/>
              </w:rPr>
              <w:t>(A)</w:t>
            </w:r>
          </w:p>
          <w:p w:rsidR="0031726A" w:rsidRDefault="003C1B9D">
            <w:pPr>
              <w:jc w:val="center"/>
              <w:rPr>
                <w:sz w:val="20"/>
                <w:szCs w:val="20"/>
              </w:rPr>
            </w:pPr>
            <w:r>
              <w:rPr>
                <w:sz w:val="20"/>
                <w:szCs w:val="20"/>
              </w:rPr>
              <w:t>Continuous Monitoring Device</w:t>
            </w:r>
          </w:p>
        </w:tc>
        <w:tc>
          <w:tcPr>
            <w:tcW w:w="1440" w:type="dxa"/>
          </w:tcPr>
          <w:p w:rsidR="0031726A" w:rsidRDefault="003C1B9D">
            <w:pPr>
              <w:jc w:val="center"/>
              <w:rPr>
                <w:sz w:val="20"/>
                <w:szCs w:val="20"/>
              </w:rPr>
            </w:pPr>
            <w:r>
              <w:rPr>
                <w:sz w:val="20"/>
                <w:szCs w:val="20"/>
              </w:rPr>
              <w:t>(B)</w:t>
            </w:r>
          </w:p>
          <w:p w:rsidR="0031726A" w:rsidRDefault="003C1B9D">
            <w:pPr>
              <w:jc w:val="center"/>
              <w:rPr>
                <w:sz w:val="20"/>
                <w:szCs w:val="20"/>
              </w:rPr>
            </w:pPr>
            <w:r>
              <w:rPr>
                <w:sz w:val="20"/>
                <w:szCs w:val="20"/>
              </w:rPr>
              <w:t>Capital/Startup Cost for One Respondent</w:t>
            </w:r>
          </w:p>
        </w:tc>
        <w:tc>
          <w:tcPr>
            <w:tcW w:w="1260" w:type="dxa"/>
          </w:tcPr>
          <w:p w:rsidR="0031726A" w:rsidRDefault="003C1B9D">
            <w:pPr>
              <w:jc w:val="center"/>
              <w:rPr>
                <w:sz w:val="20"/>
                <w:szCs w:val="20"/>
              </w:rPr>
            </w:pPr>
            <w:r>
              <w:rPr>
                <w:sz w:val="20"/>
                <w:szCs w:val="20"/>
              </w:rPr>
              <w:t>(C)</w:t>
            </w:r>
          </w:p>
          <w:p w:rsidR="0031726A" w:rsidRDefault="003C1B9D">
            <w:pPr>
              <w:jc w:val="center"/>
              <w:rPr>
                <w:sz w:val="20"/>
                <w:szCs w:val="20"/>
              </w:rPr>
            </w:pPr>
            <w:r>
              <w:rPr>
                <w:sz w:val="20"/>
                <w:szCs w:val="20"/>
              </w:rPr>
              <w:t>Number of New Respondents</w:t>
            </w:r>
          </w:p>
        </w:tc>
        <w:tc>
          <w:tcPr>
            <w:tcW w:w="1350" w:type="dxa"/>
          </w:tcPr>
          <w:p w:rsidR="0031726A" w:rsidRDefault="003C1B9D">
            <w:pPr>
              <w:jc w:val="center"/>
              <w:rPr>
                <w:sz w:val="20"/>
                <w:szCs w:val="20"/>
              </w:rPr>
            </w:pPr>
            <w:r>
              <w:rPr>
                <w:sz w:val="20"/>
                <w:szCs w:val="20"/>
              </w:rPr>
              <w:t>(D)</w:t>
            </w:r>
          </w:p>
          <w:p w:rsidR="0031726A" w:rsidRDefault="003C1B9D">
            <w:pPr>
              <w:jc w:val="center"/>
              <w:rPr>
                <w:sz w:val="20"/>
                <w:szCs w:val="20"/>
              </w:rPr>
            </w:pPr>
            <w:r>
              <w:rPr>
                <w:sz w:val="20"/>
                <w:szCs w:val="20"/>
              </w:rPr>
              <w:t>Total Capital/</w:t>
            </w:r>
          </w:p>
          <w:p w:rsidR="0031726A" w:rsidRDefault="003C1B9D">
            <w:pPr>
              <w:jc w:val="center"/>
              <w:rPr>
                <w:sz w:val="20"/>
                <w:szCs w:val="20"/>
              </w:rPr>
            </w:pPr>
            <w:r>
              <w:rPr>
                <w:sz w:val="20"/>
                <w:szCs w:val="20"/>
              </w:rPr>
              <w:t>Startup Cost, (B×C)</w:t>
            </w:r>
          </w:p>
        </w:tc>
        <w:tc>
          <w:tcPr>
            <w:tcW w:w="1350" w:type="dxa"/>
          </w:tcPr>
          <w:p w:rsidR="0031726A" w:rsidRDefault="003C1B9D">
            <w:pPr>
              <w:jc w:val="center"/>
              <w:rPr>
                <w:sz w:val="20"/>
                <w:szCs w:val="20"/>
              </w:rPr>
            </w:pPr>
            <w:r>
              <w:rPr>
                <w:sz w:val="20"/>
                <w:szCs w:val="20"/>
              </w:rPr>
              <w:t>(E)</w:t>
            </w:r>
          </w:p>
          <w:p w:rsidR="0031726A" w:rsidRDefault="003C1B9D">
            <w:pPr>
              <w:jc w:val="center"/>
              <w:rPr>
                <w:sz w:val="20"/>
                <w:szCs w:val="20"/>
              </w:rPr>
            </w:pPr>
            <w:r>
              <w:rPr>
                <w:sz w:val="20"/>
                <w:szCs w:val="20"/>
              </w:rPr>
              <w:t>Annual O&amp;M Costs for One Respondent</w:t>
            </w:r>
          </w:p>
        </w:tc>
        <w:tc>
          <w:tcPr>
            <w:tcW w:w="1260" w:type="dxa"/>
          </w:tcPr>
          <w:p w:rsidR="0031726A" w:rsidRDefault="003C1B9D">
            <w:pPr>
              <w:jc w:val="center"/>
              <w:rPr>
                <w:sz w:val="20"/>
                <w:szCs w:val="20"/>
              </w:rPr>
            </w:pPr>
            <w:r>
              <w:rPr>
                <w:sz w:val="20"/>
                <w:szCs w:val="20"/>
              </w:rPr>
              <w:t>(F)</w:t>
            </w:r>
          </w:p>
          <w:p w:rsidR="0031726A" w:rsidRDefault="003C1B9D">
            <w:pPr>
              <w:jc w:val="center"/>
              <w:rPr>
                <w:sz w:val="20"/>
                <w:szCs w:val="20"/>
              </w:rPr>
            </w:pPr>
            <w:r>
              <w:rPr>
                <w:sz w:val="20"/>
                <w:szCs w:val="20"/>
              </w:rPr>
              <w:t>Number of Respondents with O&amp;M</w:t>
            </w:r>
          </w:p>
        </w:tc>
        <w:tc>
          <w:tcPr>
            <w:tcW w:w="1170" w:type="dxa"/>
          </w:tcPr>
          <w:p w:rsidR="0031726A" w:rsidRDefault="003C1B9D">
            <w:pPr>
              <w:jc w:val="center"/>
              <w:rPr>
                <w:sz w:val="20"/>
                <w:szCs w:val="20"/>
              </w:rPr>
            </w:pPr>
            <w:r>
              <w:rPr>
                <w:sz w:val="20"/>
                <w:szCs w:val="20"/>
              </w:rPr>
              <w:t>(G)</w:t>
            </w:r>
          </w:p>
          <w:p w:rsidR="0031726A" w:rsidRDefault="003C1B9D">
            <w:pPr>
              <w:jc w:val="center"/>
              <w:rPr>
                <w:sz w:val="20"/>
                <w:szCs w:val="20"/>
              </w:rPr>
            </w:pPr>
            <w:r>
              <w:rPr>
                <w:sz w:val="20"/>
                <w:szCs w:val="20"/>
              </w:rPr>
              <w:t>Total O&amp;M,</w:t>
            </w:r>
          </w:p>
          <w:p w:rsidR="0031726A" w:rsidRDefault="003C1B9D">
            <w:pPr>
              <w:jc w:val="center"/>
              <w:rPr>
                <w:sz w:val="20"/>
                <w:szCs w:val="20"/>
              </w:rPr>
            </w:pPr>
            <w:r>
              <w:rPr>
                <w:sz w:val="20"/>
                <w:szCs w:val="20"/>
              </w:rPr>
              <w:t>(E×F)</w:t>
            </w:r>
          </w:p>
        </w:tc>
      </w:tr>
      <w:tr w:rsidR="0031726A">
        <w:trPr>
          <w:cantSplit/>
          <w:jc w:val="center"/>
        </w:trPr>
        <w:tc>
          <w:tcPr>
            <w:tcW w:w="1530" w:type="dxa"/>
          </w:tcPr>
          <w:p w:rsidR="0031726A" w:rsidRDefault="003C1B9D">
            <w:pPr>
              <w:rPr>
                <w:sz w:val="20"/>
                <w:szCs w:val="20"/>
              </w:rPr>
            </w:pPr>
            <w:r>
              <w:rPr>
                <w:sz w:val="20"/>
                <w:szCs w:val="20"/>
              </w:rPr>
              <w:t>Continuous emission monitor (CEM)</w:t>
            </w:r>
          </w:p>
        </w:tc>
        <w:tc>
          <w:tcPr>
            <w:tcW w:w="1440" w:type="dxa"/>
            <w:vAlign w:val="center"/>
          </w:tcPr>
          <w:p w:rsidR="0031726A" w:rsidRDefault="003C1B9D">
            <w:pPr>
              <w:jc w:val="center"/>
              <w:rPr>
                <w:sz w:val="20"/>
                <w:szCs w:val="20"/>
              </w:rPr>
            </w:pPr>
            <w:r>
              <w:rPr>
                <w:sz w:val="20"/>
                <w:szCs w:val="20"/>
              </w:rPr>
              <w:t>$150,000</w:t>
            </w:r>
          </w:p>
        </w:tc>
        <w:tc>
          <w:tcPr>
            <w:tcW w:w="1260" w:type="dxa"/>
            <w:vAlign w:val="center"/>
          </w:tcPr>
          <w:p w:rsidR="0031726A" w:rsidRDefault="003C1B9D">
            <w:pPr>
              <w:jc w:val="center"/>
              <w:rPr>
                <w:sz w:val="20"/>
                <w:szCs w:val="20"/>
              </w:rPr>
            </w:pPr>
            <w:r>
              <w:rPr>
                <w:sz w:val="20"/>
                <w:szCs w:val="20"/>
              </w:rPr>
              <w:t>0</w:t>
            </w:r>
          </w:p>
        </w:tc>
        <w:tc>
          <w:tcPr>
            <w:tcW w:w="1350" w:type="dxa"/>
            <w:vAlign w:val="center"/>
          </w:tcPr>
          <w:p w:rsidR="0031726A" w:rsidRDefault="003C1B9D">
            <w:pPr>
              <w:jc w:val="center"/>
              <w:rPr>
                <w:sz w:val="20"/>
                <w:szCs w:val="20"/>
              </w:rPr>
            </w:pPr>
            <w:r>
              <w:rPr>
                <w:sz w:val="20"/>
                <w:szCs w:val="20"/>
              </w:rPr>
              <w:t>$0</w:t>
            </w:r>
          </w:p>
        </w:tc>
        <w:tc>
          <w:tcPr>
            <w:tcW w:w="1350" w:type="dxa"/>
            <w:vAlign w:val="center"/>
          </w:tcPr>
          <w:p w:rsidR="0031726A" w:rsidRDefault="003C1B9D">
            <w:pPr>
              <w:jc w:val="center"/>
              <w:rPr>
                <w:sz w:val="20"/>
                <w:szCs w:val="20"/>
              </w:rPr>
            </w:pPr>
            <w:r>
              <w:rPr>
                <w:sz w:val="20"/>
                <w:szCs w:val="20"/>
              </w:rPr>
              <w:t>$45,000</w:t>
            </w:r>
          </w:p>
        </w:tc>
        <w:tc>
          <w:tcPr>
            <w:tcW w:w="1260" w:type="dxa"/>
            <w:vAlign w:val="center"/>
          </w:tcPr>
          <w:p w:rsidR="0031726A" w:rsidRDefault="003C1B9D">
            <w:pPr>
              <w:jc w:val="center"/>
              <w:rPr>
                <w:sz w:val="20"/>
                <w:szCs w:val="20"/>
              </w:rPr>
            </w:pPr>
            <w:r>
              <w:rPr>
                <w:sz w:val="20"/>
                <w:szCs w:val="20"/>
              </w:rPr>
              <w:t>28</w:t>
            </w:r>
          </w:p>
        </w:tc>
        <w:tc>
          <w:tcPr>
            <w:tcW w:w="1170" w:type="dxa"/>
            <w:vAlign w:val="center"/>
          </w:tcPr>
          <w:p w:rsidR="0031726A" w:rsidRDefault="003C1B9D">
            <w:pPr>
              <w:jc w:val="center"/>
              <w:rPr>
                <w:sz w:val="20"/>
                <w:szCs w:val="20"/>
              </w:rPr>
            </w:pPr>
            <w:r>
              <w:rPr>
                <w:sz w:val="20"/>
                <w:szCs w:val="20"/>
              </w:rPr>
              <w:t>$1,260,000</w:t>
            </w:r>
          </w:p>
        </w:tc>
      </w:tr>
    </w:tbl>
    <w:p w:rsidR="00665584" w:rsidRDefault="00665584">
      <w:pPr>
        <w:pBdr>
          <w:top w:val="single" w:sz="6" w:space="0" w:color="FFFFFF"/>
          <w:left w:val="single" w:sz="6" w:space="0" w:color="FFFFFF"/>
          <w:bottom w:val="single" w:sz="6" w:space="0" w:color="FFFFFF"/>
          <w:right w:val="single" w:sz="6" w:space="0" w:color="FFFFFF"/>
        </w:pBdr>
        <w:ind w:firstLine="720"/>
        <w:rPr>
          <w:color w:val="000000"/>
        </w:rPr>
      </w:pPr>
    </w:p>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zero.  This is the total of column D in the above table.</w:t>
      </w:r>
    </w:p>
    <w:p w:rsidR="0031726A" w:rsidRDefault="0031726A">
      <w:pPr>
        <w:pBdr>
          <w:top w:val="single" w:sz="6" w:space="0" w:color="FFFFFF"/>
          <w:left w:val="single" w:sz="6" w:space="0" w:color="FFFFFF"/>
          <w:bottom w:val="single" w:sz="6" w:space="0" w:color="FFFFFF"/>
          <w:right w:val="single" w:sz="6" w:space="0" w:color="FFFFFF"/>
        </w:pBdr>
        <w:ind w:firstLine="720"/>
        <w:rPr>
          <w:color w:val="000000"/>
        </w:rPr>
      </w:pPr>
    </w:p>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consists of photocopying, and postage are $1,260,000.  This is the total of column G.</w:t>
      </w:r>
    </w:p>
    <w:p w:rsidR="0031726A" w:rsidRDefault="0031726A">
      <w:pPr>
        <w:rPr>
          <w:color w:val="000000"/>
        </w:rPr>
      </w:pPr>
    </w:p>
    <w:p w:rsidR="00BB16F2" w:rsidRDefault="00BB16F2" w:rsidP="00BB16F2">
      <w:pPr>
        <w:pBdr>
          <w:top w:val="single" w:sz="6" w:space="0" w:color="FFFFFF"/>
          <w:left w:val="single" w:sz="6" w:space="0" w:color="FFFFFF"/>
          <w:bottom w:val="single" w:sz="6" w:space="0" w:color="FFFFFF"/>
          <w:right w:val="single" w:sz="6" w:space="0" w:color="FFFFFF"/>
        </w:pBdr>
        <w:tabs>
          <w:tab w:val="left" w:pos="-1080"/>
        </w:tabs>
        <w:ind w:firstLine="1440"/>
        <w:rPr>
          <w:color w:val="000000"/>
        </w:rPr>
      </w:pPr>
      <w:r>
        <w:rPr>
          <w:b/>
          <w:bCs/>
          <w:color w:val="000000"/>
        </w:rPr>
        <w:t>(iv) Annualizing Capital Costs</w:t>
      </w:r>
    </w:p>
    <w:p w:rsidR="00BB16F2" w:rsidRDefault="00BB16F2">
      <w:pPr>
        <w:rPr>
          <w:color w:val="000000"/>
        </w:rPr>
      </w:pPr>
    </w:p>
    <w:p w:rsidR="0031726A" w:rsidRDefault="003C1B9D">
      <w:pPr>
        <w:ind w:firstLine="720"/>
        <w:rPr>
          <w:color w:val="000000"/>
        </w:rPr>
      </w:pPr>
      <w:r>
        <w:rPr>
          <w:color w:val="000000"/>
        </w:rPr>
        <w:t>The average annual cost for capital/startup and operation and maintenance costs to industry over the next three years of the ICR is estimated to be $1,260,000.</w:t>
      </w:r>
    </w:p>
    <w:p w:rsidR="0031726A" w:rsidRDefault="0031726A">
      <w:pPr>
        <w:ind w:firstLine="720"/>
        <w:rPr>
          <w:b/>
          <w:bCs/>
        </w:rPr>
      </w:pPr>
    </w:p>
    <w:p w:rsidR="0031726A" w:rsidRDefault="003C1B9D">
      <w:pPr>
        <w:ind w:firstLine="720"/>
      </w:pPr>
      <w:r>
        <w:rPr>
          <w:b/>
          <w:bCs/>
        </w:rPr>
        <w:t>6(c)  Estimating Agency Burden and Cost</w:t>
      </w:r>
    </w:p>
    <w:p w:rsidR="0031726A" w:rsidRDefault="0031726A"/>
    <w:p w:rsidR="0031726A" w:rsidRDefault="003C1B9D">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only costs to the Agency are those costs associated with analysis of the reported information.  The EPA compliance and enforcement program includes activities such as: the examination of records maintained by the respondents, periodic inspection of sources of emissions, and the publication and distribution of collected information.</w:t>
      </w:r>
    </w:p>
    <w:p w:rsidR="0031726A" w:rsidRDefault="0031726A">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31726A" w:rsidRDefault="003C1B9D">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average annual Agency cost during the three years of the ICR is estimated to be $127,696.</w:t>
      </w:r>
    </w:p>
    <w:p w:rsidR="0031726A" w:rsidRDefault="0031726A">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31726A" w:rsidRDefault="003C1B9D">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This cost is based on the average hourly labor rate as follows:</w:t>
      </w:r>
    </w:p>
    <w:p w:rsidR="0031726A" w:rsidRDefault="0031726A">
      <w:pPr>
        <w:pBdr>
          <w:top w:val="single" w:sz="6" w:space="0" w:color="FFFFFF"/>
          <w:left w:val="single" w:sz="6" w:space="0" w:color="FFFFFF"/>
          <w:bottom w:val="single" w:sz="6" w:space="0" w:color="FFFFFF"/>
          <w:right w:val="single" w:sz="6" w:space="0" w:color="FFFFFF"/>
        </w:pBdr>
        <w:tabs>
          <w:tab w:val="left" w:pos="-1080"/>
        </w:tabs>
        <w:ind w:left="720"/>
        <w:rPr>
          <w:color w:val="000000"/>
        </w:rPr>
      </w:pPr>
    </w:p>
    <w:p w:rsidR="0031726A" w:rsidRDefault="003C1B9D">
      <w:pPr>
        <w:tabs>
          <w:tab w:val="left" w:pos="-1440"/>
        </w:tabs>
        <w:ind w:left="2880" w:hanging="1440"/>
      </w:pPr>
      <w:r>
        <w:t>Managerial</w:t>
      </w:r>
      <w:r>
        <w:tab/>
        <w:t>$62.27   (GS-13, Step 5, $38.92 + 60%)</w:t>
      </w:r>
    </w:p>
    <w:p w:rsidR="0031726A" w:rsidRDefault="003C1B9D">
      <w:pPr>
        <w:tabs>
          <w:tab w:val="left" w:pos="-1440"/>
        </w:tabs>
        <w:ind w:left="2880" w:hanging="1440"/>
      </w:pPr>
      <w:r>
        <w:t>Technical</w:t>
      </w:r>
      <w:r>
        <w:tab/>
        <w:t xml:space="preserve">$46.21   (GS-12, Step 1, $28.88+ 60%) </w:t>
      </w:r>
    </w:p>
    <w:p w:rsidR="0031726A" w:rsidRDefault="003C1B9D">
      <w:pPr>
        <w:tabs>
          <w:tab w:val="left" w:pos="-1440"/>
        </w:tabs>
        <w:ind w:left="2880" w:hanging="1440"/>
      </w:pPr>
      <w:r>
        <w:lastRenderedPageBreak/>
        <w:t>Clerical</w:t>
      </w:r>
      <w:r>
        <w:tab/>
        <w:t>$25.01   (GS-6, Step 3, $15.63 + 60%)</w:t>
      </w:r>
    </w:p>
    <w:p w:rsidR="0031726A" w:rsidRDefault="0031726A">
      <w:pPr>
        <w:pBdr>
          <w:top w:val="single" w:sz="6" w:space="0" w:color="FFFFFF"/>
          <w:left w:val="single" w:sz="6" w:space="0" w:color="FFFFFF"/>
          <w:bottom w:val="single" w:sz="6" w:space="0" w:color="FFFFFF"/>
          <w:right w:val="single" w:sz="6" w:space="0" w:color="FFFFFF"/>
        </w:pBdr>
        <w:tabs>
          <w:tab w:val="left" w:pos="-1080"/>
        </w:tabs>
        <w:rPr>
          <w:color w:val="000000"/>
        </w:rPr>
      </w:pPr>
    </w:p>
    <w:p w:rsidR="0031726A" w:rsidRDefault="003C1B9D">
      <w:pPr>
        <w:pBdr>
          <w:top w:val="single" w:sz="6" w:space="0" w:color="FFFFFF"/>
          <w:left w:val="single" w:sz="6" w:space="8" w:color="FFFFFF"/>
          <w:bottom w:val="single" w:sz="6" w:space="0" w:color="FFFFFF"/>
          <w:right w:val="single" w:sz="6" w:space="0" w:color="FFFFFF"/>
        </w:pBdr>
      </w:pPr>
      <w:r>
        <w:t>These rates are from the Office of Personnel Management (OPM) “2010 General Schedule,” which excludes locality rates of pay.  Details upon which this estimate is based appear in Table 2. Annual Agency Burden and Cost, NESHAP for Vinyl Chloride (40 CFR Part 61, Subpart F) (Renewal)..</w:t>
      </w:r>
    </w:p>
    <w:p w:rsidR="0031726A" w:rsidRDefault="0031726A">
      <w:pPr>
        <w:ind w:firstLine="720"/>
        <w:rPr>
          <w:b/>
          <w:bCs/>
        </w:rPr>
      </w:pPr>
    </w:p>
    <w:p w:rsidR="0031726A" w:rsidRDefault="003C1B9D">
      <w:pPr>
        <w:ind w:firstLine="720"/>
      </w:pPr>
      <w:r>
        <w:rPr>
          <w:b/>
          <w:bCs/>
        </w:rPr>
        <w:t>6(d)  Estimating the Respondent Universe and Total Burden and Costs</w:t>
      </w:r>
    </w:p>
    <w:p w:rsidR="0031726A" w:rsidRDefault="0031726A"/>
    <w:p w:rsidR="0031726A" w:rsidRDefault="003C1B9D">
      <w:pPr>
        <w:ind w:firstLine="720"/>
        <w:rPr>
          <w:color w:val="000000"/>
        </w:rPr>
      </w:pPr>
      <w:r>
        <w:rPr>
          <w:color w:val="000000"/>
        </w:rPr>
        <w:t xml:space="preserve">Based on our research for this ICR, on average over the next three years, approximately 28 respondents will be subject to the standard.  It is estimated that no additional sources per year will become subject.  The overall average number of respondents, as shown in the table below is 28 per year. </w:t>
      </w:r>
    </w:p>
    <w:p w:rsidR="0031726A" w:rsidRDefault="0031726A"/>
    <w:p w:rsidR="0031726A" w:rsidRDefault="003C1B9D">
      <w:pPr>
        <w:ind w:firstLine="720"/>
        <w:rPr>
          <w:color w:val="000000"/>
        </w:rPr>
      </w:pPr>
      <w:r>
        <w:rPr>
          <w:color w:val="000000"/>
        </w:rPr>
        <w:t>The number of respondents is calculated using the following table which addresses the three years covered by this ICR.</w:t>
      </w:r>
    </w:p>
    <w:p w:rsidR="0031726A" w:rsidRDefault="0031726A"/>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0" w:type="dxa"/>
          <w:right w:w="110" w:type="dxa"/>
        </w:tblCellMar>
        <w:tblLook w:val="0000"/>
      </w:tblPr>
      <w:tblGrid>
        <w:gridCol w:w="1092"/>
        <w:gridCol w:w="1472"/>
        <w:gridCol w:w="1288"/>
        <w:gridCol w:w="2024"/>
        <w:gridCol w:w="1932"/>
        <w:gridCol w:w="1552"/>
      </w:tblGrid>
      <w:tr w:rsidR="0031726A">
        <w:trPr>
          <w:cantSplit/>
          <w:tblHeader/>
          <w:jc w:val="center"/>
        </w:trPr>
        <w:tc>
          <w:tcPr>
            <w:tcW w:w="9157" w:type="dxa"/>
            <w:gridSpan w:val="6"/>
          </w:tcPr>
          <w:p w:rsidR="0031726A" w:rsidRDefault="003C1B9D">
            <w:pPr>
              <w:jc w:val="center"/>
              <w:rPr>
                <w:b/>
              </w:rPr>
            </w:pPr>
            <w:r>
              <w:rPr>
                <w:b/>
              </w:rPr>
              <w:t>Number of Respondents</w:t>
            </w:r>
          </w:p>
        </w:tc>
      </w:tr>
      <w:tr w:rsidR="0031726A">
        <w:trPr>
          <w:cantSplit/>
          <w:tblHeader/>
          <w:jc w:val="center"/>
        </w:trPr>
        <w:tc>
          <w:tcPr>
            <w:tcW w:w="1069" w:type="dxa"/>
          </w:tcPr>
          <w:p w:rsidR="0031726A" w:rsidRDefault="003C1B9D">
            <w:pPr>
              <w:jc w:val="center"/>
              <w:rPr>
                <w:sz w:val="20"/>
                <w:szCs w:val="20"/>
              </w:rPr>
            </w:pPr>
            <w:r>
              <w:rPr>
                <w:sz w:val="20"/>
                <w:szCs w:val="20"/>
              </w:rPr>
              <w:t>Year</w:t>
            </w:r>
          </w:p>
        </w:tc>
        <w:tc>
          <w:tcPr>
            <w:tcW w:w="1440" w:type="dxa"/>
          </w:tcPr>
          <w:p w:rsidR="0031726A" w:rsidRDefault="003C1B9D">
            <w:pPr>
              <w:jc w:val="center"/>
              <w:rPr>
                <w:sz w:val="20"/>
                <w:szCs w:val="20"/>
              </w:rPr>
            </w:pPr>
            <w:r>
              <w:rPr>
                <w:sz w:val="20"/>
                <w:szCs w:val="20"/>
              </w:rPr>
              <w:t>(A)</w:t>
            </w:r>
          </w:p>
          <w:p w:rsidR="0031726A" w:rsidRDefault="003C1B9D">
            <w:pPr>
              <w:jc w:val="center"/>
              <w:rPr>
                <w:sz w:val="20"/>
                <w:szCs w:val="20"/>
              </w:rPr>
            </w:pPr>
            <w:r>
              <w:rPr>
                <w:sz w:val="20"/>
                <w:szCs w:val="20"/>
              </w:rPr>
              <w:t xml:space="preserve">Number of New Respondents </w:t>
            </w:r>
            <w:r>
              <w:rPr>
                <w:sz w:val="20"/>
                <w:szCs w:val="20"/>
                <w:vertAlign w:val="superscript"/>
              </w:rPr>
              <w:t>a</w:t>
            </w:r>
          </w:p>
        </w:tc>
        <w:tc>
          <w:tcPr>
            <w:tcW w:w="1260" w:type="dxa"/>
          </w:tcPr>
          <w:p w:rsidR="0031726A" w:rsidRDefault="003C1B9D">
            <w:pPr>
              <w:jc w:val="center"/>
              <w:rPr>
                <w:sz w:val="20"/>
                <w:szCs w:val="20"/>
              </w:rPr>
            </w:pPr>
            <w:r>
              <w:rPr>
                <w:sz w:val="20"/>
                <w:szCs w:val="20"/>
              </w:rPr>
              <w:t>(B)</w:t>
            </w:r>
          </w:p>
          <w:p w:rsidR="0031726A" w:rsidRDefault="003C1B9D">
            <w:pPr>
              <w:jc w:val="center"/>
              <w:rPr>
                <w:sz w:val="20"/>
                <w:szCs w:val="20"/>
              </w:rPr>
            </w:pPr>
            <w:r>
              <w:rPr>
                <w:sz w:val="20"/>
                <w:szCs w:val="20"/>
              </w:rPr>
              <w:t>Number of Existing Respondents</w:t>
            </w:r>
          </w:p>
        </w:tc>
        <w:tc>
          <w:tcPr>
            <w:tcW w:w="1980" w:type="dxa"/>
          </w:tcPr>
          <w:p w:rsidR="0031726A" w:rsidRDefault="003C1B9D">
            <w:pPr>
              <w:jc w:val="center"/>
              <w:rPr>
                <w:sz w:val="20"/>
                <w:szCs w:val="20"/>
              </w:rPr>
            </w:pPr>
            <w:r>
              <w:rPr>
                <w:sz w:val="20"/>
                <w:szCs w:val="20"/>
              </w:rPr>
              <w:t>(C)</w:t>
            </w:r>
          </w:p>
          <w:p w:rsidR="0031726A" w:rsidRDefault="003C1B9D">
            <w:pPr>
              <w:jc w:val="center"/>
              <w:rPr>
                <w:sz w:val="20"/>
                <w:szCs w:val="20"/>
              </w:rPr>
            </w:pPr>
            <w:r>
              <w:rPr>
                <w:sz w:val="20"/>
                <w:szCs w:val="20"/>
              </w:rPr>
              <w:t>Number of Existing Respondents That Keep Records But Do Not Submit Reports</w:t>
            </w:r>
          </w:p>
        </w:tc>
        <w:tc>
          <w:tcPr>
            <w:tcW w:w="1890" w:type="dxa"/>
          </w:tcPr>
          <w:p w:rsidR="0031726A" w:rsidRDefault="003C1B9D">
            <w:pPr>
              <w:jc w:val="center"/>
              <w:rPr>
                <w:sz w:val="20"/>
                <w:szCs w:val="20"/>
              </w:rPr>
            </w:pPr>
            <w:r>
              <w:rPr>
                <w:sz w:val="20"/>
                <w:szCs w:val="20"/>
              </w:rPr>
              <w:t>(D)</w:t>
            </w:r>
          </w:p>
          <w:p w:rsidR="0031726A" w:rsidRDefault="003C1B9D">
            <w:pPr>
              <w:jc w:val="center"/>
              <w:rPr>
                <w:sz w:val="20"/>
                <w:szCs w:val="20"/>
              </w:rPr>
            </w:pPr>
            <w:r>
              <w:rPr>
                <w:sz w:val="20"/>
                <w:szCs w:val="20"/>
              </w:rPr>
              <w:t>Number of Existing Respondents That Are Also New Respondents</w:t>
            </w:r>
          </w:p>
        </w:tc>
        <w:tc>
          <w:tcPr>
            <w:tcW w:w="1518" w:type="dxa"/>
          </w:tcPr>
          <w:p w:rsidR="0031726A" w:rsidRDefault="003C1B9D">
            <w:pPr>
              <w:jc w:val="center"/>
              <w:rPr>
                <w:sz w:val="20"/>
                <w:szCs w:val="20"/>
              </w:rPr>
            </w:pPr>
            <w:r>
              <w:rPr>
                <w:sz w:val="20"/>
                <w:szCs w:val="20"/>
              </w:rPr>
              <w:t>(E)</w:t>
            </w:r>
          </w:p>
          <w:p w:rsidR="0031726A" w:rsidRDefault="003C1B9D">
            <w:pPr>
              <w:jc w:val="center"/>
              <w:rPr>
                <w:sz w:val="20"/>
                <w:szCs w:val="20"/>
              </w:rPr>
            </w:pPr>
            <w:r>
              <w:rPr>
                <w:sz w:val="20"/>
                <w:szCs w:val="20"/>
              </w:rPr>
              <w:t>Number of Respondents</w:t>
            </w:r>
          </w:p>
          <w:p w:rsidR="0031726A" w:rsidRDefault="003C1B9D">
            <w:pPr>
              <w:jc w:val="center"/>
              <w:rPr>
                <w:sz w:val="20"/>
                <w:szCs w:val="20"/>
              </w:rPr>
            </w:pPr>
            <w:r>
              <w:rPr>
                <w:sz w:val="20"/>
                <w:szCs w:val="20"/>
              </w:rPr>
              <w:t>(E=A+B+C-D)</w:t>
            </w:r>
          </w:p>
        </w:tc>
      </w:tr>
      <w:tr w:rsidR="0031726A">
        <w:trPr>
          <w:cantSplit/>
          <w:jc w:val="center"/>
        </w:trPr>
        <w:tc>
          <w:tcPr>
            <w:tcW w:w="1069" w:type="dxa"/>
          </w:tcPr>
          <w:p w:rsidR="0031726A" w:rsidRDefault="003C1B9D">
            <w:pPr>
              <w:jc w:val="center"/>
              <w:rPr>
                <w:sz w:val="20"/>
                <w:szCs w:val="20"/>
              </w:rPr>
            </w:pPr>
            <w:r>
              <w:rPr>
                <w:sz w:val="20"/>
                <w:szCs w:val="20"/>
              </w:rPr>
              <w:t>1</w:t>
            </w:r>
          </w:p>
        </w:tc>
        <w:tc>
          <w:tcPr>
            <w:tcW w:w="1440" w:type="dxa"/>
          </w:tcPr>
          <w:p w:rsidR="0031726A" w:rsidRDefault="003C1B9D">
            <w:pPr>
              <w:jc w:val="center"/>
              <w:rPr>
                <w:sz w:val="20"/>
                <w:szCs w:val="20"/>
              </w:rPr>
            </w:pPr>
            <w:r>
              <w:rPr>
                <w:sz w:val="20"/>
                <w:szCs w:val="20"/>
              </w:rPr>
              <w:t>0</w:t>
            </w:r>
          </w:p>
        </w:tc>
        <w:tc>
          <w:tcPr>
            <w:tcW w:w="1260" w:type="dxa"/>
          </w:tcPr>
          <w:p w:rsidR="0031726A" w:rsidRDefault="003C1B9D">
            <w:pPr>
              <w:jc w:val="center"/>
              <w:rPr>
                <w:sz w:val="20"/>
                <w:szCs w:val="20"/>
              </w:rPr>
            </w:pPr>
            <w:r>
              <w:rPr>
                <w:sz w:val="20"/>
                <w:szCs w:val="20"/>
              </w:rPr>
              <w:t>28</w:t>
            </w:r>
          </w:p>
        </w:tc>
        <w:tc>
          <w:tcPr>
            <w:tcW w:w="1980" w:type="dxa"/>
          </w:tcPr>
          <w:p w:rsidR="0031726A" w:rsidRDefault="003C1B9D">
            <w:pPr>
              <w:jc w:val="center"/>
              <w:rPr>
                <w:sz w:val="20"/>
                <w:szCs w:val="20"/>
              </w:rPr>
            </w:pPr>
            <w:r>
              <w:rPr>
                <w:sz w:val="20"/>
                <w:szCs w:val="20"/>
              </w:rPr>
              <w:t>0</w:t>
            </w:r>
          </w:p>
        </w:tc>
        <w:tc>
          <w:tcPr>
            <w:tcW w:w="1890" w:type="dxa"/>
          </w:tcPr>
          <w:p w:rsidR="0031726A" w:rsidRDefault="003C1B9D">
            <w:pPr>
              <w:jc w:val="center"/>
              <w:rPr>
                <w:sz w:val="20"/>
                <w:szCs w:val="20"/>
              </w:rPr>
            </w:pPr>
            <w:r>
              <w:rPr>
                <w:sz w:val="20"/>
                <w:szCs w:val="20"/>
              </w:rPr>
              <w:t>0</w:t>
            </w:r>
          </w:p>
        </w:tc>
        <w:tc>
          <w:tcPr>
            <w:tcW w:w="1518" w:type="dxa"/>
          </w:tcPr>
          <w:p w:rsidR="0031726A" w:rsidRDefault="003C1B9D">
            <w:pPr>
              <w:jc w:val="center"/>
              <w:rPr>
                <w:sz w:val="20"/>
                <w:szCs w:val="20"/>
              </w:rPr>
            </w:pPr>
            <w:r>
              <w:rPr>
                <w:sz w:val="20"/>
                <w:szCs w:val="20"/>
              </w:rPr>
              <w:t>28</w:t>
            </w:r>
          </w:p>
        </w:tc>
      </w:tr>
      <w:tr w:rsidR="0031726A">
        <w:trPr>
          <w:cantSplit/>
          <w:jc w:val="center"/>
        </w:trPr>
        <w:tc>
          <w:tcPr>
            <w:tcW w:w="1069" w:type="dxa"/>
          </w:tcPr>
          <w:p w:rsidR="0031726A" w:rsidRDefault="003C1B9D">
            <w:pPr>
              <w:jc w:val="center"/>
              <w:rPr>
                <w:sz w:val="20"/>
                <w:szCs w:val="20"/>
              </w:rPr>
            </w:pPr>
            <w:r>
              <w:rPr>
                <w:sz w:val="20"/>
                <w:szCs w:val="20"/>
              </w:rPr>
              <w:t>2</w:t>
            </w:r>
          </w:p>
        </w:tc>
        <w:tc>
          <w:tcPr>
            <w:tcW w:w="1440" w:type="dxa"/>
          </w:tcPr>
          <w:p w:rsidR="0031726A" w:rsidRDefault="003C1B9D">
            <w:pPr>
              <w:jc w:val="center"/>
              <w:rPr>
                <w:sz w:val="20"/>
                <w:szCs w:val="20"/>
              </w:rPr>
            </w:pPr>
            <w:r>
              <w:rPr>
                <w:sz w:val="20"/>
                <w:szCs w:val="20"/>
              </w:rPr>
              <w:t>0</w:t>
            </w:r>
          </w:p>
        </w:tc>
        <w:tc>
          <w:tcPr>
            <w:tcW w:w="1260" w:type="dxa"/>
          </w:tcPr>
          <w:p w:rsidR="0031726A" w:rsidRDefault="003C1B9D">
            <w:pPr>
              <w:jc w:val="center"/>
              <w:rPr>
                <w:sz w:val="20"/>
                <w:szCs w:val="20"/>
              </w:rPr>
            </w:pPr>
            <w:r>
              <w:rPr>
                <w:sz w:val="20"/>
                <w:szCs w:val="20"/>
              </w:rPr>
              <w:t>28</w:t>
            </w:r>
          </w:p>
        </w:tc>
        <w:tc>
          <w:tcPr>
            <w:tcW w:w="1980" w:type="dxa"/>
          </w:tcPr>
          <w:p w:rsidR="0031726A" w:rsidRDefault="003C1B9D">
            <w:pPr>
              <w:jc w:val="center"/>
              <w:rPr>
                <w:sz w:val="20"/>
                <w:szCs w:val="20"/>
              </w:rPr>
            </w:pPr>
            <w:r>
              <w:rPr>
                <w:sz w:val="20"/>
                <w:szCs w:val="20"/>
              </w:rPr>
              <w:t>0</w:t>
            </w:r>
          </w:p>
        </w:tc>
        <w:tc>
          <w:tcPr>
            <w:tcW w:w="1890" w:type="dxa"/>
          </w:tcPr>
          <w:p w:rsidR="0031726A" w:rsidRDefault="003C1B9D">
            <w:pPr>
              <w:jc w:val="center"/>
              <w:rPr>
                <w:sz w:val="20"/>
                <w:szCs w:val="20"/>
              </w:rPr>
            </w:pPr>
            <w:r>
              <w:rPr>
                <w:sz w:val="20"/>
                <w:szCs w:val="20"/>
              </w:rPr>
              <w:t>0</w:t>
            </w:r>
          </w:p>
        </w:tc>
        <w:tc>
          <w:tcPr>
            <w:tcW w:w="1518" w:type="dxa"/>
          </w:tcPr>
          <w:p w:rsidR="0031726A" w:rsidRDefault="003C1B9D">
            <w:pPr>
              <w:jc w:val="center"/>
              <w:rPr>
                <w:sz w:val="20"/>
                <w:szCs w:val="20"/>
              </w:rPr>
            </w:pPr>
            <w:r>
              <w:rPr>
                <w:sz w:val="20"/>
                <w:szCs w:val="20"/>
              </w:rPr>
              <w:t>28</w:t>
            </w:r>
          </w:p>
        </w:tc>
      </w:tr>
      <w:tr w:rsidR="0031726A">
        <w:trPr>
          <w:cantSplit/>
          <w:jc w:val="center"/>
        </w:trPr>
        <w:tc>
          <w:tcPr>
            <w:tcW w:w="1069" w:type="dxa"/>
          </w:tcPr>
          <w:p w:rsidR="0031726A" w:rsidRDefault="003C1B9D">
            <w:pPr>
              <w:jc w:val="center"/>
              <w:rPr>
                <w:sz w:val="20"/>
                <w:szCs w:val="20"/>
              </w:rPr>
            </w:pPr>
            <w:r>
              <w:rPr>
                <w:sz w:val="20"/>
                <w:szCs w:val="20"/>
              </w:rPr>
              <w:t>3</w:t>
            </w:r>
          </w:p>
        </w:tc>
        <w:tc>
          <w:tcPr>
            <w:tcW w:w="1440" w:type="dxa"/>
          </w:tcPr>
          <w:p w:rsidR="0031726A" w:rsidRDefault="003C1B9D">
            <w:pPr>
              <w:jc w:val="center"/>
              <w:rPr>
                <w:sz w:val="20"/>
                <w:szCs w:val="20"/>
              </w:rPr>
            </w:pPr>
            <w:r>
              <w:rPr>
                <w:sz w:val="20"/>
                <w:szCs w:val="20"/>
              </w:rPr>
              <w:t>0</w:t>
            </w:r>
          </w:p>
        </w:tc>
        <w:tc>
          <w:tcPr>
            <w:tcW w:w="1260" w:type="dxa"/>
          </w:tcPr>
          <w:p w:rsidR="0031726A" w:rsidRDefault="003C1B9D">
            <w:pPr>
              <w:jc w:val="center"/>
              <w:rPr>
                <w:sz w:val="20"/>
                <w:szCs w:val="20"/>
              </w:rPr>
            </w:pPr>
            <w:r>
              <w:rPr>
                <w:sz w:val="20"/>
                <w:szCs w:val="20"/>
              </w:rPr>
              <w:t>28</w:t>
            </w:r>
          </w:p>
        </w:tc>
        <w:tc>
          <w:tcPr>
            <w:tcW w:w="1980" w:type="dxa"/>
          </w:tcPr>
          <w:p w:rsidR="0031726A" w:rsidRDefault="003C1B9D">
            <w:pPr>
              <w:jc w:val="center"/>
              <w:rPr>
                <w:sz w:val="20"/>
                <w:szCs w:val="20"/>
              </w:rPr>
            </w:pPr>
            <w:r>
              <w:rPr>
                <w:sz w:val="20"/>
                <w:szCs w:val="20"/>
              </w:rPr>
              <w:t>0</w:t>
            </w:r>
          </w:p>
        </w:tc>
        <w:tc>
          <w:tcPr>
            <w:tcW w:w="1890" w:type="dxa"/>
          </w:tcPr>
          <w:p w:rsidR="0031726A" w:rsidRDefault="003C1B9D">
            <w:pPr>
              <w:jc w:val="center"/>
              <w:rPr>
                <w:sz w:val="20"/>
                <w:szCs w:val="20"/>
              </w:rPr>
            </w:pPr>
            <w:r>
              <w:rPr>
                <w:sz w:val="20"/>
                <w:szCs w:val="20"/>
              </w:rPr>
              <w:t>0</w:t>
            </w:r>
          </w:p>
        </w:tc>
        <w:tc>
          <w:tcPr>
            <w:tcW w:w="1518" w:type="dxa"/>
          </w:tcPr>
          <w:p w:rsidR="0031726A" w:rsidRDefault="003C1B9D">
            <w:pPr>
              <w:jc w:val="center"/>
              <w:rPr>
                <w:sz w:val="20"/>
                <w:szCs w:val="20"/>
              </w:rPr>
            </w:pPr>
            <w:r>
              <w:rPr>
                <w:sz w:val="20"/>
                <w:szCs w:val="20"/>
              </w:rPr>
              <w:t>28</w:t>
            </w:r>
          </w:p>
        </w:tc>
      </w:tr>
      <w:tr w:rsidR="0031726A">
        <w:trPr>
          <w:cantSplit/>
          <w:jc w:val="center"/>
        </w:trPr>
        <w:tc>
          <w:tcPr>
            <w:tcW w:w="1069" w:type="dxa"/>
          </w:tcPr>
          <w:p w:rsidR="0031726A" w:rsidRDefault="003C1B9D">
            <w:pPr>
              <w:jc w:val="center"/>
              <w:rPr>
                <w:sz w:val="20"/>
                <w:szCs w:val="20"/>
              </w:rPr>
            </w:pPr>
            <w:r>
              <w:rPr>
                <w:sz w:val="20"/>
                <w:szCs w:val="20"/>
              </w:rPr>
              <w:t>Average</w:t>
            </w:r>
          </w:p>
        </w:tc>
        <w:tc>
          <w:tcPr>
            <w:tcW w:w="1440" w:type="dxa"/>
          </w:tcPr>
          <w:p w:rsidR="0031726A" w:rsidRDefault="003C1B9D">
            <w:pPr>
              <w:jc w:val="center"/>
              <w:rPr>
                <w:sz w:val="20"/>
                <w:szCs w:val="20"/>
              </w:rPr>
            </w:pPr>
            <w:r>
              <w:rPr>
                <w:sz w:val="20"/>
                <w:szCs w:val="20"/>
              </w:rPr>
              <w:t>0</w:t>
            </w:r>
          </w:p>
        </w:tc>
        <w:tc>
          <w:tcPr>
            <w:tcW w:w="1260" w:type="dxa"/>
          </w:tcPr>
          <w:p w:rsidR="0031726A" w:rsidRDefault="003C1B9D">
            <w:pPr>
              <w:jc w:val="center"/>
              <w:rPr>
                <w:sz w:val="20"/>
                <w:szCs w:val="20"/>
              </w:rPr>
            </w:pPr>
            <w:r>
              <w:rPr>
                <w:sz w:val="20"/>
                <w:szCs w:val="20"/>
              </w:rPr>
              <w:t>28</w:t>
            </w:r>
          </w:p>
        </w:tc>
        <w:tc>
          <w:tcPr>
            <w:tcW w:w="1980" w:type="dxa"/>
          </w:tcPr>
          <w:p w:rsidR="0031726A" w:rsidRDefault="003C1B9D">
            <w:pPr>
              <w:jc w:val="center"/>
              <w:rPr>
                <w:sz w:val="20"/>
                <w:szCs w:val="20"/>
              </w:rPr>
            </w:pPr>
            <w:r>
              <w:rPr>
                <w:sz w:val="20"/>
                <w:szCs w:val="20"/>
              </w:rPr>
              <w:t>0</w:t>
            </w:r>
          </w:p>
        </w:tc>
        <w:tc>
          <w:tcPr>
            <w:tcW w:w="1890" w:type="dxa"/>
          </w:tcPr>
          <w:p w:rsidR="0031726A" w:rsidRDefault="003C1B9D">
            <w:pPr>
              <w:jc w:val="center"/>
              <w:rPr>
                <w:sz w:val="20"/>
                <w:szCs w:val="20"/>
              </w:rPr>
            </w:pPr>
            <w:r>
              <w:rPr>
                <w:sz w:val="20"/>
                <w:szCs w:val="20"/>
              </w:rPr>
              <w:t>0</w:t>
            </w:r>
          </w:p>
        </w:tc>
        <w:tc>
          <w:tcPr>
            <w:tcW w:w="1518" w:type="dxa"/>
          </w:tcPr>
          <w:p w:rsidR="0031726A" w:rsidRDefault="003C1B9D">
            <w:pPr>
              <w:jc w:val="center"/>
              <w:rPr>
                <w:sz w:val="20"/>
                <w:szCs w:val="20"/>
              </w:rPr>
            </w:pPr>
            <w:r>
              <w:rPr>
                <w:sz w:val="20"/>
                <w:szCs w:val="20"/>
              </w:rPr>
              <w:t>28</w:t>
            </w:r>
          </w:p>
        </w:tc>
      </w:tr>
    </w:tbl>
    <w:p w:rsidR="0031726A" w:rsidRDefault="003C1B9D">
      <w:pPr>
        <w:rPr>
          <w:sz w:val="20"/>
          <w:szCs w:val="20"/>
        </w:rPr>
      </w:pPr>
      <w:r>
        <w:rPr>
          <w:sz w:val="20"/>
          <w:szCs w:val="20"/>
          <w:vertAlign w:val="superscript"/>
        </w:rPr>
        <w:t>a</w:t>
      </w:r>
      <w:r>
        <w:rPr>
          <w:sz w:val="20"/>
          <w:szCs w:val="20"/>
        </w:rPr>
        <w:t xml:space="preserve"> New respondent include sources with constructed, reconstructed and modified affected facilities.</w:t>
      </w:r>
    </w:p>
    <w:p w:rsidR="0031726A" w:rsidRDefault="0031726A">
      <w:pPr>
        <w:ind w:firstLine="720"/>
      </w:pPr>
    </w:p>
    <w:p w:rsidR="0031726A" w:rsidRDefault="003C1B9D">
      <w:pPr>
        <w:ind w:firstLine="720"/>
      </w:pPr>
      <w:r>
        <w:t>To avoid double-counting respondents, column D is subtracted.  As shown above, the average Number of Respondents over the three-year period of this ICR is 28.</w:t>
      </w:r>
    </w:p>
    <w:p w:rsidR="0031726A" w:rsidRDefault="0031726A">
      <w:pPr>
        <w:ind w:firstLine="720"/>
      </w:pPr>
    </w:p>
    <w:p w:rsidR="0031726A" w:rsidRDefault="003C1B9D">
      <w:pPr>
        <w:ind w:firstLine="720"/>
      </w:pPr>
      <w:r>
        <w:t>The total number of annual responses per year is calculated using the following table:</w:t>
      </w:r>
    </w:p>
    <w:p w:rsidR="0031726A" w:rsidRDefault="0031726A"/>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1" w:type="dxa"/>
          <w:right w:w="111" w:type="dxa"/>
        </w:tblCellMar>
        <w:tblLook w:val="0000"/>
      </w:tblPr>
      <w:tblGrid>
        <w:gridCol w:w="3960"/>
        <w:gridCol w:w="1260"/>
        <w:gridCol w:w="1170"/>
        <w:gridCol w:w="1710"/>
        <w:gridCol w:w="1260"/>
      </w:tblGrid>
      <w:tr w:rsidR="0031726A">
        <w:trPr>
          <w:cantSplit/>
          <w:tblHeader/>
          <w:jc w:val="center"/>
        </w:trPr>
        <w:tc>
          <w:tcPr>
            <w:tcW w:w="9360" w:type="dxa"/>
            <w:gridSpan w:val="5"/>
          </w:tcPr>
          <w:p w:rsidR="0031726A" w:rsidRDefault="003C1B9D">
            <w:pPr>
              <w:jc w:val="center"/>
              <w:rPr>
                <w:b/>
              </w:rPr>
            </w:pPr>
            <w:r>
              <w:rPr>
                <w:b/>
              </w:rPr>
              <w:t>Total Annual Responses</w:t>
            </w:r>
          </w:p>
        </w:tc>
      </w:tr>
      <w:tr w:rsidR="0031726A">
        <w:trPr>
          <w:cantSplit/>
          <w:tblHeader/>
          <w:jc w:val="center"/>
        </w:trPr>
        <w:tc>
          <w:tcPr>
            <w:tcW w:w="3960" w:type="dxa"/>
          </w:tcPr>
          <w:p w:rsidR="0031726A" w:rsidRDefault="003C1B9D">
            <w:pPr>
              <w:jc w:val="center"/>
              <w:rPr>
                <w:sz w:val="20"/>
                <w:szCs w:val="20"/>
              </w:rPr>
            </w:pPr>
            <w:r>
              <w:rPr>
                <w:sz w:val="20"/>
                <w:szCs w:val="20"/>
              </w:rPr>
              <w:t>(A)</w:t>
            </w:r>
          </w:p>
          <w:p w:rsidR="0031726A" w:rsidRDefault="003C1B9D">
            <w:pPr>
              <w:jc w:val="center"/>
              <w:rPr>
                <w:sz w:val="20"/>
                <w:szCs w:val="20"/>
              </w:rPr>
            </w:pPr>
            <w:r>
              <w:rPr>
                <w:sz w:val="20"/>
                <w:szCs w:val="20"/>
              </w:rPr>
              <w:t>Information Collection Activity</w:t>
            </w:r>
          </w:p>
        </w:tc>
        <w:tc>
          <w:tcPr>
            <w:tcW w:w="1260" w:type="dxa"/>
          </w:tcPr>
          <w:p w:rsidR="0031726A" w:rsidRDefault="003C1B9D">
            <w:pPr>
              <w:jc w:val="center"/>
              <w:rPr>
                <w:sz w:val="20"/>
                <w:szCs w:val="20"/>
              </w:rPr>
            </w:pPr>
            <w:r>
              <w:rPr>
                <w:sz w:val="20"/>
                <w:szCs w:val="20"/>
              </w:rPr>
              <w:t>(B)</w:t>
            </w:r>
          </w:p>
          <w:p w:rsidR="0031726A" w:rsidRDefault="003C1B9D">
            <w:pPr>
              <w:jc w:val="center"/>
              <w:rPr>
                <w:sz w:val="20"/>
                <w:szCs w:val="20"/>
              </w:rPr>
            </w:pPr>
            <w:r>
              <w:rPr>
                <w:sz w:val="20"/>
                <w:szCs w:val="20"/>
              </w:rPr>
              <w:t>Number of Respondents</w:t>
            </w:r>
          </w:p>
        </w:tc>
        <w:tc>
          <w:tcPr>
            <w:tcW w:w="1170" w:type="dxa"/>
          </w:tcPr>
          <w:p w:rsidR="0031726A" w:rsidRDefault="003C1B9D">
            <w:pPr>
              <w:jc w:val="center"/>
              <w:rPr>
                <w:sz w:val="20"/>
                <w:szCs w:val="20"/>
              </w:rPr>
            </w:pPr>
            <w:r>
              <w:rPr>
                <w:sz w:val="20"/>
                <w:szCs w:val="20"/>
              </w:rPr>
              <w:t>(C)</w:t>
            </w:r>
          </w:p>
          <w:p w:rsidR="0031726A" w:rsidRDefault="003C1B9D">
            <w:pPr>
              <w:jc w:val="center"/>
              <w:rPr>
                <w:sz w:val="20"/>
                <w:szCs w:val="20"/>
              </w:rPr>
            </w:pPr>
            <w:r>
              <w:rPr>
                <w:sz w:val="20"/>
                <w:szCs w:val="20"/>
              </w:rPr>
              <w:t>Number of Responses</w:t>
            </w:r>
          </w:p>
        </w:tc>
        <w:tc>
          <w:tcPr>
            <w:tcW w:w="1710" w:type="dxa"/>
          </w:tcPr>
          <w:p w:rsidR="0031726A" w:rsidRDefault="003C1B9D">
            <w:pPr>
              <w:jc w:val="center"/>
              <w:rPr>
                <w:sz w:val="20"/>
                <w:szCs w:val="20"/>
              </w:rPr>
            </w:pPr>
            <w:r>
              <w:rPr>
                <w:sz w:val="20"/>
                <w:szCs w:val="20"/>
              </w:rPr>
              <w:t>(D)</w:t>
            </w:r>
          </w:p>
          <w:p w:rsidR="0031726A" w:rsidRDefault="003C1B9D">
            <w:pPr>
              <w:jc w:val="center"/>
              <w:rPr>
                <w:sz w:val="20"/>
                <w:szCs w:val="20"/>
              </w:rPr>
            </w:pPr>
            <w:r>
              <w:rPr>
                <w:sz w:val="20"/>
                <w:szCs w:val="20"/>
              </w:rPr>
              <w:t>Number of Existing Respondents That Keep Records But Do Not Submit Reports</w:t>
            </w:r>
          </w:p>
        </w:tc>
        <w:tc>
          <w:tcPr>
            <w:tcW w:w="1260" w:type="dxa"/>
          </w:tcPr>
          <w:p w:rsidR="0031726A" w:rsidRDefault="003C1B9D">
            <w:pPr>
              <w:jc w:val="center"/>
              <w:rPr>
                <w:sz w:val="20"/>
                <w:szCs w:val="20"/>
              </w:rPr>
            </w:pPr>
            <w:r>
              <w:rPr>
                <w:sz w:val="20"/>
                <w:szCs w:val="20"/>
              </w:rPr>
              <w:t>(E)</w:t>
            </w:r>
          </w:p>
          <w:p w:rsidR="0031726A" w:rsidRDefault="003C1B9D">
            <w:pPr>
              <w:jc w:val="center"/>
              <w:rPr>
                <w:sz w:val="20"/>
                <w:szCs w:val="20"/>
              </w:rPr>
            </w:pPr>
            <w:r>
              <w:rPr>
                <w:sz w:val="20"/>
                <w:szCs w:val="20"/>
              </w:rPr>
              <w:t>Total Annual Responses</w:t>
            </w:r>
          </w:p>
          <w:p w:rsidR="0031726A" w:rsidRDefault="003C1B9D">
            <w:pPr>
              <w:jc w:val="center"/>
              <w:rPr>
                <w:sz w:val="20"/>
                <w:szCs w:val="20"/>
              </w:rPr>
            </w:pPr>
            <w:r>
              <w:rPr>
                <w:sz w:val="20"/>
                <w:szCs w:val="20"/>
              </w:rPr>
              <w:t>E=(B×C)+D</w:t>
            </w:r>
          </w:p>
        </w:tc>
      </w:tr>
      <w:tr w:rsidR="0031726A">
        <w:trPr>
          <w:cantSplit/>
          <w:jc w:val="center"/>
        </w:trPr>
        <w:tc>
          <w:tcPr>
            <w:tcW w:w="3960" w:type="dxa"/>
          </w:tcPr>
          <w:p w:rsidR="0031726A" w:rsidRDefault="003C1B9D">
            <w:pPr>
              <w:rPr>
                <w:sz w:val="20"/>
                <w:szCs w:val="20"/>
              </w:rPr>
            </w:pPr>
            <w:r>
              <w:rPr>
                <w:sz w:val="20"/>
                <w:szCs w:val="20"/>
              </w:rPr>
              <w:t>Quarterly report</w:t>
            </w:r>
          </w:p>
        </w:tc>
        <w:tc>
          <w:tcPr>
            <w:tcW w:w="1260" w:type="dxa"/>
          </w:tcPr>
          <w:p w:rsidR="0031726A" w:rsidRDefault="003C1B9D">
            <w:pPr>
              <w:jc w:val="center"/>
              <w:rPr>
                <w:sz w:val="20"/>
                <w:szCs w:val="20"/>
              </w:rPr>
            </w:pPr>
            <w:r>
              <w:rPr>
                <w:sz w:val="20"/>
                <w:szCs w:val="20"/>
              </w:rPr>
              <w:t>28</w:t>
            </w:r>
          </w:p>
        </w:tc>
        <w:tc>
          <w:tcPr>
            <w:tcW w:w="1170" w:type="dxa"/>
          </w:tcPr>
          <w:p w:rsidR="0031726A" w:rsidRDefault="003C1B9D">
            <w:pPr>
              <w:jc w:val="center"/>
              <w:rPr>
                <w:sz w:val="20"/>
                <w:szCs w:val="20"/>
              </w:rPr>
            </w:pPr>
            <w:r>
              <w:rPr>
                <w:sz w:val="20"/>
                <w:szCs w:val="20"/>
              </w:rPr>
              <w:t>4</w:t>
            </w:r>
          </w:p>
        </w:tc>
        <w:tc>
          <w:tcPr>
            <w:tcW w:w="1710" w:type="dxa"/>
          </w:tcPr>
          <w:p w:rsidR="0031726A" w:rsidRDefault="003C1B9D">
            <w:pPr>
              <w:jc w:val="center"/>
              <w:rPr>
                <w:sz w:val="20"/>
                <w:szCs w:val="20"/>
              </w:rPr>
            </w:pPr>
            <w:r>
              <w:rPr>
                <w:sz w:val="20"/>
                <w:szCs w:val="20"/>
              </w:rPr>
              <w:t>n/a</w:t>
            </w:r>
          </w:p>
        </w:tc>
        <w:tc>
          <w:tcPr>
            <w:tcW w:w="1260" w:type="dxa"/>
          </w:tcPr>
          <w:p w:rsidR="0031726A" w:rsidRDefault="003C1B9D">
            <w:pPr>
              <w:jc w:val="center"/>
              <w:rPr>
                <w:sz w:val="20"/>
                <w:szCs w:val="20"/>
              </w:rPr>
            </w:pPr>
            <w:r>
              <w:rPr>
                <w:sz w:val="20"/>
                <w:szCs w:val="20"/>
              </w:rPr>
              <w:t>112</w:t>
            </w:r>
          </w:p>
        </w:tc>
      </w:tr>
      <w:tr w:rsidR="0031726A">
        <w:trPr>
          <w:cantSplit/>
          <w:jc w:val="center"/>
        </w:trPr>
        <w:tc>
          <w:tcPr>
            <w:tcW w:w="3960" w:type="dxa"/>
          </w:tcPr>
          <w:p w:rsidR="0031726A" w:rsidRDefault="003C1B9D">
            <w:pPr>
              <w:rPr>
                <w:sz w:val="20"/>
                <w:szCs w:val="20"/>
              </w:rPr>
            </w:pPr>
            <w:r>
              <w:rPr>
                <w:sz w:val="20"/>
                <w:szCs w:val="20"/>
              </w:rPr>
              <w:t>Manuel vent valve/relief valve discharge (MVV/RVD) report</w:t>
            </w:r>
          </w:p>
        </w:tc>
        <w:tc>
          <w:tcPr>
            <w:tcW w:w="1260" w:type="dxa"/>
            <w:vAlign w:val="center"/>
          </w:tcPr>
          <w:p w:rsidR="0031726A" w:rsidRDefault="003C1B9D">
            <w:pPr>
              <w:jc w:val="center"/>
              <w:rPr>
                <w:sz w:val="20"/>
                <w:szCs w:val="20"/>
              </w:rPr>
            </w:pPr>
            <w:r>
              <w:rPr>
                <w:sz w:val="20"/>
                <w:szCs w:val="20"/>
              </w:rPr>
              <w:t>28</w:t>
            </w:r>
          </w:p>
        </w:tc>
        <w:tc>
          <w:tcPr>
            <w:tcW w:w="1170" w:type="dxa"/>
            <w:vAlign w:val="center"/>
          </w:tcPr>
          <w:p w:rsidR="0031726A" w:rsidRDefault="003C1B9D">
            <w:pPr>
              <w:jc w:val="center"/>
              <w:rPr>
                <w:sz w:val="20"/>
                <w:szCs w:val="20"/>
              </w:rPr>
            </w:pPr>
            <w:r>
              <w:rPr>
                <w:sz w:val="20"/>
                <w:szCs w:val="20"/>
              </w:rPr>
              <w:t>3</w:t>
            </w:r>
          </w:p>
        </w:tc>
        <w:tc>
          <w:tcPr>
            <w:tcW w:w="1710" w:type="dxa"/>
            <w:vAlign w:val="center"/>
          </w:tcPr>
          <w:p w:rsidR="0031726A" w:rsidRDefault="003C1B9D">
            <w:pPr>
              <w:jc w:val="center"/>
              <w:rPr>
                <w:sz w:val="20"/>
                <w:szCs w:val="20"/>
              </w:rPr>
            </w:pPr>
            <w:r>
              <w:rPr>
                <w:sz w:val="20"/>
                <w:szCs w:val="20"/>
              </w:rPr>
              <w:t>n/a</w:t>
            </w:r>
          </w:p>
        </w:tc>
        <w:tc>
          <w:tcPr>
            <w:tcW w:w="1260" w:type="dxa"/>
            <w:vAlign w:val="center"/>
          </w:tcPr>
          <w:p w:rsidR="0031726A" w:rsidRDefault="003C1B9D">
            <w:pPr>
              <w:jc w:val="center"/>
              <w:rPr>
                <w:sz w:val="20"/>
                <w:szCs w:val="20"/>
              </w:rPr>
            </w:pPr>
            <w:r>
              <w:rPr>
                <w:sz w:val="20"/>
                <w:szCs w:val="20"/>
              </w:rPr>
              <w:t>84</w:t>
            </w:r>
          </w:p>
        </w:tc>
      </w:tr>
      <w:tr w:rsidR="0031726A">
        <w:trPr>
          <w:cantSplit/>
          <w:jc w:val="center"/>
        </w:trPr>
        <w:tc>
          <w:tcPr>
            <w:tcW w:w="3960" w:type="dxa"/>
          </w:tcPr>
          <w:p w:rsidR="0031726A" w:rsidRDefault="003C1B9D">
            <w:pPr>
              <w:rPr>
                <w:sz w:val="20"/>
                <w:szCs w:val="20"/>
              </w:rPr>
            </w:pPr>
            <w:r>
              <w:rPr>
                <w:sz w:val="20"/>
                <w:szCs w:val="20"/>
              </w:rPr>
              <w:t>TOTAL</w:t>
            </w:r>
          </w:p>
        </w:tc>
        <w:tc>
          <w:tcPr>
            <w:tcW w:w="1260" w:type="dxa"/>
          </w:tcPr>
          <w:p w:rsidR="0031726A" w:rsidRDefault="0031726A">
            <w:pPr>
              <w:jc w:val="center"/>
              <w:rPr>
                <w:sz w:val="20"/>
                <w:szCs w:val="20"/>
              </w:rPr>
            </w:pPr>
          </w:p>
        </w:tc>
        <w:tc>
          <w:tcPr>
            <w:tcW w:w="1170" w:type="dxa"/>
          </w:tcPr>
          <w:p w:rsidR="0031726A" w:rsidRDefault="0031726A">
            <w:pPr>
              <w:jc w:val="center"/>
              <w:rPr>
                <w:sz w:val="20"/>
                <w:szCs w:val="20"/>
              </w:rPr>
            </w:pPr>
          </w:p>
        </w:tc>
        <w:tc>
          <w:tcPr>
            <w:tcW w:w="1710" w:type="dxa"/>
          </w:tcPr>
          <w:p w:rsidR="0031726A" w:rsidRDefault="0031726A">
            <w:pPr>
              <w:jc w:val="center"/>
              <w:rPr>
                <w:sz w:val="20"/>
                <w:szCs w:val="20"/>
              </w:rPr>
            </w:pPr>
          </w:p>
        </w:tc>
        <w:tc>
          <w:tcPr>
            <w:tcW w:w="1260" w:type="dxa"/>
          </w:tcPr>
          <w:p w:rsidR="0031726A" w:rsidRDefault="003C1B9D">
            <w:pPr>
              <w:jc w:val="center"/>
              <w:rPr>
                <w:sz w:val="20"/>
                <w:szCs w:val="20"/>
              </w:rPr>
            </w:pPr>
            <w:r>
              <w:rPr>
                <w:sz w:val="20"/>
                <w:szCs w:val="20"/>
              </w:rPr>
              <w:t>196</w:t>
            </w:r>
          </w:p>
        </w:tc>
      </w:tr>
    </w:tbl>
    <w:p w:rsidR="0031726A" w:rsidRDefault="0031726A">
      <w:pPr>
        <w:ind w:firstLine="720"/>
      </w:pPr>
    </w:p>
    <w:p w:rsidR="0031726A" w:rsidRDefault="003C1B9D">
      <w:pPr>
        <w:ind w:firstLine="720"/>
      </w:pPr>
      <w:r>
        <w:t>The number of Total Annual Responses is 196.</w:t>
      </w:r>
    </w:p>
    <w:p w:rsidR="0031726A" w:rsidRDefault="0031726A">
      <w:pPr>
        <w:ind w:firstLine="720"/>
      </w:pPr>
    </w:p>
    <w:p w:rsidR="0031726A" w:rsidRDefault="003C1B9D">
      <w:pPr>
        <w:ind w:firstLine="720"/>
      </w:pPr>
      <w:r>
        <w:t xml:space="preserve">The total annual labor costs </w:t>
      </w:r>
      <w:r w:rsidRPr="00A835CD">
        <w:t>are $1,109,531.  Details regarding</w:t>
      </w:r>
      <w:r>
        <w:t xml:space="preserve"> these estimates may be </w:t>
      </w:r>
      <w:r>
        <w:lastRenderedPageBreak/>
        <w:t>found in Table 1. Annual Respondent Burden and Cost, NESHAP for Vinyl Chloride (40 CFR Part 61, Subpart F) (Renewal).</w:t>
      </w:r>
    </w:p>
    <w:p w:rsidR="0031726A" w:rsidRDefault="0031726A">
      <w:pPr>
        <w:ind w:firstLine="720"/>
        <w:rPr>
          <w:b/>
          <w:bCs/>
        </w:rPr>
      </w:pPr>
    </w:p>
    <w:p w:rsidR="0031726A" w:rsidRDefault="003C1B9D">
      <w:pPr>
        <w:ind w:firstLine="720"/>
        <w:rPr>
          <w:b/>
          <w:bCs/>
        </w:rPr>
      </w:pPr>
      <w:r>
        <w:rPr>
          <w:b/>
          <w:bCs/>
        </w:rPr>
        <w:t>6(e)  Bottom Line Burden Hours and Cost Tables</w:t>
      </w:r>
    </w:p>
    <w:p w:rsidR="0031726A" w:rsidRDefault="0031726A">
      <w:pPr>
        <w:ind w:firstLine="720"/>
      </w:pPr>
    </w:p>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31726A" w:rsidRDefault="0031726A">
      <w:pPr>
        <w:pBdr>
          <w:top w:val="single" w:sz="6" w:space="0" w:color="FFFFFF"/>
          <w:left w:val="single" w:sz="6" w:space="0" w:color="FFFFFF"/>
          <w:bottom w:val="single" w:sz="6" w:space="0" w:color="FFFFFF"/>
          <w:right w:val="single" w:sz="6" w:space="0" w:color="FFFFFF"/>
        </w:pBdr>
        <w:ind w:firstLine="720"/>
        <w:rPr>
          <w:color w:val="000000"/>
        </w:rPr>
      </w:pPr>
    </w:p>
    <w:p w:rsidR="0031726A" w:rsidRDefault="003C1B9D">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31726A" w:rsidRDefault="0031726A">
      <w:pPr>
        <w:rPr>
          <w:b/>
          <w:bCs/>
        </w:rPr>
      </w:pPr>
    </w:p>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t>$1,109,531</w:t>
      </w:r>
      <w:r>
        <w:rPr>
          <w:color w:val="000000"/>
        </w:rPr>
        <w:t xml:space="preserve">.  Details regarding these estimates may be found in Table 1. Annual Respondent Burden and Cost: NESHAP </w:t>
      </w:r>
      <w:r>
        <w:t xml:space="preserve">for Vinyl Chloride (40 CFR Part 61, Subpart F) (Renewal).  </w:t>
      </w:r>
      <w:r>
        <w:rPr>
          <w:color w:val="000000"/>
        </w:rPr>
        <w:t>Furthermore, the annual public reporting and recordkeeping burden for this collection of information is estimated to average 60 hours per response.</w:t>
      </w:r>
    </w:p>
    <w:p w:rsidR="0031726A" w:rsidRDefault="0031726A">
      <w:pPr>
        <w:pBdr>
          <w:top w:val="single" w:sz="6" w:space="0" w:color="FFFFFF"/>
          <w:left w:val="single" w:sz="6" w:space="0" w:color="FFFFFF"/>
          <w:bottom w:val="single" w:sz="6" w:space="0" w:color="FFFFFF"/>
          <w:right w:val="single" w:sz="6" w:space="0" w:color="FFFFFF"/>
        </w:pBdr>
        <w:ind w:firstLine="720"/>
        <w:rPr>
          <w:color w:val="000000"/>
        </w:rPr>
      </w:pPr>
    </w:p>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 $1,260,000.  The cost calculations are detailed in Section 6(b)(iii), Capital/Startup vs. Operation and Maintenance (O&amp;M) Costs.</w:t>
      </w:r>
    </w:p>
    <w:p w:rsidR="0031726A" w:rsidRDefault="0031726A">
      <w:pPr>
        <w:pBdr>
          <w:top w:val="single" w:sz="6" w:space="0" w:color="FFFFFF"/>
          <w:left w:val="single" w:sz="6" w:space="0" w:color="FFFFFF"/>
          <w:bottom w:val="single" w:sz="6" w:space="0" w:color="FFFFFF"/>
          <w:right w:val="single" w:sz="6" w:space="0" w:color="FFFFFF"/>
        </w:pBdr>
        <w:ind w:firstLine="2160"/>
        <w:rPr>
          <w:color w:val="000000"/>
        </w:rPr>
      </w:pPr>
    </w:p>
    <w:p w:rsidR="0031726A" w:rsidRDefault="003C1B9D">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31726A" w:rsidRDefault="0031726A">
      <w:pPr>
        <w:pBdr>
          <w:top w:val="single" w:sz="6" w:space="0" w:color="FFFFFF"/>
          <w:left w:val="single" w:sz="6" w:space="0" w:color="FFFFFF"/>
          <w:bottom w:val="single" w:sz="6" w:space="0" w:color="FFFFFF"/>
          <w:right w:val="single" w:sz="6" w:space="0" w:color="FFFFFF"/>
        </w:pBdr>
        <w:ind w:firstLine="720"/>
      </w:pPr>
    </w:p>
    <w:p w:rsidR="0031726A" w:rsidRDefault="003C1B9D">
      <w:pPr>
        <w:pBdr>
          <w:top w:val="single" w:sz="6" w:space="0" w:color="FFFFFF"/>
          <w:left w:val="single" w:sz="6" w:space="0" w:color="FFFFFF"/>
          <w:bottom w:val="single" w:sz="6" w:space="0" w:color="FFFFFF"/>
          <w:right w:val="single" w:sz="6" w:space="0" w:color="FFFFFF"/>
        </w:pBdr>
        <w:ind w:firstLine="720"/>
      </w:pPr>
      <w:r>
        <w:t>The average annual Agency burden and cost over next three years is estimated to be 2,834 labor hours at a cost of $127,696.  See Table 2. Annual Agency Burden and Cost, NESHAP for Vinyl Chloride (40 CFR Part 61, Subpart F) (Renewal).</w:t>
      </w:r>
    </w:p>
    <w:p w:rsidR="0031726A" w:rsidRDefault="0031726A">
      <w:pPr>
        <w:pBdr>
          <w:top w:val="single" w:sz="6" w:space="0" w:color="FFFFFF"/>
          <w:left w:val="single" w:sz="6" w:space="0" w:color="FFFFFF"/>
          <w:bottom w:val="single" w:sz="6" w:space="0" w:color="FFFFFF"/>
          <w:right w:val="single" w:sz="6" w:space="0" w:color="FFFFFF"/>
        </w:pBdr>
        <w:ind w:firstLine="720"/>
      </w:pPr>
    </w:p>
    <w:p w:rsidR="00F54053" w:rsidRDefault="00F54053" w:rsidP="00F54053">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Variations in the Annual Bottom Line</w:t>
      </w:r>
    </w:p>
    <w:p w:rsidR="00F54053" w:rsidRDefault="00F54053">
      <w:pPr>
        <w:pBdr>
          <w:top w:val="single" w:sz="6" w:space="0" w:color="FFFFFF"/>
          <w:left w:val="single" w:sz="6" w:space="0" w:color="FFFFFF"/>
          <w:bottom w:val="single" w:sz="6" w:space="0" w:color="FFFFFF"/>
          <w:right w:val="single" w:sz="6" w:space="0" w:color="FFFFFF"/>
        </w:pBdr>
        <w:ind w:firstLine="720"/>
      </w:pPr>
    </w:p>
    <w:p w:rsidR="0031726A" w:rsidRDefault="003C1B9D">
      <w:pPr>
        <w:ind w:firstLine="720"/>
      </w:pPr>
      <w:r>
        <w:rPr>
          <w:b/>
          <w:bCs/>
        </w:rPr>
        <w:t xml:space="preserve">6(f)  Reasons for Change </w:t>
      </w:r>
      <w:r w:rsidR="00090F05">
        <w:rPr>
          <w:b/>
          <w:bCs/>
        </w:rPr>
        <w:t>i</w:t>
      </w:r>
      <w:r>
        <w:rPr>
          <w:b/>
          <w:bCs/>
        </w:rPr>
        <w:t>n Burden</w:t>
      </w:r>
    </w:p>
    <w:p w:rsidR="0031726A" w:rsidRDefault="0031726A"/>
    <w:p w:rsidR="0031726A" w:rsidRDefault="003C1B9D">
      <w:pPr>
        <w:ind w:firstLine="720"/>
        <w:rPr>
          <w:rFonts w:cs="Helv"/>
        </w:rPr>
      </w:pPr>
      <w:r>
        <w:t>There is no change in the calculation methodology for labor hours and Agency costs in this ICR compared to the previous ICR.  This is due to two considerations.  F</w:t>
      </w:r>
      <w:r>
        <w:rPr>
          <w:rFonts w:cs="Helv"/>
        </w:rPr>
        <w:t>irst, the regulations have not changed over the past three years and are not anticipated to change over the next three years.  Secondly, the growth rate for the respondents is very low, negative, or non-existent.  It should be noted that t</w:t>
      </w:r>
      <w:r>
        <w:t xml:space="preserve">here is an apparent increase of one hour in respondent labor hours.  This is due to </w:t>
      </w:r>
      <w:r>
        <w:rPr>
          <w:rFonts w:cs="Helv"/>
        </w:rPr>
        <w:t>the retention of decimal places in the Table 1 calculations and final rounding.</w:t>
      </w:r>
    </w:p>
    <w:p w:rsidR="0031726A" w:rsidRDefault="0031726A">
      <w:pPr>
        <w:ind w:firstLine="720"/>
        <w:rPr>
          <w:rFonts w:cs="Helv"/>
          <w:color w:val="000000"/>
        </w:rPr>
      </w:pPr>
    </w:p>
    <w:p w:rsidR="0031726A" w:rsidRDefault="003C1B9D">
      <w:pPr>
        <w:ind w:firstLine="720"/>
      </w:pPr>
      <w:r>
        <w:t>The capital/startup and operation and maintenance cost remain the same.  The increase in cost to respondents and to the Agency is due to updating of the labor rates to reflect the most recent available estimates.</w:t>
      </w:r>
    </w:p>
    <w:p w:rsidR="0031726A" w:rsidRDefault="0031726A">
      <w:pPr>
        <w:ind w:firstLine="720"/>
      </w:pPr>
    </w:p>
    <w:p w:rsidR="0031726A" w:rsidRDefault="003C1B9D">
      <w:pPr>
        <w:ind w:firstLine="720"/>
      </w:pPr>
      <w:r>
        <w:rPr>
          <w:b/>
          <w:bCs/>
        </w:rPr>
        <w:t>6(g)  Burden Statement</w:t>
      </w:r>
    </w:p>
    <w:p w:rsidR="0031726A" w:rsidRDefault="0031726A"/>
    <w:p w:rsidR="0031726A" w:rsidRDefault="003C1B9D">
      <w:pPr>
        <w:ind w:firstLine="720"/>
      </w:pPr>
      <w:r>
        <w:t xml:space="preserve">The annual public reporting and recordkeeping burden for this collection of information is estimated to average 60 hours per response.  Burden means the total time, effort, or financial resources expended by persons to generate, maintain, retain, or disclose or provide information to or for a Federal agency.  This includes the time needed to review instructions; develop, acquire, </w:t>
      </w:r>
      <w:r>
        <w:lastRenderedPageBreak/>
        <w:t>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31726A" w:rsidRDefault="0031726A">
      <w:pPr>
        <w:ind w:firstLine="720"/>
      </w:pPr>
    </w:p>
    <w:p w:rsidR="0031726A" w:rsidRDefault="003C1B9D">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EPA’s regulations are listed at 40 CFR part 9 and 48 CFR chapter 15.</w:t>
      </w:r>
    </w:p>
    <w:p w:rsidR="0031726A" w:rsidRDefault="0031726A"/>
    <w:p w:rsidR="0031726A" w:rsidRDefault="003C1B9D">
      <w:pPr>
        <w:ind w:firstLine="720"/>
      </w:pPr>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EPA-HQ-OECA-2010-0354.  An electronic version of the public docket is available at www.regulations.gov which may be used to obtain a copy of the draft collection of information, submit or view public comments, access the index listing of the content of the docket, and to access those documents in the public docket that are available electronically.  When in the system, select “search” than key in the docket ID number identified in this document.  The documents are also available for public viewing at the Enforcement and Compliance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Enforcement and Compliance Docket and Information Center Docket is (202) 566-1752</w:t>
      </w:r>
      <w:r>
        <w:rPr>
          <w:rStyle w:val="1"/>
        </w:rPr>
        <w:t xml:space="preserve">.  </w:t>
      </w:r>
      <w:r>
        <w:t>Also, you can send comments to the Office of Information and Regulatory Affairs, Office of Management and Budget, 725 17th Street, N.W., Washington, DC 20503, Attention: Desk Officer for EPA.  Please include the EPA Docket ID Number EPA-HQ-OECA-2010-0354 and OMB Control Number 2060-0071 in any correspondence.</w:t>
      </w:r>
    </w:p>
    <w:p w:rsidR="0031726A" w:rsidRDefault="0031726A">
      <w:pPr>
        <w:rPr>
          <w:b/>
          <w:bCs/>
        </w:rPr>
      </w:pPr>
    </w:p>
    <w:p w:rsidR="0031726A" w:rsidRDefault="003C1B9D">
      <w:r>
        <w:rPr>
          <w:b/>
          <w:bCs/>
        </w:rPr>
        <w:t>Part B of the Supporting Statement</w:t>
      </w:r>
    </w:p>
    <w:p w:rsidR="0031726A" w:rsidRDefault="0031726A"/>
    <w:p w:rsidR="0031726A" w:rsidRDefault="003C1B9D">
      <w:pPr>
        <w:ind w:firstLine="720"/>
      </w:pPr>
      <w:r>
        <w:t>This part is not applicable because no statistical methods were used in collecting this information.</w:t>
      </w:r>
    </w:p>
    <w:p w:rsidR="0031726A" w:rsidRDefault="0031726A">
      <w:pPr>
        <w:ind w:firstLine="720"/>
      </w:pPr>
    </w:p>
    <w:p w:rsidR="0031726A" w:rsidRDefault="0031726A">
      <w:pPr>
        <w:ind w:firstLine="720"/>
        <w:sectPr w:rsidR="0031726A">
          <w:headerReference w:type="even" r:id="rId8"/>
          <w:headerReference w:type="default" r:id="rId9"/>
          <w:footerReference w:type="even" r:id="rId10"/>
          <w:type w:val="continuous"/>
          <w:pgSz w:w="12240" w:h="15840" w:code="1"/>
          <w:pgMar w:top="1440" w:right="1440" w:bottom="1440" w:left="1440" w:header="1008" w:footer="0" w:gutter="0"/>
          <w:cols w:space="720"/>
          <w:noEndnote/>
          <w:titlePg/>
        </w:sectPr>
      </w:pPr>
    </w:p>
    <w:p w:rsidR="0031726A" w:rsidRDefault="003C1B9D">
      <w:pPr>
        <w:jc w:val="center"/>
        <w:rPr>
          <w:b/>
        </w:rPr>
      </w:pPr>
      <w:r>
        <w:rPr>
          <w:b/>
        </w:rPr>
        <w:lastRenderedPageBreak/>
        <w:t xml:space="preserve">Table 1. Annual Respondent Burden and </w:t>
      </w:r>
      <w:r w:rsidR="00FE59A9">
        <w:rPr>
          <w:b/>
        </w:rPr>
        <w:t xml:space="preserve">Labor </w:t>
      </w:r>
      <w:r>
        <w:rPr>
          <w:b/>
        </w:rPr>
        <w:t>Cost, NESHAP for Vinyl Chloride (40 CFR Part 61, Subpart F) (Renewal)</w:t>
      </w:r>
    </w:p>
    <w:p w:rsidR="0031726A" w:rsidRDefault="0031726A">
      <w:pPr>
        <w:jc w:val="center"/>
      </w:pPr>
    </w:p>
    <w:tbl>
      <w:tblPr>
        <w:tblW w:w="136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000"/>
      </w:tblPr>
      <w:tblGrid>
        <w:gridCol w:w="3040"/>
        <w:gridCol w:w="1235"/>
        <w:gridCol w:w="1330"/>
        <w:gridCol w:w="1235"/>
        <w:gridCol w:w="1330"/>
        <w:gridCol w:w="1215"/>
        <w:gridCol w:w="1050"/>
        <w:gridCol w:w="965"/>
        <w:gridCol w:w="1045"/>
        <w:gridCol w:w="1235"/>
      </w:tblGrid>
      <w:tr w:rsidR="0031726A">
        <w:trPr>
          <w:cantSplit/>
          <w:tblHeader/>
          <w:jc w:val="center"/>
        </w:trPr>
        <w:tc>
          <w:tcPr>
            <w:tcW w:w="288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 </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(A)</w:t>
            </w:r>
          </w:p>
        </w:tc>
        <w:tc>
          <w:tcPr>
            <w:tcW w:w="126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(B)</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(C)</w:t>
            </w:r>
          </w:p>
        </w:tc>
        <w:tc>
          <w:tcPr>
            <w:tcW w:w="126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(D)</w:t>
            </w:r>
          </w:p>
        </w:tc>
        <w:tc>
          <w:tcPr>
            <w:tcW w:w="1151"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(E)</w:t>
            </w:r>
          </w:p>
        </w:tc>
        <w:tc>
          <w:tcPr>
            <w:tcW w:w="995"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(F)</w:t>
            </w:r>
          </w:p>
        </w:tc>
        <w:tc>
          <w:tcPr>
            <w:tcW w:w="914"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(G)</w:t>
            </w:r>
          </w:p>
        </w:tc>
        <w:tc>
          <w:tcPr>
            <w:tcW w:w="99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(H)</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(I)</w:t>
            </w:r>
          </w:p>
        </w:tc>
      </w:tr>
      <w:tr w:rsidR="0031726A">
        <w:trPr>
          <w:cantSplit/>
          <w:tblHeader/>
          <w:jc w:val="center"/>
        </w:trPr>
        <w:tc>
          <w:tcPr>
            <w:tcW w:w="288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Reporting/Recordkeeping Requirements</w:t>
            </w:r>
          </w:p>
        </w:tc>
        <w:tc>
          <w:tcPr>
            <w:tcW w:w="117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Person-‌hours per occurrence</w:t>
            </w:r>
          </w:p>
        </w:tc>
        <w:tc>
          <w:tcPr>
            <w:tcW w:w="126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No. of occurrences per respondent per year</w:t>
            </w:r>
          </w:p>
        </w:tc>
        <w:tc>
          <w:tcPr>
            <w:tcW w:w="117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Person- hours per respondent per year </w:t>
            </w:r>
            <w:r>
              <w:rPr>
                <w:rFonts w:eastAsia="Times New Roman"/>
                <w:bCs/>
                <w:sz w:val="20"/>
                <w:szCs w:val="20"/>
                <w:lang w:eastAsia="en-US"/>
              </w:rPr>
              <w:br/>
              <w:t>(C = A×B)</w:t>
            </w:r>
          </w:p>
        </w:tc>
        <w:tc>
          <w:tcPr>
            <w:tcW w:w="126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Respondents </w:t>
            </w:r>
            <w:r>
              <w:rPr>
                <w:rFonts w:eastAsia="Times New Roman"/>
                <w:bCs/>
                <w:sz w:val="20"/>
                <w:szCs w:val="20"/>
                <w:lang w:eastAsia="en-US"/>
              </w:rPr>
              <w:br/>
              <w:t xml:space="preserve">per year </w:t>
            </w:r>
            <w:r>
              <w:rPr>
                <w:rFonts w:eastAsia="Times New Roman"/>
                <w:bCs/>
                <w:sz w:val="20"/>
                <w:szCs w:val="20"/>
                <w:vertAlign w:val="superscript"/>
                <w:lang w:eastAsia="en-US"/>
              </w:rPr>
              <w:t>a</w:t>
            </w:r>
          </w:p>
        </w:tc>
        <w:tc>
          <w:tcPr>
            <w:tcW w:w="1151"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Technical person- hours per year </w:t>
            </w:r>
            <w:r>
              <w:rPr>
                <w:rFonts w:eastAsia="Times New Roman"/>
                <w:bCs/>
                <w:sz w:val="20"/>
                <w:szCs w:val="20"/>
                <w:lang w:eastAsia="en-US"/>
              </w:rPr>
              <w:br/>
              <w:t>(E = C×D)</w:t>
            </w:r>
          </w:p>
        </w:tc>
        <w:tc>
          <w:tcPr>
            <w:tcW w:w="995"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Management person-hours </w:t>
            </w:r>
            <w:r>
              <w:rPr>
                <w:rFonts w:eastAsia="Times New Roman"/>
                <w:bCs/>
                <w:sz w:val="20"/>
                <w:szCs w:val="20"/>
                <w:lang w:eastAsia="en-US"/>
              </w:rPr>
              <w:br/>
              <w:t xml:space="preserve">per year </w:t>
            </w:r>
            <w:r>
              <w:rPr>
                <w:rFonts w:eastAsia="Times New Roman"/>
                <w:bCs/>
                <w:sz w:val="20"/>
                <w:szCs w:val="20"/>
                <w:lang w:eastAsia="en-US"/>
              </w:rPr>
              <w:br/>
              <w:t>(E×0.05)</w:t>
            </w:r>
          </w:p>
        </w:tc>
        <w:tc>
          <w:tcPr>
            <w:tcW w:w="914"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Clerical person-hours per year </w:t>
            </w:r>
            <w:r>
              <w:rPr>
                <w:rFonts w:eastAsia="Times New Roman"/>
                <w:bCs/>
                <w:sz w:val="20"/>
                <w:szCs w:val="20"/>
                <w:lang w:eastAsia="en-US"/>
              </w:rPr>
              <w:br/>
              <w:t>(E×0.1)</w:t>
            </w:r>
          </w:p>
        </w:tc>
        <w:tc>
          <w:tcPr>
            <w:tcW w:w="99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Total</w:t>
            </w:r>
            <w:r>
              <w:rPr>
                <w:rFonts w:eastAsia="Times New Roman"/>
                <w:bCs/>
                <w:sz w:val="20"/>
                <w:szCs w:val="20"/>
                <w:lang w:eastAsia="en-US"/>
              </w:rPr>
              <w:br/>
              <w:t>Hours/Year</w:t>
            </w:r>
            <w:r>
              <w:rPr>
                <w:rFonts w:eastAsia="Times New Roman"/>
                <w:bCs/>
                <w:sz w:val="20"/>
                <w:szCs w:val="20"/>
                <w:lang w:eastAsia="en-US"/>
              </w:rPr>
              <w:br/>
              <w:t>(H = E + F + G)</w:t>
            </w:r>
          </w:p>
        </w:tc>
        <w:tc>
          <w:tcPr>
            <w:tcW w:w="117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Cost ($) </w:t>
            </w:r>
            <w:r>
              <w:rPr>
                <w:rFonts w:eastAsia="Times New Roman"/>
                <w:bCs/>
                <w:sz w:val="20"/>
                <w:szCs w:val="20"/>
                <w:vertAlign w:val="superscript"/>
                <w:lang w:eastAsia="en-US"/>
              </w:rPr>
              <w:t>b</w:t>
            </w:r>
          </w:p>
        </w:tc>
      </w:tr>
      <w:tr w:rsidR="0031726A">
        <w:trPr>
          <w:cantSplit/>
          <w:jc w:val="center"/>
        </w:trPr>
        <w:tc>
          <w:tcPr>
            <w:tcW w:w="2880" w:type="dxa"/>
            <w:shd w:val="clear" w:color="auto" w:fill="auto"/>
          </w:tcPr>
          <w:p w:rsidR="0031726A" w:rsidRDefault="003C1B9D">
            <w:pPr>
              <w:widowControl/>
              <w:autoSpaceDE/>
              <w:autoSpaceDN/>
              <w:adjustRightInd/>
              <w:rPr>
                <w:rFonts w:eastAsia="Times New Roman"/>
                <w:color w:val="000000"/>
                <w:sz w:val="20"/>
                <w:szCs w:val="20"/>
                <w:lang w:eastAsia="en-US"/>
              </w:rPr>
            </w:pPr>
            <w:r>
              <w:rPr>
                <w:rFonts w:eastAsia="Times New Roman"/>
                <w:color w:val="000000"/>
                <w:sz w:val="20"/>
                <w:szCs w:val="20"/>
                <w:lang w:eastAsia="en-US"/>
              </w:rPr>
              <w:t>1. Applications</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N/A</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rPr>
                <w:rFonts w:eastAsia="Times New Roman"/>
                <w:color w:val="000000"/>
                <w:sz w:val="20"/>
                <w:szCs w:val="20"/>
                <w:lang w:eastAsia="en-US"/>
              </w:rPr>
            </w:pPr>
            <w:r>
              <w:rPr>
                <w:rFonts w:eastAsia="Times New Roman"/>
                <w:color w:val="000000"/>
                <w:sz w:val="20"/>
                <w:szCs w:val="20"/>
                <w:lang w:eastAsia="en-US"/>
              </w:rPr>
              <w:t>2. Survey and Studies</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N/A</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rPr>
                <w:rFonts w:eastAsia="Times New Roman"/>
                <w:color w:val="000000"/>
                <w:sz w:val="20"/>
                <w:szCs w:val="20"/>
                <w:lang w:eastAsia="en-US"/>
              </w:rPr>
            </w:pPr>
            <w:r>
              <w:rPr>
                <w:rFonts w:eastAsia="Times New Roman"/>
                <w:color w:val="000000"/>
                <w:sz w:val="20"/>
                <w:szCs w:val="20"/>
                <w:lang w:eastAsia="en-US"/>
              </w:rPr>
              <w:t>3. Reporting requirements</w:t>
            </w: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A. Read instructions</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B. Required activities</w:t>
            </w: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Initial performance test </w:t>
            </w:r>
            <w:r>
              <w:rPr>
                <w:rFonts w:eastAsia="Times New Roman"/>
                <w:color w:val="000000"/>
                <w:sz w:val="20"/>
                <w:szCs w:val="20"/>
                <w:vertAlign w:val="superscript"/>
                <w:lang w:eastAsia="en-US"/>
              </w:rPr>
              <w:t>c</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60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60.00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Repeat performance tests </w:t>
            </w:r>
            <w:r>
              <w:rPr>
                <w:rFonts w:eastAsia="Times New Roman"/>
                <w:color w:val="000000"/>
                <w:sz w:val="20"/>
                <w:szCs w:val="20"/>
                <w:vertAlign w:val="superscript"/>
                <w:lang w:eastAsia="en-US"/>
              </w:rPr>
              <w:t>d</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60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0.2</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C. Create information</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See 3B</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D. Gather existing information</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See 3B</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E. Write Report</w:t>
            </w: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Notification of construction/reconstruction</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Notification of anticipated startup</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Notification of actual startup</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Notification of emission testing</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Notification of test report</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Notification of physical or operational change </w:t>
            </w:r>
            <w:r>
              <w:rPr>
                <w:rFonts w:eastAsia="Times New Roman"/>
                <w:color w:val="000000"/>
                <w:sz w:val="20"/>
                <w:szCs w:val="20"/>
                <w:vertAlign w:val="superscript"/>
                <w:lang w:eastAsia="en-US"/>
              </w:rPr>
              <w:t>e</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Application for waiver of testing </w:t>
            </w:r>
            <w:r>
              <w:rPr>
                <w:rFonts w:eastAsia="Times New Roman"/>
                <w:color w:val="000000"/>
                <w:sz w:val="20"/>
                <w:szCs w:val="20"/>
                <w:vertAlign w:val="superscript"/>
                <w:lang w:eastAsia="en-US"/>
              </w:rPr>
              <w:t>f</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8</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8.00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Application of equivalency </w:t>
            </w:r>
            <w:r>
              <w:rPr>
                <w:rFonts w:eastAsia="Times New Roman"/>
                <w:color w:val="000000"/>
                <w:sz w:val="20"/>
                <w:szCs w:val="20"/>
                <w:vertAlign w:val="superscript"/>
                <w:lang w:eastAsia="en-US"/>
              </w:rPr>
              <w:t>g</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40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40.00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Initial report</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Quarterly report </w:t>
            </w:r>
            <w:r>
              <w:rPr>
                <w:rFonts w:eastAsia="Times New Roman"/>
                <w:color w:val="000000"/>
                <w:sz w:val="20"/>
                <w:szCs w:val="20"/>
                <w:vertAlign w:val="superscript"/>
                <w:lang w:eastAsia="en-US"/>
              </w:rPr>
              <w:t>h</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50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4</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200.00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28</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5,600.00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280.00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560.00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6,440.00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$604,237.20</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MVV/RVD report </w:t>
            </w:r>
            <w:r>
              <w:rPr>
                <w:rFonts w:eastAsia="Times New Roman"/>
                <w:color w:val="000000"/>
                <w:sz w:val="20"/>
                <w:szCs w:val="20"/>
                <w:vertAlign w:val="superscript"/>
                <w:lang w:eastAsia="en-US"/>
              </w:rPr>
              <w:t>i</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8</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8</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28</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672.00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33.60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67.20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772.80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$72,508.46</w:t>
            </w:r>
          </w:p>
        </w:tc>
      </w:tr>
      <w:tr w:rsidR="0031726A">
        <w:trPr>
          <w:cantSplit/>
          <w:jc w:val="center"/>
        </w:trPr>
        <w:tc>
          <w:tcPr>
            <w:tcW w:w="2880" w:type="dxa"/>
            <w:shd w:val="clear" w:color="auto" w:fill="auto"/>
          </w:tcPr>
          <w:p w:rsidR="0031726A" w:rsidRDefault="003C1B9D">
            <w:pPr>
              <w:widowControl/>
              <w:autoSpaceDE/>
              <w:autoSpaceDN/>
              <w:adjustRightInd/>
              <w:rPr>
                <w:rFonts w:eastAsia="Times New Roman"/>
                <w:i/>
                <w:iCs/>
                <w:sz w:val="20"/>
                <w:szCs w:val="20"/>
                <w:lang w:eastAsia="en-US"/>
              </w:rPr>
            </w:pPr>
            <w:r>
              <w:rPr>
                <w:rFonts w:eastAsia="Times New Roman"/>
                <w:i/>
                <w:iCs/>
                <w:sz w:val="20"/>
                <w:szCs w:val="20"/>
                <w:lang w:eastAsia="en-US"/>
              </w:rPr>
              <w:t>Reporting Subtotal</w:t>
            </w:r>
          </w:p>
        </w:tc>
        <w:tc>
          <w:tcPr>
            <w:tcW w:w="117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990" w:type="dxa"/>
            <w:shd w:val="clear" w:color="auto" w:fill="auto"/>
          </w:tcPr>
          <w:p w:rsidR="0031726A" w:rsidRDefault="003C1B9D">
            <w:pPr>
              <w:widowControl/>
              <w:autoSpaceDE/>
              <w:autoSpaceDN/>
              <w:adjustRightInd/>
              <w:jc w:val="center"/>
              <w:rPr>
                <w:rFonts w:eastAsia="Times New Roman"/>
                <w:i/>
                <w:iCs/>
                <w:sz w:val="20"/>
                <w:szCs w:val="20"/>
                <w:lang w:eastAsia="en-US"/>
              </w:rPr>
            </w:pPr>
            <w:r>
              <w:rPr>
                <w:rFonts w:eastAsia="Times New Roman"/>
                <w:i/>
                <w:iCs/>
                <w:sz w:val="20"/>
                <w:szCs w:val="20"/>
                <w:lang w:eastAsia="en-US"/>
              </w:rPr>
              <w:t>7,213</w:t>
            </w:r>
          </w:p>
        </w:tc>
        <w:tc>
          <w:tcPr>
            <w:tcW w:w="1170" w:type="dxa"/>
            <w:shd w:val="clear" w:color="auto" w:fill="auto"/>
          </w:tcPr>
          <w:p w:rsidR="0031726A" w:rsidRDefault="003C1B9D">
            <w:pPr>
              <w:widowControl/>
              <w:autoSpaceDE/>
              <w:autoSpaceDN/>
              <w:adjustRightInd/>
              <w:jc w:val="center"/>
              <w:rPr>
                <w:rFonts w:eastAsia="Times New Roman"/>
                <w:i/>
                <w:iCs/>
                <w:sz w:val="20"/>
                <w:szCs w:val="20"/>
                <w:lang w:eastAsia="en-US"/>
              </w:rPr>
            </w:pPr>
            <w:r>
              <w:rPr>
                <w:rFonts w:eastAsia="Times New Roman"/>
                <w:i/>
                <w:iCs/>
                <w:sz w:val="20"/>
                <w:szCs w:val="20"/>
                <w:lang w:eastAsia="en-US"/>
              </w:rPr>
              <w:t>$676,746</w:t>
            </w: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A. Read instructions</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See 3A</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B. Plan activities</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See 3B</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C. Implement Activities</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See 3D</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D. Develop record system</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N/A</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color w:val="FF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FF0000"/>
                <w:sz w:val="20"/>
                <w:szCs w:val="20"/>
                <w:lang w:eastAsia="en-US"/>
              </w:rPr>
            </w:pPr>
          </w:p>
        </w:tc>
      </w:tr>
      <w:tr w:rsidR="0031726A">
        <w:trPr>
          <w:cantSplit/>
          <w:jc w:val="center"/>
        </w:trPr>
        <w:tc>
          <w:tcPr>
            <w:tcW w:w="2880" w:type="dxa"/>
            <w:shd w:val="clear" w:color="auto" w:fill="auto"/>
          </w:tcPr>
          <w:p w:rsidR="0031726A" w:rsidRDefault="003C1B9D">
            <w:pPr>
              <w:keepNext/>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E. Time to enter information</w:t>
            </w:r>
          </w:p>
        </w:tc>
        <w:tc>
          <w:tcPr>
            <w:tcW w:w="1170"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keepNext/>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keepNext/>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Records of reactor parameters and emission </w:t>
            </w:r>
            <w:r>
              <w:rPr>
                <w:rFonts w:eastAsia="Times New Roman"/>
                <w:color w:val="000000"/>
                <w:sz w:val="20"/>
                <w:szCs w:val="20"/>
                <w:vertAlign w:val="superscript"/>
                <w:lang w:eastAsia="en-US"/>
              </w:rPr>
              <w:t>j</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0.25</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365</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91.25</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28</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2,555.00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127.75</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255.50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2,938.25</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$275,683.22</w:t>
            </w:r>
          </w:p>
        </w:tc>
      </w:tr>
      <w:tr w:rsidR="0031726A">
        <w:trPr>
          <w:cantSplit/>
          <w:jc w:val="center"/>
        </w:trPr>
        <w:tc>
          <w:tcPr>
            <w:tcW w:w="2880" w:type="dxa"/>
            <w:shd w:val="clear" w:color="auto" w:fill="auto"/>
          </w:tcPr>
          <w:p w:rsidR="0031726A" w:rsidRDefault="003C1B9D">
            <w:pPr>
              <w:widowControl/>
              <w:autoSpaceDE/>
              <w:autoSpaceDN/>
              <w:adjustRightInd/>
              <w:ind w:left="475"/>
              <w:rPr>
                <w:rFonts w:eastAsia="Times New Roman"/>
                <w:color w:val="000000"/>
                <w:sz w:val="20"/>
                <w:szCs w:val="20"/>
                <w:lang w:eastAsia="en-US"/>
              </w:rPr>
            </w:pPr>
            <w:r>
              <w:rPr>
                <w:rFonts w:eastAsia="Times New Roman"/>
                <w:color w:val="000000"/>
                <w:sz w:val="20"/>
                <w:szCs w:val="20"/>
                <w:lang w:eastAsia="en-US"/>
              </w:rPr>
              <w:t xml:space="preserve">Records of leaks detected </w:t>
            </w:r>
            <w:r>
              <w:rPr>
                <w:rFonts w:eastAsia="Times New Roman"/>
                <w:color w:val="000000"/>
                <w:sz w:val="20"/>
                <w:szCs w:val="20"/>
                <w:vertAlign w:val="superscript"/>
                <w:lang w:eastAsia="en-US"/>
              </w:rPr>
              <w:t>k</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52</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52.00</w:t>
            </w:r>
          </w:p>
        </w:tc>
        <w:tc>
          <w:tcPr>
            <w:tcW w:w="126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28</w:t>
            </w:r>
          </w:p>
        </w:tc>
        <w:tc>
          <w:tcPr>
            <w:tcW w:w="1151"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1,456.00</w:t>
            </w:r>
          </w:p>
        </w:tc>
        <w:tc>
          <w:tcPr>
            <w:tcW w:w="99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72.80</w:t>
            </w:r>
          </w:p>
        </w:tc>
        <w:tc>
          <w:tcPr>
            <w:tcW w:w="914"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145.60</w:t>
            </w: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1,674.40</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$157,101.67</w:t>
            </w: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F. Time to train personnel</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N/A</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lastRenderedPageBreak/>
              <w:t>G. Time for audits</w:t>
            </w:r>
          </w:p>
        </w:tc>
        <w:tc>
          <w:tcPr>
            <w:tcW w:w="117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N/A</w:t>
            </w: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r>
      <w:tr w:rsidR="0031726A">
        <w:trPr>
          <w:cantSplit/>
          <w:jc w:val="center"/>
        </w:trPr>
        <w:tc>
          <w:tcPr>
            <w:tcW w:w="2880" w:type="dxa"/>
            <w:shd w:val="clear" w:color="auto" w:fill="auto"/>
          </w:tcPr>
          <w:p w:rsidR="0031726A" w:rsidRDefault="003C1B9D">
            <w:pPr>
              <w:widowControl/>
              <w:autoSpaceDE/>
              <w:autoSpaceDN/>
              <w:adjustRightInd/>
              <w:rPr>
                <w:rFonts w:eastAsia="Times New Roman"/>
                <w:i/>
                <w:iCs/>
                <w:sz w:val="20"/>
                <w:szCs w:val="20"/>
                <w:lang w:eastAsia="en-US"/>
              </w:rPr>
            </w:pPr>
            <w:r>
              <w:rPr>
                <w:rFonts w:eastAsia="Times New Roman"/>
                <w:i/>
                <w:iCs/>
                <w:sz w:val="20"/>
                <w:szCs w:val="20"/>
                <w:lang w:eastAsia="en-US"/>
              </w:rPr>
              <w:t>Recordkeeping Subtotal</w:t>
            </w:r>
          </w:p>
        </w:tc>
        <w:tc>
          <w:tcPr>
            <w:tcW w:w="117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990" w:type="dxa"/>
            <w:shd w:val="clear" w:color="auto" w:fill="auto"/>
          </w:tcPr>
          <w:p w:rsidR="0031726A" w:rsidRDefault="003C1B9D">
            <w:pPr>
              <w:widowControl/>
              <w:autoSpaceDE/>
              <w:autoSpaceDN/>
              <w:adjustRightInd/>
              <w:jc w:val="center"/>
              <w:rPr>
                <w:rFonts w:eastAsia="Times New Roman"/>
                <w:i/>
                <w:iCs/>
                <w:sz w:val="20"/>
                <w:szCs w:val="20"/>
                <w:lang w:eastAsia="en-US"/>
              </w:rPr>
            </w:pPr>
            <w:r>
              <w:rPr>
                <w:rFonts w:eastAsia="Times New Roman"/>
                <w:i/>
                <w:iCs/>
                <w:sz w:val="20"/>
                <w:szCs w:val="20"/>
                <w:lang w:eastAsia="en-US"/>
              </w:rPr>
              <w:t>4,613</w:t>
            </w:r>
          </w:p>
        </w:tc>
        <w:tc>
          <w:tcPr>
            <w:tcW w:w="1170" w:type="dxa"/>
            <w:shd w:val="clear" w:color="auto" w:fill="auto"/>
          </w:tcPr>
          <w:p w:rsidR="0031726A" w:rsidRDefault="003C1B9D">
            <w:pPr>
              <w:widowControl/>
              <w:autoSpaceDE/>
              <w:autoSpaceDN/>
              <w:adjustRightInd/>
              <w:jc w:val="center"/>
              <w:rPr>
                <w:rFonts w:eastAsia="Times New Roman"/>
                <w:i/>
                <w:iCs/>
                <w:sz w:val="20"/>
                <w:szCs w:val="20"/>
                <w:lang w:eastAsia="en-US"/>
              </w:rPr>
            </w:pPr>
            <w:r>
              <w:rPr>
                <w:rFonts w:eastAsia="Times New Roman"/>
                <w:i/>
                <w:iCs/>
                <w:sz w:val="20"/>
                <w:szCs w:val="20"/>
                <w:lang w:eastAsia="en-US"/>
              </w:rPr>
              <w:t>$432,785</w:t>
            </w:r>
          </w:p>
        </w:tc>
      </w:tr>
      <w:tr w:rsidR="0031726A">
        <w:trPr>
          <w:cantSplit/>
          <w:jc w:val="center"/>
        </w:trPr>
        <w:tc>
          <w:tcPr>
            <w:tcW w:w="2880" w:type="dxa"/>
            <w:shd w:val="clear" w:color="auto" w:fill="auto"/>
          </w:tcPr>
          <w:p w:rsidR="0031726A" w:rsidRDefault="003C1B9D">
            <w:pPr>
              <w:widowControl/>
              <w:autoSpaceDE/>
              <w:autoSpaceDN/>
              <w:adjustRightInd/>
              <w:rPr>
                <w:rFonts w:eastAsia="Times New Roman"/>
                <w:bCs/>
                <w:sz w:val="20"/>
                <w:szCs w:val="20"/>
                <w:lang w:eastAsia="en-US"/>
              </w:rPr>
            </w:pPr>
            <w:r>
              <w:rPr>
                <w:rFonts w:eastAsia="Times New Roman"/>
                <w:bCs/>
                <w:sz w:val="20"/>
                <w:szCs w:val="20"/>
                <w:lang w:eastAsia="en-US"/>
              </w:rPr>
              <w:t xml:space="preserve">TOTAL ANNUAL BURDEN AND </w:t>
            </w:r>
            <w:r w:rsidR="005916D6">
              <w:rPr>
                <w:rFonts w:eastAsia="Times New Roman"/>
                <w:bCs/>
                <w:sz w:val="20"/>
                <w:szCs w:val="20"/>
                <w:lang w:eastAsia="en-US"/>
              </w:rPr>
              <w:t xml:space="preserve">LABOR </w:t>
            </w:r>
            <w:r>
              <w:rPr>
                <w:rFonts w:eastAsia="Times New Roman"/>
                <w:bCs/>
                <w:sz w:val="20"/>
                <w:szCs w:val="20"/>
                <w:lang w:eastAsia="en-US"/>
              </w:rPr>
              <w:t>COST</w:t>
            </w: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7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26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151"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14"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990"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11,826</w:t>
            </w:r>
          </w:p>
        </w:tc>
        <w:tc>
          <w:tcPr>
            <w:tcW w:w="117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$1,109,531</w:t>
            </w:r>
          </w:p>
        </w:tc>
      </w:tr>
    </w:tbl>
    <w:p w:rsidR="0031726A" w:rsidRDefault="003C1B9D">
      <w:pPr>
        <w:rPr>
          <w:sz w:val="20"/>
          <w:szCs w:val="20"/>
        </w:rPr>
      </w:pPr>
      <w:r>
        <w:rPr>
          <w:sz w:val="20"/>
          <w:szCs w:val="20"/>
        </w:rPr>
        <w:t>N/A = Not Applicable.</w:t>
      </w:r>
    </w:p>
    <w:p w:rsidR="0031726A" w:rsidRDefault="0031726A">
      <w:pPr>
        <w:rPr>
          <w:sz w:val="20"/>
          <w:szCs w:val="20"/>
        </w:rPr>
      </w:pPr>
    </w:p>
    <w:p w:rsidR="0031726A" w:rsidRDefault="003C1B9D">
      <w:pPr>
        <w:rPr>
          <w:b/>
          <w:sz w:val="20"/>
          <w:szCs w:val="20"/>
        </w:rPr>
      </w:pPr>
      <w:r>
        <w:rPr>
          <w:b/>
          <w:sz w:val="20"/>
          <w:szCs w:val="20"/>
        </w:rPr>
        <w:t>Assumptions:</w:t>
      </w:r>
    </w:p>
    <w:p w:rsidR="0031726A" w:rsidRDefault="003C1B9D">
      <w:pPr>
        <w:rPr>
          <w:sz w:val="20"/>
          <w:szCs w:val="20"/>
        </w:rPr>
      </w:pPr>
      <w:r>
        <w:rPr>
          <w:sz w:val="20"/>
          <w:szCs w:val="20"/>
          <w:vertAlign w:val="superscript"/>
        </w:rPr>
        <w:t>a</w:t>
      </w:r>
      <w:r>
        <w:rPr>
          <w:sz w:val="20"/>
          <w:szCs w:val="20"/>
        </w:rPr>
        <w:t xml:space="preserve">  We have assumed that there are approximately 28 sources that are subject to the standard.  We have further assumed that there will be no new growth in the industry over the next three years.</w:t>
      </w:r>
    </w:p>
    <w:p w:rsidR="0031726A" w:rsidRDefault="003C1B9D">
      <w:pPr>
        <w:rPr>
          <w:sz w:val="20"/>
          <w:szCs w:val="20"/>
        </w:rPr>
      </w:pPr>
      <w:r>
        <w:rPr>
          <w:sz w:val="20"/>
          <w:szCs w:val="20"/>
          <w:vertAlign w:val="superscript"/>
        </w:rPr>
        <w:t>b</w:t>
      </w:r>
      <w:r>
        <w:rPr>
          <w:sz w:val="20"/>
          <w:szCs w:val="20"/>
        </w:rPr>
        <w:t xml:space="preserve">  This ICR uses the following labor rates: $116.05 for managerial labor, $97.21 for technical labor, and $48.87 for clerical labor.  These rates are from the U.S. Department of Labor, Bureau of Labor Statistics, March 2010.  The rates have been increased by 1</w:t>
      </w:r>
      <w:r w:rsidR="005916D6">
        <w:rPr>
          <w:sz w:val="20"/>
          <w:szCs w:val="20"/>
        </w:rPr>
        <w:t>1</w:t>
      </w:r>
      <w:r>
        <w:rPr>
          <w:sz w:val="20"/>
          <w:szCs w:val="20"/>
        </w:rPr>
        <w:t>0 percent to account for overhead.</w:t>
      </w:r>
    </w:p>
    <w:p w:rsidR="0031726A" w:rsidRDefault="003C1B9D">
      <w:pPr>
        <w:rPr>
          <w:sz w:val="20"/>
          <w:szCs w:val="20"/>
        </w:rPr>
      </w:pPr>
      <w:r>
        <w:rPr>
          <w:sz w:val="20"/>
          <w:szCs w:val="20"/>
          <w:vertAlign w:val="superscript"/>
        </w:rPr>
        <w:t>c</w:t>
      </w:r>
      <w:r>
        <w:rPr>
          <w:sz w:val="20"/>
          <w:szCs w:val="20"/>
        </w:rPr>
        <w:t xml:space="preserve">  We have assumed that it will take 60 hours to complete the performance tests.</w:t>
      </w:r>
    </w:p>
    <w:p w:rsidR="0031726A" w:rsidRDefault="003C1B9D">
      <w:pPr>
        <w:rPr>
          <w:sz w:val="20"/>
          <w:szCs w:val="20"/>
        </w:rPr>
      </w:pPr>
      <w:r>
        <w:rPr>
          <w:sz w:val="20"/>
          <w:szCs w:val="20"/>
          <w:vertAlign w:val="superscript"/>
        </w:rPr>
        <w:t>d</w:t>
      </w:r>
      <w:r>
        <w:rPr>
          <w:sz w:val="20"/>
          <w:szCs w:val="20"/>
        </w:rPr>
        <w:t xml:space="preserve">  We have assumed that 20 percent of initial performance tests must be repeated due to failure.</w:t>
      </w:r>
    </w:p>
    <w:p w:rsidR="0031726A" w:rsidRDefault="003C1B9D">
      <w:pPr>
        <w:rPr>
          <w:sz w:val="20"/>
          <w:szCs w:val="20"/>
        </w:rPr>
      </w:pPr>
      <w:r>
        <w:rPr>
          <w:sz w:val="20"/>
          <w:szCs w:val="20"/>
          <w:vertAlign w:val="superscript"/>
        </w:rPr>
        <w:t>e</w:t>
      </w:r>
      <w:r>
        <w:rPr>
          <w:sz w:val="20"/>
          <w:szCs w:val="20"/>
        </w:rPr>
        <w:t xml:space="preserve">  Assumed that there will be no physical or operational changes over the next three years.</w:t>
      </w:r>
    </w:p>
    <w:p w:rsidR="0031726A" w:rsidRDefault="003C1B9D">
      <w:pPr>
        <w:rPr>
          <w:sz w:val="20"/>
          <w:szCs w:val="20"/>
        </w:rPr>
      </w:pPr>
      <w:r>
        <w:rPr>
          <w:sz w:val="20"/>
          <w:szCs w:val="20"/>
          <w:vertAlign w:val="superscript"/>
        </w:rPr>
        <w:t xml:space="preserve">f  </w:t>
      </w:r>
      <w:r>
        <w:rPr>
          <w:sz w:val="20"/>
          <w:szCs w:val="20"/>
        </w:rPr>
        <w:t>Assume it will take eight hours to prepare application for waiver of testing.</w:t>
      </w:r>
    </w:p>
    <w:p w:rsidR="0031726A" w:rsidRDefault="003C1B9D">
      <w:pPr>
        <w:rPr>
          <w:sz w:val="20"/>
          <w:szCs w:val="20"/>
        </w:rPr>
      </w:pPr>
      <w:r>
        <w:rPr>
          <w:sz w:val="20"/>
          <w:szCs w:val="20"/>
          <w:vertAlign w:val="superscript"/>
        </w:rPr>
        <w:t>g</w:t>
      </w:r>
      <w:r>
        <w:rPr>
          <w:sz w:val="20"/>
          <w:szCs w:val="20"/>
        </w:rPr>
        <w:t xml:space="preserve">  Assume it will take 40 hours to prepare application for equivalency.</w:t>
      </w:r>
    </w:p>
    <w:p w:rsidR="0031726A" w:rsidRDefault="003C1B9D">
      <w:pPr>
        <w:rPr>
          <w:sz w:val="20"/>
          <w:szCs w:val="20"/>
        </w:rPr>
      </w:pPr>
      <w:r>
        <w:rPr>
          <w:sz w:val="20"/>
          <w:szCs w:val="20"/>
          <w:vertAlign w:val="superscript"/>
        </w:rPr>
        <w:t>h</w:t>
      </w:r>
      <w:r>
        <w:rPr>
          <w:sz w:val="20"/>
          <w:szCs w:val="20"/>
        </w:rPr>
        <w:t xml:space="preserve">  We have assumed that it will take 50 hours to prepare the quarterly report.</w:t>
      </w:r>
    </w:p>
    <w:p w:rsidR="0031726A" w:rsidRDefault="003C1B9D">
      <w:pPr>
        <w:rPr>
          <w:sz w:val="20"/>
          <w:szCs w:val="20"/>
        </w:rPr>
      </w:pPr>
      <w:r>
        <w:rPr>
          <w:sz w:val="20"/>
          <w:szCs w:val="20"/>
          <w:vertAlign w:val="superscript"/>
        </w:rPr>
        <w:t>i</w:t>
      </w:r>
      <w:r>
        <w:rPr>
          <w:sz w:val="20"/>
          <w:szCs w:val="20"/>
        </w:rPr>
        <w:t xml:space="preserve">  We have estimated that there will be three discharges of manual vent valve/relief valve discharge (MVV/RVD) per year.</w:t>
      </w:r>
    </w:p>
    <w:p w:rsidR="0031726A" w:rsidRDefault="003C1B9D">
      <w:pPr>
        <w:rPr>
          <w:sz w:val="20"/>
          <w:szCs w:val="20"/>
        </w:rPr>
      </w:pPr>
      <w:r>
        <w:rPr>
          <w:sz w:val="20"/>
          <w:szCs w:val="20"/>
          <w:vertAlign w:val="superscript"/>
        </w:rPr>
        <w:t>j</w:t>
      </w:r>
      <w:r>
        <w:rPr>
          <w:sz w:val="20"/>
          <w:szCs w:val="20"/>
        </w:rPr>
        <w:t xml:space="preserve">  Assume that affected facilities will operate 365 days per year as required of all facilities that are subject to the rule.</w:t>
      </w:r>
    </w:p>
    <w:p w:rsidR="0031726A" w:rsidRDefault="003C1B9D">
      <w:pPr>
        <w:rPr>
          <w:sz w:val="20"/>
          <w:szCs w:val="20"/>
        </w:rPr>
      </w:pPr>
      <w:r>
        <w:rPr>
          <w:sz w:val="20"/>
          <w:szCs w:val="20"/>
          <w:vertAlign w:val="superscript"/>
        </w:rPr>
        <w:t>k</w:t>
      </w:r>
      <w:r>
        <w:rPr>
          <w:sz w:val="20"/>
          <w:szCs w:val="20"/>
        </w:rPr>
        <w:t xml:space="preserve">  It is estimated that it will occur 52 times per year to enter records of leak detection.</w:t>
      </w:r>
    </w:p>
    <w:p w:rsidR="0031726A" w:rsidRDefault="003C1B9D">
      <w:pPr>
        <w:jc w:val="center"/>
        <w:rPr>
          <w:b/>
        </w:rPr>
      </w:pPr>
      <w:r>
        <w:rPr>
          <w:sz w:val="18"/>
          <w:szCs w:val="18"/>
        </w:rPr>
        <w:br w:type="page"/>
      </w:r>
      <w:r>
        <w:rPr>
          <w:b/>
        </w:rPr>
        <w:lastRenderedPageBreak/>
        <w:t>Table 2. Annual Agency Burden and Cost, NESHAP for Vinyl Chloride (40 CFR Part 61, Subpart F) (Renewal)</w:t>
      </w:r>
    </w:p>
    <w:p w:rsidR="0031726A" w:rsidRDefault="0031726A">
      <w:pPr>
        <w:ind w:firstLine="720"/>
        <w:jc w:val="center"/>
      </w:pPr>
    </w:p>
    <w:tbl>
      <w:tblPr>
        <w:tblW w:w="13922" w:type="dxa"/>
        <w:jc w:val="center"/>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000"/>
      </w:tblPr>
      <w:tblGrid>
        <w:gridCol w:w="3864"/>
        <w:gridCol w:w="1125"/>
        <w:gridCol w:w="1305"/>
        <w:gridCol w:w="810"/>
        <w:gridCol w:w="1440"/>
        <w:gridCol w:w="1350"/>
        <w:gridCol w:w="1350"/>
        <w:gridCol w:w="1364"/>
        <w:gridCol w:w="1314"/>
      </w:tblGrid>
      <w:tr w:rsidR="0031726A">
        <w:trPr>
          <w:cantSplit/>
          <w:jc w:val="center"/>
        </w:trPr>
        <w:tc>
          <w:tcPr>
            <w:tcW w:w="3864" w:type="dxa"/>
            <w:vMerge w:val="restart"/>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Activity </w:t>
            </w:r>
          </w:p>
        </w:tc>
        <w:tc>
          <w:tcPr>
            <w:tcW w:w="1125"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(A)</w:t>
            </w:r>
          </w:p>
        </w:tc>
        <w:tc>
          <w:tcPr>
            <w:tcW w:w="1305"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(B)</w:t>
            </w:r>
          </w:p>
        </w:tc>
        <w:tc>
          <w:tcPr>
            <w:tcW w:w="81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(C)</w:t>
            </w:r>
          </w:p>
        </w:tc>
        <w:tc>
          <w:tcPr>
            <w:tcW w:w="144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(D)</w:t>
            </w:r>
          </w:p>
        </w:tc>
        <w:tc>
          <w:tcPr>
            <w:tcW w:w="135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(E)</w:t>
            </w:r>
          </w:p>
        </w:tc>
        <w:tc>
          <w:tcPr>
            <w:tcW w:w="1350"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(F)</w:t>
            </w:r>
          </w:p>
        </w:tc>
        <w:tc>
          <w:tcPr>
            <w:tcW w:w="1364"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(G)</w:t>
            </w:r>
          </w:p>
        </w:tc>
        <w:tc>
          <w:tcPr>
            <w:tcW w:w="1314" w:type="dxa"/>
            <w:shd w:val="clear" w:color="auto" w:fill="auto"/>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(H)</w:t>
            </w:r>
          </w:p>
        </w:tc>
      </w:tr>
      <w:tr w:rsidR="0031726A">
        <w:trPr>
          <w:cantSplit/>
          <w:jc w:val="center"/>
        </w:trPr>
        <w:tc>
          <w:tcPr>
            <w:tcW w:w="3864" w:type="dxa"/>
            <w:vMerge/>
          </w:tcPr>
          <w:p w:rsidR="0031726A" w:rsidRDefault="0031726A">
            <w:pPr>
              <w:widowControl/>
              <w:autoSpaceDE/>
              <w:autoSpaceDN/>
              <w:adjustRightInd/>
              <w:rPr>
                <w:rFonts w:eastAsia="Times New Roman"/>
                <w:bCs/>
                <w:sz w:val="20"/>
                <w:szCs w:val="20"/>
                <w:lang w:eastAsia="en-US"/>
              </w:rPr>
            </w:pPr>
          </w:p>
        </w:tc>
        <w:tc>
          <w:tcPr>
            <w:tcW w:w="1125"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EPA person- hours per occurrence</w:t>
            </w:r>
          </w:p>
        </w:tc>
        <w:tc>
          <w:tcPr>
            <w:tcW w:w="1305"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No. of occurrences per plant per year</w:t>
            </w:r>
          </w:p>
        </w:tc>
        <w:tc>
          <w:tcPr>
            <w:tcW w:w="81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Plants per year </w:t>
            </w:r>
            <w:r>
              <w:rPr>
                <w:rFonts w:eastAsia="Times New Roman"/>
                <w:bCs/>
                <w:sz w:val="20"/>
                <w:szCs w:val="20"/>
                <w:vertAlign w:val="superscript"/>
                <w:lang w:eastAsia="en-US"/>
              </w:rPr>
              <w:t>a</w:t>
            </w:r>
          </w:p>
        </w:tc>
        <w:tc>
          <w:tcPr>
            <w:tcW w:w="144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Technical person- hours per year </w:t>
            </w:r>
            <w:r>
              <w:rPr>
                <w:rFonts w:eastAsia="Times New Roman"/>
                <w:bCs/>
                <w:sz w:val="20"/>
                <w:szCs w:val="20"/>
                <w:lang w:eastAsia="en-US"/>
              </w:rPr>
              <w:br/>
              <w:t>(D = A×B×C)</w:t>
            </w:r>
          </w:p>
        </w:tc>
        <w:tc>
          <w:tcPr>
            <w:tcW w:w="135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Management person-hours per year </w:t>
            </w:r>
            <w:r>
              <w:rPr>
                <w:rFonts w:eastAsia="Times New Roman"/>
                <w:bCs/>
                <w:sz w:val="20"/>
                <w:szCs w:val="20"/>
                <w:lang w:eastAsia="en-US"/>
              </w:rPr>
              <w:br/>
              <w:t>(D×0.05)</w:t>
            </w:r>
          </w:p>
        </w:tc>
        <w:tc>
          <w:tcPr>
            <w:tcW w:w="1350"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Clerical person-hours per year </w:t>
            </w:r>
            <w:r>
              <w:rPr>
                <w:rFonts w:eastAsia="Times New Roman"/>
                <w:bCs/>
                <w:sz w:val="20"/>
                <w:szCs w:val="20"/>
                <w:lang w:eastAsia="en-US"/>
              </w:rPr>
              <w:br/>
              <w:t>(D×0.1)</w:t>
            </w:r>
          </w:p>
        </w:tc>
        <w:tc>
          <w:tcPr>
            <w:tcW w:w="1364"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Total</w:t>
            </w:r>
            <w:r>
              <w:rPr>
                <w:rFonts w:eastAsia="Times New Roman"/>
                <w:bCs/>
                <w:sz w:val="20"/>
                <w:szCs w:val="20"/>
                <w:lang w:eastAsia="en-US"/>
              </w:rPr>
              <w:br/>
              <w:t>Hours/Year</w:t>
            </w:r>
            <w:r>
              <w:rPr>
                <w:rFonts w:eastAsia="Times New Roman"/>
                <w:bCs/>
                <w:sz w:val="20"/>
                <w:szCs w:val="20"/>
                <w:lang w:eastAsia="en-US"/>
              </w:rPr>
              <w:br/>
              <w:t>(H = E+F+G)</w:t>
            </w:r>
          </w:p>
        </w:tc>
        <w:tc>
          <w:tcPr>
            <w:tcW w:w="1314" w:type="dxa"/>
            <w:shd w:val="clear" w:color="auto" w:fill="auto"/>
          </w:tcPr>
          <w:p w:rsidR="0031726A" w:rsidRDefault="003C1B9D">
            <w:pPr>
              <w:widowControl/>
              <w:autoSpaceDE/>
              <w:autoSpaceDN/>
              <w:adjustRightInd/>
              <w:jc w:val="center"/>
              <w:rPr>
                <w:rFonts w:eastAsia="Times New Roman"/>
                <w:bCs/>
                <w:sz w:val="20"/>
                <w:szCs w:val="20"/>
                <w:lang w:eastAsia="en-US"/>
              </w:rPr>
            </w:pPr>
            <w:r>
              <w:rPr>
                <w:rFonts w:eastAsia="Times New Roman"/>
                <w:bCs/>
                <w:sz w:val="20"/>
                <w:szCs w:val="20"/>
                <w:lang w:eastAsia="en-US"/>
              </w:rPr>
              <w:t xml:space="preserve">Cost </w:t>
            </w:r>
            <w:r>
              <w:rPr>
                <w:rFonts w:eastAsia="Times New Roman"/>
                <w:bCs/>
                <w:sz w:val="20"/>
                <w:szCs w:val="20"/>
                <w:vertAlign w:val="superscript"/>
                <w:lang w:eastAsia="en-US"/>
              </w:rPr>
              <w:t>b</w:t>
            </w:r>
            <w:r>
              <w:rPr>
                <w:rFonts w:eastAsia="Times New Roman"/>
                <w:bCs/>
                <w:sz w:val="20"/>
                <w:szCs w:val="20"/>
                <w:lang w:eastAsia="en-US"/>
              </w:rPr>
              <w:t xml:space="preserve"> ($)</w:t>
            </w:r>
          </w:p>
        </w:tc>
      </w:tr>
      <w:tr w:rsidR="0031726A">
        <w:trPr>
          <w:cantSplit/>
          <w:jc w:val="center"/>
        </w:trPr>
        <w:tc>
          <w:tcPr>
            <w:tcW w:w="3864" w:type="dxa"/>
            <w:shd w:val="clear" w:color="auto" w:fill="auto"/>
          </w:tcPr>
          <w:p w:rsidR="0031726A" w:rsidRDefault="003C1B9D">
            <w:pPr>
              <w:widowControl/>
              <w:autoSpaceDE/>
              <w:autoSpaceDN/>
              <w:adjustRightInd/>
              <w:rPr>
                <w:rFonts w:eastAsia="Times New Roman"/>
                <w:color w:val="000000"/>
                <w:sz w:val="20"/>
                <w:szCs w:val="20"/>
                <w:lang w:eastAsia="en-US"/>
              </w:rPr>
            </w:pPr>
            <w:r>
              <w:rPr>
                <w:rFonts w:eastAsia="Times New Roman"/>
                <w:color w:val="000000"/>
                <w:sz w:val="20"/>
                <w:szCs w:val="20"/>
                <w:lang w:eastAsia="en-US"/>
              </w:rPr>
              <w:t xml:space="preserve">1. Initial performance test </w:t>
            </w:r>
            <w:r>
              <w:rPr>
                <w:rFonts w:eastAsia="Times New Roman"/>
                <w:color w:val="000000"/>
                <w:sz w:val="20"/>
                <w:szCs w:val="20"/>
                <w:vertAlign w:val="superscript"/>
                <w:lang w:eastAsia="en-US"/>
              </w:rPr>
              <w:t>c</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rPr>
                <w:rFonts w:eastAsia="Times New Roman"/>
                <w:color w:val="000000"/>
                <w:sz w:val="20"/>
                <w:szCs w:val="20"/>
                <w:lang w:eastAsia="en-US"/>
              </w:rPr>
            </w:pPr>
            <w:r>
              <w:rPr>
                <w:rFonts w:eastAsia="Times New Roman"/>
                <w:color w:val="000000"/>
                <w:sz w:val="20"/>
                <w:szCs w:val="20"/>
                <w:lang w:eastAsia="en-US"/>
              </w:rPr>
              <w:t xml:space="preserve">2. Repeat performance test </w:t>
            </w:r>
            <w:r>
              <w:rPr>
                <w:rFonts w:eastAsia="Times New Roman"/>
                <w:color w:val="000000"/>
                <w:sz w:val="20"/>
                <w:szCs w:val="20"/>
                <w:vertAlign w:val="superscript"/>
                <w:lang w:eastAsia="en-US"/>
              </w:rPr>
              <w:t>d</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0.2</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rPr>
                <w:rFonts w:eastAsia="Times New Roman"/>
                <w:color w:val="000000"/>
                <w:sz w:val="20"/>
                <w:szCs w:val="20"/>
                <w:lang w:eastAsia="en-US"/>
              </w:rPr>
            </w:pPr>
            <w:r>
              <w:rPr>
                <w:rFonts w:eastAsia="Times New Roman"/>
                <w:color w:val="000000"/>
                <w:sz w:val="20"/>
                <w:szCs w:val="20"/>
                <w:lang w:eastAsia="en-US"/>
              </w:rPr>
              <w:t>3. Report review</w:t>
            </w:r>
          </w:p>
        </w:tc>
        <w:tc>
          <w:tcPr>
            <w:tcW w:w="112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0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81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44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5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5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64" w:type="dxa"/>
            <w:shd w:val="clear" w:color="auto" w:fill="auto"/>
            <w:noWrap/>
          </w:tcPr>
          <w:p w:rsidR="0031726A" w:rsidRDefault="0031726A">
            <w:pPr>
              <w:widowControl/>
              <w:autoSpaceDE/>
              <w:autoSpaceDN/>
              <w:adjustRightInd/>
              <w:jc w:val="center"/>
              <w:rPr>
                <w:rFonts w:eastAsia="Times New Roman"/>
                <w:sz w:val="20"/>
                <w:szCs w:val="20"/>
                <w:lang w:eastAsia="en-US"/>
              </w:rPr>
            </w:pP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w:t>
            </w:r>
          </w:p>
        </w:tc>
      </w:tr>
      <w:tr w:rsidR="0031726A">
        <w:trPr>
          <w:cantSplit/>
          <w:jc w:val="center"/>
        </w:trPr>
        <w:tc>
          <w:tcPr>
            <w:tcW w:w="3864" w:type="dxa"/>
            <w:shd w:val="clear" w:color="auto" w:fill="auto"/>
          </w:tcPr>
          <w:p w:rsidR="0031726A" w:rsidRDefault="003C1B9D">
            <w:pPr>
              <w:ind w:left="216"/>
              <w:rPr>
                <w:sz w:val="20"/>
                <w:szCs w:val="20"/>
                <w:lang w:eastAsia="en-US"/>
              </w:rPr>
            </w:pPr>
            <w:r>
              <w:rPr>
                <w:sz w:val="20"/>
                <w:szCs w:val="20"/>
              </w:rPr>
              <w:t>Notification</w:t>
            </w:r>
            <w:r>
              <w:rPr>
                <w:sz w:val="20"/>
                <w:szCs w:val="20"/>
                <w:lang w:eastAsia="en-US"/>
              </w:rPr>
              <w:t xml:space="preserve"> of construction/reconstruction</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Notification of anticipated startup</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0.5</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 xml:space="preserve">Notification of actual startup </w:t>
            </w:r>
            <w:r>
              <w:rPr>
                <w:rFonts w:eastAsia="Times New Roman"/>
                <w:color w:val="000000"/>
                <w:sz w:val="20"/>
                <w:szCs w:val="20"/>
                <w:vertAlign w:val="superscript"/>
                <w:lang w:eastAsia="en-US"/>
              </w:rPr>
              <w:t>b</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0.5</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Notification of emission testing</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0.5</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Notification of physical or operational change </w:t>
            </w:r>
            <w:r>
              <w:rPr>
                <w:rFonts w:eastAsia="Times New Roman"/>
                <w:color w:val="000000"/>
                <w:sz w:val="20"/>
                <w:szCs w:val="20"/>
                <w:vertAlign w:val="superscript"/>
                <w:lang w:eastAsia="en-US"/>
              </w:rPr>
              <w:t>e</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0.5</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 xml:space="preserve">Emission test report </w:t>
            </w:r>
            <w:r>
              <w:rPr>
                <w:rFonts w:eastAsia="Times New Roman"/>
                <w:color w:val="000000"/>
                <w:sz w:val="20"/>
                <w:szCs w:val="20"/>
                <w:vertAlign w:val="superscript"/>
                <w:lang w:eastAsia="en-US"/>
              </w:rPr>
              <w:t>f</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 xml:space="preserve">Application for waiver of testing </w:t>
            </w:r>
            <w:r>
              <w:rPr>
                <w:rFonts w:eastAsia="Times New Roman"/>
                <w:color w:val="000000"/>
                <w:sz w:val="20"/>
                <w:szCs w:val="20"/>
                <w:vertAlign w:val="superscript"/>
                <w:lang w:eastAsia="en-US"/>
              </w:rPr>
              <w:t>g</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Application for equivalency</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Initial report</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0.00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$0.00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 xml:space="preserve">Quarterly report </w:t>
            </w:r>
            <w:r>
              <w:rPr>
                <w:rFonts w:eastAsia="Times New Roman"/>
                <w:color w:val="000000"/>
                <w:sz w:val="20"/>
                <w:szCs w:val="20"/>
                <w:vertAlign w:val="superscript"/>
                <w:lang w:eastAsia="en-US"/>
              </w:rPr>
              <w:t>h</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4</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28</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448.00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22.40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44.8</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515.20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$23,217.38 </w:t>
            </w:r>
          </w:p>
        </w:tc>
      </w:tr>
      <w:tr w:rsidR="0031726A">
        <w:trPr>
          <w:cantSplit/>
          <w:jc w:val="center"/>
        </w:trPr>
        <w:tc>
          <w:tcPr>
            <w:tcW w:w="3864" w:type="dxa"/>
            <w:shd w:val="clear" w:color="auto" w:fill="auto"/>
          </w:tcPr>
          <w:p w:rsidR="0031726A" w:rsidRDefault="003C1B9D">
            <w:pPr>
              <w:widowControl/>
              <w:autoSpaceDE/>
              <w:autoSpaceDN/>
              <w:adjustRightInd/>
              <w:ind w:left="216"/>
              <w:rPr>
                <w:rFonts w:eastAsia="Times New Roman"/>
                <w:color w:val="000000"/>
                <w:sz w:val="20"/>
                <w:szCs w:val="20"/>
                <w:lang w:eastAsia="en-US"/>
              </w:rPr>
            </w:pPr>
            <w:r>
              <w:rPr>
                <w:rFonts w:eastAsia="Times New Roman"/>
                <w:color w:val="000000"/>
                <w:sz w:val="20"/>
                <w:szCs w:val="20"/>
                <w:lang w:eastAsia="en-US"/>
              </w:rPr>
              <w:t xml:space="preserve">MVV/RVD report </w:t>
            </w:r>
            <w:r>
              <w:rPr>
                <w:rFonts w:eastAsia="Times New Roman"/>
                <w:color w:val="000000"/>
                <w:sz w:val="20"/>
                <w:szCs w:val="20"/>
                <w:vertAlign w:val="superscript"/>
                <w:lang w:eastAsia="en-US"/>
              </w:rPr>
              <w:t>i</w:t>
            </w:r>
          </w:p>
        </w:tc>
        <w:tc>
          <w:tcPr>
            <w:tcW w:w="112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24</w:t>
            </w:r>
          </w:p>
        </w:tc>
        <w:tc>
          <w:tcPr>
            <w:tcW w:w="1305"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3</w:t>
            </w:r>
          </w:p>
        </w:tc>
        <w:tc>
          <w:tcPr>
            <w:tcW w:w="81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28</w:t>
            </w:r>
          </w:p>
        </w:tc>
        <w:tc>
          <w:tcPr>
            <w:tcW w:w="144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2,016.00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100.80</w:t>
            </w:r>
          </w:p>
        </w:tc>
        <w:tc>
          <w:tcPr>
            <w:tcW w:w="1350" w:type="dxa"/>
            <w:shd w:val="clear" w:color="auto" w:fill="auto"/>
          </w:tcPr>
          <w:p w:rsidR="0031726A" w:rsidRDefault="003C1B9D">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201.6</w:t>
            </w: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2318.40</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$104,478.19 </w:t>
            </w:r>
          </w:p>
        </w:tc>
      </w:tr>
      <w:tr w:rsidR="0031726A">
        <w:trPr>
          <w:cantSplit/>
          <w:jc w:val="center"/>
        </w:trPr>
        <w:tc>
          <w:tcPr>
            <w:tcW w:w="3864" w:type="dxa"/>
            <w:shd w:val="clear" w:color="auto" w:fill="auto"/>
          </w:tcPr>
          <w:p w:rsidR="0031726A" w:rsidRDefault="003C1B9D">
            <w:pPr>
              <w:widowControl/>
              <w:autoSpaceDE/>
              <w:autoSpaceDN/>
              <w:adjustRightInd/>
              <w:rPr>
                <w:rFonts w:eastAsia="Times New Roman"/>
                <w:i/>
                <w:iCs/>
                <w:sz w:val="20"/>
                <w:szCs w:val="20"/>
                <w:lang w:eastAsia="en-US"/>
              </w:rPr>
            </w:pPr>
            <w:r>
              <w:rPr>
                <w:rFonts w:eastAsia="Times New Roman"/>
                <w:i/>
                <w:iCs/>
                <w:sz w:val="20"/>
                <w:szCs w:val="20"/>
                <w:lang w:eastAsia="en-US"/>
              </w:rPr>
              <w:t>Report Review Subtotal</w:t>
            </w:r>
          </w:p>
        </w:tc>
        <w:tc>
          <w:tcPr>
            <w:tcW w:w="1125"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305"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81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44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35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350" w:type="dxa"/>
            <w:shd w:val="clear" w:color="auto" w:fill="auto"/>
          </w:tcPr>
          <w:p w:rsidR="0031726A" w:rsidRDefault="0031726A">
            <w:pPr>
              <w:widowControl/>
              <w:autoSpaceDE/>
              <w:autoSpaceDN/>
              <w:adjustRightInd/>
              <w:jc w:val="center"/>
              <w:rPr>
                <w:rFonts w:eastAsia="Times New Roman"/>
                <w:i/>
                <w:iCs/>
                <w:sz w:val="20"/>
                <w:szCs w:val="20"/>
                <w:lang w:eastAsia="en-US"/>
              </w:rPr>
            </w:pPr>
          </w:p>
        </w:tc>
        <w:tc>
          <w:tcPr>
            <w:tcW w:w="1364" w:type="dxa"/>
            <w:shd w:val="clear" w:color="auto" w:fill="auto"/>
          </w:tcPr>
          <w:p w:rsidR="0031726A" w:rsidRDefault="003C1B9D">
            <w:pPr>
              <w:widowControl/>
              <w:autoSpaceDE/>
              <w:autoSpaceDN/>
              <w:adjustRightInd/>
              <w:jc w:val="center"/>
              <w:rPr>
                <w:rFonts w:eastAsia="Times New Roman"/>
                <w:i/>
                <w:iCs/>
                <w:sz w:val="20"/>
                <w:szCs w:val="20"/>
                <w:lang w:eastAsia="en-US"/>
              </w:rPr>
            </w:pPr>
            <w:r>
              <w:rPr>
                <w:rFonts w:eastAsia="Times New Roman"/>
                <w:i/>
                <w:iCs/>
                <w:sz w:val="20"/>
                <w:szCs w:val="20"/>
                <w:lang w:eastAsia="en-US"/>
              </w:rPr>
              <w:t>2,834</w:t>
            </w:r>
          </w:p>
        </w:tc>
        <w:tc>
          <w:tcPr>
            <w:tcW w:w="1314" w:type="dxa"/>
            <w:shd w:val="clear" w:color="auto" w:fill="auto"/>
          </w:tcPr>
          <w:p w:rsidR="0031726A" w:rsidRDefault="003C1B9D">
            <w:pPr>
              <w:widowControl/>
              <w:autoSpaceDE/>
              <w:autoSpaceDN/>
              <w:adjustRightInd/>
              <w:jc w:val="right"/>
              <w:rPr>
                <w:rFonts w:eastAsia="Times New Roman"/>
                <w:i/>
                <w:iCs/>
                <w:sz w:val="20"/>
                <w:szCs w:val="20"/>
                <w:lang w:eastAsia="en-US"/>
              </w:rPr>
            </w:pPr>
            <w:r>
              <w:rPr>
                <w:rFonts w:eastAsia="Times New Roman"/>
                <w:i/>
                <w:iCs/>
                <w:sz w:val="20"/>
                <w:szCs w:val="20"/>
                <w:lang w:eastAsia="en-US"/>
              </w:rPr>
              <w:t xml:space="preserve">$127,696 </w:t>
            </w:r>
          </w:p>
        </w:tc>
      </w:tr>
      <w:tr w:rsidR="0031726A">
        <w:trPr>
          <w:cantSplit/>
          <w:jc w:val="center"/>
        </w:trPr>
        <w:tc>
          <w:tcPr>
            <w:tcW w:w="3864" w:type="dxa"/>
            <w:shd w:val="clear" w:color="auto" w:fill="auto"/>
          </w:tcPr>
          <w:p w:rsidR="0031726A" w:rsidRDefault="003C1B9D">
            <w:pPr>
              <w:widowControl/>
              <w:autoSpaceDE/>
              <w:autoSpaceDN/>
              <w:adjustRightInd/>
              <w:rPr>
                <w:rFonts w:eastAsia="Times New Roman"/>
                <w:bCs/>
                <w:sz w:val="20"/>
                <w:szCs w:val="20"/>
                <w:lang w:eastAsia="en-US"/>
              </w:rPr>
            </w:pPr>
            <w:r>
              <w:rPr>
                <w:rFonts w:eastAsia="Times New Roman"/>
                <w:bCs/>
                <w:sz w:val="20"/>
                <w:szCs w:val="20"/>
                <w:lang w:eastAsia="en-US"/>
              </w:rPr>
              <w:t>TOTAL ANNUAL BURDEN</w:t>
            </w:r>
          </w:p>
        </w:tc>
        <w:tc>
          <w:tcPr>
            <w:tcW w:w="112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05"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81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44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5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50" w:type="dxa"/>
            <w:shd w:val="clear" w:color="auto" w:fill="auto"/>
          </w:tcPr>
          <w:p w:rsidR="0031726A" w:rsidRDefault="0031726A">
            <w:pPr>
              <w:widowControl/>
              <w:autoSpaceDE/>
              <w:autoSpaceDN/>
              <w:adjustRightInd/>
              <w:jc w:val="center"/>
              <w:rPr>
                <w:rFonts w:eastAsia="Times New Roman"/>
                <w:color w:val="000000"/>
                <w:sz w:val="20"/>
                <w:szCs w:val="20"/>
                <w:lang w:eastAsia="en-US"/>
              </w:rPr>
            </w:pPr>
          </w:p>
        </w:tc>
        <w:tc>
          <w:tcPr>
            <w:tcW w:w="1364" w:type="dxa"/>
            <w:shd w:val="clear" w:color="auto" w:fill="auto"/>
            <w:noWrap/>
          </w:tcPr>
          <w:p w:rsidR="0031726A" w:rsidRDefault="003C1B9D">
            <w:pPr>
              <w:widowControl/>
              <w:autoSpaceDE/>
              <w:autoSpaceDN/>
              <w:adjustRightInd/>
              <w:jc w:val="center"/>
              <w:rPr>
                <w:rFonts w:eastAsia="Times New Roman"/>
                <w:sz w:val="20"/>
                <w:szCs w:val="20"/>
                <w:lang w:eastAsia="en-US"/>
              </w:rPr>
            </w:pPr>
            <w:r>
              <w:rPr>
                <w:rFonts w:eastAsia="Times New Roman"/>
                <w:sz w:val="20"/>
                <w:szCs w:val="20"/>
                <w:lang w:eastAsia="en-US"/>
              </w:rPr>
              <w:t>2,834</w:t>
            </w:r>
          </w:p>
        </w:tc>
        <w:tc>
          <w:tcPr>
            <w:tcW w:w="1314" w:type="dxa"/>
            <w:shd w:val="clear" w:color="auto" w:fill="auto"/>
          </w:tcPr>
          <w:p w:rsidR="0031726A" w:rsidRDefault="003C1B9D">
            <w:pPr>
              <w:widowControl/>
              <w:autoSpaceDE/>
              <w:autoSpaceDN/>
              <w:adjustRightInd/>
              <w:jc w:val="right"/>
              <w:rPr>
                <w:rFonts w:eastAsia="Times New Roman"/>
                <w:color w:val="000000"/>
                <w:sz w:val="20"/>
                <w:szCs w:val="20"/>
                <w:lang w:eastAsia="en-US"/>
              </w:rPr>
            </w:pPr>
            <w:r>
              <w:rPr>
                <w:rFonts w:eastAsia="Times New Roman"/>
                <w:color w:val="000000"/>
                <w:sz w:val="20"/>
                <w:szCs w:val="20"/>
                <w:lang w:eastAsia="en-US"/>
              </w:rPr>
              <w:t xml:space="preserve">$127,696 </w:t>
            </w:r>
          </w:p>
        </w:tc>
      </w:tr>
    </w:tbl>
    <w:p w:rsidR="0031726A" w:rsidRDefault="003C1B9D">
      <w:pPr>
        <w:rPr>
          <w:sz w:val="20"/>
          <w:szCs w:val="20"/>
        </w:rPr>
      </w:pPr>
      <w:r>
        <w:rPr>
          <w:sz w:val="20"/>
          <w:szCs w:val="20"/>
        </w:rPr>
        <w:t>N/A = Not Applicable</w:t>
      </w:r>
    </w:p>
    <w:p w:rsidR="0031726A" w:rsidRDefault="0031726A">
      <w:pPr>
        <w:rPr>
          <w:b/>
          <w:sz w:val="20"/>
          <w:szCs w:val="20"/>
        </w:rPr>
      </w:pPr>
    </w:p>
    <w:p w:rsidR="0031726A" w:rsidRDefault="003C1B9D">
      <w:pPr>
        <w:rPr>
          <w:b/>
          <w:sz w:val="20"/>
          <w:szCs w:val="20"/>
        </w:rPr>
      </w:pPr>
      <w:r>
        <w:rPr>
          <w:b/>
          <w:sz w:val="20"/>
          <w:szCs w:val="20"/>
        </w:rPr>
        <w:t>Assumptions:</w:t>
      </w:r>
    </w:p>
    <w:p w:rsidR="0031726A" w:rsidRDefault="003C1B9D">
      <w:pPr>
        <w:rPr>
          <w:sz w:val="20"/>
          <w:szCs w:val="20"/>
        </w:rPr>
      </w:pPr>
      <w:r>
        <w:rPr>
          <w:vertAlign w:val="superscript"/>
        </w:rPr>
        <w:t>a</w:t>
      </w:r>
      <w:r>
        <w:rPr>
          <w:sz w:val="20"/>
          <w:szCs w:val="20"/>
        </w:rPr>
        <w:t xml:space="preserve">  We have assumed that </w:t>
      </w:r>
      <w:r w:rsidR="00090F05">
        <w:rPr>
          <w:sz w:val="20"/>
          <w:szCs w:val="20"/>
        </w:rPr>
        <w:t xml:space="preserve">there </w:t>
      </w:r>
      <w:r>
        <w:rPr>
          <w:sz w:val="20"/>
          <w:szCs w:val="20"/>
        </w:rPr>
        <w:t>are approximately twenty-eight sources that are subject to the standard.  We have further assumed that there will be no new growth in the industry over the next three years.</w:t>
      </w:r>
    </w:p>
    <w:p w:rsidR="0031726A" w:rsidRPr="00090F05" w:rsidRDefault="003C1B9D">
      <w:pPr>
        <w:rPr>
          <w:sz w:val="20"/>
          <w:szCs w:val="20"/>
        </w:rPr>
      </w:pPr>
      <w:r>
        <w:rPr>
          <w:vertAlign w:val="superscript"/>
        </w:rPr>
        <w:t>b</w:t>
      </w:r>
      <w:r>
        <w:rPr>
          <w:sz w:val="20"/>
          <w:szCs w:val="20"/>
        </w:rPr>
        <w:t xml:space="preserve">  This cost is based on the following hourly labor rates times a 1.6 benefits multiplication factor to account for government overhead expenses: $</w:t>
      </w:r>
      <w:r w:rsidR="00BA5701">
        <w:rPr>
          <w:sz w:val="20"/>
          <w:szCs w:val="20"/>
        </w:rPr>
        <w:t>62.27</w:t>
      </w:r>
      <w:r>
        <w:rPr>
          <w:sz w:val="20"/>
          <w:szCs w:val="20"/>
        </w:rPr>
        <w:t xml:space="preserve"> for Managerial (GS-13, Step 5, $</w:t>
      </w:r>
      <w:r w:rsidR="00BA5701">
        <w:rPr>
          <w:sz w:val="20"/>
          <w:szCs w:val="20"/>
        </w:rPr>
        <w:t>38.92</w:t>
      </w:r>
      <w:r>
        <w:rPr>
          <w:sz w:val="20"/>
          <w:szCs w:val="20"/>
        </w:rPr>
        <w:t xml:space="preserve"> x 1.6), $</w:t>
      </w:r>
      <w:r w:rsidR="00BA5701">
        <w:rPr>
          <w:sz w:val="20"/>
          <w:szCs w:val="20"/>
        </w:rPr>
        <w:t>46.21</w:t>
      </w:r>
      <w:r>
        <w:rPr>
          <w:sz w:val="20"/>
          <w:szCs w:val="20"/>
        </w:rPr>
        <w:t xml:space="preserve"> for Technical (GS-12, Step 1, $</w:t>
      </w:r>
      <w:r w:rsidR="00BA5701">
        <w:rPr>
          <w:sz w:val="20"/>
          <w:szCs w:val="20"/>
        </w:rPr>
        <w:t>28.88</w:t>
      </w:r>
      <w:r>
        <w:rPr>
          <w:sz w:val="20"/>
          <w:szCs w:val="20"/>
        </w:rPr>
        <w:t xml:space="preserve"> x 1.6) and $</w:t>
      </w:r>
      <w:r w:rsidR="00BA5701">
        <w:rPr>
          <w:sz w:val="20"/>
          <w:szCs w:val="20"/>
        </w:rPr>
        <w:t>25.01</w:t>
      </w:r>
      <w:r>
        <w:rPr>
          <w:sz w:val="20"/>
          <w:szCs w:val="20"/>
        </w:rPr>
        <w:t xml:space="preserve"> Clerical (GS-6, Step 3, $</w:t>
      </w:r>
      <w:r w:rsidR="00BA5701">
        <w:rPr>
          <w:sz w:val="20"/>
          <w:szCs w:val="20"/>
        </w:rPr>
        <w:t>15.63</w:t>
      </w:r>
      <w:r>
        <w:rPr>
          <w:sz w:val="20"/>
          <w:szCs w:val="20"/>
        </w:rPr>
        <w:t xml:space="preserve"> x 1.6).  These rates are from the Office of Personnel Management (</w:t>
      </w:r>
      <w:r w:rsidRPr="00090F05">
        <w:rPr>
          <w:sz w:val="20"/>
          <w:szCs w:val="20"/>
        </w:rPr>
        <w:t xml:space="preserve">OPM) </w:t>
      </w:r>
      <w:r w:rsidR="00BA5701">
        <w:rPr>
          <w:sz w:val="20"/>
          <w:szCs w:val="20"/>
        </w:rPr>
        <w:t>2010</w:t>
      </w:r>
      <w:r w:rsidRPr="00090F05">
        <w:rPr>
          <w:sz w:val="20"/>
          <w:szCs w:val="20"/>
        </w:rPr>
        <w:t xml:space="preserve"> General Schedule which excludes locality rates of pay.</w:t>
      </w:r>
    </w:p>
    <w:p w:rsidR="0031726A" w:rsidRPr="00090F05" w:rsidRDefault="003C1B9D">
      <w:pPr>
        <w:rPr>
          <w:sz w:val="20"/>
          <w:szCs w:val="20"/>
        </w:rPr>
      </w:pPr>
      <w:r w:rsidRPr="00090F05">
        <w:rPr>
          <w:sz w:val="20"/>
          <w:szCs w:val="20"/>
          <w:vertAlign w:val="superscript"/>
        </w:rPr>
        <w:t>c</w:t>
      </w:r>
      <w:r w:rsidRPr="00090F05">
        <w:rPr>
          <w:sz w:val="20"/>
          <w:szCs w:val="20"/>
        </w:rPr>
        <w:t xml:space="preserve">  We have assumed that it will take twenty-four hours to complete the performance tests.</w:t>
      </w:r>
    </w:p>
    <w:p w:rsidR="0031726A" w:rsidRPr="00090F05" w:rsidRDefault="003C1B9D">
      <w:pPr>
        <w:rPr>
          <w:sz w:val="20"/>
          <w:szCs w:val="20"/>
        </w:rPr>
      </w:pPr>
      <w:r w:rsidRPr="00090F05">
        <w:rPr>
          <w:vertAlign w:val="superscript"/>
        </w:rPr>
        <w:t xml:space="preserve">d  </w:t>
      </w:r>
      <w:r w:rsidRPr="00090F05">
        <w:rPr>
          <w:sz w:val="20"/>
          <w:szCs w:val="20"/>
        </w:rPr>
        <w:t>We have assumed that 20 percent of initial performance test</w:t>
      </w:r>
      <w:r w:rsidR="00BA5701">
        <w:rPr>
          <w:sz w:val="20"/>
          <w:szCs w:val="20"/>
        </w:rPr>
        <w:t>s</w:t>
      </w:r>
      <w:r w:rsidRPr="00090F05">
        <w:rPr>
          <w:sz w:val="20"/>
          <w:szCs w:val="20"/>
        </w:rPr>
        <w:t xml:space="preserve"> must be repeated due to failure.</w:t>
      </w:r>
    </w:p>
    <w:p w:rsidR="0031726A" w:rsidRPr="00090F05" w:rsidRDefault="003C1B9D">
      <w:pPr>
        <w:rPr>
          <w:sz w:val="20"/>
          <w:szCs w:val="20"/>
        </w:rPr>
      </w:pPr>
      <w:r w:rsidRPr="00090F05">
        <w:rPr>
          <w:vertAlign w:val="superscript"/>
        </w:rPr>
        <w:t>e</w:t>
      </w:r>
      <w:r w:rsidRPr="00090F05">
        <w:rPr>
          <w:sz w:val="20"/>
          <w:szCs w:val="20"/>
        </w:rPr>
        <w:t xml:space="preserve">  Assume that there will be no physical or operational changes over the next three years.</w:t>
      </w:r>
    </w:p>
    <w:p w:rsidR="0031726A" w:rsidRPr="00090F05" w:rsidRDefault="003C1B9D">
      <w:pPr>
        <w:rPr>
          <w:sz w:val="20"/>
          <w:szCs w:val="20"/>
        </w:rPr>
      </w:pPr>
      <w:r w:rsidRPr="00090F05">
        <w:rPr>
          <w:vertAlign w:val="superscript"/>
        </w:rPr>
        <w:t xml:space="preserve">f  </w:t>
      </w:r>
      <w:r w:rsidRPr="00090F05">
        <w:rPr>
          <w:sz w:val="20"/>
          <w:szCs w:val="20"/>
        </w:rPr>
        <w:t>It is assumed that it will take twenty-four hours to review an emissions test report.</w:t>
      </w:r>
    </w:p>
    <w:p w:rsidR="0031726A" w:rsidRPr="00090F05" w:rsidRDefault="003C1B9D">
      <w:pPr>
        <w:rPr>
          <w:sz w:val="20"/>
          <w:szCs w:val="20"/>
        </w:rPr>
      </w:pPr>
      <w:r w:rsidRPr="00090F05">
        <w:rPr>
          <w:vertAlign w:val="superscript"/>
        </w:rPr>
        <w:t xml:space="preserve">g  </w:t>
      </w:r>
      <w:r w:rsidRPr="00090F05">
        <w:rPr>
          <w:sz w:val="20"/>
          <w:szCs w:val="20"/>
        </w:rPr>
        <w:t>Assume that it will take twenty-four hours to review application for waiver of test.</w:t>
      </w:r>
    </w:p>
    <w:p w:rsidR="0031726A" w:rsidRDefault="003C1B9D">
      <w:pPr>
        <w:rPr>
          <w:sz w:val="20"/>
          <w:szCs w:val="20"/>
        </w:rPr>
      </w:pPr>
      <w:r w:rsidRPr="00090F05">
        <w:rPr>
          <w:vertAlign w:val="superscript"/>
        </w:rPr>
        <w:t xml:space="preserve">h  </w:t>
      </w:r>
      <w:r w:rsidRPr="00090F05">
        <w:rPr>
          <w:sz w:val="20"/>
          <w:szCs w:val="20"/>
        </w:rPr>
        <w:t>We have assumed that it will take four hours to review the quarterly report.</w:t>
      </w:r>
    </w:p>
    <w:p w:rsidR="003C1B9D" w:rsidRDefault="003C1B9D">
      <w:pPr>
        <w:rPr>
          <w:sz w:val="20"/>
          <w:szCs w:val="20"/>
        </w:rPr>
      </w:pPr>
      <w:r>
        <w:rPr>
          <w:vertAlign w:val="superscript"/>
        </w:rPr>
        <w:t xml:space="preserve">i  </w:t>
      </w:r>
      <w:r>
        <w:rPr>
          <w:sz w:val="20"/>
          <w:szCs w:val="20"/>
        </w:rPr>
        <w:t>We have assumed that there will be three discharges of manual vent valve/relief valve discharge (MVV/RVD) per year.</w:t>
      </w:r>
    </w:p>
    <w:sectPr w:rsidR="003C1B9D" w:rsidSect="003258A7">
      <w:footerReference w:type="default" r:id="rId11"/>
      <w:pgSz w:w="15840" w:h="12240" w:orient="landscape" w:code="1"/>
      <w:pgMar w:top="288" w:right="288" w:bottom="288" w:left="288" w:header="1008"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A40" w:rsidRDefault="005A7A40">
      <w:r>
        <w:separator/>
      </w:r>
    </w:p>
  </w:endnote>
  <w:endnote w:type="continuationSeparator" w:id="0">
    <w:p w:rsidR="005A7A40" w:rsidRDefault="005A7A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A9" w:rsidRDefault="00FE5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59A9" w:rsidRDefault="00FE5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A9" w:rsidRDefault="00FE5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A40" w:rsidRDefault="005A7A40">
      <w:r>
        <w:separator/>
      </w:r>
    </w:p>
  </w:footnote>
  <w:footnote w:type="continuationSeparator" w:id="0">
    <w:p w:rsidR="005A7A40" w:rsidRDefault="005A7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A9" w:rsidRDefault="00FE59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59A9" w:rsidRDefault="00FE5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A9" w:rsidRDefault="00FE59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CD0">
      <w:rPr>
        <w:rStyle w:val="PageNumber"/>
        <w:noProof/>
      </w:rPr>
      <w:t>2</w:t>
    </w:r>
    <w:r>
      <w:rPr>
        <w:rStyle w:val="PageNumber"/>
      </w:rPr>
      <w:fldChar w:fldCharType="end"/>
    </w:r>
  </w:p>
  <w:p w:rsidR="00FE59A9" w:rsidRDefault="00FE59A9">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11B1ABC"/>
    <w:multiLevelType w:val="hybridMultilevel"/>
    <w:tmpl w:val="9E0232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stylePaneFormatFilter w:val="3F01"/>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D52BB7"/>
    <w:rsid w:val="0001081B"/>
    <w:rsid w:val="00090F05"/>
    <w:rsid w:val="000D047F"/>
    <w:rsid w:val="002F20A8"/>
    <w:rsid w:val="002F5858"/>
    <w:rsid w:val="0031726A"/>
    <w:rsid w:val="003258A7"/>
    <w:rsid w:val="00345B4C"/>
    <w:rsid w:val="003A6749"/>
    <w:rsid w:val="003C1B9D"/>
    <w:rsid w:val="003E3BAC"/>
    <w:rsid w:val="003F38F2"/>
    <w:rsid w:val="004219BE"/>
    <w:rsid w:val="004221DC"/>
    <w:rsid w:val="00552637"/>
    <w:rsid w:val="005916D6"/>
    <w:rsid w:val="005A7A40"/>
    <w:rsid w:val="005B09FF"/>
    <w:rsid w:val="00606E2A"/>
    <w:rsid w:val="00644CBD"/>
    <w:rsid w:val="00665584"/>
    <w:rsid w:val="007D2274"/>
    <w:rsid w:val="008F74D1"/>
    <w:rsid w:val="00906F7B"/>
    <w:rsid w:val="00A835CD"/>
    <w:rsid w:val="00B21CD0"/>
    <w:rsid w:val="00BA5701"/>
    <w:rsid w:val="00BB16F2"/>
    <w:rsid w:val="00CE1485"/>
    <w:rsid w:val="00CE3198"/>
    <w:rsid w:val="00D52BB7"/>
    <w:rsid w:val="00D8042F"/>
    <w:rsid w:val="00E257F7"/>
    <w:rsid w:val="00EE57DF"/>
    <w:rsid w:val="00F4455C"/>
    <w:rsid w:val="00F54053"/>
    <w:rsid w:val="00F72CCD"/>
    <w:rsid w:val="00FA53A3"/>
    <w:rsid w:val="00FC765C"/>
    <w:rsid w:val="00FE59A9"/>
    <w:rsid w:val="00FF6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26A"/>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26A"/>
  </w:style>
  <w:style w:type="paragraph" w:customStyle="1" w:styleId="WPNormal">
    <w:name w:val="WP_Normal"/>
    <w:basedOn w:val="Normal"/>
    <w:rsid w:val="0031726A"/>
    <w:rPr>
      <w:rFonts w:ascii="Times New Roman CYR" w:hAnsi="Times New Roman CYR" w:cs="Times New Roman CYR"/>
      <w:b/>
      <w:bCs/>
    </w:rPr>
  </w:style>
  <w:style w:type="paragraph" w:customStyle="1" w:styleId="Level1">
    <w:name w:val="Level 1"/>
    <w:basedOn w:val="Normal"/>
    <w:rsid w:val="0031726A"/>
    <w:pPr>
      <w:ind w:left="240" w:hanging="240"/>
      <w:outlineLvl w:val="0"/>
    </w:pPr>
  </w:style>
  <w:style w:type="paragraph" w:styleId="Header">
    <w:name w:val="header"/>
    <w:basedOn w:val="Normal"/>
    <w:rsid w:val="0031726A"/>
    <w:pPr>
      <w:tabs>
        <w:tab w:val="center" w:pos="4320"/>
        <w:tab w:val="right" w:pos="8640"/>
      </w:tabs>
    </w:pPr>
  </w:style>
  <w:style w:type="paragraph" w:styleId="Footer">
    <w:name w:val="footer"/>
    <w:basedOn w:val="Normal"/>
    <w:rsid w:val="0031726A"/>
    <w:pPr>
      <w:tabs>
        <w:tab w:val="center" w:pos="4320"/>
        <w:tab w:val="right" w:pos="8640"/>
      </w:tabs>
    </w:pPr>
  </w:style>
  <w:style w:type="character" w:customStyle="1" w:styleId="1">
    <w:name w:val="1"/>
    <w:rsid w:val="0031726A"/>
  </w:style>
  <w:style w:type="character" w:styleId="Hyperlink">
    <w:name w:val="Hyperlink"/>
    <w:basedOn w:val="DefaultParagraphFont"/>
    <w:rsid w:val="0031726A"/>
    <w:rPr>
      <w:color w:val="0000FF"/>
      <w:u w:val="single"/>
    </w:rPr>
  </w:style>
  <w:style w:type="character" w:styleId="PageNumber">
    <w:name w:val="page number"/>
    <w:basedOn w:val="DefaultParagraphFont"/>
    <w:rsid w:val="0031726A"/>
  </w:style>
  <w:style w:type="character" w:styleId="CommentReference">
    <w:name w:val="annotation reference"/>
    <w:basedOn w:val="DefaultParagraphFont"/>
    <w:semiHidden/>
    <w:rsid w:val="0031726A"/>
    <w:rPr>
      <w:sz w:val="16"/>
      <w:szCs w:val="16"/>
    </w:rPr>
  </w:style>
  <w:style w:type="paragraph" w:styleId="CommentText">
    <w:name w:val="annotation text"/>
    <w:basedOn w:val="Normal"/>
    <w:semiHidden/>
    <w:rsid w:val="0031726A"/>
    <w:rPr>
      <w:sz w:val="20"/>
      <w:szCs w:val="20"/>
    </w:rPr>
  </w:style>
  <w:style w:type="paragraph" w:styleId="CommentSubject">
    <w:name w:val="annotation subject"/>
    <w:basedOn w:val="CommentText"/>
    <w:next w:val="CommentText"/>
    <w:semiHidden/>
    <w:rsid w:val="0031726A"/>
    <w:rPr>
      <w:b/>
      <w:bCs/>
    </w:rPr>
  </w:style>
  <w:style w:type="paragraph" w:styleId="BalloonText">
    <w:name w:val="Balloon Text"/>
    <w:basedOn w:val="Normal"/>
    <w:semiHidden/>
    <w:rsid w:val="00317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777874">
      <w:bodyDiv w:val="1"/>
      <w:marLeft w:val="0"/>
      <w:marRight w:val="0"/>
      <w:marTop w:val="0"/>
      <w:marBottom w:val="0"/>
      <w:divBdr>
        <w:top w:val="none" w:sz="0" w:space="0" w:color="auto"/>
        <w:left w:val="none" w:sz="0" w:space="0" w:color="auto"/>
        <w:bottom w:val="none" w:sz="0" w:space="0" w:color="auto"/>
        <w:right w:val="none" w:sz="0" w:space="0" w:color="auto"/>
      </w:divBdr>
    </w:div>
    <w:div w:id="558174606">
      <w:bodyDiv w:val="1"/>
      <w:marLeft w:val="0"/>
      <w:marRight w:val="0"/>
      <w:marTop w:val="0"/>
      <w:marBottom w:val="0"/>
      <w:divBdr>
        <w:top w:val="none" w:sz="0" w:space="0" w:color="auto"/>
        <w:left w:val="none" w:sz="0" w:space="0" w:color="auto"/>
        <w:bottom w:val="none" w:sz="0" w:space="0" w:color="auto"/>
        <w:right w:val="none" w:sz="0" w:space="0" w:color="auto"/>
      </w:divBdr>
    </w:div>
    <w:div w:id="11211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6BA29-88FC-401C-A25C-F44A3353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5333</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EPA</Company>
  <LinksUpToDate>false</LinksUpToDate>
  <CharactersWithSpaces>35662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subject/>
  <dc:creator> </dc:creator>
  <cp:keywords/>
  <dc:description/>
  <cp:lastModifiedBy>JUMBERGE</cp:lastModifiedBy>
  <cp:revision>4</cp:revision>
  <cp:lastPrinted>2010-11-23T14:53:00Z</cp:lastPrinted>
  <dcterms:created xsi:type="dcterms:W3CDTF">2011-03-30T19:23:00Z</dcterms:created>
  <dcterms:modified xsi:type="dcterms:W3CDTF">2011-03-30T19:52:00Z</dcterms:modified>
</cp:coreProperties>
</file>