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0C" w:rsidRDefault="0055330C">
      <w:pPr>
        <w:tabs>
          <w:tab w:val="left" w:pos="480"/>
          <w:tab w:val="right" w:pos="8640"/>
        </w:tabs>
        <w:ind w:right="684"/>
        <w:jc w:val="center"/>
      </w:pPr>
      <w:r>
        <w:t>Supporting Statement for VA Form 21-8416b</w:t>
      </w:r>
    </w:p>
    <w:p w:rsidR="0055330C" w:rsidRDefault="0055330C">
      <w:pPr>
        <w:tabs>
          <w:tab w:val="left" w:pos="480"/>
          <w:tab w:val="right" w:pos="8640"/>
        </w:tabs>
        <w:ind w:right="684"/>
        <w:jc w:val="center"/>
      </w:pPr>
      <w:r>
        <w:t>Report of Medical, Legal, and Other Expenses Incident to Recovery for Injury or Death</w:t>
      </w:r>
    </w:p>
    <w:p w:rsidR="0055330C" w:rsidRDefault="0055330C">
      <w:pPr>
        <w:tabs>
          <w:tab w:val="left" w:pos="480"/>
          <w:tab w:val="right" w:pos="8640"/>
        </w:tabs>
        <w:ind w:right="684"/>
        <w:jc w:val="center"/>
      </w:pPr>
      <w:r>
        <w:t>(2900-0545)</w:t>
      </w:r>
    </w:p>
    <w:p w:rsidR="0055330C" w:rsidRDefault="0055330C">
      <w:pPr>
        <w:tabs>
          <w:tab w:val="left" w:pos="480"/>
          <w:tab w:val="right" w:pos="8640"/>
        </w:tabs>
        <w:ind w:right="684"/>
        <w:jc w:val="center"/>
      </w:pPr>
    </w:p>
    <w:p w:rsidR="0055330C" w:rsidRDefault="0055330C">
      <w:pPr>
        <w:tabs>
          <w:tab w:val="left" w:pos="480"/>
          <w:tab w:val="right" w:pos="8640"/>
        </w:tabs>
        <w:ind w:right="684"/>
      </w:pPr>
      <w:r>
        <w:t xml:space="preserve">A.  </w:t>
      </w:r>
      <w:r>
        <w:rPr>
          <w:u w:val="single"/>
        </w:rPr>
        <w:t>Justification</w:t>
      </w:r>
    </w:p>
    <w:p w:rsidR="0055330C" w:rsidRDefault="0055330C">
      <w:pPr>
        <w:tabs>
          <w:tab w:val="left" w:pos="480"/>
          <w:tab w:val="right" w:pos="8640"/>
        </w:tabs>
        <w:ind w:right="684"/>
      </w:pPr>
    </w:p>
    <w:p w:rsidR="0055330C" w:rsidRDefault="0055330C">
      <w:pPr>
        <w:ind w:right="540"/>
        <w:rPr>
          <w:b/>
        </w:rPr>
      </w:pPr>
      <w:r>
        <w:t>1.  The Department of Veterans Affairs (VA), through its Veterans Benefits Administration (VBA), administers an integrated program of benefits and services established by law for veterans, service personnel, and their dependents and/or beneficiaries.  A claimant’s eligibility for pension is determined, in part, by countable family income.  Information is requested by this form under the authority of 38 U.S.C. 1503.  Regulatory authority is found in 38 C.F.R. 3.262, 3.271, and 3.272.</w:t>
      </w:r>
      <w:r>
        <w:rPr>
          <w:b/>
        </w:rPr>
        <w:t xml:space="preserve"> </w:t>
      </w:r>
    </w:p>
    <w:p w:rsidR="0055330C" w:rsidRDefault="0055330C"/>
    <w:p w:rsidR="0055330C" w:rsidRDefault="0055330C">
      <w:pPr>
        <w:ind w:right="540"/>
      </w:pPr>
      <w:r>
        <w:t xml:space="preserve">2.  VA Form 21-8416b is used to gather information that is necessary to determine eligibility for income-based benefits and the rate payable.  When a claimant is awarded compensation by another entity or government agency based on personal injury or death, the compensation is usually countable income for VA purposes (38 CFR 3.262(i)).  However, medical, legal or other expenses incident to the injury or death, or incident to the collection or recovery of the compensation, may be deducted from the amount of the award or settlement (38 CFR 3.271(g) and 3.272(g)).   VA From 21-8416b is used to report these expenses.  </w:t>
      </w:r>
    </w:p>
    <w:p w:rsidR="0055330C" w:rsidRDefault="0055330C">
      <w:pPr>
        <w:ind w:right="540"/>
      </w:pPr>
    </w:p>
    <w:p w:rsidR="0055330C" w:rsidRDefault="0055330C">
      <w:pPr>
        <w:pStyle w:val="BodyText2"/>
      </w:pPr>
      <w:r>
        <w:t xml:space="preserve">3.  VA Form 21-8416b is available on the One-VA web site in a fillable electronic format.  VBA is currently hosting the form on a secure server and does not currently have technology in place to allow for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However, VA Form 21-8416b is not one of the forms scheduled to be added to VONAPP because estimated total usage of this form is low.  The Department will reconsider adding this form to VONAPP when the resources become available or if usage of this form becomes greater.</w:t>
      </w:r>
    </w:p>
    <w:p w:rsidR="0055330C" w:rsidRDefault="0055330C">
      <w:pPr>
        <w:tabs>
          <w:tab w:val="left" w:pos="480"/>
          <w:tab w:val="right" w:pos="8640"/>
        </w:tabs>
        <w:ind w:right="684"/>
      </w:pPr>
    </w:p>
    <w:p w:rsidR="0055330C" w:rsidRDefault="0055330C">
      <w:pPr>
        <w:tabs>
          <w:tab w:val="left" w:pos="480"/>
          <w:tab w:val="right" w:pos="8640"/>
        </w:tabs>
        <w:ind w:right="684"/>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55330C" w:rsidRDefault="0055330C">
      <w:pPr>
        <w:tabs>
          <w:tab w:val="left" w:pos="480"/>
          <w:tab w:val="right" w:pos="8640"/>
        </w:tabs>
        <w:ind w:right="684"/>
      </w:pPr>
    </w:p>
    <w:p w:rsidR="0055330C" w:rsidRDefault="0055330C">
      <w:pPr>
        <w:tabs>
          <w:tab w:val="left" w:pos="480"/>
          <w:tab w:val="right" w:pos="8640"/>
        </w:tabs>
        <w:ind w:right="684"/>
      </w:pPr>
      <w:r>
        <w:t>5.  The collection of information does not involve small businesses or entities.</w:t>
      </w:r>
    </w:p>
    <w:p w:rsidR="0055330C" w:rsidRDefault="0055330C">
      <w:pPr>
        <w:tabs>
          <w:tab w:val="left" w:pos="480"/>
          <w:tab w:val="right" w:pos="8640"/>
        </w:tabs>
        <w:ind w:right="684"/>
      </w:pPr>
    </w:p>
    <w:p w:rsidR="0055330C" w:rsidRDefault="0055330C">
      <w:pPr>
        <w:tabs>
          <w:tab w:val="left" w:pos="480"/>
          <w:tab w:val="right" w:pos="8640"/>
        </w:tabs>
        <w:ind w:right="684"/>
      </w:pPr>
      <w:r>
        <w:t xml:space="preserve">6.  This form solicits information that is necessary to determine the amount of deductible expenses a claimant paid related to monetary recovery for personal injury or death.  </w:t>
      </w:r>
      <w:r>
        <w:lastRenderedPageBreak/>
        <w:t>Without this information, VA would be unable to authorize and properly pay income-based benefits.</w:t>
      </w:r>
    </w:p>
    <w:p w:rsidR="0055330C" w:rsidRDefault="0055330C">
      <w:pPr>
        <w:tabs>
          <w:tab w:val="left" w:pos="480"/>
          <w:tab w:val="right" w:pos="8640"/>
        </w:tabs>
        <w:ind w:right="684"/>
      </w:pPr>
    </w:p>
    <w:p w:rsidR="0055330C" w:rsidRDefault="0055330C">
      <w:pPr>
        <w:tabs>
          <w:tab w:val="left" w:pos="480"/>
          <w:tab w:val="right" w:pos="8640"/>
        </w:tabs>
        <w:ind w:right="684"/>
      </w:pPr>
      <w:r>
        <w:t>7.  There is no special circumstance requiring collection in a manner inconsistent with 5 CFR 1320.6 guidelines.</w:t>
      </w:r>
    </w:p>
    <w:p w:rsidR="0055330C" w:rsidRDefault="0055330C">
      <w:pPr>
        <w:tabs>
          <w:tab w:val="left" w:pos="480"/>
          <w:tab w:val="right" w:pos="8640"/>
        </w:tabs>
        <w:ind w:right="684"/>
      </w:pPr>
    </w:p>
    <w:p w:rsidR="0055330C" w:rsidRDefault="0055330C" w:rsidP="0055330C">
      <w:pPr>
        <w:pStyle w:val="BodyText"/>
      </w:pPr>
      <w:r>
        <w:t xml:space="preserve">8.  The Department notice was published in the Federal Register on </w:t>
      </w:r>
      <w:r w:rsidR="003A7E8A">
        <w:t>June 14, 2011</w:t>
      </w:r>
      <w:r>
        <w:t xml:space="preserve">, page </w:t>
      </w:r>
      <w:r w:rsidR="003A7E8A">
        <w:t>34812</w:t>
      </w:r>
      <w:r>
        <w:t>.  No comments were received.</w:t>
      </w:r>
    </w:p>
    <w:p w:rsidR="0055330C" w:rsidRDefault="0055330C">
      <w:pPr>
        <w:tabs>
          <w:tab w:val="left" w:pos="480"/>
          <w:tab w:val="right" w:pos="8640"/>
        </w:tabs>
        <w:ind w:right="684"/>
      </w:pPr>
    </w:p>
    <w:p w:rsidR="0055330C" w:rsidRDefault="0055330C">
      <w:pPr>
        <w:tabs>
          <w:tab w:val="left" w:pos="480"/>
          <w:tab w:val="right" w:pos="8640"/>
        </w:tabs>
        <w:ind w:right="684"/>
      </w:pPr>
      <w:r>
        <w:t>9.  No payments or gifts to respondents will be made under this collection of information.</w:t>
      </w:r>
    </w:p>
    <w:p w:rsidR="0055330C" w:rsidRDefault="0055330C">
      <w:pPr>
        <w:tabs>
          <w:tab w:val="left" w:pos="480"/>
          <w:tab w:val="right" w:pos="8640"/>
        </w:tabs>
        <w:ind w:right="684"/>
      </w:pPr>
    </w:p>
    <w:p w:rsidR="0055330C" w:rsidRPr="00924B82" w:rsidRDefault="0055330C" w:rsidP="0055330C">
      <w:pPr>
        <w:rPr>
          <w:szCs w:val="24"/>
        </w:rPr>
      </w:pPr>
      <w:r>
        <w:t xml:space="preserve">10.  </w:t>
      </w:r>
      <w:r w:rsidRPr="00924B82">
        <w:rPr>
          <w:szCs w:val="24"/>
        </w:rPr>
        <w:t>The records are maintained in the appropriate Privacy Act System of Records identified as 58VA21/22/28</w:t>
      </w:r>
      <w:proofErr w:type="gramStart"/>
      <w:r w:rsidRPr="00924B82">
        <w:rPr>
          <w:szCs w:val="24"/>
        </w:rPr>
        <w:t>,‘‘Compensation</w:t>
      </w:r>
      <w:proofErr w:type="gramEnd"/>
      <w:r w:rsidRPr="00924B82">
        <w:rPr>
          <w:szCs w:val="24"/>
        </w:rPr>
        <w:t>, Pension, Education, and Rehabilitation Records—VA ’’as set forth in Privacy Act Issuances, 1993 compilation found in 74 Fed. Reg. 117 (June 19, 2009).</w:t>
      </w:r>
    </w:p>
    <w:p w:rsidR="0055330C" w:rsidRDefault="0055330C">
      <w:pPr>
        <w:tabs>
          <w:tab w:val="left" w:pos="480"/>
          <w:tab w:val="right" w:pos="8640"/>
        </w:tabs>
        <w:ind w:right="684"/>
      </w:pPr>
    </w:p>
    <w:p w:rsidR="0055330C" w:rsidRDefault="0055330C">
      <w:pPr>
        <w:tabs>
          <w:tab w:val="left" w:pos="480"/>
          <w:tab w:val="right" w:pos="8640"/>
        </w:tabs>
        <w:ind w:right="684"/>
      </w:pPr>
      <w:r>
        <w:t>11.  There are no questions of a sensitive nature.</w:t>
      </w:r>
    </w:p>
    <w:p w:rsidR="0055330C" w:rsidRDefault="0055330C">
      <w:pPr>
        <w:tabs>
          <w:tab w:val="left" w:pos="480"/>
          <w:tab w:val="right" w:pos="8640"/>
        </w:tabs>
        <w:ind w:right="684"/>
      </w:pPr>
    </w:p>
    <w:p w:rsidR="0055330C" w:rsidRDefault="0055330C">
      <w:pPr>
        <w:tabs>
          <w:tab w:val="left" w:pos="480"/>
          <w:tab w:val="right" w:pos="8640"/>
        </w:tabs>
        <w:ind w:right="684"/>
      </w:pPr>
      <w:r>
        <w:t>12.  Estimate of Information Collection Burden.</w:t>
      </w:r>
    </w:p>
    <w:p w:rsidR="0055330C" w:rsidRDefault="0055330C">
      <w:pPr>
        <w:tabs>
          <w:tab w:val="left" w:pos="480"/>
          <w:tab w:val="right" w:pos="8640"/>
        </w:tabs>
        <w:ind w:right="684"/>
      </w:pPr>
    </w:p>
    <w:p w:rsidR="0055330C" w:rsidRDefault="0055330C">
      <w:pPr>
        <w:tabs>
          <w:tab w:val="left" w:pos="480"/>
          <w:tab w:val="right" w:pos="8640"/>
        </w:tabs>
        <w:ind w:right="684"/>
      </w:pPr>
      <w:proofErr w:type="gramStart"/>
      <w:r>
        <w:t>a.  Number</w:t>
      </w:r>
      <w:proofErr w:type="gramEnd"/>
      <w:r>
        <w:t xml:space="preserve"> of Respondents is estimated at 1,500 per year.</w:t>
      </w:r>
    </w:p>
    <w:p w:rsidR="0055330C" w:rsidRDefault="0055330C">
      <w:pPr>
        <w:tabs>
          <w:tab w:val="left" w:pos="480"/>
          <w:tab w:val="right" w:pos="8640"/>
        </w:tabs>
        <w:ind w:right="684"/>
      </w:pPr>
    </w:p>
    <w:p w:rsidR="0055330C" w:rsidRDefault="0055330C">
      <w:pPr>
        <w:tabs>
          <w:tab w:val="left" w:pos="480"/>
          <w:tab w:val="right" w:pos="8640"/>
        </w:tabs>
        <w:ind w:right="684"/>
      </w:pPr>
      <w:proofErr w:type="gramStart"/>
      <w:r>
        <w:t>b.  Frequency</w:t>
      </w:r>
      <w:proofErr w:type="gramEnd"/>
      <w:r>
        <w:t xml:space="preserve"> of Response is one time for most beneficiaries.  </w:t>
      </w:r>
    </w:p>
    <w:p w:rsidR="0055330C" w:rsidRDefault="0055330C">
      <w:pPr>
        <w:tabs>
          <w:tab w:val="left" w:pos="480"/>
          <w:tab w:val="right" w:pos="8640"/>
        </w:tabs>
        <w:ind w:right="684"/>
      </w:pPr>
    </w:p>
    <w:p w:rsidR="0055330C" w:rsidRDefault="0055330C">
      <w:pPr>
        <w:tabs>
          <w:tab w:val="left" w:pos="480"/>
          <w:tab w:val="right" w:pos="8640"/>
        </w:tabs>
        <w:ind w:right="684"/>
      </w:pPr>
      <w:proofErr w:type="gramStart"/>
      <w:r>
        <w:t>c.  Annual</w:t>
      </w:r>
      <w:proofErr w:type="gramEnd"/>
      <w:r>
        <w:t xml:space="preserve"> burden is 1,125 hours.</w:t>
      </w:r>
    </w:p>
    <w:p w:rsidR="0055330C" w:rsidRDefault="0055330C">
      <w:pPr>
        <w:tabs>
          <w:tab w:val="left" w:pos="480"/>
          <w:tab w:val="right" w:pos="8640"/>
        </w:tabs>
        <w:ind w:right="684"/>
      </w:pPr>
    </w:p>
    <w:p w:rsidR="0055330C" w:rsidRDefault="0055330C">
      <w:pPr>
        <w:tabs>
          <w:tab w:val="left" w:pos="480"/>
          <w:tab w:val="right" w:pos="8640"/>
        </w:tabs>
        <w:ind w:right="684"/>
      </w:pPr>
      <w:proofErr w:type="gramStart"/>
      <w:r>
        <w:t>d.  The</w:t>
      </w:r>
      <w:proofErr w:type="gramEnd"/>
      <w:r>
        <w:t xml:space="preserve"> estimated completion time of 45 minutes is based on review by staff personnel and previous usage of this form.</w:t>
      </w:r>
    </w:p>
    <w:p w:rsidR="0055330C" w:rsidRDefault="0055330C">
      <w:pPr>
        <w:tabs>
          <w:tab w:val="left" w:pos="480"/>
          <w:tab w:val="right" w:pos="8640"/>
        </w:tabs>
        <w:ind w:right="684"/>
      </w:pPr>
    </w:p>
    <w:p w:rsidR="0055330C" w:rsidRDefault="0055330C">
      <w:pPr>
        <w:tabs>
          <w:tab w:val="left" w:pos="480"/>
          <w:tab w:val="right" w:pos="8640"/>
        </w:tabs>
        <w:ind w:right="684"/>
      </w:pPr>
      <w:proofErr w:type="gramStart"/>
      <w:r>
        <w:t>e.  The</w:t>
      </w:r>
      <w:proofErr w:type="gramEnd"/>
      <w:r>
        <w:t xml:space="preserve"> total estimated cost to respondents is $16,875 (1,125 hours x $15 per hour).</w:t>
      </w:r>
    </w:p>
    <w:p w:rsidR="0055330C" w:rsidRDefault="0055330C">
      <w:pPr>
        <w:tabs>
          <w:tab w:val="left" w:pos="480"/>
          <w:tab w:val="right" w:pos="8640"/>
        </w:tabs>
        <w:ind w:right="684"/>
      </w:pPr>
    </w:p>
    <w:p w:rsidR="0055330C" w:rsidRDefault="0055330C">
      <w:pPr>
        <w:tabs>
          <w:tab w:val="left" w:pos="480"/>
          <w:tab w:val="right" w:pos="8640"/>
        </w:tabs>
        <w:ind w:right="684"/>
      </w:pPr>
      <w:r>
        <w:t>13.  This submission does not involve any record keeping costs.</w:t>
      </w:r>
    </w:p>
    <w:p w:rsidR="0055330C" w:rsidRDefault="0055330C">
      <w:pPr>
        <w:tabs>
          <w:tab w:val="left" w:pos="480"/>
          <w:tab w:val="right" w:pos="8640"/>
        </w:tabs>
        <w:ind w:right="684"/>
      </w:pPr>
    </w:p>
    <w:p w:rsidR="0055330C" w:rsidRDefault="0055330C">
      <w:pPr>
        <w:tabs>
          <w:tab w:val="left" w:pos="480"/>
          <w:tab w:val="right" w:pos="8640"/>
        </w:tabs>
        <w:ind w:right="684"/>
      </w:pPr>
      <w:r>
        <w:t>14.  Estimated Costs to the Federal Government:</w:t>
      </w:r>
    </w:p>
    <w:p w:rsidR="0055330C" w:rsidRDefault="0055330C">
      <w:pPr>
        <w:tabs>
          <w:tab w:val="left" w:pos="480"/>
          <w:tab w:val="right" w:pos="8640"/>
        </w:tabs>
        <w:ind w:right="684"/>
      </w:pPr>
    </w:p>
    <w:p w:rsidR="0055330C" w:rsidRDefault="0055330C">
      <w:pPr>
        <w:tabs>
          <w:tab w:val="left" w:pos="480"/>
          <w:tab w:val="right" w:pos="4680"/>
          <w:tab w:val="right" w:pos="8640"/>
        </w:tabs>
        <w:ind w:right="684"/>
      </w:pPr>
      <w:proofErr w:type="gramStart"/>
      <w:r>
        <w:t>a.  Processing</w:t>
      </w:r>
      <w:proofErr w:type="gramEnd"/>
      <w:r>
        <w:t>/Analyzing costs</w:t>
      </w:r>
      <w:r>
        <w:tab/>
      </w:r>
      <w:r>
        <w:tab/>
        <w:t>$</w:t>
      </w:r>
      <w:r w:rsidR="00FC63AC">
        <w:t>34,878</w:t>
      </w:r>
    </w:p>
    <w:p w:rsidR="0055330C" w:rsidRDefault="0055330C">
      <w:pPr>
        <w:tabs>
          <w:tab w:val="left" w:pos="480"/>
          <w:tab w:val="right" w:pos="4680"/>
          <w:tab w:val="right" w:pos="8640"/>
        </w:tabs>
        <w:ind w:right="684"/>
      </w:pPr>
      <w:r>
        <w:tab/>
      </w:r>
    </w:p>
    <w:p w:rsidR="0055330C" w:rsidRDefault="0055330C">
      <w:pPr>
        <w:tabs>
          <w:tab w:val="left" w:pos="480"/>
          <w:tab w:val="right" w:pos="4680"/>
          <w:tab w:val="right" w:pos="8640"/>
        </w:tabs>
        <w:ind w:right="684"/>
      </w:pPr>
      <w:r>
        <w:tab/>
        <w:t xml:space="preserve">(GS-12/5 @ </w:t>
      </w:r>
      <w:r w:rsidR="00FC63AC">
        <w:t>40.66</w:t>
      </w:r>
      <w:r>
        <w:t xml:space="preserve"> x 1,500 x 10/60 minutes =   </w:t>
      </w:r>
      <w:proofErr w:type="gramStart"/>
      <w:r>
        <w:t xml:space="preserve">$  </w:t>
      </w:r>
      <w:r w:rsidR="00FC63AC">
        <w:t>10,165</w:t>
      </w:r>
      <w:proofErr w:type="gramEnd"/>
      <w:r>
        <w:t>)</w:t>
      </w:r>
    </w:p>
    <w:p w:rsidR="0055330C" w:rsidRDefault="0055330C">
      <w:pPr>
        <w:tabs>
          <w:tab w:val="left" w:pos="480"/>
          <w:tab w:val="right" w:pos="4680"/>
          <w:tab w:val="right" w:pos="8640"/>
        </w:tabs>
        <w:ind w:right="684"/>
      </w:pPr>
      <w:r>
        <w:tab/>
      </w:r>
      <w:r>
        <w:tab/>
        <w:t>(GS-9/5 @ $</w:t>
      </w:r>
      <w:r w:rsidR="00FC63AC">
        <w:t>28.04</w:t>
      </w:r>
      <w:r>
        <w:t xml:space="preserve"> x 1,500 x 30/60 minutes =   $</w:t>
      </w:r>
      <w:r w:rsidR="00FC63AC">
        <w:t>21,031</w:t>
      </w:r>
      <w:r>
        <w:t>)</w:t>
      </w:r>
    </w:p>
    <w:p w:rsidR="0055330C" w:rsidRDefault="0055330C">
      <w:pPr>
        <w:tabs>
          <w:tab w:val="left" w:pos="480"/>
          <w:tab w:val="right" w:pos="4680"/>
          <w:tab w:val="right" w:pos="8640"/>
        </w:tabs>
        <w:ind w:right="684"/>
      </w:pPr>
      <w:r>
        <w:tab/>
        <w:t>(GS-3/5 @ $</w:t>
      </w:r>
      <w:r w:rsidR="00FC63AC">
        <w:t>14.73</w:t>
      </w:r>
      <w:r>
        <w:t xml:space="preserve"> x 1,500 x 10/60 minutes =   </w:t>
      </w:r>
      <w:proofErr w:type="gramStart"/>
      <w:r>
        <w:t xml:space="preserve">$  </w:t>
      </w:r>
      <w:r w:rsidR="00FC63AC">
        <w:t>3,682</w:t>
      </w:r>
      <w:proofErr w:type="gramEnd"/>
      <w:r>
        <w:t>)</w:t>
      </w:r>
    </w:p>
    <w:p w:rsidR="0055330C" w:rsidRDefault="0055330C">
      <w:pPr>
        <w:tabs>
          <w:tab w:val="left" w:pos="480"/>
          <w:tab w:val="right" w:pos="4680"/>
          <w:tab w:val="right" w:pos="8640"/>
        </w:tabs>
        <w:ind w:right="684"/>
      </w:pPr>
    </w:p>
    <w:p w:rsidR="0055330C" w:rsidRDefault="0055330C">
      <w:pPr>
        <w:tabs>
          <w:tab w:val="left" w:pos="480"/>
          <w:tab w:val="right" w:pos="6120"/>
          <w:tab w:val="right" w:pos="8640"/>
        </w:tabs>
        <w:ind w:right="684"/>
      </w:pPr>
      <w:proofErr w:type="gramStart"/>
      <w:r>
        <w:t>b.  Printing</w:t>
      </w:r>
      <w:proofErr w:type="gramEnd"/>
      <w:r>
        <w:t xml:space="preserve"> and production cost</w:t>
      </w:r>
      <w:r>
        <w:tab/>
      </w:r>
      <w:r>
        <w:tab/>
        <w:t>$250</w:t>
      </w:r>
    </w:p>
    <w:p w:rsidR="0055330C" w:rsidRDefault="0055330C">
      <w:pPr>
        <w:tabs>
          <w:tab w:val="left" w:pos="480"/>
          <w:tab w:val="right" w:pos="6120"/>
          <w:tab w:val="right" w:pos="8640"/>
        </w:tabs>
        <w:ind w:right="684"/>
      </w:pPr>
    </w:p>
    <w:p w:rsidR="0055330C" w:rsidRDefault="0055330C">
      <w:pPr>
        <w:tabs>
          <w:tab w:val="left" w:pos="480"/>
          <w:tab w:val="right" w:pos="4680"/>
          <w:tab w:val="right" w:pos="8640"/>
        </w:tabs>
        <w:ind w:right="684"/>
      </w:pPr>
      <w:proofErr w:type="gramStart"/>
      <w:r>
        <w:t>c.  Total</w:t>
      </w:r>
      <w:proofErr w:type="gramEnd"/>
      <w:r>
        <w:t xml:space="preserve"> cost to government</w:t>
      </w:r>
      <w:r>
        <w:tab/>
      </w:r>
      <w:r>
        <w:tab/>
        <w:t>$</w:t>
      </w:r>
      <w:r w:rsidR="00FC63AC">
        <w:t>35,128</w:t>
      </w:r>
    </w:p>
    <w:p w:rsidR="0055330C" w:rsidRDefault="0055330C">
      <w:pPr>
        <w:tabs>
          <w:tab w:val="left" w:pos="480"/>
          <w:tab w:val="right" w:pos="8640"/>
        </w:tabs>
        <w:ind w:right="684"/>
      </w:pPr>
    </w:p>
    <w:p w:rsidR="0055330C" w:rsidRDefault="0055330C">
      <w:pPr>
        <w:tabs>
          <w:tab w:val="left" w:pos="480"/>
          <w:tab w:val="right" w:pos="8640"/>
        </w:tabs>
        <w:ind w:right="684"/>
      </w:pPr>
      <w:r>
        <w:lastRenderedPageBreak/>
        <w:t>15.  There are no changes to the burden hours of this form</w:t>
      </w:r>
    </w:p>
    <w:p w:rsidR="0055330C" w:rsidRDefault="0055330C">
      <w:pPr>
        <w:tabs>
          <w:tab w:val="left" w:pos="480"/>
          <w:tab w:val="right" w:pos="8640"/>
        </w:tabs>
        <w:ind w:right="684"/>
      </w:pPr>
    </w:p>
    <w:p w:rsidR="0055330C" w:rsidRDefault="0055330C">
      <w:pPr>
        <w:tabs>
          <w:tab w:val="left" w:pos="480"/>
          <w:tab w:val="right" w:pos="8640"/>
        </w:tabs>
        <w:ind w:right="684"/>
      </w:pPr>
      <w:r>
        <w:t>16.  The information collection is not for publication or tabulation use.</w:t>
      </w:r>
    </w:p>
    <w:p w:rsidR="0055330C" w:rsidRDefault="0055330C">
      <w:pPr>
        <w:tabs>
          <w:tab w:val="left" w:pos="480"/>
          <w:tab w:val="right" w:pos="8640"/>
        </w:tabs>
        <w:ind w:right="684"/>
      </w:pPr>
    </w:p>
    <w:p w:rsidR="0055330C" w:rsidRDefault="0055330C">
      <w:pPr>
        <w:tabs>
          <w:tab w:val="left" w:pos="480"/>
          <w:tab w:val="right" w:pos="8640"/>
        </w:tabs>
        <w:ind w:right="504"/>
      </w:pPr>
      <w:r>
        <w:t>17.  The collection instrument, VA Form 21-8416b,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21-8416b.</w:t>
      </w:r>
    </w:p>
    <w:p w:rsidR="0055330C" w:rsidRDefault="0055330C">
      <w:pPr>
        <w:tabs>
          <w:tab w:val="left" w:pos="480"/>
          <w:tab w:val="right" w:pos="8640"/>
        </w:tabs>
        <w:ind w:right="684"/>
      </w:pPr>
    </w:p>
    <w:p w:rsidR="0055330C" w:rsidRDefault="0055330C">
      <w:pPr>
        <w:tabs>
          <w:tab w:val="left" w:pos="480"/>
          <w:tab w:val="right" w:pos="8640"/>
        </w:tabs>
        <w:ind w:right="684"/>
      </w:pPr>
      <w:r>
        <w:t>18.  This submission does not contain any exceptions to the certification statement.</w:t>
      </w:r>
    </w:p>
    <w:p w:rsidR="0055330C" w:rsidRDefault="0055330C">
      <w:pPr>
        <w:tabs>
          <w:tab w:val="left" w:pos="480"/>
          <w:tab w:val="right" w:pos="8640"/>
        </w:tabs>
        <w:ind w:right="684"/>
      </w:pPr>
    </w:p>
    <w:p w:rsidR="0055330C" w:rsidRDefault="0055330C">
      <w:r>
        <w:t xml:space="preserve">B.  </w:t>
      </w:r>
      <w:r>
        <w:rPr>
          <w:u w:val="single"/>
        </w:rPr>
        <w:t>Collection of Information Employing Statistical Methods</w:t>
      </w:r>
    </w:p>
    <w:p w:rsidR="0055330C" w:rsidRDefault="0055330C"/>
    <w:p w:rsidR="0055330C" w:rsidRDefault="003A7E8A">
      <w:r>
        <w:t>This submission</w:t>
      </w:r>
      <w:r w:rsidR="0055330C">
        <w:t xml:space="preserve"> does not collect information employing statistical methods.</w:t>
      </w:r>
    </w:p>
    <w:p w:rsidR="003A7E8A" w:rsidRDefault="003A7E8A"/>
    <w:sectPr w:rsidR="003A7E8A" w:rsidSect="003A7E8A">
      <w:headerReference w:type="default" r:id="rId7"/>
      <w:footerReference w:type="default" r:id="rId8"/>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E38" w:rsidRDefault="00452E38">
      <w:r>
        <w:separator/>
      </w:r>
    </w:p>
  </w:endnote>
  <w:endnote w:type="continuationSeparator" w:id="0">
    <w:p w:rsidR="00452E38" w:rsidRDefault="00452E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0C" w:rsidRDefault="00553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E38" w:rsidRDefault="00452E38">
      <w:r>
        <w:separator/>
      </w:r>
    </w:p>
  </w:footnote>
  <w:footnote w:type="continuationSeparator" w:id="0">
    <w:p w:rsidR="00452E38" w:rsidRDefault="00452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0C" w:rsidRDefault="005533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5330C"/>
    <w:rsid w:val="003A7E8A"/>
    <w:rsid w:val="00452E38"/>
    <w:rsid w:val="0055330C"/>
    <w:rsid w:val="00FC6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WHeading">
    <w:name w:val="RFWHeading"/>
    <w:basedOn w:val="Normal"/>
    <w:pPr>
      <w:spacing w:before="380" w:after="160"/>
    </w:pPr>
    <w:rPr>
      <w:rFonts w:ascii="Arial" w:hAnsi="Arial"/>
      <w:b/>
      <w:sz w:val="28"/>
    </w:rPr>
  </w:style>
  <w:style w:type="paragraph" w:customStyle="1" w:styleId="RFWpara">
    <w:name w:val="RFWpara"/>
    <w:basedOn w:val="RFWHeading"/>
    <w:pPr>
      <w:spacing w:before="0" w:after="0"/>
      <w:ind w:left="288"/>
    </w:pPr>
    <w:rPr>
      <w:rFonts w:ascii="Times New Roman" w:hAnsi="Times New Roman"/>
      <w:b w:val="0"/>
      <w:sz w:val="24"/>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firstLine="1440"/>
    </w:pPr>
  </w:style>
  <w:style w:type="paragraph" w:styleId="BodyTextIndent2">
    <w:name w:val="Body Text Indent 2"/>
    <w:basedOn w:val="Normal"/>
    <w:semiHidden/>
    <w:pPr>
      <w:ind w:firstLine="720"/>
    </w:pPr>
  </w:style>
  <w:style w:type="paragraph" w:styleId="Header">
    <w:name w:val="header"/>
    <w:basedOn w:val="Normal"/>
    <w:semiHidden/>
    <w:pPr>
      <w:tabs>
        <w:tab w:val="center" w:pos="4320"/>
        <w:tab w:val="right" w:pos="8640"/>
      </w:tabs>
    </w:pPr>
    <w:rPr>
      <w:rFonts w:ascii="CG Times" w:hAnsi="CG Times"/>
      <w:color w:val="000000"/>
    </w:rPr>
  </w:style>
  <w:style w:type="paragraph" w:styleId="Footer">
    <w:name w:val="footer"/>
    <w:basedOn w:val="Normal"/>
    <w:semiHidden/>
    <w:pPr>
      <w:tabs>
        <w:tab w:val="center" w:pos="4320"/>
        <w:tab w:val="right" w:pos="8640"/>
      </w:tabs>
    </w:pPr>
    <w:rPr>
      <w:rFonts w:ascii="CG Times" w:hAnsi="CG Times"/>
      <w:color w:val="000000"/>
    </w:rPr>
  </w:style>
  <w:style w:type="paragraph" w:styleId="BodyText2">
    <w:name w:val="Body Text 2"/>
    <w:basedOn w:val="Normal"/>
    <w:semiHidden/>
    <w:pPr>
      <w:tabs>
        <w:tab w:val="left" w:pos="480"/>
        <w:tab w:val="right" w:pos="8640"/>
      </w:tabs>
      <w:overflowPunct w:val="0"/>
      <w:autoSpaceDE w:val="0"/>
      <w:autoSpaceDN w:val="0"/>
      <w:adjustRightInd w:val="0"/>
      <w:ind w:right="684"/>
      <w:textAlignment w:val="baseline"/>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FollowedHyperlink">
    <w:name w:val="FollowedHyperlink"/>
    <w:basedOn w:val="DefaultParagraphFont"/>
    <w:semiHidden/>
    <w:rPr>
      <w:color w:val="800080"/>
      <w:u w:val="single"/>
    </w:rPr>
  </w:style>
  <w:style w:type="paragraph" w:styleId="BodyText">
    <w:name w:val="Body Text"/>
    <w:basedOn w:val="Normal"/>
    <w:link w:val="BodyTextChar"/>
    <w:uiPriority w:val="99"/>
    <w:semiHidden/>
    <w:unhideWhenUsed/>
    <w:rsid w:val="0055330C"/>
    <w:pPr>
      <w:spacing w:after="120"/>
    </w:pPr>
  </w:style>
  <w:style w:type="character" w:customStyle="1" w:styleId="BodyTextChar">
    <w:name w:val="Body Text Char"/>
    <w:basedOn w:val="DefaultParagraphFont"/>
    <w:link w:val="BodyText"/>
    <w:uiPriority w:val="99"/>
    <w:semiHidden/>
    <w:rsid w:val="0055330C"/>
    <w:rPr>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VA Form 21-8416b</vt:lpstr>
    </vt:vector>
  </TitlesOfParts>
  <Company>VA</Company>
  <LinksUpToDate>false</LinksUpToDate>
  <CharactersWithSpaces>5466</CharactersWithSpaces>
  <SharedDoc>false</SharedDoc>
  <HLinks>
    <vt:vector size="6" baseType="variant">
      <vt:variant>
        <vt:i4>7077938</vt:i4>
      </vt:variant>
      <vt:variant>
        <vt:i4>0</vt:i4>
      </vt:variant>
      <vt:variant>
        <vt:i4>0</vt:i4>
      </vt:variant>
      <vt:variant>
        <vt:i4>5</vt:i4>
      </vt:variant>
      <vt:variant>
        <vt:lpwstr>../38/ch23.html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21-8416b</dc:title>
  <dc:subject/>
  <dc:creator>David K. Abbot</dc:creator>
  <cp:keywords/>
  <dc:description/>
  <cp:lastModifiedBy>vacomclamd</cp:lastModifiedBy>
  <cp:revision>2</cp:revision>
  <cp:lastPrinted>2004-10-15T19:40:00Z</cp:lastPrinted>
  <dcterms:created xsi:type="dcterms:W3CDTF">2011-08-22T15:38:00Z</dcterms:created>
  <dcterms:modified xsi:type="dcterms:W3CDTF">2011-08-22T15:38:00Z</dcterms:modified>
</cp:coreProperties>
</file>