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2C7" w:rsidRPr="00C16472" w:rsidRDefault="00C16472" w:rsidP="00C16472">
      <w:pPr>
        <w:jc w:val="center"/>
        <w:rPr>
          <w:b/>
        </w:rPr>
      </w:pPr>
      <w:r w:rsidRPr="00C16472">
        <w:rPr>
          <w:b/>
        </w:rPr>
        <w:t>Request for Approval to Use Monetary Incentives in the 2010 Survey of Doctorate Recipients</w:t>
      </w:r>
    </w:p>
    <w:p w:rsidR="000B56DC" w:rsidRPr="000B56DC" w:rsidRDefault="000B56DC"/>
    <w:p w:rsidR="00C16472" w:rsidRPr="009E12C7" w:rsidRDefault="008B24AE">
      <w:pPr>
        <w:rPr>
          <w:u w:val="single"/>
        </w:rPr>
      </w:pPr>
      <w:r>
        <w:rPr>
          <w:u w:val="single"/>
        </w:rPr>
        <w:t>Overview</w:t>
      </w:r>
    </w:p>
    <w:p w:rsidR="00C16472" w:rsidRDefault="009E12C7">
      <w:r>
        <w:t>The Survey of Doctorate Recipients (SDR, OMB No. 3145-0020) is conducted by NSF biennially</w:t>
      </w:r>
      <w:r w:rsidR="00F9206D">
        <w:t xml:space="preserve"> and is comprised of a national (NSDR) and international (ISDR) sample</w:t>
      </w:r>
      <w:r>
        <w:t xml:space="preserve">.  Data collection for the 2010 SDR began on 11 October 2010 and is currently ongoing.  For the 2008 SDR, NSF implemented a late-stage incentive plan to </w:t>
      </w:r>
      <w:r w:rsidR="00E02E64">
        <w:t xml:space="preserve">ensure </w:t>
      </w:r>
      <w:r w:rsidR="000337F4">
        <w:t xml:space="preserve">an </w:t>
      </w:r>
      <w:r w:rsidR="00E02E64">
        <w:t>a</w:t>
      </w:r>
      <w:r w:rsidR="000337F4">
        <w:t>dequate response rate</w:t>
      </w:r>
      <w:r w:rsidR="005F3385">
        <w:t xml:space="preserve"> </w:t>
      </w:r>
      <w:r w:rsidR="000337F4">
        <w:t>for each primary analytical domain</w:t>
      </w:r>
      <w:r w:rsidR="00F9206D">
        <w:t xml:space="preserve"> within the NSDR</w:t>
      </w:r>
      <w:r w:rsidR="000337F4">
        <w:t xml:space="preserve">.  Based on the current state of 2010 SDR response rates, NSF requests approval to offer monetary incentives </w:t>
      </w:r>
      <w:r w:rsidR="00F9206D">
        <w:t xml:space="preserve">to NSDR cases </w:t>
      </w:r>
      <w:r w:rsidR="000337F4" w:rsidRPr="00745279">
        <w:t xml:space="preserve">according to </w:t>
      </w:r>
      <w:r w:rsidR="00745279" w:rsidRPr="00745279">
        <w:t>a</w:t>
      </w:r>
      <w:r w:rsidR="000337F4" w:rsidRPr="00745279">
        <w:t xml:space="preserve"> </w:t>
      </w:r>
      <w:r w:rsidR="00EB1176" w:rsidRPr="00745279">
        <w:t>strategy</w:t>
      </w:r>
      <w:r w:rsidR="000337F4" w:rsidRPr="00745279">
        <w:t xml:space="preserve"> </w:t>
      </w:r>
      <w:r w:rsidR="00745279" w:rsidRPr="00745279">
        <w:t>similar</w:t>
      </w:r>
      <w:r w:rsidR="00745279">
        <w:t xml:space="preserve"> to that </w:t>
      </w:r>
      <w:r w:rsidR="000337F4" w:rsidRPr="00395967">
        <w:t xml:space="preserve">used </w:t>
      </w:r>
      <w:r w:rsidR="00395967" w:rsidRPr="00395967">
        <w:t>f</w:t>
      </w:r>
      <w:r w:rsidR="00395967">
        <w:t>or the 2008 SDR</w:t>
      </w:r>
      <w:r w:rsidR="000337F4">
        <w:t xml:space="preserve">. </w:t>
      </w:r>
      <w:r w:rsidR="00F9206D">
        <w:t xml:space="preserve"> </w:t>
      </w:r>
    </w:p>
    <w:p w:rsidR="000337F4" w:rsidRDefault="008B24AE">
      <w:pPr>
        <w:rPr>
          <w:u w:val="single"/>
        </w:rPr>
      </w:pPr>
      <w:r>
        <w:rPr>
          <w:u w:val="single"/>
        </w:rPr>
        <w:t>Background</w:t>
      </w:r>
    </w:p>
    <w:p w:rsidR="00A25BA3" w:rsidRDefault="00F515E3">
      <w:r>
        <w:t>As of 1</w:t>
      </w:r>
      <w:r w:rsidR="00F9206D">
        <w:t>5</w:t>
      </w:r>
      <w:r>
        <w:t xml:space="preserve"> March 2011</w:t>
      </w:r>
      <w:r w:rsidR="00053CA2">
        <w:t xml:space="preserve"> (5 months into data collection)</w:t>
      </w:r>
      <w:r>
        <w:t xml:space="preserve">, the </w:t>
      </w:r>
      <w:r w:rsidR="00D212C9">
        <w:t xml:space="preserve">overall </w:t>
      </w:r>
      <w:r>
        <w:t>response rate for the 2010 SDR was 6</w:t>
      </w:r>
      <w:r w:rsidR="00F9206D">
        <w:t>5</w:t>
      </w:r>
      <w:r>
        <w:t>.</w:t>
      </w:r>
      <w:r w:rsidR="00EC7DF5">
        <w:t>4</w:t>
      </w:r>
      <w:r>
        <w:t>%.</w:t>
      </w:r>
      <w:r w:rsidR="00A25BA3">
        <w:t xml:space="preserve">  NSF has considered three options for moving forward with this data collection:  </w:t>
      </w:r>
    </w:p>
    <w:p w:rsidR="00A25BA3" w:rsidRDefault="00053CA2" w:rsidP="00A25BA3">
      <w:pPr>
        <w:pStyle w:val="ListParagraph"/>
        <w:numPr>
          <w:ilvl w:val="0"/>
          <w:numId w:val="3"/>
        </w:numPr>
      </w:pPr>
      <w:r>
        <w:t>Offer an</w:t>
      </w:r>
      <w:r w:rsidR="00A25BA3">
        <w:t xml:space="preserve"> incentive to attempt to achieve an 80% response rate and finish data collection on time, </w:t>
      </w:r>
    </w:p>
    <w:p w:rsidR="00A25BA3" w:rsidRDefault="00A25BA3" w:rsidP="00A25BA3">
      <w:pPr>
        <w:pStyle w:val="ListParagraph"/>
        <w:numPr>
          <w:ilvl w:val="0"/>
          <w:numId w:val="3"/>
        </w:numPr>
      </w:pPr>
      <w:r>
        <w:t xml:space="preserve"> Do not offer an incentive, finish data collection on time with a response rate less than 80%, and conduct a nonresponse bias study, and </w:t>
      </w:r>
    </w:p>
    <w:p w:rsidR="00A25BA3" w:rsidRDefault="00053CA2" w:rsidP="00A25BA3">
      <w:pPr>
        <w:pStyle w:val="ListParagraph"/>
        <w:numPr>
          <w:ilvl w:val="0"/>
          <w:numId w:val="3"/>
        </w:numPr>
      </w:pPr>
      <w:r>
        <w:t xml:space="preserve">Do not offer an incentive and continue data collection until an 80% response rate is reached, delaying delivery of the resulting data. </w:t>
      </w:r>
    </w:p>
    <w:p w:rsidR="00797BF6" w:rsidRDefault="00797BF6" w:rsidP="00053CA2">
      <w:r>
        <w:t>Because an 80% response rate is considered critical to this project</w:t>
      </w:r>
      <w:r w:rsidR="000F0654">
        <w:t xml:space="preserve"> (as </w:t>
      </w:r>
      <w:r w:rsidR="000F0654" w:rsidRPr="00DB1D81">
        <w:t>fewer completed cases will result in more suppressed data</w:t>
      </w:r>
      <w:r w:rsidR="000F0654">
        <w:t>)</w:t>
      </w:r>
      <w:r>
        <w:t xml:space="preserve">, option #2 is not acceptable.  Similarly, </w:t>
      </w:r>
      <w:r w:rsidR="00AA4869">
        <w:t xml:space="preserve">option </w:t>
      </w:r>
      <w:r w:rsidR="00586330">
        <w:t>#</w:t>
      </w:r>
      <w:r w:rsidR="00AA4869">
        <w:t xml:space="preserve">3 would require </w:t>
      </w:r>
      <w:r w:rsidR="007B5CB1">
        <w:t>extending the data collection period for</w:t>
      </w:r>
      <w:r w:rsidR="00F06233">
        <w:t xml:space="preserve"> </w:t>
      </w:r>
      <w:r w:rsidR="00AA4869">
        <w:t>an estimated</w:t>
      </w:r>
      <w:r w:rsidR="00F06233">
        <w:t xml:space="preserve"> four</w:t>
      </w:r>
      <w:r w:rsidR="00AA4869">
        <w:t xml:space="preserve"> months and attempting additional follow-up contacts with sample members</w:t>
      </w:r>
      <w:r w:rsidR="00586330">
        <w:t xml:space="preserve">.  Not only would this delay the reporting of the data, but past experience has shown that excessive contacts have the potential to alienate sample members such that they request </w:t>
      </w:r>
      <w:r w:rsidR="00FD4AFE">
        <w:t xml:space="preserve">permanent </w:t>
      </w:r>
      <w:r w:rsidR="00586330">
        <w:t xml:space="preserve">removal from the project.  Consequently, option #3 is not considered viable.  </w:t>
      </w:r>
      <w:r w:rsidR="000F0654">
        <w:t>Hence, imple</w:t>
      </w:r>
      <w:r w:rsidR="000B78D9">
        <w:t xml:space="preserve">menting incentives (option #1) </w:t>
      </w:r>
      <w:r w:rsidR="000F0654">
        <w:t xml:space="preserve">is considered the </w:t>
      </w:r>
      <w:r w:rsidR="000B78D9">
        <w:t xml:space="preserve">most effective </w:t>
      </w:r>
      <w:r w:rsidR="000B56DC">
        <w:t>approach</w:t>
      </w:r>
      <w:r w:rsidR="000F0654">
        <w:t xml:space="preserve">. </w:t>
      </w:r>
    </w:p>
    <w:p w:rsidR="00742009" w:rsidRDefault="00465093" w:rsidP="00742009">
      <w:r>
        <w:t xml:space="preserve">However, </w:t>
      </w:r>
      <w:r w:rsidR="00742009">
        <w:t xml:space="preserve">NSF </w:t>
      </w:r>
      <w:r>
        <w:t>has been</w:t>
      </w:r>
      <w:r w:rsidR="00742009">
        <w:t xml:space="preserve"> concerned about </w:t>
      </w:r>
      <w:r>
        <w:t xml:space="preserve">an </w:t>
      </w:r>
      <w:r w:rsidR="00742009">
        <w:t xml:space="preserve">additional issue: namely, the potential for incentives to negatively condition sample members to not respond </w:t>
      </w:r>
      <w:r>
        <w:t xml:space="preserve">in future survey rounds </w:t>
      </w:r>
      <w:r w:rsidR="00742009">
        <w:t xml:space="preserve">without an incentive.   </w:t>
      </w:r>
      <w:r>
        <w:t xml:space="preserve">To respond to this concern, we analyzed data based on incentive experiments that were included in the 2003 and 2006 SDRs.  In contrast to negative conditioning, the reverse effect seems to </w:t>
      </w:r>
      <w:r w:rsidR="00BB26D9">
        <w:t xml:space="preserve">have resulted.  </w:t>
      </w:r>
      <w:r w:rsidR="000A6938">
        <w:t xml:space="preserve">Sample members who received an incentive in 2003 and/or 2006 responded </w:t>
      </w:r>
      <w:r w:rsidR="00670497">
        <w:t xml:space="preserve">to </w:t>
      </w:r>
      <w:r w:rsidR="000A6938">
        <w:t xml:space="preserve">the </w:t>
      </w:r>
      <w:r w:rsidR="00BB26D9">
        <w:t xml:space="preserve">2008 </w:t>
      </w:r>
      <w:r w:rsidR="00670497">
        <w:t xml:space="preserve">SDR at a high rate (93%) without an incentive, suggesting the existence of residual goodwill among these sample members. </w:t>
      </w:r>
    </w:p>
    <w:p w:rsidR="00465093" w:rsidRDefault="00465093" w:rsidP="00465093">
      <w:r>
        <w:t xml:space="preserve">Given the </w:t>
      </w:r>
      <w:r w:rsidR="00330EC4">
        <w:t xml:space="preserve">potential for an increased response rate and </w:t>
      </w:r>
      <w:r w:rsidR="00FD4AFE">
        <w:t xml:space="preserve">a </w:t>
      </w:r>
      <w:r w:rsidR="00D212C9">
        <w:t>positive effect on SDR sample members</w:t>
      </w:r>
      <w:r>
        <w:t xml:space="preserve">, NSF wishes to </w:t>
      </w:r>
      <w:r w:rsidR="00D212C9">
        <w:t xml:space="preserve">implement </w:t>
      </w:r>
      <w:r>
        <w:t>incentives</w:t>
      </w:r>
      <w:r w:rsidR="00D212C9">
        <w:t xml:space="preserve"> in the 2010 SDR</w:t>
      </w:r>
      <w:r>
        <w:t xml:space="preserve">. </w:t>
      </w:r>
    </w:p>
    <w:p w:rsidR="00D212C9" w:rsidRDefault="00D212C9" w:rsidP="00465093"/>
    <w:p w:rsidR="00053CA2" w:rsidRPr="00785966" w:rsidRDefault="00053CA2" w:rsidP="00053CA2">
      <w:pPr>
        <w:rPr>
          <w:u w:val="single"/>
        </w:rPr>
      </w:pPr>
      <w:r w:rsidRPr="00785966">
        <w:rPr>
          <w:u w:val="single"/>
        </w:rPr>
        <w:lastRenderedPageBreak/>
        <w:t>Late-Stage Incentive Results from the 2008 SDR</w:t>
      </w:r>
    </w:p>
    <w:p w:rsidR="00053CA2" w:rsidRDefault="00053CA2" w:rsidP="00053CA2">
      <w:r>
        <w:t>The 2008 SDR offered a late-stage incentive</w:t>
      </w:r>
      <w:r w:rsidR="0032776C">
        <w:t xml:space="preserve"> ($30 prepaid)</w:t>
      </w:r>
      <w:r>
        <w:t xml:space="preserve"> after 5.5 months of data collection.  Nonrespondents in low responding sampling strata were offered the incentive with certainty, and 20% of the nonrespondents in better performing strata were offered the incentive.</w:t>
      </w:r>
    </w:p>
    <w:p w:rsidR="00053CA2" w:rsidRDefault="00053CA2" w:rsidP="00053CA2">
      <w:r>
        <w:t>Of the 11,163 sample members eligible for a late-stage incentive, 7,499 were selected for the incentive.  However, only 4,717 of these cases were not in locating (i.e., had current contacting information).</w:t>
      </w:r>
    </w:p>
    <w:p w:rsidR="00053CA2" w:rsidRDefault="00053CA2" w:rsidP="00053CA2">
      <w:r>
        <w:t>In the end 4,215 sample members were offered the late-stage incentive and 2,108 (50%) cashed the check.  The survey response and cashing outcomes for the 2008 SDR late-stage sample are displayed in Table 1.</w:t>
      </w:r>
    </w:p>
    <w:p w:rsidR="00053CA2" w:rsidRPr="00785966" w:rsidRDefault="00053CA2" w:rsidP="00785966">
      <w:pPr>
        <w:jc w:val="center"/>
        <w:rPr>
          <w:b/>
        </w:rPr>
      </w:pPr>
      <w:r w:rsidRPr="00785966">
        <w:rPr>
          <w:b/>
        </w:rPr>
        <w:t>Table 1</w:t>
      </w:r>
      <w:r w:rsidR="00785966">
        <w:rPr>
          <w:b/>
        </w:rPr>
        <w:t>:</w:t>
      </w:r>
      <w:r w:rsidRPr="00785966">
        <w:rPr>
          <w:b/>
        </w:rPr>
        <w:t xml:space="preserve"> </w:t>
      </w:r>
      <w:r w:rsidR="00785966">
        <w:rPr>
          <w:b/>
        </w:rPr>
        <w:t xml:space="preserve"> </w:t>
      </w:r>
      <w:r w:rsidR="00785966" w:rsidRPr="00785966">
        <w:rPr>
          <w:b/>
        </w:rPr>
        <w:t>2008 SDR Results from Offering Late-Stage Incentives</w:t>
      </w:r>
    </w:p>
    <w:tbl>
      <w:tblPr>
        <w:tblW w:w="3840" w:type="dxa"/>
        <w:jc w:val="center"/>
        <w:tblInd w:w="93" w:type="dxa"/>
        <w:tblLook w:val="04A0"/>
      </w:tblPr>
      <w:tblGrid>
        <w:gridCol w:w="1200"/>
        <w:gridCol w:w="960"/>
        <w:gridCol w:w="960"/>
        <w:gridCol w:w="960"/>
      </w:tblGrid>
      <w:tr w:rsidR="00053CA2" w:rsidRPr="002577B4" w:rsidTr="00053CA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053CA2" w:rsidRPr="002577B4" w:rsidRDefault="00053CA2" w:rsidP="00053CA2">
            <w:pPr>
              <w:spacing w:before="80" w:after="80"/>
              <w:jc w:val="center"/>
            </w:pPr>
            <w:r>
              <w:t xml:space="preserve">Completed </w:t>
            </w:r>
            <w:r w:rsidRPr="002577B4">
              <w:t>Survey</w:t>
            </w:r>
          </w:p>
        </w:tc>
        <w:tc>
          <w:tcPr>
            <w:tcW w:w="960" w:type="dxa"/>
            <w:tcBorders>
              <w:top w:val="single" w:sz="4" w:space="0" w:color="auto"/>
              <w:left w:val="nil"/>
              <w:bottom w:val="single" w:sz="4" w:space="0" w:color="auto"/>
              <w:right w:val="single" w:sz="4" w:space="0" w:color="auto"/>
            </w:tcBorders>
            <w:shd w:val="clear" w:color="000000" w:fill="CCC0DA"/>
            <w:vAlign w:val="bottom"/>
            <w:hideMark/>
          </w:tcPr>
          <w:p w:rsidR="00053CA2" w:rsidRPr="002577B4" w:rsidRDefault="00053CA2" w:rsidP="00053CA2">
            <w:pPr>
              <w:spacing w:before="80" w:after="80"/>
              <w:jc w:val="center"/>
            </w:pPr>
            <w:r w:rsidRPr="002577B4">
              <w:t>Cashed</w:t>
            </w:r>
            <w:r>
              <w:t xml:space="preserve"> Check</w:t>
            </w:r>
          </w:p>
        </w:tc>
        <w:tc>
          <w:tcPr>
            <w:tcW w:w="960" w:type="dxa"/>
            <w:tcBorders>
              <w:top w:val="single" w:sz="4" w:space="0" w:color="auto"/>
              <w:left w:val="nil"/>
              <w:bottom w:val="single" w:sz="4" w:space="0" w:color="auto"/>
              <w:right w:val="single" w:sz="4" w:space="0" w:color="auto"/>
            </w:tcBorders>
            <w:shd w:val="clear" w:color="000000" w:fill="CCC0DA"/>
            <w:vAlign w:val="bottom"/>
            <w:hideMark/>
          </w:tcPr>
          <w:p w:rsidR="00053CA2" w:rsidRPr="002577B4" w:rsidRDefault="00053CA2" w:rsidP="00053CA2">
            <w:pPr>
              <w:spacing w:before="80" w:after="80"/>
              <w:jc w:val="center"/>
            </w:pPr>
            <w:r w:rsidRPr="002577B4">
              <w:t>Cases</w:t>
            </w:r>
          </w:p>
        </w:tc>
        <w:tc>
          <w:tcPr>
            <w:tcW w:w="960" w:type="dxa"/>
            <w:tcBorders>
              <w:top w:val="single" w:sz="4" w:space="0" w:color="auto"/>
              <w:left w:val="nil"/>
              <w:bottom w:val="single" w:sz="4" w:space="0" w:color="auto"/>
              <w:right w:val="single" w:sz="4" w:space="0" w:color="auto"/>
            </w:tcBorders>
            <w:shd w:val="clear" w:color="000000" w:fill="CCC0DA"/>
            <w:vAlign w:val="bottom"/>
            <w:hideMark/>
          </w:tcPr>
          <w:p w:rsidR="00053CA2" w:rsidRPr="002577B4" w:rsidRDefault="00053CA2" w:rsidP="00053CA2">
            <w:pPr>
              <w:spacing w:before="80" w:after="80"/>
              <w:jc w:val="center"/>
            </w:pPr>
            <w:r w:rsidRPr="002577B4">
              <w:t>Percent</w:t>
            </w:r>
          </w:p>
        </w:tc>
      </w:tr>
      <w:tr w:rsidR="00053CA2" w:rsidRPr="002577B4" w:rsidTr="00053CA2">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rsidR="00053CA2" w:rsidRPr="002577B4" w:rsidRDefault="00053CA2" w:rsidP="00053CA2">
            <w:pPr>
              <w:spacing w:before="80" w:after="80"/>
              <w:rPr>
                <w:color w:val="000000"/>
              </w:rPr>
            </w:pPr>
            <w:r w:rsidRPr="002577B4">
              <w:rPr>
                <w:color w:val="000000"/>
              </w:rPr>
              <w:t>Yes</w:t>
            </w:r>
          </w:p>
        </w:tc>
        <w:tc>
          <w:tcPr>
            <w:tcW w:w="960" w:type="dxa"/>
            <w:tcBorders>
              <w:top w:val="nil"/>
              <w:left w:val="nil"/>
              <w:bottom w:val="single" w:sz="4" w:space="0" w:color="auto"/>
              <w:right w:val="single" w:sz="4" w:space="0" w:color="auto"/>
            </w:tcBorders>
            <w:shd w:val="clear" w:color="auto" w:fill="auto"/>
            <w:vAlign w:val="bottom"/>
            <w:hideMark/>
          </w:tcPr>
          <w:p w:rsidR="00053CA2" w:rsidRPr="002577B4" w:rsidRDefault="00053CA2" w:rsidP="00053CA2">
            <w:pPr>
              <w:spacing w:before="80" w:after="80"/>
              <w:rPr>
                <w:color w:val="000000"/>
              </w:rPr>
            </w:pPr>
            <w:r w:rsidRPr="002577B4">
              <w:rPr>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884</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21.0%</w:t>
            </w:r>
          </w:p>
        </w:tc>
      </w:tr>
      <w:tr w:rsidR="00053CA2" w:rsidRPr="002577B4" w:rsidTr="00053CA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rPr>
                <w:color w:val="000000"/>
              </w:rPr>
            </w:pPr>
            <w:r w:rsidRPr="002577B4">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rPr>
                <w:color w:val="000000"/>
              </w:rPr>
            </w:pPr>
            <w:r w:rsidRPr="002577B4">
              <w:rPr>
                <w:color w:val="000000"/>
              </w:rPr>
              <w:t>Yes</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2,057</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48.8%</w:t>
            </w:r>
          </w:p>
        </w:tc>
      </w:tr>
      <w:tr w:rsidR="00053CA2" w:rsidRPr="002577B4" w:rsidTr="00053CA2">
        <w:trPr>
          <w:trHeight w:val="300"/>
          <w:jc w:val="center"/>
        </w:trPr>
        <w:tc>
          <w:tcPr>
            <w:tcW w:w="960" w:type="dxa"/>
            <w:tcBorders>
              <w:top w:val="nil"/>
              <w:left w:val="single" w:sz="4" w:space="0" w:color="auto"/>
              <w:bottom w:val="nil"/>
              <w:right w:val="single" w:sz="4" w:space="0" w:color="auto"/>
            </w:tcBorders>
            <w:shd w:val="clear" w:color="auto" w:fill="auto"/>
            <w:noWrap/>
            <w:vAlign w:val="bottom"/>
            <w:hideMark/>
          </w:tcPr>
          <w:p w:rsidR="00053CA2" w:rsidRPr="002577B4" w:rsidRDefault="00053CA2" w:rsidP="00053CA2">
            <w:pPr>
              <w:spacing w:before="80" w:after="80"/>
              <w:rPr>
                <w:color w:val="000000"/>
              </w:rPr>
            </w:pPr>
            <w:r w:rsidRPr="002577B4">
              <w:rPr>
                <w:color w:val="000000"/>
              </w:rPr>
              <w:t>No</w:t>
            </w:r>
          </w:p>
        </w:tc>
        <w:tc>
          <w:tcPr>
            <w:tcW w:w="960" w:type="dxa"/>
            <w:tcBorders>
              <w:top w:val="nil"/>
              <w:left w:val="nil"/>
              <w:bottom w:val="single" w:sz="4" w:space="0" w:color="auto"/>
              <w:right w:val="single" w:sz="4" w:space="0" w:color="auto"/>
            </w:tcBorders>
            <w:shd w:val="clear" w:color="auto" w:fill="auto"/>
            <w:vAlign w:val="bottom"/>
            <w:hideMark/>
          </w:tcPr>
          <w:p w:rsidR="00053CA2" w:rsidRPr="002577B4" w:rsidRDefault="00053CA2" w:rsidP="00053CA2">
            <w:pPr>
              <w:spacing w:before="80" w:after="80"/>
              <w:rPr>
                <w:color w:val="000000"/>
              </w:rPr>
            </w:pPr>
            <w:r w:rsidRPr="002577B4">
              <w:rPr>
                <w:color w:val="000000"/>
              </w:rPr>
              <w:t>No</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1,223</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29.0%</w:t>
            </w:r>
          </w:p>
        </w:tc>
      </w:tr>
      <w:tr w:rsidR="00053CA2" w:rsidRPr="002577B4" w:rsidTr="00053CA2">
        <w:trPr>
          <w:trHeight w:val="315"/>
          <w:jc w:val="center"/>
        </w:trPr>
        <w:tc>
          <w:tcPr>
            <w:tcW w:w="960" w:type="dxa"/>
            <w:tcBorders>
              <w:top w:val="nil"/>
              <w:left w:val="single" w:sz="4" w:space="0" w:color="auto"/>
              <w:bottom w:val="double" w:sz="6" w:space="0" w:color="auto"/>
              <w:right w:val="single" w:sz="4" w:space="0" w:color="auto"/>
            </w:tcBorders>
            <w:shd w:val="clear" w:color="auto" w:fill="auto"/>
            <w:noWrap/>
            <w:vAlign w:val="bottom"/>
            <w:hideMark/>
          </w:tcPr>
          <w:p w:rsidR="00053CA2" w:rsidRPr="002577B4" w:rsidRDefault="00053CA2" w:rsidP="00053CA2">
            <w:pPr>
              <w:spacing w:before="80" w:after="80"/>
              <w:rPr>
                <w:color w:val="000000"/>
              </w:rPr>
            </w:pPr>
            <w:r w:rsidRPr="002577B4">
              <w:rPr>
                <w:color w:val="000000"/>
              </w:rPr>
              <w:t> </w:t>
            </w:r>
          </w:p>
        </w:tc>
        <w:tc>
          <w:tcPr>
            <w:tcW w:w="960" w:type="dxa"/>
            <w:tcBorders>
              <w:top w:val="nil"/>
              <w:left w:val="nil"/>
              <w:bottom w:val="double" w:sz="6" w:space="0" w:color="auto"/>
              <w:right w:val="single" w:sz="4" w:space="0" w:color="auto"/>
            </w:tcBorders>
            <w:shd w:val="clear" w:color="auto" w:fill="auto"/>
            <w:vAlign w:val="bottom"/>
            <w:hideMark/>
          </w:tcPr>
          <w:p w:rsidR="00053CA2" w:rsidRPr="002577B4" w:rsidRDefault="00053CA2" w:rsidP="00053CA2">
            <w:pPr>
              <w:spacing w:before="80" w:after="80"/>
              <w:rPr>
                <w:color w:val="000000"/>
              </w:rPr>
            </w:pPr>
            <w:r w:rsidRPr="002577B4">
              <w:rPr>
                <w:color w:val="000000"/>
              </w:rPr>
              <w:t>Yes</w:t>
            </w:r>
          </w:p>
        </w:tc>
        <w:tc>
          <w:tcPr>
            <w:tcW w:w="960" w:type="dxa"/>
            <w:tcBorders>
              <w:top w:val="nil"/>
              <w:left w:val="nil"/>
              <w:bottom w:val="double" w:sz="6"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51</w:t>
            </w:r>
          </w:p>
        </w:tc>
        <w:tc>
          <w:tcPr>
            <w:tcW w:w="960" w:type="dxa"/>
            <w:tcBorders>
              <w:top w:val="nil"/>
              <w:left w:val="nil"/>
              <w:bottom w:val="double" w:sz="6"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1.2%</w:t>
            </w:r>
          </w:p>
        </w:tc>
      </w:tr>
      <w:tr w:rsidR="00053CA2" w:rsidRPr="002577B4" w:rsidTr="00053CA2">
        <w:trPr>
          <w:trHeight w:val="315"/>
          <w:jc w:val="center"/>
        </w:trPr>
        <w:tc>
          <w:tcPr>
            <w:tcW w:w="1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center"/>
              <w:rPr>
                <w:color w:val="000000"/>
              </w:rPr>
            </w:pPr>
            <w:r w:rsidRPr="002577B4">
              <w:rPr>
                <w:color w:val="000000"/>
              </w:rPr>
              <w:t>Overall</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4,215</w:t>
            </w:r>
          </w:p>
        </w:tc>
        <w:tc>
          <w:tcPr>
            <w:tcW w:w="960" w:type="dxa"/>
            <w:tcBorders>
              <w:top w:val="nil"/>
              <w:left w:val="nil"/>
              <w:bottom w:val="single" w:sz="4" w:space="0" w:color="auto"/>
              <w:right w:val="single" w:sz="4" w:space="0" w:color="auto"/>
            </w:tcBorders>
            <w:shd w:val="clear" w:color="auto" w:fill="auto"/>
            <w:noWrap/>
            <w:vAlign w:val="bottom"/>
            <w:hideMark/>
          </w:tcPr>
          <w:p w:rsidR="00053CA2" w:rsidRPr="002577B4" w:rsidRDefault="00053CA2" w:rsidP="00053CA2">
            <w:pPr>
              <w:spacing w:before="80" w:after="80"/>
              <w:jc w:val="right"/>
              <w:rPr>
                <w:color w:val="000000"/>
              </w:rPr>
            </w:pPr>
            <w:r w:rsidRPr="002577B4">
              <w:rPr>
                <w:color w:val="000000"/>
              </w:rPr>
              <w:t>100.0%</w:t>
            </w:r>
          </w:p>
        </w:tc>
      </w:tr>
    </w:tbl>
    <w:p w:rsidR="00053CA2" w:rsidRDefault="00053CA2" w:rsidP="00053CA2"/>
    <w:p w:rsidR="008B24AE" w:rsidRPr="005A7916" w:rsidRDefault="008B24AE">
      <w:pPr>
        <w:rPr>
          <w:u w:val="single"/>
        </w:rPr>
      </w:pPr>
      <w:r>
        <w:rPr>
          <w:u w:val="single"/>
        </w:rPr>
        <w:t>Proposed Plan</w:t>
      </w:r>
      <w:r w:rsidR="00D212C9">
        <w:rPr>
          <w:u w:val="single"/>
        </w:rPr>
        <w:t xml:space="preserve"> for the 2010 SDR</w:t>
      </w:r>
    </w:p>
    <w:p w:rsidR="005A7916" w:rsidRDefault="005A7916" w:rsidP="005A7916">
      <w:r>
        <w:t>The overall strategy for the late stage incentive is to ensure that all sample members who have been subject to the standard survey data collection protocols and still remain as survey nonrespondents will have a probability of receiving a monetary incentive.  In the plan used for the 2008 SDR and again proposed here, a greater probability of selection for the incentive will be given to cases in those sampling cells where there are relatively lower response rates, in order to improve the accuracy of survey estimates (given that the sampling cells are aligned with the domains of interest for analysis).</w:t>
      </w:r>
    </w:p>
    <w:p w:rsidR="00E60B5F" w:rsidRDefault="00E60B5F" w:rsidP="00E60B5F">
      <w:pPr>
        <w:spacing w:after="60"/>
      </w:pPr>
      <w:r>
        <w:t>The sample parameters for the SDR are summarized below.  There are 150 sampling cells, with three major stratification variables:</w:t>
      </w:r>
    </w:p>
    <w:p w:rsidR="00E60B5F" w:rsidRDefault="00E60B5F" w:rsidP="00E60B5F">
      <w:pPr>
        <w:spacing w:after="60"/>
        <w:ind w:left="720"/>
      </w:pPr>
      <w:r>
        <w:t>1) Demographic group (9 values) – this variable describes citizenship, disability status, and race/ethnicity,</w:t>
      </w:r>
    </w:p>
    <w:p w:rsidR="00E60B5F" w:rsidRDefault="00E60B5F" w:rsidP="00E60B5F">
      <w:pPr>
        <w:spacing w:after="60"/>
        <w:ind w:left="720"/>
      </w:pPr>
      <w:r>
        <w:t>2) Sex (2 values), and</w:t>
      </w:r>
    </w:p>
    <w:p w:rsidR="00E60B5F" w:rsidRDefault="00E60B5F" w:rsidP="00E60B5F">
      <w:pPr>
        <w:ind w:left="720"/>
      </w:pPr>
      <w:r>
        <w:t>3) Field of degree (7 values) – this variable describes the field of doctorate.</w:t>
      </w:r>
    </w:p>
    <w:p w:rsidR="005A7916" w:rsidRDefault="005A7916" w:rsidP="005A7916">
      <w:r>
        <w:lastRenderedPageBreak/>
        <w:t xml:space="preserve">To </w:t>
      </w:r>
      <w:r w:rsidR="00773EC4">
        <w:t>determine</w:t>
      </w:r>
      <w:r>
        <w:t xml:space="preserve"> which groups would have a greater or lesser probability of being offered an incentive, NSF prepared a table displaying for each 20</w:t>
      </w:r>
      <w:r w:rsidR="00773EC4">
        <w:t>10</w:t>
      </w:r>
      <w:r>
        <w:t xml:space="preserve"> sampling cell the</w:t>
      </w:r>
      <w:r w:rsidR="00567E9E">
        <w:t xml:space="preserve"> 2008 final weighted </w:t>
      </w:r>
      <w:r w:rsidR="00B40814">
        <w:t>response</w:t>
      </w:r>
      <w:r w:rsidR="005F1F20">
        <w:t xml:space="preserve"> rate</w:t>
      </w:r>
      <w:r>
        <w:t xml:space="preserve"> and the 20</w:t>
      </w:r>
      <w:r w:rsidR="00773EC4">
        <w:t>10</w:t>
      </w:r>
      <w:r>
        <w:t xml:space="preserve"> preliminary response rate as of </w:t>
      </w:r>
      <w:r w:rsidR="00773EC4">
        <w:t>1</w:t>
      </w:r>
      <w:r w:rsidR="00F9206D">
        <w:t>5</w:t>
      </w:r>
      <w:r w:rsidR="00773EC4">
        <w:t xml:space="preserve"> March</w:t>
      </w:r>
      <w:r>
        <w:t xml:space="preserve"> 20</w:t>
      </w:r>
      <w:r w:rsidR="00773EC4">
        <w:t>1</w:t>
      </w:r>
      <w:r w:rsidR="00395967">
        <w:t>1</w:t>
      </w:r>
      <w:r>
        <w:t xml:space="preserve"> (</w:t>
      </w:r>
      <w:r w:rsidR="000E2C77">
        <w:t>5</w:t>
      </w:r>
      <w:r>
        <w:t xml:space="preserve"> months into the data collection period).  The sampling cells are used because it is at this level that NSF </w:t>
      </w:r>
      <w:r w:rsidR="000E2C77">
        <w:t>will</w:t>
      </w:r>
      <w:r>
        <w:t xml:space="preserve"> make decisions about the incentive treatment.  </w:t>
      </w:r>
      <w:r w:rsidRPr="00475FC5">
        <w:t>The 200</w:t>
      </w:r>
      <w:r w:rsidR="00773EC4" w:rsidRPr="00475FC5">
        <w:t>8</w:t>
      </w:r>
      <w:r w:rsidRPr="00475FC5">
        <w:t xml:space="preserve"> final survey response rates are used as </w:t>
      </w:r>
      <w:r w:rsidR="004100C3" w:rsidRPr="00475FC5">
        <w:t xml:space="preserve">a </w:t>
      </w:r>
      <w:r w:rsidRPr="00475FC5">
        <w:t xml:space="preserve">reference because </w:t>
      </w:r>
      <w:r w:rsidR="00257471" w:rsidRPr="00475FC5">
        <w:t xml:space="preserve">the target rate of 80% </w:t>
      </w:r>
      <w:r w:rsidR="00475FC5">
        <w:t xml:space="preserve">was achieved overall </w:t>
      </w:r>
      <w:r w:rsidR="00257471" w:rsidRPr="00475FC5">
        <w:t xml:space="preserve">and because the response rates for the individual sampling cells indicate what might be expected </w:t>
      </w:r>
      <w:r w:rsidRPr="00475FC5">
        <w:t xml:space="preserve">at the end of </w:t>
      </w:r>
      <w:r w:rsidR="004100C3" w:rsidRPr="00475FC5">
        <w:t xml:space="preserve">the </w:t>
      </w:r>
      <w:r w:rsidRPr="00475FC5">
        <w:t>20</w:t>
      </w:r>
      <w:r w:rsidR="00773EC4" w:rsidRPr="00475FC5">
        <w:t>10</w:t>
      </w:r>
      <w:r w:rsidRPr="00475FC5">
        <w:t xml:space="preserve"> data collection.  The 20</w:t>
      </w:r>
      <w:r w:rsidR="00773EC4" w:rsidRPr="00475FC5">
        <w:t>10</w:t>
      </w:r>
      <w:r>
        <w:t xml:space="preserve"> preliminary response rates are shown so that we can make a determination of data collection progress to date.</w:t>
      </w:r>
    </w:p>
    <w:p w:rsidR="001E0D78" w:rsidRDefault="004100C3" w:rsidP="005A7916">
      <w:r>
        <w:t>T</w:t>
      </w:r>
      <w:r w:rsidR="005A7916">
        <w:t>o allocate its available limited resources for the monetary incentive to late</w:t>
      </w:r>
      <w:r w:rsidR="00395967">
        <w:t>-</w:t>
      </w:r>
      <w:r w:rsidR="005A7916">
        <w:t xml:space="preserve">stage survey nonrespondents, NSF will divide </w:t>
      </w:r>
      <w:r w:rsidR="00773EC4">
        <w:t>the SDR’s</w:t>
      </w:r>
      <w:r w:rsidR="005A7916">
        <w:t xml:space="preserve"> sampling cells into two groups</w:t>
      </w:r>
      <w:r w:rsidR="001E0D78">
        <w:t>.</w:t>
      </w:r>
      <w:r w:rsidR="005A7916" w:rsidRPr="006803AE">
        <w:t xml:space="preserve"> </w:t>
      </w:r>
      <w:r w:rsidR="006803AE">
        <w:t xml:space="preserve"> </w:t>
      </w:r>
      <w:r w:rsidR="001E0D78">
        <w:t>O</w:t>
      </w:r>
      <w:r w:rsidR="00005CFC" w:rsidRPr="006803AE">
        <w:t xml:space="preserve">ne group </w:t>
      </w:r>
      <w:r w:rsidR="001E0D78">
        <w:t xml:space="preserve">will contain sampling cells from which </w:t>
      </w:r>
      <w:r w:rsidR="00005CFC" w:rsidRPr="006803AE">
        <w:t xml:space="preserve">all pending nonresponse cases will be offered </w:t>
      </w:r>
      <w:r w:rsidR="006803AE">
        <w:t>an</w:t>
      </w:r>
      <w:r w:rsidR="00005CFC" w:rsidRPr="006803AE">
        <w:t xml:space="preserve"> incentive, referred to as the </w:t>
      </w:r>
      <w:r w:rsidR="006803AE">
        <w:t>“certainty” incentive treatment</w:t>
      </w:r>
      <w:r w:rsidR="001E0D78">
        <w:t xml:space="preserve">. </w:t>
      </w:r>
      <w:r w:rsidR="00005CFC" w:rsidRPr="006803AE">
        <w:t xml:space="preserve"> </w:t>
      </w:r>
      <w:r w:rsidR="001E0D78">
        <w:t xml:space="preserve"> The</w:t>
      </w:r>
      <w:r w:rsidR="006803AE">
        <w:t xml:space="preserve"> </w:t>
      </w:r>
      <w:r w:rsidR="00005CFC" w:rsidRPr="006803AE">
        <w:t xml:space="preserve">second group </w:t>
      </w:r>
      <w:r w:rsidR="001E0D78">
        <w:t xml:space="preserve">will be comprised of sampling cells </w:t>
      </w:r>
      <w:r w:rsidR="006803AE">
        <w:t xml:space="preserve">from which </w:t>
      </w:r>
      <w:r w:rsidR="00005CFC" w:rsidRPr="006803AE">
        <w:t xml:space="preserve">a random sample of the pending nonresponse cases will be selected for the incentive offer, referred to as the “sample” incentive treatment.  </w:t>
      </w:r>
      <w:r w:rsidR="001E0D78">
        <w:t>Whereas 100% of the pending nonresponse cases will be offered an incentive in the</w:t>
      </w:r>
      <w:r w:rsidR="005A7916" w:rsidRPr="006803AE">
        <w:t xml:space="preserve"> </w:t>
      </w:r>
      <w:r w:rsidR="00005CFC" w:rsidRPr="006803AE">
        <w:t>certainty</w:t>
      </w:r>
      <w:r w:rsidR="005A7916" w:rsidRPr="006803AE">
        <w:t xml:space="preserve"> </w:t>
      </w:r>
      <w:r w:rsidR="00005CFC" w:rsidRPr="006803AE">
        <w:t xml:space="preserve">incentive </w:t>
      </w:r>
      <w:r w:rsidR="005A7916" w:rsidRPr="006803AE">
        <w:t>treatment</w:t>
      </w:r>
      <w:r w:rsidR="001E0D78">
        <w:t xml:space="preserve">, </w:t>
      </w:r>
      <w:r w:rsidR="00776CCB">
        <w:t xml:space="preserve">20% of the cases in the sample incentive treatment will receive the same offer. </w:t>
      </w:r>
    </w:p>
    <w:p w:rsidR="005A7916" w:rsidRDefault="005A7916" w:rsidP="005A7916">
      <w:r>
        <w:t xml:space="preserve">To define which sampling cells would fit into </w:t>
      </w:r>
      <w:r w:rsidRPr="009E7E8A">
        <w:t xml:space="preserve">the </w:t>
      </w:r>
      <w:r w:rsidR="00005CFC" w:rsidRPr="009E7E8A">
        <w:t>certainty and sample incentive</w:t>
      </w:r>
      <w:r w:rsidRPr="009E7E8A">
        <w:t xml:space="preserve"> treatments</w:t>
      </w:r>
      <w:r>
        <w:t xml:space="preserve"> , NSF reviewed the 200</w:t>
      </w:r>
      <w:r w:rsidR="00773EC4">
        <w:t>8</w:t>
      </w:r>
      <w:r>
        <w:t xml:space="preserve"> final response rates, the 20</w:t>
      </w:r>
      <w:r w:rsidR="00773EC4">
        <w:t>10</w:t>
      </w:r>
      <w:r>
        <w:t xml:space="preserve"> preliminary response rates, and the difference between </w:t>
      </w:r>
      <w:r w:rsidR="007D3F11">
        <w:t xml:space="preserve">the 2010 preliminary response rates and the target rate </w:t>
      </w:r>
      <w:r>
        <w:t>at th</w:t>
      </w:r>
      <w:r w:rsidR="00112462">
        <w:t>e</w:t>
      </w:r>
      <w:r>
        <w:t xml:space="preserve"> current stage in the 20</w:t>
      </w:r>
      <w:r w:rsidR="00773EC4">
        <w:t>10</w:t>
      </w:r>
      <w:r>
        <w:t xml:space="preserve"> data collection.  Based on these data points, NSF developed the following broad parameters to use in making decisions for the incentive treatment.</w:t>
      </w:r>
    </w:p>
    <w:p w:rsidR="005A7916" w:rsidRPr="009E7E8A" w:rsidRDefault="005A7916" w:rsidP="005A7916">
      <w:pPr>
        <w:numPr>
          <w:ilvl w:val="0"/>
          <w:numId w:val="1"/>
        </w:numPr>
        <w:spacing w:after="120" w:line="240" w:lineRule="auto"/>
      </w:pPr>
      <w:r>
        <w:t xml:space="preserve">Parameter 1:  High vs. Low Response </w:t>
      </w:r>
      <w:r w:rsidRPr="009E7E8A">
        <w:t>Rate in 200</w:t>
      </w:r>
      <w:r w:rsidR="004100C3" w:rsidRPr="009E7E8A">
        <w:t>8</w:t>
      </w:r>
      <w:r w:rsidRPr="009E7E8A">
        <w:br/>
        <w:t>A “low” response rate</w:t>
      </w:r>
      <w:r w:rsidR="00005CFC" w:rsidRPr="009E7E8A">
        <w:t xml:space="preserve"> is any rate that is 105</w:t>
      </w:r>
      <w:r w:rsidRPr="009E7E8A">
        <w:t>% or less of the overall 200</w:t>
      </w:r>
      <w:r w:rsidR="004100C3" w:rsidRPr="009E7E8A">
        <w:t>8</w:t>
      </w:r>
      <w:r w:rsidRPr="009E7E8A">
        <w:t xml:space="preserve"> final </w:t>
      </w:r>
      <w:r w:rsidR="00005CFC" w:rsidRPr="009E7E8A">
        <w:t xml:space="preserve">weighted </w:t>
      </w:r>
      <w:r w:rsidRPr="009E7E8A">
        <w:t>response rate</w:t>
      </w:r>
      <w:r w:rsidR="00005CFC" w:rsidRPr="009E7E8A">
        <w:t xml:space="preserve"> (i.e., 80</w:t>
      </w:r>
      <w:r w:rsidR="00475FC5" w:rsidRPr="009E7E8A">
        <w:t>.</w:t>
      </w:r>
      <w:r w:rsidR="00005CFC" w:rsidRPr="009E7E8A">
        <w:t>5</w:t>
      </w:r>
      <w:r w:rsidR="00475FC5" w:rsidRPr="009E7E8A">
        <w:t>%)</w:t>
      </w:r>
      <w:r w:rsidRPr="009E7E8A">
        <w:t>.  A “high” response rate is</w:t>
      </w:r>
      <w:r w:rsidR="00005CFC" w:rsidRPr="009E7E8A">
        <w:t xml:space="preserve"> any rate that is higher than 105</w:t>
      </w:r>
      <w:r w:rsidRPr="009E7E8A">
        <w:t>% of the overall 200</w:t>
      </w:r>
      <w:r w:rsidR="004100C3" w:rsidRPr="009E7E8A">
        <w:t>8</w:t>
      </w:r>
      <w:r w:rsidRPr="009E7E8A">
        <w:t xml:space="preserve"> response rate.</w:t>
      </w:r>
    </w:p>
    <w:p w:rsidR="005A7916" w:rsidRDefault="005A7916" w:rsidP="005A7916">
      <w:pPr>
        <w:numPr>
          <w:ilvl w:val="0"/>
          <w:numId w:val="1"/>
        </w:numPr>
        <w:spacing w:after="120" w:line="240" w:lineRule="auto"/>
      </w:pPr>
      <w:r>
        <w:t>Parameter 2:  Fast vs. Slow Response Rate in 20</w:t>
      </w:r>
      <w:r w:rsidR="004100C3">
        <w:t>10</w:t>
      </w:r>
      <w:r>
        <w:br/>
        <w:t xml:space="preserve">A “slow” response rate is any </w:t>
      </w:r>
      <w:r w:rsidRPr="009E7E8A">
        <w:t xml:space="preserve">response rate that is </w:t>
      </w:r>
      <w:r w:rsidR="00005CFC" w:rsidRPr="009E7E8A">
        <w:t>11</w:t>
      </w:r>
      <w:r w:rsidRPr="009E7E8A">
        <w:t>0% or less of the overall 20</w:t>
      </w:r>
      <w:r w:rsidR="004100C3" w:rsidRPr="009E7E8A">
        <w:t>10</w:t>
      </w:r>
      <w:r w:rsidRPr="009E7E8A">
        <w:t xml:space="preserve"> preliminary response rate.  A “fast” response rate is any rate higher than </w:t>
      </w:r>
      <w:r w:rsidR="00FB4CF1" w:rsidRPr="009E7E8A">
        <w:t>1</w:t>
      </w:r>
      <w:r w:rsidR="000F4A4E" w:rsidRPr="009E7E8A">
        <w:t>1</w:t>
      </w:r>
      <w:r w:rsidRPr="009E7E8A">
        <w:t>0% of the</w:t>
      </w:r>
      <w:r w:rsidRPr="00FB4CF1">
        <w:t xml:space="preserve"> overall</w:t>
      </w:r>
      <w:r>
        <w:t xml:space="preserve"> 20</w:t>
      </w:r>
      <w:r w:rsidR="004100C3">
        <w:t>10</w:t>
      </w:r>
      <w:r>
        <w:t xml:space="preserve"> preliminary response rate.</w:t>
      </w:r>
    </w:p>
    <w:p w:rsidR="005A7916" w:rsidRPr="009E7E8A" w:rsidRDefault="005A7916" w:rsidP="005A7916">
      <w:pPr>
        <w:numPr>
          <w:ilvl w:val="0"/>
          <w:numId w:val="1"/>
        </w:numPr>
        <w:spacing w:after="0" w:line="240" w:lineRule="auto"/>
      </w:pPr>
      <w:r>
        <w:t xml:space="preserve">Parameter 3:  Big vs. Small Response Rate </w:t>
      </w:r>
      <w:r w:rsidRPr="009E7E8A">
        <w:t xml:space="preserve">Difference </w:t>
      </w:r>
      <w:r w:rsidR="00FB4CF1" w:rsidRPr="009E7E8A">
        <w:t>b</w:t>
      </w:r>
      <w:r w:rsidRPr="009E7E8A">
        <w:t xml:space="preserve">etween </w:t>
      </w:r>
      <w:r w:rsidR="00FB4CF1" w:rsidRPr="009E7E8A">
        <w:t xml:space="preserve">the Target Rate and the </w:t>
      </w:r>
      <w:r w:rsidRPr="009E7E8A">
        <w:t>20</w:t>
      </w:r>
      <w:r w:rsidR="004100C3" w:rsidRPr="009E7E8A">
        <w:t>10</w:t>
      </w:r>
      <w:r w:rsidR="00FB4CF1" w:rsidRPr="009E7E8A">
        <w:t xml:space="preserve"> Preliminary Rates</w:t>
      </w:r>
      <w:r w:rsidRPr="009E7E8A">
        <w:br/>
        <w:t xml:space="preserve">A “big” difference is any response rate difference that is </w:t>
      </w:r>
      <w:r w:rsidR="00005CFC" w:rsidRPr="009E7E8A">
        <w:t>10</w:t>
      </w:r>
      <w:r w:rsidRPr="009E7E8A">
        <w:t xml:space="preserve">% </w:t>
      </w:r>
      <w:r w:rsidR="00231DB8" w:rsidRPr="009E7E8A">
        <w:t>lower</w:t>
      </w:r>
      <w:r w:rsidRPr="009E7E8A">
        <w:t xml:space="preserve"> than the overall difference between the </w:t>
      </w:r>
      <w:r w:rsidR="00FB4CF1" w:rsidRPr="009E7E8A">
        <w:t xml:space="preserve">target rate </w:t>
      </w:r>
      <w:r w:rsidRPr="009E7E8A">
        <w:t>and</w:t>
      </w:r>
      <w:r w:rsidR="00FB4CF1" w:rsidRPr="009E7E8A">
        <w:t xml:space="preserve"> the</w:t>
      </w:r>
      <w:r w:rsidRPr="009E7E8A">
        <w:t xml:space="preserve"> 20</w:t>
      </w:r>
      <w:r w:rsidR="004100C3" w:rsidRPr="009E7E8A">
        <w:t>10</w:t>
      </w:r>
      <w:r w:rsidR="001B1C5D" w:rsidRPr="009E7E8A">
        <w:t xml:space="preserve"> preliminary response rate</w:t>
      </w:r>
      <w:r w:rsidRPr="009E7E8A">
        <w:t xml:space="preserve">.  A “small” difference is any response rate difference that is less than </w:t>
      </w:r>
      <w:r w:rsidR="00005CFC" w:rsidRPr="009E7E8A">
        <w:t>10</w:t>
      </w:r>
      <w:r w:rsidRPr="009E7E8A">
        <w:t xml:space="preserve">% </w:t>
      </w:r>
      <w:r w:rsidR="00231DB8" w:rsidRPr="009E7E8A">
        <w:t>lower</w:t>
      </w:r>
      <w:r w:rsidRPr="009E7E8A">
        <w:t xml:space="preserve"> than the overall difference between the </w:t>
      </w:r>
      <w:r w:rsidR="00FB4CF1" w:rsidRPr="009E7E8A">
        <w:t xml:space="preserve">target </w:t>
      </w:r>
      <w:r w:rsidR="001B1C5D" w:rsidRPr="009E7E8A">
        <w:t xml:space="preserve">rate </w:t>
      </w:r>
      <w:r w:rsidRPr="009E7E8A">
        <w:t>and 20</w:t>
      </w:r>
      <w:r w:rsidR="004100C3" w:rsidRPr="009E7E8A">
        <w:t>10</w:t>
      </w:r>
      <w:r w:rsidR="001B1C5D" w:rsidRPr="009E7E8A">
        <w:t xml:space="preserve"> preliminary response rate</w:t>
      </w:r>
      <w:r w:rsidRPr="009E7E8A">
        <w:t xml:space="preserve">.  For example, the </w:t>
      </w:r>
      <w:r w:rsidR="00FB4CF1" w:rsidRPr="009E7E8A">
        <w:t xml:space="preserve">target </w:t>
      </w:r>
      <w:r w:rsidRPr="009E7E8A">
        <w:t xml:space="preserve">response rate </w:t>
      </w:r>
      <w:r w:rsidR="00221D00" w:rsidRPr="009E7E8A">
        <w:t>for the 20</w:t>
      </w:r>
      <w:r w:rsidR="00FB4CF1" w:rsidRPr="009E7E8A">
        <w:t>10</w:t>
      </w:r>
      <w:r w:rsidR="00221D00" w:rsidRPr="009E7E8A">
        <w:t xml:space="preserve"> SDR </w:t>
      </w:r>
      <w:r w:rsidR="00FB4CF1" w:rsidRPr="009E7E8A">
        <w:t>i</w:t>
      </w:r>
      <w:r w:rsidRPr="009E7E8A">
        <w:t>s 8</w:t>
      </w:r>
      <w:r w:rsidR="004100C3" w:rsidRPr="009E7E8A">
        <w:t>0</w:t>
      </w:r>
      <w:r w:rsidRPr="009E7E8A">
        <w:t>.</w:t>
      </w:r>
      <w:r w:rsidR="00FB4CF1" w:rsidRPr="009E7E8A">
        <w:t>0</w:t>
      </w:r>
      <w:r w:rsidRPr="009E7E8A">
        <w:t xml:space="preserve">%, while it was </w:t>
      </w:r>
      <w:r w:rsidR="004100C3" w:rsidRPr="009E7E8A">
        <w:t>6</w:t>
      </w:r>
      <w:r w:rsidR="008876AC" w:rsidRPr="009E7E8A">
        <w:t>5</w:t>
      </w:r>
      <w:r w:rsidR="004100C3" w:rsidRPr="009E7E8A">
        <w:t>.</w:t>
      </w:r>
      <w:r w:rsidR="00FB4CF1" w:rsidRPr="009E7E8A">
        <w:t>4</w:t>
      </w:r>
      <w:r w:rsidRPr="009E7E8A">
        <w:t xml:space="preserve">% as of </w:t>
      </w:r>
      <w:r w:rsidR="008876AC" w:rsidRPr="009E7E8A">
        <w:t>15</w:t>
      </w:r>
      <w:r w:rsidR="004A213F" w:rsidRPr="009E7E8A">
        <w:t xml:space="preserve"> March 20</w:t>
      </w:r>
      <w:r w:rsidR="008876AC" w:rsidRPr="009E7E8A">
        <w:t>11</w:t>
      </w:r>
      <w:r w:rsidRPr="009E7E8A">
        <w:t xml:space="preserve">, for an overall difference of </w:t>
      </w:r>
      <w:r w:rsidR="004A213F" w:rsidRPr="009E7E8A">
        <w:t>1</w:t>
      </w:r>
      <w:r w:rsidR="00FB4CF1" w:rsidRPr="009E7E8A">
        <w:t>4</w:t>
      </w:r>
      <w:r w:rsidRPr="009E7E8A">
        <w:t>.</w:t>
      </w:r>
      <w:r w:rsidR="00FB4CF1" w:rsidRPr="009E7E8A">
        <w:t>6</w:t>
      </w:r>
      <w:r w:rsidRPr="009E7E8A">
        <w:t xml:space="preserve">%.  Therefore, any cells that have a </w:t>
      </w:r>
      <w:r w:rsidR="00FB4CF1" w:rsidRPr="009E7E8A">
        <w:t>target</w:t>
      </w:r>
      <w:r w:rsidRPr="009E7E8A">
        <w:t>-20</w:t>
      </w:r>
      <w:r w:rsidR="004A213F" w:rsidRPr="009E7E8A">
        <w:t>10</w:t>
      </w:r>
      <w:r w:rsidRPr="009E7E8A">
        <w:t xml:space="preserve"> difference of </w:t>
      </w:r>
      <w:r w:rsidR="00005CFC" w:rsidRPr="009E7E8A">
        <w:t>13.1</w:t>
      </w:r>
      <w:r w:rsidRPr="009E7E8A">
        <w:t>% or more (</w:t>
      </w:r>
      <w:r w:rsidR="00231DB8" w:rsidRPr="009E7E8A">
        <w:t>10</w:t>
      </w:r>
      <w:r w:rsidRPr="009E7E8A">
        <w:t xml:space="preserve">% </w:t>
      </w:r>
      <w:r w:rsidR="00231DB8" w:rsidRPr="009E7E8A">
        <w:t>lower than</w:t>
      </w:r>
      <w:r w:rsidRPr="009E7E8A">
        <w:t xml:space="preserve"> 1</w:t>
      </w:r>
      <w:r w:rsidR="00FB4CF1" w:rsidRPr="009E7E8A">
        <w:t>4</w:t>
      </w:r>
      <w:r w:rsidRPr="009E7E8A">
        <w:t>.</w:t>
      </w:r>
      <w:r w:rsidR="00FB4CF1" w:rsidRPr="009E7E8A">
        <w:t>6</w:t>
      </w:r>
      <w:r w:rsidRPr="009E7E8A">
        <w:t xml:space="preserve">%) will be labeled as cells with a “big” difference in current versus </w:t>
      </w:r>
      <w:r w:rsidR="00FB4CF1" w:rsidRPr="009E7E8A">
        <w:t>target</w:t>
      </w:r>
      <w:r w:rsidRPr="009E7E8A">
        <w:t xml:space="preserve"> response rate, while those with a difference of less than </w:t>
      </w:r>
      <w:r w:rsidR="00231DB8" w:rsidRPr="009E7E8A">
        <w:t>13.1</w:t>
      </w:r>
      <w:r w:rsidRPr="009E7E8A">
        <w:t xml:space="preserve">% will be labeled as cells with a “small” difference in current versus </w:t>
      </w:r>
      <w:r w:rsidR="00FB4CF1" w:rsidRPr="009E7E8A">
        <w:t>target</w:t>
      </w:r>
      <w:r w:rsidRPr="009E7E8A">
        <w:t xml:space="preserve"> response rate.</w:t>
      </w:r>
    </w:p>
    <w:p w:rsidR="00DB1D81" w:rsidRDefault="00DB1D81" w:rsidP="005A7916"/>
    <w:p w:rsidR="005A7916" w:rsidRDefault="005A7916" w:rsidP="005A7916">
      <w:r>
        <w:lastRenderedPageBreak/>
        <w:t>To stay within the budgetary restraints</w:t>
      </w:r>
      <w:r w:rsidR="004A213F">
        <w:t xml:space="preserve"> of the 2010 SDR</w:t>
      </w:r>
      <w:r>
        <w:t>, given the response rates at the time when the incentives will be offered</w:t>
      </w:r>
      <w:r w:rsidR="004A213F">
        <w:t>,</w:t>
      </w:r>
      <w:r>
        <w:t xml:space="preserve"> it may be necessary to adjust the cut</w:t>
      </w:r>
      <w:r w:rsidR="00393381">
        <w:t xml:space="preserve"> </w:t>
      </w:r>
      <w:r>
        <w:t xml:space="preserve">points for the three parameters.  However, the three parameters will remain the same as will the 20% of the </w:t>
      </w:r>
      <w:r w:rsidR="009E7E8A">
        <w:t>sample incentive</w:t>
      </w:r>
      <w:r>
        <w:t xml:space="preserve"> treatment group receiving the incentive.</w:t>
      </w:r>
    </w:p>
    <w:p w:rsidR="005A7916" w:rsidRDefault="005A7916" w:rsidP="005A7916">
      <w:r>
        <w:t xml:space="preserve">Taking these three parameters together, eight scenarios are possible.   Table </w:t>
      </w:r>
      <w:r w:rsidR="00785966">
        <w:t>2</w:t>
      </w:r>
      <w:r>
        <w:t xml:space="preserve"> provides the composition of possible incentive treatment groups and the rationale for the incentive treatment for each </w:t>
      </w:r>
      <w:r w:rsidR="008F07DF">
        <w:t xml:space="preserve">scenario.  Table </w:t>
      </w:r>
      <w:r w:rsidR="00785966">
        <w:t>3</w:t>
      </w:r>
      <w:r w:rsidR="008F07DF">
        <w:t xml:space="preserve"> provides SDR </w:t>
      </w:r>
      <w:r>
        <w:t>response rate information.</w:t>
      </w:r>
    </w:p>
    <w:p w:rsidR="008F07DF" w:rsidRDefault="008F07DF" w:rsidP="008F07DF">
      <w:r>
        <w:t xml:space="preserve">Each 2010 SDR sampling cell has been assigned a </w:t>
      </w:r>
      <w:r w:rsidR="009E7E8A">
        <w:t>“certainty”</w:t>
      </w:r>
      <w:r>
        <w:t xml:space="preserve"> or </w:t>
      </w:r>
      <w:r w:rsidR="009E7E8A">
        <w:t>“sample”</w:t>
      </w:r>
      <w:r>
        <w:t xml:space="preserve"> incentive treatment status based on this plan.  Table </w:t>
      </w:r>
      <w:r w:rsidR="00785966">
        <w:t>4</w:t>
      </w:r>
      <w:r>
        <w:t xml:space="preserve"> shows the distribution of cases in the sampling cells by each group.</w:t>
      </w:r>
    </w:p>
    <w:p w:rsidR="00395967" w:rsidRDefault="00395967" w:rsidP="005A7916">
      <w:pPr>
        <w:spacing w:after="120"/>
        <w:jc w:val="center"/>
        <w:rPr>
          <w:rFonts w:ascii="Arial" w:hAnsi="Arial" w:cs="Arial"/>
          <w:b/>
          <w:sz w:val="20"/>
          <w:szCs w:val="20"/>
        </w:rPr>
      </w:pPr>
    </w:p>
    <w:p w:rsidR="005A7916" w:rsidRPr="003D48D8" w:rsidRDefault="005A7916" w:rsidP="005A7916">
      <w:pPr>
        <w:spacing w:after="120"/>
        <w:jc w:val="center"/>
        <w:rPr>
          <w:sz w:val="20"/>
          <w:szCs w:val="20"/>
        </w:rPr>
      </w:pPr>
      <w:r w:rsidRPr="003D48D8">
        <w:rPr>
          <w:rFonts w:ascii="Arial" w:hAnsi="Arial" w:cs="Arial"/>
          <w:b/>
          <w:sz w:val="20"/>
          <w:szCs w:val="20"/>
        </w:rPr>
        <w:t xml:space="preserve">Table </w:t>
      </w:r>
      <w:r w:rsidR="00785966">
        <w:rPr>
          <w:rFonts w:ascii="Arial" w:hAnsi="Arial" w:cs="Arial"/>
          <w:b/>
          <w:sz w:val="20"/>
          <w:szCs w:val="20"/>
        </w:rPr>
        <w:t>2:</w:t>
      </w:r>
      <w:r w:rsidRPr="003D48D8">
        <w:rPr>
          <w:rFonts w:ascii="Arial" w:hAnsi="Arial" w:cs="Arial"/>
          <w:b/>
          <w:sz w:val="20"/>
          <w:szCs w:val="20"/>
        </w:rPr>
        <w:t xml:space="preserve">  Response Rate Parameters and Assignment of Incentive Treatment</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6"/>
        <w:gridCol w:w="1127"/>
        <w:gridCol w:w="1127"/>
        <w:gridCol w:w="1127"/>
        <w:gridCol w:w="1127"/>
        <w:gridCol w:w="5108"/>
      </w:tblGrid>
      <w:tr w:rsidR="00DB1D81" w:rsidRPr="006F5BAC" w:rsidTr="00AF3C23">
        <w:trPr>
          <w:jc w:val="center"/>
        </w:trPr>
        <w:tc>
          <w:tcPr>
            <w:tcW w:w="1080" w:type="dxa"/>
            <w:shd w:val="clear" w:color="auto" w:fill="auto"/>
            <w:vAlign w:val="center"/>
          </w:tcPr>
          <w:p w:rsidR="005A7916" w:rsidRPr="00395967" w:rsidRDefault="005A7916" w:rsidP="00395967">
            <w:pPr>
              <w:spacing w:before="40" w:after="40"/>
              <w:jc w:val="center"/>
              <w:rPr>
                <w:rFonts w:ascii="Arial" w:hAnsi="Arial" w:cs="Arial"/>
                <w:b/>
                <w:sz w:val="18"/>
                <w:szCs w:val="18"/>
              </w:rPr>
            </w:pPr>
            <w:r w:rsidRPr="00395967">
              <w:rPr>
                <w:rFonts w:ascii="Arial" w:hAnsi="Arial" w:cs="Arial"/>
                <w:b/>
                <w:sz w:val="18"/>
                <w:szCs w:val="18"/>
              </w:rPr>
              <w:t>200</w:t>
            </w:r>
            <w:r w:rsidR="004A213F" w:rsidRPr="00395967">
              <w:rPr>
                <w:rFonts w:ascii="Arial" w:hAnsi="Arial" w:cs="Arial"/>
                <w:b/>
                <w:sz w:val="18"/>
                <w:szCs w:val="18"/>
              </w:rPr>
              <w:t>8</w:t>
            </w:r>
            <w:r w:rsidRPr="00395967">
              <w:rPr>
                <w:rFonts w:ascii="Arial" w:hAnsi="Arial" w:cs="Arial"/>
                <w:b/>
                <w:sz w:val="18"/>
                <w:szCs w:val="18"/>
              </w:rPr>
              <w:t>:  High or Low Response Rate</w:t>
            </w:r>
          </w:p>
        </w:tc>
        <w:tc>
          <w:tcPr>
            <w:tcW w:w="1080" w:type="dxa"/>
            <w:shd w:val="clear" w:color="auto" w:fill="auto"/>
            <w:vAlign w:val="center"/>
          </w:tcPr>
          <w:p w:rsidR="005A7916" w:rsidRPr="00395967" w:rsidRDefault="005A7916" w:rsidP="00395967">
            <w:pPr>
              <w:spacing w:before="40" w:after="40"/>
              <w:jc w:val="center"/>
              <w:rPr>
                <w:rFonts w:ascii="Arial" w:hAnsi="Arial" w:cs="Arial"/>
                <w:b/>
                <w:sz w:val="18"/>
                <w:szCs w:val="18"/>
              </w:rPr>
            </w:pPr>
            <w:r w:rsidRPr="00395967">
              <w:rPr>
                <w:rFonts w:ascii="Arial" w:hAnsi="Arial" w:cs="Arial"/>
                <w:b/>
                <w:sz w:val="18"/>
                <w:szCs w:val="18"/>
              </w:rPr>
              <w:t>20</w:t>
            </w:r>
            <w:r w:rsidR="004A213F" w:rsidRPr="00395967">
              <w:rPr>
                <w:rFonts w:ascii="Arial" w:hAnsi="Arial" w:cs="Arial"/>
                <w:b/>
                <w:sz w:val="18"/>
                <w:szCs w:val="18"/>
              </w:rPr>
              <w:t>10</w:t>
            </w:r>
            <w:r w:rsidRPr="00395967">
              <w:rPr>
                <w:rFonts w:ascii="Arial" w:hAnsi="Arial" w:cs="Arial"/>
                <w:b/>
                <w:sz w:val="18"/>
                <w:szCs w:val="18"/>
              </w:rPr>
              <w:t>:  Fast or Slow Response Rate</w:t>
            </w:r>
          </w:p>
        </w:tc>
        <w:tc>
          <w:tcPr>
            <w:tcW w:w="1080" w:type="dxa"/>
            <w:shd w:val="clear" w:color="auto" w:fill="auto"/>
            <w:vAlign w:val="center"/>
          </w:tcPr>
          <w:p w:rsidR="005A7916" w:rsidRPr="00395967" w:rsidRDefault="00DB1D81" w:rsidP="00395967">
            <w:pPr>
              <w:spacing w:before="40" w:after="40"/>
              <w:jc w:val="center"/>
              <w:rPr>
                <w:rFonts w:ascii="Arial" w:hAnsi="Arial" w:cs="Arial"/>
                <w:b/>
                <w:sz w:val="18"/>
                <w:szCs w:val="18"/>
              </w:rPr>
            </w:pPr>
            <w:r>
              <w:rPr>
                <w:rFonts w:ascii="Arial" w:hAnsi="Arial" w:cs="Arial"/>
                <w:b/>
                <w:sz w:val="18"/>
                <w:szCs w:val="18"/>
              </w:rPr>
              <w:t>Target-</w:t>
            </w:r>
            <w:r w:rsidR="005A7916" w:rsidRPr="00395967">
              <w:rPr>
                <w:rFonts w:ascii="Arial" w:hAnsi="Arial" w:cs="Arial"/>
                <w:b/>
                <w:sz w:val="18"/>
                <w:szCs w:val="18"/>
              </w:rPr>
              <w:t>20</w:t>
            </w:r>
            <w:r w:rsidR="004A213F" w:rsidRPr="00395967">
              <w:rPr>
                <w:rFonts w:ascii="Arial" w:hAnsi="Arial" w:cs="Arial"/>
                <w:b/>
                <w:sz w:val="18"/>
                <w:szCs w:val="18"/>
              </w:rPr>
              <w:t>10</w:t>
            </w:r>
            <w:r w:rsidR="005A7916" w:rsidRPr="00395967">
              <w:rPr>
                <w:rFonts w:ascii="Arial" w:hAnsi="Arial" w:cs="Arial"/>
                <w:b/>
                <w:sz w:val="18"/>
                <w:szCs w:val="18"/>
              </w:rPr>
              <w:t>:  Big or Small Difference</w:t>
            </w:r>
          </w:p>
        </w:tc>
        <w:tc>
          <w:tcPr>
            <w:tcW w:w="1080" w:type="dxa"/>
            <w:shd w:val="clear" w:color="auto" w:fill="auto"/>
            <w:vAlign w:val="center"/>
          </w:tcPr>
          <w:p w:rsidR="005A7916" w:rsidRPr="00395967" w:rsidRDefault="005A7916" w:rsidP="00395967">
            <w:pPr>
              <w:spacing w:before="40" w:after="40"/>
              <w:jc w:val="center"/>
              <w:rPr>
                <w:rFonts w:ascii="Arial" w:hAnsi="Arial" w:cs="Arial"/>
                <w:b/>
                <w:sz w:val="18"/>
                <w:szCs w:val="18"/>
              </w:rPr>
            </w:pPr>
            <w:r w:rsidRPr="00395967">
              <w:rPr>
                <w:rFonts w:ascii="Arial" w:hAnsi="Arial" w:cs="Arial"/>
                <w:b/>
                <w:sz w:val="18"/>
                <w:szCs w:val="18"/>
              </w:rPr>
              <w:t>Group A</w:t>
            </w:r>
            <w:r w:rsidR="00395967">
              <w:rPr>
                <w:rFonts w:ascii="Arial" w:hAnsi="Arial" w:cs="Arial"/>
                <w:b/>
                <w:sz w:val="18"/>
                <w:szCs w:val="18"/>
              </w:rPr>
              <w:t>cro</w:t>
            </w:r>
            <w:r w:rsidRPr="00395967">
              <w:rPr>
                <w:rFonts w:ascii="Arial" w:hAnsi="Arial" w:cs="Arial"/>
                <w:b/>
                <w:sz w:val="18"/>
                <w:szCs w:val="18"/>
              </w:rPr>
              <w:t>nym</w:t>
            </w:r>
          </w:p>
        </w:tc>
        <w:tc>
          <w:tcPr>
            <w:tcW w:w="1080" w:type="dxa"/>
            <w:shd w:val="clear" w:color="auto" w:fill="auto"/>
            <w:vAlign w:val="center"/>
          </w:tcPr>
          <w:p w:rsidR="005A7916" w:rsidRPr="00395967" w:rsidRDefault="005A7916" w:rsidP="00395967">
            <w:pPr>
              <w:spacing w:before="40" w:after="40"/>
              <w:jc w:val="center"/>
              <w:rPr>
                <w:rFonts w:ascii="Arial" w:hAnsi="Arial" w:cs="Arial"/>
                <w:b/>
                <w:sz w:val="18"/>
                <w:szCs w:val="18"/>
              </w:rPr>
            </w:pPr>
            <w:r w:rsidRPr="00395967">
              <w:rPr>
                <w:rFonts w:ascii="Arial" w:hAnsi="Arial" w:cs="Arial"/>
                <w:b/>
                <w:sz w:val="18"/>
                <w:szCs w:val="18"/>
              </w:rPr>
              <w:t>Late Stage Incentive Treatment</w:t>
            </w:r>
          </w:p>
        </w:tc>
        <w:tc>
          <w:tcPr>
            <w:tcW w:w="4896" w:type="dxa"/>
            <w:shd w:val="clear" w:color="auto" w:fill="auto"/>
            <w:vAlign w:val="center"/>
          </w:tcPr>
          <w:p w:rsidR="005A7916" w:rsidRPr="00395967" w:rsidRDefault="005A7916" w:rsidP="00395967">
            <w:pPr>
              <w:spacing w:before="40" w:after="40"/>
              <w:jc w:val="center"/>
              <w:rPr>
                <w:rFonts w:ascii="Arial" w:hAnsi="Arial" w:cs="Arial"/>
                <w:b/>
                <w:sz w:val="18"/>
                <w:szCs w:val="18"/>
              </w:rPr>
            </w:pPr>
            <w:r w:rsidRPr="00395967">
              <w:rPr>
                <w:rFonts w:ascii="Arial" w:hAnsi="Arial" w:cs="Arial"/>
                <w:b/>
                <w:sz w:val="18"/>
                <w:szCs w:val="18"/>
              </w:rPr>
              <w:t>Rationale for Incentive Treatment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Small</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LSS</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Certainty</w:t>
            </w:r>
          </w:p>
        </w:tc>
        <w:tc>
          <w:tcPr>
            <w:tcW w:w="4896" w:type="dxa"/>
            <w:shd w:val="clear" w:color="auto" w:fill="auto"/>
          </w:tcPr>
          <w:p w:rsidR="005A7916" w:rsidRPr="006F5BAC" w:rsidRDefault="005A7916" w:rsidP="004C3C00">
            <w:pPr>
              <w:spacing w:before="80" w:after="80"/>
              <w:rPr>
                <w:rFonts w:ascii="Arial" w:hAnsi="Arial" w:cs="Arial"/>
                <w:sz w:val="18"/>
                <w:szCs w:val="18"/>
              </w:rPr>
            </w:pPr>
            <w:r w:rsidRPr="006F5BAC">
              <w:rPr>
                <w:rFonts w:ascii="Arial" w:hAnsi="Arial" w:cs="Arial"/>
                <w:sz w:val="18"/>
                <w:szCs w:val="18"/>
              </w:rPr>
              <w:t>Cells that did not perform well in 200</w:t>
            </w:r>
            <w:r w:rsidR="004C3C00">
              <w:rPr>
                <w:rFonts w:ascii="Arial" w:hAnsi="Arial" w:cs="Arial"/>
                <w:sz w:val="18"/>
                <w:szCs w:val="18"/>
              </w:rPr>
              <w:t>8</w:t>
            </w:r>
            <w:r w:rsidRPr="006F5BAC">
              <w:rPr>
                <w:rFonts w:ascii="Arial" w:hAnsi="Arial" w:cs="Arial"/>
                <w:sz w:val="18"/>
                <w:szCs w:val="18"/>
              </w:rPr>
              <w:t>, and are still not performing well relative to other cells in 20</w:t>
            </w:r>
            <w:r w:rsidR="004C3C00">
              <w:rPr>
                <w:rFonts w:ascii="Arial" w:hAnsi="Arial" w:cs="Arial"/>
                <w:sz w:val="18"/>
                <w:szCs w:val="18"/>
              </w:rPr>
              <w:t>10</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Big</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LSB</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Certainty</w:t>
            </w:r>
          </w:p>
        </w:tc>
        <w:tc>
          <w:tcPr>
            <w:tcW w:w="4896" w:type="dxa"/>
            <w:shd w:val="clear" w:color="auto" w:fill="auto"/>
          </w:tcPr>
          <w:p w:rsidR="005A7916" w:rsidRPr="006F5BAC" w:rsidRDefault="005A7916" w:rsidP="004C3C00">
            <w:pPr>
              <w:spacing w:before="80" w:after="80"/>
              <w:rPr>
                <w:rFonts w:ascii="Arial" w:hAnsi="Arial" w:cs="Arial"/>
                <w:sz w:val="18"/>
                <w:szCs w:val="18"/>
              </w:rPr>
            </w:pPr>
            <w:r w:rsidRPr="006F5BAC">
              <w:rPr>
                <w:rFonts w:ascii="Arial" w:hAnsi="Arial" w:cs="Arial"/>
                <w:sz w:val="18"/>
                <w:szCs w:val="18"/>
              </w:rPr>
              <w:t>Cells that did not perform well in 200</w:t>
            </w:r>
            <w:r w:rsidR="004C3C00">
              <w:rPr>
                <w:rFonts w:ascii="Arial" w:hAnsi="Arial" w:cs="Arial"/>
                <w:sz w:val="18"/>
                <w:szCs w:val="18"/>
              </w:rPr>
              <w:t>8</w:t>
            </w:r>
            <w:r w:rsidRPr="006F5BAC">
              <w:rPr>
                <w:rFonts w:ascii="Arial" w:hAnsi="Arial" w:cs="Arial"/>
                <w:sz w:val="18"/>
                <w:szCs w:val="18"/>
              </w:rPr>
              <w:t>, and are still not performing well relative to other cells in 20</w:t>
            </w:r>
            <w:r w:rsidR="004C3C00">
              <w:rPr>
                <w:rFonts w:ascii="Arial" w:hAnsi="Arial" w:cs="Arial"/>
                <w:sz w:val="18"/>
                <w:szCs w:val="18"/>
              </w:rPr>
              <w:t>10</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Fast</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Small</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LFS</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Sample</w:t>
            </w:r>
          </w:p>
        </w:tc>
        <w:tc>
          <w:tcPr>
            <w:tcW w:w="4896" w:type="dxa"/>
            <w:shd w:val="clear" w:color="auto" w:fill="auto"/>
          </w:tcPr>
          <w:p w:rsidR="005A7916" w:rsidRPr="006F5BAC" w:rsidRDefault="005A7916" w:rsidP="004C3C00">
            <w:pPr>
              <w:spacing w:before="80" w:after="80"/>
              <w:rPr>
                <w:rFonts w:ascii="Arial" w:hAnsi="Arial" w:cs="Arial"/>
                <w:sz w:val="18"/>
                <w:szCs w:val="18"/>
              </w:rPr>
            </w:pPr>
            <w:r w:rsidRPr="006F5BAC">
              <w:rPr>
                <w:rFonts w:ascii="Arial" w:hAnsi="Arial" w:cs="Arial"/>
                <w:sz w:val="18"/>
                <w:szCs w:val="18"/>
              </w:rPr>
              <w:t>Cells that did not perform well in 200</w:t>
            </w:r>
            <w:r w:rsidR="004C3C00">
              <w:rPr>
                <w:rFonts w:ascii="Arial" w:hAnsi="Arial" w:cs="Arial"/>
                <w:sz w:val="18"/>
                <w:szCs w:val="18"/>
              </w:rPr>
              <w:t>8</w:t>
            </w:r>
            <w:r w:rsidRPr="006F5BAC">
              <w:rPr>
                <w:rFonts w:ascii="Arial" w:hAnsi="Arial" w:cs="Arial"/>
                <w:sz w:val="18"/>
                <w:szCs w:val="18"/>
              </w:rPr>
              <w:t>, but are performing well relative to other cells in 20</w:t>
            </w:r>
            <w:r w:rsidR="004C3C00">
              <w:rPr>
                <w:rFonts w:ascii="Arial" w:hAnsi="Arial" w:cs="Arial"/>
                <w:sz w:val="18"/>
                <w:szCs w:val="18"/>
              </w:rPr>
              <w:t>10</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Fast</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Big</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LFB</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Certainty</w:t>
            </w:r>
          </w:p>
        </w:tc>
        <w:tc>
          <w:tcPr>
            <w:tcW w:w="4896" w:type="dxa"/>
            <w:shd w:val="clear" w:color="auto" w:fill="auto"/>
          </w:tcPr>
          <w:p w:rsidR="005A7916" w:rsidRPr="006F5BAC" w:rsidRDefault="005A7916" w:rsidP="00784642">
            <w:pPr>
              <w:spacing w:before="80" w:after="80"/>
              <w:rPr>
                <w:rFonts w:ascii="Arial" w:hAnsi="Arial" w:cs="Arial"/>
                <w:sz w:val="18"/>
                <w:szCs w:val="18"/>
              </w:rPr>
            </w:pPr>
            <w:r w:rsidRPr="006F5BAC">
              <w:rPr>
                <w:rFonts w:ascii="Arial" w:hAnsi="Arial" w:cs="Arial"/>
                <w:sz w:val="18"/>
                <w:szCs w:val="18"/>
              </w:rPr>
              <w:t>Cells that did not perform well in 200</w:t>
            </w:r>
            <w:r w:rsidR="004C3C00">
              <w:rPr>
                <w:rFonts w:ascii="Arial" w:hAnsi="Arial" w:cs="Arial"/>
                <w:sz w:val="18"/>
                <w:szCs w:val="18"/>
              </w:rPr>
              <w:t>8</w:t>
            </w:r>
            <w:r w:rsidRPr="006F5BAC">
              <w:rPr>
                <w:rFonts w:ascii="Arial" w:hAnsi="Arial" w:cs="Arial"/>
                <w:sz w:val="18"/>
                <w:szCs w:val="18"/>
              </w:rPr>
              <w:t>, and while they are performing better in 20</w:t>
            </w:r>
            <w:r w:rsidR="004C3C00">
              <w:rPr>
                <w:rFonts w:ascii="Arial" w:hAnsi="Arial" w:cs="Arial"/>
                <w:sz w:val="18"/>
                <w:szCs w:val="18"/>
              </w:rPr>
              <w:t>10</w:t>
            </w:r>
            <w:r w:rsidRPr="006F5BAC">
              <w:rPr>
                <w:rFonts w:ascii="Arial" w:hAnsi="Arial" w:cs="Arial"/>
                <w:sz w:val="18"/>
                <w:szCs w:val="18"/>
              </w:rPr>
              <w:t xml:space="preserve">, still need to overcome a large difference to perform as well as </w:t>
            </w:r>
            <w:r w:rsidR="00784642">
              <w:rPr>
                <w:rFonts w:ascii="Arial" w:hAnsi="Arial" w:cs="Arial"/>
                <w:sz w:val="18"/>
                <w:szCs w:val="18"/>
              </w:rPr>
              <w:t>the target rate</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High</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Small</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HSS</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Sample</w:t>
            </w:r>
          </w:p>
        </w:tc>
        <w:tc>
          <w:tcPr>
            <w:tcW w:w="4896" w:type="dxa"/>
            <w:shd w:val="clear" w:color="auto" w:fill="auto"/>
          </w:tcPr>
          <w:p w:rsidR="005A7916" w:rsidRPr="006F5BAC" w:rsidRDefault="005A7916" w:rsidP="00784642">
            <w:pPr>
              <w:spacing w:before="80" w:after="80"/>
              <w:rPr>
                <w:rFonts w:ascii="Arial" w:hAnsi="Arial" w:cs="Arial"/>
                <w:sz w:val="18"/>
                <w:szCs w:val="18"/>
              </w:rPr>
            </w:pPr>
            <w:r w:rsidRPr="006F5BAC">
              <w:rPr>
                <w:rFonts w:ascii="Arial" w:hAnsi="Arial" w:cs="Arial"/>
                <w:sz w:val="18"/>
                <w:szCs w:val="18"/>
              </w:rPr>
              <w:t>Cells that performed well in 200</w:t>
            </w:r>
            <w:r w:rsidR="004C3C00">
              <w:rPr>
                <w:rFonts w:ascii="Arial" w:hAnsi="Arial" w:cs="Arial"/>
                <w:sz w:val="18"/>
                <w:szCs w:val="18"/>
              </w:rPr>
              <w:t>8</w:t>
            </w:r>
            <w:r w:rsidRPr="006F5BAC">
              <w:rPr>
                <w:rFonts w:ascii="Arial" w:hAnsi="Arial" w:cs="Arial"/>
                <w:sz w:val="18"/>
                <w:szCs w:val="18"/>
              </w:rPr>
              <w:t>, and although they are slow-performing in 20</w:t>
            </w:r>
            <w:r w:rsidR="004C3C00">
              <w:rPr>
                <w:rFonts w:ascii="Arial" w:hAnsi="Arial" w:cs="Arial"/>
                <w:sz w:val="18"/>
                <w:szCs w:val="18"/>
              </w:rPr>
              <w:t>10</w:t>
            </w:r>
            <w:r w:rsidRPr="006F5BAC">
              <w:rPr>
                <w:rFonts w:ascii="Arial" w:hAnsi="Arial" w:cs="Arial"/>
                <w:sz w:val="18"/>
                <w:szCs w:val="18"/>
              </w:rPr>
              <w:t xml:space="preserve">, </w:t>
            </w:r>
            <w:r w:rsidR="00221D00">
              <w:rPr>
                <w:rFonts w:ascii="Arial" w:hAnsi="Arial" w:cs="Arial"/>
                <w:sz w:val="18"/>
                <w:szCs w:val="18"/>
              </w:rPr>
              <w:t xml:space="preserve">the </w:t>
            </w:r>
            <w:r w:rsidRPr="006F5BAC">
              <w:rPr>
                <w:rFonts w:ascii="Arial" w:hAnsi="Arial" w:cs="Arial"/>
                <w:sz w:val="18"/>
                <w:szCs w:val="18"/>
              </w:rPr>
              <w:t xml:space="preserve">difference to overcome is small in order to perform as well as </w:t>
            </w:r>
            <w:r w:rsidR="00784642">
              <w:rPr>
                <w:rFonts w:ascii="Arial" w:hAnsi="Arial" w:cs="Arial"/>
                <w:sz w:val="18"/>
                <w:szCs w:val="18"/>
              </w:rPr>
              <w:t>the target rate</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High</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Slow</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Big</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HSB</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Certainty</w:t>
            </w:r>
          </w:p>
        </w:tc>
        <w:tc>
          <w:tcPr>
            <w:tcW w:w="4896" w:type="dxa"/>
            <w:shd w:val="clear" w:color="auto" w:fill="auto"/>
          </w:tcPr>
          <w:p w:rsidR="005A7916" w:rsidRPr="006F5BAC" w:rsidRDefault="005A7916" w:rsidP="00784642">
            <w:pPr>
              <w:spacing w:before="80" w:after="80"/>
              <w:rPr>
                <w:rFonts w:ascii="Arial" w:hAnsi="Arial" w:cs="Arial"/>
                <w:sz w:val="18"/>
                <w:szCs w:val="18"/>
              </w:rPr>
            </w:pPr>
            <w:r w:rsidRPr="006F5BAC">
              <w:rPr>
                <w:rFonts w:ascii="Arial" w:hAnsi="Arial" w:cs="Arial"/>
                <w:sz w:val="18"/>
                <w:szCs w:val="18"/>
              </w:rPr>
              <w:t>Cells that performed well in 200</w:t>
            </w:r>
            <w:r w:rsidR="004C3C00">
              <w:rPr>
                <w:rFonts w:ascii="Arial" w:hAnsi="Arial" w:cs="Arial"/>
                <w:sz w:val="18"/>
                <w:szCs w:val="18"/>
              </w:rPr>
              <w:t>8</w:t>
            </w:r>
            <w:r w:rsidRPr="006F5BAC">
              <w:rPr>
                <w:rFonts w:ascii="Arial" w:hAnsi="Arial" w:cs="Arial"/>
                <w:sz w:val="18"/>
                <w:szCs w:val="18"/>
              </w:rPr>
              <w:t>, but are not performing well in 20</w:t>
            </w:r>
            <w:r w:rsidR="004C7DBD">
              <w:rPr>
                <w:rFonts w:ascii="Arial" w:hAnsi="Arial" w:cs="Arial"/>
                <w:sz w:val="18"/>
                <w:szCs w:val="18"/>
              </w:rPr>
              <w:t>10</w:t>
            </w:r>
            <w:r w:rsidRPr="006F5BAC">
              <w:rPr>
                <w:rFonts w:ascii="Arial" w:hAnsi="Arial" w:cs="Arial"/>
                <w:sz w:val="18"/>
                <w:szCs w:val="18"/>
              </w:rPr>
              <w:t xml:space="preserve">, and </w:t>
            </w:r>
            <w:r w:rsidR="00221D00">
              <w:rPr>
                <w:rFonts w:ascii="Arial" w:hAnsi="Arial" w:cs="Arial"/>
                <w:sz w:val="18"/>
                <w:szCs w:val="18"/>
              </w:rPr>
              <w:t xml:space="preserve">the </w:t>
            </w:r>
            <w:r w:rsidRPr="006F5BAC">
              <w:rPr>
                <w:rFonts w:ascii="Arial" w:hAnsi="Arial" w:cs="Arial"/>
                <w:sz w:val="18"/>
                <w:szCs w:val="18"/>
              </w:rPr>
              <w:t xml:space="preserve">difference to overcome is large in order to perform as well as </w:t>
            </w:r>
            <w:r w:rsidR="00784642">
              <w:rPr>
                <w:rFonts w:ascii="Arial" w:hAnsi="Arial" w:cs="Arial"/>
                <w:sz w:val="18"/>
                <w:szCs w:val="18"/>
              </w:rPr>
              <w:t>the target rate</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High</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Fast</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Small</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HFS</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Sample</w:t>
            </w:r>
          </w:p>
        </w:tc>
        <w:tc>
          <w:tcPr>
            <w:tcW w:w="4896" w:type="dxa"/>
            <w:shd w:val="clear" w:color="auto" w:fill="auto"/>
          </w:tcPr>
          <w:p w:rsidR="005A7916" w:rsidRPr="006F5BAC" w:rsidRDefault="005A7916" w:rsidP="004C7DBD">
            <w:pPr>
              <w:spacing w:before="80" w:after="80"/>
              <w:rPr>
                <w:rFonts w:ascii="Arial" w:hAnsi="Arial" w:cs="Arial"/>
                <w:sz w:val="18"/>
                <w:szCs w:val="18"/>
              </w:rPr>
            </w:pPr>
            <w:r w:rsidRPr="006F5BAC">
              <w:rPr>
                <w:rFonts w:ascii="Arial" w:hAnsi="Arial" w:cs="Arial"/>
                <w:sz w:val="18"/>
                <w:szCs w:val="18"/>
              </w:rPr>
              <w:t>Cells that performed well in 200</w:t>
            </w:r>
            <w:r w:rsidR="004C3C00">
              <w:rPr>
                <w:rFonts w:ascii="Arial" w:hAnsi="Arial" w:cs="Arial"/>
                <w:sz w:val="18"/>
                <w:szCs w:val="18"/>
              </w:rPr>
              <w:t>8</w:t>
            </w:r>
            <w:r w:rsidRPr="006F5BAC">
              <w:rPr>
                <w:rFonts w:ascii="Arial" w:hAnsi="Arial" w:cs="Arial"/>
                <w:sz w:val="18"/>
                <w:szCs w:val="18"/>
              </w:rPr>
              <w:t xml:space="preserve"> and continu</w:t>
            </w:r>
            <w:r w:rsidR="004C7DBD">
              <w:rPr>
                <w:rFonts w:ascii="Arial" w:hAnsi="Arial" w:cs="Arial"/>
                <w:sz w:val="18"/>
                <w:szCs w:val="18"/>
              </w:rPr>
              <w:t>e</w:t>
            </w:r>
            <w:r w:rsidRPr="006F5BAC">
              <w:rPr>
                <w:rFonts w:ascii="Arial" w:hAnsi="Arial" w:cs="Arial"/>
                <w:sz w:val="18"/>
                <w:szCs w:val="18"/>
              </w:rPr>
              <w:t xml:space="preserve"> to do so in 20</w:t>
            </w:r>
            <w:r w:rsidR="004C3C00">
              <w:rPr>
                <w:rFonts w:ascii="Arial" w:hAnsi="Arial" w:cs="Arial"/>
                <w:sz w:val="18"/>
                <w:szCs w:val="18"/>
              </w:rPr>
              <w:t>10</w:t>
            </w:r>
            <w:r w:rsidRPr="006F5BAC">
              <w:rPr>
                <w:rFonts w:ascii="Arial" w:hAnsi="Arial" w:cs="Arial"/>
                <w:sz w:val="18"/>
                <w:szCs w:val="18"/>
              </w:rPr>
              <w:t>.</w:t>
            </w:r>
          </w:p>
        </w:tc>
      </w:tr>
      <w:tr w:rsidR="00DB1D81" w:rsidRPr="006F5BAC" w:rsidTr="00AF3C23">
        <w:trPr>
          <w:jc w:val="center"/>
        </w:trPr>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High</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Fast</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Big</w:t>
            </w:r>
          </w:p>
        </w:tc>
        <w:tc>
          <w:tcPr>
            <w:tcW w:w="1080" w:type="dxa"/>
            <w:shd w:val="clear" w:color="auto" w:fill="auto"/>
            <w:vAlign w:val="center"/>
          </w:tcPr>
          <w:p w:rsidR="005A7916" w:rsidRPr="006F5BAC" w:rsidRDefault="005A7916" w:rsidP="00F5651A">
            <w:pPr>
              <w:spacing w:before="80" w:after="80"/>
              <w:jc w:val="center"/>
              <w:rPr>
                <w:rFonts w:ascii="Arial" w:hAnsi="Arial" w:cs="Arial"/>
                <w:sz w:val="18"/>
                <w:szCs w:val="18"/>
              </w:rPr>
            </w:pPr>
            <w:r w:rsidRPr="006F5BAC">
              <w:rPr>
                <w:rFonts w:ascii="Arial" w:hAnsi="Arial" w:cs="Arial"/>
                <w:sz w:val="18"/>
                <w:szCs w:val="18"/>
              </w:rPr>
              <w:t>HFB</w:t>
            </w:r>
          </w:p>
        </w:tc>
        <w:tc>
          <w:tcPr>
            <w:tcW w:w="1080" w:type="dxa"/>
            <w:shd w:val="clear" w:color="auto" w:fill="auto"/>
            <w:vAlign w:val="center"/>
          </w:tcPr>
          <w:p w:rsidR="005A7916" w:rsidRPr="006F5BAC" w:rsidRDefault="009E7E8A" w:rsidP="00F5651A">
            <w:pPr>
              <w:spacing w:before="80" w:after="80"/>
              <w:jc w:val="center"/>
              <w:rPr>
                <w:rFonts w:ascii="Arial" w:hAnsi="Arial" w:cs="Arial"/>
                <w:sz w:val="18"/>
                <w:szCs w:val="18"/>
              </w:rPr>
            </w:pPr>
            <w:r>
              <w:rPr>
                <w:rFonts w:ascii="Arial" w:hAnsi="Arial" w:cs="Arial"/>
                <w:sz w:val="18"/>
                <w:szCs w:val="18"/>
              </w:rPr>
              <w:t>Sample</w:t>
            </w:r>
          </w:p>
        </w:tc>
        <w:tc>
          <w:tcPr>
            <w:tcW w:w="4896" w:type="dxa"/>
            <w:shd w:val="clear" w:color="auto" w:fill="auto"/>
          </w:tcPr>
          <w:p w:rsidR="005A7916" w:rsidRPr="006F5BAC" w:rsidRDefault="005A7916" w:rsidP="00784642">
            <w:pPr>
              <w:spacing w:before="80" w:after="80"/>
              <w:rPr>
                <w:rFonts w:ascii="Arial" w:hAnsi="Arial" w:cs="Arial"/>
                <w:sz w:val="18"/>
                <w:szCs w:val="18"/>
              </w:rPr>
            </w:pPr>
            <w:r w:rsidRPr="006F5BAC">
              <w:rPr>
                <w:rFonts w:ascii="Arial" w:hAnsi="Arial" w:cs="Arial"/>
                <w:sz w:val="18"/>
                <w:szCs w:val="18"/>
              </w:rPr>
              <w:t>Cells that performed well in 200</w:t>
            </w:r>
            <w:r w:rsidR="004C3C00">
              <w:rPr>
                <w:rFonts w:ascii="Arial" w:hAnsi="Arial" w:cs="Arial"/>
                <w:sz w:val="18"/>
                <w:szCs w:val="18"/>
              </w:rPr>
              <w:t>8</w:t>
            </w:r>
            <w:r w:rsidRPr="006F5BAC">
              <w:rPr>
                <w:rFonts w:ascii="Arial" w:hAnsi="Arial" w:cs="Arial"/>
                <w:sz w:val="18"/>
                <w:szCs w:val="18"/>
              </w:rPr>
              <w:t xml:space="preserve"> and 20</w:t>
            </w:r>
            <w:r w:rsidR="004C3C00">
              <w:rPr>
                <w:rFonts w:ascii="Arial" w:hAnsi="Arial" w:cs="Arial"/>
                <w:sz w:val="18"/>
                <w:szCs w:val="18"/>
              </w:rPr>
              <w:t>10</w:t>
            </w:r>
            <w:r w:rsidRPr="006F5BAC">
              <w:rPr>
                <w:rFonts w:ascii="Arial" w:hAnsi="Arial" w:cs="Arial"/>
                <w:sz w:val="18"/>
                <w:szCs w:val="18"/>
              </w:rPr>
              <w:t xml:space="preserve">, even though the difference rate is large relative to </w:t>
            </w:r>
            <w:r w:rsidR="00784642">
              <w:rPr>
                <w:rFonts w:ascii="Arial" w:hAnsi="Arial" w:cs="Arial"/>
                <w:sz w:val="18"/>
                <w:szCs w:val="18"/>
              </w:rPr>
              <w:t>the target</w:t>
            </w:r>
            <w:r w:rsidRPr="006F5BAC">
              <w:rPr>
                <w:rFonts w:ascii="Arial" w:hAnsi="Arial" w:cs="Arial"/>
                <w:sz w:val="18"/>
                <w:szCs w:val="18"/>
              </w:rPr>
              <w:t>.</w:t>
            </w:r>
          </w:p>
        </w:tc>
      </w:tr>
    </w:tbl>
    <w:p w:rsidR="004A213F" w:rsidRDefault="004A213F" w:rsidP="005A7916">
      <w:pPr>
        <w:jc w:val="center"/>
        <w:rPr>
          <w:rFonts w:ascii="Arial" w:hAnsi="Arial" w:cs="Arial"/>
          <w:b/>
          <w:sz w:val="20"/>
          <w:szCs w:val="20"/>
        </w:rPr>
      </w:pPr>
    </w:p>
    <w:p w:rsidR="004A213F" w:rsidRDefault="004A213F" w:rsidP="005A7916">
      <w:pPr>
        <w:jc w:val="center"/>
        <w:rPr>
          <w:rFonts w:ascii="Arial" w:hAnsi="Arial" w:cs="Arial"/>
          <w:b/>
          <w:sz w:val="20"/>
          <w:szCs w:val="20"/>
        </w:rPr>
      </w:pPr>
    </w:p>
    <w:p w:rsidR="009E7E8A" w:rsidRDefault="009E7E8A" w:rsidP="005A7916">
      <w:pPr>
        <w:jc w:val="center"/>
        <w:rPr>
          <w:rFonts w:ascii="Arial" w:hAnsi="Arial" w:cs="Arial"/>
          <w:b/>
          <w:sz w:val="20"/>
          <w:szCs w:val="20"/>
        </w:rPr>
      </w:pPr>
    </w:p>
    <w:p w:rsidR="009E7E8A" w:rsidRDefault="009E7E8A" w:rsidP="005A7916">
      <w:pPr>
        <w:jc w:val="center"/>
        <w:rPr>
          <w:rFonts w:ascii="Arial" w:hAnsi="Arial" w:cs="Arial"/>
          <w:b/>
          <w:sz w:val="20"/>
          <w:szCs w:val="20"/>
        </w:rPr>
      </w:pPr>
    </w:p>
    <w:p w:rsidR="009757EB" w:rsidRDefault="009757EB" w:rsidP="005A7916">
      <w:pPr>
        <w:jc w:val="center"/>
        <w:rPr>
          <w:rFonts w:ascii="Arial" w:hAnsi="Arial" w:cs="Arial"/>
          <w:b/>
          <w:sz w:val="20"/>
          <w:szCs w:val="20"/>
        </w:rPr>
      </w:pPr>
    </w:p>
    <w:p w:rsidR="005A7916" w:rsidRDefault="005A7916" w:rsidP="005A7916">
      <w:pPr>
        <w:jc w:val="center"/>
      </w:pPr>
      <w:r w:rsidRPr="00315A32">
        <w:rPr>
          <w:rFonts w:ascii="Arial" w:hAnsi="Arial" w:cs="Arial"/>
          <w:b/>
          <w:sz w:val="20"/>
          <w:szCs w:val="20"/>
        </w:rPr>
        <w:t xml:space="preserve">Table </w:t>
      </w:r>
      <w:r w:rsidR="00785966">
        <w:rPr>
          <w:rFonts w:ascii="Arial" w:hAnsi="Arial" w:cs="Arial"/>
          <w:b/>
          <w:sz w:val="20"/>
          <w:szCs w:val="20"/>
        </w:rPr>
        <w:t xml:space="preserve">3: </w:t>
      </w:r>
      <w:r>
        <w:rPr>
          <w:rFonts w:ascii="Arial" w:hAnsi="Arial" w:cs="Arial"/>
          <w:b/>
          <w:sz w:val="20"/>
          <w:szCs w:val="20"/>
        </w:rPr>
        <w:t>S</w:t>
      </w:r>
      <w:r w:rsidR="004A213F">
        <w:rPr>
          <w:rFonts w:ascii="Arial" w:hAnsi="Arial" w:cs="Arial"/>
          <w:b/>
          <w:sz w:val="20"/>
          <w:szCs w:val="20"/>
        </w:rPr>
        <w:t>DR</w:t>
      </w:r>
      <w:r>
        <w:rPr>
          <w:rFonts w:ascii="Arial" w:hAnsi="Arial" w:cs="Arial"/>
          <w:b/>
          <w:sz w:val="20"/>
          <w:szCs w:val="20"/>
        </w:rPr>
        <w:t xml:space="preserve"> Response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2"/>
        <w:gridCol w:w="1412"/>
        <w:gridCol w:w="1412"/>
        <w:gridCol w:w="1413"/>
      </w:tblGrid>
      <w:tr w:rsidR="001E7D0A" w:rsidRPr="006F5BAC" w:rsidTr="00994527">
        <w:trPr>
          <w:jc w:val="center"/>
        </w:trPr>
        <w:tc>
          <w:tcPr>
            <w:tcW w:w="1412" w:type="dxa"/>
            <w:shd w:val="clear" w:color="auto" w:fill="auto"/>
            <w:vAlign w:val="center"/>
          </w:tcPr>
          <w:p w:rsidR="001E7D0A" w:rsidRPr="008F07DF" w:rsidRDefault="001E7D0A" w:rsidP="008F07DF">
            <w:pPr>
              <w:spacing w:before="120" w:after="120"/>
              <w:jc w:val="center"/>
              <w:rPr>
                <w:rFonts w:ascii="Arial" w:hAnsi="Arial" w:cs="Arial"/>
                <w:b/>
                <w:sz w:val="18"/>
                <w:szCs w:val="18"/>
              </w:rPr>
            </w:pPr>
            <w:r w:rsidRPr="008F07DF">
              <w:rPr>
                <w:rFonts w:ascii="Arial" w:hAnsi="Arial" w:cs="Arial"/>
                <w:b/>
                <w:sz w:val="18"/>
                <w:szCs w:val="18"/>
              </w:rPr>
              <w:t>2008 Final Response Rate</w:t>
            </w:r>
          </w:p>
        </w:tc>
        <w:tc>
          <w:tcPr>
            <w:tcW w:w="1412" w:type="dxa"/>
            <w:shd w:val="clear" w:color="auto" w:fill="auto"/>
            <w:vAlign w:val="center"/>
          </w:tcPr>
          <w:p w:rsidR="001E7D0A" w:rsidRPr="008F07DF" w:rsidRDefault="001E7D0A" w:rsidP="00221D00">
            <w:pPr>
              <w:spacing w:before="120" w:after="120"/>
              <w:jc w:val="center"/>
              <w:rPr>
                <w:rFonts w:ascii="Arial" w:hAnsi="Arial" w:cs="Arial"/>
                <w:b/>
                <w:sz w:val="18"/>
                <w:szCs w:val="18"/>
              </w:rPr>
            </w:pPr>
            <w:r w:rsidRPr="008F07DF">
              <w:rPr>
                <w:rFonts w:ascii="Arial" w:hAnsi="Arial" w:cs="Arial"/>
                <w:b/>
                <w:sz w:val="18"/>
                <w:szCs w:val="18"/>
              </w:rPr>
              <w:t>2010 Preliminary Response Rate (as of 03/</w:t>
            </w:r>
            <w:r>
              <w:rPr>
                <w:rFonts w:ascii="Arial" w:hAnsi="Arial" w:cs="Arial"/>
                <w:b/>
                <w:sz w:val="18"/>
                <w:szCs w:val="18"/>
              </w:rPr>
              <w:t>15</w:t>
            </w:r>
            <w:r w:rsidRPr="008F07DF">
              <w:rPr>
                <w:rFonts w:ascii="Arial" w:hAnsi="Arial" w:cs="Arial"/>
                <w:b/>
                <w:sz w:val="18"/>
                <w:szCs w:val="18"/>
              </w:rPr>
              <w:t>/11)</w:t>
            </w:r>
          </w:p>
        </w:tc>
        <w:tc>
          <w:tcPr>
            <w:tcW w:w="1412" w:type="dxa"/>
            <w:vAlign w:val="center"/>
          </w:tcPr>
          <w:p w:rsidR="001E7D0A" w:rsidRPr="008F07DF" w:rsidRDefault="001E7D0A" w:rsidP="001E7D0A">
            <w:pPr>
              <w:spacing w:before="120" w:after="120"/>
              <w:jc w:val="center"/>
              <w:rPr>
                <w:rFonts w:ascii="Arial" w:hAnsi="Arial" w:cs="Arial"/>
                <w:b/>
                <w:sz w:val="18"/>
                <w:szCs w:val="18"/>
              </w:rPr>
            </w:pPr>
            <w:r>
              <w:rPr>
                <w:rFonts w:ascii="Arial" w:hAnsi="Arial" w:cs="Arial"/>
                <w:b/>
                <w:sz w:val="18"/>
                <w:szCs w:val="18"/>
              </w:rPr>
              <w:t>2010 SDR Target Response Rate</w:t>
            </w:r>
          </w:p>
        </w:tc>
        <w:tc>
          <w:tcPr>
            <w:tcW w:w="1413" w:type="dxa"/>
            <w:shd w:val="clear" w:color="auto" w:fill="auto"/>
            <w:vAlign w:val="center"/>
          </w:tcPr>
          <w:p w:rsidR="001E7D0A" w:rsidRPr="008F07DF" w:rsidRDefault="001E7D0A" w:rsidP="001E7D0A">
            <w:pPr>
              <w:spacing w:before="120" w:after="120"/>
              <w:jc w:val="center"/>
              <w:rPr>
                <w:rFonts w:ascii="Arial" w:hAnsi="Arial" w:cs="Arial"/>
                <w:b/>
                <w:sz w:val="18"/>
                <w:szCs w:val="18"/>
              </w:rPr>
            </w:pPr>
            <w:r w:rsidRPr="008F07DF">
              <w:rPr>
                <w:rFonts w:ascii="Arial" w:hAnsi="Arial" w:cs="Arial"/>
                <w:b/>
                <w:sz w:val="18"/>
                <w:szCs w:val="18"/>
              </w:rPr>
              <w:t xml:space="preserve">Difference between </w:t>
            </w:r>
            <w:r>
              <w:rPr>
                <w:rFonts w:ascii="Arial" w:hAnsi="Arial" w:cs="Arial"/>
                <w:b/>
                <w:sz w:val="18"/>
                <w:szCs w:val="18"/>
              </w:rPr>
              <w:t>2010 Target Rate</w:t>
            </w:r>
            <w:r w:rsidRPr="008F07DF">
              <w:rPr>
                <w:rFonts w:ascii="Arial" w:hAnsi="Arial" w:cs="Arial"/>
                <w:b/>
                <w:sz w:val="18"/>
                <w:szCs w:val="18"/>
              </w:rPr>
              <w:t xml:space="preserve"> and </w:t>
            </w:r>
            <w:r>
              <w:rPr>
                <w:rFonts w:ascii="Arial" w:hAnsi="Arial" w:cs="Arial"/>
                <w:b/>
                <w:sz w:val="18"/>
                <w:szCs w:val="18"/>
              </w:rPr>
              <w:t xml:space="preserve">Preliminary </w:t>
            </w:r>
            <w:r w:rsidRPr="008F07DF">
              <w:rPr>
                <w:rFonts w:ascii="Arial" w:hAnsi="Arial" w:cs="Arial"/>
                <w:b/>
                <w:sz w:val="18"/>
                <w:szCs w:val="18"/>
              </w:rPr>
              <w:t>Response Rate</w:t>
            </w:r>
          </w:p>
        </w:tc>
      </w:tr>
      <w:tr w:rsidR="001E7D0A" w:rsidRPr="006F5BAC" w:rsidTr="00994527">
        <w:trPr>
          <w:jc w:val="center"/>
        </w:trPr>
        <w:tc>
          <w:tcPr>
            <w:tcW w:w="1412" w:type="dxa"/>
            <w:shd w:val="clear" w:color="auto" w:fill="auto"/>
            <w:tcMar>
              <w:top w:w="29" w:type="dxa"/>
              <w:left w:w="115" w:type="dxa"/>
              <w:bottom w:w="29" w:type="dxa"/>
              <w:right w:w="115" w:type="dxa"/>
            </w:tcMar>
            <w:vAlign w:val="center"/>
          </w:tcPr>
          <w:p w:rsidR="001E7D0A" w:rsidRPr="006F5BAC" w:rsidRDefault="001E7D0A" w:rsidP="001E7D0A">
            <w:pPr>
              <w:spacing w:before="240" w:after="240"/>
              <w:jc w:val="center"/>
              <w:rPr>
                <w:rFonts w:ascii="Arial" w:hAnsi="Arial" w:cs="Arial"/>
                <w:sz w:val="18"/>
                <w:szCs w:val="18"/>
              </w:rPr>
            </w:pPr>
            <w:r>
              <w:rPr>
                <w:rFonts w:ascii="Arial" w:hAnsi="Arial" w:cs="Arial"/>
                <w:sz w:val="18"/>
                <w:szCs w:val="18"/>
              </w:rPr>
              <w:t>80.5</w:t>
            </w:r>
            <w:r w:rsidRPr="006F5BAC">
              <w:rPr>
                <w:rFonts w:ascii="Arial" w:hAnsi="Arial" w:cs="Arial"/>
                <w:sz w:val="18"/>
                <w:szCs w:val="18"/>
              </w:rPr>
              <w:t>%</w:t>
            </w:r>
          </w:p>
        </w:tc>
        <w:tc>
          <w:tcPr>
            <w:tcW w:w="1412" w:type="dxa"/>
            <w:shd w:val="clear" w:color="auto" w:fill="auto"/>
            <w:tcMar>
              <w:top w:w="29" w:type="dxa"/>
              <w:left w:w="115" w:type="dxa"/>
              <w:bottom w:w="29" w:type="dxa"/>
              <w:right w:w="115" w:type="dxa"/>
            </w:tcMar>
            <w:vAlign w:val="center"/>
          </w:tcPr>
          <w:p w:rsidR="001E7D0A" w:rsidRPr="006F5BAC" w:rsidRDefault="001E7D0A" w:rsidP="001E7D0A">
            <w:pPr>
              <w:spacing w:before="240" w:after="240"/>
              <w:jc w:val="center"/>
              <w:rPr>
                <w:rFonts w:ascii="Arial" w:hAnsi="Arial" w:cs="Arial"/>
                <w:sz w:val="18"/>
                <w:szCs w:val="18"/>
              </w:rPr>
            </w:pPr>
            <w:r>
              <w:rPr>
                <w:rFonts w:ascii="Arial" w:hAnsi="Arial" w:cs="Arial"/>
                <w:sz w:val="18"/>
                <w:szCs w:val="18"/>
              </w:rPr>
              <w:t>65.4</w:t>
            </w:r>
            <w:r w:rsidRPr="006F5BAC">
              <w:rPr>
                <w:rFonts w:ascii="Arial" w:hAnsi="Arial" w:cs="Arial"/>
                <w:sz w:val="18"/>
                <w:szCs w:val="18"/>
              </w:rPr>
              <w:t>%</w:t>
            </w:r>
          </w:p>
        </w:tc>
        <w:tc>
          <w:tcPr>
            <w:tcW w:w="1412" w:type="dxa"/>
          </w:tcPr>
          <w:p w:rsidR="001E7D0A" w:rsidRDefault="001E7D0A" w:rsidP="001E7D0A">
            <w:pPr>
              <w:spacing w:before="240" w:after="240"/>
              <w:jc w:val="center"/>
              <w:rPr>
                <w:rFonts w:ascii="Arial" w:hAnsi="Arial" w:cs="Arial"/>
                <w:sz w:val="18"/>
                <w:szCs w:val="18"/>
              </w:rPr>
            </w:pPr>
            <w:r>
              <w:rPr>
                <w:rFonts w:ascii="Arial" w:hAnsi="Arial" w:cs="Arial"/>
                <w:sz w:val="18"/>
                <w:szCs w:val="18"/>
              </w:rPr>
              <w:t>80.0%</w:t>
            </w:r>
          </w:p>
        </w:tc>
        <w:tc>
          <w:tcPr>
            <w:tcW w:w="1413" w:type="dxa"/>
            <w:shd w:val="clear" w:color="auto" w:fill="auto"/>
            <w:tcMar>
              <w:top w:w="29" w:type="dxa"/>
              <w:left w:w="115" w:type="dxa"/>
              <w:bottom w:w="29" w:type="dxa"/>
              <w:right w:w="115" w:type="dxa"/>
            </w:tcMar>
            <w:vAlign w:val="center"/>
          </w:tcPr>
          <w:p w:rsidR="001E7D0A" w:rsidRPr="006F5BAC" w:rsidRDefault="001E7D0A" w:rsidP="001E7D0A">
            <w:pPr>
              <w:spacing w:before="240" w:after="240"/>
              <w:jc w:val="center"/>
              <w:rPr>
                <w:rFonts w:ascii="Arial" w:hAnsi="Arial" w:cs="Arial"/>
                <w:sz w:val="18"/>
                <w:szCs w:val="18"/>
              </w:rPr>
            </w:pPr>
            <w:r>
              <w:rPr>
                <w:rFonts w:ascii="Arial" w:hAnsi="Arial" w:cs="Arial"/>
                <w:sz w:val="18"/>
                <w:szCs w:val="18"/>
              </w:rPr>
              <w:t>14.6</w:t>
            </w:r>
            <w:r w:rsidRPr="006F5BAC">
              <w:rPr>
                <w:rFonts w:ascii="Arial" w:hAnsi="Arial" w:cs="Arial"/>
                <w:sz w:val="18"/>
                <w:szCs w:val="18"/>
              </w:rPr>
              <w:t>%</w:t>
            </w:r>
          </w:p>
        </w:tc>
      </w:tr>
    </w:tbl>
    <w:p w:rsidR="005A7916" w:rsidRDefault="005A7916" w:rsidP="005A7916"/>
    <w:p w:rsidR="004A213F" w:rsidRDefault="004A213F" w:rsidP="005A7916">
      <w:pPr>
        <w:jc w:val="center"/>
        <w:rPr>
          <w:rFonts w:ascii="Arial" w:hAnsi="Arial" w:cs="Arial"/>
          <w:b/>
          <w:sz w:val="20"/>
          <w:szCs w:val="20"/>
        </w:rPr>
      </w:pPr>
    </w:p>
    <w:p w:rsidR="009757EB" w:rsidRDefault="009757EB" w:rsidP="005A7916">
      <w:pPr>
        <w:spacing w:after="120"/>
        <w:jc w:val="center"/>
        <w:rPr>
          <w:rFonts w:ascii="Arial" w:hAnsi="Arial" w:cs="Arial"/>
          <w:b/>
          <w:sz w:val="20"/>
          <w:szCs w:val="20"/>
        </w:rPr>
      </w:pPr>
    </w:p>
    <w:p w:rsidR="005A7916" w:rsidRDefault="005A7916" w:rsidP="005A7916">
      <w:pPr>
        <w:spacing w:after="120"/>
        <w:jc w:val="center"/>
      </w:pPr>
      <w:r w:rsidRPr="00315A32">
        <w:rPr>
          <w:rFonts w:ascii="Arial" w:hAnsi="Arial" w:cs="Arial"/>
          <w:b/>
          <w:sz w:val="20"/>
          <w:szCs w:val="20"/>
        </w:rPr>
        <w:t xml:space="preserve">Table </w:t>
      </w:r>
      <w:r w:rsidR="00785966">
        <w:rPr>
          <w:rFonts w:ascii="Arial" w:hAnsi="Arial" w:cs="Arial"/>
          <w:b/>
          <w:sz w:val="20"/>
          <w:szCs w:val="20"/>
        </w:rPr>
        <w:t>4</w:t>
      </w:r>
      <w:r w:rsidRPr="00315A32">
        <w:rPr>
          <w:rFonts w:ascii="Arial" w:hAnsi="Arial" w:cs="Arial"/>
          <w:b/>
          <w:sz w:val="20"/>
          <w:szCs w:val="20"/>
        </w:rPr>
        <w:t xml:space="preserve">:  </w:t>
      </w:r>
      <w:r>
        <w:rPr>
          <w:rFonts w:ascii="Arial" w:hAnsi="Arial" w:cs="Arial"/>
          <w:b/>
          <w:sz w:val="20"/>
          <w:szCs w:val="20"/>
        </w:rPr>
        <w:t>20</w:t>
      </w:r>
      <w:r w:rsidR="00E05514">
        <w:rPr>
          <w:rFonts w:ascii="Arial" w:hAnsi="Arial" w:cs="Arial"/>
          <w:b/>
          <w:sz w:val="20"/>
          <w:szCs w:val="20"/>
        </w:rPr>
        <w:t>10</w:t>
      </w:r>
      <w:r>
        <w:rPr>
          <w:rFonts w:ascii="Arial" w:hAnsi="Arial" w:cs="Arial"/>
          <w:b/>
          <w:sz w:val="20"/>
          <w:szCs w:val="20"/>
        </w:rPr>
        <w:t xml:space="preserve"> </w:t>
      </w:r>
      <w:r w:rsidR="00E05514">
        <w:rPr>
          <w:rFonts w:ascii="Arial" w:hAnsi="Arial" w:cs="Arial"/>
          <w:b/>
          <w:sz w:val="20"/>
          <w:szCs w:val="20"/>
        </w:rPr>
        <w:t>SDR</w:t>
      </w:r>
      <w:r>
        <w:rPr>
          <w:rFonts w:ascii="Arial" w:hAnsi="Arial" w:cs="Arial"/>
          <w:b/>
          <w:sz w:val="20"/>
          <w:szCs w:val="20"/>
        </w:rPr>
        <w:t xml:space="preserve"> Sampling Cells, Number of Cases</w:t>
      </w:r>
      <w:r w:rsidR="00E60B5F">
        <w:rPr>
          <w:rFonts w:ascii="Arial" w:hAnsi="Arial" w:cs="Arial"/>
          <w:b/>
          <w:sz w:val="20"/>
          <w:szCs w:val="20"/>
        </w:rPr>
        <w:t>,</w:t>
      </w:r>
      <w:r>
        <w:rPr>
          <w:rFonts w:ascii="Arial" w:hAnsi="Arial" w:cs="Arial"/>
          <w:b/>
          <w:sz w:val="20"/>
          <w:szCs w:val="20"/>
        </w:rPr>
        <w:t xml:space="preserve"> and</w:t>
      </w:r>
      <w:r>
        <w:rPr>
          <w:rFonts w:ascii="Arial" w:hAnsi="Arial" w:cs="Arial"/>
          <w:b/>
          <w:sz w:val="20"/>
          <w:szCs w:val="20"/>
        </w:rPr>
        <w:br/>
        <w:t xml:space="preserve">Response Rates by Incentive Treatment (as of </w:t>
      </w:r>
      <w:r w:rsidR="00E05514">
        <w:rPr>
          <w:rFonts w:ascii="Arial" w:hAnsi="Arial" w:cs="Arial"/>
          <w:b/>
          <w:sz w:val="20"/>
          <w:szCs w:val="20"/>
        </w:rPr>
        <w:t>03</w:t>
      </w:r>
      <w:r>
        <w:rPr>
          <w:rFonts w:ascii="Arial" w:hAnsi="Arial" w:cs="Arial"/>
          <w:b/>
          <w:sz w:val="20"/>
          <w:szCs w:val="20"/>
        </w:rPr>
        <w:t>/</w:t>
      </w:r>
      <w:r w:rsidR="00221D00">
        <w:rPr>
          <w:rFonts w:ascii="Arial" w:hAnsi="Arial" w:cs="Arial"/>
          <w:b/>
          <w:sz w:val="20"/>
          <w:szCs w:val="20"/>
        </w:rPr>
        <w:t>15</w:t>
      </w:r>
      <w:r>
        <w:rPr>
          <w:rFonts w:ascii="Arial" w:hAnsi="Arial" w:cs="Arial"/>
          <w:b/>
          <w:sz w:val="20"/>
          <w:szCs w:val="20"/>
        </w:rPr>
        <w:t>/</w:t>
      </w:r>
      <w:r w:rsidR="00E05514">
        <w:rPr>
          <w:rFonts w:ascii="Arial" w:hAnsi="Arial" w:cs="Arial"/>
          <w:b/>
          <w:sz w:val="20"/>
          <w:szCs w:val="20"/>
        </w:rPr>
        <w:t>11</w:t>
      </w:r>
      <w:r>
        <w:rPr>
          <w:rFonts w:ascii="Arial" w:hAnsi="Arial" w:cs="Arial"/>
          <w:b/>
          <w:sz w:val="20"/>
          <w:szCs w:val="20"/>
        </w:rPr>
        <w:t>)</w:t>
      </w:r>
    </w:p>
    <w:tbl>
      <w:tblPr>
        <w:tblW w:w="5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5"/>
        <w:gridCol w:w="1031"/>
        <w:gridCol w:w="1068"/>
        <w:gridCol w:w="1068"/>
        <w:gridCol w:w="1068"/>
      </w:tblGrid>
      <w:tr w:rsidR="00A40D5A" w:rsidRPr="00A404BB" w:rsidTr="0061119E">
        <w:trPr>
          <w:trHeight w:val="520"/>
          <w:jc w:val="center"/>
        </w:trPr>
        <w:tc>
          <w:tcPr>
            <w:tcW w:w="985" w:type="dxa"/>
            <w:vMerge w:val="restart"/>
            <w:shd w:val="clear" w:color="auto" w:fill="auto"/>
            <w:tcMar>
              <w:left w:w="72" w:type="dxa"/>
              <w:right w:w="72" w:type="dxa"/>
            </w:tcMar>
            <w:vAlign w:val="center"/>
          </w:tcPr>
          <w:p w:rsidR="00A40D5A" w:rsidRPr="006F5BAC" w:rsidRDefault="00A40D5A" w:rsidP="00E60B5F">
            <w:pPr>
              <w:spacing w:before="80" w:after="80"/>
              <w:jc w:val="center"/>
              <w:rPr>
                <w:rFonts w:ascii="Arial" w:hAnsi="Arial" w:cs="Arial"/>
                <w:sz w:val="18"/>
                <w:szCs w:val="18"/>
              </w:rPr>
            </w:pPr>
            <w:r w:rsidRPr="006F5BAC">
              <w:rPr>
                <w:rFonts w:ascii="Arial Narrow" w:hAnsi="Arial Narrow" w:cs="Arial"/>
                <w:b/>
                <w:sz w:val="20"/>
                <w:szCs w:val="20"/>
              </w:rPr>
              <w:t>Group Acronym</w:t>
            </w:r>
          </w:p>
        </w:tc>
        <w:tc>
          <w:tcPr>
            <w:tcW w:w="1031" w:type="dxa"/>
            <w:vMerge w:val="restart"/>
            <w:shd w:val="clear" w:color="auto" w:fill="auto"/>
            <w:tcMar>
              <w:left w:w="72" w:type="dxa"/>
              <w:right w:w="72" w:type="dxa"/>
            </w:tcMar>
            <w:vAlign w:val="center"/>
          </w:tcPr>
          <w:p w:rsidR="00A40D5A" w:rsidRPr="006F5BAC" w:rsidRDefault="00A40D5A" w:rsidP="00E60B5F">
            <w:pPr>
              <w:spacing w:before="80" w:after="80"/>
              <w:jc w:val="center"/>
              <w:rPr>
                <w:rFonts w:ascii="Arial" w:hAnsi="Arial" w:cs="Arial"/>
                <w:sz w:val="18"/>
                <w:szCs w:val="18"/>
              </w:rPr>
            </w:pPr>
            <w:r w:rsidRPr="006F5BAC">
              <w:rPr>
                <w:rFonts w:ascii="Arial Narrow" w:hAnsi="Arial Narrow" w:cs="Arial"/>
                <w:b/>
                <w:sz w:val="20"/>
                <w:szCs w:val="20"/>
              </w:rPr>
              <w:t>Late Stage Incentive Treatment</w:t>
            </w:r>
          </w:p>
        </w:tc>
        <w:tc>
          <w:tcPr>
            <w:tcW w:w="3204" w:type="dxa"/>
            <w:gridSpan w:val="3"/>
            <w:shd w:val="clear" w:color="auto" w:fill="auto"/>
            <w:tcMar>
              <w:left w:w="72" w:type="dxa"/>
              <w:right w:w="72" w:type="dxa"/>
            </w:tcMar>
            <w:vAlign w:val="center"/>
          </w:tcPr>
          <w:p w:rsidR="00A40D5A" w:rsidRPr="006F5BAC" w:rsidRDefault="00A40D5A" w:rsidP="00E60B5F">
            <w:pPr>
              <w:spacing w:before="80" w:after="80"/>
              <w:jc w:val="center"/>
              <w:rPr>
                <w:rFonts w:ascii="Arial" w:hAnsi="Arial" w:cs="Arial"/>
                <w:b/>
                <w:sz w:val="18"/>
                <w:szCs w:val="18"/>
              </w:rPr>
            </w:pPr>
            <w:r w:rsidRPr="00A40D5A">
              <w:rPr>
                <w:rFonts w:ascii="Arial" w:hAnsi="Arial" w:cs="Arial"/>
                <w:b/>
                <w:sz w:val="18"/>
                <w:szCs w:val="18"/>
              </w:rPr>
              <w:t>2010 SDR</w:t>
            </w:r>
          </w:p>
        </w:tc>
      </w:tr>
      <w:tr w:rsidR="00A40D5A" w:rsidRPr="00A404BB" w:rsidTr="0061119E">
        <w:trPr>
          <w:trHeight w:val="259"/>
          <w:jc w:val="center"/>
        </w:trPr>
        <w:tc>
          <w:tcPr>
            <w:tcW w:w="985" w:type="dxa"/>
            <w:vMerge/>
            <w:shd w:val="clear" w:color="auto" w:fill="auto"/>
            <w:tcMar>
              <w:left w:w="72" w:type="dxa"/>
              <w:right w:w="72" w:type="dxa"/>
            </w:tcMar>
            <w:vAlign w:val="center"/>
          </w:tcPr>
          <w:p w:rsidR="00A40D5A" w:rsidRPr="006F5BAC" w:rsidRDefault="00A40D5A" w:rsidP="00E60B5F">
            <w:pPr>
              <w:spacing w:before="80" w:after="80"/>
              <w:jc w:val="center"/>
              <w:rPr>
                <w:rFonts w:ascii="Arial Narrow" w:hAnsi="Arial Narrow" w:cs="Arial"/>
                <w:sz w:val="18"/>
                <w:szCs w:val="18"/>
              </w:rPr>
            </w:pPr>
          </w:p>
        </w:tc>
        <w:tc>
          <w:tcPr>
            <w:tcW w:w="1031" w:type="dxa"/>
            <w:vMerge/>
            <w:shd w:val="clear" w:color="auto" w:fill="auto"/>
            <w:tcMar>
              <w:left w:w="72" w:type="dxa"/>
              <w:right w:w="72" w:type="dxa"/>
            </w:tcMar>
            <w:vAlign w:val="center"/>
          </w:tcPr>
          <w:p w:rsidR="00A40D5A" w:rsidRPr="006F5BAC" w:rsidRDefault="00A40D5A" w:rsidP="00E60B5F">
            <w:pPr>
              <w:spacing w:before="80" w:after="80"/>
              <w:jc w:val="center"/>
              <w:rPr>
                <w:rFonts w:ascii="Arial Narrow" w:hAnsi="Arial Narrow" w:cs="Arial"/>
                <w:sz w:val="18"/>
                <w:szCs w:val="18"/>
              </w:rPr>
            </w:pPr>
          </w:p>
        </w:tc>
        <w:tc>
          <w:tcPr>
            <w:tcW w:w="1068" w:type="dxa"/>
            <w:shd w:val="clear" w:color="auto" w:fill="auto"/>
            <w:tcMar>
              <w:left w:w="72" w:type="dxa"/>
              <w:right w:w="72" w:type="dxa"/>
            </w:tcMar>
            <w:vAlign w:val="center"/>
          </w:tcPr>
          <w:p w:rsidR="00A40D5A" w:rsidRPr="006F5BAC" w:rsidRDefault="00A40D5A" w:rsidP="00E60B5F">
            <w:pPr>
              <w:spacing w:before="80" w:after="80"/>
              <w:jc w:val="center"/>
              <w:rPr>
                <w:rFonts w:ascii="Arial Narrow" w:hAnsi="Arial Narrow" w:cs="Arial"/>
                <w:b/>
                <w:sz w:val="20"/>
                <w:szCs w:val="20"/>
              </w:rPr>
            </w:pPr>
            <w:r w:rsidRPr="006F5BAC">
              <w:rPr>
                <w:rFonts w:ascii="Arial Narrow" w:hAnsi="Arial Narrow" w:cs="Arial"/>
                <w:b/>
                <w:sz w:val="20"/>
                <w:szCs w:val="20"/>
              </w:rPr>
              <w:t>No. of sampling cells</w:t>
            </w:r>
          </w:p>
        </w:tc>
        <w:tc>
          <w:tcPr>
            <w:tcW w:w="1068" w:type="dxa"/>
            <w:shd w:val="clear" w:color="auto" w:fill="auto"/>
            <w:tcMar>
              <w:left w:w="72" w:type="dxa"/>
              <w:right w:w="72" w:type="dxa"/>
            </w:tcMar>
            <w:vAlign w:val="center"/>
          </w:tcPr>
          <w:p w:rsidR="00A40D5A" w:rsidRPr="006F5BAC" w:rsidRDefault="00A40D5A" w:rsidP="00E60B5F">
            <w:pPr>
              <w:spacing w:before="80" w:after="80"/>
              <w:jc w:val="center"/>
              <w:rPr>
                <w:rFonts w:ascii="Arial Narrow" w:hAnsi="Arial Narrow" w:cs="Arial"/>
                <w:b/>
                <w:sz w:val="20"/>
                <w:szCs w:val="20"/>
              </w:rPr>
            </w:pPr>
            <w:r w:rsidRPr="006F5BAC">
              <w:rPr>
                <w:rFonts w:ascii="Arial Narrow" w:hAnsi="Arial Narrow" w:cs="Arial"/>
                <w:b/>
                <w:sz w:val="20"/>
                <w:szCs w:val="20"/>
              </w:rPr>
              <w:t>No. of non-respondent cases</w:t>
            </w:r>
          </w:p>
        </w:tc>
        <w:tc>
          <w:tcPr>
            <w:tcW w:w="1068" w:type="dxa"/>
            <w:shd w:val="clear" w:color="auto" w:fill="auto"/>
            <w:tcMar>
              <w:left w:w="72" w:type="dxa"/>
              <w:right w:w="72" w:type="dxa"/>
            </w:tcMar>
            <w:vAlign w:val="center"/>
          </w:tcPr>
          <w:p w:rsidR="00A40D5A" w:rsidRPr="006F5BAC" w:rsidRDefault="00A40D5A" w:rsidP="00E60B5F">
            <w:pPr>
              <w:spacing w:before="80" w:after="80"/>
              <w:jc w:val="center"/>
              <w:rPr>
                <w:rFonts w:ascii="Arial Narrow" w:hAnsi="Arial Narrow" w:cs="Arial"/>
                <w:b/>
                <w:sz w:val="20"/>
                <w:szCs w:val="20"/>
              </w:rPr>
            </w:pPr>
            <w:r w:rsidRPr="006F5BAC">
              <w:rPr>
                <w:rFonts w:ascii="Arial Narrow" w:hAnsi="Arial Narrow" w:cs="Arial"/>
                <w:b/>
                <w:sz w:val="20"/>
                <w:szCs w:val="20"/>
              </w:rPr>
              <w:t>20</w:t>
            </w:r>
            <w:r>
              <w:rPr>
                <w:rFonts w:ascii="Arial Narrow" w:hAnsi="Arial Narrow" w:cs="Arial"/>
                <w:b/>
                <w:sz w:val="20"/>
                <w:szCs w:val="20"/>
              </w:rPr>
              <w:t>10</w:t>
            </w:r>
            <w:r w:rsidRPr="006F5BAC">
              <w:rPr>
                <w:rFonts w:ascii="Arial Narrow" w:hAnsi="Arial Narrow" w:cs="Arial"/>
                <w:b/>
                <w:sz w:val="20"/>
                <w:szCs w:val="20"/>
              </w:rPr>
              <w:t xml:space="preserve"> response rate</w:t>
            </w:r>
          </w:p>
        </w:tc>
      </w:tr>
      <w:tr w:rsidR="00231DB8" w:rsidRPr="00A404BB" w:rsidTr="0061119E">
        <w:trPr>
          <w:trHeight w:val="259"/>
          <w:jc w:val="center"/>
        </w:trPr>
        <w:tc>
          <w:tcPr>
            <w:tcW w:w="985" w:type="dxa"/>
            <w:tcBorders>
              <w:bottom w:val="sing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HFS</w:t>
            </w:r>
          </w:p>
        </w:tc>
        <w:tc>
          <w:tcPr>
            <w:tcW w:w="1031" w:type="dxa"/>
            <w:tcBorders>
              <w:bottom w:val="single" w:sz="4" w:space="0" w:color="auto"/>
            </w:tcBorders>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Sample</w:t>
            </w:r>
          </w:p>
        </w:tc>
        <w:tc>
          <w:tcPr>
            <w:tcW w:w="1068" w:type="dxa"/>
            <w:tcBorders>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19</w:t>
            </w:r>
          </w:p>
        </w:tc>
        <w:tc>
          <w:tcPr>
            <w:tcW w:w="1068" w:type="dxa"/>
            <w:tcBorders>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1,138</w:t>
            </w:r>
          </w:p>
        </w:tc>
        <w:tc>
          <w:tcPr>
            <w:tcW w:w="1068" w:type="dxa"/>
            <w:tcBorders>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75.9%</w:t>
            </w:r>
          </w:p>
        </w:tc>
      </w:tr>
      <w:tr w:rsidR="00231DB8" w:rsidRPr="00A404BB" w:rsidTr="0061119E">
        <w:trPr>
          <w:trHeight w:val="259"/>
          <w:jc w:val="center"/>
        </w:trPr>
        <w:tc>
          <w:tcPr>
            <w:tcW w:w="985" w:type="dxa"/>
            <w:tcBorders>
              <w:bottom w:val="sing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LFS</w:t>
            </w:r>
          </w:p>
        </w:tc>
        <w:tc>
          <w:tcPr>
            <w:tcW w:w="1031" w:type="dxa"/>
            <w:tcBorders>
              <w:bottom w:val="single" w:sz="4" w:space="0" w:color="auto"/>
            </w:tcBorders>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Sample</w:t>
            </w:r>
          </w:p>
        </w:tc>
        <w:tc>
          <w:tcPr>
            <w:tcW w:w="1068" w:type="dxa"/>
            <w:tcBorders>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12</w:t>
            </w:r>
          </w:p>
        </w:tc>
        <w:tc>
          <w:tcPr>
            <w:tcW w:w="1068" w:type="dxa"/>
            <w:tcBorders>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1651</w:t>
            </w:r>
          </w:p>
        </w:tc>
        <w:tc>
          <w:tcPr>
            <w:tcW w:w="1068" w:type="dxa"/>
            <w:tcBorders>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73.4%</w:t>
            </w:r>
          </w:p>
        </w:tc>
      </w:tr>
      <w:tr w:rsidR="00231DB8" w:rsidRPr="00A404BB" w:rsidTr="0061119E">
        <w:trPr>
          <w:trHeight w:val="259"/>
          <w:jc w:val="center"/>
        </w:trPr>
        <w:tc>
          <w:tcPr>
            <w:tcW w:w="985" w:type="dxa"/>
            <w:tcBorders>
              <w:bottom w:val="single" w:sz="4" w:space="0" w:color="auto"/>
              <w:right w:val="sing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HFB</w:t>
            </w:r>
          </w:p>
        </w:tc>
        <w:tc>
          <w:tcPr>
            <w:tcW w:w="1031" w:type="dxa"/>
            <w:tcBorders>
              <w:left w:val="single" w:sz="4" w:space="0" w:color="auto"/>
              <w:bottom w:val="single" w:sz="4" w:space="0" w:color="auto"/>
              <w:right w:val="single" w:sz="4" w:space="0" w:color="auto"/>
            </w:tcBorders>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Sample</w:t>
            </w:r>
          </w:p>
        </w:tc>
        <w:tc>
          <w:tcPr>
            <w:tcW w:w="1068" w:type="dxa"/>
            <w:tcBorders>
              <w:left w:val="single" w:sz="4" w:space="0" w:color="auto"/>
              <w:bottom w:val="single" w:sz="4" w:space="0" w:color="auto"/>
              <w:right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0</w:t>
            </w:r>
          </w:p>
        </w:tc>
        <w:tc>
          <w:tcPr>
            <w:tcW w:w="1068" w:type="dxa"/>
            <w:tcBorders>
              <w:left w:val="single" w:sz="4" w:space="0" w:color="auto"/>
              <w:bottom w:val="single" w:sz="4" w:space="0" w:color="auto"/>
              <w:right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0</w:t>
            </w:r>
          </w:p>
        </w:tc>
        <w:tc>
          <w:tcPr>
            <w:tcW w:w="1068" w:type="dxa"/>
            <w:tcBorders>
              <w:left w:val="single" w:sz="4" w:space="0" w:color="auto"/>
              <w:bottom w:val="single" w:sz="4" w:space="0" w:color="auto"/>
            </w:tcBorders>
            <w:shd w:val="clear" w:color="auto" w:fill="auto"/>
            <w:tcMar>
              <w:left w:w="72" w:type="dxa"/>
              <w:right w:w="72" w:type="dxa"/>
            </w:tcMar>
            <w:vAlign w:val="center"/>
          </w:tcPr>
          <w:p w:rsidR="00231DB8" w:rsidRPr="00231DB8" w:rsidRDefault="00231DB8" w:rsidP="00231DB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231DB8">
              <w:rPr>
                <w:rFonts w:ascii="Arial" w:eastAsia="Times New Roman" w:hAnsi="Arial" w:cs="Arial"/>
                <w:color w:val="000000"/>
                <w:sz w:val="18"/>
                <w:szCs w:val="18"/>
              </w:rPr>
              <w:t>-</w:t>
            </w:r>
          </w:p>
        </w:tc>
      </w:tr>
      <w:tr w:rsidR="00231DB8" w:rsidRPr="00A404BB" w:rsidTr="0061119E">
        <w:trPr>
          <w:trHeight w:val="230"/>
          <w:jc w:val="center"/>
        </w:trPr>
        <w:tc>
          <w:tcPr>
            <w:tcW w:w="985" w:type="dxa"/>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HSS</w:t>
            </w:r>
          </w:p>
        </w:tc>
        <w:tc>
          <w:tcPr>
            <w:tcW w:w="1031" w:type="dxa"/>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Sample</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504</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69.7%</w:t>
            </w:r>
          </w:p>
        </w:tc>
      </w:tr>
      <w:tr w:rsidR="00231DB8" w:rsidRPr="00A404BB" w:rsidTr="0061119E">
        <w:trPr>
          <w:trHeight w:val="259"/>
          <w:jc w:val="center"/>
        </w:trPr>
        <w:tc>
          <w:tcPr>
            <w:tcW w:w="985" w:type="dxa"/>
            <w:tcBorders>
              <w:top w:val="sing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LSS</w:t>
            </w:r>
          </w:p>
        </w:tc>
        <w:tc>
          <w:tcPr>
            <w:tcW w:w="1031" w:type="dxa"/>
            <w:tcBorders>
              <w:top w:val="single" w:sz="4" w:space="0" w:color="auto"/>
            </w:tcBorders>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Certainty</w:t>
            </w:r>
          </w:p>
        </w:tc>
        <w:tc>
          <w:tcPr>
            <w:tcW w:w="1068" w:type="dxa"/>
            <w:tcBorders>
              <w:top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17</w:t>
            </w:r>
          </w:p>
        </w:tc>
        <w:tc>
          <w:tcPr>
            <w:tcW w:w="1068" w:type="dxa"/>
            <w:tcBorders>
              <w:top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2117</w:t>
            </w:r>
          </w:p>
        </w:tc>
        <w:tc>
          <w:tcPr>
            <w:tcW w:w="1068" w:type="dxa"/>
            <w:tcBorders>
              <w:top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70.7%</w:t>
            </w:r>
          </w:p>
        </w:tc>
      </w:tr>
      <w:tr w:rsidR="00231DB8" w:rsidRPr="00A404BB" w:rsidTr="0061119E">
        <w:trPr>
          <w:trHeight w:val="259"/>
          <w:jc w:val="center"/>
        </w:trPr>
        <w:tc>
          <w:tcPr>
            <w:tcW w:w="985" w:type="dxa"/>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HSB</w:t>
            </w:r>
          </w:p>
        </w:tc>
        <w:tc>
          <w:tcPr>
            <w:tcW w:w="1031" w:type="dxa"/>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Certainty</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269</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62.3%</w:t>
            </w:r>
          </w:p>
        </w:tc>
      </w:tr>
      <w:tr w:rsidR="00231DB8" w:rsidRPr="00A404BB" w:rsidTr="0061119E">
        <w:trPr>
          <w:trHeight w:val="259"/>
          <w:jc w:val="center"/>
        </w:trPr>
        <w:tc>
          <w:tcPr>
            <w:tcW w:w="985" w:type="dxa"/>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LSB</w:t>
            </w:r>
          </w:p>
        </w:tc>
        <w:tc>
          <w:tcPr>
            <w:tcW w:w="1031" w:type="dxa"/>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Certainty</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88</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7,565</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57.2%</w:t>
            </w:r>
          </w:p>
        </w:tc>
      </w:tr>
      <w:tr w:rsidR="00231DB8" w:rsidRPr="00A404BB" w:rsidTr="0061119E">
        <w:trPr>
          <w:trHeight w:val="259"/>
          <w:jc w:val="center"/>
        </w:trPr>
        <w:tc>
          <w:tcPr>
            <w:tcW w:w="985" w:type="dxa"/>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sz w:val="18"/>
                <w:szCs w:val="18"/>
              </w:rPr>
            </w:pPr>
            <w:r w:rsidRPr="00231DB8">
              <w:rPr>
                <w:rFonts w:ascii="Arial" w:hAnsi="Arial" w:cs="Arial"/>
                <w:sz w:val="18"/>
                <w:szCs w:val="18"/>
              </w:rPr>
              <w:t>LFB</w:t>
            </w:r>
          </w:p>
        </w:tc>
        <w:tc>
          <w:tcPr>
            <w:tcW w:w="1031" w:type="dxa"/>
            <w:shd w:val="clear" w:color="auto" w:fill="auto"/>
            <w:tcMar>
              <w:left w:w="72" w:type="dxa"/>
              <w:right w:w="72" w:type="dxa"/>
            </w:tcMar>
            <w:vAlign w:val="center"/>
          </w:tcPr>
          <w:p w:rsidR="00231DB8" w:rsidRPr="00231DB8" w:rsidRDefault="00231DB8" w:rsidP="00231DB8">
            <w:pPr>
              <w:spacing w:after="0"/>
              <w:jc w:val="center"/>
              <w:rPr>
                <w:rFonts w:ascii="Arial" w:hAnsi="Arial" w:cs="Arial"/>
                <w:sz w:val="18"/>
                <w:szCs w:val="18"/>
              </w:rPr>
            </w:pPr>
            <w:r w:rsidRPr="00231DB8">
              <w:rPr>
                <w:rFonts w:ascii="Arial" w:hAnsi="Arial" w:cs="Arial"/>
                <w:sz w:val="18"/>
                <w:szCs w:val="18"/>
              </w:rPr>
              <w:t>Certainty</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0</w:t>
            </w:r>
          </w:p>
        </w:tc>
        <w:tc>
          <w:tcPr>
            <w:tcW w:w="1068" w:type="dxa"/>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0</w:t>
            </w:r>
          </w:p>
        </w:tc>
        <w:tc>
          <w:tcPr>
            <w:tcW w:w="1068" w:type="dxa"/>
            <w:shd w:val="clear" w:color="auto" w:fill="auto"/>
            <w:tcMar>
              <w:left w:w="72" w:type="dxa"/>
              <w:right w:w="72" w:type="dxa"/>
            </w:tcMar>
            <w:vAlign w:val="center"/>
          </w:tcPr>
          <w:p w:rsidR="00231DB8" w:rsidRPr="00231DB8" w:rsidRDefault="00231DB8" w:rsidP="00231DB8">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t>
            </w:r>
            <w:r w:rsidRPr="00231DB8">
              <w:rPr>
                <w:rFonts w:ascii="Arial" w:eastAsia="Times New Roman" w:hAnsi="Arial" w:cs="Arial"/>
                <w:color w:val="000000"/>
                <w:sz w:val="18"/>
                <w:szCs w:val="18"/>
              </w:rPr>
              <w:t>-</w:t>
            </w:r>
          </w:p>
        </w:tc>
      </w:tr>
      <w:tr w:rsidR="00231DB8" w:rsidRPr="00A404BB" w:rsidTr="0061119E">
        <w:trPr>
          <w:trHeight w:val="259"/>
          <w:jc w:val="center"/>
        </w:trPr>
        <w:tc>
          <w:tcPr>
            <w:tcW w:w="985" w:type="dxa"/>
            <w:tcBorders>
              <w:top w:val="single" w:sz="12" w:space="0" w:color="auto"/>
              <w:bottom w:val="sing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b/>
                <w:sz w:val="18"/>
                <w:szCs w:val="18"/>
              </w:rPr>
            </w:pPr>
            <w:r w:rsidRPr="00231DB8">
              <w:rPr>
                <w:rFonts w:ascii="Arial" w:hAnsi="Arial" w:cs="Arial"/>
                <w:b/>
                <w:sz w:val="18"/>
                <w:szCs w:val="18"/>
              </w:rPr>
              <w:t>Subtotal</w:t>
            </w:r>
          </w:p>
        </w:tc>
        <w:tc>
          <w:tcPr>
            <w:tcW w:w="1031" w:type="dxa"/>
            <w:tcBorders>
              <w:top w:val="single" w:sz="12" w:space="0" w:color="auto"/>
              <w:bottom w:val="sing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b/>
                <w:sz w:val="18"/>
                <w:szCs w:val="18"/>
              </w:rPr>
            </w:pPr>
            <w:r>
              <w:rPr>
                <w:rFonts w:ascii="Arial" w:hAnsi="Arial" w:cs="Arial"/>
                <w:b/>
                <w:sz w:val="18"/>
                <w:szCs w:val="18"/>
              </w:rPr>
              <w:t>Sample</w:t>
            </w:r>
          </w:p>
        </w:tc>
        <w:tc>
          <w:tcPr>
            <w:tcW w:w="1068" w:type="dxa"/>
            <w:tcBorders>
              <w:top w:val="single" w:sz="12" w:space="0" w:color="auto"/>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38</w:t>
            </w:r>
          </w:p>
        </w:tc>
        <w:tc>
          <w:tcPr>
            <w:tcW w:w="1068" w:type="dxa"/>
            <w:tcBorders>
              <w:top w:val="single" w:sz="12" w:space="0" w:color="auto"/>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3,293</w:t>
            </w:r>
          </w:p>
        </w:tc>
        <w:tc>
          <w:tcPr>
            <w:tcW w:w="1068" w:type="dxa"/>
            <w:tcBorders>
              <w:top w:val="single" w:sz="12" w:space="0" w:color="auto"/>
              <w:bottom w:val="sing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73.9%</w:t>
            </w:r>
          </w:p>
        </w:tc>
      </w:tr>
      <w:tr w:rsidR="00231DB8" w:rsidRPr="00A404BB" w:rsidTr="0061119E">
        <w:trPr>
          <w:trHeight w:val="259"/>
          <w:jc w:val="center"/>
        </w:trPr>
        <w:tc>
          <w:tcPr>
            <w:tcW w:w="985" w:type="dxa"/>
            <w:tcBorders>
              <w:top w:val="single" w:sz="4" w:space="0" w:color="auto"/>
              <w:bottom w:val="doub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b/>
                <w:sz w:val="18"/>
                <w:szCs w:val="18"/>
              </w:rPr>
            </w:pPr>
            <w:r w:rsidRPr="00231DB8">
              <w:rPr>
                <w:rFonts w:ascii="Arial" w:hAnsi="Arial" w:cs="Arial"/>
                <w:b/>
                <w:sz w:val="18"/>
                <w:szCs w:val="18"/>
              </w:rPr>
              <w:t>Subtotal</w:t>
            </w:r>
          </w:p>
        </w:tc>
        <w:tc>
          <w:tcPr>
            <w:tcW w:w="1031" w:type="dxa"/>
            <w:tcBorders>
              <w:top w:val="single" w:sz="4" w:space="0" w:color="auto"/>
              <w:bottom w:val="double" w:sz="4" w:space="0" w:color="auto"/>
            </w:tcBorders>
            <w:shd w:val="clear" w:color="auto" w:fill="auto"/>
            <w:tcMar>
              <w:left w:w="72" w:type="dxa"/>
              <w:right w:w="72" w:type="dxa"/>
            </w:tcMar>
            <w:vAlign w:val="center"/>
          </w:tcPr>
          <w:p w:rsidR="00231DB8" w:rsidRPr="00231DB8" w:rsidRDefault="00231DB8" w:rsidP="00231DB8">
            <w:pPr>
              <w:spacing w:before="80" w:after="80"/>
              <w:jc w:val="center"/>
              <w:rPr>
                <w:rFonts w:ascii="Arial" w:hAnsi="Arial" w:cs="Arial"/>
                <w:b/>
                <w:sz w:val="18"/>
                <w:szCs w:val="18"/>
              </w:rPr>
            </w:pPr>
            <w:r>
              <w:rPr>
                <w:rFonts w:ascii="Arial" w:hAnsi="Arial" w:cs="Arial"/>
                <w:b/>
                <w:sz w:val="18"/>
                <w:szCs w:val="18"/>
              </w:rPr>
              <w:t>Certainty</w:t>
            </w:r>
          </w:p>
        </w:tc>
        <w:tc>
          <w:tcPr>
            <w:tcW w:w="1068" w:type="dxa"/>
            <w:tcBorders>
              <w:top w:val="single" w:sz="4" w:space="0" w:color="auto"/>
              <w:bottom w:val="doub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112</w:t>
            </w:r>
          </w:p>
        </w:tc>
        <w:tc>
          <w:tcPr>
            <w:tcW w:w="1068" w:type="dxa"/>
            <w:tcBorders>
              <w:top w:val="single" w:sz="4" w:space="0" w:color="auto"/>
              <w:bottom w:val="doub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9,951</w:t>
            </w:r>
          </w:p>
        </w:tc>
        <w:tc>
          <w:tcPr>
            <w:tcW w:w="1068" w:type="dxa"/>
            <w:tcBorders>
              <w:top w:val="single" w:sz="4" w:space="0" w:color="auto"/>
              <w:bottom w:val="double" w:sz="4" w:space="0" w:color="auto"/>
            </w:tcBorders>
            <w:shd w:val="clear" w:color="auto" w:fill="auto"/>
            <w:tcMar>
              <w:left w:w="72" w:type="dxa"/>
              <w:right w:w="144" w:type="dxa"/>
            </w:tcMar>
            <w:vAlign w:val="center"/>
          </w:tcPr>
          <w:p w:rsidR="00231DB8" w:rsidRPr="00231DB8" w:rsidRDefault="00231DB8" w:rsidP="00231DB8">
            <w:pPr>
              <w:spacing w:after="0" w:line="240" w:lineRule="auto"/>
              <w:jc w:val="right"/>
              <w:rPr>
                <w:rFonts w:ascii="Arial" w:eastAsia="Times New Roman" w:hAnsi="Arial" w:cs="Arial"/>
                <w:color w:val="000000"/>
                <w:sz w:val="18"/>
                <w:szCs w:val="18"/>
              </w:rPr>
            </w:pPr>
            <w:r w:rsidRPr="00231DB8">
              <w:rPr>
                <w:rFonts w:ascii="Arial" w:eastAsia="Times New Roman" w:hAnsi="Arial" w:cs="Arial"/>
                <w:color w:val="000000"/>
                <w:sz w:val="18"/>
                <w:szCs w:val="18"/>
              </w:rPr>
              <w:t>61.2%</w:t>
            </w:r>
          </w:p>
        </w:tc>
      </w:tr>
      <w:tr w:rsidR="00A40D5A" w:rsidRPr="00A404BB" w:rsidTr="0061119E">
        <w:trPr>
          <w:trHeight w:val="259"/>
          <w:jc w:val="center"/>
        </w:trPr>
        <w:tc>
          <w:tcPr>
            <w:tcW w:w="2016" w:type="dxa"/>
            <w:gridSpan w:val="2"/>
            <w:tcBorders>
              <w:top w:val="double" w:sz="4" w:space="0" w:color="auto"/>
            </w:tcBorders>
            <w:shd w:val="clear" w:color="auto" w:fill="auto"/>
            <w:tcMar>
              <w:left w:w="72" w:type="dxa"/>
              <w:right w:w="72" w:type="dxa"/>
            </w:tcMar>
            <w:vAlign w:val="center"/>
          </w:tcPr>
          <w:p w:rsidR="00A40D5A" w:rsidRPr="00231DB8" w:rsidRDefault="00A40D5A" w:rsidP="00231DB8">
            <w:pPr>
              <w:spacing w:before="80" w:after="80"/>
              <w:jc w:val="center"/>
              <w:rPr>
                <w:rFonts w:ascii="Arial" w:hAnsi="Arial" w:cs="Arial"/>
                <w:b/>
                <w:sz w:val="18"/>
                <w:szCs w:val="18"/>
              </w:rPr>
            </w:pPr>
            <w:r w:rsidRPr="00231DB8">
              <w:rPr>
                <w:rFonts w:ascii="Arial" w:hAnsi="Arial" w:cs="Arial"/>
                <w:b/>
                <w:sz w:val="18"/>
                <w:szCs w:val="18"/>
              </w:rPr>
              <w:t>TOTAL</w:t>
            </w:r>
          </w:p>
        </w:tc>
        <w:tc>
          <w:tcPr>
            <w:tcW w:w="1068" w:type="dxa"/>
            <w:tcBorders>
              <w:top w:val="double" w:sz="4" w:space="0" w:color="auto"/>
            </w:tcBorders>
            <w:shd w:val="clear" w:color="auto" w:fill="auto"/>
            <w:tcMar>
              <w:left w:w="72" w:type="dxa"/>
              <w:right w:w="144" w:type="dxa"/>
            </w:tcMar>
            <w:vAlign w:val="center"/>
          </w:tcPr>
          <w:p w:rsidR="00A40D5A" w:rsidRPr="00231DB8" w:rsidRDefault="00D70421" w:rsidP="00231DB8">
            <w:pPr>
              <w:spacing w:before="80" w:after="80"/>
              <w:jc w:val="right"/>
              <w:rPr>
                <w:rFonts w:ascii="Arial" w:hAnsi="Arial" w:cs="Arial"/>
                <w:sz w:val="18"/>
                <w:szCs w:val="18"/>
              </w:rPr>
            </w:pPr>
            <w:r w:rsidRPr="00231DB8">
              <w:rPr>
                <w:rFonts w:ascii="Arial" w:hAnsi="Arial" w:cs="Arial"/>
                <w:sz w:val="18"/>
                <w:szCs w:val="18"/>
              </w:rPr>
              <w:t>150</w:t>
            </w:r>
          </w:p>
        </w:tc>
        <w:tc>
          <w:tcPr>
            <w:tcW w:w="1068" w:type="dxa"/>
            <w:tcBorders>
              <w:top w:val="double" w:sz="4" w:space="0" w:color="auto"/>
            </w:tcBorders>
            <w:shd w:val="clear" w:color="auto" w:fill="auto"/>
            <w:tcMar>
              <w:left w:w="72" w:type="dxa"/>
              <w:right w:w="144" w:type="dxa"/>
            </w:tcMar>
            <w:vAlign w:val="center"/>
          </w:tcPr>
          <w:p w:rsidR="00A40D5A" w:rsidRPr="00231DB8" w:rsidRDefault="00D70421" w:rsidP="00231DB8">
            <w:pPr>
              <w:spacing w:before="80" w:after="80"/>
              <w:jc w:val="right"/>
              <w:rPr>
                <w:rFonts w:ascii="Arial" w:hAnsi="Arial" w:cs="Arial"/>
                <w:sz w:val="18"/>
                <w:szCs w:val="18"/>
              </w:rPr>
            </w:pPr>
            <w:r w:rsidRPr="00231DB8">
              <w:rPr>
                <w:rFonts w:ascii="Arial" w:hAnsi="Arial" w:cs="Arial"/>
                <w:sz w:val="18"/>
                <w:szCs w:val="18"/>
              </w:rPr>
              <w:t>13,244</w:t>
            </w:r>
          </w:p>
        </w:tc>
        <w:tc>
          <w:tcPr>
            <w:tcW w:w="1068" w:type="dxa"/>
            <w:tcBorders>
              <w:top w:val="double" w:sz="4" w:space="0" w:color="auto"/>
            </w:tcBorders>
            <w:shd w:val="clear" w:color="auto" w:fill="auto"/>
            <w:tcMar>
              <w:left w:w="72" w:type="dxa"/>
              <w:right w:w="144" w:type="dxa"/>
            </w:tcMar>
            <w:vAlign w:val="center"/>
          </w:tcPr>
          <w:p w:rsidR="00A40D5A" w:rsidRPr="00231DB8" w:rsidDel="00570AE8" w:rsidRDefault="00D70421" w:rsidP="00231DB8">
            <w:pPr>
              <w:spacing w:before="80" w:after="80"/>
              <w:jc w:val="right"/>
              <w:rPr>
                <w:rFonts w:ascii="Arial" w:hAnsi="Arial" w:cs="Arial"/>
                <w:sz w:val="18"/>
                <w:szCs w:val="18"/>
              </w:rPr>
            </w:pPr>
            <w:r w:rsidRPr="00231DB8">
              <w:rPr>
                <w:rFonts w:ascii="Arial" w:hAnsi="Arial" w:cs="Arial"/>
                <w:sz w:val="18"/>
                <w:szCs w:val="18"/>
              </w:rPr>
              <w:t>65.4%</w:t>
            </w:r>
          </w:p>
        </w:tc>
      </w:tr>
    </w:tbl>
    <w:p w:rsidR="005A7916" w:rsidRDefault="005A7916" w:rsidP="005A7916">
      <w:pPr>
        <w:rPr>
          <w:sz w:val="28"/>
          <w:szCs w:val="28"/>
          <w:u w:val="single"/>
        </w:rPr>
      </w:pPr>
    </w:p>
    <w:p w:rsidR="009757EB" w:rsidRDefault="009757EB" w:rsidP="005A7916">
      <w:pPr>
        <w:spacing w:after="240"/>
        <w:rPr>
          <w:u w:val="single"/>
        </w:rPr>
      </w:pPr>
    </w:p>
    <w:p w:rsidR="005A7916" w:rsidRPr="008F07DF" w:rsidRDefault="005A7916" w:rsidP="005A7916">
      <w:pPr>
        <w:spacing w:after="240"/>
        <w:rPr>
          <w:u w:val="single"/>
        </w:rPr>
      </w:pPr>
      <w:r w:rsidRPr="008F07DF">
        <w:rPr>
          <w:u w:val="single"/>
        </w:rPr>
        <w:lastRenderedPageBreak/>
        <w:t>Incentive Costs</w:t>
      </w:r>
    </w:p>
    <w:p w:rsidR="005A7916" w:rsidRDefault="008F07DF" w:rsidP="005A7916">
      <w:r>
        <w:t>According to this plan, NSF</w:t>
      </w:r>
      <w:r w:rsidR="005A7916">
        <w:t xml:space="preserve"> </w:t>
      </w:r>
      <w:r w:rsidR="00E05514">
        <w:t>requests approval to</w:t>
      </w:r>
      <w:r w:rsidR="005A7916">
        <w:t xml:space="preserve"> offer a $30 prepaid incentive</w:t>
      </w:r>
      <w:r>
        <w:t xml:space="preserve"> for the 2010 </w:t>
      </w:r>
      <w:r w:rsidR="00CA5862">
        <w:t>N</w:t>
      </w:r>
      <w:r>
        <w:t>SDR</w:t>
      </w:r>
      <w:r w:rsidR="005A7916">
        <w:t>,</w:t>
      </w:r>
      <w:r w:rsidR="00E05514">
        <w:t xml:space="preserve"> as was done for the 2008 </w:t>
      </w:r>
      <w:r w:rsidR="00CA5862">
        <w:t>N</w:t>
      </w:r>
      <w:r w:rsidR="00E05514">
        <w:t>SDR</w:t>
      </w:r>
      <w:r w:rsidR="005A7916">
        <w:t>.</w:t>
      </w:r>
    </w:p>
    <w:p w:rsidR="005A7916" w:rsidRDefault="005A7916" w:rsidP="005A7916">
      <w:r>
        <w:t xml:space="preserve">Based on the status of the surveys as of </w:t>
      </w:r>
      <w:r w:rsidR="00E05514">
        <w:t>1</w:t>
      </w:r>
      <w:r w:rsidR="00CA5862">
        <w:t>5</w:t>
      </w:r>
      <w:r w:rsidR="00E05514">
        <w:t xml:space="preserve"> March 2011</w:t>
      </w:r>
      <w:r>
        <w:t>, the following proportions of sampling cells wou</w:t>
      </w:r>
      <w:r w:rsidR="00E60B5F">
        <w:t xml:space="preserve">ld receive the </w:t>
      </w:r>
      <w:r w:rsidR="00A237A1">
        <w:t>certainty</w:t>
      </w:r>
      <w:r w:rsidR="00E60B5F">
        <w:t xml:space="preserve"> or </w:t>
      </w:r>
      <w:r w:rsidR="00A237A1">
        <w:t>sample</w:t>
      </w:r>
      <w:r w:rsidR="00E60B5F">
        <w:t xml:space="preserve"> late-</w:t>
      </w:r>
      <w:r>
        <w:t>stage incentive treatments:</w:t>
      </w:r>
    </w:p>
    <w:p w:rsidR="005A7916" w:rsidRPr="00777804" w:rsidRDefault="00231DB8" w:rsidP="008F07DF">
      <w:pPr>
        <w:pStyle w:val="ListParagraph"/>
        <w:numPr>
          <w:ilvl w:val="0"/>
          <w:numId w:val="2"/>
        </w:numPr>
      </w:pPr>
      <w:r w:rsidRPr="00777804">
        <w:t>112</w:t>
      </w:r>
      <w:r w:rsidR="005A7916" w:rsidRPr="00777804">
        <w:t xml:space="preserve"> of the sampling cells would receive the </w:t>
      </w:r>
      <w:r w:rsidRPr="00777804">
        <w:t>certainty</w:t>
      </w:r>
      <w:r w:rsidR="005A7916" w:rsidRPr="00777804">
        <w:t xml:space="preserve"> incentive treatment </w:t>
      </w:r>
      <w:r w:rsidR="00826633" w:rsidRPr="00777804">
        <w:t>(i.e., all nonresponse cases in the sampling cells would be selected for the incentive with certainty)</w:t>
      </w:r>
      <w:r w:rsidR="00784642">
        <w:t xml:space="preserve"> </w:t>
      </w:r>
      <w:r w:rsidR="005A7916" w:rsidRPr="00777804">
        <w:t>– 100%*</w:t>
      </w:r>
      <w:r w:rsidRPr="00777804">
        <w:t>9,951</w:t>
      </w:r>
      <w:r w:rsidR="005A7916" w:rsidRPr="00777804">
        <w:t xml:space="preserve"> = </w:t>
      </w:r>
      <w:r w:rsidRPr="00777804">
        <w:t>9,951</w:t>
      </w:r>
      <w:r w:rsidR="005A7916" w:rsidRPr="00777804">
        <w:t xml:space="preserve"> cases</w:t>
      </w:r>
    </w:p>
    <w:p w:rsidR="005A7916" w:rsidRPr="00777804" w:rsidRDefault="00231DB8" w:rsidP="008F07DF">
      <w:pPr>
        <w:pStyle w:val="ListParagraph"/>
        <w:numPr>
          <w:ilvl w:val="0"/>
          <w:numId w:val="2"/>
        </w:numPr>
      </w:pPr>
      <w:r w:rsidRPr="00777804">
        <w:t>38</w:t>
      </w:r>
      <w:r w:rsidR="005A7916" w:rsidRPr="00777804">
        <w:t xml:space="preserve"> of the sampling cells would receive the </w:t>
      </w:r>
      <w:r w:rsidRPr="00777804">
        <w:t>sample</w:t>
      </w:r>
      <w:r w:rsidR="005A7916" w:rsidRPr="00777804">
        <w:t xml:space="preserve"> incentive treatment</w:t>
      </w:r>
      <w:r w:rsidR="00826633" w:rsidRPr="00777804">
        <w:t xml:space="preserve"> (i.e., 20% of the nonresponse cases in the sampling cells would be selected for an incentive)</w:t>
      </w:r>
      <w:r w:rsidR="005A7916" w:rsidRPr="00777804">
        <w:t xml:space="preserve"> – 20%*</w:t>
      </w:r>
      <w:r w:rsidRPr="00777804">
        <w:t>3,293</w:t>
      </w:r>
      <w:r w:rsidR="005A7916" w:rsidRPr="00777804">
        <w:t xml:space="preserve"> = </w:t>
      </w:r>
      <w:r w:rsidR="002A092E" w:rsidRPr="00777804">
        <w:t>6</w:t>
      </w:r>
      <w:r w:rsidRPr="00777804">
        <w:t>59</w:t>
      </w:r>
      <w:r w:rsidR="005A7916" w:rsidRPr="00777804">
        <w:t xml:space="preserve"> cases</w:t>
      </w:r>
    </w:p>
    <w:p w:rsidR="001335BF" w:rsidRPr="00777804" w:rsidRDefault="00373D73" w:rsidP="008F07DF">
      <w:pPr>
        <w:pStyle w:val="ListParagraph"/>
        <w:numPr>
          <w:ilvl w:val="0"/>
          <w:numId w:val="2"/>
        </w:numPr>
      </w:pPr>
      <w:r w:rsidRPr="00777804">
        <w:t xml:space="preserve">Maximum possible incentive cost: </w:t>
      </w:r>
      <w:r w:rsidR="00826633" w:rsidRPr="00777804">
        <w:t xml:space="preserve"> </w:t>
      </w:r>
      <w:r w:rsidRPr="00777804">
        <w:t>$3</w:t>
      </w:r>
      <w:r w:rsidR="000F4A4E" w:rsidRPr="00777804">
        <w:t>24</w:t>
      </w:r>
      <w:r w:rsidRPr="00777804">
        <w:t>,</w:t>
      </w:r>
      <w:r w:rsidR="000F4A4E" w:rsidRPr="00777804">
        <w:t>480</w:t>
      </w:r>
      <w:bookmarkStart w:id="0" w:name="_GoBack"/>
      <w:bookmarkEnd w:id="0"/>
    </w:p>
    <w:p w:rsidR="00415FC5" w:rsidRDefault="005A7916" w:rsidP="00CE2502">
      <w:pPr>
        <w:pStyle w:val="ListParagraph"/>
        <w:numPr>
          <w:ilvl w:val="0"/>
          <w:numId w:val="2"/>
        </w:numPr>
      </w:pPr>
      <w:r w:rsidRPr="00777804">
        <w:t>Total estimated incentive cost</w:t>
      </w:r>
      <w:r w:rsidR="00415FC5">
        <w:t xml:space="preserve"> based on 2008 cashing level</w:t>
      </w:r>
      <w:r w:rsidRPr="00777804">
        <w:t xml:space="preserve">: </w:t>
      </w:r>
      <w:r w:rsidR="001E3186" w:rsidRPr="00777804">
        <w:t xml:space="preserve"> $</w:t>
      </w:r>
      <w:r w:rsidR="00CE2502" w:rsidRPr="00777804">
        <w:t>93</w:t>
      </w:r>
      <w:r w:rsidR="00393381" w:rsidRPr="00777804">
        <w:t>,</w:t>
      </w:r>
      <w:r w:rsidR="00CE2502" w:rsidRPr="00777804">
        <w:t xml:space="preserve">018 </w:t>
      </w:r>
    </w:p>
    <w:p w:rsidR="005A7916" w:rsidRPr="00777804" w:rsidRDefault="00AD4AE2" w:rsidP="008F07DF">
      <w:pPr>
        <w:pStyle w:val="ListParagraph"/>
        <w:numPr>
          <w:ilvl w:val="0"/>
          <w:numId w:val="2"/>
        </w:numPr>
      </w:pPr>
      <w:r w:rsidRPr="00777804">
        <w:t>94</w:t>
      </w:r>
      <w:r w:rsidR="005A7916" w:rsidRPr="00777804">
        <w:t xml:space="preserve">% of incentive cost to cases in </w:t>
      </w:r>
      <w:r w:rsidR="000C715A">
        <w:t>certainty</w:t>
      </w:r>
      <w:r w:rsidR="005A7916" w:rsidRPr="00777804">
        <w:t xml:space="preserve"> incentive treatment cells</w:t>
      </w:r>
    </w:p>
    <w:p w:rsidR="005A7916" w:rsidRPr="00777804" w:rsidRDefault="00AD4AE2" w:rsidP="008F07DF">
      <w:pPr>
        <w:pStyle w:val="ListParagraph"/>
        <w:numPr>
          <w:ilvl w:val="0"/>
          <w:numId w:val="2"/>
        </w:numPr>
      </w:pPr>
      <w:r w:rsidRPr="00777804">
        <w:t>6</w:t>
      </w:r>
      <w:r w:rsidR="005A7916" w:rsidRPr="00777804">
        <w:t>% of incentive cost to</w:t>
      </w:r>
      <w:r w:rsidR="000C715A">
        <w:t xml:space="preserve"> cases in sample</w:t>
      </w:r>
      <w:r w:rsidR="005A7916" w:rsidRPr="00777804">
        <w:t xml:space="preserve"> incentive treatment cells</w:t>
      </w:r>
    </w:p>
    <w:p w:rsidR="005A7916" w:rsidRDefault="005A7916" w:rsidP="005A7916"/>
    <w:p w:rsidR="008B24AE" w:rsidRDefault="008B24AE" w:rsidP="005A7916"/>
    <w:sectPr w:rsidR="008B24AE" w:rsidSect="002A615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F69" w:rsidRDefault="002C4F69" w:rsidP="00D212C9">
      <w:pPr>
        <w:spacing w:after="0" w:line="240" w:lineRule="auto"/>
      </w:pPr>
      <w:r>
        <w:separator/>
      </w:r>
    </w:p>
  </w:endnote>
  <w:endnote w:type="continuationSeparator" w:id="0">
    <w:p w:rsidR="002C4F69" w:rsidRDefault="002C4F69" w:rsidP="00D21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69" w:rsidRDefault="002C4F69" w:rsidP="00D212C9">
    <w:r>
      <w:t>OMB submission</w:t>
    </w:r>
    <w:r>
      <w:ptab w:relativeTo="margin" w:alignment="center" w:leader="none"/>
    </w:r>
    <w:r>
      <w:t>30 March 2011</w:t>
    </w:r>
    <w:r>
      <w:ptab w:relativeTo="margin" w:alignment="right" w:leader="none"/>
    </w:r>
    <w:sdt>
      <w:sdtPr>
        <w:id w:val="250395305"/>
        <w:docPartObj>
          <w:docPartGallery w:val="Page Numbers (Top of Page)"/>
          <w:docPartUnique/>
        </w:docPartObj>
      </w:sdtPr>
      <w:sdtContent>
        <w:r>
          <w:t xml:space="preserve">Page </w:t>
        </w:r>
        <w:fldSimple w:instr=" PAGE ">
          <w:r w:rsidR="0016127C">
            <w:rPr>
              <w:noProof/>
            </w:rPr>
            <w:t>6</w:t>
          </w:r>
        </w:fldSimple>
        <w:r>
          <w:t xml:space="preserve"> of </w:t>
        </w:r>
        <w:fldSimple w:instr=" NUMPAGES  ">
          <w:r w:rsidR="0016127C">
            <w:rPr>
              <w:noProof/>
            </w:rPr>
            <w:t>6</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F69" w:rsidRDefault="002C4F69" w:rsidP="00D212C9">
      <w:pPr>
        <w:spacing w:after="0" w:line="240" w:lineRule="auto"/>
      </w:pPr>
      <w:r>
        <w:separator/>
      </w:r>
    </w:p>
  </w:footnote>
  <w:footnote w:type="continuationSeparator" w:id="0">
    <w:p w:rsidR="002C4F69" w:rsidRDefault="002C4F69" w:rsidP="00D212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1134"/>
    <w:multiLevelType w:val="hybridMultilevel"/>
    <w:tmpl w:val="5E02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438E5"/>
    <w:multiLevelType w:val="hybridMultilevel"/>
    <w:tmpl w:val="DAD240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11B4CA4"/>
    <w:multiLevelType w:val="hybridMultilevel"/>
    <w:tmpl w:val="33D6F43A"/>
    <w:lvl w:ilvl="0" w:tplc="A6409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C16472"/>
    <w:rsid w:val="00005CFC"/>
    <w:rsid w:val="00027B3C"/>
    <w:rsid w:val="000337F4"/>
    <w:rsid w:val="00053CA2"/>
    <w:rsid w:val="000A6938"/>
    <w:rsid w:val="000B56DC"/>
    <w:rsid w:val="000B78D9"/>
    <w:rsid w:val="000C715A"/>
    <w:rsid w:val="000E2C77"/>
    <w:rsid w:val="000F0654"/>
    <w:rsid w:val="000F35FE"/>
    <w:rsid w:val="000F3817"/>
    <w:rsid w:val="000F4A4E"/>
    <w:rsid w:val="00112462"/>
    <w:rsid w:val="001335BF"/>
    <w:rsid w:val="001512F3"/>
    <w:rsid w:val="0016127C"/>
    <w:rsid w:val="0018320F"/>
    <w:rsid w:val="001962F1"/>
    <w:rsid w:val="001B1C5D"/>
    <w:rsid w:val="001E0D78"/>
    <w:rsid w:val="001E3186"/>
    <w:rsid w:val="001E3804"/>
    <w:rsid w:val="001E7D0A"/>
    <w:rsid w:val="0020564D"/>
    <w:rsid w:val="00221D00"/>
    <w:rsid w:val="00231DB8"/>
    <w:rsid w:val="00243F8C"/>
    <w:rsid w:val="0025538E"/>
    <w:rsid w:val="00257471"/>
    <w:rsid w:val="002738B9"/>
    <w:rsid w:val="002A092E"/>
    <w:rsid w:val="002A6153"/>
    <w:rsid w:val="002A643F"/>
    <w:rsid w:val="002C4F69"/>
    <w:rsid w:val="002D2274"/>
    <w:rsid w:val="0032776C"/>
    <w:rsid w:val="00330EC4"/>
    <w:rsid w:val="00356778"/>
    <w:rsid w:val="00373D73"/>
    <w:rsid w:val="00393381"/>
    <w:rsid w:val="00395967"/>
    <w:rsid w:val="003965DB"/>
    <w:rsid w:val="003E06F9"/>
    <w:rsid w:val="004100C3"/>
    <w:rsid w:val="00415FC5"/>
    <w:rsid w:val="00465093"/>
    <w:rsid w:val="00475FC5"/>
    <w:rsid w:val="0047769E"/>
    <w:rsid w:val="004A213F"/>
    <w:rsid w:val="004C3C00"/>
    <w:rsid w:val="004C7DBD"/>
    <w:rsid w:val="00567E9E"/>
    <w:rsid w:val="00586330"/>
    <w:rsid w:val="005A7916"/>
    <w:rsid w:val="005F1F20"/>
    <w:rsid w:val="005F3385"/>
    <w:rsid w:val="0061119E"/>
    <w:rsid w:val="00670497"/>
    <w:rsid w:val="006803AE"/>
    <w:rsid w:val="006B22FE"/>
    <w:rsid w:val="006C5ADD"/>
    <w:rsid w:val="00742009"/>
    <w:rsid w:val="00745279"/>
    <w:rsid w:val="00766A43"/>
    <w:rsid w:val="00773EC4"/>
    <w:rsid w:val="00776CCB"/>
    <w:rsid w:val="00777804"/>
    <w:rsid w:val="00784642"/>
    <w:rsid w:val="00785966"/>
    <w:rsid w:val="00797BF6"/>
    <w:rsid w:val="007B5CB1"/>
    <w:rsid w:val="007B7DBC"/>
    <w:rsid w:val="007D3F11"/>
    <w:rsid w:val="007D6278"/>
    <w:rsid w:val="00810042"/>
    <w:rsid w:val="00826633"/>
    <w:rsid w:val="00837AB5"/>
    <w:rsid w:val="0086432C"/>
    <w:rsid w:val="008876AC"/>
    <w:rsid w:val="008B24AE"/>
    <w:rsid w:val="008C74B9"/>
    <w:rsid w:val="008F07DF"/>
    <w:rsid w:val="008F6838"/>
    <w:rsid w:val="0090499B"/>
    <w:rsid w:val="00930DE3"/>
    <w:rsid w:val="00936D7E"/>
    <w:rsid w:val="00941DE3"/>
    <w:rsid w:val="009757EB"/>
    <w:rsid w:val="00994527"/>
    <w:rsid w:val="009D3700"/>
    <w:rsid w:val="009E12C7"/>
    <w:rsid w:val="009E7E8A"/>
    <w:rsid w:val="00A05E15"/>
    <w:rsid w:val="00A237A1"/>
    <w:rsid w:val="00A237C3"/>
    <w:rsid w:val="00A25BA3"/>
    <w:rsid w:val="00A40D5A"/>
    <w:rsid w:val="00A425FA"/>
    <w:rsid w:val="00A46138"/>
    <w:rsid w:val="00A5755C"/>
    <w:rsid w:val="00AA4869"/>
    <w:rsid w:val="00AD4AE2"/>
    <w:rsid w:val="00AF3C23"/>
    <w:rsid w:val="00B40814"/>
    <w:rsid w:val="00BB26D9"/>
    <w:rsid w:val="00C16472"/>
    <w:rsid w:val="00C34512"/>
    <w:rsid w:val="00C77630"/>
    <w:rsid w:val="00CA5862"/>
    <w:rsid w:val="00CE22CB"/>
    <w:rsid w:val="00CE2502"/>
    <w:rsid w:val="00D212C9"/>
    <w:rsid w:val="00D70421"/>
    <w:rsid w:val="00DB1D81"/>
    <w:rsid w:val="00DB55C0"/>
    <w:rsid w:val="00DB5EDD"/>
    <w:rsid w:val="00E01B67"/>
    <w:rsid w:val="00E02E64"/>
    <w:rsid w:val="00E05514"/>
    <w:rsid w:val="00E60B5F"/>
    <w:rsid w:val="00EB1176"/>
    <w:rsid w:val="00EB1BA1"/>
    <w:rsid w:val="00EC7DF5"/>
    <w:rsid w:val="00EF61B6"/>
    <w:rsid w:val="00F06233"/>
    <w:rsid w:val="00F515E3"/>
    <w:rsid w:val="00F5651A"/>
    <w:rsid w:val="00F9206D"/>
    <w:rsid w:val="00FB4CF1"/>
    <w:rsid w:val="00FD4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DF"/>
    <w:pPr>
      <w:ind w:left="720"/>
      <w:contextualSpacing/>
    </w:pPr>
  </w:style>
  <w:style w:type="paragraph" w:styleId="Header">
    <w:name w:val="header"/>
    <w:basedOn w:val="Normal"/>
    <w:link w:val="HeaderChar"/>
    <w:uiPriority w:val="99"/>
    <w:semiHidden/>
    <w:unhideWhenUsed/>
    <w:rsid w:val="00D212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2C9"/>
  </w:style>
  <w:style w:type="paragraph" w:styleId="Footer">
    <w:name w:val="footer"/>
    <w:basedOn w:val="Normal"/>
    <w:link w:val="FooterChar"/>
    <w:uiPriority w:val="99"/>
    <w:semiHidden/>
    <w:unhideWhenUsed/>
    <w:rsid w:val="00D212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12C9"/>
  </w:style>
  <w:style w:type="paragraph" w:styleId="BalloonText">
    <w:name w:val="Balloon Text"/>
    <w:basedOn w:val="Normal"/>
    <w:link w:val="BalloonTextChar"/>
    <w:uiPriority w:val="99"/>
    <w:semiHidden/>
    <w:unhideWhenUsed/>
    <w:rsid w:val="00D2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DF"/>
    <w:pPr>
      <w:ind w:left="720"/>
      <w:contextualSpacing/>
    </w:pPr>
  </w:style>
  <w:style w:type="paragraph" w:styleId="Header">
    <w:name w:val="header"/>
    <w:basedOn w:val="Normal"/>
    <w:link w:val="HeaderChar"/>
    <w:uiPriority w:val="99"/>
    <w:semiHidden/>
    <w:unhideWhenUsed/>
    <w:rsid w:val="00D212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2C9"/>
  </w:style>
  <w:style w:type="paragraph" w:styleId="Footer">
    <w:name w:val="footer"/>
    <w:basedOn w:val="Normal"/>
    <w:link w:val="FooterChar"/>
    <w:uiPriority w:val="99"/>
    <w:semiHidden/>
    <w:unhideWhenUsed/>
    <w:rsid w:val="00D212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12C9"/>
  </w:style>
  <w:style w:type="paragraph" w:styleId="BalloonText">
    <w:name w:val="Balloon Text"/>
    <w:basedOn w:val="Normal"/>
    <w:link w:val="BalloonTextChar"/>
    <w:uiPriority w:val="99"/>
    <w:semiHidden/>
    <w:unhideWhenUsed/>
    <w:rsid w:val="00D2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66880">
      <w:bodyDiv w:val="1"/>
      <w:marLeft w:val="0"/>
      <w:marRight w:val="0"/>
      <w:marTop w:val="0"/>
      <w:marBottom w:val="0"/>
      <w:divBdr>
        <w:top w:val="none" w:sz="0" w:space="0" w:color="auto"/>
        <w:left w:val="none" w:sz="0" w:space="0" w:color="auto"/>
        <w:bottom w:val="none" w:sz="0" w:space="0" w:color="auto"/>
        <w:right w:val="none" w:sz="0" w:space="0" w:color="auto"/>
      </w:divBdr>
    </w:div>
    <w:div w:id="639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lmilan</dc:creator>
  <cp:keywords/>
  <dc:description/>
  <cp:lastModifiedBy>splimpto</cp:lastModifiedBy>
  <cp:revision>2</cp:revision>
  <cp:lastPrinted>2011-03-30T17:30:00Z</cp:lastPrinted>
  <dcterms:created xsi:type="dcterms:W3CDTF">2011-04-07T20:14:00Z</dcterms:created>
  <dcterms:modified xsi:type="dcterms:W3CDTF">2011-04-07T20:14:00Z</dcterms:modified>
</cp:coreProperties>
</file>