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20" w:rsidRDefault="00F52820" w:rsidP="00BC15E4">
      <w:pPr>
        <w:rPr>
          <w:rFonts w:ascii="Lucida Sans" w:hAnsi="Lucida Sans"/>
        </w:rPr>
      </w:pPr>
    </w:p>
    <w:p w:rsidR="00F52820" w:rsidRDefault="00F52820" w:rsidP="00BC15E4">
      <w:pPr>
        <w:rPr>
          <w:rFonts w:ascii="Lucida Sans" w:hAnsi="Lucida Sans"/>
        </w:rPr>
      </w:pPr>
    </w:p>
    <w:p w:rsidR="00F52820" w:rsidRDefault="00F52820" w:rsidP="00BC15E4">
      <w:pPr>
        <w:rPr>
          <w:rFonts w:ascii="Lucida Sans" w:hAnsi="Lucida Sans"/>
        </w:rPr>
      </w:pPr>
    </w:p>
    <w:p w:rsidR="00F52820" w:rsidRDefault="00F52820" w:rsidP="00BC15E4">
      <w:pPr>
        <w:rPr>
          <w:rFonts w:ascii="Lucida Sans" w:hAnsi="Lucida Sans"/>
        </w:rPr>
      </w:pPr>
    </w:p>
    <w:p w:rsidR="00F52820" w:rsidRDefault="00F52820" w:rsidP="00BC15E4">
      <w:pPr>
        <w:rPr>
          <w:rFonts w:ascii="Lucida Sans" w:hAnsi="Lucida Sans"/>
        </w:rPr>
      </w:pPr>
    </w:p>
    <w:p w:rsidR="00F52820" w:rsidRDefault="00F52820" w:rsidP="00BC15E4">
      <w:pPr>
        <w:rPr>
          <w:rFonts w:ascii="Lucida Sans" w:hAnsi="Lucida Sans"/>
        </w:rPr>
      </w:pPr>
    </w:p>
    <w:p w:rsidR="00F52820" w:rsidRDefault="00F52820" w:rsidP="00F52820">
      <w:pPr>
        <w:pStyle w:val="MarkforAppendixHeadingBlue"/>
      </w:pPr>
      <w:r>
        <w:t xml:space="preserve">APPENDIX </w:t>
      </w:r>
      <w:bookmarkStart w:id="0" w:name="AppLetter"/>
      <w:bookmarkEnd w:id="0"/>
      <w:r w:rsidR="008C1F58">
        <w:t>K</w:t>
      </w:r>
    </w:p>
    <w:p w:rsidR="00E33FB4" w:rsidRDefault="008C1F58" w:rsidP="00F52820">
      <w:pPr>
        <w:pStyle w:val="MarkforAppendixHeadingBlue"/>
      </w:pPr>
      <w:bookmarkStart w:id="1" w:name="AppTitle"/>
      <w:bookmarkEnd w:id="1"/>
      <w:proofErr w:type="spellStart"/>
      <w:r>
        <w:t>nass</w:t>
      </w:r>
      <w:proofErr w:type="spellEnd"/>
      <w:r>
        <w:t xml:space="preserve"> comments</w:t>
      </w:r>
    </w:p>
    <w:p w:rsidR="003F196F" w:rsidRDefault="003F196F" w:rsidP="003F196F">
      <w:pPr>
        <w:sectPr w:rsidR="003F196F" w:rsidSect="007C0CD8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3F196F" w:rsidRPr="0095226D" w:rsidRDefault="003F196F" w:rsidP="003F196F">
      <w:pPr>
        <w:spacing w:before="3360"/>
        <w:ind w:firstLine="0"/>
        <w:jc w:val="center"/>
        <w:rPr>
          <w:b/>
        </w:rPr>
      </w:pPr>
      <w:r w:rsidRPr="0095226D">
        <w:rPr>
          <w:b/>
        </w:rPr>
        <w:lastRenderedPageBreak/>
        <w:t>This page has been left blank for double-sided copying.</w:t>
      </w:r>
    </w:p>
    <w:p w:rsidR="002B0F98" w:rsidRDefault="002B0F98" w:rsidP="003F196F">
      <w:pPr>
        <w:sectPr w:rsidR="002B0F98" w:rsidSect="007C0CD8">
          <w:footerReference w:type="default" r:id="rId7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8C1F58" w:rsidRPr="004E3E54" w:rsidRDefault="008C1F58" w:rsidP="008C1F58">
      <w:pPr>
        <w:jc w:val="center"/>
        <w:rPr>
          <w:b/>
        </w:rPr>
      </w:pPr>
      <w:r w:rsidRPr="004E3E54">
        <w:rPr>
          <w:b/>
        </w:rPr>
        <w:t xml:space="preserve">Study for SNAP Participation on FS </w:t>
      </w:r>
      <w:proofErr w:type="spellStart"/>
      <w:r w:rsidRPr="004E3E54">
        <w:rPr>
          <w:b/>
        </w:rPr>
        <w:t>ARRA</w:t>
      </w:r>
      <w:proofErr w:type="spellEnd"/>
    </w:p>
    <w:p w:rsidR="008C1F58" w:rsidRDefault="008C1F58" w:rsidP="008C1F58"/>
    <w:p w:rsidR="008C1F58" w:rsidRDefault="008C1F58" w:rsidP="008C1F58">
      <w:pPr>
        <w:spacing w:line="240" w:lineRule="auto"/>
      </w:pPr>
      <w:r>
        <w:t>Overall, the Docket is thorough in explanation and seems to make sense statistically, with consideration and plans to account for known and unknown biases</w:t>
      </w:r>
      <w:proofErr w:type="gramStart"/>
      <w:r>
        <w:t xml:space="preserve">.  </w:t>
      </w:r>
      <w:proofErr w:type="gramEnd"/>
      <w:r>
        <w:t>No prior knowledge of the CPS-</w:t>
      </w:r>
      <w:proofErr w:type="spellStart"/>
      <w:r>
        <w:t>FSS</w:t>
      </w:r>
      <w:proofErr w:type="spellEnd"/>
      <w:r>
        <w:t xml:space="preserve"> made following pieces of the report difficult, possibly including more information about the methodology would assist in better understanding of how the data will be used in the current study</w:t>
      </w:r>
      <w:proofErr w:type="gramStart"/>
      <w:r>
        <w:t xml:space="preserve">.  </w:t>
      </w:r>
      <w:proofErr w:type="gramEnd"/>
      <w:r>
        <w:t>Below are recommended changes/updates to the report; some are simply formatting/grammatical and/or nit-picky, but others are more substantial.</w:t>
      </w:r>
    </w:p>
    <w:p w:rsidR="008C1F58" w:rsidRDefault="008C1F58" w:rsidP="008C1F58">
      <w:pPr>
        <w:spacing w:line="240" w:lineRule="auto"/>
      </w:pPr>
    </w:p>
    <w:p w:rsidR="008C1F58" w:rsidRDefault="008C1F58" w:rsidP="008C1F58">
      <w:pPr>
        <w:spacing w:line="240" w:lineRule="auto"/>
        <w:ind w:left="720" w:hanging="720"/>
      </w:pPr>
      <w:r>
        <w:t xml:space="preserve">Page 1:  SNAP and </w:t>
      </w:r>
      <w:proofErr w:type="spellStart"/>
      <w:r>
        <w:t>ARRA</w:t>
      </w:r>
      <w:proofErr w:type="spellEnd"/>
      <w:r>
        <w:t xml:space="preserve"> are mentioned prior to defining the acronyms.</w:t>
      </w:r>
    </w:p>
    <w:p w:rsidR="008C1F58" w:rsidRDefault="008C1F58" w:rsidP="008C1F58">
      <w:pPr>
        <w:spacing w:line="240" w:lineRule="auto"/>
        <w:ind w:left="720" w:hanging="720"/>
      </w:pPr>
    </w:p>
    <w:p w:rsidR="008C1F58" w:rsidRDefault="008C1F58" w:rsidP="008C1F58">
      <w:pPr>
        <w:spacing w:line="240" w:lineRule="auto"/>
        <w:ind w:left="720" w:hanging="720"/>
      </w:pPr>
      <w:r>
        <w:t>Page 5:  “A copy of the notice and the comment are attached in Appendix E.</w:t>
      </w:r>
      <w:proofErr w:type="gramStart"/>
      <w:r>
        <w:t xml:space="preserve">”  </w:t>
      </w:r>
      <w:proofErr w:type="gramEnd"/>
      <w:r>
        <w:t>Appendix E does not appear to contain a copy of the federal register notice.</w:t>
      </w:r>
    </w:p>
    <w:p w:rsidR="008C1F58" w:rsidRDefault="008C1F58" w:rsidP="008C1F58">
      <w:pPr>
        <w:spacing w:line="240" w:lineRule="auto"/>
        <w:ind w:left="720" w:hanging="720"/>
      </w:pPr>
    </w:p>
    <w:p w:rsidR="008C1F58" w:rsidRDefault="008C1F58" w:rsidP="008C1F58">
      <w:pPr>
        <w:spacing w:line="240" w:lineRule="auto"/>
        <w:ind w:left="720" w:hanging="720"/>
      </w:pPr>
      <w:r>
        <w:t>Page 6:  “In particular, our design carefully constructs comparison groups and uses large samples, rich data, and statistical modeling to control for selection bias.</w:t>
      </w:r>
      <w:proofErr w:type="gramStart"/>
      <w:r>
        <w:t xml:space="preserve">”  </w:t>
      </w:r>
      <w:proofErr w:type="gramEnd"/>
      <w:r>
        <w:t>Consider using a word other than “rich”, possibly robust, in a docket about studying those with limited funds.</w:t>
      </w:r>
    </w:p>
    <w:p w:rsidR="008C1F58" w:rsidRDefault="008C1F58" w:rsidP="008C1F58">
      <w:pPr>
        <w:spacing w:line="240" w:lineRule="auto"/>
        <w:ind w:left="720" w:hanging="720"/>
      </w:pPr>
    </w:p>
    <w:p w:rsidR="008C1F58" w:rsidRDefault="008C1F58" w:rsidP="008C1F58">
      <w:pPr>
        <w:spacing w:line="240" w:lineRule="auto"/>
        <w:ind w:left="720" w:hanging="720"/>
      </w:pPr>
      <w:r>
        <w:t>Page 29:  In sampling states, is the District of Columbia somehow included?</w:t>
      </w:r>
    </w:p>
    <w:p w:rsidR="008C1F58" w:rsidRDefault="008C1F58" w:rsidP="008C1F58">
      <w:pPr>
        <w:spacing w:line="240" w:lineRule="auto"/>
        <w:ind w:left="720" w:hanging="720"/>
      </w:pPr>
    </w:p>
    <w:p w:rsidR="008C1F58" w:rsidRDefault="008C1F58" w:rsidP="008C1F58">
      <w:pPr>
        <w:spacing w:line="240" w:lineRule="auto"/>
        <w:ind w:left="720" w:hanging="720"/>
      </w:pPr>
      <w:r>
        <w:t>Page 35:  “For the full sample, these sample sizes yield high levels of precision…”  change to “For the households interviewed at both points in time, these sample sizes…”</w:t>
      </w:r>
      <w:proofErr w:type="gramStart"/>
      <w:r>
        <w:t xml:space="preserve">.  </w:t>
      </w:r>
      <w:proofErr w:type="gramEnd"/>
      <w:r>
        <w:t xml:space="preserve">The term “full sample” is </w:t>
      </w:r>
      <w:proofErr w:type="gramStart"/>
      <w:r>
        <w:t>confusing,</w:t>
      </w:r>
      <w:proofErr w:type="gramEnd"/>
      <w:r>
        <w:t xml:space="preserve"> the sample size between baseline and follow-up was 7,558 and the sample size of the baseline 11,000; while the reference is for the 4,001 matching respondents with good cooperation.</w:t>
      </w:r>
    </w:p>
    <w:p w:rsidR="008C1F58" w:rsidRDefault="008C1F58" w:rsidP="008C1F58">
      <w:pPr>
        <w:spacing w:line="240" w:lineRule="auto"/>
        <w:ind w:left="720" w:hanging="720"/>
      </w:pPr>
    </w:p>
    <w:p w:rsidR="008C1F58" w:rsidRDefault="008C1F58" w:rsidP="008C1F58">
      <w:pPr>
        <w:spacing w:line="240" w:lineRule="auto"/>
        <w:ind w:left="720" w:hanging="720"/>
      </w:pPr>
      <w:r>
        <w:t xml:space="preserve">Page 40:  Section B.3 “Methods to Maximize Response Rates and to Deal with </w:t>
      </w:r>
      <w:proofErr w:type="spellStart"/>
      <w:r>
        <w:t>Nonresponse</w:t>
      </w:r>
      <w:proofErr w:type="spellEnd"/>
      <w:r>
        <w:t>” does not include any mention of the $30 post-pay incentive for completing the 90 minute in-depth interview, this should be added.</w:t>
      </w:r>
    </w:p>
    <w:p w:rsidR="008C1F58" w:rsidRDefault="008C1F58" w:rsidP="008C1F58">
      <w:pPr>
        <w:spacing w:line="240" w:lineRule="auto"/>
        <w:ind w:left="720" w:hanging="720"/>
      </w:pPr>
    </w:p>
    <w:p w:rsidR="008C1F58" w:rsidRDefault="008C1F58" w:rsidP="008C1F58">
      <w:pPr>
        <w:spacing w:line="240" w:lineRule="auto"/>
        <w:ind w:left="720" w:hanging="720"/>
      </w:pPr>
      <w:r>
        <w:t>Appendix D, number 35:  “We take a grocery cart and enter.</w:t>
      </w:r>
      <w:proofErr w:type="gramStart"/>
      <w:r>
        <w:t xml:space="preserve">”  </w:t>
      </w:r>
      <w:proofErr w:type="gramEnd"/>
      <w:r>
        <w:t>Not everyone grabs a grocery cart; some use a basket, other their own reusable bags are used to carry items, others their own wheeled cart</w:t>
      </w:r>
      <w:proofErr w:type="gramStart"/>
      <w:r>
        <w:t xml:space="preserve">.  </w:t>
      </w:r>
      <w:proofErr w:type="gramEnd"/>
      <w:r>
        <w:t>I would suggest taking this sentence out or asking their method of carrying items.</w:t>
      </w:r>
    </w:p>
    <w:p w:rsidR="008C1F58" w:rsidRDefault="008C1F58" w:rsidP="008C1F58">
      <w:pPr>
        <w:spacing w:line="240" w:lineRule="auto"/>
        <w:ind w:left="720" w:hanging="720"/>
      </w:pPr>
    </w:p>
    <w:p w:rsidR="008C1F58" w:rsidRDefault="008C1F58" w:rsidP="008C1F58">
      <w:pPr>
        <w:spacing w:line="240" w:lineRule="auto"/>
        <w:ind w:left="720" w:hanging="720"/>
      </w:pPr>
      <w:r>
        <w:t>Appendix E:  “This page has been left blank for double-sided copying.</w:t>
      </w:r>
      <w:proofErr w:type="gramStart"/>
      <w:r>
        <w:t>”,</w:t>
      </w:r>
      <w:proofErr w:type="gramEnd"/>
      <w:r>
        <w:t xml:space="preserve"> center like all others.</w:t>
      </w:r>
    </w:p>
    <w:p w:rsidR="008C1F58" w:rsidRDefault="008C1F58" w:rsidP="008C1F58">
      <w:pPr>
        <w:spacing w:line="240" w:lineRule="auto"/>
        <w:ind w:left="720" w:hanging="720"/>
      </w:pPr>
    </w:p>
    <w:p w:rsidR="008C1F58" w:rsidRDefault="008C1F58" w:rsidP="008C1F58">
      <w:pPr>
        <w:spacing w:line="240" w:lineRule="auto"/>
        <w:ind w:left="720" w:hanging="720"/>
      </w:pPr>
      <w:r>
        <w:t>Appendix G:  “Post card” in the title is one word, postcard.</w:t>
      </w:r>
    </w:p>
    <w:p w:rsidR="008C1F58" w:rsidRDefault="008C1F58" w:rsidP="008C1F58">
      <w:pPr>
        <w:spacing w:line="240" w:lineRule="auto"/>
        <w:ind w:left="720" w:hanging="720"/>
      </w:pPr>
    </w:p>
    <w:p w:rsidR="008C1F58" w:rsidRDefault="008C1F58" w:rsidP="008C1F58">
      <w:pPr>
        <w:spacing w:line="240" w:lineRule="auto"/>
        <w:ind w:left="720" w:hanging="720"/>
      </w:pPr>
      <w:r>
        <w:t>Appendix F and H are more personal using the respondent’s name, whereas Appendix I and J are very impersonal using “Sir/Madam”</w:t>
      </w:r>
      <w:proofErr w:type="gramStart"/>
      <w:r>
        <w:t xml:space="preserve">.  </w:t>
      </w:r>
      <w:proofErr w:type="gramEnd"/>
      <w:r>
        <w:t xml:space="preserve">I recommend changing </w:t>
      </w:r>
      <w:proofErr w:type="gramStart"/>
      <w:r>
        <w:t>I</w:t>
      </w:r>
      <w:proofErr w:type="gramEnd"/>
      <w:r>
        <w:t xml:space="preserve"> and J to match F and H.</w:t>
      </w:r>
    </w:p>
    <w:p w:rsidR="008C1F58" w:rsidRDefault="008C1F58" w:rsidP="008C1F58">
      <w:pPr>
        <w:spacing w:line="240" w:lineRule="auto"/>
        <w:ind w:left="720" w:hanging="720"/>
      </w:pPr>
    </w:p>
    <w:p w:rsidR="008C1F58" w:rsidRDefault="008C1F58" w:rsidP="008C1F58">
      <w:pPr>
        <w:spacing w:line="240" w:lineRule="auto"/>
        <w:ind w:left="720" w:hanging="720"/>
      </w:pPr>
      <w:r>
        <w:t>Appendix J:  “In this interview, we will questions about your participation in the SNAP program…” add the word ask, to read “In this interview, we will ask questions…”</w:t>
      </w:r>
    </w:p>
    <w:p w:rsidR="008C1F58" w:rsidRDefault="008C1F58" w:rsidP="008C1F58">
      <w:pPr>
        <w:spacing w:line="240" w:lineRule="auto"/>
        <w:ind w:left="720" w:hanging="720"/>
      </w:pPr>
    </w:p>
    <w:p w:rsidR="008C1F58" w:rsidRDefault="008C1F58" w:rsidP="008C1F58">
      <w:pPr>
        <w:spacing w:line="240" w:lineRule="auto"/>
        <w:ind w:left="720" w:hanging="720"/>
      </w:pPr>
      <w:r>
        <w:t>Appendix J:  “You will also receive a $XX as a token of appreciation for participating in this discussion.” Re-write to “You will also receive a $XX [store] gift card as a token…” as it appears in the respondent letter.</w:t>
      </w:r>
    </w:p>
    <w:p w:rsidR="008C1F58" w:rsidRDefault="008C1F58" w:rsidP="008C1F58">
      <w:pPr>
        <w:ind w:left="720" w:hanging="720"/>
      </w:pPr>
    </w:p>
    <w:p w:rsidR="008C1F58" w:rsidRDefault="008C1F58" w:rsidP="008C1F58">
      <w:pPr>
        <w:ind w:left="720" w:hanging="720"/>
      </w:pPr>
      <w:r>
        <w:t xml:space="preserve">Review conducted by </w:t>
      </w:r>
    </w:p>
    <w:p w:rsidR="008C1F58" w:rsidRDefault="008C1F58" w:rsidP="008C1F58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  <w:szCs w:val="20"/>
        </w:rPr>
      </w:pPr>
      <w:proofErr w:type="spellStart"/>
      <w:r>
        <w:rPr>
          <w:rFonts w:ascii="Helv" w:hAnsi="Helv" w:cs="Helv"/>
          <w:color w:val="000000"/>
          <w:sz w:val="20"/>
          <w:szCs w:val="20"/>
        </w:rPr>
        <w:t>Sharyn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Lavender</w:t>
      </w:r>
    </w:p>
    <w:p w:rsidR="008C1F58" w:rsidRDefault="008C1F58" w:rsidP="008C1F58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Statistical Methods Branch</w:t>
      </w:r>
    </w:p>
    <w:p w:rsidR="008C1F58" w:rsidRDefault="008C1F58" w:rsidP="008C1F58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Statistics Division, </w:t>
      </w:r>
      <w:proofErr w:type="spellStart"/>
      <w:r>
        <w:rPr>
          <w:rFonts w:ascii="Helv" w:hAnsi="Helv" w:cs="Helv"/>
          <w:color w:val="000000"/>
          <w:sz w:val="20"/>
          <w:szCs w:val="20"/>
        </w:rPr>
        <w:t>NASS</w:t>
      </w:r>
      <w:proofErr w:type="spellEnd"/>
      <w:r>
        <w:rPr>
          <w:rFonts w:ascii="Helv" w:hAnsi="Helv" w:cs="Helv"/>
          <w:color w:val="000000"/>
          <w:sz w:val="20"/>
          <w:szCs w:val="20"/>
        </w:rPr>
        <w:t>/USDA</w:t>
      </w:r>
    </w:p>
    <w:p w:rsidR="008C1F58" w:rsidRDefault="008C1F58" w:rsidP="008C1F58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202-690-0901</w:t>
      </w:r>
    </w:p>
    <w:p w:rsidR="008C1F58" w:rsidRDefault="008C1F58" w:rsidP="008C1F58">
      <w:pPr>
        <w:ind w:left="720" w:hanging="720"/>
      </w:pPr>
    </w:p>
    <w:p w:rsidR="003F196F" w:rsidRPr="003F196F" w:rsidRDefault="003F196F" w:rsidP="008C1F58">
      <w:pPr>
        <w:tabs>
          <w:tab w:val="clear" w:pos="432"/>
        </w:tabs>
        <w:spacing w:line="240" w:lineRule="auto"/>
        <w:ind w:firstLine="0"/>
        <w:jc w:val="center"/>
      </w:pPr>
    </w:p>
    <w:sectPr w:rsidR="003F196F" w:rsidRPr="003F196F" w:rsidSect="001D6DC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762" w:rsidRDefault="00DC5762">
      <w:pPr>
        <w:spacing w:line="240" w:lineRule="auto"/>
        <w:ind w:firstLine="0"/>
      </w:pPr>
    </w:p>
  </w:endnote>
  <w:endnote w:type="continuationSeparator" w:id="0">
    <w:p w:rsidR="00DC5762" w:rsidRDefault="00DC5762">
      <w:pPr>
        <w:spacing w:line="240" w:lineRule="auto"/>
        <w:ind w:firstLine="0"/>
      </w:pPr>
    </w:p>
  </w:endnote>
  <w:endnote w:type="continuationNotice" w:id="1">
    <w:p w:rsidR="00DC5762" w:rsidRDefault="00DC5762">
      <w:pPr>
        <w:spacing w:line="240" w:lineRule="auto"/>
        <w:ind w:firstLine="0"/>
      </w:pPr>
    </w:p>
    <w:p w:rsidR="00DC5762" w:rsidRDefault="00DC5762"/>
    <w:p w:rsidR="00DC5762" w:rsidRDefault="00DC5762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EF" w:rsidRPr="0095226D" w:rsidRDefault="00C057EF" w:rsidP="0095226D">
    <w:pPr>
      <w:pStyle w:val="Footer"/>
      <w:ind w:firstLine="0"/>
      <w:rPr>
        <w:rStyle w:val="PageNumb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762" w:rsidRDefault="00DC5762">
      <w:pPr>
        <w:spacing w:line="240" w:lineRule="auto"/>
        <w:ind w:firstLine="0"/>
      </w:pPr>
      <w:r>
        <w:separator/>
      </w:r>
    </w:p>
  </w:footnote>
  <w:footnote w:type="continuationSeparator" w:id="0">
    <w:p w:rsidR="00DC5762" w:rsidRDefault="00DC5762">
      <w:pPr>
        <w:spacing w:line="240" w:lineRule="auto"/>
        <w:ind w:firstLine="0"/>
      </w:pPr>
      <w:r>
        <w:separator/>
      </w:r>
    </w:p>
    <w:p w:rsidR="00DC5762" w:rsidRDefault="00DC5762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DC5762" w:rsidRDefault="00DC5762">
      <w:pPr>
        <w:pStyle w:val="Footer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savePreviewPicture/>
  <w:hdrShapeDefaults>
    <o:shapedefaults v:ext="edit" spidmax="547842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A35BE6"/>
    <w:rsid w:val="000015FB"/>
    <w:rsid w:val="00006E1F"/>
    <w:rsid w:val="00007CA0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931D7"/>
    <w:rsid w:val="000A4439"/>
    <w:rsid w:val="000A544F"/>
    <w:rsid w:val="000B2BD0"/>
    <w:rsid w:val="000B3A77"/>
    <w:rsid w:val="000B7E70"/>
    <w:rsid w:val="000C0118"/>
    <w:rsid w:val="000C15B4"/>
    <w:rsid w:val="000C70DC"/>
    <w:rsid w:val="000C72F8"/>
    <w:rsid w:val="000C7A88"/>
    <w:rsid w:val="000D709F"/>
    <w:rsid w:val="000E1D9E"/>
    <w:rsid w:val="000E6D11"/>
    <w:rsid w:val="000F79B9"/>
    <w:rsid w:val="00105D23"/>
    <w:rsid w:val="001073C9"/>
    <w:rsid w:val="00130424"/>
    <w:rsid w:val="0013282C"/>
    <w:rsid w:val="00132E2F"/>
    <w:rsid w:val="00135AF5"/>
    <w:rsid w:val="00136C2E"/>
    <w:rsid w:val="00141646"/>
    <w:rsid w:val="00141705"/>
    <w:rsid w:val="00141A0B"/>
    <w:rsid w:val="001425AF"/>
    <w:rsid w:val="00142AE3"/>
    <w:rsid w:val="00144DA7"/>
    <w:rsid w:val="00160306"/>
    <w:rsid w:val="00160E09"/>
    <w:rsid w:val="00162191"/>
    <w:rsid w:val="00181F53"/>
    <w:rsid w:val="0018564C"/>
    <w:rsid w:val="001933B1"/>
    <w:rsid w:val="00194925"/>
    <w:rsid w:val="001A07D4"/>
    <w:rsid w:val="001B360E"/>
    <w:rsid w:val="001C6D08"/>
    <w:rsid w:val="001D247C"/>
    <w:rsid w:val="001D3C41"/>
    <w:rsid w:val="001D634E"/>
    <w:rsid w:val="001E0AB2"/>
    <w:rsid w:val="001E466A"/>
    <w:rsid w:val="001F5410"/>
    <w:rsid w:val="00200B10"/>
    <w:rsid w:val="00200CC4"/>
    <w:rsid w:val="002053F3"/>
    <w:rsid w:val="0022070D"/>
    <w:rsid w:val="0022402B"/>
    <w:rsid w:val="00236122"/>
    <w:rsid w:val="00243909"/>
    <w:rsid w:val="00243DEE"/>
    <w:rsid w:val="0025182E"/>
    <w:rsid w:val="002613D2"/>
    <w:rsid w:val="00264716"/>
    <w:rsid w:val="00267F6C"/>
    <w:rsid w:val="00271B2B"/>
    <w:rsid w:val="00280AB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0F98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6999"/>
    <w:rsid w:val="002F1E71"/>
    <w:rsid w:val="002F440B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B98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75D0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340F"/>
    <w:rsid w:val="003C57EB"/>
    <w:rsid w:val="003D77B2"/>
    <w:rsid w:val="003E0A97"/>
    <w:rsid w:val="003E0D48"/>
    <w:rsid w:val="003E4DE6"/>
    <w:rsid w:val="003F196F"/>
    <w:rsid w:val="00401627"/>
    <w:rsid w:val="0040780A"/>
    <w:rsid w:val="00410D8F"/>
    <w:rsid w:val="00410F60"/>
    <w:rsid w:val="004118E0"/>
    <w:rsid w:val="00412D08"/>
    <w:rsid w:val="00414FF6"/>
    <w:rsid w:val="00416E44"/>
    <w:rsid w:val="004178CB"/>
    <w:rsid w:val="00417B7A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A0392"/>
    <w:rsid w:val="004A071B"/>
    <w:rsid w:val="004A46CC"/>
    <w:rsid w:val="004B0D54"/>
    <w:rsid w:val="004D62CD"/>
    <w:rsid w:val="004E2939"/>
    <w:rsid w:val="004E7D79"/>
    <w:rsid w:val="004F0B74"/>
    <w:rsid w:val="004F493C"/>
    <w:rsid w:val="00514703"/>
    <w:rsid w:val="00525772"/>
    <w:rsid w:val="00531424"/>
    <w:rsid w:val="00537F22"/>
    <w:rsid w:val="00542523"/>
    <w:rsid w:val="00557FE1"/>
    <w:rsid w:val="005604DC"/>
    <w:rsid w:val="005637D0"/>
    <w:rsid w:val="0056487B"/>
    <w:rsid w:val="005811B3"/>
    <w:rsid w:val="00581EE2"/>
    <w:rsid w:val="00582CD2"/>
    <w:rsid w:val="00583141"/>
    <w:rsid w:val="00584664"/>
    <w:rsid w:val="0058753C"/>
    <w:rsid w:val="00591AE6"/>
    <w:rsid w:val="00592E1A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D01A8"/>
    <w:rsid w:val="005D5B5D"/>
    <w:rsid w:val="005E1375"/>
    <w:rsid w:val="005E7695"/>
    <w:rsid w:val="005F162C"/>
    <w:rsid w:val="005F430F"/>
    <w:rsid w:val="005F53E1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66769"/>
    <w:rsid w:val="00670448"/>
    <w:rsid w:val="006714AC"/>
    <w:rsid w:val="00671E2B"/>
    <w:rsid w:val="00672F90"/>
    <w:rsid w:val="0067684B"/>
    <w:rsid w:val="00677BF6"/>
    <w:rsid w:val="00682BCD"/>
    <w:rsid w:val="00690B57"/>
    <w:rsid w:val="006959AF"/>
    <w:rsid w:val="006A3DE8"/>
    <w:rsid w:val="006A5367"/>
    <w:rsid w:val="006A7614"/>
    <w:rsid w:val="006B0652"/>
    <w:rsid w:val="006B2B5D"/>
    <w:rsid w:val="006B43E8"/>
    <w:rsid w:val="006C1EC1"/>
    <w:rsid w:val="006C5B99"/>
    <w:rsid w:val="006C5F78"/>
    <w:rsid w:val="006D413F"/>
    <w:rsid w:val="006D44FA"/>
    <w:rsid w:val="006D67B8"/>
    <w:rsid w:val="006D6B4E"/>
    <w:rsid w:val="006E2AEF"/>
    <w:rsid w:val="006E3DE1"/>
    <w:rsid w:val="006F053F"/>
    <w:rsid w:val="006F168E"/>
    <w:rsid w:val="00700DA5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42342"/>
    <w:rsid w:val="00742C8C"/>
    <w:rsid w:val="00744CFB"/>
    <w:rsid w:val="0074653C"/>
    <w:rsid w:val="00747001"/>
    <w:rsid w:val="00747B99"/>
    <w:rsid w:val="007525FD"/>
    <w:rsid w:val="00754E03"/>
    <w:rsid w:val="00763A57"/>
    <w:rsid w:val="00773734"/>
    <w:rsid w:val="007761AF"/>
    <w:rsid w:val="0078127B"/>
    <w:rsid w:val="00784BA2"/>
    <w:rsid w:val="007906CE"/>
    <w:rsid w:val="00793513"/>
    <w:rsid w:val="007959C1"/>
    <w:rsid w:val="007A5803"/>
    <w:rsid w:val="007B2015"/>
    <w:rsid w:val="007B5799"/>
    <w:rsid w:val="007B6D9E"/>
    <w:rsid w:val="007B705F"/>
    <w:rsid w:val="007C0CD8"/>
    <w:rsid w:val="007C1E2F"/>
    <w:rsid w:val="007C21D9"/>
    <w:rsid w:val="007C3668"/>
    <w:rsid w:val="007C4167"/>
    <w:rsid w:val="007C5524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ABB"/>
    <w:rsid w:val="008169DF"/>
    <w:rsid w:val="00816DF1"/>
    <w:rsid w:val="00833128"/>
    <w:rsid w:val="00840E7C"/>
    <w:rsid w:val="008421A1"/>
    <w:rsid w:val="008432EE"/>
    <w:rsid w:val="00850CF2"/>
    <w:rsid w:val="00851DFB"/>
    <w:rsid w:val="0086314C"/>
    <w:rsid w:val="0086519F"/>
    <w:rsid w:val="00865D38"/>
    <w:rsid w:val="00874265"/>
    <w:rsid w:val="008840EE"/>
    <w:rsid w:val="00893B1D"/>
    <w:rsid w:val="00894485"/>
    <w:rsid w:val="00895A2A"/>
    <w:rsid w:val="008A3B53"/>
    <w:rsid w:val="008B032B"/>
    <w:rsid w:val="008B1F5A"/>
    <w:rsid w:val="008B43D6"/>
    <w:rsid w:val="008C0EA3"/>
    <w:rsid w:val="008C1F58"/>
    <w:rsid w:val="008C4666"/>
    <w:rsid w:val="008D0DC0"/>
    <w:rsid w:val="008D129A"/>
    <w:rsid w:val="008D5B53"/>
    <w:rsid w:val="008E12AE"/>
    <w:rsid w:val="008E27F1"/>
    <w:rsid w:val="008E602B"/>
    <w:rsid w:val="008F312B"/>
    <w:rsid w:val="008F5A8F"/>
    <w:rsid w:val="009009D0"/>
    <w:rsid w:val="00902B68"/>
    <w:rsid w:val="00903CAA"/>
    <w:rsid w:val="00912344"/>
    <w:rsid w:val="009156D2"/>
    <w:rsid w:val="0092134D"/>
    <w:rsid w:val="00931BDB"/>
    <w:rsid w:val="00936037"/>
    <w:rsid w:val="00944D67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4EDD"/>
    <w:rsid w:val="00997375"/>
    <w:rsid w:val="009B20BD"/>
    <w:rsid w:val="009B61A1"/>
    <w:rsid w:val="009C0EAF"/>
    <w:rsid w:val="009C1F87"/>
    <w:rsid w:val="009C4947"/>
    <w:rsid w:val="009C67C5"/>
    <w:rsid w:val="009E7EE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5BE6"/>
    <w:rsid w:val="00A36752"/>
    <w:rsid w:val="00A37976"/>
    <w:rsid w:val="00A42745"/>
    <w:rsid w:val="00A43B1C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13000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3270"/>
    <w:rsid w:val="00B64400"/>
    <w:rsid w:val="00B65228"/>
    <w:rsid w:val="00B70CD9"/>
    <w:rsid w:val="00B71319"/>
    <w:rsid w:val="00B714B7"/>
    <w:rsid w:val="00B82E71"/>
    <w:rsid w:val="00B83493"/>
    <w:rsid w:val="00B940DD"/>
    <w:rsid w:val="00B95847"/>
    <w:rsid w:val="00B966ED"/>
    <w:rsid w:val="00BA0611"/>
    <w:rsid w:val="00BA268A"/>
    <w:rsid w:val="00BA3D8F"/>
    <w:rsid w:val="00BA65A5"/>
    <w:rsid w:val="00BB6A0B"/>
    <w:rsid w:val="00BB756B"/>
    <w:rsid w:val="00BC15E4"/>
    <w:rsid w:val="00BD1A05"/>
    <w:rsid w:val="00BD1B80"/>
    <w:rsid w:val="00BE335A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46E39"/>
    <w:rsid w:val="00C53387"/>
    <w:rsid w:val="00C546B7"/>
    <w:rsid w:val="00C56ED2"/>
    <w:rsid w:val="00C6623A"/>
    <w:rsid w:val="00C673E2"/>
    <w:rsid w:val="00C70B6C"/>
    <w:rsid w:val="00C74089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B137C"/>
    <w:rsid w:val="00CB4E54"/>
    <w:rsid w:val="00CB6AA7"/>
    <w:rsid w:val="00CC215D"/>
    <w:rsid w:val="00CC3F2F"/>
    <w:rsid w:val="00CC602E"/>
    <w:rsid w:val="00CC62E0"/>
    <w:rsid w:val="00CD0EB5"/>
    <w:rsid w:val="00CD6D27"/>
    <w:rsid w:val="00CD6F65"/>
    <w:rsid w:val="00CE16E0"/>
    <w:rsid w:val="00CF5581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62AA3"/>
    <w:rsid w:val="00D62DF9"/>
    <w:rsid w:val="00D67274"/>
    <w:rsid w:val="00D77566"/>
    <w:rsid w:val="00D90DB4"/>
    <w:rsid w:val="00D94283"/>
    <w:rsid w:val="00D96774"/>
    <w:rsid w:val="00DA371A"/>
    <w:rsid w:val="00DA39C5"/>
    <w:rsid w:val="00DA621C"/>
    <w:rsid w:val="00DB3842"/>
    <w:rsid w:val="00DB4896"/>
    <w:rsid w:val="00DB5A55"/>
    <w:rsid w:val="00DB6227"/>
    <w:rsid w:val="00DB625D"/>
    <w:rsid w:val="00DB783D"/>
    <w:rsid w:val="00DC05C1"/>
    <w:rsid w:val="00DC5762"/>
    <w:rsid w:val="00DE1DED"/>
    <w:rsid w:val="00DE264C"/>
    <w:rsid w:val="00DE5628"/>
    <w:rsid w:val="00DE6AD2"/>
    <w:rsid w:val="00DE6E1C"/>
    <w:rsid w:val="00E008D5"/>
    <w:rsid w:val="00E03491"/>
    <w:rsid w:val="00E04753"/>
    <w:rsid w:val="00E0544B"/>
    <w:rsid w:val="00E12C39"/>
    <w:rsid w:val="00E13871"/>
    <w:rsid w:val="00E16A37"/>
    <w:rsid w:val="00E33896"/>
    <w:rsid w:val="00E33FB4"/>
    <w:rsid w:val="00E35802"/>
    <w:rsid w:val="00E36FE2"/>
    <w:rsid w:val="00E51F41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A023E"/>
    <w:rsid w:val="00EA0EBF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F03412"/>
    <w:rsid w:val="00F0495C"/>
    <w:rsid w:val="00F11FE7"/>
    <w:rsid w:val="00F142BF"/>
    <w:rsid w:val="00F1508D"/>
    <w:rsid w:val="00F30F6D"/>
    <w:rsid w:val="00F336F6"/>
    <w:rsid w:val="00F35860"/>
    <w:rsid w:val="00F36C1D"/>
    <w:rsid w:val="00F40E54"/>
    <w:rsid w:val="00F42C01"/>
    <w:rsid w:val="00F45261"/>
    <w:rsid w:val="00F5243D"/>
    <w:rsid w:val="00F52820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3929"/>
    <w:rsid w:val="00FB5E70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7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uiPriority="0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96F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282FD0"/>
    <w:pPr>
      <w:tabs>
        <w:tab w:val="center" w:pos="432"/>
        <w:tab w:val="left" w:pos="1008"/>
        <w:tab w:val="right" w:leader="dot" w:pos="9360"/>
      </w:tabs>
      <w:spacing w:after="240"/>
      <w:ind w:left="1008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ParagraphLAST">
    <w:name w:val="Paragraph (LAST)"/>
    <w:basedOn w:val="Normal"/>
    <w:next w:val="Normal"/>
    <w:qFormat/>
    <w:rsid w:val="00DB6227"/>
    <w:pPr>
      <w:spacing w:after="240"/>
    </w:pPr>
  </w:style>
  <w:style w:type="paragraph" w:styleId="TOC2">
    <w:name w:val="toc 2"/>
    <w:next w:val="Normal"/>
    <w:autoRedefine/>
    <w:qFormat/>
    <w:rsid w:val="007959C1"/>
    <w:pPr>
      <w:tabs>
        <w:tab w:val="left" w:pos="1008"/>
        <w:tab w:val="left" w:pos="1440"/>
        <w:tab w:val="right" w:leader="dot" w:pos="9360"/>
      </w:tabs>
      <w:spacing w:after="240"/>
      <w:ind w:left="1440" w:right="475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282FD0"/>
    <w:pPr>
      <w:tabs>
        <w:tab w:val="left" w:pos="1915"/>
        <w:tab w:val="right" w:leader="dot" w:pos="9360"/>
      </w:tabs>
      <w:ind w:left="1915" w:right="475" w:hanging="475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5A19C0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A61A2C"/>
    <w:pPr>
      <w:tabs>
        <w:tab w:val="clear" w:pos="432"/>
        <w:tab w:val="left" w:pos="1440"/>
        <w:tab w:val="right" w:leader="dot" w:pos="9346"/>
      </w:tabs>
      <w:spacing w:after="240" w:line="240" w:lineRule="auto"/>
      <w:ind w:left="1440" w:hanging="1440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E466A"/>
    <w:pPr>
      <w:spacing w:after="360"/>
    </w:pPr>
  </w:style>
  <w:style w:type="paragraph" w:customStyle="1" w:styleId="BulletRedLastDS">
    <w:name w:val="Bullet_Red (Last DS)"/>
    <w:basedOn w:val="BulletRedLastSS"/>
    <w:next w:val="Normal"/>
    <w:qFormat/>
    <w:rsid w:val="001E466A"/>
    <w:pPr>
      <w:spacing w:after="360"/>
    </w:pPr>
  </w:style>
  <w:style w:type="paragraph" w:customStyle="1" w:styleId="BulletBlueLastDS">
    <w:name w:val="Bullet_Blue (Last DS)"/>
    <w:basedOn w:val="BulletBlackLastDS"/>
    <w:next w:val="Normal"/>
    <w:qFormat/>
    <w:rsid w:val="00C2452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637A61"/>
  </w:style>
  <w:style w:type="paragraph" w:customStyle="1" w:styleId="Heading2RedNoTOC">
    <w:name w:val="Heading 2_Red No TOC"/>
    <w:basedOn w:val="Heading2Red"/>
    <w:next w:val="Normal"/>
    <w:qFormat/>
    <w:rsid w:val="00637A61"/>
  </w:style>
  <w:style w:type="paragraph" w:customStyle="1" w:styleId="Heading2BlueNoTOC">
    <w:name w:val="Heading 2_Blue No TOC"/>
    <w:basedOn w:val="Heading2Blue"/>
    <w:next w:val="Normal"/>
    <w:qFormat/>
    <w:rsid w:val="00637A61"/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4F49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264716"/>
    <w:pPr>
      <w:spacing w:after="36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12</TotalTime>
  <Pages>4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APPENDIX F</vt:lpstr>
      <vt:lpstr>RESPONDENT ADVANCE LETTER-BASELINE TELEPHONE SURVEY </vt:lpstr>
    </vt:vector>
  </TitlesOfParts>
  <Company>Mathematica, Inc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Hallisey</dc:creator>
  <cp:keywords/>
  <dc:description/>
  <cp:lastModifiedBy>JMabli</cp:lastModifiedBy>
  <cp:revision>8</cp:revision>
  <cp:lastPrinted>2001-03-07T19:36:00Z</cp:lastPrinted>
  <dcterms:created xsi:type="dcterms:W3CDTF">2011-03-08T14:33:00Z</dcterms:created>
  <dcterms:modified xsi:type="dcterms:W3CDTF">2011-05-11T18:37:00Z</dcterms:modified>
</cp:coreProperties>
</file>