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D43EAA" w:rsidRDefault="00C90273" w:rsidP="004939F7">
      <w:pPr>
        <w:jc w:val="center"/>
        <w:rPr>
          <w:b/>
        </w:rPr>
      </w:pPr>
      <w:r>
        <w:rPr>
          <w:b/>
        </w:rPr>
        <w:t xml:space="preserve">Healthcare </w:t>
      </w:r>
      <w:r w:rsidR="00C77773">
        <w:rPr>
          <w:b/>
        </w:rPr>
        <w:t xml:space="preserve">System </w:t>
      </w:r>
      <w:r>
        <w:rPr>
          <w:b/>
        </w:rPr>
        <w:t>Surge Capacity at the Community Level</w:t>
      </w:r>
    </w:p>
    <w:p w:rsidR="004939F7" w:rsidRDefault="00D43EAA" w:rsidP="004939F7">
      <w:pPr>
        <w:jc w:val="center"/>
        <w:rPr>
          <w:b/>
        </w:rPr>
      </w:pPr>
      <w:r>
        <w:rPr>
          <w:b/>
        </w:rPr>
        <w:t xml:space="preserve"> </w:t>
      </w:r>
    </w:p>
    <w:p w:rsidR="004939F7" w:rsidRDefault="00674D42" w:rsidP="004939F7">
      <w:pPr>
        <w:jc w:val="center"/>
        <w:rPr>
          <w:b/>
        </w:rPr>
      </w:pPr>
      <w:r>
        <w:rPr>
          <w:b/>
        </w:rPr>
        <w:t>Supporting Statement B</w:t>
      </w:r>
    </w:p>
    <w:p w:rsidR="00674D42" w:rsidRDefault="00674D42" w:rsidP="004939F7">
      <w:pPr>
        <w:jc w:val="center"/>
        <w:rPr>
          <w:b/>
        </w:rPr>
      </w:pPr>
    </w:p>
    <w:p w:rsidR="004939F7" w:rsidRDefault="004939F7" w:rsidP="004939F7">
      <w:pPr>
        <w:jc w:val="center"/>
        <w:rPr>
          <w:b/>
        </w:rPr>
      </w:pPr>
      <w:r>
        <w:rPr>
          <w:b/>
        </w:rPr>
        <w:t xml:space="preserve">Request for </w:t>
      </w:r>
      <w:r w:rsidR="00C77773">
        <w:rPr>
          <w:b/>
        </w:rPr>
        <w:t>OMB Approval</w:t>
      </w:r>
    </w:p>
    <w:p w:rsidR="004939F7" w:rsidRDefault="003E3C0D" w:rsidP="004939F7">
      <w:pPr>
        <w:jc w:val="center"/>
        <w:rPr>
          <w:b/>
        </w:rPr>
      </w:pPr>
      <w:r>
        <w:rPr>
          <w:b/>
        </w:rPr>
        <w:t xml:space="preserve">March </w:t>
      </w:r>
      <w:r w:rsidR="001E41B8">
        <w:rPr>
          <w:b/>
        </w:rPr>
        <w:t>4</w:t>
      </w:r>
      <w:r w:rsidR="004939F7">
        <w:rPr>
          <w:b/>
        </w:rPr>
        <w:t xml:space="preserve">, </w:t>
      </w:r>
      <w:r w:rsidR="00C90273">
        <w:rPr>
          <w:b/>
        </w:rPr>
        <w:t>201</w:t>
      </w:r>
      <w:r w:rsidR="00804262">
        <w:rPr>
          <w:b/>
        </w:rPr>
        <w:t>1</w:t>
      </w:r>
    </w:p>
    <w:p w:rsidR="004939F7" w:rsidRDefault="004939F7" w:rsidP="004939F7">
      <w:pPr>
        <w:jc w:val="center"/>
        <w:rPr>
          <w:b/>
        </w:rPr>
      </w:pPr>
    </w:p>
    <w:p w:rsidR="004939F7" w:rsidRDefault="004939F7" w:rsidP="004939F7">
      <w:pPr>
        <w:jc w:val="center"/>
        <w:rPr>
          <w:b/>
        </w:rPr>
      </w:pPr>
    </w:p>
    <w:p w:rsidR="004939F7" w:rsidRDefault="004939F7" w:rsidP="004939F7">
      <w:pPr>
        <w:rPr>
          <w:b/>
        </w:rPr>
      </w:pPr>
    </w:p>
    <w:p w:rsidR="004939F7" w:rsidRDefault="004939F7" w:rsidP="004939F7">
      <w:pPr>
        <w:rPr>
          <w:b/>
        </w:rPr>
      </w:pPr>
      <w:r>
        <w:rPr>
          <w:b/>
        </w:rPr>
        <w:t>Contact:</w:t>
      </w:r>
    </w:p>
    <w:p w:rsidR="004939F7" w:rsidRDefault="004939F7" w:rsidP="004939F7">
      <w:pPr>
        <w:rPr>
          <w:b/>
        </w:rPr>
      </w:pPr>
    </w:p>
    <w:p w:rsidR="004939F7" w:rsidRDefault="004939F7" w:rsidP="004939F7">
      <w:pPr>
        <w:rPr>
          <w:b/>
        </w:rPr>
      </w:pPr>
      <w:r>
        <w:rPr>
          <w:b/>
        </w:rPr>
        <w:t>A</w:t>
      </w:r>
      <w:r w:rsidR="00804262">
        <w:rPr>
          <w:b/>
        </w:rPr>
        <w:t>my McMillen</w:t>
      </w:r>
    </w:p>
    <w:p w:rsidR="004939F7" w:rsidRDefault="004939F7" w:rsidP="004939F7">
      <w:pPr>
        <w:rPr>
          <w:b/>
        </w:rPr>
      </w:pPr>
      <w:r>
        <w:rPr>
          <w:b/>
        </w:rPr>
        <w:t xml:space="preserve">National Center for </w:t>
      </w:r>
      <w:r w:rsidR="00804262">
        <w:rPr>
          <w:b/>
        </w:rPr>
        <w:t xml:space="preserve">Emerging and </w:t>
      </w:r>
      <w:proofErr w:type="spellStart"/>
      <w:r w:rsidR="00804262">
        <w:rPr>
          <w:b/>
        </w:rPr>
        <w:t>Zoonotic</w:t>
      </w:r>
      <w:proofErr w:type="spellEnd"/>
      <w:r w:rsidR="00804262">
        <w:rPr>
          <w:b/>
        </w:rPr>
        <w:t xml:space="preserve"> </w:t>
      </w:r>
      <w:r>
        <w:rPr>
          <w:b/>
        </w:rPr>
        <w:t>Infectious Diseases</w:t>
      </w:r>
    </w:p>
    <w:p w:rsidR="004939F7" w:rsidRDefault="004939F7" w:rsidP="004939F7">
      <w:pPr>
        <w:rPr>
          <w:b/>
        </w:rPr>
      </w:pPr>
      <w:r>
        <w:rPr>
          <w:b/>
        </w:rPr>
        <w:t>Centers for Disease Control and Prevention</w:t>
      </w:r>
    </w:p>
    <w:p w:rsidR="004939F7" w:rsidRDefault="00804262" w:rsidP="004939F7">
      <w:pPr>
        <w:rPr>
          <w:b/>
        </w:rPr>
      </w:pPr>
      <w:r>
        <w:rPr>
          <w:b/>
        </w:rPr>
        <w:t>1600 Clifton Road, N.E.</w:t>
      </w:r>
    </w:p>
    <w:p w:rsidR="004939F7" w:rsidRDefault="004939F7" w:rsidP="004939F7">
      <w:pPr>
        <w:rPr>
          <w:b/>
        </w:rPr>
      </w:pPr>
      <w:r>
        <w:rPr>
          <w:b/>
        </w:rPr>
        <w:t>Atlanta, Georgia 30333</w:t>
      </w:r>
    </w:p>
    <w:p w:rsidR="004939F7" w:rsidRDefault="004939F7" w:rsidP="004939F7">
      <w:pPr>
        <w:rPr>
          <w:b/>
        </w:rPr>
      </w:pPr>
      <w:r>
        <w:rPr>
          <w:b/>
        </w:rPr>
        <w:t>Phone: (404) 639-104</w:t>
      </w:r>
      <w:r w:rsidR="00804262">
        <w:rPr>
          <w:b/>
        </w:rPr>
        <w:t>5</w:t>
      </w:r>
    </w:p>
    <w:p w:rsidR="004939F7" w:rsidRDefault="004939F7" w:rsidP="004939F7">
      <w:pPr>
        <w:rPr>
          <w:b/>
        </w:rPr>
      </w:pPr>
      <w:r>
        <w:rPr>
          <w:b/>
        </w:rPr>
        <w:t>Fax: (404) 639-3039</w:t>
      </w:r>
    </w:p>
    <w:p w:rsidR="004939F7" w:rsidRDefault="004939F7" w:rsidP="004939F7">
      <w:pPr>
        <w:rPr>
          <w:b/>
        </w:rPr>
      </w:pPr>
      <w:r>
        <w:rPr>
          <w:b/>
        </w:rPr>
        <w:t xml:space="preserve">Email: </w:t>
      </w:r>
      <w:hyperlink r:id="rId7" w:history="1">
        <w:r w:rsidR="00804262" w:rsidRPr="00473E42">
          <w:rPr>
            <w:rStyle w:val="Hyperlink"/>
            <w:b/>
          </w:rPr>
          <w:t>amcmillen@cdc.gov</w:t>
        </w:r>
      </w:hyperlink>
    </w:p>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Pr>
        <w:jc w:val="center"/>
        <w:rPr>
          <w:b/>
        </w:rPr>
      </w:pPr>
    </w:p>
    <w:p w:rsidR="004939F7" w:rsidRDefault="004939F7" w:rsidP="004939F7">
      <w:pPr>
        <w:jc w:val="center"/>
      </w:pPr>
    </w:p>
    <w:p w:rsidR="004939F7" w:rsidRPr="00804262" w:rsidRDefault="00804262" w:rsidP="004939F7">
      <w:pPr>
        <w:jc w:val="center"/>
        <w:rPr>
          <w:b/>
        </w:rPr>
      </w:pPr>
      <w:r w:rsidRPr="00804262">
        <w:rPr>
          <w:b/>
        </w:rPr>
        <w:t xml:space="preserve">Healthcare </w:t>
      </w:r>
      <w:r w:rsidR="00C77773">
        <w:rPr>
          <w:b/>
        </w:rPr>
        <w:t xml:space="preserve">System </w:t>
      </w:r>
      <w:r w:rsidRPr="00804262">
        <w:rPr>
          <w:b/>
        </w:rPr>
        <w:t>Surge Capacity at the Community Level</w:t>
      </w:r>
    </w:p>
    <w:p w:rsidR="00564694" w:rsidRDefault="00564694" w:rsidP="004939F7"/>
    <w:p w:rsidR="00564694" w:rsidRDefault="00564694" w:rsidP="004939F7">
      <w:r>
        <w:rPr>
          <w:b/>
          <w:u w:val="single"/>
        </w:rPr>
        <w:t>B. Collections of Information Employing Statistical Methods</w:t>
      </w:r>
    </w:p>
    <w:p w:rsidR="00181EAF" w:rsidRPr="00181EAF" w:rsidRDefault="00181EAF" w:rsidP="00181EAF">
      <w:pPr>
        <w:pStyle w:val="HeadingOMB1"/>
        <w:spacing w:after="0"/>
        <w:rPr>
          <w:rFonts w:ascii="Times New Roman" w:hAnsi="Times New Roman"/>
          <w:i/>
        </w:rPr>
      </w:pPr>
      <w:bookmarkStart w:id="0" w:name="_Toc230760768"/>
      <w:r w:rsidRPr="00181EAF">
        <w:rPr>
          <w:rFonts w:ascii="Times New Roman" w:hAnsi="Times New Roman"/>
          <w:i/>
        </w:rPr>
        <w:t>1. Respondent Universe and Sampling Methods</w:t>
      </w:r>
      <w:bookmarkEnd w:id="0"/>
    </w:p>
    <w:p w:rsidR="00181EAF" w:rsidRPr="00AE2194" w:rsidRDefault="00181EAF" w:rsidP="00181EAF">
      <w:r w:rsidRPr="00AE2194">
        <w:t>This proposed research will use a purposive sample, therefore study findings cannot be statistically generaliz</w:t>
      </w:r>
      <w:r w:rsidR="00DE2D97">
        <w:t xml:space="preserve">ed to the respondent universe. </w:t>
      </w:r>
      <w:r w:rsidRPr="00AE2194">
        <w:t xml:space="preserve">However, the lessons learned from this qualitative research will inform strategies to promote the </w:t>
      </w:r>
      <w:r w:rsidR="00DE2D97">
        <w:t>establis</w:t>
      </w:r>
      <w:r w:rsidR="00FB3259">
        <w:t>h</w:t>
      </w:r>
      <w:r w:rsidR="00DE2D97">
        <w:t xml:space="preserve">ment of community collaborations </w:t>
      </w:r>
      <w:r w:rsidRPr="00AE2194">
        <w:t xml:space="preserve">being developed by </w:t>
      </w:r>
      <w:r w:rsidR="00DE2D97">
        <w:t>CDC</w:t>
      </w:r>
      <w:r w:rsidRPr="00AE2194">
        <w:t xml:space="preserve"> and other Department of Heal</w:t>
      </w:r>
      <w:r w:rsidR="00DE2D97">
        <w:t>th and Human Services agencies</w:t>
      </w:r>
      <w:r w:rsidRPr="00AE2194">
        <w:t>, as well as state and local governments and private health care organizations.</w:t>
      </w:r>
    </w:p>
    <w:p w:rsidR="00181EAF" w:rsidRDefault="00181EAF" w:rsidP="00181EAF"/>
    <w:p w:rsidR="00181EAF" w:rsidRPr="00A8496A" w:rsidRDefault="00181EAF" w:rsidP="00181EAF">
      <w:r w:rsidRPr="00FE3B07">
        <w:t>The</w:t>
      </w:r>
      <w:r>
        <w:t xml:space="preserve"> key units of observation for the proposed qualitative study are </w:t>
      </w:r>
      <w:r w:rsidR="00FB3259">
        <w:t xml:space="preserve">emergency </w:t>
      </w:r>
      <w:r w:rsidR="002C4ECB">
        <w:t>practitioner</w:t>
      </w:r>
      <w:r w:rsidR="00FB3259">
        <w:t xml:space="preserve"> leaders, community-based </w:t>
      </w:r>
      <w:r w:rsidR="002C4ECB">
        <w:t>practitioner</w:t>
      </w:r>
      <w:r w:rsidR="00FB3259">
        <w:t xml:space="preserve"> leaders, and preparedness experts in ten communities representing all geographic regions of the US and including large cities, midsize cities and rural areas.</w:t>
      </w:r>
      <w:r>
        <w:t xml:space="preserve"> </w:t>
      </w:r>
      <w:r w:rsidR="00E039FF">
        <w:t xml:space="preserve">HSC and CDC </w:t>
      </w:r>
      <w:r w:rsidRPr="0037460D">
        <w:rPr>
          <w:color w:val="000000"/>
        </w:rPr>
        <w:t xml:space="preserve">expect to invite approximately </w:t>
      </w:r>
      <w:r w:rsidR="00FB3259">
        <w:rPr>
          <w:color w:val="000000"/>
        </w:rPr>
        <w:t>100</w:t>
      </w:r>
      <w:r w:rsidRPr="0037460D">
        <w:rPr>
          <w:color w:val="000000"/>
        </w:rPr>
        <w:t xml:space="preserve"> </w:t>
      </w:r>
      <w:r w:rsidR="00FB3259">
        <w:rPr>
          <w:color w:val="000000"/>
        </w:rPr>
        <w:t>respondents</w:t>
      </w:r>
      <w:r w:rsidRPr="0037460D">
        <w:rPr>
          <w:color w:val="000000"/>
        </w:rPr>
        <w:t xml:space="preserve"> in order to identify </w:t>
      </w:r>
      <w:r w:rsidR="00FB3259">
        <w:rPr>
          <w:color w:val="000000"/>
        </w:rPr>
        <w:t>63 respondents</w:t>
      </w:r>
      <w:r w:rsidRPr="0037460D">
        <w:rPr>
          <w:color w:val="000000"/>
        </w:rPr>
        <w:t xml:space="preserve"> willing to participate. These </w:t>
      </w:r>
      <w:r w:rsidR="00FB3259">
        <w:rPr>
          <w:color w:val="000000"/>
        </w:rPr>
        <w:t>63</w:t>
      </w:r>
      <w:r>
        <w:rPr>
          <w:color w:val="000000"/>
        </w:rPr>
        <w:t xml:space="preserve"> </w:t>
      </w:r>
      <w:r w:rsidR="00FB3259">
        <w:rPr>
          <w:color w:val="000000"/>
        </w:rPr>
        <w:t>respondents</w:t>
      </w:r>
      <w:r>
        <w:rPr>
          <w:color w:val="000000"/>
        </w:rPr>
        <w:t xml:space="preserve"> will</w:t>
      </w:r>
      <w:r w:rsidRPr="0037460D">
        <w:rPr>
          <w:color w:val="000000"/>
        </w:rPr>
        <w:t xml:space="preserve"> include </w:t>
      </w:r>
      <w:r w:rsidR="00FB3259">
        <w:rPr>
          <w:color w:val="000000"/>
        </w:rPr>
        <w:t>ten emergency</w:t>
      </w:r>
      <w:r w:rsidR="008F23AF">
        <w:rPr>
          <w:color w:val="000000"/>
        </w:rPr>
        <w:t xml:space="preserve"> </w:t>
      </w:r>
      <w:r w:rsidR="002C4ECB">
        <w:rPr>
          <w:color w:val="000000"/>
        </w:rPr>
        <w:t>practitioner</w:t>
      </w:r>
      <w:r w:rsidR="008F23AF">
        <w:rPr>
          <w:color w:val="000000"/>
        </w:rPr>
        <w:t xml:space="preserve"> leaders working at safety-net hospitals, ten emergency </w:t>
      </w:r>
      <w:r w:rsidR="002C4ECB">
        <w:rPr>
          <w:color w:val="000000"/>
        </w:rPr>
        <w:t>practitioner</w:t>
      </w:r>
      <w:r w:rsidR="008F23AF">
        <w:rPr>
          <w:color w:val="000000"/>
        </w:rPr>
        <w:t xml:space="preserve"> leaders working at hospitals that do not have safety-net missions, ten primary care leaders representing large practices and ten primary care leaders representing small practices (</w:t>
      </w:r>
      <w:r w:rsidR="00157E73">
        <w:rPr>
          <w:color w:val="000000"/>
        </w:rPr>
        <w:t xml:space="preserve">the </w:t>
      </w:r>
      <w:r w:rsidR="006A1032">
        <w:rPr>
          <w:color w:val="000000"/>
        </w:rPr>
        <w:t>2008 HSC Health Tracking Physician Survey</w:t>
      </w:r>
      <w:r w:rsidR="00157E73">
        <w:rPr>
          <w:color w:val="000000"/>
        </w:rPr>
        <w:t xml:space="preserve"> found the median primary</w:t>
      </w:r>
      <w:r w:rsidR="00963B41">
        <w:rPr>
          <w:color w:val="000000"/>
        </w:rPr>
        <w:t xml:space="preserve"> </w:t>
      </w:r>
      <w:r w:rsidR="00157E73">
        <w:rPr>
          <w:color w:val="000000"/>
        </w:rPr>
        <w:t>care physician worked in a practice of four physicians, so</w:t>
      </w:r>
      <w:r w:rsidR="008F23AF">
        <w:rPr>
          <w:color w:val="000000"/>
        </w:rPr>
        <w:t xml:space="preserve"> </w:t>
      </w:r>
      <w:r w:rsidR="00157E73">
        <w:rPr>
          <w:color w:val="000000"/>
        </w:rPr>
        <w:t xml:space="preserve">small primary care practices will be defined as practices with fewer than </w:t>
      </w:r>
      <w:r w:rsidR="00E039FF">
        <w:rPr>
          <w:color w:val="000000"/>
        </w:rPr>
        <w:t>four</w:t>
      </w:r>
      <w:r w:rsidR="00157E73">
        <w:rPr>
          <w:color w:val="000000"/>
        </w:rPr>
        <w:t xml:space="preserve"> physicians</w:t>
      </w:r>
      <w:r w:rsidR="00945223">
        <w:rPr>
          <w:color w:val="000000"/>
        </w:rPr>
        <w:t>)</w:t>
      </w:r>
      <w:r w:rsidR="008F23AF">
        <w:rPr>
          <w:color w:val="000000"/>
        </w:rPr>
        <w:t xml:space="preserve">, </w:t>
      </w:r>
      <w:r w:rsidR="00FB3259">
        <w:rPr>
          <w:color w:val="000000"/>
        </w:rPr>
        <w:t xml:space="preserve"> </w:t>
      </w:r>
      <w:r w:rsidR="00945223">
        <w:rPr>
          <w:color w:val="000000"/>
        </w:rPr>
        <w:t>ten preparedness experts representing local or county government and ten preparedness efforts representing community-based associations or coalitions</w:t>
      </w:r>
      <w:r w:rsidRPr="0037460D">
        <w:rPr>
          <w:color w:val="000000"/>
        </w:rPr>
        <w:t>.</w:t>
      </w:r>
    </w:p>
    <w:p w:rsidR="00181EAF" w:rsidRDefault="00181EAF" w:rsidP="00181EAF"/>
    <w:p w:rsidR="00DE2D97" w:rsidRPr="001A0710" w:rsidRDefault="00DE2D97" w:rsidP="00DE2D97">
      <w:pPr>
        <w:rPr>
          <w:b/>
          <w:u w:val="single"/>
        </w:rPr>
      </w:pPr>
      <w:r w:rsidRPr="001A0710">
        <w:rPr>
          <w:b/>
          <w:u w:val="single"/>
        </w:rPr>
        <w:t>Study sites</w:t>
      </w:r>
    </w:p>
    <w:p w:rsidR="00DE2D97" w:rsidRDefault="00DE2D97" w:rsidP="00DE2D97">
      <w:r>
        <w:t>Initial CTS study sites were selected randomly to be nationally representative of communities with populations over 200,000. CTS sites used for this study include: Boston, MA; Greenville, SC; Indianapolis, IN; Miami, FL; Orange County, CA; Phoenix, AZ; Seattle, WA; and Syracuse, NY</w:t>
      </w:r>
      <w:r w:rsidR="00963B41">
        <w:t>.</w:t>
      </w:r>
      <w:r>
        <w:t xml:space="preserve"> The two additional sites are New York City, NY and Chicago, IL. The rationale for site selection was as follows:</w:t>
      </w:r>
    </w:p>
    <w:p w:rsidR="0054184A" w:rsidRDefault="0054184A" w:rsidP="00DE2D97"/>
    <w:p w:rsidR="00DE2D97" w:rsidRPr="00D9225E" w:rsidRDefault="00DE2D97" w:rsidP="00DE2D97">
      <w:pPr>
        <w:rPr>
          <w:u w:val="single"/>
        </w:rPr>
      </w:pPr>
      <w:r w:rsidRPr="00D9225E">
        <w:rPr>
          <w:u w:val="single"/>
        </w:rPr>
        <w:t>Core sites</w:t>
      </w:r>
    </w:p>
    <w:p w:rsidR="00DE2D97" w:rsidRDefault="00DE2D97" w:rsidP="00DE2D97">
      <w:r>
        <w:t xml:space="preserve">Six CTS sites (Boston, Greenville, Phoenix, Seattle, Orange County, </w:t>
      </w:r>
      <w:proofErr w:type="gramStart"/>
      <w:r>
        <w:t>Miami</w:t>
      </w:r>
      <w:proofErr w:type="gramEnd"/>
      <w:r>
        <w:t xml:space="preserve">) were previously studied in the HSC Issue Brief </w:t>
      </w:r>
      <w:r w:rsidRPr="00500CA6">
        <w:rPr>
          <w:i/>
        </w:rPr>
        <w:t>Developing Health System Surge Capacity: Community Efforts in Jeopardy</w:t>
      </w:r>
      <w:r>
        <w:t xml:space="preserve"> because of their efforts on surge capacity. This study gathered extensive information about community efforts in preparing for disasters, although collaboration was not a specific focus. Our findings will build on the work done in the earlier Issue Brief, allowing us to focus more efficiently on the specific impact of collaboration among private-sector entities and between private and public sectors.</w:t>
      </w:r>
    </w:p>
    <w:p w:rsidR="0054184A" w:rsidRDefault="0054184A" w:rsidP="00DE2D97">
      <w:pPr>
        <w:rPr>
          <w:u w:val="single"/>
        </w:rPr>
      </w:pPr>
    </w:p>
    <w:p w:rsidR="00DE2D97" w:rsidRPr="00D9225E" w:rsidRDefault="00DE2D97" w:rsidP="00DE2D97">
      <w:pPr>
        <w:rPr>
          <w:u w:val="single"/>
        </w:rPr>
      </w:pPr>
      <w:r w:rsidRPr="00D9225E">
        <w:rPr>
          <w:u w:val="single"/>
        </w:rPr>
        <w:t>Additional sites</w:t>
      </w:r>
    </w:p>
    <w:p w:rsidR="00DE2D97" w:rsidRPr="00B552D9" w:rsidRDefault="00DE2D97" w:rsidP="00DE2D97">
      <w:r>
        <w:t xml:space="preserve">In order to include other regions of the country several additional sites were added.  New York City (not a CTS site), which was also included in </w:t>
      </w:r>
      <w:r w:rsidRPr="00500CA6">
        <w:rPr>
          <w:i/>
        </w:rPr>
        <w:t xml:space="preserve">Developing Health System Surge </w:t>
      </w:r>
      <w:r w:rsidRPr="00500CA6">
        <w:rPr>
          <w:i/>
        </w:rPr>
        <w:lastRenderedPageBreak/>
        <w:t>Capacity: Community Efforts in Jeopardy</w:t>
      </w:r>
      <w:r>
        <w:rPr>
          <w:i/>
        </w:rPr>
        <w:t xml:space="preserve"> </w:t>
      </w:r>
      <w:r>
        <w:t>because of its significant investment in preparedness</w:t>
      </w:r>
      <w:r>
        <w:rPr>
          <w:i/>
        </w:rPr>
        <w:t xml:space="preserve">. </w:t>
      </w:r>
      <w:r>
        <w:t xml:space="preserve"> </w:t>
      </w:r>
    </w:p>
    <w:p w:rsidR="00DE2D97" w:rsidRDefault="00DE2D97" w:rsidP="00DE2D97">
      <w:r>
        <w:t>Indianapolis (CTS site) and Chicago (not a CTS site) were added to the sites in order to include more Midwestern region representation.  Interviews in these communities will probe on the effects of CDC activities, if any. The Syracuse (CTS site) was added to include more rural respondents in the study.</w:t>
      </w:r>
    </w:p>
    <w:p w:rsidR="00181EAF" w:rsidRDefault="00181EAF" w:rsidP="00181EAF"/>
    <w:p w:rsidR="00181EAF" w:rsidRDefault="00945223" w:rsidP="00181EAF">
      <w:r>
        <w:t xml:space="preserve">Eligible </w:t>
      </w:r>
      <w:r w:rsidR="002C4ECB">
        <w:t>practitioner</w:t>
      </w:r>
      <w:r>
        <w:t xml:space="preserve">s </w:t>
      </w:r>
      <w:r w:rsidR="00181EAF">
        <w:t xml:space="preserve">in the CTS communities will be identified from three sources: (1) </w:t>
      </w:r>
      <w:r>
        <w:t>practitioners</w:t>
      </w:r>
      <w:r w:rsidR="00181EAF">
        <w:t xml:space="preserve"> identified as </w:t>
      </w:r>
      <w:r>
        <w:t>leaders by</w:t>
      </w:r>
      <w:r w:rsidR="00181EAF">
        <w:t xml:space="preserve"> current CTS site visit contacts; (2) </w:t>
      </w:r>
      <w:r>
        <w:t>media reports and publicly available documents describing each community’s response to H1N1</w:t>
      </w:r>
      <w:r w:rsidR="00181EAF">
        <w:t>; and,</w:t>
      </w:r>
      <w:r w:rsidR="00172DB9">
        <w:t xml:space="preserve"> (3) other practices and preparedness experts </w:t>
      </w:r>
      <w:r w:rsidR="00181EAF">
        <w:t xml:space="preserve">participating in the study. </w:t>
      </w:r>
      <w:r w:rsidR="002C4ECB">
        <w:t>P</w:t>
      </w:r>
      <w:r w:rsidR="00181EAF">
        <w:t xml:space="preserve">ractices will be selected for the study purposively from among eligible practices to vary in size and specialty. </w:t>
      </w:r>
    </w:p>
    <w:p w:rsidR="00181EAF" w:rsidRDefault="00181EAF" w:rsidP="00181EAF"/>
    <w:p w:rsidR="00181EAF" w:rsidRDefault="00181EAF" w:rsidP="00181EAF">
      <w:r w:rsidRPr="00CF2E24">
        <w:t>Exhibit 5 identifies</w:t>
      </w:r>
      <w:r>
        <w:t xml:space="preserve"> the individual respondent types within each type of organization and outlines the total numbers of individual respondent interviews and respondent organizations in each category. </w:t>
      </w:r>
    </w:p>
    <w:p w:rsidR="00172DB9" w:rsidRDefault="00172DB9" w:rsidP="00181EAF"/>
    <w:p w:rsidR="00181EAF" w:rsidRDefault="00181EAF" w:rsidP="00181EAF">
      <w:pPr>
        <w:rPr>
          <w:b/>
        </w:rPr>
      </w:pPr>
      <w:proofErr w:type="gramStart"/>
      <w:r w:rsidRPr="00CF2E24">
        <w:rPr>
          <w:b/>
        </w:rPr>
        <w:t>Exhibit 5.</w:t>
      </w:r>
      <w:proofErr w:type="gramEnd"/>
      <w:r w:rsidRPr="00CF2E24">
        <w:rPr>
          <w:b/>
        </w:rPr>
        <w:t xml:space="preserve"> Target Respondent Organizations and Individual Respondent Types</w:t>
      </w:r>
    </w:p>
    <w:p w:rsidR="00172DB9" w:rsidRDefault="00172DB9" w:rsidP="00181EAF">
      <w:pPr>
        <w:rPr>
          <w:b/>
        </w:rPr>
      </w:pPr>
    </w:p>
    <w:p w:rsidR="00172DB9" w:rsidRPr="00A46FBF" w:rsidRDefault="00172DB9" w:rsidP="00172DB9">
      <w:pPr>
        <w:contextualSpacing/>
        <w:rPr>
          <w:b/>
        </w:rPr>
      </w:pPr>
      <w:r w:rsidRPr="00A46FBF">
        <w:rPr>
          <w:b/>
        </w:rPr>
        <w:t xml:space="preserve">Sampling: </w:t>
      </w:r>
      <w:r w:rsidRPr="002902C4">
        <w:t>The sample population is targeted to include at least 63 respondents identified through medical societies and local or state health departments. This purposive sampling approach has been useful in the past in identifying informative interview subjects and/or those most familiar with the topic of study.</w:t>
      </w:r>
      <w:r>
        <w:rPr>
          <w:b/>
        </w:rPr>
        <w:t xml:space="preserve">   </w:t>
      </w:r>
    </w:p>
    <w:p w:rsidR="00172DB9" w:rsidRDefault="00172DB9" w:rsidP="00172DB9">
      <w:pPr>
        <w:contextualSpacing/>
      </w:pPr>
    </w:p>
    <w:p w:rsidR="00172DB9" w:rsidRDefault="00172DB9" w:rsidP="00172DB9">
      <w:pPr>
        <w:contextualSpacing/>
      </w:pPr>
    </w:p>
    <w:p w:rsidR="00172DB9" w:rsidRPr="00A46FBF" w:rsidRDefault="00172DB9" w:rsidP="00172DB9">
      <w:pPr>
        <w:contextualSpacing/>
        <w:rPr>
          <w:b/>
        </w:rPr>
      </w:pPr>
      <w:r w:rsidRPr="00A46FBF">
        <w:rPr>
          <w:b/>
        </w:rPr>
        <w:t>Estimated number of participants:</w:t>
      </w:r>
    </w:p>
    <w:p w:rsidR="00172DB9" w:rsidRDefault="00172DB9" w:rsidP="00172DB9">
      <w:pPr>
        <w:contextualSpacing/>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2"/>
        <w:gridCol w:w="2656"/>
        <w:gridCol w:w="1851"/>
        <w:gridCol w:w="1967"/>
      </w:tblGrid>
      <w:tr w:rsidR="00172DB9" w:rsidRPr="006047FD" w:rsidTr="00172DB9">
        <w:tc>
          <w:tcPr>
            <w:tcW w:w="2394" w:type="dxa"/>
          </w:tcPr>
          <w:p w:rsidR="00172DB9" w:rsidRPr="006047FD" w:rsidRDefault="00172DB9" w:rsidP="00172DB9">
            <w:pPr>
              <w:rPr>
                <w:b/>
              </w:rPr>
            </w:pPr>
            <w:r w:rsidRPr="006047FD">
              <w:rPr>
                <w:b/>
              </w:rPr>
              <w:t>Organization Type</w:t>
            </w:r>
          </w:p>
        </w:tc>
        <w:tc>
          <w:tcPr>
            <w:tcW w:w="2552" w:type="dxa"/>
          </w:tcPr>
          <w:p w:rsidR="00172DB9" w:rsidRPr="006047FD" w:rsidRDefault="00172DB9" w:rsidP="00172DB9">
            <w:pPr>
              <w:rPr>
                <w:b/>
              </w:rPr>
            </w:pPr>
            <w:r w:rsidRPr="006047FD">
              <w:rPr>
                <w:b/>
              </w:rPr>
              <w:t>Respondent Type</w:t>
            </w:r>
          </w:p>
        </w:tc>
        <w:tc>
          <w:tcPr>
            <w:tcW w:w="2394" w:type="dxa"/>
          </w:tcPr>
          <w:p w:rsidR="00172DB9" w:rsidRPr="006047FD" w:rsidRDefault="00172DB9" w:rsidP="00172DB9">
            <w:pPr>
              <w:rPr>
                <w:b/>
              </w:rPr>
            </w:pPr>
            <w:r w:rsidRPr="006047FD">
              <w:rPr>
                <w:b/>
              </w:rPr>
              <w:t>Interview Length</w:t>
            </w:r>
          </w:p>
        </w:tc>
        <w:tc>
          <w:tcPr>
            <w:tcW w:w="2394" w:type="dxa"/>
          </w:tcPr>
          <w:p w:rsidR="00172DB9" w:rsidRPr="006047FD" w:rsidRDefault="00172DB9" w:rsidP="00172DB9">
            <w:pPr>
              <w:rPr>
                <w:b/>
              </w:rPr>
            </w:pPr>
            <w:r w:rsidRPr="006047FD">
              <w:rPr>
                <w:b/>
              </w:rPr>
              <w:t>Number of participants</w:t>
            </w:r>
          </w:p>
        </w:tc>
      </w:tr>
      <w:tr w:rsidR="00172DB9" w:rsidTr="00172DB9">
        <w:tc>
          <w:tcPr>
            <w:tcW w:w="2394" w:type="dxa"/>
            <w:vMerge w:val="restart"/>
          </w:tcPr>
          <w:p w:rsidR="00172DB9" w:rsidRDefault="00172DB9" w:rsidP="00172DB9">
            <w:r>
              <w:t>Emergency Department</w:t>
            </w:r>
          </w:p>
        </w:tc>
        <w:tc>
          <w:tcPr>
            <w:tcW w:w="2552" w:type="dxa"/>
          </w:tcPr>
          <w:p w:rsidR="00172DB9" w:rsidRDefault="00172DB9" w:rsidP="00172DB9">
            <w:r>
              <w:t>Private, non-safety net</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tcPr>
          <w:p w:rsidR="00172DB9" w:rsidRDefault="00172DB9" w:rsidP="00172DB9"/>
        </w:tc>
        <w:tc>
          <w:tcPr>
            <w:tcW w:w="2552" w:type="dxa"/>
          </w:tcPr>
          <w:p w:rsidR="00172DB9" w:rsidRDefault="00172DB9" w:rsidP="00172DB9">
            <w:r>
              <w:t>Public/safety net</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val="restart"/>
          </w:tcPr>
          <w:p w:rsidR="00172DB9" w:rsidRDefault="00172DB9" w:rsidP="00172DB9">
            <w:r>
              <w:t>Primary Care (including C</w:t>
            </w:r>
            <w:r w:rsidR="00CB1BF6">
              <w:t xml:space="preserve">ommunity </w:t>
            </w:r>
            <w:r>
              <w:t>H</w:t>
            </w:r>
            <w:r w:rsidR="00CB1BF6">
              <w:t xml:space="preserve">ealth </w:t>
            </w:r>
            <w:r>
              <w:t>C</w:t>
            </w:r>
            <w:r w:rsidR="00CB1BF6">
              <w:t>enter</w:t>
            </w:r>
            <w:r>
              <w:t>s)</w:t>
            </w:r>
          </w:p>
        </w:tc>
        <w:tc>
          <w:tcPr>
            <w:tcW w:w="2552" w:type="dxa"/>
          </w:tcPr>
          <w:p w:rsidR="00172DB9" w:rsidRDefault="00172DB9" w:rsidP="00172DB9">
            <w:r>
              <w:t>Larger practice</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tcPr>
          <w:p w:rsidR="00172DB9" w:rsidRDefault="00172DB9" w:rsidP="00172DB9"/>
        </w:tc>
        <w:tc>
          <w:tcPr>
            <w:tcW w:w="2552" w:type="dxa"/>
          </w:tcPr>
          <w:p w:rsidR="00172DB9" w:rsidRDefault="00172DB9" w:rsidP="00172DB9">
            <w:r>
              <w:t>Solo/2 physician practice</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val="restart"/>
          </w:tcPr>
          <w:p w:rsidR="00172DB9" w:rsidRDefault="00172DB9" w:rsidP="00172DB9">
            <w:r>
              <w:t>Preparedness</w:t>
            </w:r>
          </w:p>
        </w:tc>
        <w:tc>
          <w:tcPr>
            <w:tcW w:w="2552" w:type="dxa"/>
          </w:tcPr>
          <w:p w:rsidR="00172DB9" w:rsidRDefault="00172DB9" w:rsidP="00172DB9">
            <w:r>
              <w:t>Public/Department of Health</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vMerge/>
          </w:tcPr>
          <w:p w:rsidR="00172DB9" w:rsidRDefault="00172DB9" w:rsidP="00172DB9"/>
        </w:tc>
        <w:tc>
          <w:tcPr>
            <w:tcW w:w="2552" w:type="dxa"/>
          </w:tcPr>
          <w:p w:rsidR="00172DB9" w:rsidRDefault="00172DB9" w:rsidP="00172DB9">
            <w:r>
              <w:t>Health care preparedness coordinator/collaboration leader</w:t>
            </w:r>
          </w:p>
        </w:tc>
        <w:tc>
          <w:tcPr>
            <w:tcW w:w="2394" w:type="dxa"/>
          </w:tcPr>
          <w:p w:rsidR="00172DB9" w:rsidRDefault="00172DB9" w:rsidP="00172DB9">
            <w:r>
              <w:t>45-60</w:t>
            </w:r>
          </w:p>
        </w:tc>
        <w:tc>
          <w:tcPr>
            <w:tcW w:w="2394" w:type="dxa"/>
          </w:tcPr>
          <w:p w:rsidR="00172DB9" w:rsidRDefault="00172DB9" w:rsidP="00172DB9">
            <w:r>
              <w:t>10</w:t>
            </w:r>
          </w:p>
        </w:tc>
      </w:tr>
      <w:tr w:rsidR="00172DB9" w:rsidTr="00172DB9">
        <w:tc>
          <w:tcPr>
            <w:tcW w:w="2394" w:type="dxa"/>
          </w:tcPr>
          <w:p w:rsidR="00172DB9" w:rsidRDefault="00172DB9" w:rsidP="00172DB9">
            <w:r>
              <w:t>Rural (GV, PX, SE only)</w:t>
            </w:r>
          </w:p>
        </w:tc>
        <w:tc>
          <w:tcPr>
            <w:tcW w:w="2552" w:type="dxa"/>
          </w:tcPr>
          <w:p w:rsidR="00172DB9" w:rsidRDefault="00172DB9" w:rsidP="00172DB9">
            <w:r>
              <w:t>Clinician-leader at rural site (ED or PC)</w:t>
            </w:r>
          </w:p>
        </w:tc>
        <w:tc>
          <w:tcPr>
            <w:tcW w:w="2394" w:type="dxa"/>
          </w:tcPr>
          <w:p w:rsidR="00172DB9" w:rsidRDefault="00172DB9" w:rsidP="00172DB9">
            <w:r>
              <w:t>45-60</w:t>
            </w:r>
          </w:p>
        </w:tc>
        <w:tc>
          <w:tcPr>
            <w:tcW w:w="2394" w:type="dxa"/>
          </w:tcPr>
          <w:p w:rsidR="00172DB9" w:rsidRDefault="00172DB9" w:rsidP="00172DB9">
            <w:r>
              <w:t>3</w:t>
            </w:r>
          </w:p>
        </w:tc>
      </w:tr>
      <w:tr w:rsidR="00172DB9" w:rsidTr="00172DB9">
        <w:tc>
          <w:tcPr>
            <w:tcW w:w="2394" w:type="dxa"/>
          </w:tcPr>
          <w:p w:rsidR="00172DB9" w:rsidRDefault="00172DB9" w:rsidP="00172DB9">
            <w:r>
              <w:t>PROJECT TOTAL</w:t>
            </w:r>
          </w:p>
        </w:tc>
        <w:tc>
          <w:tcPr>
            <w:tcW w:w="2552" w:type="dxa"/>
          </w:tcPr>
          <w:p w:rsidR="00172DB9" w:rsidRDefault="00172DB9" w:rsidP="00172DB9">
            <w:r>
              <w:t>7</w:t>
            </w:r>
          </w:p>
        </w:tc>
        <w:tc>
          <w:tcPr>
            <w:tcW w:w="2394" w:type="dxa"/>
          </w:tcPr>
          <w:p w:rsidR="00172DB9" w:rsidRDefault="00172DB9" w:rsidP="00172DB9">
            <w:r>
              <w:t>780 min</w:t>
            </w:r>
          </w:p>
        </w:tc>
        <w:tc>
          <w:tcPr>
            <w:tcW w:w="2394" w:type="dxa"/>
          </w:tcPr>
          <w:p w:rsidR="00172DB9" w:rsidRDefault="00172DB9" w:rsidP="00172DB9">
            <w:r>
              <w:t>63</w:t>
            </w:r>
          </w:p>
        </w:tc>
      </w:tr>
    </w:tbl>
    <w:p w:rsidR="00181EAF" w:rsidRDefault="00181EAF" w:rsidP="00181EAF"/>
    <w:p w:rsidR="00181EAF" w:rsidRPr="00172DB9" w:rsidRDefault="00181EAF" w:rsidP="00181EAF">
      <w:pPr>
        <w:pStyle w:val="HeadingOMB2"/>
        <w:rPr>
          <w:rFonts w:ascii="Times New Roman" w:hAnsi="Times New Roman"/>
        </w:rPr>
      </w:pPr>
      <w:bookmarkStart w:id="1" w:name="_Toc151782200"/>
      <w:bookmarkStart w:id="2" w:name="_Toc158526236"/>
      <w:bookmarkStart w:id="3" w:name="_Toc230760769"/>
      <w:r w:rsidRPr="00172DB9">
        <w:rPr>
          <w:rFonts w:ascii="Times New Roman" w:hAnsi="Times New Roman"/>
        </w:rPr>
        <w:lastRenderedPageBreak/>
        <w:t>2. Information Collection Procedures</w:t>
      </w:r>
      <w:bookmarkEnd w:id="1"/>
      <w:bookmarkEnd w:id="2"/>
      <w:bookmarkEnd w:id="3"/>
    </w:p>
    <w:p w:rsidR="00181EAF" w:rsidRDefault="00181EAF" w:rsidP="00181EAF">
      <w:proofErr w:type="gramStart"/>
      <w:r w:rsidRPr="00CE3EBB">
        <w:rPr>
          <w:b/>
        </w:rPr>
        <w:t>Participant Recruitment.</w:t>
      </w:r>
      <w:proofErr w:type="gramEnd"/>
      <w:r>
        <w:t xml:space="preserve"> Participants will be recruited either by phone, e-mail, or fax depending on availability of the participant’s contact information</w:t>
      </w:r>
      <w:r w:rsidR="006C7FFA">
        <w:t>.  Attachment</w:t>
      </w:r>
      <w:r w:rsidRPr="00CF2E24">
        <w:t xml:space="preserve"> </w:t>
      </w:r>
      <w:r w:rsidR="006C7FFA">
        <w:t>E</w:t>
      </w:r>
      <w:r w:rsidR="006C7FFA">
        <w:rPr>
          <w:rStyle w:val="CommentReference"/>
        </w:rPr>
        <w:t xml:space="preserve"> </w:t>
      </w:r>
      <w:r w:rsidR="006C7FFA">
        <w:rPr>
          <w:rStyle w:val="CommentReference"/>
          <w:sz w:val="24"/>
          <w:szCs w:val="24"/>
        </w:rPr>
        <w:t xml:space="preserve">is a </w:t>
      </w:r>
      <w:r w:rsidRPr="00CF2E24">
        <w:t xml:space="preserve">sample invitation </w:t>
      </w:r>
      <w:r w:rsidR="00172DB9">
        <w:t>letter</w:t>
      </w:r>
      <w:r w:rsidRPr="00CF2E24">
        <w:t xml:space="preserve">. The purpose of the communication is to explain the study, </w:t>
      </w:r>
      <w:r>
        <w:t xml:space="preserve">gain respondents’ agreement to participate and schedule the interviews. Each respondent who agrees to participate in the study will receive a written confirmation of the interview date and time by e-mail or fax (see </w:t>
      </w:r>
      <w:r w:rsidRPr="00971546">
        <w:t xml:space="preserve">Attachment </w:t>
      </w:r>
      <w:r w:rsidR="006C7FFA">
        <w:t>G</w:t>
      </w:r>
      <w:r>
        <w:t xml:space="preserve">). </w:t>
      </w:r>
    </w:p>
    <w:p w:rsidR="00181EAF" w:rsidRDefault="00181EAF" w:rsidP="00181EAF">
      <w:pPr>
        <w:tabs>
          <w:tab w:val="left" w:pos="360"/>
        </w:tabs>
      </w:pPr>
    </w:p>
    <w:p w:rsidR="00157E73" w:rsidRPr="00157E73" w:rsidRDefault="00181EAF" w:rsidP="00157E73">
      <w:pPr>
        <w:contextualSpacing/>
        <w:rPr>
          <w:b/>
        </w:rPr>
      </w:pPr>
      <w:proofErr w:type="gramStart"/>
      <w:r w:rsidRPr="00342DB9">
        <w:rPr>
          <w:b/>
        </w:rPr>
        <w:t>Interviews.</w:t>
      </w:r>
      <w:proofErr w:type="gramEnd"/>
      <w:r>
        <w:t xml:space="preserve"> In-depth interviews will be conducted by two-person teams, which will be comprised of a lead interviewer and a note taker. Respondents will be reminded of the focus of the study and</w:t>
      </w:r>
      <w:r w:rsidRPr="000E3CB8">
        <w:t xml:space="preserve"> </w:t>
      </w:r>
      <w:r>
        <w:t>the way their information will be used</w:t>
      </w:r>
      <w:r w:rsidRPr="00B95E9A">
        <w:t>.</w:t>
      </w:r>
      <w:r>
        <w:t xml:space="preserve"> The interviews will follow semi-structured protocols. </w:t>
      </w:r>
      <w:r w:rsidR="00172DB9">
        <w:t>Two</w:t>
      </w:r>
      <w:r>
        <w:t xml:space="preserve"> protocols tailored to different respondent types have been developed </w:t>
      </w:r>
      <w:r w:rsidRPr="00CF2E24">
        <w:t xml:space="preserve">(see Attachments </w:t>
      </w:r>
      <w:r w:rsidR="006C7FFA">
        <w:t>C and D</w:t>
      </w:r>
      <w:r w:rsidRPr="00CF2E24">
        <w:t>).</w:t>
      </w:r>
      <w:r>
        <w:t xml:space="preserve"> </w:t>
      </w:r>
      <w:r w:rsidR="00157E73">
        <w:t>The following domains of information will be explored</w:t>
      </w:r>
      <w:r w:rsidR="00B816D7">
        <w:t>:</w:t>
      </w:r>
    </w:p>
    <w:p w:rsidR="00157E73" w:rsidRDefault="00157E73" w:rsidP="00157E73">
      <w:pPr>
        <w:contextualSpacing/>
      </w:pPr>
    </w:p>
    <w:p w:rsidR="00157E73" w:rsidRDefault="00157E73" w:rsidP="00157E73">
      <w:pPr>
        <w:contextualSpacing/>
      </w:pPr>
      <w:r>
        <w:t>Background</w:t>
      </w:r>
    </w:p>
    <w:p w:rsidR="00157E73" w:rsidRDefault="00157E73" w:rsidP="00157E73">
      <w:pPr>
        <w:pStyle w:val="ListParagraph"/>
        <w:numPr>
          <w:ilvl w:val="0"/>
          <w:numId w:val="8"/>
        </w:numPr>
        <w:ind w:left="1080"/>
      </w:pPr>
      <w:r>
        <w:t>Market information</w:t>
      </w:r>
    </w:p>
    <w:p w:rsidR="00157E73" w:rsidRDefault="00157E73" w:rsidP="00157E73">
      <w:pPr>
        <w:pStyle w:val="ListParagraph"/>
        <w:numPr>
          <w:ilvl w:val="0"/>
          <w:numId w:val="8"/>
        </w:numPr>
        <w:ind w:left="1080"/>
      </w:pPr>
      <w:r>
        <w:t>Non-surge collaboration</w:t>
      </w:r>
    </w:p>
    <w:p w:rsidR="00157E73" w:rsidRDefault="00157E73" w:rsidP="00157E73">
      <w:pPr>
        <w:pStyle w:val="ListParagraph"/>
        <w:numPr>
          <w:ilvl w:val="0"/>
          <w:numId w:val="8"/>
        </w:numPr>
        <w:ind w:left="1080"/>
      </w:pPr>
      <w:r>
        <w:t>Non-surge competition</w:t>
      </w:r>
    </w:p>
    <w:p w:rsidR="00157E73" w:rsidRDefault="00157E73" w:rsidP="00157E73">
      <w:pPr>
        <w:pStyle w:val="ListParagraph"/>
        <w:numPr>
          <w:ilvl w:val="0"/>
          <w:numId w:val="8"/>
        </w:numPr>
        <w:ind w:left="1080"/>
      </w:pPr>
      <w:r>
        <w:t>Framework/infrastructure for disaster response</w:t>
      </w:r>
    </w:p>
    <w:p w:rsidR="00157E73" w:rsidRDefault="00157E73" w:rsidP="00157E73">
      <w:pPr>
        <w:contextualSpacing/>
      </w:pPr>
      <w:r>
        <w:t>Information on surge planning and H1N1</w:t>
      </w:r>
    </w:p>
    <w:p w:rsidR="00157E73" w:rsidRDefault="00157E73" w:rsidP="00157E73">
      <w:pPr>
        <w:pStyle w:val="ListParagraph"/>
        <w:numPr>
          <w:ilvl w:val="0"/>
          <w:numId w:val="9"/>
        </w:numPr>
        <w:ind w:left="1080"/>
      </w:pPr>
      <w:r>
        <w:t>Details of disaster/surge plan</w:t>
      </w:r>
    </w:p>
    <w:p w:rsidR="00157E73" w:rsidRDefault="00157E73" w:rsidP="00157E73">
      <w:pPr>
        <w:pStyle w:val="ListParagraph"/>
        <w:numPr>
          <w:ilvl w:val="0"/>
          <w:numId w:val="9"/>
        </w:numPr>
        <w:ind w:left="1080"/>
      </w:pPr>
      <w:r>
        <w:t>How did H1N1 affect organization</w:t>
      </w:r>
    </w:p>
    <w:p w:rsidR="00157E73" w:rsidRDefault="00157E73" w:rsidP="00157E73">
      <w:pPr>
        <w:pStyle w:val="ListParagraph"/>
        <w:numPr>
          <w:ilvl w:val="0"/>
          <w:numId w:val="9"/>
        </w:numPr>
        <w:ind w:left="1080"/>
      </w:pPr>
      <w:r>
        <w:t>Details of H1N1 preparation</w:t>
      </w:r>
    </w:p>
    <w:p w:rsidR="00157E73" w:rsidRDefault="00157E73" w:rsidP="00157E73">
      <w:pPr>
        <w:contextualSpacing/>
      </w:pPr>
      <w:r>
        <w:t>Perceptions of response and role of collaborations</w:t>
      </w:r>
    </w:p>
    <w:p w:rsidR="00157E73" w:rsidRDefault="00157E73" w:rsidP="00157E73">
      <w:pPr>
        <w:pStyle w:val="ListParagraph"/>
        <w:numPr>
          <w:ilvl w:val="0"/>
          <w:numId w:val="10"/>
        </w:numPr>
        <w:ind w:left="1080"/>
      </w:pPr>
      <w:r>
        <w:t>Facilitators in response</w:t>
      </w:r>
    </w:p>
    <w:p w:rsidR="00157E73" w:rsidRDefault="00157E73" w:rsidP="00157E73">
      <w:pPr>
        <w:pStyle w:val="ListParagraph"/>
        <w:numPr>
          <w:ilvl w:val="0"/>
          <w:numId w:val="10"/>
        </w:numPr>
        <w:ind w:left="1080"/>
      </w:pPr>
      <w:r>
        <w:t>Barriers in response</w:t>
      </w:r>
    </w:p>
    <w:p w:rsidR="00181EAF" w:rsidRDefault="00181EAF" w:rsidP="00157E73">
      <w:pPr>
        <w:tabs>
          <w:tab w:val="left" w:pos="360"/>
        </w:tabs>
      </w:pPr>
    </w:p>
    <w:p w:rsidR="00181EAF" w:rsidRDefault="00181EAF" w:rsidP="00181EAF">
      <w:r>
        <w:t xml:space="preserve">Interview notes will be typed and assigned initial codes by the note taker and reviewed for accuracy by the lead interviewer. Interview notes will be then be stored and coded using </w:t>
      </w:r>
      <w:proofErr w:type="spellStart"/>
      <w:r>
        <w:t>Atlas.ti</w:t>
      </w:r>
      <w:proofErr w:type="spellEnd"/>
      <w:r>
        <w:t xml:space="preserve"> (version 5.0) qualitative data analysis software. </w:t>
      </w:r>
    </w:p>
    <w:p w:rsidR="00181EAF" w:rsidRDefault="00181EAF" w:rsidP="00181EAF"/>
    <w:p w:rsidR="00181EAF" w:rsidRDefault="00181EAF" w:rsidP="00181EAF">
      <w:r>
        <w:t xml:space="preserve">Thank-you letters are routinely sent by mail (see </w:t>
      </w:r>
      <w:r w:rsidRPr="00971546">
        <w:t xml:space="preserve">Attachment </w:t>
      </w:r>
      <w:r w:rsidR="00B816D7">
        <w:t>H</w:t>
      </w:r>
      <w:r>
        <w:t>).</w:t>
      </w:r>
    </w:p>
    <w:p w:rsidR="00181EAF" w:rsidRPr="00157E73" w:rsidRDefault="00181EAF" w:rsidP="00181EAF">
      <w:pPr>
        <w:pStyle w:val="HeadingOMB2"/>
        <w:rPr>
          <w:rFonts w:ascii="Times New Roman" w:hAnsi="Times New Roman"/>
        </w:rPr>
      </w:pPr>
      <w:bookmarkStart w:id="4" w:name="_Toc151782201"/>
      <w:bookmarkStart w:id="5" w:name="_Toc158526237"/>
      <w:bookmarkStart w:id="6" w:name="_Toc230760770"/>
      <w:r w:rsidRPr="00157E73">
        <w:rPr>
          <w:rFonts w:ascii="Times New Roman" w:hAnsi="Times New Roman"/>
        </w:rPr>
        <w:t>3. Methods to Maximize Response Rates</w:t>
      </w:r>
      <w:bookmarkEnd w:id="4"/>
      <w:bookmarkEnd w:id="5"/>
      <w:bookmarkEnd w:id="6"/>
    </w:p>
    <w:p w:rsidR="00181EAF" w:rsidRDefault="00181EAF" w:rsidP="00181EAF">
      <w:pPr>
        <w:pStyle w:val="LefttoRight"/>
        <w:jc w:val="left"/>
      </w:pPr>
      <w:r>
        <w:t xml:space="preserve">Respondent organizations are not being selected via probability-based sampling methods. A “response rate” has no clear meaning in the context of a qualitative study. </w:t>
      </w:r>
    </w:p>
    <w:p w:rsidR="00181EAF" w:rsidRDefault="00181EAF" w:rsidP="00181EAF">
      <w:pPr>
        <w:pStyle w:val="LefttoRight"/>
        <w:jc w:val="left"/>
      </w:pPr>
    </w:p>
    <w:p w:rsidR="00181EAF" w:rsidRDefault="00181EAF" w:rsidP="00181EAF">
      <w:pPr>
        <w:pStyle w:val="LefttoRight"/>
        <w:jc w:val="left"/>
      </w:pPr>
      <w:r>
        <w:t xml:space="preserve">Based on </w:t>
      </w:r>
      <w:r w:rsidR="00157E73">
        <w:t>previous experience</w:t>
      </w:r>
      <w:r>
        <w:t xml:space="preserve">, recruiting is likely to be more difficult for </w:t>
      </w:r>
      <w:r w:rsidR="00157E73">
        <w:t xml:space="preserve">primary care </w:t>
      </w:r>
      <w:r w:rsidR="002C4ECB">
        <w:t>practitioner</w:t>
      </w:r>
      <w:r w:rsidR="00157E73">
        <w:t>s</w:t>
      </w:r>
      <w:r>
        <w:t xml:space="preserve">. The strategy for identifying eligible </w:t>
      </w:r>
      <w:r w:rsidR="002C4ECB">
        <w:t>practitioner</w:t>
      </w:r>
      <w:r w:rsidR="00157E73">
        <w:t>s includes contacting the state medical societies</w:t>
      </w:r>
      <w:r>
        <w:t xml:space="preserve"> </w:t>
      </w:r>
      <w:r w:rsidR="00157E73">
        <w:t>and previous primary care contacts</w:t>
      </w:r>
      <w:r>
        <w:t xml:space="preserve"> to identify respondents who are interested in participating in the study. Every effort will be made to schedule interviews with these respondents at times most convenient for them.</w:t>
      </w:r>
    </w:p>
    <w:p w:rsidR="00181EAF" w:rsidRPr="00157E73" w:rsidRDefault="00181EAF" w:rsidP="00181EAF">
      <w:pPr>
        <w:pStyle w:val="HeadingOMB2"/>
        <w:rPr>
          <w:rFonts w:ascii="Times New Roman" w:hAnsi="Times New Roman"/>
        </w:rPr>
      </w:pPr>
      <w:bookmarkStart w:id="7" w:name="_Toc151782202"/>
      <w:bookmarkStart w:id="8" w:name="_Toc158526238"/>
      <w:bookmarkStart w:id="9" w:name="_Toc230760771"/>
      <w:r w:rsidRPr="00157E73">
        <w:rPr>
          <w:rFonts w:ascii="Times New Roman" w:hAnsi="Times New Roman"/>
        </w:rPr>
        <w:lastRenderedPageBreak/>
        <w:t>4. Tests of Procedures</w:t>
      </w:r>
      <w:bookmarkStart w:id="10" w:name="_Toc151782203"/>
      <w:bookmarkStart w:id="11" w:name="_Toc158526239"/>
      <w:bookmarkEnd w:id="7"/>
      <w:bookmarkEnd w:id="8"/>
      <w:bookmarkEnd w:id="9"/>
    </w:p>
    <w:p w:rsidR="00181EAF" w:rsidRDefault="00181EAF" w:rsidP="00181EAF">
      <w:r>
        <w:t xml:space="preserve">The interview protocols were reviewed by </w:t>
      </w:r>
      <w:r w:rsidR="008E5CDF">
        <w:t xml:space="preserve">Laurie Felland, MS, Assistant Director of Qualitative Research and Senior Health Researcher at HSC. Ms. Felland </w:t>
      </w:r>
      <w:r w:rsidR="006B78B6">
        <w:t xml:space="preserve">has extensive experience developing interview protocols for emergency </w:t>
      </w:r>
      <w:r w:rsidR="002C4ECB">
        <w:t>practitioner</w:t>
      </w:r>
      <w:r w:rsidR="006B78B6">
        <w:t xml:space="preserve">s, primary care </w:t>
      </w:r>
      <w:r w:rsidR="002C4ECB">
        <w:t>practitioner</w:t>
      </w:r>
      <w:r w:rsidR="006B78B6">
        <w:t>s and public health experts, and has conducted previous research on preparedness in CTS sites.</w:t>
      </w:r>
    </w:p>
    <w:p w:rsidR="00181EAF" w:rsidRPr="008E5CDF" w:rsidRDefault="00181EAF" w:rsidP="00181EAF">
      <w:pPr>
        <w:pStyle w:val="HeadingOMB2"/>
        <w:rPr>
          <w:rFonts w:ascii="Times New Roman" w:hAnsi="Times New Roman"/>
        </w:rPr>
      </w:pPr>
      <w:bookmarkStart w:id="12" w:name="_Toc230760772"/>
      <w:r w:rsidRPr="008E5CDF">
        <w:rPr>
          <w:rFonts w:ascii="Times New Roman" w:hAnsi="Times New Roman"/>
        </w:rPr>
        <w:t>5. Statistical Consultants</w:t>
      </w:r>
      <w:bookmarkEnd w:id="10"/>
      <w:bookmarkEnd w:id="11"/>
      <w:bookmarkEnd w:id="12"/>
    </w:p>
    <w:p w:rsidR="00181EAF" w:rsidRDefault="00181EAF" w:rsidP="00181EAF">
      <w:r>
        <w:t>Because this study is qualitative, no statistical consultants were contacted.</w:t>
      </w:r>
    </w:p>
    <w:p w:rsidR="00181EAF" w:rsidRDefault="00181EAF" w:rsidP="00181EAF"/>
    <w:p w:rsidR="00181EAF" w:rsidRPr="00F34C93" w:rsidRDefault="00181EAF" w:rsidP="00181EAF">
      <w:r>
        <w:t xml:space="preserve">AHRQ’s contractor, HSC, will be responsible for overseeing the recruitment of participants, conducting </w:t>
      </w:r>
      <w:r w:rsidR="008E5CDF">
        <w:t xml:space="preserve">all of the </w:t>
      </w:r>
      <w:r>
        <w:t xml:space="preserve">interviews, and analyzing and reporting the findings. The principal investigator and project director is </w:t>
      </w:r>
      <w:r w:rsidR="008E5CDF">
        <w:t>Emily Carrier, MD, MSCI</w:t>
      </w:r>
      <w:r>
        <w:t>. She can be reached by phone at 202-</w:t>
      </w:r>
      <w:r w:rsidR="008E5CDF">
        <w:t>250-3533</w:t>
      </w:r>
      <w:r>
        <w:t xml:space="preserve"> or by email at </w:t>
      </w:r>
      <w:hyperlink r:id="rId8" w:history="1">
        <w:r w:rsidR="008E5CDF" w:rsidRPr="006E08D3">
          <w:rPr>
            <w:rStyle w:val="Hyperlink"/>
          </w:rPr>
          <w:t>ecarrier@hschange.org</w:t>
        </w:r>
      </w:hyperlink>
      <w:r>
        <w:t xml:space="preserve">. </w:t>
      </w:r>
    </w:p>
    <w:p w:rsidR="00181EAF" w:rsidRPr="006B78B6" w:rsidRDefault="00181EAF" w:rsidP="00181EAF">
      <w:pPr>
        <w:pStyle w:val="HeadingOMB2"/>
        <w:rPr>
          <w:rFonts w:ascii="Times New Roman" w:hAnsi="Times New Roman"/>
        </w:rPr>
      </w:pPr>
      <w:bookmarkStart w:id="13" w:name="_Toc230760773"/>
      <w:r w:rsidRPr="006B78B6">
        <w:rPr>
          <w:rFonts w:ascii="Times New Roman" w:hAnsi="Times New Roman"/>
        </w:rPr>
        <w:t>6. Analysis Plan</w:t>
      </w:r>
      <w:bookmarkEnd w:id="13"/>
    </w:p>
    <w:p w:rsidR="00181EAF" w:rsidRDefault="00181EAF" w:rsidP="00181EAF">
      <w:r>
        <w:t xml:space="preserve">On a rolling basis over the course of the project, the project team will review interview notes and meet regularly to discuss the study’s key findings. Using an iterative process, the team will identify new themes as they emerge, explore and shape already identified themes in greater depth, and ensure that saturation in the data collection is reached. The interview data will be coded using the “integrated” approach described by Bradley et al. (2007). This approach combines the inductive development of codes from the data—the “grounded theory” approach (Glaser and Strauss 1967)—with a preliminary deductive “start list” of codes, which provides an initial organizing framework based on the existing literature (Miles and </w:t>
      </w:r>
      <w:proofErr w:type="spellStart"/>
      <w:r>
        <w:t>Huberman</w:t>
      </w:r>
      <w:proofErr w:type="spellEnd"/>
      <w:r>
        <w:t xml:space="preserve"> 1994). </w:t>
      </w:r>
      <w:proofErr w:type="spellStart"/>
      <w:r>
        <w:t>Atlas.ti</w:t>
      </w:r>
      <w:proofErr w:type="spellEnd"/>
      <w:r>
        <w:t xml:space="preserve"> software (V</w:t>
      </w:r>
      <w:r w:rsidRPr="005613C9">
        <w:t xml:space="preserve">ersion </w:t>
      </w:r>
      <w:r>
        <w:t>5.0)</w:t>
      </w:r>
      <w:r w:rsidRPr="005613C9">
        <w:t xml:space="preserve"> </w:t>
      </w:r>
      <w:r>
        <w:t xml:space="preserve">will be used to store, code and search the interview data for analysis. Data reduction will be achieved by summarizing coded interview data from </w:t>
      </w:r>
      <w:proofErr w:type="spellStart"/>
      <w:r>
        <w:t>Atlas.ti</w:t>
      </w:r>
      <w:proofErr w:type="spellEnd"/>
      <w:r>
        <w:t xml:space="preserve"> in data tables, which will then be analyzed to refine themes, weight the evidence supporting each finding, and identify respondent disagreements and disconfirming evidence.</w:t>
      </w:r>
    </w:p>
    <w:sectPr w:rsidR="00181EAF" w:rsidSect="004939F7">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00" w:rsidRDefault="00F81A00">
      <w:r>
        <w:separator/>
      </w:r>
    </w:p>
  </w:endnote>
  <w:endnote w:type="continuationSeparator" w:id="0">
    <w:p w:rsidR="00F81A00" w:rsidRDefault="00F81A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700A85" w:rsidP="003620A6">
    <w:pPr>
      <w:pStyle w:val="Footer"/>
      <w:framePr w:wrap="around" w:vAnchor="text" w:hAnchor="margin" w:xAlign="right" w:y="1"/>
      <w:rPr>
        <w:rStyle w:val="PageNumber"/>
      </w:rPr>
    </w:pPr>
    <w:r>
      <w:rPr>
        <w:rStyle w:val="PageNumber"/>
      </w:rPr>
      <w:fldChar w:fldCharType="begin"/>
    </w:r>
    <w:r w:rsidR="00F81A00">
      <w:rPr>
        <w:rStyle w:val="PageNumber"/>
      </w:rPr>
      <w:instrText xml:space="preserve">PAGE  </w:instrText>
    </w:r>
    <w:r>
      <w:rPr>
        <w:rStyle w:val="PageNumber"/>
      </w:rPr>
      <w:fldChar w:fldCharType="end"/>
    </w:r>
  </w:p>
  <w:p w:rsidR="00F81A00" w:rsidRDefault="00F81A00" w:rsidP="004939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700A85" w:rsidP="003620A6">
    <w:pPr>
      <w:pStyle w:val="Footer"/>
      <w:framePr w:wrap="around" w:vAnchor="text" w:hAnchor="margin" w:xAlign="right" w:y="1"/>
      <w:rPr>
        <w:rStyle w:val="PageNumber"/>
      </w:rPr>
    </w:pPr>
    <w:r>
      <w:rPr>
        <w:rStyle w:val="PageNumber"/>
      </w:rPr>
      <w:fldChar w:fldCharType="begin"/>
    </w:r>
    <w:r w:rsidR="00F81A00">
      <w:rPr>
        <w:rStyle w:val="PageNumber"/>
      </w:rPr>
      <w:instrText xml:space="preserve">PAGE  </w:instrText>
    </w:r>
    <w:r>
      <w:rPr>
        <w:rStyle w:val="PageNumber"/>
      </w:rPr>
      <w:fldChar w:fldCharType="separate"/>
    </w:r>
    <w:r w:rsidR="00674D42">
      <w:rPr>
        <w:rStyle w:val="PageNumber"/>
        <w:noProof/>
      </w:rPr>
      <w:t>5</w:t>
    </w:r>
    <w:r>
      <w:rPr>
        <w:rStyle w:val="PageNumber"/>
      </w:rPr>
      <w:fldChar w:fldCharType="end"/>
    </w:r>
  </w:p>
  <w:p w:rsidR="00F81A00" w:rsidRDefault="00F81A00" w:rsidP="004939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00" w:rsidRDefault="00F81A00">
      <w:r>
        <w:separator/>
      </w:r>
    </w:p>
  </w:footnote>
  <w:footnote w:type="continuationSeparator" w:id="0">
    <w:p w:rsidR="00F81A00" w:rsidRDefault="00F81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F81A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E975C3E"/>
    <w:multiLevelType w:val="hybridMultilevel"/>
    <w:tmpl w:val="1FE6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11545"/>
    <w:multiLevelType w:val="hybridMultilevel"/>
    <w:tmpl w:val="749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5B6A59"/>
    <w:multiLevelType w:val="hybridMultilevel"/>
    <w:tmpl w:val="7A3018F0"/>
    <w:lvl w:ilvl="0" w:tplc="34703586">
      <w:start w:val="1"/>
      <w:numFmt w:val="decimal"/>
      <w:lvlText w:val="%1."/>
      <w:lvlJc w:val="left"/>
      <w:pPr>
        <w:ind w:left="795" w:hanging="360"/>
      </w:pPr>
      <w:rPr>
        <w:rFonts w:ascii="Times New Roman" w:eastAsia="Times New Roman"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8DC0522"/>
    <w:multiLevelType w:val="hybridMultilevel"/>
    <w:tmpl w:val="39D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D6848"/>
    <w:multiLevelType w:val="hybridMultilevel"/>
    <w:tmpl w:val="AE0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4715F9"/>
    <w:multiLevelType w:val="hybridMultilevel"/>
    <w:tmpl w:val="E572047C"/>
    <w:lvl w:ilvl="0" w:tplc="F2C639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31E27"/>
    <w:multiLevelType w:val="hybridMultilevel"/>
    <w:tmpl w:val="0A2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AC1FAC"/>
    <w:multiLevelType w:val="hybridMultilevel"/>
    <w:tmpl w:val="5FD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3E498B"/>
    <w:multiLevelType w:val="hybridMultilevel"/>
    <w:tmpl w:val="5F0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4"/>
  </w:num>
  <w:num w:numId="3">
    <w:abstractNumId w:val="12"/>
  </w:num>
  <w:num w:numId="4">
    <w:abstractNumId w:val="5"/>
  </w:num>
  <w:num w:numId="5">
    <w:abstractNumId w:val="0"/>
  </w:num>
  <w:num w:numId="6">
    <w:abstractNumId w:val="11"/>
  </w:num>
  <w:num w:numId="7">
    <w:abstractNumId w:val="3"/>
  </w:num>
  <w:num w:numId="8">
    <w:abstractNumId w:val="1"/>
  </w:num>
  <w:num w:numId="9">
    <w:abstractNumId w:val="9"/>
  </w:num>
  <w:num w:numId="10">
    <w:abstractNumId w:val="6"/>
  </w:num>
  <w:num w:numId="11">
    <w:abstractNumId w:val="7"/>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39F7"/>
    <w:rsid w:val="00025D12"/>
    <w:rsid w:val="000366F5"/>
    <w:rsid w:val="00046EA3"/>
    <w:rsid w:val="00063DFD"/>
    <w:rsid w:val="000702E2"/>
    <w:rsid w:val="00091848"/>
    <w:rsid w:val="000B48B6"/>
    <w:rsid w:val="000C129F"/>
    <w:rsid w:val="000D1D78"/>
    <w:rsid w:val="0013481D"/>
    <w:rsid w:val="00157E73"/>
    <w:rsid w:val="00164CBF"/>
    <w:rsid w:val="00166BAC"/>
    <w:rsid w:val="00171508"/>
    <w:rsid w:val="00172DB9"/>
    <w:rsid w:val="00181EAF"/>
    <w:rsid w:val="001A4D0A"/>
    <w:rsid w:val="001B741C"/>
    <w:rsid w:val="001C1019"/>
    <w:rsid w:val="001C4423"/>
    <w:rsid w:val="001E41B8"/>
    <w:rsid w:val="001E4CD6"/>
    <w:rsid w:val="00211EF6"/>
    <w:rsid w:val="0026766A"/>
    <w:rsid w:val="00283A6A"/>
    <w:rsid w:val="00283E51"/>
    <w:rsid w:val="002A4B90"/>
    <w:rsid w:val="002C4ECB"/>
    <w:rsid w:val="003307C5"/>
    <w:rsid w:val="0033262A"/>
    <w:rsid w:val="00357F4E"/>
    <w:rsid w:val="003620A6"/>
    <w:rsid w:val="003653AA"/>
    <w:rsid w:val="00386A31"/>
    <w:rsid w:val="003B5297"/>
    <w:rsid w:val="003C1C97"/>
    <w:rsid w:val="003E3C0D"/>
    <w:rsid w:val="003E5F89"/>
    <w:rsid w:val="003E691A"/>
    <w:rsid w:val="00404B84"/>
    <w:rsid w:val="00405195"/>
    <w:rsid w:val="00406AE6"/>
    <w:rsid w:val="0042150D"/>
    <w:rsid w:val="00426CDE"/>
    <w:rsid w:val="004939F7"/>
    <w:rsid w:val="004A7660"/>
    <w:rsid w:val="004B4BC9"/>
    <w:rsid w:val="0051447F"/>
    <w:rsid w:val="00526ACD"/>
    <w:rsid w:val="0053399A"/>
    <w:rsid w:val="0054184A"/>
    <w:rsid w:val="005475B9"/>
    <w:rsid w:val="00564694"/>
    <w:rsid w:val="00585615"/>
    <w:rsid w:val="00593CD3"/>
    <w:rsid w:val="005A2D30"/>
    <w:rsid w:val="005D3E82"/>
    <w:rsid w:val="005F6C4E"/>
    <w:rsid w:val="006047FD"/>
    <w:rsid w:val="00617111"/>
    <w:rsid w:val="0063047D"/>
    <w:rsid w:val="006433DC"/>
    <w:rsid w:val="00652966"/>
    <w:rsid w:val="006568CB"/>
    <w:rsid w:val="00660324"/>
    <w:rsid w:val="00674D42"/>
    <w:rsid w:val="006A1032"/>
    <w:rsid w:val="006A5B3E"/>
    <w:rsid w:val="006B78B6"/>
    <w:rsid w:val="006C4DC8"/>
    <w:rsid w:val="006C7FFA"/>
    <w:rsid w:val="00700A85"/>
    <w:rsid w:val="0070460C"/>
    <w:rsid w:val="00712369"/>
    <w:rsid w:val="00721B27"/>
    <w:rsid w:val="00726225"/>
    <w:rsid w:val="00737D8C"/>
    <w:rsid w:val="00752819"/>
    <w:rsid w:val="007C4183"/>
    <w:rsid w:val="007E775F"/>
    <w:rsid w:val="00804262"/>
    <w:rsid w:val="00817B6D"/>
    <w:rsid w:val="00840D64"/>
    <w:rsid w:val="008467D8"/>
    <w:rsid w:val="008B148C"/>
    <w:rsid w:val="008E5CDF"/>
    <w:rsid w:val="008F23AF"/>
    <w:rsid w:val="00926424"/>
    <w:rsid w:val="009407D5"/>
    <w:rsid w:val="00945223"/>
    <w:rsid w:val="00945604"/>
    <w:rsid w:val="00963B41"/>
    <w:rsid w:val="009C1CE1"/>
    <w:rsid w:val="009C2010"/>
    <w:rsid w:val="009F70A0"/>
    <w:rsid w:val="00A025E5"/>
    <w:rsid w:val="00A33055"/>
    <w:rsid w:val="00A54FDC"/>
    <w:rsid w:val="00A96396"/>
    <w:rsid w:val="00B061C9"/>
    <w:rsid w:val="00B06E96"/>
    <w:rsid w:val="00B47A66"/>
    <w:rsid w:val="00B5001F"/>
    <w:rsid w:val="00B6687B"/>
    <w:rsid w:val="00B816D7"/>
    <w:rsid w:val="00B95473"/>
    <w:rsid w:val="00B96386"/>
    <w:rsid w:val="00BA5B69"/>
    <w:rsid w:val="00BE4612"/>
    <w:rsid w:val="00C37F2D"/>
    <w:rsid w:val="00C77773"/>
    <w:rsid w:val="00C90273"/>
    <w:rsid w:val="00CA251A"/>
    <w:rsid w:val="00CA2AAF"/>
    <w:rsid w:val="00CA5844"/>
    <w:rsid w:val="00CB1BF6"/>
    <w:rsid w:val="00CD1A9C"/>
    <w:rsid w:val="00CD6A96"/>
    <w:rsid w:val="00D14149"/>
    <w:rsid w:val="00D43EAA"/>
    <w:rsid w:val="00D704E0"/>
    <w:rsid w:val="00D912AE"/>
    <w:rsid w:val="00DA3A11"/>
    <w:rsid w:val="00DB3AEF"/>
    <w:rsid w:val="00DC53BD"/>
    <w:rsid w:val="00DE1387"/>
    <w:rsid w:val="00DE2D97"/>
    <w:rsid w:val="00DF1C56"/>
    <w:rsid w:val="00E039FF"/>
    <w:rsid w:val="00E102A4"/>
    <w:rsid w:val="00E22B45"/>
    <w:rsid w:val="00E4192B"/>
    <w:rsid w:val="00E72B9A"/>
    <w:rsid w:val="00E74FCB"/>
    <w:rsid w:val="00E95318"/>
    <w:rsid w:val="00EC7867"/>
    <w:rsid w:val="00EE7156"/>
    <w:rsid w:val="00F30010"/>
    <w:rsid w:val="00F50E69"/>
    <w:rsid w:val="00F81A00"/>
    <w:rsid w:val="00F84E49"/>
    <w:rsid w:val="00FB3259"/>
    <w:rsid w:val="00FC6118"/>
    <w:rsid w:val="00FD3FCE"/>
    <w:rsid w:val="00FF40B9"/>
    <w:rsid w:val="00FF4EF1"/>
    <w:rsid w:val="00FF7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660"/>
    <w:rPr>
      <w:sz w:val="24"/>
      <w:szCs w:val="24"/>
    </w:rPr>
  </w:style>
  <w:style w:type="paragraph" w:styleId="Heading1">
    <w:name w:val="heading 1"/>
    <w:basedOn w:val="Normal"/>
    <w:next w:val="Normal"/>
    <w:link w:val="Heading1Char"/>
    <w:qFormat/>
    <w:rsid w:val="00181EA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181EAF"/>
    <w:rPr>
      <w:rFonts w:ascii="Arial" w:hAnsi="Arial"/>
      <w:sz w:val="24"/>
      <w:szCs w:val="24"/>
    </w:rPr>
  </w:style>
  <w:style w:type="paragraph" w:customStyle="1" w:styleId="HeadingOMB2">
    <w:name w:val="Heading OMB2"/>
    <w:basedOn w:val="Heading1"/>
    <w:qFormat/>
    <w:rsid w:val="00181EAF"/>
    <w:rPr>
      <w:rFonts w:ascii="Arial" w:hAnsi="Arial"/>
      <w:i/>
      <w:sz w:val="24"/>
      <w:szCs w:val="24"/>
    </w:rPr>
  </w:style>
  <w:style w:type="character" w:customStyle="1" w:styleId="Heading1Char">
    <w:name w:val="Heading 1 Char"/>
    <w:basedOn w:val="DefaultParagraphFont"/>
    <w:link w:val="Heading1"/>
    <w:rsid w:val="00181EAF"/>
    <w:rPr>
      <w:rFonts w:ascii="Cambria" w:eastAsia="Times New Roman" w:hAnsi="Cambria" w:cs="Times New Roman"/>
      <w:b/>
      <w:bCs/>
      <w:kern w:val="32"/>
      <w:sz w:val="32"/>
      <w:szCs w:val="32"/>
    </w:rPr>
  </w:style>
  <w:style w:type="paragraph" w:styleId="Revision">
    <w:name w:val="Revision"/>
    <w:hidden/>
    <w:uiPriority w:val="99"/>
    <w:semiHidden/>
    <w:rsid w:val="00593CD3"/>
    <w:rPr>
      <w:sz w:val="24"/>
      <w:szCs w:val="24"/>
    </w:rPr>
  </w:style>
  <w:style w:type="paragraph" w:styleId="Header">
    <w:name w:val="header"/>
    <w:basedOn w:val="Normal"/>
    <w:link w:val="HeaderChar"/>
    <w:rsid w:val="00593CD3"/>
    <w:pPr>
      <w:tabs>
        <w:tab w:val="center" w:pos="4680"/>
        <w:tab w:val="right" w:pos="9360"/>
      </w:tabs>
    </w:pPr>
  </w:style>
  <w:style w:type="character" w:customStyle="1" w:styleId="HeaderChar">
    <w:name w:val="Header Char"/>
    <w:basedOn w:val="DefaultParagraphFont"/>
    <w:link w:val="Header"/>
    <w:rsid w:val="00593CD3"/>
    <w:rPr>
      <w:sz w:val="24"/>
      <w:szCs w:val="24"/>
    </w:rPr>
  </w:style>
</w:styles>
</file>

<file path=word/webSettings.xml><?xml version="1.0" encoding="utf-8"?>
<w:webSettings xmlns:r="http://schemas.openxmlformats.org/officeDocument/2006/relationships" xmlns:w="http://schemas.openxmlformats.org/wordprocessingml/2006/main">
  <w:divs>
    <w:div w:id="1951007421">
      <w:bodyDiv w:val="1"/>
      <w:marLeft w:val="4"/>
      <w:marRight w:val="4"/>
      <w:marTop w:val="4"/>
      <w:marBottom w:val="4"/>
      <w:divBdr>
        <w:top w:val="none" w:sz="0" w:space="0" w:color="auto"/>
        <w:left w:val="none" w:sz="0" w:space="0" w:color="auto"/>
        <w:bottom w:val="none" w:sz="0" w:space="0" w:color="auto"/>
        <w:right w:val="none" w:sz="0" w:space="0" w:color="auto"/>
      </w:divBdr>
      <w:divsChild>
        <w:div w:id="1747654731">
          <w:marLeft w:val="0"/>
          <w:marRight w:val="0"/>
          <w:marTop w:val="0"/>
          <w:marBottom w:val="0"/>
          <w:divBdr>
            <w:top w:val="none" w:sz="0" w:space="0" w:color="auto"/>
            <w:left w:val="none" w:sz="0" w:space="0" w:color="auto"/>
            <w:bottom w:val="none" w:sz="0" w:space="0" w:color="auto"/>
            <w:right w:val="none" w:sz="0" w:space="0" w:color="auto"/>
          </w:divBdr>
          <w:divsChild>
            <w:div w:id="669142778">
              <w:marLeft w:val="0"/>
              <w:marRight w:val="0"/>
              <w:marTop w:val="0"/>
              <w:marBottom w:val="180"/>
              <w:divBdr>
                <w:top w:val="none" w:sz="0" w:space="0" w:color="auto"/>
                <w:left w:val="none" w:sz="0" w:space="0" w:color="auto"/>
                <w:bottom w:val="none" w:sz="0" w:space="0" w:color="auto"/>
                <w:right w:val="none" w:sz="0" w:space="0" w:color="auto"/>
              </w:divBdr>
              <w:divsChild>
                <w:div w:id="832139163">
                  <w:marLeft w:val="0"/>
                  <w:marRight w:val="0"/>
                  <w:marTop w:val="0"/>
                  <w:marBottom w:val="0"/>
                  <w:divBdr>
                    <w:top w:val="none" w:sz="0" w:space="0" w:color="auto"/>
                    <w:left w:val="none" w:sz="0" w:space="0" w:color="auto"/>
                    <w:bottom w:val="none" w:sz="0" w:space="0" w:color="auto"/>
                    <w:right w:val="none" w:sz="0" w:space="0" w:color="auto"/>
                  </w:divBdr>
                  <w:divsChild>
                    <w:div w:id="1844398540">
                      <w:marLeft w:val="0"/>
                      <w:marRight w:val="0"/>
                      <w:marTop w:val="0"/>
                      <w:marBottom w:val="0"/>
                      <w:divBdr>
                        <w:top w:val="none" w:sz="0" w:space="0" w:color="auto"/>
                        <w:left w:val="none" w:sz="0" w:space="0" w:color="auto"/>
                        <w:bottom w:val="none" w:sz="0" w:space="0" w:color="auto"/>
                        <w:right w:val="none" w:sz="0" w:space="0" w:color="auto"/>
                      </w:divBdr>
                      <w:divsChild>
                        <w:div w:id="337737149">
                          <w:marLeft w:val="0"/>
                          <w:marRight w:val="0"/>
                          <w:marTop w:val="0"/>
                          <w:marBottom w:val="0"/>
                          <w:divBdr>
                            <w:top w:val="none" w:sz="0" w:space="0" w:color="auto"/>
                            <w:left w:val="none" w:sz="0" w:space="0" w:color="auto"/>
                            <w:bottom w:val="none" w:sz="0" w:space="0" w:color="auto"/>
                            <w:right w:val="none" w:sz="0" w:space="0" w:color="auto"/>
                          </w:divBdr>
                          <w:divsChild>
                            <w:div w:id="1103183503">
                              <w:marLeft w:val="0"/>
                              <w:marRight w:val="0"/>
                              <w:marTop w:val="180"/>
                              <w:marBottom w:val="180"/>
                              <w:divBdr>
                                <w:top w:val="none" w:sz="0" w:space="0" w:color="auto"/>
                                <w:left w:val="none" w:sz="0" w:space="0" w:color="auto"/>
                                <w:bottom w:val="none" w:sz="0" w:space="0" w:color="auto"/>
                                <w:right w:val="none" w:sz="0" w:space="0" w:color="auto"/>
                              </w:divBdr>
                              <w:divsChild>
                                <w:div w:id="1958296298">
                                  <w:marLeft w:val="0"/>
                                  <w:marRight w:val="0"/>
                                  <w:marTop w:val="0"/>
                                  <w:marBottom w:val="0"/>
                                  <w:divBdr>
                                    <w:top w:val="none" w:sz="0" w:space="0" w:color="auto"/>
                                    <w:left w:val="none" w:sz="0" w:space="0" w:color="auto"/>
                                    <w:bottom w:val="none" w:sz="0" w:space="0" w:color="auto"/>
                                    <w:right w:val="none" w:sz="0" w:space="0" w:color="auto"/>
                                  </w:divBdr>
                                  <w:divsChild>
                                    <w:div w:id="1665279499">
                                      <w:marLeft w:val="0"/>
                                      <w:marRight w:val="0"/>
                                      <w:marTop w:val="0"/>
                                      <w:marBottom w:val="0"/>
                                      <w:divBdr>
                                        <w:top w:val="none" w:sz="0" w:space="0" w:color="auto"/>
                                        <w:left w:val="none" w:sz="0" w:space="0" w:color="auto"/>
                                        <w:bottom w:val="none" w:sz="0" w:space="0" w:color="auto"/>
                                        <w:right w:val="none" w:sz="0" w:space="0" w:color="auto"/>
                                      </w:divBdr>
                                      <w:divsChild>
                                        <w:div w:id="1451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6635">
      <w:bodyDiv w:val="1"/>
      <w:marLeft w:val="0"/>
      <w:marRight w:val="0"/>
      <w:marTop w:val="0"/>
      <w:marBottom w:val="0"/>
      <w:divBdr>
        <w:top w:val="none" w:sz="0" w:space="0" w:color="auto"/>
        <w:left w:val="none" w:sz="0" w:space="0" w:color="auto"/>
        <w:bottom w:val="none" w:sz="0" w:space="0" w:color="auto"/>
        <w:right w:val="none" w:sz="0" w:space="0" w:color="auto"/>
      </w:divBdr>
      <w:divsChild>
        <w:div w:id="1212768296">
          <w:marLeft w:val="0"/>
          <w:marRight w:val="0"/>
          <w:marTop w:val="0"/>
          <w:marBottom w:val="0"/>
          <w:divBdr>
            <w:top w:val="none" w:sz="0" w:space="0" w:color="auto"/>
            <w:left w:val="none" w:sz="0" w:space="0" w:color="auto"/>
            <w:bottom w:val="none" w:sz="0" w:space="0" w:color="auto"/>
            <w:right w:val="none" w:sz="0" w:space="0" w:color="auto"/>
          </w:divBdr>
          <w:divsChild>
            <w:div w:id="440145073">
              <w:marLeft w:val="0"/>
              <w:marRight w:val="0"/>
              <w:marTop w:val="0"/>
              <w:marBottom w:val="0"/>
              <w:divBdr>
                <w:top w:val="none" w:sz="0" w:space="0" w:color="auto"/>
                <w:left w:val="none" w:sz="0" w:space="0" w:color="auto"/>
                <w:bottom w:val="none" w:sz="0" w:space="0" w:color="auto"/>
                <w:right w:val="none" w:sz="0" w:space="0" w:color="auto"/>
              </w:divBdr>
              <w:divsChild>
                <w:div w:id="412241589">
                  <w:marLeft w:val="0"/>
                  <w:marRight w:val="0"/>
                  <w:marTop w:val="0"/>
                  <w:marBottom w:val="0"/>
                  <w:divBdr>
                    <w:top w:val="none" w:sz="0" w:space="0" w:color="auto"/>
                    <w:left w:val="none" w:sz="0" w:space="0" w:color="auto"/>
                    <w:bottom w:val="none" w:sz="0" w:space="0" w:color="auto"/>
                    <w:right w:val="none" w:sz="0" w:space="0" w:color="auto"/>
                  </w:divBdr>
                  <w:divsChild>
                    <w:div w:id="8233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carrier@hschang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cmillen@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1368</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9539</CharactersWithSpaces>
  <SharedDoc>false</SharedDoc>
  <HLinks>
    <vt:vector size="24" baseType="variant">
      <vt:variant>
        <vt:i4>2686993</vt:i4>
      </vt:variant>
      <vt:variant>
        <vt:i4>6</vt:i4>
      </vt:variant>
      <vt:variant>
        <vt:i4>0</vt:i4>
      </vt:variant>
      <vt:variant>
        <vt:i4>5</vt:i4>
      </vt:variant>
      <vt:variant>
        <vt:lpwstr>mailto:ecarrier@hschange.org</vt:lpwstr>
      </vt:variant>
      <vt:variant>
        <vt:lpwstr/>
      </vt:variant>
      <vt:variant>
        <vt:i4>1638426</vt:i4>
      </vt:variant>
      <vt:variant>
        <vt:i4>3</vt:i4>
      </vt:variant>
      <vt:variant>
        <vt:i4>0</vt:i4>
      </vt:variant>
      <vt:variant>
        <vt:i4>5</vt:i4>
      </vt:variant>
      <vt:variant>
        <vt:lpwstr>http://www.hschange.org/index.cgi?data=17</vt:lpwstr>
      </vt:variant>
      <vt:variant>
        <vt:lpwstr/>
      </vt:variant>
      <vt:variant>
        <vt:i4>1703974</vt:i4>
      </vt:variant>
      <vt:variant>
        <vt:i4>0</vt:i4>
      </vt:variant>
      <vt:variant>
        <vt:i4>0</vt:i4>
      </vt:variant>
      <vt:variant>
        <vt:i4>5</vt:i4>
      </vt:variant>
      <vt:variant>
        <vt:lpwstr>mailto:amcmillen@cdc.gov</vt:lpwstr>
      </vt:variant>
      <vt:variant>
        <vt:lpwstr/>
      </vt:variant>
      <vt:variant>
        <vt:i4>1638426</vt:i4>
      </vt:variant>
      <vt:variant>
        <vt:i4>0</vt:i4>
      </vt:variant>
      <vt:variant>
        <vt:i4>0</vt:i4>
      </vt:variant>
      <vt:variant>
        <vt:i4>5</vt:i4>
      </vt:variant>
      <vt:variant>
        <vt:lpwstr>http://www.hschange.org/index.cgi?data=17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subject/>
  <dc:creator>aeo1</dc:creator>
  <cp:keywords/>
  <dc:description/>
  <cp:lastModifiedBy>Centers for Disease Control &amp; Prevention</cp:lastModifiedBy>
  <cp:revision>3</cp:revision>
  <cp:lastPrinted>2011-02-28T22:54:00Z</cp:lastPrinted>
  <dcterms:created xsi:type="dcterms:W3CDTF">2011-05-04T15:09:00Z</dcterms:created>
  <dcterms:modified xsi:type="dcterms:W3CDTF">2011-05-04T15:10:00Z</dcterms:modified>
</cp:coreProperties>
</file>