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F41" w:rsidRDefault="00127F41" w:rsidP="00B9657C">
      <w:pPr>
        <w:jc w:val="center"/>
        <w:rPr>
          <w:b/>
          <w:bCs/>
          <w:sz w:val="24"/>
          <w:szCs w:val="24"/>
        </w:rPr>
      </w:pPr>
    </w:p>
    <w:p w:rsidR="00D52774" w:rsidRDefault="00D52774" w:rsidP="00B9657C">
      <w:pPr>
        <w:jc w:val="center"/>
        <w:rPr>
          <w:b/>
          <w:bCs/>
          <w:sz w:val="24"/>
          <w:szCs w:val="24"/>
        </w:rPr>
      </w:pPr>
    </w:p>
    <w:p w:rsidR="00D52774" w:rsidRPr="0035440B" w:rsidRDefault="00D52774" w:rsidP="00B9657C">
      <w:pPr>
        <w:jc w:val="center"/>
        <w:rPr>
          <w:b/>
          <w:bCs/>
          <w:sz w:val="24"/>
          <w:szCs w:val="24"/>
        </w:rPr>
      </w:pPr>
    </w:p>
    <w:p w:rsidR="00127F41" w:rsidRPr="0035440B" w:rsidRDefault="00127F41" w:rsidP="007106AD">
      <w:pPr>
        <w:pStyle w:val="Title"/>
        <w:ind w:left="0"/>
      </w:pPr>
      <w:r w:rsidRPr="0035440B">
        <w:t>SUPPORTING STATEMENT B FOR:</w:t>
      </w:r>
    </w:p>
    <w:p w:rsidR="00127F41" w:rsidRPr="0035440B" w:rsidRDefault="00127F41" w:rsidP="007106AD">
      <w:pPr>
        <w:pStyle w:val="Title"/>
        <w:ind w:left="0"/>
      </w:pPr>
    </w:p>
    <w:p w:rsidR="00127F41" w:rsidRPr="0035440B" w:rsidRDefault="00127F41" w:rsidP="007106AD">
      <w:pPr>
        <w:pStyle w:val="Title"/>
        <w:ind w:left="0"/>
      </w:pPr>
    </w:p>
    <w:p w:rsidR="00127F41" w:rsidRPr="0035440B" w:rsidRDefault="00127F41" w:rsidP="007106AD">
      <w:pPr>
        <w:pStyle w:val="Title"/>
        <w:spacing w:line="480" w:lineRule="auto"/>
        <w:ind w:left="0"/>
        <w:rPr>
          <w:b w:val="0"/>
          <w:bCs w:val="0"/>
        </w:rPr>
      </w:pPr>
      <w:r w:rsidRPr="0035440B">
        <w:rPr>
          <w:b w:val="0"/>
          <w:bCs w:val="0"/>
        </w:rPr>
        <w:t>Interactive Diet and Activity Tracking in AARP (</w:t>
      </w:r>
      <w:proofErr w:type="spellStart"/>
      <w:r w:rsidRPr="0035440B">
        <w:rPr>
          <w:b w:val="0"/>
          <w:bCs w:val="0"/>
        </w:rPr>
        <w:t>iDATA</w:t>
      </w:r>
      <w:proofErr w:type="spellEnd"/>
      <w:r w:rsidRPr="0035440B">
        <w:rPr>
          <w:b w:val="0"/>
          <w:bCs w:val="0"/>
        </w:rPr>
        <w:t>):</w:t>
      </w:r>
    </w:p>
    <w:p w:rsidR="00127F41" w:rsidRPr="0035440B" w:rsidRDefault="00127F41" w:rsidP="007106AD">
      <w:pPr>
        <w:pStyle w:val="Title"/>
        <w:spacing w:line="480" w:lineRule="auto"/>
        <w:ind w:left="0"/>
      </w:pPr>
      <w:r w:rsidRPr="0035440B">
        <w:rPr>
          <w:b w:val="0"/>
          <w:bCs w:val="0"/>
        </w:rPr>
        <w:t xml:space="preserve">Biomarker </w:t>
      </w:r>
      <w:r w:rsidR="00E15E4C">
        <w:rPr>
          <w:b w:val="0"/>
          <w:bCs w:val="0"/>
        </w:rPr>
        <w:t>B</w:t>
      </w:r>
      <w:r w:rsidRPr="0035440B">
        <w:rPr>
          <w:b w:val="0"/>
          <w:bCs w:val="0"/>
        </w:rPr>
        <w:t xml:space="preserve">ased </w:t>
      </w:r>
      <w:r w:rsidR="00E15E4C">
        <w:rPr>
          <w:b w:val="0"/>
          <w:bCs w:val="0"/>
        </w:rPr>
        <w:t>V</w:t>
      </w:r>
      <w:r w:rsidRPr="0035440B">
        <w:rPr>
          <w:b w:val="0"/>
          <w:bCs w:val="0"/>
        </w:rPr>
        <w:t xml:space="preserve">alidation </w:t>
      </w:r>
      <w:r w:rsidR="00E15E4C">
        <w:rPr>
          <w:b w:val="0"/>
          <w:bCs w:val="0"/>
        </w:rPr>
        <w:t>S</w:t>
      </w:r>
      <w:r w:rsidRPr="0035440B">
        <w:rPr>
          <w:b w:val="0"/>
          <w:bCs w:val="0"/>
        </w:rPr>
        <w:t xml:space="preserve">tudy </w:t>
      </w:r>
    </w:p>
    <w:p w:rsidR="00127F41" w:rsidRPr="0035440B" w:rsidRDefault="00127F41" w:rsidP="007106AD">
      <w:pPr>
        <w:spacing w:line="480" w:lineRule="auto"/>
        <w:jc w:val="center"/>
        <w:rPr>
          <w:color w:val="000000"/>
          <w:sz w:val="24"/>
          <w:szCs w:val="24"/>
          <w:highlight w:val="yellow"/>
        </w:rPr>
      </w:pPr>
    </w:p>
    <w:p w:rsidR="00127F41" w:rsidRPr="0035440B" w:rsidRDefault="00127F41" w:rsidP="007106AD">
      <w:pPr>
        <w:jc w:val="center"/>
        <w:rPr>
          <w:b/>
          <w:bCs/>
          <w:caps/>
          <w:sz w:val="24"/>
          <w:szCs w:val="24"/>
        </w:rPr>
      </w:pPr>
    </w:p>
    <w:p w:rsidR="00127F41" w:rsidRPr="0035440B" w:rsidRDefault="00127F41" w:rsidP="007106AD">
      <w:pPr>
        <w:jc w:val="center"/>
        <w:rPr>
          <w:b/>
          <w:bCs/>
          <w:caps/>
          <w:sz w:val="24"/>
          <w:szCs w:val="24"/>
        </w:rPr>
      </w:pPr>
    </w:p>
    <w:p w:rsidR="00127F41" w:rsidRPr="0035440B" w:rsidRDefault="00127F41" w:rsidP="007106AD">
      <w:pPr>
        <w:jc w:val="center"/>
        <w:rPr>
          <w:sz w:val="24"/>
          <w:szCs w:val="24"/>
        </w:rPr>
      </w:pPr>
      <w:r w:rsidRPr="0035440B">
        <w:rPr>
          <w:b/>
          <w:bCs/>
          <w:caps/>
          <w:sz w:val="24"/>
          <w:szCs w:val="24"/>
        </w:rPr>
        <w:t>nATIONAL CANCER INSTITUTE (NCI)</w:t>
      </w:r>
    </w:p>
    <w:p w:rsidR="00127F41" w:rsidRPr="0035440B" w:rsidRDefault="00127F41" w:rsidP="007106AD">
      <w:pPr>
        <w:rPr>
          <w:sz w:val="24"/>
          <w:szCs w:val="24"/>
        </w:rPr>
      </w:pPr>
    </w:p>
    <w:p w:rsidR="00127F41" w:rsidRPr="0035440B" w:rsidRDefault="00D52774" w:rsidP="007106AD">
      <w:pPr>
        <w:jc w:val="center"/>
        <w:rPr>
          <w:sz w:val="24"/>
          <w:szCs w:val="24"/>
        </w:rPr>
      </w:pPr>
      <w:r>
        <w:rPr>
          <w:sz w:val="24"/>
          <w:szCs w:val="24"/>
        </w:rPr>
        <w:t>May</w:t>
      </w:r>
      <w:r w:rsidR="00E15E4C">
        <w:rPr>
          <w:sz w:val="24"/>
          <w:szCs w:val="24"/>
        </w:rPr>
        <w:t>, 2011</w:t>
      </w:r>
    </w:p>
    <w:p w:rsidR="00127F41" w:rsidRPr="0035440B" w:rsidRDefault="00127F41" w:rsidP="007106AD">
      <w:pPr>
        <w:rPr>
          <w:sz w:val="24"/>
          <w:szCs w:val="24"/>
        </w:rPr>
      </w:pPr>
    </w:p>
    <w:p w:rsidR="00127F41" w:rsidRPr="0035440B" w:rsidRDefault="00127F41" w:rsidP="007106AD">
      <w:pPr>
        <w:rPr>
          <w:sz w:val="24"/>
          <w:szCs w:val="24"/>
        </w:rPr>
      </w:pPr>
    </w:p>
    <w:p w:rsidR="00127F41" w:rsidRDefault="00127F41" w:rsidP="007106AD">
      <w:pPr>
        <w:pStyle w:val="Title"/>
        <w:ind w:left="0"/>
      </w:pPr>
      <w:r w:rsidRPr="0035440B">
        <w:t xml:space="preserve">Heather Bowles, </w:t>
      </w:r>
      <w:proofErr w:type="spellStart"/>
      <w:r w:rsidRPr="0035440B">
        <w:t>Ph.D</w:t>
      </w:r>
      <w:proofErr w:type="spellEnd"/>
    </w:p>
    <w:p w:rsidR="004F1F0F" w:rsidRPr="0035440B" w:rsidRDefault="004F1F0F" w:rsidP="004F1F0F">
      <w:pPr>
        <w:pStyle w:val="Title"/>
        <w:ind w:left="0"/>
      </w:pPr>
      <w:r w:rsidRPr="0035440B">
        <w:t>Co-Principal Investigator</w:t>
      </w:r>
    </w:p>
    <w:p w:rsidR="00127F41" w:rsidRPr="0035440B" w:rsidRDefault="00127F41" w:rsidP="007106AD">
      <w:pPr>
        <w:pStyle w:val="Title"/>
        <w:ind w:left="0"/>
      </w:pPr>
      <w:r w:rsidRPr="0035440B">
        <w:t>Risk Factor Monitoring and Methods Branch</w:t>
      </w:r>
    </w:p>
    <w:p w:rsidR="00127F41" w:rsidRPr="0035440B" w:rsidRDefault="00127F41" w:rsidP="007106AD">
      <w:pPr>
        <w:pStyle w:val="Title"/>
        <w:ind w:left="0"/>
      </w:pPr>
      <w:r w:rsidRPr="0035440B">
        <w:t>Applied Research Program</w:t>
      </w:r>
    </w:p>
    <w:p w:rsidR="00127F41" w:rsidRPr="0035440B" w:rsidRDefault="00127F41" w:rsidP="007106AD">
      <w:pPr>
        <w:pStyle w:val="Title"/>
        <w:ind w:left="0"/>
      </w:pPr>
      <w:r w:rsidRPr="0035440B">
        <w:t xml:space="preserve">Division of Cancer Control and Population Sciences </w:t>
      </w:r>
    </w:p>
    <w:p w:rsidR="00127F41" w:rsidRPr="0035440B" w:rsidRDefault="00127F41" w:rsidP="007106AD">
      <w:pPr>
        <w:pStyle w:val="Title"/>
        <w:ind w:left="0"/>
      </w:pPr>
      <w:r w:rsidRPr="0035440B">
        <w:t>National Cancer Institute</w:t>
      </w:r>
    </w:p>
    <w:p w:rsidR="00127F41" w:rsidRPr="0035440B" w:rsidRDefault="00127F41" w:rsidP="007106AD">
      <w:pPr>
        <w:pStyle w:val="Title"/>
        <w:ind w:left="0"/>
      </w:pPr>
      <w:r w:rsidRPr="0035440B">
        <w:t>EPN 4026</w:t>
      </w:r>
    </w:p>
    <w:p w:rsidR="00127F41" w:rsidRPr="0035440B" w:rsidRDefault="00127F41" w:rsidP="007106AD">
      <w:pPr>
        <w:pStyle w:val="Title"/>
        <w:ind w:left="0"/>
      </w:pPr>
      <w:r w:rsidRPr="0035440B">
        <w:t>6130 Executive Blvd MSC 7344</w:t>
      </w:r>
    </w:p>
    <w:p w:rsidR="00127F41" w:rsidRPr="0035440B" w:rsidRDefault="00127F41" w:rsidP="007106AD">
      <w:pPr>
        <w:pStyle w:val="Title"/>
        <w:ind w:left="0"/>
      </w:pPr>
      <w:r w:rsidRPr="0035440B">
        <w:t>Bethesda, MD  20892-7344</w:t>
      </w:r>
    </w:p>
    <w:p w:rsidR="00127F41" w:rsidRPr="0035440B" w:rsidRDefault="00127F41" w:rsidP="007106AD">
      <w:pPr>
        <w:pStyle w:val="Title"/>
        <w:ind w:left="0"/>
      </w:pPr>
      <w:r w:rsidRPr="0035440B">
        <w:t>Telephone: (301) 496-8500</w:t>
      </w:r>
    </w:p>
    <w:p w:rsidR="00127F41" w:rsidRPr="0035440B" w:rsidRDefault="00127F41" w:rsidP="007106AD">
      <w:pPr>
        <w:pStyle w:val="Title"/>
        <w:ind w:left="0"/>
      </w:pPr>
      <w:r w:rsidRPr="0035440B">
        <w:t xml:space="preserve">E-mail: </w:t>
      </w:r>
      <w:hyperlink r:id="rId7" w:history="1">
        <w:r w:rsidRPr="0035440B">
          <w:rPr>
            <w:rStyle w:val="Hyperlink"/>
          </w:rPr>
          <w:t>bowleshr@mail.nih.gov</w:t>
        </w:r>
      </w:hyperlink>
    </w:p>
    <w:p w:rsidR="00127F41" w:rsidRPr="0035440B" w:rsidRDefault="00127F41" w:rsidP="007106AD">
      <w:pPr>
        <w:pStyle w:val="Title"/>
        <w:ind w:left="0"/>
      </w:pPr>
    </w:p>
    <w:p w:rsidR="00127F41" w:rsidRPr="0035440B" w:rsidRDefault="00127F41" w:rsidP="007106AD">
      <w:pPr>
        <w:pStyle w:val="Title"/>
        <w:ind w:left="0"/>
        <w:jc w:val="left"/>
        <w:rPr>
          <w:color w:val="FF0000"/>
        </w:rPr>
      </w:pPr>
    </w:p>
    <w:p w:rsidR="00127F41" w:rsidRPr="0035440B" w:rsidRDefault="00127F41" w:rsidP="004E5C73">
      <w:pPr>
        <w:pStyle w:val="Title"/>
        <w:ind w:left="0"/>
      </w:pPr>
      <w:r w:rsidRPr="0035440B">
        <w:t xml:space="preserve">Yikyung Park, </w:t>
      </w:r>
      <w:proofErr w:type="spellStart"/>
      <w:r w:rsidRPr="0035440B">
        <w:t>Sc.D</w:t>
      </w:r>
      <w:proofErr w:type="spellEnd"/>
    </w:p>
    <w:p w:rsidR="00127F41" w:rsidRPr="0035440B" w:rsidRDefault="00127F41" w:rsidP="004E5C73">
      <w:pPr>
        <w:pStyle w:val="Title"/>
        <w:ind w:left="0"/>
      </w:pPr>
      <w:r w:rsidRPr="0035440B">
        <w:t>Co-Principal Investigator</w:t>
      </w:r>
    </w:p>
    <w:p w:rsidR="00127F41" w:rsidRPr="0035440B" w:rsidRDefault="00127F41" w:rsidP="004E5C73">
      <w:pPr>
        <w:pStyle w:val="Title"/>
        <w:ind w:left="0"/>
      </w:pPr>
      <w:r w:rsidRPr="0035440B">
        <w:t xml:space="preserve">Nutritional Epidemiology Branch </w:t>
      </w:r>
    </w:p>
    <w:p w:rsidR="00127F41" w:rsidRPr="0035440B" w:rsidRDefault="00127F41" w:rsidP="004E5C73">
      <w:pPr>
        <w:pStyle w:val="Title"/>
        <w:ind w:left="0"/>
      </w:pPr>
      <w:r w:rsidRPr="0035440B">
        <w:t xml:space="preserve">Division of Cancer Epidemiology and Genetics </w:t>
      </w:r>
    </w:p>
    <w:p w:rsidR="00127F41" w:rsidRPr="0035440B" w:rsidRDefault="00127F41" w:rsidP="004E5C73">
      <w:pPr>
        <w:pStyle w:val="Title"/>
        <w:ind w:left="0"/>
      </w:pPr>
      <w:r w:rsidRPr="0035440B">
        <w:t>National Cancer Institute</w:t>
      </w:r>
    </w:p>
    <w:p w:rsidR="00127F41" w:rsidRPr="0035440B" w:rsidRDefault="00127F41" w:rsidP="004E5C73">
      <w:pPr>
        <w:pStyle w:val="Title"/>
        <w:ind w:left="0"/>
      </w:pPr>
      <w:r w:rsidRPr="0035440B">
        <w:t>EPS 3048</w:t>
      </w:r>
    </w:p>
    <w:p w:rsidR="00127F41" w:rsidRPr="0035440B" w:rsidRDefault="00127F41" w:rsidP="004E5C73">
      <w:pPr>
        <w:pStyle w:val="Title"/>
        <w:ind w:left="0"/>
      </w:pPr>
      <w:r w:rsidRPr="0035440B">
        <w:t>6120 Executive Boulevard, MSC 7242</w:t>
      </w:r>
    </w:p>
    <w:p w:rsidR="00127F41" w:rsidRPr="0035440B" w:rsidRDefault="00127F41" w:rsidP="004E5C73">
      <w:pPr>
        <w:pStyle w:val="Title"/>
        <w:ind w:left="0"/>
      </w:pPr>
      <w:r w:rsidRPr="0035440B">
        <w:t>Bethesda, Maryland 20892-7335</w:t>
      </w:r>
    </w:p>
    <w:p w:rsidR="00127F41" w:rsidRPr="0035440B" w:rsidRDefault="00127F41" w:rsidP="004E5C73">
      <w:pPr>
        <w:pStyle w:val="Title"/>
        <w:ind w:left="0"/>
      </w:pPr>
      <w:r w:rsidRPr="0035440B">
        <w:t>Telephone: (301) 594-6394</w:t>
      </w:r>
    </w:p>
    <w:p w:rsidR="00127F41" w:rsidRPr="0035440B" w:rsidRDefault="00127F41" w:rsidP="004E5C73">
      <w:pPr>
        <w:pStyle w:val="Title"/>
        <w:ind w:left="0"/>
      </w:pPr>
      <w:r w:rsidRPr="0035440B">
        <w:t xml:space="preserve">Email: </w:t>
      </w:r>
      <w:hyperlink r:id="rId8" w:history="1">
        <w:r w:rsidRPr="0035440B">
          <w:rPr>
            <w:rStyle w:val="Hyperlink"/>
          </w:rPr>
          <w:t>parkyik@mail.nih.gov</w:t>
        </w:r>
      </w:hyperlink>
    </w:p>
    <w:p w:rsidR="00127F41" w:rsidRPr="0035440B" w:rsidRDefault="00127F41" w:rsidP="00B9657C">
      <w:pPr>
        <w:jc w:val="center"/>
        <w:rPr>
          <w:b/>
          <w:bCs/>
          <w:sz w:val="24"/>
          <w:szCs w:val="24"/>
        </w:rPr>
      </w:pPr>
      <w:r w:rsidRPr="0035440B">
        <w:rPr>
          <w:sz w:val="24"/>
          <w:szCs w:val="24"/>
        </w:rPr>
        <w:br w:type="page"/>
      </w:r>
    </w:p>
    <w:p w:rsidR="00127F41" w:rsidRPr="0035440B" w:rsidRDefault="00127F41" w:rsidP="00C04707">
      <w:pPr>
        <w:jc w:val="center"/>
        <w:rPr>
          <w:b/>
          <w:bCs/>
          <w:sz w:val="24"/>
          <w:szCs w:val="24"/>
        </w:rPr>
      </w:pPr>
      <w:r w:rsidRPr="0035440B">
        <w:rPr>
          <w:b/>
          <w:bCs/>
          <w:sz w:val="24"/>
          <w:szCs w:val="24"/>
        </w:rPr>
        <w:lastRenderedPageBreak/>
        <w:t>Table of Contents</w:t>
      </w:r>
    </w:p>
    <w:p w:rsidR="00127F41" w:rsidRPr="0035440B" w:rsidRDefault="00127F41" w:rsidP="00C04707">
      <w:pPr>
        <w:jc w:val="center"/>
        <w:rPr>
          <w:b/>
          <w:bCs/>
          <w:sz w:val="24"/>
          <w:szCs w:val="24"/>
        </w:rPr>
      </w:pPr>
    </w:p>
    <w:p w:rsidR="00127F41" w:rsidRPr="0035440B" w:rsidRDefault="00127F41" w:rsidP="00F95CFD">
      <w:pPr>
        <w:pStyle w:val="TOC2"/>
        <w:spacing w:before="288" w:after="288"/>
      </w:pPr>
      <w:r w:rsidRPr="0035440B">
        <w:t>B.</w:t>
      </w:r>
      <w:r w:rsidRPr="0035440B">
        <w:tab/>
        <w:t>statistical methods</w:t>
      </w:r>
      <w:r w:rsidRPr="0035440B">
        <w:tab/>
      </w:r>
      <w:r w:rsidR="00F22045">
        <w:t>1</w:t>
      </w:r>
    </w:p>
    <w:p w:rsidR="00127F41" w:rsidRPr="0035440B" w:rsidRDefault="00127F41">
      <w:pPr>
        <w:pStyle w:val="TOC2"/>
        <w:spacing w:before="288" w:after="288"/>
        <w:rPr>
          <w:noProof/>
        </w:rPr>
      </w:pPr>
      <w:r w:rsidRPr="0035440B">
        <w:rPr>
          <w:noProof/>
        </w:rPr>
        <w:t>B.1</w:t>
      </w:r>
      <w:r w:rsidRPr="0035440B">
        <w:rPr>
          <w:noProof/>
        </w:rPr>
        <w:tab/>
        <w:t>Respondent Universe and Sampling Methods</w:t>
      </w:r>
      <w:r w:rsidRPr="0035440B">
        <w:rPr>
          <w:noProof/>
        </w:rPr>
        <w:tab/>
      </w:r>
      <w:r w:rsidR="00F22045">
        <w:rPr>
          <w:noProof/>
        </w:rPr>
        <w:t>1</w:t>
      </w:r>
    </w:p>
    <w:p w:rsidR="00127F41" w:rsidRPr="0035440B" w:rsidRDefault="00127F41">
      <w:pPr>
        <w:pStyle w:val="TOC2"/>
        <w:spacing w:before="288" w:after="288"/>
        <w:rPr>
          <w:noProof/>
        </w:rPr>
      </w:pPr>
      <w:r w:rsidRPr="0035440B">
        <w:rPr>
          <w:noProof/>
        </w:rPr>
        <w:t>B.2.</w:t>
      </w:r>
      <w:r w:rsidRPr="0035440B">
        <w:rPr>
          <w:noProof/>
        </w:rPr>
        <w:tab/>
        <w:t>Procedures for the Collection of Information</w:t>
      </w:r>
      <w:r w:rsidRPr="0035440B">
        <w:rPr>
          <w:noProof/>
        </w:rPr>
        <w:tab/>
      </w:r>
      <w:r w:rsidR="00F22045">
        <w:rPr>
          <w:noProof/>
        </w:rPr>
        <w:t>4</w:t>
      </w:r>
    </w:p>
    <w:p w:rsidR="00127F41" w:rsidRPr="0035440B" w:rsidRDefault="00127F41">
      <w:pPr>
        <w:pStyle w:val="TOC2"/>
        <w:spacing w:before="288" w:after="288"/>
        <w:rPr>
          <w:noProof/>
        </w:rPr>
      </w:pPr>
      <w:r w:rsidRPr="0035440B">
        <w:rPr>
          <w:noProof/>
        </w:rPr>
        <w:t>B.3</w:t>
      </w:r>
      <w:r w:rsidRPr="0035440B">
        <w:rPr>
          <w:noProof/>
        </w:rPr>
        <w:tab/>
        <w:t>Methods to Maximize Response Rates and Deal with Nonresponse</w:t>
      </w:r>
      <w:r w:rsidRPr="0035440B">
        <w:rPr>
          <w:noProof/>
        </w:rPr>
        <w:tab/>
      </w:r>
      <w:r w:rsidR="00F22045">
        <w:rPr>
          <w:noProof/>
        </w:rPr>
        <w:t>7</w:t>
      </w:r>
    </w:p>
    <w:p w:rsidR="00127F41" w:rsidRPr="0035440B" w:rsidRDefault="00127F41">
      <w:pPr>
        <w:pStyle w:val="TOC2"/>
        <w:spacing w:before="288" w:after="288"/>
        <w:rPr>
          <w:noProof/>
        </w:rPr>
      </w:pPr>
      <w:r w:rsidRPr="0035440B">
        <w:rPr>
          <w:noProof/>
        </w:rPr>
        <w:t>B.4</w:t>
      </w:r>
      <w:r w:rsidRPr="0035440B">
        <w:rPr>
          <w:noProof/>
        </w:rPr>
        <w:tab/>
        <w:t>Test of Procedures or Methods to be Undertaken</w:t>
      </w:r>
      <w:r w:rsidRPr="0035440B">
        <w:rPr>
          <w:noProof/>
        </w:rPr>
        <w:tab/>
      </w:r>
      <w:r w:rsidR="00D52774">
        <w:rPr>
          <w:noProof/>
        </w:rPr>
        <w:t>9</w:t>
      </w:r>
    </w:p>
    <w:p w:rsidR="00127F41" w:rsidRPr="0035440B" w:rsidRDefault="00127F41">
      <w:pPr>
        <w:pStyle w:val="TOC2"/>
        <w:spacing w:before="288" w:after="288"/>
        <w:rPr>
          <w:noProof/>
        </w:rPr>
      </w:pPr>
      <w:r w:rsidRPr="0035440B">
        <w:rPr>
          <w:noProof/>
        </w:rPr>
        <w:t>B.5</w:t>
      </w:r>
      <w:r w:rsidRPr="0035440B">
        <w:rPr>
          <w:noProof/>
        </w:rPr>
        <w:tab/>
        <w:t xml:space="preserve">Individuals Consulted on Statistical Aspects and Individuals Collecting </w:t>
      </w:r>
    </w:p>
    <w:p w:rsidR="00127F41" w:rsidRPr="0035440B" w:rsidRDefault="00127F41">
      <w:pPr>
        <w:pStyle w:val="TOC2"/>
        <w:spacing w:before="288" w:after="288"/>
        <w:rPr>
          <w:noProof/>
        </w:rPr>
      </w:pPr>
      <w:r w:rsidRPr="0035440B">
        <w:rPr>
          <w:noProof/>
        </w:rPr>
        <w:tab/>
        <w:t>and/or Analyzing Data</w:t>
      </w:r>
      <w:r w:rsidRPr="0035440B">
        <w:rPr>
          <w:noProof/>
        </w:rPr>
        <w:tab/>
      </w:r>
      <w:r w:rsidR="00D52774">
        <w:rPr>
          <w:noProof/>
        </w:rPr>
        <w:t>10</w:t>
      </w:r>
    </w:p>
    <w:p w:rsidR="00127F41" w:rsidRPr="0035440B" w:rsidRDefault="00127F41" w:rsidP="00F95CFD">
      <w:pPr>
        <w:pStyle w:val="TOC2"/>
        <w:spacing w:before="288" w:after="288"/>
        <w:rPr>
          <w:noProof/>
        </w:rPr>
      </w:pPr>
    </w:p>
    <w:p w:rsidR="00127F41" w:rsidRPr="0035440B" w:rsidRDefault="00127F41">
      <w:pPr>
        <w:pStyle w:val="TOC2"/>
        <w:spacing w:before="288" w:after="288"/>
        <w:rPr>
          <w:noProof/>
        </w:rPr>
      </w:pPr>
    </w:p>
    <w:p w:rsidR="00127F41" w:rsidRPr="0035440B" w:rsidRDefault="00127F41" w:rsidP="00C04707">
      <w:pPr>
        <w:jc w:val="center"/>
        <w:rPr>
          <w:b/>
          <w:bCs/>
          <w:sz w:val="24"/>
          <w:szCs w:val="24"/>
        </w:rPr>
      </w:pPr>
    </w:p>
    <w:p w:rsidR="00AA0D68" w:rsidRDefault="00127F41" w:rsidP="00AA0D68">
      <w:pPr>
        <w:tabs>
          <w:tab w:val="left" w:pos="2160"/>
          <w:tab w:val="right" w:leader="dot" w:pos="9900"/>
        </w:tabs>
        <w:spacing w:line="240" w:lineRule="auto"/>
        <w:ind w:right="475"/>
        <w:jc w:val="center"/>
        <w:rPr>
          <w:smallCaps/>
          <w:noProof/>
          <w:sz w:val="24"/>
          <w:szCs w:val="24"/>
        </w:rPr>
      </w:pPr>
      <w:r w:rsidRPr="0035440B">
        <w:rPr>
          <w:smallCaps/>
          <w:noProof/>
          <w:sz w:val="24"/>
          <w:szCs w:val="24"/>
        </w:rPr>
        <w:br w:type="page"/>
      </w:r>
    </w:p>
    <w:p w:rsidR="00AA0D68" w:rsidRPr="005445A1" w:rsidRDefault="00AA0D68" w:rsidP="00AA0D68">
      <w:pPr>
        <w:tabs>
          <w:tab w:val="left" w:pos="2160"/>
          <w:tab w:val="right" w:leader="dot" w:pos="9900"/>
        </w:tabs>
        <w:spacing w:line="240" w:lineRule="auto"/>
        <w:ind w:right="475"/>
        <w:jc w:val="center"/>
        <w:rPr>
          <w:smallCaps/>
          <w:noProof/>
          <w:sz w:val="24"/>
          <w:szCs w:val="24"/>
        </w:rPr>
      </w:pPr>
    </w:p>
    <w:p w:rsidR="00D52774" w:rsidRPr="00F47C7C" w:rsidRDefault="00D52774" w:rsidP="00D52774">
      <w:pPr>
        <w:tabs>
          <w:tab w:val="left" w:pos="2160"/>
          <w:tab w:val="right" w:leader="dot" w:pos="9900"/>
        </w:tabs>
        <w:spacing w:line="240" w:lineRule="auto"/>
        <w:ind w:right="475"/>
        <w:jc w:val="center"/>
        <w:rPr>
          <w:b/>
          <w:noProof/>
        </w:rPr>
      </w:pPr>
      <w:r w:rsidRPr="00F47C7C">
        <w:rPr>
          <w:b/>
          <w:noProof/>
        </w:rPr>
        <w:t>LIST OF ATTACHMENTS</w:t>
      </w:r>
    </w:p>
    <w:p w:rsidR="00D52774" w:rsidRPr="00F47C7C" w:rsidRDefault="00D52774" w:rsidP="00D52774">
      <w:pPr>
        <w:tabs>
          <w:tab w:val="left" w:pos="2160"/>
          <w:tab w:val="right" w:leader="dot" w:pos="9900"/>
        </w:tabs>
        <w:spacing w:line="240" w:lineRule="auto"/>
        <w:ind w:right="475"/>
        <w:jc w:val="center"/>
        <w:rPr>
          <w:b/>
          <w:noProof/>
        </w:rPr>
      </w:pPr>
    </w:p>
    <w:p w:rsidR="00D52774" w:rsidRPr="00F47C7C" w:rsidRDefault="00D52774" w:rsidP="00D52774">
      <w:pPr>
        <w:tabs>
          <w:tab w:val="left" w:pos="2160"/>
          <w:tab w:val="right" w:leader="dot" w:pos="9900"/>
        </w:tabs>
        <w:spacing w:line="240" w:lineRule="auto"/>
        <w:ind w:right="475"/>
        <w:jc w:val="center"/>
        <w:rPr>
          <w:b/>
          <w:noProof/>
        </w:rPr>
      </w:pPr>
    </w:p>
    <w:p w:rsidR="00D52774" w:rsidRPr="00F47C7C" w:rsidRDefault="00D52774" w:rsidP="00D52774">
      <w:pPr>
        <w:tabs>
          <w:tab w:val="left" w:pos="0"/>
          <w:tab w:val="left" w:pos="2340"/>
          <w:tab w:val="right" w:leader="dot" w:pos="10080"/>
        </w:tabs>
        <w:spacing w:line="276" w:lineRule="auto"/>
        <w:ind w:right="-720"/>
        <w:rPr>
          <w:noProof/>
        </w:rPr>
      </w:pPr>
      <w:r w:rsidRPr="00F47C7C">
        <w:rPr>
          <w:noProof/>
        </w:rPr>
        <w:t>Attachment 1</w:t>
      </w:r>
      <w:r w:rsidRPr="00F47C7C">
        <w:rPr>
          <w:noProof/>
        </w:rPr>
        <w:tab/>
        <w:t>Pre-Screening Telephone Interview</w:t>
      </w:r>
      <w:r>
        <w:rPr>
          <w:noProof/>
        </w:rPr>
        <w:t>*</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noProof/>
          <w:sz w:val="24"/>
          <w:szCs w:val="24"/>
        </w:rPr>
      </w:pPr>
      <w:r w:rsidRPr="00F47C7C">
        <w:rPr>
          <w:noProof/>
          <w:sz w:val="24"/>
          <w:szCs w:val="24"/>
        </w:rPr>
        <w:t xml:space="preserve">Attachment 2 </w:t>
      </w:r>
      <w:r w:rsidRPr="00F47C7C">
        <w:rPr>
          <w:noProof/>
          <w:sz w:val="24"/>
          <w:szCs w:val="24"/>
        </w:rPr>
        <w:tab/>
        <w:t xml:space="preserve">iDATA </w:t>
      </w:r>
      <w:r>
        <w:rPr>
          <w:noProof/>
          <w:sz w:val="24"/>
          <w:szCs w:val="24"/>
        </w:rPr>
        <w:t>Brochure</w:t>
      </w:r>
    </w:p>
    <w:p w:rsidR="00D52774" w:rsidRPr="00F47C7C" w:rsidRDefault="00D52774" w:rsidP="00D52774">
      <w:pPr>
        <w:tabs>
          <w:tab w:val="left" w:pos="0"/>
          <w:tab w:val="left" w:pos="2340"/>
          <w:tab w:val="right" w:leader="dot" w:pos="9900"/>
        </w:tabs>
        <w:spacing w:line="276" w:lineRule="auto"/>
        <w:ind w:right="360"/>
        <w:rPr>
          <w:noProof/>
        </w:rPr>
      </w:pPr>
      <w:r w:rsidRPr="00F47C7C">
        <w:rPr>
          <w:noProof/>
        </w:rPr>
        <w:t>Attachment 3</w:t>
      </w:r>
      <w:r w:rsidRPr="00F47C7C">
        <w:rPr>
          <w:noProof/>
        </w:rPr>
        <w:tab/>
        <w:t>Clinic Eligibility Screening Interview</w:t>
      </w:r>
      <w:r>
        <w:rPr>
          <w:noProof/>
        </w:rPr>
        <w:t>*</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noProof/>
          <w:sz w:val="24"/>
          <w:szCs w:val="24"/>
        </w:rPr>
      </w:pPr>
      <w:r w:rsidRPr="00F47C7C">
        <w:rPr>
          <w:noProof/>
          <w:sz w:val="24"/>
          <w:szCs w:val="24"/>
        </w:rPr>
        <w:t>Attachment 4A-4B</w:t>
      </w:r>
      <w:r w:rsidRPr="00F47C7C">
        <w:rPr>
          <w:noProof/>
          <w:sz w:val="24"/>
          <w:szCs w:val="24"/>
        </w:rPr>
        <w:tab/>
        <w:t>Informed Consent – Main Study</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noProof/>
          <w:sz w:val="24"/>
          <w:szCs w:val="24"/>
        </w:rPr>
      </w:pPr>
      <w:r w:rsidRPr="00F47C7C">
        <w:rPr>
          <w:noProof/>
          <w:sz w:val="24"/>
          <w:szCs w:val="24"/>
        </w:rPr>
        <w:t>Attachment 5</w:t>
      </w:r>
      <w:r w:rsidRPr="00F47C7C">
        <w:rPr>
          <w:noProof/>
          <w:sz w:val="24"/>
          <w:szCs w:val="24"/>
        </w:rPr>
        <w:tab/>
        <w:t>Fasting Blood Protocol</w:t>
      </w:r>
      <w:r>
        <w:rPr>
          <w:noProof/>
          <w:sz w:val="24"/>
          <w:szCs w:val="24"/>
        </w:rPr>
        <w:t xml:space="preserve"> and Form*</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sz w:val="24"/>
          <w:szCs w:val="24"/>
        </w:rPr>
      </w:pPr>
      <w:r w:rsidRPr="00F47C7C">
        <w:rPr>
          <w:noProof/>
          <w:sz w:val="24"/>
          <w:szCs w:val="24"/>
        </w:rPr>
        <w:t>Attachment 6</w:t>
      </w:r>
      <w:r w:rsidRPr="00F47C7C">
        <w:rPr>
          <w:noProof/>
          <w:sz w:val="24"/>
          <w:szCs w:val="24"/>
        </w:rPr>
        <w:tab/>
        <w:t>Doubly Labeled Water Protocol</w:t>
      </w:r>
      <w:r>
        <w:rPr>
          <w:noProof/>
          <w:sz w:val="24"/>
          <w:szCs w:val="24"/>
        </w:rPr>
        <w:t xml:space="preserve"> and Form*</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sz w:val="24"/>
          <w:szCs w:val="24"/>
        </w:rPr>
      </w:pPr>
      <w:r w:rsidRPr="00F47C7C">
        <w:rPr>
          <w:sz w:val="24"/>
          <w:szCs w:val="24"/>
        </w:rPr>
        <w:t>Attachment</w:t>
      </w:r>
      <w:r w:rsidRPr="00F47C7C">
        <w:rPr>
          <w:noProof/>
          <w:sz w:val="24"/>
          <w:szCs w:val="24"/>
        </w:rPr>
        <w:t xml:space="preserve"> 7</w:t>
      </w:r>
      <w:r w:rsidRPr="00F47C7C">
        <w:rPr>
          <w:noProof/>
          <w:sz w:val="24"/>
          <w:szCs w:val="24"/>
        </w:rPr>
        <w:tab/>
        <w:t>Resting Metabolic Rate Protocol</w:t>
      </w:r>
      <w:r>
        <w:rPr>
          <w:noProof/>
          <w:sz w:val="24"/>
          <w:szCs w:val="24"/>
        </w:rPr>
        <w:t xml:space="preserve"> and Form*</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sz w:val="24"/>
          <w:szCs w:val="24"/>
        </w:rPr>
      </w:pPr>
      <w:r w:rsidRPr="00F47C7C">
        <w:rPr>
          <w:sz w:val="24"/>
          <w:szCs w:val="24"/>
        </w:rPr>
        <w:t>Attachment 8</w:t>
      </w:r>
      <w:r w:rsidRPr="00F47C7C">
        <w:rPr>
          <w:sz w:val="24"/>
          <w:szCs w:val="24"/>
        </w:rPr>
        <w:tab/>
        <w:t xml:space="preserve">Heart Rate Monitor </w:t>
      </w:r>
      <w:r>
        <w:rPr>
          <w:sz w:val="24"/>
          <w:szCs w:val="24"/>
        </w:rPr>
        <w:t>Log*</w:t>
      </w:r>
    </w:p>
    <w:p w:rsidR="00D52774" w:rsidRPr="00F47C7C" w:rsidRDefault="00D52774" w:rsidP="00D52774">
      <w:pPr>
        <w:pStyle w:val="Header"/>
        <w:tabs>
          <w:tab w:val="clear" w:pos="4320"/>
          <w:tab w:val="clear" w:pos="8640"/>
          <w:tab w:val="left" w:pos="0"/>
          <w:tab w:val="left" w:pos="2340"/>
          <w:tab w:val="right" w:leader="dot" w:pos="9900"/>
        </w:tabs>
        <w:spacing w:line="276" w:lineRule="auto"/>
        <w:rPr>
          <w:noProof/>
          <w:sz w:val="24"/>
          <w:szCs w:val="24"/>
        </w:rPr>
      </w:pPr>
      <w:r w:rsidRPr="00F47C7C">
        <w:rPr>
          <w:noProof/>
          <w:sz w:val="24"/>
          <w:szCs w:val="24"/>
        </w:rPr>
        <w:t>Attachment 9</w:t>
      </w:r>
      <w:r w:rsidRPr="00F47C7C">
        <w:rPr>
          <w:noProof/>
          <w:sz w:val="24"/>
          <w:szCs w:val="24"/>
        </w:rPr>
        <w:tab/>
        <w:t>Informed Consent – 100 Subsample</w:t>
      </w:r>
    </w:p>
    <w:p w:rsidR="00D52774" w:rsidRPr="00F47C7C" w:rsidRDefault="00D52774" w:rsidP="00D52774">
      <w:pPr>
        <w:pStyle w:val="Header"/>
        <w:tabs>
          <w:tab w:val="clear" w:pos="4320"/>
          <w:tab w:val="clear" w:pos="8640"/>
          <w:tab w:val="left" w:pos="0"/>
          <w:tab w:val="left" w:pos="2340"/>
          <w:tab w:val="right" w:leader="dot" w:pos="9900"/>
        </w:tabs>
        <w:spacing w:line="276" w:lineRule="auto"/>
        <w:rPr>
          <w:noProof/>
          <w:sz w:val="24"/>
          <w:szCs w:val="24"/>
        </w:rPr>
      </w:pPr>
      <w:r w:rsidRPr="00F47C7C">
        <w:rPr>
          <w:noProof/>
          <w:sz w:val="24"/>
          <w:szCs w:val="24"/>
        </w:rPr>
        <w:t>Attachment 10</w:t>
      </w:r>
      <w:r w:rsidRPr="00F47C7C">
        <w:rPr>
          <w:noProof/>
          <w:sz w:val="24"/>
          <w:szCs w:val="24"/>
        </w:rPr>
        <w:tab/>
        <w:t>Fitness Test Protocol</w:t>
      </w:r>
      <w:r>
        <w:rPr>
          <w:noProof/>
          <w:sz w:val="24"/>
          <w:szCs w:val="24"/>
        </w:rPr>
        <w:t xml:space="preserve"> and Clinical Form*</w:t>
      </w:r>
    </w:p>
    <w:p w:rsidR="00D52774" w:rsidRPr="00F47C7C" w:rsidRDefault="00D52774" w:rsidP="00D52774">
      <w:pPr>
        <w:pStyle w:val="Header"/>
        <w:tabs>
          <w:tab w:val="clear" w:pos="4320"/>
          <w:tab w:val="clear" w:pos="8640"/>
          <w:tab w:val="left" w:pos="0"/>
          <w:tab w:val="left" w:pos="2340"/>
          <w:tab w:val="right" w:leader="dot" w:pos="9900"/>
        </w:tabs>
        <w:spacing w:line="276" w:lineRule="auto"/>
        <w:rPr>
          <w:noProof/>
          <w:sz w:val="24"/>
          <w:szCs w:val="24"/>
        </w:rPr>
      </w:pPr>
      <w:r w:rsidRPr="00F47C7C">
        <w:rPr>
          <w:noProof/>
          <w:sz w:val="24"/>
          <w:szCs w:val="24"/>
        </w:rPr>
        <w:t>Attachment 11</w:t>
      </w:r>
      <w:r>
        <w:rPr>
          <w:noProof/>
          <w:sz w:val="24"/>
          <w:szCs w:val="24"/>
        </w:rPr>
        <w:t>A-11B</w:t>
      </w:r>
      <w:r w:rsidRPr="00F47C7C">
        <w:rPr>
          <w:noProof/>
          <w:sz w:val="24"/>
          <w:szCs w:val="24"/>
        </w:rPr>
        <w:tab/>
        <w:t>Physical Activity Readiness Questionnaire</w:t>
      </w:r>
      <w:r>
        <w:rPr>
          <w:noProof/>
          <w:sz w:val="24"/>
          <w:szCs w:val="24"/>
        </w:rPr>
        <w:t xml:space="preserve">s </w:t>
      </w:r>
      <w:r w:rsidRPr="004659EB">
        <w:rPr>
          <w:noProof/>
        </w:rPr>
        <w:t>(PAR-Q and PARmed-X)</w:t>
      </w:r>
      <w:r>
        <w:rPr>
          <w:noProof/>
          <w:sz w:val="24"/>
          <w:szCs w:val="24"/>
        </w:rPr>
        <w:t>*</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noProof/>
          <w:sz w:val="24"/>
          <w:szCs w:val="24"/>
        </w:rPr>
      </w:pPr>
      <w:r w:rsidRPr="00F47C7C">
        <w:rPr>
          <w:noProof/>
          <w:sz w:val="24"/>
          <w:szCs w:val="24"/>
        </w:rPr>
        <w:t xml:space="preserve">Attachment 12 </w:t>
      </w:r>
      <w:r w:rsidRPr="00F47C7C">
        <w:rPr>
          <w:noProof/>
          <w:sz w:val="24"/>
          <w:szCs w:val="24"/>
        </w:rPr>
        <w:tab/>
        <w:t>Physical Activity Monitor Log</w:t>
      </w:r>
      <w:r>
        <w:rPr>
          <w:noProof/>
          <w:sz w:val="24"/>
          <w:szCs w:val="24"/>
        </w:rPr>
        <w:t>*</w:t>
      </w:r>
    </w:p>
    <w:p w:rsidR="00D52774" w:rsidRPr="00F47C7C" w:rsidRDefault="00D52774" w:rsidP="00D52774">
      <w:pPr>
        <w:tabs>
          <w:tab w:val="left" w:pos="0"/>
          <w:tab w:val="left" w:pos="2340"/>
          <w:tab w:val="right" w:leader="dot" w:pos="9900"/>
        </w:tabs>
        <w:spacing w:line="276" w:lineRule="auto"/>
        <w:ind w:right="360"/>
        <w:rPr>
          <w:noProof/>
        </w:rPr>
      </w:pPr>
      <w:r w:rsidRPr="00F47C7C">
        <w:rPr>
          <w:noProof/>
        </w:rPr>
        <w:t>Attachment 13</w:t>
      </w:r>
      <w:r w:rsidRPr="00F47C7C">
        <w:rPr>
          <w:noProof/>
        </w:rPr>
        <w:tab/>
        <w:t>NHANES III Anthropometric Procedures</w:t>
      </w:r>
      <w:r>
        <w:rPr>
          <w:noProof/>
        </w:rPr>
        <w:t>*</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noProof/>
          <w:sz w:val="24"/>
          <w:szCs w:val="24"/>
        </w:rPr>
      </w:pPr>
      <w:r w:rsidRPr="00F47C7C">
        <w:rPr>
          <w:noProof/>
          <w:sz w:val="24"/>
          <w:szCs w:val="24"/>
        </w:rPr>
        <w:t>Attachment 14</w:t>
      </w:r>
      <w:r w:rsidRPr="00F47C7C">
        <w:rPr>
          <w:noProof/>
          <w:sz w:val="24"/>
          <w:szCs w:val="24"/>
        </w:rPr>
        <w:tab/>
        <w:t>24-Hour Urine Collection Log</w:t>
      </w:r>
      <w:r>
        <w:rPr>
          <w:noProof/>
          <w:sz w:val="24"/>
          <w:szCs w:val="24"/>
        </w:rPr>
        <w:t>*</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noProof/>
          <w:sz w:val="24"/>
          <w:szCs w:val="24"/>
        </w:rPr>
      </w:pPr>
      <w:r w:rsidRPr="00F47C7C">
        <w:rPr>
          <w:noProof/>
          <w:sz w:val="24"/>
          <w:szCs w:val="24"/>
        </w:rPr>
        <w:t>Attachment 15</w:t>
      </w:r>
      <w:r w:rsidRPr="00F47C7C">
        <w:rPr>
          <w:noProof/>
          <w:sz w:val="24"/>
          <w:szCs w:val="24"/>
        </w:rPr>
        <w:tab/>
        <w:t>Saliva Protocol</w:t>
      </w:r>
      <w:r>
        <w:rPr>
          <w:noProof/>
          <w:sz w:val="24"/>
          <w:szCs w:val="24"/>
        </w:rPr>
        <w:t xml:space="preserve"> and Form*</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sz w:val="24"/>
          <w:szCs w:val="24"/>
        </w:rPr>
      </w:pPr>
      <w:r w:rsidRPr="00F47C7C">
        <w:rPr>
          <w:noProof/>
          <w:sz w:val="24"/>
          <w:szCs w:val="24"/>
        </w:rPr>
        <w:t>Attachment 16</w:t>
      </w:r>
      <w:r w:rsidRPr="00F47C7C">
        <w:rPr>
          <w:noProof/>
          <w:sz w:val="24"/>
          <w:szCs w:val="24"/>
        </w:rPr>
        <w:tab/>
        <w:t>7-Day Food Checklist</w:t>
      </w:r>
      <w:r>
        <w:rPr>
          <w:noProof/>
          <w:sz w:val="24"/>
          <w:szCs w:val="24"/>
        </w:rPr>
        <w:t>*</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noProof/>
          <w:sz w:val="24"/>
          <w:szCs w:val="24"/>
        </w:rPr>
      </w:pPr>
      <w:r w:rsidRPr="00F47C7C">
        <w:rPr>
          <w:sz w:val="24"/>
          <w:szCs w:val="24"/>
        </w:rPr>
        <w:t>Attachment</w:t>
      </w:r>
      <w:r w:rsidRPr="00F47C7C">
        <w:rPr>
          <w:noProof/>
          <w:sz w:val="24"/>
          <w:szCs w:val="24"/>
        </w:rPr>
        <w:t xml:space="preserve"> 17</w:t>
      </w:r>
      <w:r w:rsidRPr="00F47C7C">
        <w:rPr>
          <w:noProof/>
          <w:sz w:val="24"/>
          <w:szCs w:val="24"/>
        </w:rPr>
        <w:tab/>
        <w:t>4-Day Food Record</w:t>
      </w:r>
      <w:r>
        <w:rPr>
          <w:noProof/>
          <w:sz w:val="24"/>
          <w:szCs w:val="24"/>
        </w:rPr>
        <w:t>*</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sz w:val="24"/>
          <w:szCs w:val="24"/>
        </w:rPr>
      </w:pPr>
      <w:r w:rsidRPr="00F47C7C">
        <w:rPr>
          <w:sz w:val="24"/>
          <w:szCs w:val="24"/>
        </w:rPr>
        <w:t>Attachment 18</w:t>
      </w:r>
      <w:r w:rsidRPr="00F47C7C">
        <w:rPr>
          <w:sz w:val="24"/>
          <w:szCs w:val="24"/>
        </w:rPr>
        <w:tab/>
        <w:t>Harvard Lifestyle Validation Study Physical Activity Questionnaire</w:t>
      </w:r>
      <w:r>
        <w:rPr>
          <w:sz w:val="24"/>
          <w:szCs w:val="24"/>
        </w:rPr>
        <w:t>*</w:t>
      </w:r>
      <w:r w:rsidRPr="00F47C7C">
        <w:rPr>
          <w:sz w:val="24"/>
          <w:szCs w:val="24"/>
        </w:rPr>
        <w:t xml:space="preserve"> </w:t>
      </w:r>
    </w:p>
    <w:p w:rsidR="00D52774" w:rsidRPr="00F47C7C" w:rsidRDefault="00D52774" w:rsidP="00D52774">
      <w:pPr>
        <w:pStyle w:val="Header"/>
        <w:tabs>
          <w:tab w:val="clear" w:pos="4320"/>
          <w:tab w:val="clear" w:pos="8640"/>
          <w:tab w:val="left" w:pos="0"/>
          <w:tab w:val="left" w:pos="2340"/>
          <w:tab w:val="right" w:leader="dot" w:pos="9900"/>
        </w:tabs>
        <w:spacing w:line="276" w:lineRule="auto"/>
        <w:ind w:right="-540"/>
        <w:rPr>
          <w:noProof/>
          <w:sz w:val="24"/>
          <w:szCs w:val="24"/>
        </w:rPr>
      </w:pPr>
      <w:r w:rsidRPr="00F47C7C">
        <w:rPr>
          <w:noProof/>
          <w:sz w:val="24"/>
          <w:szCs w:val="24"/>
        </w:rPr>
        <w:t>Attachment 19</w:t>
      </w:r>
      <w:r w:rsidRPr="00F47C7C">
        <w:rPr>
          <w:noProof/>
          <w:sz w:val="24"/>
          <w:szCs w:val="24"/>
        </w:rPr>
        <w:tab/>
        <w:t>Community Healthy Activities Model Program for Seniors (CHAMPS)</w:t>
      </w:r>
      <w:r>
        <w:rPr>
          <w:noProof/>
          <w:sz w:val="24"/>
          <w:szCs w:val="24"/>
        </w:rPr>
        <w:t>*</w:t>
      </w:r>
    </w:p>
    <w:p w:rsidR="00C046B0" w:rsidRPr="00D52774" w:rsidRDefault="00D52774" w:rsidP="00D52774">
      <w:pPr>
        <w:pStyle w:val="Header"/>
        <w:tabs>
          <w:tab w:val="clear" w:pos="4320"/>
          <w:tab w:val="clear" w:pos="8640"/>
          <w:tab w:val="left" w:pos="0"/>
          <w:tab w:val="left" w:pos="2340"/>
          <w:tab w:val="right" w:leader="dot" w:pos="9900"/>
        </w:tabs>
        <w:spacing w:line="276" w:lineRule="auto"/>
        <w:rPr>
          <w:noProof/>
          <w:sz w:val="24"/>
          <w:szCs w:val="24"/>
        </w:rPr>
      </w:pPr>
      <w:r w:rsidRPr="00F47C7C">
        <w:rPr>
          <w:noProof/>
          <w:sz w:val="24"/>
          <w:szCs w:val="24"/>
        </w:rPr>
        <w:t>Attachment 20</w:t>
      </w:r>
      <w:r w:rsidRPr="00F47C7C">
        <w:rPr>
          <w:noProof/>
          <w:sz w:val="24"/>
          <w:szCs w:val="24"/>
        </w:rPr>
        <w:tab/>
        <w:t>NIH-AARP Diet and Health Study Physical Activity Questions</w:t>
      </w:r>
      <w:r>
        <w:rPr>
          <w:noProof/>
          <w:sz w:val="24"/>
          <w:szCs w:val="24"/>
        </w:rPr>
        <w:t>*</w:t>
      </w:r>
    </w:p>
    <w:p w:rsidR="00D52774" w:rsidRPr="00F47C7C" w:rsidRDefault="00D52774" w:rsidP="00D52774">
      <w:pPr>
        <w:pStyle w:val="Header"/>
        <w:tabs>
          <w:tab w:val="clear" w:pos="4320"/>
          <w:tab w:val="clear" w:pos="8640"/>
          <w:tab w:val="left" w:pos="0"/>
          <w:tab w:val="left" w:pos="2340"/>
          <w:tab w:val="right" w:leader="dot" w:pos="9900"/>
        </w:tabs>
        <w:spacing w:line="276" w:lineRule="auto"/>
        <w:rPr>
          <w:noProof/>
          <w:sz w:val="24"/>
          <w:szCs w:val="24"/>
        </w:rPr>
      </w:pPr>
      <w:r w:rsidRPr="00F47C7C">
        <w:rPr>
          <w:noProof/>
          <w:sz w:val="24"/>
          <w:szCs w:val="24"/>
        </w:rPr>
        <w:t>Attachment 21</w:t>
      </w:r>
      <w:r w:rsidRPr="00F47C7C">
        <w:rPr>
          <w:noProof/>
          <w:sz w:val="24"/>
          <w:szCs w:val="24"/>
        </w:rPr>
        <w:tab/>
        <w:t>Sedentary Behaviors Questionnaire</w:t>
      </w:r>
      <w:r>
        <w:rPr>
          <w:noProof/>
          <w:sz w:val="24"/>
          <w:szCs w:val="24"/>
        </w:rPr>
        <w:t>*</w:t>
      </w:r>
    </w:p>
    <w:p w:rsidR="00D52774" w:rsidRPr="00F47C7C" w:rsidRDefault="00D52774" w:rsidP="00D52774">
      <w:pPr>
        <w:pStyle w:val="Header"/>
        <w:tabs>
          <w:tab w:val="clear" w:pos="4320"/>
          <w:tab w:val="clear" w:pos="8640"/>
          <w:tab w:val="left" w:pos="0"/>
          <w:tab w:val="left" w:pos="2340"/>
          <w:tab w:val="right" w:leader="dot" w:pos="9900"/>
        </w:tabs>
        <w:spacing w:line="276" w:lineRule="auto"/>
        <w:rPr>
          <w:noProof/>
          <w:sz w:val="24"/>
          <w:szCs w:val="24"/>
        </w:rPr>
      </w:pPr>
      <w:r w:rsidRPr="00F47C7C">
        <w:rPr>
          <w:noProof/>
          <w:sz w:val="24"/>
          <w:szCs w:val="24"/>
        </w:rPr>
        <w:t>Attachment 22</w:t>
      </w:r>
      <w:r w:rsidRPr="00F47C7C">
        <w:rPr>
          <w:noProof/>
          <w:sz w:val="24"/>
          <w:szCs w:val="24"/>
        </w:rPr>
        <w:tab/>
        <w:t>Stanford Brief Physical Activity Survey (SBPAS)</w:t>
      </w:r>
      <w:r>
        <w:rPr>
          <w:noProof/>
          <w:sz w:val="24"/>
          <w:szCs w:val="24"/>
        </w:rPr>
        <w:t>*</w:t>
      </w:r>
    </w:p>
    <w:p w:rsidR="00D52774" w:rsidRPr="00F47C7C" w:rsidRDefault="00D52774" w:rsidP="00D52774">
      <w:pPr>
        <w:tabs>
          <w:tab w:val="left" w:pos="0"/>
          <w:tab w:val="left" w:pos="2340"/>
        </w:tabs>
        <w:spacing w:line="276" w:lineRule="auto"/>
        <w:rPr>
          <w:noProof/>
        </w:rPr>
      </w:pPr>
      <w:r w:rsidRPr="00F47C7C">
        <w:rPr>
          <w:noProof/>
        </w:rPr>
        <w:t>Attachment 23</w:t>
      </w:r>
      <w:r w:rsidRPr="00F47C7C">
        <w:rPr>
          <w:noProof/>
        </w:rPr>
        <w:tab/>
        <w:t>Privacy Impact Assessment (PIA)</w:t>
      </w:r>
    </w:p>
    <w:p w:rsidR="00D52774" w:rsidRPr="00F47C7C" w:rsidRDefault="00D52774" w:rsidP="00D52774">
      <w:pPr>
        <w:pStyle w:val="Header"/>
        <w:tabs>
          <w:tab w:val="clear" w:pos="4320"/>
          <w:tab w:val="clear" w:pos="8640"/>
          <w:tab w:val="left" w:pos="0"/>
          <w:tab w:val="left" w:pos="2340"/>
          <w:tab w:val="right" w:leader="dot" w:pos="9900"/>
        </w:tabs>
        <w:spacing w:line="276" w:lineRule="auto"/>
        <w:rPr>
          <w:noProof/>
          <w:sz w:val="24"/>
          <w:szCs w:val="24"/>
        </w:rPr>
      </w:pPr>
      <w:r w:rsidRPr="00F47C7C">
        <w:rPr>
          <w:noProof/>
          <w:sz w:val="24"/>
          <w:szCs w:val="24"/>
        </w:rPr>
        <w:t>Attachment 2</w:t>
      </w:r>
      <w:r>
        <w:rPr>
          <w:noProof/>
          <w:sz w:val="24"/>
          <w:szCs w:val="24"/>
        </w:rPr>
        <w:t>4</w:t>
      </w:r>
      <w:r w:rsidRPr="00F47C7C">
        <w:rPr>
          <w:noProof/>
          <w:sz w:val="24"/>
          <w:szCs w:val="24"/>
        </w:rPr>
        <w:tab/>
        <w:t>iDATA Advisory Group Members</w:t>
      </w:r>
    </w:p>
    <w:p w:rsidR="00D52774" w:rsidRPr="00F47C7C" w:rsidRDefault="00D52774" w:rsidP="00D52774">
      <w:pPr>
        <w:pStyle w:val="Header"/>
        <w:tabs>
          <w:tab w:val="clear" w:pos="4320"/>
          <w:tab w:val="clear" w:pos="8640"/>
          <w:tab w:val="left" w:pos="0"/>
          <w:tab w:val="left" w:pos="2340"/>
          <w:tab w:val="right" w:leader="dot" w:pos="9900"/>
        </w:tabs>
        <w:spacing w:line="276" w:lineRule="auto"/>
        <w:rPr>
          <w:noProof/>
          <w:sz w:val="24"/>
          <w:szCs w:val="24"/>
        </w:rPr>
      </w:pPr>
      <w:r w:rsidRPr="00F47C7C">
        <w:rPr>
          <w:noProof/>
          <w:sz w:val="24"/>
          <w:szCs w:val="24"/>
        </w:rPr>
        <w:t>Attachment 2</w:t>
      </w:r>
      <w:r>
        <w:rPr>
          <w:noProof/>
          <w:sz w:val="24"/>
          <w:szCs w:val="24"/>
        </w:rPr>
        <w:t>5</w:t>
      </w:r>
      <w:r w:rsidRPr="00F47C7C">
        <w:rPr>
          <w:noProof/>
          <w:sz w:val="24"/>
          <w:szCs w:val="24"/>
        </w:rPr>
        <w:tab/>
      </w:r>
      <w:r>
        <w:rPr>
          <w:noProof/>
          <w:sz w:val="24"/>
          <w:szCs w:val="24"/>
        </w:rPr>
        <w:t xml:space="preserve">External Scientific </w:t>
      </w:r>
      <w:r w:rsidRPr="00F47C7C">
        <w:rPr>
          <w:noProof/>
          <w:sz w:val="24"/>
          <w:szCs w:val="24"/>
        </w:rPr>
        <w:t>Consultants for iDATA</w:t>
      </w:r>
    </w:p>
    <w:p w:rsidR="00D52774" w:rsidRPr="00F47C7C" w:rsidRDefault="00D52774" w:rsidP="00D52774">
      <w:pPr>
        <w:tabs>
          <w:tab w:val="left" w:pos="0"/>
          <w:tab w:val="left" w:pos="1440"/>
          <w:tab w:val="left" w:pos="2340"/>
          <w:tab w:val="right" w:leader="dot" w:pos="9900"/>
        </w:tabs>
        <w:spacing w:line="276" w:lineRule="auto"/>
        <w:ind w:right="-720"/>
        <w:rPr>
          <w:noProof/>
        </w:rPr>
      </w:pPr>
      <w:r w:rsidRPr="00F47C7C">
        <w:rPr>
          <w:noProof/>
        </w:rPr>
        <w:t>Attachment 2</w:t>
      </w:r>
      <w:r>
        <w:rPr>
          <w:noProof/>
        </w:rPr>
        <w:t>6</w:t>
      </w:r>
      <w:r w:rsidRPr="00F47C7C">
        <w:rPr>
          <w:noProof/>
        </w:rPr>
        <w:tab/>
      </w:r>
      <w:r w:rsidRPr="00F47C7C">
        <w:rPr>
          <w:noProof/>
        </w:rPr>
        <w:tab/>
        <w:t>NIH Privacy Act Officer's Letter</w:t>
      </w:r>
      <w:r w:rsidRPr="00F47C7C" w:rsidDel="00135A65">
        <w:rPr>
          <w:noProof/>
        </w:rPr>
        <w:t xml:space="preserve"> </w:t>
      </w:r>
    </w:p>
    <w:p w:rsidR="00D52774" w:rsidRPr="00F47C7C" w:rsidRDefault="00D52774" w:rsidP="00D52774">
      <w:pPr>
        <w:tabs>
          <w:tab w:val="left" w:pos="0"/>
          <w:tab w:val="left" w:pos="2340"/>
          <w:tab w:val="right" w:pos="9900"/>
        </w:tabs>
        <w:spacing w:line="276" w:lineRule="auto"/>
        <w:rPr>
          <w:noProof/>
        </w:rPr>
      </w:pPr>
      <w:r w:rsidRPr="00F47C7C">
        <w:rPr>
          <w:noProof/>
        </w:rPr>
        <w:t>Attachment 2</w:t>
      </w:r>
      <w:r>
        <w:rPr>
          <w:noProof/>
        </w:rPr>
        <w:t>7</w:t>
      </w:r>
      <w:r w:rsidRPr="00F47C7C">
        <w:rPr>
          <w:noProof/>
        </w:rPr>
        <w:tab/>
        <w:t>Westat's Procedures for Keeping Data Confidentiality</w:t>
      </w:r>
    </w:p>
    <w:p w:rsidR="00D52774" w:rsidRPr="00F47C7C" w:rsidRDefault="00D52774" w:rsidP="00D52774">
      <w:pPr>
        <w:tabs>
          <w:tab w:val="left" w:pos="0"/>
          <w:tab w:val="left" w:pos="2340"/>
        </w:tabs>
        <w:spacing w:line="276" w:lineRule="auto"/>
        <w:rPr>
          <w:noProof/>
        </w:rPr>
      </w:pPr>
      <w:r w:rsidRPr="00F47C7C">
        <w:rPr>
          <w:noProof/>
        </w:rPr>
        <w:t>Attachment 2</w:t>
      </w:r>
      <w:r>
        <w:rPr>
          <w:noProof/>
        </w:rPr>
        <w:t>8</w:t>
      </w:r>
      <w:r w:rsidRPr="00F47C7C">
        <w:rPr>
          <w:noProof/>
        </w:rPr>
        <w:tab/>
        <w:t>Research Staff Pledge of Confidentiality</w:t>
      </w:r>
    </w:p>
    <w:p w:rsidR="00D52774" w:rsidRPr="00F47C7C" w:rsidRDefault="00D52774" w:rsidP="00D52774">
      <w:pPr>
        <w:tabs>
          <w:tab w:val="left" w:pos="0"/>
          <w:tab w:val="left" w:pos="2340"/>
          <w:tab w:val="right" w:leader="dot" w:pos="9900"/>
        </w:tabs>
        <w:spacing w:line="276" w:lineRule="auto"/>
        <w:rPr>
          <w:noProof/>
        </w:rPr>
      </w:pPr>
      <w:r w:rsidRPr="00F47C7C">
        <w:rPr>
          <w:noProof/>
        </w:rPr>
        <w:t xml:space="preserve">Attachment </w:t>
      </w:r>
      <w:r>
        <w:rPr>
          <w:noProof/>
        </w:rPr>
        <w:t>29</w:t>
      </w:r>
      <w:r w:rsidRPr="00F47C7C">
        <w:rPr>
          <w:noProof/>
        </w:rPr>
        <w:tab/>
        <w:t>Institu</w:t>
      </w:r>
      <w:r w:rsidR="00A979B1">
        <w:rPr>
          <w:noProof/>
        </w:rPr>
        <w:t>tional Review Board Approval – NCI</w:t>
      </w:r>
    </w:p>
    <w:p w:rsidR="00D52774" w:rsidRPr="00F47C7C" w:rsidRDefault="00D52774" w:rsidP="00D52774">
      <w:pPr>
        <w:tabs>
          <w:tab w:val="left" w:pos="0"/>
          <w:tab w:val="left" w:pos="2340"/>
          <w:tab w:val="right" w:leader="dot" w:pos="9900"/>
        </w:tabs>
        <w:spacing w:line="276" w:lineRule="auto"/>
        <w:rPr>
          <w:noProof/>
        </w:rPr>
      </w:pPr>
      <w:r w:rsidRPr="00F47C7C">
        <w:rPr>
          <w:noProof/>
        </w:rPr>
        <w:t>Attachment 3</w:t>
      </w:r>
      <w:r>
        <w:rPr>
          <w:noProof/>
        </w:rPr>
        <w:t>0</w:t>
      </w:r>
      <w:r w:rsidRPr="00F47C7C">
        <w:rPr>
          <w:noProof/>
        </w:rPr>
        <w:t>A-3</w:t>
      </w:r>
      <w:r>
        <w:rPr>
          <w:noProof/>
        </w:rPr>
        <w:t>0</w:t>
      </w:r>
      <w:r w:rsidRPr="00F47C7C">
        <w:rPr>
          <w:noProof/>
        </w:rPr>
        <w:t>B</w:t>
      </w:r>
      <w:r w:rsidRPr="00F47C7C">
        <w:rPr>
          <w:noProof/>
        </w:rPr>
        <w:tab/>
        <w:t>Letter Invitations for the iDATA Study</w:t>
      </w:r>
    </w:p>
    <w:p w:rsidR="00D52774" w:rsidRDefault="00D52774" w:rsidP="00D52774">
      <w:pPr>
        <w:tabs>
          <w:tab w:val="left" w:pos="0"/>
          <w:tab w:val="left" w:pos="2340"/>
          <w:tab w:val="right" w:leader="dot" w:pos="9900"/>
        </w:tabs>
        <w:spacing w:line="276" w:lineRule="auto"/>
        <w:rPr>
          <w:noProof/>
        </w:rPr>
      </w:pPr>
      <w:r w:rsidRPr="00F47C7C">
        <w:rPr>
          <w:noProof/>
        </w:rPr>
        <w:t>Attachment 3</w:t>
      </w:r>
      <w:r>
        <w:rPr>
          <w:noProof/>
        </w:rPr>
        <w:t>1</w:t>
      </w:r>
      <w:r w:rsidRPr="00F47C7C">
        <w:rPr>
          <w:noProof/>
        </w:rPr>
        <w:tab/>
        <w:t>Email Invitation for the iDATA Study</w:t>
      </w:r>
    </w:p>
    <w:p w:rsidR="00D52774" w:rsidRDefault="00D52774" w:rsidP="00D52774">
      <w:pPr>
        <w:tabs>
          <w:tab w:val="left" w:pos="0"/>
          <w:tab w:val="left" w:pos="2340"/>
          <w:tab w:val="right" w:leader="dot" w:pos="9900"/>
        </w:tabs>
        <w:spacing w:line="276" w:lineRule="auto"/>
        <w:rPr>
          <w:noProof/>
        </w:rPr>
      </w:pPr>
      <w:r>
        <w:rPr>
          <w:noProof/>
        </w:rPr>
        <w:t>Attachment 32</w:t>
      </w:r>
      <w:r>
        <w:rPr>
          <w:noProof/>
        </w:rPr>
        <w:tab/>
        <w:t>Automated Self-administered 24-hr Dietary Recall (ASA24)*</w:t>
      </w:r>
    </w:p>
    <w:p w:rsidR="00D52774" w:rsidRDefault="00D52774" w:rsidP="00D52774">
      <w:pPr>
        <w:tabs>
          <w:tab w:val="left" w:pos="0"/>
          <w:tab w:val="left" w:pos="2340"/>
          <w:tab w:val="right" w:leader="dot" w:pos="9900"/>
        </w:tabs>
        <w:spacing w:line="276" w:lineRule="auto"/>
        <w:rPr>
          <w:noProof/>
        </w:rPr>
      </w:pPr>
      <w:r>
        <w:rPr>
          <w:noProof/>
        </w:rPr>
        <w:t>Attachment 33</w:t>
      </w:r>
      <w:r>
        <w:rPr>
          <w:noProof/>
        </w:rPr>
        <w:tab/>
        <w:t>Diet History Questionnaire-II (DHQ*Web-II)*</w:t>
      </w:r>
    </w:p>
    <w:p w:rsidR="00D52774" w:rsidRPr="00F47C7C" w:rsidRDefault="00D52774" w:rsidP="00D52774">
      <w:pPr>
        <w:tabs>
          <w:tab w:val="left" w:pos="0"/>
          <w:tab w:val="left" w:pos="2340"/>
          <w:tab w:val="right" w:leader="dot" w:pos="9900"/>
        </w:tabs>
        <w:spacing w:line="276" w:lineRule="auto"/>
        <w:rPr>
          <w:noProof/>
        </w:rPr>
      </w:pPr>
      <w:r>
        <w:rPr>
          <w:noProof/>
        </w:rPr>
        <w:t>Attachment 34</w:t>
      </w:r>
      <w:r>
        <w:rPr>
          <w:noProof/>
        </w:rPr>
        <w:tab/>
      </w:r>
      <w:r w:rsidRPr="003736F0">
        <w:t>Activities Completed over Time in 24 Hours (ACT24)</w:t>
      </w:r>
      <w:r>
        <w:rPr>
          <w:noProof/>
        </w:rPr>
        <w:t>*</w:t>
      </w:r>
    </w:p>
    <w:p w:rsidR="00D52774" w:rsidRPr="00FC15B0" w:rsidRDefault="00D52774" w:rsidP="00D52774">
      <w:pPr>
        <w:tabs>
          <w:tab w:val="left" w:pos="0"/>
          <w:tab w:val="left" w:pos="1800"/>
        </w:tabs>
        <w:spacing w:line="240" w:lineRule="auto"/>
      </w:pPr>
    </w:p>
    <w:p w:rsidR="00D52774" w:rsidRDefault="00D52774" w:rsidP="00D52774">
      <w:pPr>
        <w:pStyle w:val="P1-StandPara"/>
        <w:tabs>
          <w:tab w:val="left" w:pos="0"/>
          <w:tab w:val="num" w:pos="360"/>
          <w:tab w:val="left" w:pos="1800"/>
        </w:tabs>
        <w:spacing w:line="240" w:lineRule="auto"/>
        <w:ind w:right="-216" w:firstLine="0"/>
        <w:rPr>
          <w:color w:val="000000" w:themeColor="text1"/>
          <w:sz w:val="24"/>
          <w:szCs w:val="24"/>
        </w:rPr>
      </w:pPr>
      <w:r w:rsidRPr="004659EB">
        <w:rPr>
          <w:color w:val="000000" w:themeColor="text1"/>
          <w:sz w:val="24"/>
          <w:szCs w:val="24"/>
        </w:rPr>
        <w:t>* These attachments are considered instruments to be completed by the participant.</w:t>
      </w:r>
    </w:p>
    <w:p w:rsidR="00BB50FA" w:rsidRDefault="00BB50FA" w:rsidP="009618B8">
      <w:pPr>
        <w:jc w:val="left"/>
        <w:rPr>
          <w:sz w:val="24"/>
          <w:szCs w:val="24"/>
        </w:rPr>
        <w:sectPr w:rsidR="00BB50FA" w:rsidSect="00BB50FA">
          <w:footerReference w:type="default" r:id="rId9"/>
          <w:pgSz w:w="12240" w:h="15840" w:code="1"/>
          <w:pgMar w:top="1440" w:right="1440" w:bottom="1350" w:left="1440" w:header="720" w:footer="1092" w:gutter="0"/>
          <w:pgNumType w:fmt="lowerRoman" w:start="1"/>
          <w:cols w:space="720"/>
          <w:noEndnote/>
        </w:sectPr>
      </w:pPr>
      <w:bookmarkStart w:id="0" w:name="_Toc443881762"/>
      <w:bookmarkStart w:id="1" w:name="_Toc451592249"/>
      <w:bookmarkStart w:id="2" w:name="_Toc5610290"/>
      <w:bookmarkStart w:id="3" w:name="_Toc99178796"/>
    </w:p>
    <w:p w:rsidR="00127F41" w:rsidRPr="0035440B" w:rsidRDefault="00127F41" w:rsidP="009618B8">
      <w:pPr>
        <w:jc w:val="left"/>
        <w:rPr>
          <w:b/>
          <w:bCs/>
          <w:color w:val="FF0000"/>
          <w:sz w:val="24"/>
          <w:szCs w:val="24"/>
        </w:rPr>
      </w:pPr>
      <w:r w:rsidRPr="0035440B">
        <w:rPr>
          <w:sz w:val="24"/>
          <w:szCs w:val="24"/>
        </w:rPr>
        <w:lastRenderedPageBreak/>
        <w:t>B.</w:t>
      </w:r>
      <w:r w:rsidRPr="0035440B">
        <w:rPr>
          <w:sz w:val="24"/>
          <w:szCs w:val="24"/>
        </w:rPr>
        <w:tab/>
        <w:t>STATISTICAL METHODS</w:t>
      </w:r>
      <w:bookmarkEnd w:id="0"/>
      <w:bookmarkEnd w:id="1"/>
      <w:bookmarkEnd w:id="2"/>
      <w:bookmarkEnd w:id="3"/>
    </w:p>
    <w:p w:rsidR="00127F41" w:rsidRPr="0035440B" w:rsidRDefault="00127F41" w:rsidP="00321EEB">
      <w:pPr>
        <w:pStyle w:val="P1-StandPara"/>
        <w:spacing w:line="240" w:lineRule="auto"/>
        <w:ind w:left="720" w:firstLine="0"/>
        <w:rPr>
          <w:b/>
          <w:bCs/>
          <w:color w:val="FF0000"/>
          <w:sz w:val="24"/>
          <w:szCs w:val="24"/>
        </w:rPr>
      </w:pPr>
    </w:p>
    <w:p w:rsidR="00127F41" w:rsidRPr="0035440B" w:rsidRDefault="00127F41" w:rsidP="00E41609">
      <w:pPr>
        <w:pStyle w:val="Heading2"/>
        <w:tabs>
          <w:tab w:val="clear" w:pos="1152"/>
          <w:tab w:val="left" w:pos="720"/>
        </w:tabs>
        <w:spacing w:after="0" w:line="480" w:lineRule="auto"/>
        <w:ind w:left="0" w:firstLine="0"/>
        <w:rPr>
          <w:sz w:val="24"/>
          <w:szCs w:val="24"/>
        </w:rPr>
      </w:pPr>
      <w:bookmarkStart w:id="4" w:name="_Toc443881763"/>
      <w:bookmarkStart w:id="5" w:name="_Toc451592250"/>
      <w:bookmarkStart w:id="6" w:name="_Toc5610291"/>
      <w:bookmarkStart w:id="7" w:name="_Toc99178797"/>
      <w:r w:rsidRPr="0035440B">
        <w:rPr>
          <w:sz w:val="24"/>
          <w:szCs w:val="24"/>
        </w:rPr>
        <w:t>B.1</w:t>
      </w:r>
      <w:r w:rsidRPr="0035440B">
        <w:rPr>
          <w:sz w:val="24"/>
          <w:szCs w:val="24"/>
        </w:rPr>
        <w:tab/>
        <w:t>Respondent Universe and Sampling Methods</w:t>
      </w:r>
      <w:bookmarkEnd w:id="4"/>
      <w:bookmarkEnd w:id="5"/>
      <w:bookmarkEnd w:id="6"/>
      <w:bookmarkEnd w:id="7"/>
    </w:p>
    <w:p w:rsidR="0025523F" w:rsidRPr="00346614" w:rsidRDefault="00127F41" w:rsidP="0025523F">
      <w:pPr>
        <w:pStyle w:val="P1-StandPara"/>
        <w:rPr>
          <w:b/>
          <w:bCs/>
          <w:sz w:val="24"/>
          <w:szCs w:val="24"/>
        </w:rPr>
      </w:pPr>
      <w:r w:rsidRPr="0035440B">
        <w:rPr>
          <w:sz w:val="24"/>
          <w:szCs w:val="24"/>
        </w:rPr>
        <w:t xml:space="preserve">The </w:t>
      </w:r>
      <w:proofErr w:type="spellStart"/>
      <w:r w:rsidRPr="0035440B">
        <w:rPr>
          <w:sz w:val="24"/>
          <w:szCs w:val="24"/>
        </w:rPr>
        <w:t>iDATA</w:t>
      </w:r>
      <w:proofErr w:type="spellEnd"/>
      <w:r w:rsidRPr="0035440B">
        <w:rPr>
          <w:sz w:val="24"/>
          <w:szCs w:val="24"/>
        </w:rPr>
        <w:t xml:space="preserve"> Study will be conducted among current living members of the NIH-AARP Diet and Health Study and current AARP members between the ages of 50 and 74 who live in the </w:t>
      </w:r>
      <w:r>
        <w:rPr>
          <w:sz w:val="24"/>
          <w:szCs w:val="24"/>
        </w:rPr>
        <w:t>Pittsburg</w:t>
      </w:r>
      <w:r w:rsidR="004F1F0F">
        <w:rPr>
          <w:sz w:val="24"/>
          <w:szCs w:val="24"/>
        </w:rPr>
        <w:t>h</w:t>
      </w:r>
      <w:r>
        <w:rPr>
          <w:sz w:val="24"/>
          <w:szCs w:val="24"/>
        </w:rPr>
        <w:t>, Pennsylvania,</w:t>
      </w:r>
      <w:r w:rsidRPr="0035440B">
        <w:rPr>
          <w:sz w:val="24"/>
          <w:szCs w:val="24"/>
        </w:rPr>
        <w:t xml:space="preserve"> area</w:t>
      </w:r>
      <w:r>
        <w:rPr>
          <w:sz w:val="24"/>
          <w:szCs w:val="24"/>
        </w:rPr>
        <w:t xml:space="preserve">. </w:t>
      </w:r>
      <w:r w:rsidR="0025523F">
        <w:rPr>
          <w:sz w:val="24"/>
          <w:szCs w:val="24"/>
        </w:rPr>
        <w:t xml:space="preserve"> </w:t>
      </w:r>
      <w:r w:rsidR="0025523F" w:rsidRPr="003736F0">
        <w:rPr>
          <w:sz w:val="24"/>
          <w:szCs w:val="24"/>
        </w:rPr>
        <w:t xml:space="preserve">Eligible participants </w:t>
      </w:r>
      <w:r w:rsidR="0025523F">
        <w:rPr>
          <w:sz w:val="24"/>
          <w:szCs w:val="24"/>
        </w:rPr>
        <w:t xml:space="preserve">must be comfortable using a computer and have high-speed internet in order to complete the majority of the questionnaires.  Participants will also </w:t>
      </w:r>
      <w:r w:rsidR="0025523F" w:rsidRPr="003736F0">
        <w:rPr>
          <w:sz w:val="24"/>
          <w:szCs w:val="24"/>
        </w:rPr>
        <w:t>be asked to visit the Pittsburg</w:t>
      </w:r>
      <w:r w:rsidR="0025523F">
        <w:rPr>
          <w:sz w:val="24"/>
          <w:szCs w:val="24"/>
        </w:rPr>
        <w:t>h</w:t>
      </w:r>
      <w:r w:rsidR="0025523F" w:rsidRPr="003736F0">
        <w:rPr>
          <w:sz w:val="24"/>
          <w:szCs w:val="24"/>
        </w:rPr>
        <w:t xml:space="preserve"> study clinic three times over the course of one year</w:t>
      </w:r>
      <w:r w:rsidR="0025523F">
        <w:rPr>
          <w:sz w:val="24"/>
          <w:szCs w:val="24"/>
        </w:rPr>
        <w:t xml:space="preserve">.  </w:t>
      </w:r>
      <w:r w:rsidR="0025523F" w:rsidRPr="003736F0">
        <w:rPr>
          <w:sz w:val="24"/>
          <w:szCs w:val="24"/>
        </w:rPr>
        <w:t>Biological samples will be collected at the clinic and by participants at home</w:t>
      </w:r>
      <w:r w:rsidR="0025523F">
        <w:rPr>
          <w:sz w:val="24"/>
          <w:szCs w:val="24"/>
        </w:rPr>
        <w:t xml:space="preserve">.  </w:t>
      </w:r>
    </w:p>
    <w:p w:rsidR="00127F41" w:rsidRPr="0035440B" w:rsidRDefault="00127F41" w:rsidP="00247D73">
      <w:pPr>
        <w:pStyle w:val="P1-StandPara"/>
        <w:rPr>
          <w:sz w:val="24"/>
          <w:szCs w:val="24"/>
        </w:rPr>
      </w:pPr>
      <w:r w:rsidRPr="0035440B">
        <w:rPr>
          <w:sz w:val="24"/>
          <w:szCs w:val="24"/>
        </w:rPr>
        <w:t>Sample size and power calculations were made such that 1500 participants (750 men and 750 women) should be sufficient to test hypotheses of interest within each gender with at least 85% power.</w:t>
      </w:r>
    </w:p>
    <w:p w:rsidR="00127F41" w:rsidRPr="0035440B" w:rsidRDefault="00127F41" w:rsidP="00247D73">
      <w:pPr>
        <w:pStyle w:val="P1-StandPara"/>
        <w:rPr>
          <w:sz w:val="24"/>
          <w:szCs w:val="24"/>
        </w:rPr>
      </w:pPr>
    </w:p>
    <w:p w:rsidR="00127F41" w:rsidRPr="0035440B" w:rsidRDefault="00127F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line="480" w:lineRule="auto"/>
        <w:rPr>
          <w:sz w:val="24"/>
          <w:szCs w:val="24"/>
        </w:rPr>
      </w:pPr>
      <w:proofErr w:type="gramStart"/>
      <w:r w:rsidRPr="0035440B">
        <w:rPr>
          <w:color w:val="000000"/>
          <w:sz w:val="24"/>
          <w:szCs w:val="24"/>
        </w:rPr>
        <w:t>Table B.1-1.</w:t>
      </w:r>
      <w:proofErr w:type="gramEnd"/>
      <w:r w:rsidRPr="0035440B">
        <w:rPr>
          <w:color w:val="000000"/>
          <w:sz w:val="24"/>
          <w:szCs w:val="24"/>
        </w:rPr>
        <w:t xml:space="preserve"> The power of testing H</w:t>
      </w:r>
      <w:r w:rsidRPr="0035440B">
        <w:rPr>
          <w:color w:val="000000"/>
          <w:sz w:val="24"/>
          <w:szCs w:val="24"/>
          <w:vertAlign w:val="subscript"/>
        </w:rPr>
        <w:t>0</w:t>
      </w:r>
      <w:r w:rsidRPr="0035440B">
        <w:rPr>
          <w:color w:val="000000"/>
          <w:sz w:val="24"/>
          <w:szCs w:val="24"/>
        </w:rPr>
        <w:t>: attenuation factor ≤ λ</w:t>
      </w:r>
      <w:r w:rsidRPr="0035440B">
        <w:rPr>
          <w:color w:val="000000"/>
          <w:sz w:val="24"/>
          <w:szCs w:val="24"/>
          <w:vertAlign w:val="subscript"/>
        </w:rPr>
        <w:t>0</w:t>
      </w:r>
      <w:r w:rsidRPr="0035440B">
        <w:rPr>
          <w:color w:val="000000"/>
          <w:sz w:val="24"/>
          <w:szCs w:val="24"/>
        </w:rPr>
        <w:t xml:space="preserve"> against H</w:t>
      </w:r>
      <w:r w:rsidRPr="0035440B">
        <w:rPr>
          <w:color w:val="000000"/>
          <w:sz w:val="24"/>
          <w:szCs w:val="24"/>
          <w:vertAlign w:val="subscript"/>
        </w:rPr>
        <w:t>1</w:t>
      </w:r>
      <w:r w:rsidRPr="0035440B">
        <w:rPr>
          <w:color w:val="000000"/>
          <w:sz w:val="24"/>
          <w:szCs w:val="24"/>
        </w:rPr>
        <w:t>: attenuation factor = λ</w:t>
      </w:r>
      <w:r w:rsidRPr="0035440B">
        <w:rPr>
          <w:color w:val="000000"/>
          <w:sz w:val="24"/>
          <w:szCs w:val="24"/>
          <w:vertAlign w:val="subscript"/>
        </w:rPr>
        <w:t>1</w:t>
      </w:r>
      <w:r w:rsidRPr="0035440B">
        <w:rPr>
          <w:color w:val="000000"/>
          <w:sz w:val="24"/>
          <w:szCs w:val="24"/>
        </w:rPr>
        <w:t xml:space="preserve"> using a one-sided test at 5% significance level.</w:t>
      </w:r>
    </w:p>
    <w:tbl>
      <w:tblPr>
        <w:tblStyle w:val="TableGrid"/>
        <w:tblW w:w="9900" w:type="dxa"/>
        <w:tblInd w:w="108" w:type="dxa"/>
        <w:tblLook w:val="04A0"/>
      </w:tblPr>
      <w:tblGrid>
        <w:gridCol w:w="1800"/>
        <w:gridCol w:w="3150"/>
        <w:gridCol w:w="4950"/>
      </w:tblGrid>
      <w:tr w:rsidR="00956072" w:rsidTr="00956072">
        <w:tc>
          <w:tcPr>
            <w:tcW w:w="1800" w:type="dxa"/>
            <w:vAlign w:val="center"/>
          </w:tcPr>
          <w:p w:rsidR="00956072" w:rsidRDefault="00956072" w:rsidP="00956072">
            <w:pPr>
              <w:pStyle w:val="P1-StandPara"/>
              <w:spacing w:line="240" w:lineRule="auto"/>
              <w:ind w:firstLine="0"/>
              <w:jc w:val="center"/>
              <w:rPr>
                <w:sz w:val="24"/>
                <w:szCs w:val="24"/>
              </w:rPr>
            </w:pPr>
            <w:r w:rsidRPr="0035440B">
              <w:rPr>
                <w:color w:val="000000"/>
                <w:sz w:val="24"/>
                <w:szCs w:val="24"/>
              </w:rPr>
              <w:t>Sample Size/gender(n)</w:t>
            </w:r>
          </w:p>
        </w:tc>
        <w:tc>
          <w:tcPr>
            <w:tcW w:w="3150" w:type="dxa"/>
            <w:vAlign w:val="center"/>
          </w:tcPr>
          <w:p w:rsidR="00956072" w:rsidRPr="0035440B" w:rsidRDefault="00956072" w:rsidP="0095607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after="120" w:line="240" w:lineRule="auto"/>
              <w:jc w:val="center"/>
              <w:rPr>
                <w:color w:val="000000"/>
                <w:sz w:val="24"/>
                <w:szCs w:val="24"/>
              </w:rPr>
            </w:pPr>
            <w:r w:rsidRPr="0035440B">
              <w:rPr>
                <w:color w:val="000000"/>
                <w:sz w:val="24"/>
                <w:szCs w:val="24"/>
              </w:rPr>
              <w:t>Power for nutrient density</w:t>
            </w:r>
          </w:p>
          <w:p w:rsidR="00956072" w:rsidRDefault="00956072" w:rsidP="00956072">
            <w:pPr>
              <w:pStyle w:val="P1-StandPara"/>
              <w:spacing w:line="240" w:lineRule="auto"/>
              <w:ind w:firstLine="0"/>
              <w:jc w:val="center"/>
              <w:rPr>
                <w:sz w:val="24"/>
                <w:szCs w:val="24"/>
              </w:rPr>
            </w:pPr>
            <w:r w:rsidRPr="0035440B">
              <w:rPr>
                <w:color w:val="000000"/>
                <w:sz w:val="24"/>
                <w:szCs w:val="24"/>
              </w:rPr>
              <w:t>H</w:t>
            </w:r>
            <w:r w:rsidRPr="00956072">
              <w:rPr>
                <w:color w:val="000000"/>
                <w:sz w:val="24"/>
                <w:szCs w:val="24"/>
                <w:vertAlign w:val="subscript"/>
              </w:rPr>
              <w:t>0</w:t>
            </w:r>
            <w:r w:rsidRPr="0035440B">
              <w:rPr>
                <w:color w:val="000000"/>
                <w:sz w:val="24"/>
                <w:szCs w:val="24"/>
              </w:rPr>
              <w:t>: λ</w:t>
            </w:r>
            <w:r w:rsidRPr="0035440B">
              <w:rPr>
                <w:color w:val="000000"/>
                <w:sz w:val="24"/>
                <w:szCs w:val="24"/>
                <w:vertAlign w:val="subscript"/>
              </w:rPr>
              <w:t>0</w:t>
            </w:r>
            <w:r w:rsidRPr="0035440B">
              <w:rPr>
                <w:color w:val="000000"/>
                <w:sz w:val="24"/>
                <w:szCs w:val="24"/>
              </w:rPr>
              <w:t xml:space="preserve"> ≤ 0.4 vs.H</w:t>
            </w:r>
            <w:r w:rsidRPr="00956072">
              <w:rPr>
                <w:color w:val="000000"/>
                <w:sz w:val="24"/>
                <w:szCs w:val="24"/>
                <w:vertAlign w:val="subscript"/>
              </w:rPr>
              <w:t>1</w:t>
            </w:r>
            <w:r w:rsidRPr="0035440B">
              <w:rPr>
                <w:color w:val="000000"/>
                <w:sz w:val="24"/>
                <w:szCs w:val="24"/>
              </w:rPr>
              <w:t>: λ</w:t>
            </w:r>
            <w:r w:rsidRPr="0035440B">
              <w:rPr>
                <w:color w:val="000000"/>
                <w:sz w:val="24"/>
                <w:szCs w:val="24"/>
                <w:vertAlign w:val="subscript"/>
              </w:rPr>
              <w:t>1</w:t>
            </w:r>
            <w:r w:rsidRPr="0035440B">
              <w:rPr>
                <w:color w:val="000000"/>
                <w:sz w:val="24"/>
                <w:szCs w:val="24"/>
              </w:rPr>
              <w:t xml:space="preserve"> = 0.5</w:t>
            </w:r>
          </w:p>
        </w:tc>
        <w:tc>
          <w:tcPr>
            <w:tcW w:w="4950" w:type="dxa"/>
            <w:vAlign w:val="center"/>
          </w:tcPr>
          <w:p w:rsidR="00956072" w:rsidRPr="0035440B" w:rsidRDefault="00956072" w:rsidP="0095607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 w:val="left" w:pos="15480"/>
                <w:tab w:val="left" w:pos="16200"/>
                <w:tab w:val="left" w:pos="16920"/>
              </w:tabs>
              <w:spacing w:after="120" w:line="240" w:lineRule="auto"/>
              <w:jc w:val="center"/>
              <w:rPr>
                <w:color w:val="000000"/>
                <w:sz w:val="24"/>
                <w:szCs w:val="24"/>
              </w:rPr>
            </w:pPr>
            <w:r w:rsidRPr="0035440B">
              <w:rPr>
                <w:color w:val="000000"/>
                <w:sz w:val="24"/>
                <w:szCs w:val="24"/>
              </w:rPr>
              <w:t>Power for physical activity energy expenditure</w:t>
            </w:r>
          </w:p>
          <w:p w:rsidR="00956072" w:rsidRDefault="00956072" w:rsidP="00956072">
            <w:pPr>
              <w:pStyle w:val="P1-StandPara"/>
              <w:spacing w:line="240" w:lineRule="auto"/>
              <w:ind w:firstLine="0"/>
              <w:jc w:val="center"/>
              <w:rPr>
                <w:sz w:val="24"/>
                <w:szCs w:val="24"/>
              </w:rPr>
            </w:pPr>
            <w:r w:rsidRPr="0035440B">
              <w:rPr>
                <w:color w:val="000000"/>
                <w:sz w:val="24"/>
                <w:szCs w:val="24"/>
              </w:rPr>
              <w:t>H</w:t>
            </w:r>
            <w:r w:rsidRPr="00956072">
              <w:rPr>
                <w:color w:val="000000"/>
                <w:sz w:val="24"/>
                <w:szCs w:val="24"/>
                <w:vertAlign w:val="subscript"/>
              </w:rPr>
              <w:t>0</w:t>
            </w:r>
            <w:r w:rsidRPr="0035440B">
              <w:rPr>
                <w:color w:val="000000"/>
                <w:sz w:val="24"/>
                <w:szCs w:val="24"/>
              </w:rPr>
              <w:t>: λ</w:t>
            </w:r>
            <w:r w:rsidRPr="0035440B">
              <w:rPr>
                <w:color w:val="000000"/>
                <w:sz w:val="24"/>
                <w:szCs w:val="24"/>
                <w:vertAlign w:val="subscript"/>
              </w:rPr>
              <w:t>0</w:t>
            </w:r>
            <w:r w:rsidRPr="0035440B">
              <w:rPr>
                <w:color w:val="000000"/>
                <w:sz w:val="24"/>
                <w:szCs w:val="24"/>
              </w:rPr>
              <w:t xml:space="preserve"> ≤ 0.1 vs. H</w:t>
            </w:r>
            <w:r w:rsidRPr="00956072">
              <w:rPr>
                <w:color w:val="000000"/>
                <w:sz w:val="24"/>
                <w:szCs w:val="24"/>
                <w:vertAlign w:val="subscript"/>
              </w:rPr>
              <w:t>1</w:t>
            </w:r>
            <w:r w:rsidRPr="0035440B">
              <w:rPr>
                <w:color w:val="000000"/>
                <w:sz w:val="24"/>
                <w:szCs w:val="24"/>
              </w:rPr>
              <w:t>: λ</w:t>
            </w:r>
            <w:r w:rsidRPr="0035440B">
              <w:rPr>
                <w:color w:val="000000"/>
                <w:sz w:val="24"/>
                <w:szCs w:val="24"/>
                <w:vertAlign w:val="subscript"/>
              </w:rPr>
              <w:t>1</w:t>
            </w:r>
            <w:r w:rsidRPr="0035440B">
              <w:rPr>
                <w:color w:val="000000"/>
                <w:sz w:val="24"/>
                <w:szCs w:val="24"/>
              </w:rPr>
              <w:t xml:space="preserve"> = 0.3</w:t>
            </w:r>
          </w:p>
        </w:tc>
      </w:tr>
      <w:tr w:rsidR="00956072" w:rsidTr="00956072">
        <w:trPr>
          <w:cantSplit/>
          <w:trHeight w:val="432"/>
        </w:trPr>
        <w:tc>
          <w:tcPr>
            <w:tcW w:w="1800" w:type="dxa"/>
            <w:vAlign w:val="center"/>
          </w:tcPr>
          <w:p w:rsidR="00956072" w:rsidRPr="00956072" w:rsidRDefault="00956072" w:rsidP="00956072">
            <w:pPr>
              <w:pStyle w:val="P1-StandPara"/>
              <w:spacing w:line="240" w:lineRule="auto"/>
              <w:ind w:firstLine="0"/>
              <w:jc w:val="center"/>
              <w:rPr>
                <w:sz w:val="24"/>
                <w:szCs w:val="24"/>
              </w:rPr>
            </w:pPr>
            <w:r w:rsidRPr="00956072">
              <w:rPr>
                <w:sz w:val="24"/>
                <w:szCs w:val="24"/>
              </w:rPr>
              <w:t>350</w:t>
            </w:r>
          </w:p>
        </w:tc>
        <w:tc>
          <w:tcPr>
            <w:tcW w:w="3150" w:type="dxa"/>
            <w:vAlign w:val="center"/>
          </w:tcPr>
          <w:p w:rsidR="00956072" w:rsidRPr="00956072" w:rsidRDefault="00956072" w:rsidP="00956072">
            <w:pPr>
              <w:pStyle w:val="P1-StandPara"/>
              <w:spacing w:line="240" w:lineRule="auto"/>
              <w:ind w:firstLine="0"/>
              <w:jc w:val="center"/>
              <w:rPr>
                <w:sz w:val="24"/>
                <w:szCs w:val="24"/>
              </w:rPr>
            </w:pPr>
            <w:r w:rsidRPr="00956072">
              <w:rPr>
                <w:sz w:val="24"/>
                <w:szCs w:val="24"/>
              </w:rPr>
              <w:t>59%</w:t>
            </w:r>
          </w:p>
        </w:tc>
        <w:tc>
          <w:tcPr>
            <w:tcW w:w="4950" w:type="dxa"/>
            <w:vAlign w:val="center"/>
          </w:tcPr>
          <w:p w:rsidR="00956072" w:rsidRPr="00956072" w:rsidRDefault="00956072" w:rsidP="00956072">
            <w:pPr>
              <w:pStyle w:val="P1-StandPara"/>
              <w:spacing w:line="240" w:lineRule="auto"/>
              <w:ind w:firstLine="0"/>
              <w:jc w:val="center"/>
              <w:rPr>
                <w:sz w:val="24"/>
                <w:szCs w:val="24"/>
              </w:rPr>
            </w:pPr>
            <w:r w:rsidRPr="00956072">
              <w:rPr>
                <w:sz w:val="24"/>
                <w:szCs w:val="24"/>
              </w:rPr>
              <w:t>73%</w:t>
            </w:r>
          </w:p>
        </w:tc>
      </w:tr>
      <w:tr w:rsidR="00956072" w:rsidTr="00956072">
        <w:trPr>
          <w:cantSplit/>
          <w:trHeight w:val="432"/>
        </w:trPr>
        <w:tc>
          <w:tcPr>
            <w:tcW w:w="1800" w:type="dxa"/>
            <w:vAlign w:val="center"/>
          </w:tcPr>
          <w:p w:rsidR="00956072" w:rsidRPr="00956072" w:rsidRDefault="00956072" w:rsidP="00956072">
            <w:pPr>
              <w:pStyle w:val="P1-StandPara"/>
              <w:spacing w:line="240" w:lineRule="auto"/>
              <w:ind w:firstLine="0"/>
              <w:jc w:val="center"/>
              <w:rPr>
                <w:sz w:val="24"/>
                <w:szCs w:val="24"/>
              </w:rPr>
            </w:pPr>
            <w:r w:rsidRPr="00956072">
              <w:rPr>
                <w:sz w:val="24"/>
                <w:szCs w:val="24"/>
              </w:rPr>
              <w:t>500</w:t>
            </w:r>
          </w:p>
        </w:tc>
        <w:tc>
          <w:tcPr>
            <w:tcW w:w="3150" w:type="dxa"/>
            <w:vAlign w:val="center"/>
          </w:tcPr>
          <w:p w:rsidR="00956072" w:rsidRPr="00956072" w:rsidRDefault="00956072" w:rsidP="00956072">
            <w:pPr>
              <w:pStyle w:val="P1-StandPara"/>
              <w:spacing w:line="240" w:lineRule="auto"/>
              <w:ind w:firstLine="0"/>
              <w:jc w:val="center"/>
              <w:rPr>
                <w:sz w:val="24"/>
                <w:szCs w:val="24"/>
              </w:rPr>
            </w:pPr>
            <w:r w:rsidRPr="00956072">
              <w:rPr>
                <w:sz w:val="24"/>
                <w:szCs w:val="24"/>
              </w:rPr>
              <w:t>72%</w:t>
            </w:r>
          </w:p>
        </w:tc>
        <w:tc>
          <w:tcPr>
            <w:tcW w:w="4950" w:type="dxa"/>
            <w:vAlign w:val="center"/>
          </w:tcPr>
          <w:p w:rsidR="00956072" w:rsidRPr="00956072" w:rsidRDefault="00956072" w:rsidP="00956072">
            <w:pPr>
              <w:pStyle w:val="P1-StandPara"/>
              <w:spacing w:line="240" w:lineRule="auto"/>
              <w:ind w:firstLine="0"/>
              <w:jc w:val="center"/>
              <w:rPr>
                <w:sz w:val="24"/>
                <w:szCs w:val="24"/>
              </w:rPr>
            </w:pPr>
            <w:r w:rsidRPr="00956072">
              <w:rPr>
                <w:sz w:val="24"/>
                <w:szCs w:val="24"/>
              </w:rPr>
              <w:t>85%</w:t>
            </w:r>
          </w:p>
        </w:tc>
      </w:tr>
      <w:tr w:rsidR="00956072" w:rsidTr="00956072">
        <w:trPr>
          <w:cantSplit/>
          <w:trHeight w:val="432"/>
        </w:trPr>
        <w:tc>
          <w:tcPr>
            <w:tcW w:w="1800" w:type="dxa"/>
            <w:vAlign w:val="center"/>
          </w:tcPr>
          <w:p w:rsidR="00956072" w:rsidRPr="00956072" w:rsidRDefault="00956072" w:rsidP="00956072">
            <w:pPr>
              <w:pStyle w:val="P1-StandPara"/>
              <w:spacing w:line="240" w:lineRule="auto"/>
              <w:ind w:firstLine="0"/>
              <w:jc w:val="center"/>
              <w:rPr>
                <w:sz w:val="24"/>
                <w:szCs w:val="24"/>
              </w:rPr>
            </w:pPr>
            <w:r w:rsidRPr="00956072">
              <w:rPr>
                <w:sz w:val="24"/>
                <w:szCs w:val="24"/>
              </w:rPr>
              <w:t>750</w:t>
            </w:r>
          </w:p>
        </w:tc>
        <w:tc>
          <w:tcPr>
            <w:tcW w:w="3150" w:type="dxa"/>
            <w:vAlign w:val="center"/>
          </w:tcPr>
          <w:p w:rsidR="00956072" w:rsidRPr="00956072" w:rsidRDefault="00956072" w:rsidP="00956072">
            <w:pPr>
              <w:pStyle w:val="P1-StandPara"/>
              <w:spacing w:line="240" w:lineRule="auto"/>
              <w:ind w:firstLine="0"/>
              <w:jc w:val="center"/>
              <w:rPr>
                <w:sz w:val="24"/>
                <w:szCs w:val="24"/>
              </w:rPr>
            </w:pPr>
            <w:r w:rsidRPr="00956072">
              <w:rPr>
                <w:sz w:val="24"/>
                <w:szCs w:val="24"/>
              </w:rPr>
              <w:t>86%</w:t>
            </w:r>
          </w:p>
        </w:tc>
        <w:tc>
          <w:tcPr>
            <w:tcW w:w="4950" w:type="dxa"/>
            <w:vAlign w:val="center"/>
          </w:tcPr>
          <w:p w:rsidR="00956072" w:rsidRPr="00956072" w:rsidRDefault="00956072" w:rsidP="00956072">
            <w:pPr>
              <w:pStyle w:val="P1-StandPara"/>
              <w:spacing w:line="240" w:lineRule="auto"/>
              <w:ind w:firstLine="0"/>
              <w:jc w:val="center"/>
              <w:rPr>
                <w:sz w:val="24"/>
                <w:szCs w:val="24"/>
              </w:rPr>
            </w:pPr>
            <w:r w:rsidRPr="00956072">
              <w:rPr>
                <w:sz w:val="24"/>
                <w:szCs w:val="24"/>
              </w:rPr>
              <w:t>95%</w:t>
            </w:r>
          </w:p>
        </w:tc>
      </w:tr>
    </w:tbl>
    <w:p w:rsidR="00956072" w:rsidRPr="0035440B" w:rsidRDefault="00956072">
      <w:pPr>
        <w:pStyle w:val="P1-StandPara"/>
        <w:ind w:firstLine="0"/>
        <w:rPr>
          <w:sz w:val="24"/>
          <w:szCs w:val="24"/>
        </w:rPr>
      </w:pPr>
    </w:p>
    <w:p w:rsidR="00127F41" w:rsidRPr="0035440B" w:rsidRDefault="00127F41">
      <w:pPr>
        <w:pStyle w:val="P1-StandPara"/>
        <w:ind w:firstLine="0"/>
        <w:rPr>
          <w:sz w:val="24"/>
          <w:szCs w:val="24"/>
        </w:rPr>
      </w:pPr>
      <w:r w:rsidRPr="0035440B">
        <w:rPr>
          <w:sz w:val="24"/>
          <w:szCs w:val="24"/>
        </w:rPr>
        <w:t>Sample size calculations are based on testing the following hypotheses:</w:t>
      </w:r>
    </w:p>
    <w:p w:rsidR="00127F41" w:rsidRPr="0035440B" w:rsidRDefault="00127F41">
      <w:pPr>
        <w:pStyle w:val="P1-StandPara"/>
        <w:ind w:left="360" w:hanging="360"/>
        <w:rPr>
          <w:sz w:val="24"/>
          <w:szCs w:val="24"/>
        </w:rPr>
      </w:pPr>
      <w:r w:rsidRPr="0035440B">
        <w:rPr>
          <w:sz w:val="24"/>
          <w:szCs w:val="24"/>
        </w:rPr>
        <w:t>1)</w:t>
      </w:r>
      <w:r w:rsidRPr="0035440B">
        <w:rPr>
          <w:sz w:val="24"/>
          <w:szCs w:val="24"/>
        </w:rPr>
        <w:tab/>
        <w:t>For nutrient density, test the null hypothesis H</w:t>
      </w:r>
      <w:r w:rsidRPr="0035440B">
        <w:rPr>
          <w:sz w:val="24"/>
          <w:szCs w:val="24"/>
          <w:vertAlign w:val="subscript"/>
        </w:rPr>
        <w:t>0</w:t>
      </w:r>
      <w:r w:rsidRPr="0035440B">
        <w:rPr>
          <w:sz w:val="24"/>
          <w:szCs w:val="24"/>
        </w:rPr>
        <w:t>: attenuation factor ≤ 0.4 against the alternative H</w:t>
      </w:r>
      <w:r w:rsidRPr="0035440B">
        <w:rPr>
          <w:sz w:val="24"/>
          <w:szCs w:val="24"/>
          <w:vertAlign w:val="subscript"/>
        </w:rPr>
        <w:t>1</w:t>
      </w:r>
      <w:r w:rsidRPr="0035440B">
        <w:rPr>
          <w:sz w:val="24"/>
          <w:szCs w:val="24"/>
        </w:rPr>
        <w:t>: attenuation factor = 0.5.</w:t>
      </w:r>
    </w:p>
    <w:p w:rsidR="00127F41" w:rsidRPr="0035440B" w:rsidRDefault="00127F41">
      <w:pPr>
        <w:pStyle w:val="P1-StandPara"/>
        <w:ind w:left="360" w:hanging="360"/>
        <w:rPr>
          <w:sz w:val="24"/>
          <w:szCs w:val="24"/>
        </w:rPr>
      </w:pPr>
      <w:r w:rsidRPr="0035440B">
        <w:rPr>
          <w:sz w:val="24"/>
          <w:szCs w:val="24"/>
        </w:rPr>
        <w:t>2)</w:t>
      </w:r>
      <w:r w:rsidRPr="0035440B">
        <w:rPr>
          <w:sz w:val="24"/>
          <w:szCs w:val="24"/>
        </w:rPr>
        <w:tab/>
        <w:t>For physical activity energy expenditure, test H</w:t>
      </w:r>
      <w:r w:rsidRPr="0035440B">
        <w:rPr>
          <w:sz w:val="24"/>
          <w:szCs w:val="24"/>
          <w:vertAlign w:val="subscript"/>
        </w:rPr>
        <w:t>0</w:t>
      </w:r>
      <w:r w:rsidRPr="0035440B">
        <w:rPr>
          <w:sz w:val="24"/>
          <w:szCs w:val="24"/>
        </w:rPr>
        <w:t>: attenuation factor ≤ 0.1 against H</w:t>
      </w:r>
      <w:r w:rsidRPr="0035440B">
        <w:rPr>
          <w:sz w:val="24"/>
          <w:szCs w:val="24"/>
          <w:vertAlign w:val="subscript"/>
        </w:rPr>
        <w:t>1</w:t>
      </w:r>
      <w:r w:rsidRPr="0035440B">
        <w:rPr>
          <w:sz w:val="24"/>
          <w:szCs w:val="24"/>
        </w:rPr>
        <w:t>: attenuation factor = 0.3.</w:t>
      </w:r>
    </w:p>
    <w:p w:rsidR="00127F41" w:rsidRPr="0035440B" w:rsidRDefault="00127F41">
      <w:pPr>
        <w:spacing w:line="480" w:lineRule="auto"/>
        <w:ind w:firstLine="720"/>
        <w:rPr>
          <w:sz w:val="24"/>
          <w:szCs w:val="24"/>
        </w:rPr>
      </w:pPr>
      <w:r w:rsidRPr="0035440B">
        <w:rPr>
          <w:sz w:val="24"/>
          <w:szCs w:val="24"/>
        </w:rPr>
        <w:lastRenderedPageBreak/>
        <w:t xml:space="preserve">The hypotheses are based on an analysis of the Observing Protein and Energy Nutrition (OPEN) study (OMB </w:t>
      </w:r>
      <w:r w:rsidR="0014621F">
        <w:rPr>
          <w:sz w:val="24"/>
          <w:szCs w:val="24"/>
        </w:rPr>
        <w:t xml:space="preserve">No. </w:t>
      </w:r>
      <w:r w:rsidRPr="0035440B">
        <w:rPr>
          <w:sz w:val="24"/>
          <w:szCs w:val="24"/>
        </w:rPr>
        <w:t>0925-0465), which estimated that for protein density the attenuation factor for six 24-hour recalls was greater than 0.5 (both men and women), while the attenuation factor for an FFQ was between 0.35 (women) and 0.4 (men)</w:t>
      </w:r>
      <w:r>
        <w:rPr>
          <w:sz w:val="24"/>
          <w:szCs w:val="24"/>
        </w:rPr>
        <w:t xml:space="preserve">. </w:t>
      </w:r>
      <w:r w:rsidRPr="0035440B">
        <w:rPr>
          <w:sz w:val="24"/>
          <w:szCs w:val="24"/>
        </w:rPr>
        <w:t xml:space="preserve"> For total energy intake, the attenuation factor for six 24-hour recalls was about 0.35 for men and 0.25 for women, while the attenuation factor for an FFQ was about 0.1 for both men and women</w:t>
      </w:r>
      <w:r>
        <w:rPr>
          <w:sz w:val="24"/>
          <w:szCs w:val="24"/>
        </w:rPr>
        <w:t xml:space="preserve">. </w:t>
      </w:r>
      <w:r w:rsidRPr="0035440B">
        <w:rPr>
          <w:sz w:val="24"/>
          <w:szCs w:val="24"/>
        </w:rPr>
        <w:t>We assumed that physical activity energy expenditure as measured by questionnaires and 24-hour recalls would approximately lead to the same attenuation as those for energy intake.</w:t>
      </w:r>
    </w:p>
    <w:p w:rsidR="00127F41" w:rsidRPr="0035440B" w:rsidRDefault="00127F41">
      <w:pPr>
        <w:spacing w:line="480" w:lineRule="auto"/>
        <w:ind w:firstLine="720"/>
        <w:rPr>
          <w:color w:val="000000"/>
          <w:sz w:val="24"/>
          <w:szCs w:val="24"/>
        </w:rPr>
      </w:pPr>
      <w:r w:rsidRPr="0035440B">
        <w:rPr>
          <w:color w:val="000000"/>
          <w:sz w:val="24"/>
          <w:szCs w:val="24"/>
        </w:rPr>
        <w:t>In the sample size calculations, a one-sided test at 5% significance level was used</w:t>
      </w:r>
      <w:r>
        <w:rPr>
          <w:color w:val="000000"/>
          <w:sz w:val="24"/>
          <w:szCs w:val="24"/>
        </w:rPr>
        <w:t xml:space="preserve">. </w:t>
      </w:r>
      <w:r w:rsidRPr="0035440B">
        <w:rPr>
          <w:color w:val="000000"/>
          <w:sz w:val="24"/>
          <w:szCs w:val="24"/>
        </w:rPr>
        <w:t>The power depends not only on the hypothesized values of the attenuation factors, but also on the unknown ratio of the variance of the reference measurement to the variance of the considered instrument (questionnaire or 24-hour recall)</w:t>
      </w:r>
      <w:r>
        <w:rPr>
          <w:color w:val="000000"/>
          <w:sz w:val="24"/>
          <w:szCs w:val="24"/>
        </w:rPr>
        <w:t xml:space="preserve">. </w:t>
      </w:r>
      <w:r w:rsidRPr="0035440B">
        <w:rPr>
          <w:color w:val="000000"/>
          <w:sz w:val="24"/>
          <w:szCs w:val="24"/>
        </w:rPr>
        <w:t xml:space="preserve">Should the participation in the </w:t>
      </w:r>
      <w:proofErr w:type="spellStart"/>
      <w:r w:rsidRPr="0035440B">
        <w:rPr>
          <w:color w:val="000000"/>
          <w:sz w:val="24"/>
          <w:szCs w:val="24"/>
        </w:rPr>
        <w:t>iDATA</w:t>
      </w:r>
      <w:proofErr w:type="spellEnd"/>
      <w:r w:rsidRPr="0035440B">
        <w:rPr>
          <w:color w:val="000000"/>
          <w:sz w:val="24"/>
          <w:szCs w:val="24"/>
        </w:rPr>
        <w:t xml:space="preserve"> Study result in fewer than 750 men and women completing the study, the power will remain close to those shown for n = 750 in Table B.1-1 if the measurement error models fit for men and women grouped together, but only under the provision that most of the parameters in the model are the same for men and women.</w:t>
      </w:r>
    </w:p>
    <w:p w:rsidR="00127F41" w:rsidRPr="0035440B" w:rsidRDefault="00127F41">
      <w:pPr>
        <w:spacing w:line="480" w:lineRule="auto"/>
        <w:ind w:firstLine="720"/>
        <w:rPr>
          <w:sz w:val="24"/>
          <w:szCs w:val="24"/>
        </w:rPr>
      </w:pPr>
      <w:r w:rsidRPr="0035440B">
        <w:rPr>
          <w:sz w:val="24"/>
          <w:szCs w:val="24"/>
        </w:rPr>
        <w:t xml:space="preserve">As stated previously, participants will be recruited from current living members of the NIH-AARP Diet and Health Study </w:t>
      </w:r>
      <w:r w:rsidR="004F1F0F">
        <w:rPr>
          <w:sz w:val="24"/>
          <w:szCs w:val="24"/>
        </w:rPr>
        <w:t>(OMB</w:t>
      </w:r>
      <w:r w:rsidR="0014621F">
        <w:rPr>
          <w:sz w:val="24"/>
          <w:szCs w:val="24"/>
        </w:rPr>
        <w:t xml:space="preserve"> No.</w:t>
      </w:r>
      <w:r w:rsidR="00E805A5" w:rsidRPr="00E805A5">
        <w:t xml:space="preserve"> </w:t>
      </w:r>
      <w:r w:rsidR="00E805A5" w:rsidRPr="00E805A5">
        <w:rPr>
          <w:sz w:val="24"/>
          <w:szCs w:val="24"/>
        </w:rPr>
        <w:t>0925-0423</w:t>
      </w:r>
      <w:r w:rsidR="00E805A5">
        <w:rPr>
          <w:sz w:val="24"/>
          <w:szCs w:val="24"/>
        </w:rPr>
        <w:t xml:space="preserve">, </w:t>
      </w:r>
      <w:r w:rsidR="00E805A5" w:rsidRPr="00E805A5">
        <w:rPr>
          <w:sz w:val="24"/>
          <w:szCs w:val="24"/>
        </w:rPr>
        <w:t>0925-</w:t>
      </w:r>
      <w:r w:rsidR="00E805A5" w:rsidRPr="00D52774">
        <w:rPr>
          <w:color w:val="000000" w:themeColor="text1"/>
          <w:sz w:val="24"/>
          <w:szCs w:val="24"/>
        </w:rPr>
        <w:t>0587</w:t>
      </w:r>
      <w:r w:rsidR="00802662" w:rsidRPr="00D52774">
        <w:rPr>
          <w:color w:val="000000" w:themeColor="text1"/>
          <w:sz w:val="24"/>
          <w:szCs w:val="24"/>
        </w:rPr>
        <w:t xml:space="preserve">, </w:t>
      </w:r>
      <w:r w:rsidR="00AC64B4" w:rsidRPr="00D52774">
        <w:rPr>
          <w:color w:val="000000" w:themeColor="text1"/>
          <w:sz w:val="24"/>
          <w:szCs w:val="24"/>
        </w:rPr>
        <w:t>exp</w:t>
      </w:r>
      <w:r w:rsidR="00D52774">
        <w:rPr>
          <w:color w:val="000000" w:themeColor="text1"/>
          <w:sz w:val="24"/>
          <w:szCs w:val="24"/>
        </w:rPr>
        <w:t>iry date</w:t>
      </w:r>
      <w:r w:rsidR="00D52774" w:rsidRPr="00D52774">
        <w:rPr>
          <w:color w:val="000000" w:themeColor="text1"/>
          <w:sz w:val="24"/>
          <w:szCs w:val="24"/>
        </w:rPr>
        <w:t xml:space="preserve"> 4/30</w:t>
      </w:r>
      <w:r w:rsidR="00D52774" w:rsidRPr="00D52774">
        <w:rPr>
          <w:sz w:val="24"/>
          <w:szCs w:val="24"/>
        </w:rPr>
        <w:t>/2011</w:t>
      </w:r>
      <w:r w:rsidR="004F1F0F">
        <w:rPr>
          <w:sz w:val="24"/>
          <w:szCs w:val="24"/>
        </w:rPr>
        <w:t xml:space="preserve">) </w:t>
      </w:r>
      <w:r w:rsidRPr="0035440B">
        <w:rPr>
          <w:sz w:val="24"/>
          <w:szCs w:val="24"/>
        </w:rPr>
        <w:t xml:space="preserve">and current AARP members between the ages of 50 and 74 who reside in the </w:t>
      </w:r>
      <w:r>
        <w:rPr>
          <w:sz w:val="24"/>
          <w:szCs w:val="24"/>
        </w:rPr>
        <w:t>Pittsburg</w:t>
      </w:r>
      <w:r w:rsidR="004F1F0F">
        <w:rPr>
          <w:sz w:val="24"/>
          <w:szCs w:val="24"/>
        </w:rPr>
        <w:t>h</w:t>
      </w:r>
      <w:r>
        <w:rPr>
          <w:sz w:val="24"/>
          <w:szCs w:val="24"/>
        </w:rPr>
        <w:t>, Pennsylvania,</w:t>
      </w:r>
      <w:r w:rsidRPr="0035440B">
        <w:rPr>
          <w:sz w:val="24"/>
          <w:szCs w:val="24"/>
        </w:rPr>
        <w:t xml:space="preserve"> area</w:t>
      </w:r>
      <w:r>
        <w:rPr>
          <w:sz w:val="24"/>
          <w:szCs w:val="24"/>
        </w:rPr>
        <w:t xml:space="preserve">. </w:t>
      </w:r>
      <w:r w:rsidRPr="0035440B">
        <w:rPr>
          <w:sz w:val="24"/>
          <w:szCs w:val="24"/>
        </w:rPr>
        <w:t xml:space="preserve">It is estimated that </w:t>
      </w:r>
      <w:r w:rsidR="001545E4">
        <w:rPr>
          <w:sz w:val="24"/>
          <w:szCs w:val="24"/>
        </w:rPr>
        <w:t>50,0</w:t>
      </w:r>
      <w:r w:rsidRPr="0035440B">
        <w:rPr>
          <w:sz w:val="24"/>
          <w:szCs w:val="24"/>
        </w:rPr>
        <w:t>00 households overall will need to be contacted in order to reach the target of 1500 participants completing the study</w:t>
      </w:r>
      <w:r>
        <w:rPr>
          <w:sz w:val="24"/>
          <w:szCs w:val="24"/>
        </w:rPr>
        <w:t xml:space="preserve">. </w:t>
      </w:r>
      <w:r w:rsidRPr="0035440B">
        <w:rPr>
          <w:sz w:val="24"/>
          <w:szCs w:val="24"/>
        </w:rPr>
        <w:t>The anticipated response, eligibility, and participation rates between the two groups are expected to differ greatly</w:t>
      </w:r>
      <w:r>
        <w:rPr>
          <w:sz w:val="24"/>
          <w:szCs w:val="24"/>
        </w:rPr>
        <w:t xml:space="preserve">. </w:t>
      </w:r>
      <w:r w:rsidRPr="0035440B">
        <w:rPr>
          <w:sz w:val="24"/>
          <w:szCs w:val="24"/>
        </w:rPr>
        <w:t>Therefore, initial sample size estimates and recruitment strategies have been customized for each group in order to maximize these rates.</w:t>
      </w:r>
    </w:p>
    <w:p w:rsidR="00127F41" w:rsidRDefault="00127F41" w:rsidP="00AE6A32">
      <w:pPr>
        <w:pStyle w:val="P1-StandPara"/>
        <w:rPr>
          <w:sz w:val="24"/>
          <w:szCs w:val="24"/>
        </w:rPr>
      </w:pPr>
      <w:r w:rsidRPr="0035440B">
        <w:rPr>
          <w:sz w:val="24"/>
          <w:szCs w:val="24"/>
        </w:rPr>
        <w:lastRenderedPageBreak/>
        <w:t>The NIH-AARP Diet and Health Study began in 1995 and is the largest prospective cohort study with over 566,000 living and deceased participants that continues to examine the relationship between diet and major cancers in early-to late-middle aged men and women in the U.S</w:t>
      </w:r>
      <w:r>
        <w:rPr>
          <w:sz w:val="24"/>
          <w:szCs w:val="24"/>
        </w:rPr>
        <w:t xml:space="preserve">. </w:t>
      </w:r>
      <w:r w:rsidRPr="0035440B">
        <w:rPr>
          <w:sz w:val="24"/>
          <w:szCs w:val="24"/>
        </w:rPr>
        <w:t>In the early stages of the study, participants completed and mailed back a food frequency questionnaire (FFQ) and a follow-up endpoint and exposure assessment questionnaire</w:t>
      </w:r>
      <w:r>
        <w:rPr>
          <w:sz w:val="24"/>
          <w:szCs w:val="24"/>
        </w:rPr>
        <w:t xml:space="preserve">. </w:t>
      </w:r>
      <w:r w:rsidRPr="0035440B">
        <w:rPr>
          <w:sz w:val="24"/>
          <w:szCs w:val="24"/>
        </w:rPr>
        <w:t>More recently,</w:t>
      </w:r>
      <w:r w:rsidRPr="0035440B">
        <w:rPr>
          <w:color w:val="943634"/>
          <w:sz w:val="24"/>
          <w:szCs w:val="24"/>
        </w:rPr>
        <w:t xml:space="preserve"> </w:t>
      </w:r>
      <w:r w:rsidRPr="0035440B">
        <w:rPr>
          <w:sz w:val="24"/>
          <w:szCs w:val="24"/>
        </w:rPr>
        <w:t xml:space="preserve">selected participants have been asked to complete </w:t>
      </w:r>
      <w:r w:rsidRPr="0035440B">
        <w:rPr>
          <w:color w:val="000000"/>
          <w:sz w:val="24"/>
          <w:szCs w:val="24"/>
        </w:rPr>
        <w:t xml:space="preserve">multiple administrations of the internet-based ASA24 </w:t>
      </w:r>
      <w:r w:rsidR="00556DA1">
        <w:rPr>
          <w:sz w:val="24"/>
          <w:szCs w:val="24"/>
        </w:rPr>
        <w:t>(</w:t>
      </w:r>
      <w:r w:rsidR="00556DA1" w:rsidRPr="00FF67F4">
        <w:t>https://asa24.westat.com</w:t>
      </w:r>
      <w:r w:rsidR="00556DA1">
        <w:rPr>
          <w:sz w:val="24"/>
          <w:szCs w:val="24"/>
        </w:rPr>
        <w:t xml:space="preserve">) </w:t>
      </w:r>
      <w:r w:rsidRPr="0035440B">
        <w:rPr>
          <w:color w:val="000000"/>
          <w:sz w:val="24"/>
          <w:szCs w:val="24"/>
        </w:rPr>
        <w:t xml:space="preserve">and ACT-24 </w:t>
      </w:r>
      <w:r w:rsidR="00D72811">
        <w:rPr>
          <w:color w:val="000000"/>
          <w:sz w:val="24"/>
          <w:szCs w:val="24"/>
        </w:rPr>
        <w:t>(</w:t>
      </w:r>
      <w:hyperlink r:id="rId10" w:history="1">
        <w:r w:rsidR="00D72811" w:rsidRPr="00833112">
          <w:rPr>
            <w:rStyle w:val="Hyperlink"/>
          </w:rPr>
          <w:t>http://act24demo.westat.com/</w:t>
        </w:r>
      </w:hyperlink>
      <w:r w:rsidR="00D72811">
        <w:t xml:space="preserve">) </w:t>
      </w:r>
      <w:r w:rsidRPr="0035440B">
        <w:rPr>
          <w:color w:val="000000"/>
          <w:sz w:val="24"/>
          <w:szCs w:val="24"/>
        </w:rPr>
        <w:t>as well as the DHQ*Web-II</w:t>
      </w:r>
      <w:r w:rsidRPr="0035440B">
        <w:rPr>
          <w:sz w:val="24"/>
          <w:szCs w:val="24"/>
        </w:rPr>
        <w:t xml:space="preserve"> as part of interactive Comprehensive Lifestyle Interview by Computer Study or iCLIC (OMB #0925-0594) and to complete a mailed short follow-up questionnaire (OMB # 0925-0587) to obtain information on disease outcomes and lifestyle factors</w:t>
      </w:r>
      <w:r>
        <w:rPr>
          <w:sz w:val="24"/>
          <w:szCs w:val="24"/>
        </w:rPr>
        <w:t xml:space="preserve">. </w:t>
      </w:r>
      <w:r w:rsidRPr="0035440B">
        <w:rPr>
          <w:sz w:val="24"/>
          <w:szCs w:val="24"/>
        </w:rPr>
        <w:t>As the cohort ages, NIH-AARP Diet and Health Study participants continue to respond consistently to new information requests, both paper-based and internet-based</w:t>
      </w:r>
      <w:r>
        <w:rPr>
          <w:sz w:val="24"/>
          <w:szCs w:val="24"/>
        </w:rPr>
        <w:t>.</w:t>
      </w:r>
    </w:p>
    <w:p w:rsidR="00127F41" w:rsidRPr="0035440B" w:rsidRDefault="00127F41">
      <w:pPr>
        <w:pStyle w:val="P1-StandPara"/>
        <w:rPr>
          <w:sz w:val="24"/>
          <w:szCs w:val="24"/>
        </w:rPr>
      </w:pPr>
      <w:r w:rsidRPr="0035440B">
        <w:rPr>
          <w:sz w:val="24"/>
          <w:szCs w:val="24"/>
        </w:rPr>
        <w:t>Nearly 13,000 current living participants in the NIH-AARP Diet and Health Study reside in the Pittsburgh area, the majority of who are between the ages of 66-74</w:t>
      </w:r>
      <w:r>
        <w:rPr>
          <w:sz w:val="24"/>
          <w:szCs w:val="24"/>
        </w:rPr>
        <w:t xml:space="preserve">. </w:t>
      </w:r>
      <w:r w:rsidRPr="0035440B">
        <w:rPr>
          <w:sz w:val="24"/>
          <w:szCs w:val="24"/>
        </w:rPr>
        <w:t xml:space="preserve">From this sample, 6,500 will be selected for the </w:t>
      </w:r>
      <w:proofErr w:type="spellStart"/>
      <w:r w:rsidRPr="0035440B">
        <w:rPr>
          <w:sz w:val="24"/>
          <w:szCs w:val="24"/>
        </w:rPr>
        <w:t>iDATA</w:t>
      </w:r>
      <w:proofErr w:type="spellEnd"/>
      <w:r w:rsidRPr="0035440B">
        <w:rPr>
          <w:sz w:val="24"/>
          <w:szCs w:val="24"/>
        </w:rPr>
        <w:t xml:space="preserve"> Study, of which it is expected that approximately 500 will complete the study</w:t>
      </w:r>
      <w:r>
        <w:rPr>
          <w:sz w:val="24"/>
          <w:szCs w:val="24"/>
        </w:rPr>
        <w:t xml:space="preserve">. </w:t>
      </w:r>
      <w:r w:rsidRPr="0035440B">
        <w:rPr>
          <w:sz w:val="24"/>
          <w:szCs w:val="24"/>
        </w:rPr>
        <w:t>Even though potential participants from this group may be more likely to respond to the invitation to participate compared to the current AARP members, it is expected that many will not be eligible due to existing medical conditions and medication use</w:t>
      </w:r>
      <w:r>
        <w:rPr>
          <w:sz w:val="24"/>
          <w:szCs w:val="24"/>
        </w:rPr>
        <w:t xml:space="preserve">. </w:t>
      </w:r>
      <w:r w:rsidRPr="0035440B">
        <w:rPr>
          <w:sz w:val="24"/>
          <w:szCs w:val="24"/>
        </w:rPr>
        <w:t>Once eligible however, it is expected that retention and completion rates in the group will be relatively high.</w:t>
      </w:r>
    </w:p>
    <w:p w:rsidR="00127F41" w:rsidRDefault="00127F41">
      <w:pPr>
        <w:pStyle w:val="P1-StandPara"/>
        <w:rPr>
          <w:sz w:val="24"/>
          <w:szCs w:val="24"/>
        </w:rPr>
      </w:pPr>
      <w:r w:rsidRPr="0035440B">
        <w:rPr>
          <w:sz w:val="24"/>
          <w:szCs w:val="24"/>
        </w:rPr>
        <w:t xml:space="preserve">Given </w:t>
      </w:r>
      <w:r w:rsidRPr="0035440B">
        <w:rPr>
          <w:color w:val="000000"/>
          <w:sz w:val="24"/>
          <w:szCs w:val="24"/>
        </w:rPr>
        <w:t xml:space="preserve">recent experiences with the recruitment of current AARP members aged 50 and over to participate in iCLIC, it is expected that recruitment rates into the </w:t>
      </w:r>
      <w:proofErr w:type="spellStart"/>
      <w:r w:rsidRPr="0035440B">
        <w:rPr>
          <w:color w:val="000000"/>
          <w:sz w:val="24"/>
          <w:szCs w:val="24"/>
        </w:rPr>
        <w:t>iDATA</w:t>
      </w:r>
      <w:proofErr w:type="spellEnd"/>
      <w:r w:rsidRPr="0035440B">
        <w:rPr>
          <w:color w:val="000000"/>
          <w:sz w:val="24"/>
          <w:szCs w:val="24"/>
        </w:rPr>
        <w:t xml:space="preserve"> Study may be low</w:t>
      </w:r>
      <w:r>
        <w:rPr>
          <w:color w:val="000000"/>
          <w:sz w:val="24"/>
          <w:szCs w:val="24"/>
        </w:rPr>
        <w:t xml:space="preserve">. </w:t>
      </w:r>
      <w:r w:rsidRPr="0035440B">
        <w:rPr>
          <w:color w:val="000000"/>
          <w:sz w:val="24"/>
          <w:szCs w:val="24"/>
        </w:rPr>
        <w:t xml:space="preserve">Although this population includes younger as well as older potential participants (aged 50 to 74), low recruitment rates are expected because potential participants are not already affiliated </w:t>
      </w:r>
      <w:r w:rsidRPr="0035440B">
        <w:rPr>
          <w:color w:val="000000"/>
          <w:sz w:val="24"/>
          <w:szCs w:val="24"/>
        </w:rPr>
        <w:lastRenderedPageBreak/>
        <w:t>with the NIH-AARP Diet and Health Study and at least for the younger participants, they are more likely to be employed full-time and cannot commit the time to participate</w:t>
      </w:r>
      <w:r>
        <w:rPr>
          <w:color w:val="000000"/>
          <w:sz w:val="24"/>
          <w:szCs w:val="24"/>
        </w:rPr>
        <w:t xml:space="preserve">. </w:t>
      </w:r>
      <w:r w:rsidRPr="0035440B">
        <w:rPr>
          <w:color w:val="000000"/>
          <w:sz w:val="24"/>
          <w:szCs w:val="24"/>
        </w:rPr>
        <w:t>It is also expected that a higher proportion of eligible participants will be needed from this group since a greater drop-out rate is likely</w:t>
      </w:r>
      <w:r>
        <w:rPr>
          <w:color w:val="000000"/>
          <w:sz w:val="24"/>
          <w:szCs w:val="24"/>
        </w:rPr>
        <w:t xml:space="preserve">. </w:t>
      </w:r>
      <w:r w:rsidRPr="0035440B">
        <w:rPr>
          <w:color w:val="000000"/>
          <w:sz w:val="24"/>
          <w:szCs w:val="24"/>
        </w:rPr>
        <w:t xml:space="preserve">Therefore, </w:t>
      </w:r>
      <w:r w:rsidRPr="0035440B">
        <w:rPr>
          <w:sz w:val="24"/>
          <w:szCs w:val="24"/>
        </w:rPr>
        <w:t xml:space="preserve">43,000 will be selected from current AARP members for the </w:t>
      </w:r>
      <w:proofErr w:type="spellStart"/>
      <w:r w:rsidRPr="0035440B">
        <w:rPr>
          <w:sz w:val="24"/>
          <w:szCs w:val="24"/>
        </w:rPr>
        <w:t>iDATA</w:t>
      </w:r>
      <w:proofErr w:type="spellEnd"/>
      <w:r w:rsidRPr="0035440B">
        <w:rPr>
          <w:sz w:val="24"/>
          <w:szCs w:val="24"/>
        </w:rPr>
        <w:t xml:space="preserve"> Study, of which it is expected that approximately 1,</w:t>
      </w:r>
      <w:r w:rsidR="00D52774">
        <w:rPr>
          <w:sz w:val="24"/>
          <w:szCs w:val="24"/>
        </w:rPr>
        <w:t>500</w:t>
      </w:r>
      <w:r w:rsidRPr="0035440B">
        <w:rPr>
          <w:sz w:val="24"/>
          <w:szCs w:val="24"/>
        </w:rPr>
        <w:t xml:space="preserve"> will complete the study</w:t>
      </w:r>
      <w:r>
        <w:rPr>
          <w:sz w:val="24"/>
          <w:szCs w:val="24"/>
        </w:rPr>
        <w:t>.</w:t>
      </w:r>
      <w:r w:rsidR="00802662">
        <w:rPr>
          <w:sz w:val="24"/>
          <w:szCs w:val="24"/>
        </w:rPr>
        <w:t xml:space="preserve">  AARP members that were asked previously to participate in the feasibility study of the online instruments</w:t>
      </w:r>
      <w:r w:rsidR="00187244">
        <w:rPr>
          <w:sz w:val="24"/>
          <w:szCs w:val="24"/>
        </w:rPr>
        <w:t xml:space="preserve"> ACT24, ASA24, and DHQ</w:t>
      </w:r>
      <w:r w:rsidR="00802662">
        <w:rPr>
          <w:sz w:val="24"/>
          <w:szCs w:val="24"/>
        </w:rPr>
        <w:t xml:space="preserve"> (OMB # </w:t>
      </w:r>
      <w:r w:rsidR="00D34D3F">
        <w:rPr>
          <w:sz w:val="24"/>
          <w:szCs w:val="24"/>
        </w:rPr>
        <w:t>0925-0594</w:t>
      </w:r>
      <w:r w:rsidR="00D34D3F" w:rsidRPr="00D52774">
        <w:rPr>
          <w:sz w:val="24"/>
          <w:szCs w:val="24"/>
        </w:rPr>
        <w:t xml:space="preserve">, </w:t>
      </w:r>
      <w:r w:rsidR="00AC64B4" w:rsidRPr="00D52774">
        <w:rPr>
          <w:sz w:val="24"/>
          <w:szCs w:val="24"/>
        </w:rPr>
        <w:t>exp</w:t>
      </w:r>
      <w:r w:rsidR="00D52774" w:rsidRPr="00D52774">
        <w:rPr>
          <w:sz w:val="24"/>
          <w:szCs w:val="24"/>
        </w:rPr>
        <w:t>iry date 2/28/2014</w:t>
      </w:r>
      <w:r w:rsidR="00802662" w:rsidRPr="00D52774">
        <w:rPr>
          <w:sz w:val="24"/>
          <w:szCs w:val="24"/>
        </w:rPr>
        <w:t>)</w:t>
      </w:r>
      <w:r w:rsidR="00802662">
        <w:rPr>
          <w:sz w:val="24"/>
          <w:szCs w:val="24"/>
        </w:rPr>
        <w:t xml:space="preserve"> will be removed from the list of AARP members prior to selecting the sample for the </w:t>
      </w:r>
      <w:proofErr w:type="spellStart"/>
      <w:r w:rsidR="00802662">
        <w:rPr>
          <w:sz w:val="24"/>
          <w:szCs w:val="24"/>
        </w:rPr>
        <w:t>iDATA</w:t>
      </w:r>
      <w:proofErr w:type="spellEnd"/>
      <w:r w:rsidR="00802662">
        <w:rPr>
          <w:sz w:val="24"/>
          <w:szCs w:val="24"/>
        </w:rPr>
        <w:t xml:space="preserve"> Study.</w:t>
      </w:r>
    </w:p>
    <w:p w:rsidR="00127F41" w:rsidRPr="0035440B" w:rsidRDefault="00127F41">
      <w:pPr>
        <w:spacing w:line="480" w:lineRule="auto"/>
        <w:ind w:firstLine="720"/>
        <w:rPr>
          <w:color w:val="000000"/>
          <w:sz w:val="24"/>
          <w:szCs w:val="24"/>
        </w:rPr>
      </w:pPr>
      <w:r w:rsidRPr="0035440B">
        <w:rPr>
          <w:color w:val="000000"/>
          <w:sz w:val="24"/>
          <w:szCs w:val="24"/>
        </w:rPr>
        <w:t>Overall, it is estimated that 49,500 potential participants will need to be contacted in order to recruit 2,5</w:t>
      </w:r>
      <w:r w:rsidR="00D52774">
        <w:rPr>
          <w:color w:val="000000"/>
          <w:sz w:val="24"/>
          <w:szCs w:val="24"/>
        </w:rPr>
        <w:t>00</w:t>
      </w:r>
      <w:r w:rsidRPr="0035440B">
        <w:rPr>
          <w:color w:val="000000"/>
          <w:sz w:val="24"/>
          <w:szCs w:val="24"/>
        </w:rPr>
        <w:t xml:space="preserve"> eligible persons to ensure that 2,227 attend the first clinic visit</w:t>
      </w:r>
      <w:r>
        <w:rPr>
          <w:color w:val="000000"/>
          <w:sz w:val="24"/>
          <w:szCs w:val="24"/>
        </w:rPr>
        <w:t xml:space="preserve">. </w:t>
      </w:r>
      <w:r w:rsidRPr="0035440B">
        <w:rPr>
          <w:color w:val="000000"/>
          <w:sz w:val="24"/>
          <w:szCs w:val="24"/>
        </w:rPr>
        <w:t xml:space="preserve">Of those, it is expected that about 67% (500 NIH-AARP Diet and Health Study cohort members and 1,000 current AARP members) will complete the entire study, (i.e., completing all visits, questionnaires, and </w:t>
      </w:r>
      <w:proofErr w:type="spellStart"/>
      <w:r w:rsidRPr="0035440B">
        <w:rPr>
          <w:color w:val="000000"/>
          <w:sz w:val="24"/>
          <w:szCs w:val="24"/>
        </w:rPr>
        <w:t>biospecimen</w:t>
      </w:r>
      <w:proofErr w:type="spellEnd"/>
      <w:r w:rsidRPr="0035440B">
        <w:rPr>
          <w:color w:val="000000"/>
          <w:sz w:val="24"/>
          <w:szCs w:val="24"/>
        </w:rPr>
        <w:t xml:space="preserve"> collections).</w:t>
      </w:r>
    </w:p>
    <w:p w:rsidR="00127F41" w:rsidRPr="0035440B" w:rsidRDefault="00127F41">
      <w:pPr>
        <w:pStyle w:val="P1-StandPara"/>
        <w:ind w:firstLine="0"/>
        <w:rPr>
          <w:sz w:val="24"/>
          <w:szCs w:val="24"/>
        </w:rPr>
      </w:pPr>
      <w:bookmarkStart w:id="8" w:name="_Toc443881764"/>
      <w:bookmarkStart w:id="9" w:name="_Toc451592251"/>
      <w:bookmarkStart w:id="10" w:name="_Toc5610292"/>
      <w:bookmarkStart w:id="11" w:name="_Toc99178798"/>
      <w:r w:rsidRPr="0035440B">
        <w:rPr>
          <w:b/>
          <w:bCs/>
          <w:sz w:val="24"/>
          <w:szCs w:val="24"/>
        </w:rPr>
        <w:t>B.2</w:t>
      </w:r>
      <w:r w:rsidRPr="0035440B">
        <w:rPr>
          <w:b/>
          <w:bCs/>
          <w:sz w:val="24"/>
          <w:szCs w:val="24"/>
        </w:rPr>
        <w:tab/>
        <w:t>Procedures for the Collection of Information</w:t>
      </w:r>
      <w:bookmarkEnd w:id="8"/>
      <w:bookmarkEnd w:id="9"/>
      <w:bookmarkEnd w:id="10"/>
      <w:bookmarkEnd w:id="11"/>
    </w:p>
    <w:p w:rsidR="00127F41" w:rsidRDefault="00127F41" w:rsidP="009B02F1">
      <w:pPr>
        <w:spacing w:line="480" w:lineRule="auto"/>
        <w:ind w:firstLine="720"/>
        <w:jc w:val="left"/>
        <w:rPr>
          <w:color w:val="000000"/>
          <w:sz w:val="24"/>
          <w:szCs w:val="24"/>
        </w:rPr>
      </w:pPr>
      <w:r w:rsidRPr="0035440B">
        <w:rPr>
          <w:sz w:val="24"/>
          <w:szCs w:val="24"/>
        </w:rPr>
        <w:t>Two versions of a paper invitation letter</w:t>
      </w:r>
      <w:r w:rsidR="00A24064">
        <w:rPr>
          <w:sz w:val="24"/>
          <w:szCs w:val="24"/>
        </w:rPr>
        <w:t xml:space="preserve"> </w:t>
      </w:r>
      <w:r w:rsidR="00A24064" w:rsidRPr="0006092A">
        <w:rPr>
          <w:b/>
          <w:sz w:val="24"/>
          <w:szCs w:val="24"/>
        </w:rPr>
        <w:t>(Attachment 3</w:t>
      </w:r>
      <w:r w:rsidR="00091E5E">
        <w:rPr>
          <w:b/>
          <w:sz w:val="24"/>
          <w:szCs w:val="24"/>
        </w:rPr>
        <w:t>0</w:t>
      </w:r>
      <w:r w:rsidR="00A24064" w:rsidRPr="0006092A">
        <w:rPr>
          <w:b/>
          <w:sz w:val="24"/>
          <w:szCs w:val="24"/>
        </w:rPr>
        <w:t>A-3</w:t>
      </w:r>
      <w:r w:rsidR="00091E5E">
        <w:rPr>
          <w:b/>
          <w:sz w:val="24"/>
          <w:szCs w:val="24"/>
        </w:rPr>
        <w:t>0</w:t>
      </w:r>
      <w:r w:rsidR="00A24064" w:rsidRPr="0006092A">
        <w:rPr>
          <w:b/>
          <w:sz w:val="24"/>
          <w:szCs w:val="24"/>
        </w:rPr>
        <w:t>B)</w:t>
      </w:r>
      <w:r w:rsidRPr="0035440B">
        <w:rPr>
          <w:sz w:val="24"/>
          <w:szCs w:val="24"/>
        </w:rPr>
        <w:t>, one tailored to the existing NIH-AARP Diet and Health Study cohort and another tailored to current AARP members, will be sent to the potential participant sample previously described</w:t>
      </w:r>
      <w:r>
        <w:rPr>
          <w:sz w:val="24"/>
          <w:szCs w:val="24"/>
        </w:rPr>
        <w:t xml:space="preserve">. </w:t>
      </w:r>
      <w:r w:rsidRPr="0035440B">
        <w:rPr>
          <w:sz w:val="24"/>
          <w:szCs w:val="24"/>
        </w:rPr>
        <w:t>The invitation letter will contain information about the study requirements, the procedures and questionnaires, and the compensation offered for participation</w:t>
      </w:r>
      <w:r>
        <w:rPr>
          <w:sz w:val="24"/>
          <w:szCs w:val="24"/>
        </w:rPr>
        <w:t xml:space="preserve">. </w:t>
      </w:r>
      <w:r w:rsidRPr="0035440B">
        <w:rPr>
          <w:sz w:val="24"/>
          <w:szCs w:val="24"/>
        </w:rPr>
        <w:t>Invited persons will be requested to call a toll-free number in order to determine if they are eligible for the study and will provide an opportunity for questions about the study to be answered</w:t>
      </w:r>
      <w:r>
        <w:rPr>
          <w:sz w:val="24"/>
          <w:szCs w:val="24"/>
        </w:rPr>
        <w:t xml:space="preserve">. </w:t>
      </w:r>
      <w:r w:rsidRPr="0035440B">
        <w:rPr>
          <w:sz w:val="24"/>
          <w:szCs w:val="24"/>
        </w:rPr>
        <w:t xml:space="preserve">Invited participants will also be able to contact the </w:t>
      </w:r>
      <w:proofErr w:type="spellStart"/>
      <w:r w:rsidRPr="0035440B">
        <w:rPr>
          <w:sz w:val="24"/>
          <w:szCs w:val="24"/>
        </w:rPr>
        <w:t>iDATA</w:t>
      </w:r>
      <w:proofErr w:type="spellEnd"/>
      <w:r w:rsidRPr="0035440B">
        <w:rPr>
          <w:sz w:val="24"/>
          <w:szCs w:val="24"/>
        </w:rPr>
        <w:t xml:space="preserve"> Study by email and will be able to find out more about the study at the study website</w:t>
      </w:r>
      <w:r>
        <w:rPr>
          <w:sz w:val="24"/>
          <w:szCs w:val="24"/>
        </w:rPr>
        <w:t xml:space="preserve">. </w:t>
      </w:r>
      <w:r w:rsidRPr="0035440B">
        <w:rPr>
          <w:sz w:val="24"/>
          <w:szCs w:val="24"/>
        </w:rPr>
        <w:t>Potential participants who do not express interest in the study within a month of the initial invitation letter will be sent a second invitation letter</w:t>
      </w:r>
      <w:r>
        <w:rPr>
          <w:sz w:val="24"/>
          <w:szCs w:val="24"/>
        </w:rPr>
        <w:t xml:space="preserve">. </w:t>
      </w:r>
      <w:r w:rsidRPr="0035440B">
        <w:rPr>
          <w:sz w:val="24"/>
          <w:szCs w:val="24"/>
        </w:rPr>
        <w:t xml:space="preserve">An email reminder </w:t>
      </w:r>
      <w:r w:rsidR="00A24064" w:rsidRPr="0006092A">
        <w:rPr>
          <w:b/>
          <w:sz w:val="24"/>
          <w:szCs w:val="24"/>
        </w:rPr>
        <w:t>(Attachment 3</w:t>
      </w:r>
      <w:r w:rsidR="00091E5E">
        <w:rPr>
          <w:b/>
          <w:sz w:val="24"/>
          <w:szCs w:val="24"/>
        </w:rPr>
        <w:t>1</w:t>
      </w:r>
      <w:r w:rsidR="00A24064" w:rsidRPr="0006092A">
        <w:rPr>
          <w:b/>
          <w:sz w:val="24"/>
          <w:szCs w:val="24"/>
        </w:rPr>
        <w:t>)</w:t>
      </w:r>
      <w:r w:rsidR="00A24064">
        <w:rPr>
          <w:sz w:val="24"/>
          <w:szCs w:val="24"/>
        </w:rPr>
        <w:t xml:space="preserve"> </w:t>
      </w:r>
      <w:r w:rsidRPr="0035440B">
        <w:rPr>
          <w:sz w:val="24"/>
          <w:szCs w:val="24"/>
        </w:rPr>
        <w:lastRenderedPageBreak/>
        <w:t>will also be sent to those current AARP members who have opted-in to receiving email messages (a</w:t>
      </w:r>
      <w:r w:rsidRPr="0035440B">
        <w:rPr>
          <w:color w:val="000000"/>
          <w:sz w:val="24"/>
          <w:szCs w:val="24"/>
        </w:rPr>
        <w:t>pproximately 25% of AARP households in the Pittsburgh area have provided AARP with email addresses and agreed to receive email contact from AARP)</w:t>
      </w:r>
      <w:r>
        <w:rPr>
          <w:color w:val="000000"/>
          <w:sz w:val="24"/>
          <w:szCs w:val="24"/>
        </w:rPr>
        <w:t>.</w:t>
      </w:r>
    </w:p>
    <w:p w:rsidR="00127F41" w:rsidRDefault="00127F41" w:rsidP="009B02F1">
      <w:pPr>
        <w:pStyle w:val="P1-StandPara"/>
        <w:ind w:firstLine="0"/>
        <w:rPr>
          <w:sz w:val="24"/>
          <w:szCs w:val="24"/>
        </w:rPr>
      </w:pPr>
      <w:r w:rsidRPr="0035440B">
        <w:rPr>
          <w:sz w:val="24"/>
          <w:szCs w:val="24"/>
        </w:rPr>
        <w:tab/>
        <w:t xml:space="preserve">Participants will be administered a telephone pre-screening interview </w:t>
      </w:r>
      <w:r w:rsidR="00A24064" w:rsidRPr="0006092A">
        <w:rPr>
          <w:b/>
          <w:sz w:val="24"/>
          <w:szCs w:val="24"/>
        </w:rPr>
        <w:t>(Attachment 1)</w:t>
      </w:r>
      <w:r w:rsidR="00A24064">
        <w:rPr>
          <w:sz w:val="24"/>
          <w:szCs w:val="24"/>
        </w:rPr>
        <w:t xml:space="preserve"> </w:t>
      </w:r>
      <w:r w:rsidRPr="0035440B">
        <w:rPr>
          <w:sz w:val="24"/>
          <w:szCs w:val="24"/>
        </w:rPr>
        <w:t>to determine initial eligibility into the study</w:t>
      </w:r>
      <w:r>
        <w:rPr>
          <w:sz w:val="24"/>
          <w:szCs w:val="24"/>
        </w:rPr>
        <w:t xml:space="preserve">. </w:t>
      </w:r>
      <w:r w:rsidRPr="0035440B">
        <w:rPr>
          <w:sz w:val="24"/>
          <w:szCs w:val="24"/>
        </w:rPr>
        <w:t>The inclusion criterion includes access to a high speed internet connection</w:t>
      </w:r>
      <w:r>
        <w:rPr>
          <w:sz w:val="24"/>
          <w:szCs w:val="24"/>
        </w:rPr>
        <w:t xml:space="preserve">. </w:t>
      </w:r>
      <w:r w:rsidRPr="0035440B">
        <w:rPr>
          <w:sz w:val="24"/>
          <w:szCs w:val="24"/>
        </w:rPr>
        <w:t>Exclusion criteria include non-English speak</w:t>
      </w:r>
      <w:r w:rsidR="00373623">
        <w:rPr>
          <w:sz w:val="24"/>
          <w:szCs w:val="24"/>
        </w:rPr>
        <w:t>ers</w:t>
      </w:r>
      <w:r w:rsidRPr="0035440B">
        <w:rPr>
          <w:sz w:val="24"/>
          <w:szCs w:val="24"/>
        </w:rPr>
        <w:t xml:space="preserve"> or read</w:t>
      </w:r>
      <w:r w:rsidR="00373623">
        <w:rPr>
          <w:sz w:val="24"/>
          <w:szCs w:val="24"/>
        </w:rPr>
        <w:t>ers</w:t>
      </w:r>
      <w:r w:rsidRPr="0035440B">
        <w:rPr>
          <w:sz w:val="24"/>
          <w:szCs w:val="24"/>
        </w:rPr>
        <w:t xml:space="preserve">, </w:t>
      </w:r>
      <w:r w:rsidR="00373623">
        <w:rPr>
          <w:sz w:val="24"/>
          <w:szCs w:val="24"/>
        </w:rPr>
        <w:t xml:space="preserve">those </w:t>
      </w:r>
      <w:r w:rsidRPr="0035440B">
        <w:rPr>
          <w:sz w:val="24"/>
          <w:szCs w:val="24"/>
        </w:rPr>
        <w:t xml:space="preserve">currently on </w:t>
      </w:r>
      <w:r w:rsidR="00373623">
        <w:rPr>
          <w:sz w:val="24"/>
          <w:szCs w:val="24"/>
        </w:rPr>
        <w:t xml:space="preserve">a </w:t>
      </w:r>
      <w:r w:rsidRPr="0035440B">
        <w:rPr>
          <w:sz w:val="24"/>
          <w:szCs w:val="24"/>
        </w:rPr>
        <w:t xml:space="preserve">weight loss diet, BMI </w:t>
      </w:r>
      <w:r w:rsidRPr="0035440B">
        <w:rPr>
          <w:sz w:val="24"/>
          <w:szCs w:val="24"/>
          <w:u w:val="single"/>
        </w:rPr>
        <w:t>&gt;</w:t>
      </w:r>
      <w:r w:rsidRPr="0035440B">
        <w:rPr>
          <w:sz w:val="24"/>
          <w:szCs w:val="24"/>
        </w:rPr>
        <w:t xml:space="preserve"> 40 or </w:t>
      </w:r>
      <w:r w:rsidRPr="0035440B">
        <w:rPr>
          <w:sz w:val="24"/>
          <w:szCs w:val="24"/>
          <w:u w:val="single"/>
        </w:rPr>
        <w:t>&lt;</w:t>
      </w:r>
      <w:r w:rsidRPr="0035440B">
        <w:rPr>
          <w:sz w:val="24"/>
          <w:szCs w:val="24"/>
        </w:rPr>
        <w:t xml:space="preserve"> 18.5 (calculated from height and weight questions), history of renal failure, congestive heart failure, conditions involving disturbances in fluid balance, use of supplemental oxygen, and known allergy to </w:t>
      </w:r>
      <w:proofErr w:type="spellStart"/>
      <w:r w:rsidRPr="0035440B">
        <w:rPr>
          <w:sz w:val="24"/>
          <w:szCs w:val="24"/>
        </w:rPr>
        <w:t>para</w:t>
      </w:r>
      <w:proofErr w:type="spellEnd"/>
      <w:r w:rsidRPr="0035440B">
        <w:rPr>
          <w:sz w:val="24"/>
          <w:szCs w:val="24"/>
        </w:rPr>
        <w:t>-amino benzoic acid  (</w:t>
      </w:r>
      <w:r>
        <w:rPr>
          <w:sz w:val="24"/>
          <w:szCs w:val="24"/>
        </w:rPr>
        <w:t xml:space="preserve">PABA, </w:t>
      </w:r>
      <w:r w:rsidRPr="0035440B">
        <w:rPr>
          <w:sz w:val="24"/>
          <w:szCs w:val="24"/>
        </w:rPr>
        <w:t>used in the 24-hour urine collections)</w:t>
      </w:r>
      <w:r>
        <w:rPr>
          <w:sz w:val="24"/>
          <w:szCs w:val="24"/>
        </w:rPr>
        <w:t xml:space="preserve">. </w:t>
      </w:r>
      <w:r w:rsidRPr="0035440B">
        <w:rPr>
          <w:sz w:val="24"/>
          <w:szCs w:val="24"/>
        </w:rPr>
        <w:t xml:space="preserve">Those determined to be eligible at that point will be sent in the mail an </w:t>
      </w:r>
      <w:proofErr w:type="spellStart"/>
      <w:r w:rsidRPr="0035440B">
        <w:rPr>
          <w:sz w:val="24"/>
          <w:szCs w:val="24"/>
        </w:rPr>
        <w:t>iDATA</w:t>
      </w:r>
      <w:proofErr w:type="spellEnd"/>
      <w:r w:rsidRPr="0035440B">
        <w:rPr>
          <w:sz w:val="24"/>
          <w:szCs w:val="24"/>
        </w:rPr>
        <w:t xml:space="preserve"> Study Welcome Packet</w:t>
      </w:r>
      <w:r w:rsidR="00A24064">
        <w:rPr>
          <w:sz w:val="24"/>
          <w:szCs w:val="24"/>
        </w:rPr>
        <w:t xml:space="preserve"> </w:t>
      </w:r>
      <w:r w:rsidR="00A24064" w:rsidRPr="0006092A">
        <w:rPr>
          <w:b/>
          <w:sz w:val="24"/>
          <w:szCs w:val="24"/>
        </w:rPr>
        <w:t>(Attachment 2)</w:t>
      </w:r>
      <w:r w:rsidR="00373623">
        <w:rPr>
          <w:sz w:val="24"/>
          <w:szCs w:val="24"/>
        </w:rPr>
        <w:t xml:space="preserve">, which </w:t>
      </w:r>
      <w:r w:rsidRPr="0035440B">
        <w:rPr>
          <w:sz w:val="24"/>
          <w:szCs w:val="24"/>
        </w:rPr>
        <w:t>will include a copy of the informed consent in addition to written information about the purpose of the study, number of clinic visits, the clinic location, and compensation for completing the study</w:t>
      </w:r>
      <w:r>
        <w:rPr>
          <w:sz w:val="24"/>
          <w:szCs w:val="24"/>
        </w:rPr>
        <w:t xml:space="preserve">. </w:t>
      </w:r>
      <w:r w:rsidRPr="0035440B">
        <w:rPr>
          <w:sz w:val="24"/>
          <w:szCs w:val="24"/>
        </w:rPr>
        <w:t>Participants will also be contacted by the clinic study coordinator to set-up their first clinic appointment</w:t>
      </w:r>
      <w:r>
        <w:rPr>
          <w:sz w:val="24"/>
          <w:szCs w:val="24"/>
        </w:rPr>
        <w:t>.</w:t>
      </w:r>
    </w:p>
    <w:p w:rsidR="00127F41" w:rsidRDefault="00127F41" w:rsidP="009B02F1">
      <w:pPr>
        <w:pStyle w:val="P1-StandPara"/>
        <w:rPr>
          <w:sz w:val="24"/>
          <w:szCs w:val="24"/>
        </w:rPr>
      </w:pPr>
      <w:r w:rsidRPr="0035440B">
        <w:rPr>
          <w:sz w:val="24"/>
          <w:szCs w:val="24"/>
        </w:rPr>
        <w:t>At the first clinic visit, participant eligibility will be confirmed and contact and demographic information will be collected</w:t>
      </w:r>
      <w:r>
        <w:rPr>
          <w:sz w:val="24"/>
          <w:szCs w:val="24"/>
        </w:rPr>
        <w:t xml:space="preserve">. </w:t>
      </w:r>
      <w:r w:rsidRPr="0035440B">
        <w:rPr>
          <w:sz w:val="24"/>
          <w:szCs w:val="24"/>
        </w:rPr>
        <w:t>The informed consent will be reviewed with the participant whereby any questions will be answered by the clinic coordinator and the form signed and witnessed by a member of the study staff</w:t>
      </w:r>
      <w:r>
        <w:rPr>
          <w:sz w:val="24"/>
          <w:szCs w:val="24"/>
        </w:rPr>
        <w:t xml:space="preserve">. </w:t>
      </w:r>
      <w:r w:rsidRPr="0035440B">
        <w:rPr>
          <w:sz w:val="24"/>
          <w:szCs w:val="24"/>
        </w:rPr>
        <w:t>It is expected that 2</w:t>
      </w:r>
      <w:r>
        <w:rPr>
          <w:sz w:val="24"/>
          <w:szCs w:val="24"/>
        </w:rPr>
        <w:t>,</w:t>
      </w:r>
      <w:r w:rsidRPr="0035440B">
        <w:rPr>
          <w:sz w:val="24"/>
          <w:szCs w:val="24"/>
        </w:rPr>
        <w:t>227 individuals will attend the first visit and enroll in the study</w:t>
      </w:r>
      <w:r>
        <w:rPr>
          <w:sz w:val="24"/>
          <w:szCs w:val="24"/>
        </w:rPr>
        <w:t>.</w:t>
      </w:r>
    </w:p>
    <w:p w:rsidR="00127F41" w:rsidRDefault="00127F41" w:rsidP="009B02F1">
      <w:pPr>
        <w:pStyle w:val="P1-StandPara"/>
        <w:rPr>
          <w:sz w:val="24"/>
          <w:szCs w:val="24"/>
        </w:rPr>
      </w:pPr>
      <w:r w:rsidRPr="0035440B">
        <w:rPr>
          <w:sz w:val="24"/>
          <w:szCs w:val="24"/>
        </w:rPr>
        <w:t xml:space="preserve">A number of </w:t>
      </w:r>
      <w:r>
        <w:rPr>
          <w:sz w:val="24"/>
          <w:szCs w:val="24"/>
        </w:rPr>
        <w:t>physiologic measures</w:t>
      </w:r>
      <w:r w:rsidRPr="0035440B">
        <w:rPr>
          <w:sz w:val="24"/>
          <w:szCs w:val="24"/>
        </w:rPr>
        <w:t xml:space="preserve">, such as </w:t>
      </w:r>
      <w:r w:rsidR="00373623">
        <w:rPr>
          <w:sz w:val="24"/>
          <w:szCs w:val="24"/>
        </w:rPr>
        <w:t xml:space="preserve">the </w:t>
      </w:r>
      <w:r w:rsidRPr="0035440B">
        <w:rPr>
          <w:sz w:val="24"/>
          <w:szCs w:val="24"/>
        </w:rPr>
        <w:t>resting metabolic rate (RMR), fitness test, doubly labeled water (DLW)</w:t>
      </w:r>
      <w:r>
        <w:rPr>
          <w:sz w:val="24"/>
          <w:szCs w:val="24"/>
        </w:rPr>
        <w:t>, and</w:t>
      </w:r>
      <w:r w:rsidR="00373623">
        <w:rPr>
          <w:sz w:val="24"/>
          <w:szCs w:val="24"/>
        </w:rPr>
        <w:t xml:space="preserve"> </w:t>
      </w:r>
      <w:r w:rsidRPr="0035440B">
        <w:rPr>
          <w:sz w:val="24"/>
          <w:szCs w:val="24"/>
        </w:rPr>
        <w:t>fasting blood collection will be conducted during the first clinic visit</w:t>
      </w:r>
      <w:r>
        <w:rPr>
          <w:sz w:val="24"/>
          <w:szCs w:val="24"/>
        </w:rPr>
        <w:t xml:space="preserve">. </w:t>
      </w:r>
      <w:r w:rsidRPr="0035440B">
        <w:rPr>
          <w:sz w:val="24"/>
          <w:szCs w:val="24"/>
        </w:rPr>
        <w:t xml:space="preserve"> Participants will be asked to visit the study clinic two additional times (once midway and once at the end of the year-long study period) for repeat tests and </w:t>
      </w:r>
      <w:proofErr w:type="spellStart"/>
      <w:r w:rsidRPr="0035440B">
        <w:rPr>
          <w:sz w:val="24"/>
          <w:szCs w:val="24"/>
        </w:rPr>
        <w:t>biospecimen</w:t>
      </w:r>
      <w:proofErr w:type="spellEnd"/>
      <w:r w:rsidRPr="0035440B">
        <w:rPr>
          <w:sz w:val="24"/>
          <w:szCs w:val="24"/>
        </w:rPr>
        <w:t xml:space="preserve"> collections</w:t>
      </w:r>
      <w:r>
        <w:rPr>
          <w:sz w:val="24"/>
          <w:szCs w:val="24"/>
        </w:rPr>
        <w:t xml:space="preserve">. </w:t>
      </w:r>
      <w:r w:rsidRPr="0035440B">
        <w:rPr>
          <w:sz w:val="24"/>
          <w:szCs w:val="24"/>
        </w:rPr>
        <w:t>Monthly at-home assignments will include a combination of internet</w:t>
      </w:r>
      <w:r w:rsidR="00373623">
        <w:rPr>
          <w:sz w:val="24"/>
          <w:szCs w:val="24"/>
        </w:rPr>
        <w:t>-</w:t>
      </w:r>
      <w:r w:rsidRPr="0035440B">
        <w:rPr>
          <w:sz w:val="24"/>
          <w:szCs w:val="24"/>
        </w:rPr>
        <w:t xml:space="preserve">based diet and physical </w:t>
      </w:r>
      <w:r w:rsidRPr="0035440B">
        <w:rPr>
          <w:sz w:val="24"/>
          <w:szCs w:val="24"/>
        </w:rPr>
        <w:lastRenderedPageBreak/>
        <w:t>activity questionnaires</w:t>
      </w:r>
      <w:r w:rsidR="00373623">
        <w:rPr>
          <w:sz w:val="24"/>
          <w:szCs w:val="24"/>
        </w:rPr>
        <w:t xml:space="preserve"> and paper-based logs and records</w:t>
      </w:r>
      <w:r w:rsidRPr="0035440B">
        <w:rPr>
          <w:sz w:val="24"/>
          <w:szCs w:val="24"/>
        </w:rPr>
        <w:t xml:space="preserve">, </w:t>
      </w:r>
      <w:proofErr w:type="spellStart"/>
      <w:r w:rsidRPr="0035440B">
        <w:rPr>
          <w:sz w:val="24"/>
          <w:szCs w:val="24"/>
        </w:rPr>
        <w:t>biospecimen</w:t>
      </w:r>
      <w:proofErr w:type="spellEnd"/>
      <w:r w:rsidRPr="0035440B">
        <w:rPr>
          <w:sz w:val="24"/>
          <w:szCs w:val="24"/>
        </w:rPr>
        <w:t xml:space="preserve"> collections such as saliva and urine, and </w:t>
      </w:r>
      <w:r>
        <w:rPr>
          <w:sz w:val="24"/>
          <w:szCs w:val="24"/>
        </w:rPr>
        <w:t>wearable motion detection devices.</w:t>
      </w:r>
    </w:p>
    <w:p w:rsidR="003B4A10" w:rsidRDefault="00127F41">
      <w:pPr>
        <w:pStyle w:val="P1-StandPara"/>
        <w:rPr>
          <w:sz w:val="24"/>
          <w:szCs w:val="24"/>
        </w:rPr>
      </w:pPr>
      <w:r w:rsidRPr="0035440B">
        <w:rPr>
          <w:sz w:val="24"/>
          <w:szCs w:val="24"/>
        </w:rPr>
        <w:t>Throughout the course of the year-long study, all participants will be administered the</w:t>
      </w:r>
      <w:r w:rsidR="00F636CD">
        <w:rPr>
          <w:sz w:val="24"/>
          <w:szCs w:val="24"/>
        </w:rPr>
        <w:t>:</w:t>
      </w:r>
      <w:r w:rsidRPr="0035440B">
        <w:rPr>
          <w:sz w:val="24"/>
          <w:szCs w:val="24"/>
        </w:rPr>
        <w:t xml:space="preserve"> </w:t>
      </w:r>
    </w:p>
    <w:tbl>
      <w:tblPr>
        <w:tblStyle w:val="TableGrid"/>
        <w:tblW w:w="10192" w:type="dxa"/>
        <w:tblInd w:w="-522" w:type="dxa"/>
        <w:tblLayout w:type="fixed"/>
        <w:tblLook w:val="04A0"/>
      </w:tblPr>
      <w:tblGrid>
        <w:gridCol w:w="1579"/>
        <w:gridCol w:w="2340"/>
        <w:gridCol w:w="2741"/>
        <w:gridCol w:w="1732"/>
        <w:gridCol w:w="1800"/>
      </w:tblGrid>
      <w:tr w:rsidR="003E1642" w:rsidRPr="00253411" w:rsidTr="00703F40">
        <w:tc>
          <w:tcPr>
            <w:tcW w:w="1579" w:type="dxa"/>
            <w:vAlign w:val="center"/>
          </w:tcPr>
          <w:p w:rsidR="00253411" w:rsidRPr="00253411" w:rsidRDefault="0046757B" w:rsidP="00703F40">
            <w:pPr>
              <w:pStyle w:val="P1-StandPara"/>
              <w:spacing w:line="240" w:lineRule="auto"/>
              <w:ind w:firstLine="0"/>
              <w:rPr>
                <w:b/>
              </w:rPr>
            </w:pPr>
            <w:r w:rsidRPr="00253411">
              <w:rPr>
                <w:b/>
              </w:rPr>
              <w:t xml:space="preserve">Number of Times </w:t>
            </w:r>
            <w:proofErr w:type="spellStart"/>
            <w:r w:rsidRPr="00253411">
              <w:rPr>
                <w:b/>
              </w:rPr>
              <w:t>Adminstered</w:t>
            </w:r>
            <w:proofErr w:type="spellEnd"/>
            <w:r w:rsidRPr="00253411">
              <w:rPr>
                <w:b/>
              </w:rPr>
              <w:t xml:space="preserve"> and Intervals</w:t>
            </w:r>
          </w:p>
        </w:tc>
        <w:tc>
          <w:tcPr>
            <w:tcW w:w="2340" w:type="dxa"/>
            <w:vAlign w:val="center"/>
          </w:tcPr>
          <w:p w:rsidR="00253411" w:rsidRPr="00253411" w:rsidRDefault="0046757B" w:rsidP="00703F40">
            <w:pPr>
              <w:pStyle w:val="P1-StandPara"/>
              <w:spacing w:line="240" w:lineRule="auto"/>
              <w:ind w:firstLine="0"/>
              <w:rPr>
                <w:b/>
              </w:rPr>
            </w:pPr>
            <w:r w:rsidRPr="00253411">
              <w:rPr>
                <w:b/>
              </w:rPr>
              <w:t>Once</w:t>
            </w:r>
          </w:p>
        </w:tc>
        <w:tc>
          <w:tcPr>
            <w:tcW w:w="2741" w:type="dxa"/>
            <w:vAlign w:val="center"/>
          </w:tcPr>
          <w:p w:rsidR="00253411" w:rsidRPr="00253411" w:rsidRDefault="0046757B" w:rsidP="00703F40">
            <w:pPr>
              <w:pStyle w:val="P1-StandPara"/>
              <w:spacing w:line="240" w:lineRule="auto"/>
              <w:ind w:firstLine="0"/>
              <w:rPr>
                <w:b/>
              </w:rPr>
            </w:pPr>
            <w:r w:rsidRPr="00253411">
              <w:rPr>
                <w:b/>
              </w:rPr>
              <w:t>Two times at least six months apart</w:t>
            </w:r>
          </w:p>
        </w:tc>
        <w:tc>
          <w:tcPr>
            <w:tcW w:w="1732" w:type="dxa"/>
            <w:vAlign w:val="center"/>
          </w:tcPr>
          <w:p w:rsidR="00253411" w:rsidRPr="00253411" w:rsidRDefault="0046757B" w:rsidP="00703F40">
            <w:pPr>
              <w:pStyle w:val="P1-StandPara"/>
              <w:spacing w:line="240" w:lineRule="auto"/>
              <w:ind w:firstLine="0"/>
              <w:rPr>
                <w:b/>
              </w:rPr>
            </w:pPr>
            <w:r w:rsidRPr="00253411">
              <w:rPr>
                <w:b/>
              </w:rPr>
              <w:t>Three times</w:t>
            </w:r>
            <w:r w:rsidR="00125613" w:rsidRPr="00253411">
              <w:rPr>
                <w:b/>
              </w:rPr>
              <w:t xml:space="preserve"> over 12 months</w:t>
            </w:r>
          </w:p>
        </w:tc>
        <w:tc>
          <w:tcPr>
            <w:tcW w:w="1800" w:type="dxa"/>
            <w:vAlign w:val="center"/>
          </w:tcPr>
          <w:p w:rsidR="00253411" w:rsidRPr="00253411" w:rsidRDefault="0046757B" w:rsidP="00703F40">
            <w:pPr>
              <w:pStyle w:val="P1-StandPara"/>
              <w:spacing w:line="240" w:lineRule="auto"/>
              <w:ind w:firstLine="0"/>
              <w:rPr>
                <w:b/>
              </w:rPr>
            </w:pPr>
            <w:r w:rsidRPr="00253411">
              <w:rPr>
                <w:b/>
              </w:rPr>
              <w:t>Six times over 12 months</w:t>
            </w:r>
          </w:p>
        </w:tc>
      </w:tr>
      <w:tr w:rsidR="00A90E6D" w:rsidRPr="00253411" w:rsidTr="00703F40">
        <w:trPr>
          <w:trHeight w:val="557"/>
        </w:trPr>
        <w:tc>
          <w:tcPr>
            <w:tcW w:w="1579" w:type="dxa"/>
            <w:vMerge w:val="restart"/>
            <w:vAlign w:val="center"/>
          </w:tcPr>
          <w:p w:rsidR="00A90E6D" w:rsidRPr="00253411" w:rsidRDefault="00A90E6D" w:rsidP="00703F40">
            <w:pPr>
              <w:pStyle w:val="P1-StandPara"/>
              <w:spacing w:line="240" w:lineRule="auto"/>
              <w:ind w:firstLine="0"/>
            </w:pPr>
            <w:r w:rsidRPr="00253411">
              <w:t>Instruments or Forms</w:t>
            </w:r>
          </w:p>
        </w:tc>
        <w:tc>
          <w:tcPr>
            <w:tcW w:w="2340" w:type="dxa"/>
            <w:vAlign w:val="center"/>
          </w:tcPr>
          <w:p w:rsidR="00A90E6D" w:rsidRPr="00253411" w:rsidRDefault="00A90E6D" w:rsidP="00703F40">
            <w:pPr>
              <w:pStyle w:val="P1-StandPara"/>
              <w:spacing w:line="240" w:lineRule="auto"/>
              <w:ind w:firstLine="0"/>
            </w:pPr>
            <w:r w:rsidRPr="00253411">
              <w:t>Pre-Screening Telephone Interview (Attachment 1)</w:t>
            </w:r>
          </w:p>
        </w:tc>
        <w:tc>
          <w:tcPr>
            <w:tcW w:w="2741" w:type="dxa"/>
            <w:vAlign w:val="center"/>
          </w:tcPr>
          <w:p w:rsidR="00A90E6D" w:rsidRPr="00253411" w:rsidRDefault="00A90E6D" w:rsidP="00703F40">
            <w:pPr>
              <w:pStyle w:val="P1-StandPara"/>
              <w:spacing w:line="240" w:lineRule="auto"/>
              <w:ind w:firstLine="0"/>
            </w:pPr>
            <w:r w:rsidRPr="00253411">
              <w:t>DHQ*Web-II</w:t>
            </w:r>
          </w:p>
          <w:p w:rsidR="00A90E6D" w:rsidRPr="00253411" w:rsidRDefault="00A90E6D" w:rsidP="00703F40">
            <w:pPr>
              <w:pStyle w:val="P1-StandPara"/>
              <w:spacing w:line="240" w:lineRule="auto"/>
              <w:ind w:firstLine="0"/>
            </w:pPr>
            <w:r w:rsidRPr="00253411">
              <w:t>(Attachment 33)</w:t>
            </w:r>
          </w:p>
        </w:tc>
        <w:tc>
          <w:tcPr>
            <w:tcW w:w="1732" w:type="dxa"/>
            <w:vAlign w:val="center"/>
          </w:tcPr>
          <w:p w:rsidR="00A90E6D" w:rsidRPr="00253411" w:rsidRDefault="00A90E6D" w:rsidP="00703F40">
            <w:pPr>
              <w:pStyle w:val="P1-StandPara"/>
              <w:spacing w:line="240" w:lineRule="auto"/>
              <w:ind w:firstLine="0"/>
            </w:pPr>
            <w:r w:rsidRPr="00253411">
              <w:t>Saliva Collection</w:t>
            </w:r>
          </w:p>
          <w:p w:rsidR="00A90E6D" w:rsidRPr="00253411" w:rsidRDefault="00A90E6D" w:rsidP="00703F40">
            <w:pPr>
              <w:pStyle w:val="P1-StandPara"/>
              <w:spacing w:line="240" w:lineRule="auto"/>
              <w:ind w:firstLine="0"/>
            </w:pPr>
            <w:r w:rsidRPr="00253411">
              <w:t>(Attachment 15)</w:t>
            </w:r>
          </w:p>
        </w:tc>
        <w:tc>
          <w:tcPr>
            <w:tcW w:w="1800" w:type="dxa"/>
            <w:vAlign w:val="center"/>
          </w:tcPr>
          <w:p w:rsidR="00A90E6D" w:rsidRPr="00253411" w:rsidRDefault="00A90E6D" w:rsidP="00703F40">
            <w:pPr>
              <w:pStyle w:val="P1-StandPara"/>
              <w:spacing w:line="240" w:lineRule="auto"/>
              <w:ind w:firstLine="0"/>
            </w:pPr>
            <w:r w:rsidRPr="00253411">
              <w:t xml:space="preserve">ASA24 </w:t>
            </w:r>
          </w:p>
          <w:p w:rsidR="00A90E6D" w:rsidRPr="00253411" w:rsidRDefault="00A90E6D" w:rsidP="00703F40">
            <w:pPr>
              <w:pStyle w:val="P1-StandPara"/>
              <w:spacing w:line="240" w:lineRule="auto"/>
              <w:ind w:firstLine="0"/>
            </w:pPr>
            <w:r w:rsidRPr="00253411">
              <w:t>(Attachment 32)</w:t>
            </w:r>
          </w:p>
        </w:tc>
      </w:tr>
      <w:tr w:rsidR="00A90E6D" w:rsidRPr="00253411" w:rsidTr="00703F40">
        <w:trPr>
          <w:trHeight w:val="800"/>
        </w:trPr>
        <w:tc>
          <w:tcPr>
            <w:tcW w:w="1579" w:type="dxa"/>
            <w:vMerge/>
            <w:vAlign w:val="center"/>
          </w:tcPr>
          <w:p w:rsidR="00A90E6D" w:rsidRPr="00253411" w:rsidRDefault="00A90E6D" w:rsidP="00703F40">
            <w:pPr>
              <w:pStyle w:val="P1-StandPara"/>
              <w:spacing w:line="240" w:lineRule="auto"/>
              <w:ind w:firstLine="0"/>
            </w:pPr>
          </w:p>
        </w:tc>
        <w:tc>
          <w:tcPr>
            <w:tcW w:w="2340" w:type="dxa"/>
            <w:vAlign w:val="center"/>
          </w:tcPr>
          <w:p w:rsidR="00A90E6D" w:rsidRPr="00253411" w:rsidRDefault="00A90E6D" w:rsidP="00703F40">
            <w:pPr>
              <w:pStyle w:val="P1-StandPara"/>
              <w:spacing w:line="240" w:lineRule="auto"/>
              <w:ind w:firstLine="0"/>
            </w:pPr>
            <w:r w:rsidRPr="00253411">
              <w:t>Clinic Eligibility Screening Interview  (Attachment 3)</w:t>
            </w:r>
          </w:p>
        </w:tc>
        <w:tc>
          <w:tcPr>
            <w:tcW w:w="2741" w:type="dxa"/>
            <w:vAlign w:val="center"/>
          </w:tcPr>
          <w:p w:rsidR="00A90E6D" w:rsidRPr="00253411" w:rsidRDefault="00A90E6D" w:rsidP="00703F40">
            <w:pPr>
              <w:pStyle w:val="P1-StandPara"/>
              <w:spacing w:line="240" w:lineRule="auto"/>
              <w:ind w:firstLine="0"/>
            </w:pPr>
            <w:r w:rsidRPr="00253411">
              <w:t>Fasting Blood Collection</w:t>
            </w:r>
          </w:p>
          <w:p w:rsidR="00A90E6D" w:rsidRPr="00253411" w:rsidRDefault="00A90E6D" w:rsidP="00703F40">
            <w:pPr>
              <w:pStyle w:val="P1-StandPara"/>
              <w:spacing w:line="240" w:lineRule="auto"/>
              <w:ind w:firstLine="0"/>
            </w:pPr>
            <w:r w:rsidRPr="00253411">
              <w:t>(Attachment 5)</w:t>
            </w:r>
          </w:p>
        </w:tc>
        <w:tc>
          <w:tcPr>
            <w:tcW w:w="1732" w:type="dxa"/>
            <w:vAlign w:val="center"/>
          </w:tcPr>
          <w:p w:rsidR="00A90E6D" w:rsidRPr="00253411" w:rsidRDefault="00A90E6D" w:rsidP="00703F40">
            <w:pPr>
              <w:pStyle w:val="P1-StandPara"/>
              <w:spacing w:line="240" w:lineRule="auto"/>
              <w:ind w:firstLine="0"/>
            </w:pPr>
            <w:r w:rsidRPr="00253411">
              <w:t>Anthropometric measurements</w:t>
            </w:r>
          </w:p>
          <w:p w:rsidR="00A90E6D" w:rsidRPr="00253411" w:rsidRDefault="00A90E6D" w:rsidP="00703F40">
            <w:pPr>
              <w:pStyle w:val="P1-StandPara"/>
              <w:spacing w:line="240" w:lineRule="auto"/>
              <w:ind w:firstLine="0"/>
            </w:pPr>
            <w:r w:rsidRPr="00253411">
              <w:t>(Attachment 13)</w:t>
            </w:r>
          </w:p>
        </w:tc>
        <w:tc>
          <w:tcPr>
            <w:tcW w:w="1800" w:type="dxa"/>
            <w:vAlign w:val="center"/>
          </w:tcPr>
          <w:p w:rsidR="00A90E6D" w:rsidRPr="00253411" w:rsidRDefault="00A90E6D" w:rsidP="00703F40">
            <w:pPr>
              <w:pStyle w:val="P1-StandPara"/>
              <w:spacing w:line="240" w:lineRule="auto"/>
              <w:ind w:firstLine="0"/>
            </w:pPr>
            <w:r w:rsidRPr="00253411">
              <w:t>ACT24</w:t>
            </w:r>
          </w:p>
          <w:p w:rsidR="00A90E6D" w:rsidRPr="00253411" w:rsidRDefault="00A90E6D" w:rsidP="00703F40">
            <w:pPr>
              <w:pStyle w:val="P1-StandPara"/>
              <w:spacing w:line="240" w:lineRule="auto"/>
              <w:ind w:firstLine="0"/>
            </w:pPr>
            <w:r w:rsidRPr="00253411">
              <w:t>(Attachment 34)</w:t>
            </w:r>
          </w:p>
        </w:tc>
      </w:tr>
      <w:tr w:rsidR="00A90E6D" w:rsidRPr="00253411" w:rsidTr="00703F40">
        <w:trPr>
          <w:trHeight w:val="530"/>
        </w:trPr>
        <w:tc>
          <w:tcPr>
            <w:tcW w:w="1579" w:type="dxa"/>
            <w:vMerge/>
            <w:vAlign w:val="center"/>
          </w:tcPr>
          <w:p w:rsidR="00A90E6D" w:rsidRPr="00253411" w:rsidRDefault="00A90E6D" w:rsidP="00703F40">
            <w:pPr>
              <w:pStyle w:val="P1-StandPara"/>
              <w:spacing w:line="240" w:lineRule="auto"/>
              <w:ind w:firstLine="0"/>
            </w:pPr>
          </w:p>
        </w:tc>
        <w:tc>
          <w:tcPr>
            <w:tcW w:w="2340" w:type="dxa"/>
            <w:vAlign w:val="center"/>
          </w:tcPr>
          <w:p w:rsidR="00A90E6D" w:rsidRPr="00253411" w:rsidRDefault="00A90E6D" w:rsidP="00703F40">
            <w:pPr>
              <w:pStyle w:val="P1-StandPara"/>
              <w:spacing w:line="240" w:lineRule="auto"/>
              <w:ind w:firstLine="0"/>
            </w:pPr>
            <w:r w:rsidRPr="00253411">
              <w:t xml:space="preserve">Fitness Test </w:t>
            </w:r>
            <w:r w:rsidRPr="00253411">
              <w:br/>
              <w:t>(Attachment 10)</w:t>
            </w:r>
          </w:p>
        </w:tc>
        <w:tc>
          <w:tcPr>
            <w:tcW w:w="2741" w:type="dxa"/>
            <w:vAlign w:val="center"/>
          </w:tcPr>
          <w:p w:rsidR="00A90E6D" w:rsidRPr="00253411" w:rsidRDefault="00A90E6D" w:rsidP="00703F40">
            <w:pPr>
              <w:pStyle w:val="P1-StandPara"/>
              <w:spacing w:line="240" w:lineRule="auto"/>
              <w:ind w:firstLine="0"/>
            </w:pPr>
            <w:r w:rsidRPr="00253411">
              <w:t>4-day Food Record</w:t>
            </w:r>
          </w:p>
          <w:p w:rsidR="00A90E6D" w:rsidRPr="00253411" w:rsidRDefault="00A90E6D" w:rsidP="00703F40">
            <w:pPr>
              <w:pStyle w:val="P1-StandPara"/>
              <w:spacing w:line="240" w:lineRule="auto"/>
              <w:ind w:firstLine="0"/>
            </w:pPr>
            <w:r w:rsidRPr="00253411">
              <w:t>(Attachment 17)</w:t>
            </w:r>
          </w:p>
        </w:tc>
        <w:tc>
          <w:tcPr>
            <w:tcW w:w="1732" w:type="dxa"/>
            <w:vAlign w:val="center"/>
          </w:tcPr>
          <w:p w:rsidR="00A90E6D" w:rsidRPr="00253411" w:rsidRDefault="00A90E6D" w:rsidP="00703F40">
            <w:pPr>
              <w:pStyle w:val="P1-StandPara"/>
              <w:spacing w:line="240" w:lineRule="auto"/>
              <w:ind w:firstLine="0"/>
            </w:pPr>
          </w:p>
        </w:tc>
        <w:tc>
          <w:tcPr>
            <w:tcW w:w="1800" w:type="dxa"/>
            <w:vAlign w:val="center"/>
          </w:tcPr>
          <w:p w:rsidR="00A90E6D" w:rsidRPr="00253411" w:rsidRDefault="00A90E6D" w:rsidP="00703F40">
            <w:pPr>
              <w:pStyle w:val="P1-StandPara"/>
              <w:spacing w:line="240" w:lineRule="auto"/>
              <w:ind w:firstLine="0"/>
            </w:pPr>
          </w:p>
        </w:tc>
      </w:tr>
      <w:tr w:rsidR="00A90E6D" w:rsidRPr="00253411" w:rsidTr="00703F40">
        <w:trPr>
          <w:trHeight w:val="800"/>
        </w:trPr>
        <w:tc>
          <w:tcPr>
            <w:tcW w:w="1579" w:type="dxa"/>
            <w:vMerge/>
            <w:vAlign w:val="center"/>
          </w:tcPr>
          <w:p w:rsidR="00A90E6D" w:rsidRPr="00253411" w:rsidRDefault="00A90E6D" w:rsidP="00703F40">
            <w:pPr>
              <w:pStyle w:val="P1-StandPara"/>
              <w:spacing w:line="240" w:lineRule="auto"/>
              <w:ind w:firstLine="0"/>
            </w:pPr>
          </w:p>
        </w:tc>
        <w:tc>
          <w:tcPr>
            <w:tcW w:w="2340" w:type="dxa"/>
            <w:vAlign w:val="center"/>
          </w:tcPr>
          <w:p w:rsidR="00A90E6D" w:rsidRPr="00253411" w:rsidRDefault="00A90E6D" w:rsidP="00703F40">
            <w:pPr>
              <w:pStyle w:val="P1-StandPara"/>
              <w:spacing w:line="240" w:lineRule="auto"/>
              <w:ind w:firstLine="0"/>
            </w:pPr>
            <w:r w:rsidRPr="00253411">
              <w:t xml:space="preserve">Resting Metabolic Rate (RMR) test </w:t>
            </w:r>
            <w:r w:rsidRPr="00253411">
              <w:br/>
              <w:t>(Attachment 7)</w:t>
            </w:r>
          </w:p>
        </w:tc>
        <w:tc>
          <w:tcPr>
            <w:tcW w:w="2741" w:type="dxa"/>
            <w:vAlign w:val="center"/>
          </w:tcPr>
          <w:p w:rsidR="00A90E6D" w:rsidRPr="00253411" w:rsidRDefault="00A90E6D" w:rsidP="00703F40">
            <w:pPr>
              <w:pStyle w:val="P1-StandPara"/>
              <w:spacing w:line="240" w:lineRule="auto"/>
              <w:ind w:firstLine="0"/>
            </w:pPr>
            <w:r w:rsidRPr="00253411">
              <w:t>7-day Food Checklist</w:t>
            </w:r>
          </w:p>
          <w:p w:rsidR="00A90E6D" w:rsidRPr="00253411" w:rsidRDefault="00A90E6D" w:rsidP="00703F40">
            <w:pPr>
              <w:pStyle w:val="P1-StandPara"/>
              <w:spacing w:line="240" w:lineRule="auto"/>
              <w:ind w:firstLine="0"/>
            </w:pPr>
            <w:r w:rsidRPr="00253411">
              <w:t>(Attachment 16)</w:t>
            </w:r>
          </w:p>
        </w:tc>
        <w:tc>
          <w:tcPr>
            <w:tcW w:w="1732" w:type="dxa"/>
            <w:vAlign w:val="center"/>
          </w:tcPr>
          <w:p w:rsidR="00A90E6D" w:rsidRPr="00253411" w:rsidRDefault="00A90E6D" w:rsidP="00703F40">
            <w:pPr>
              <w:pStyle w:val="P1-StandPara"/>
              <w:spacing w:line="240" w:lineRule="auto"/>
              <w:ind w:firstLine="0"/>
            </w:pPr>
          </w:p>
        </w:tc>
        <w:tc>
          <w:tcPr>
            <w:tcW w:w="1800" w:type="dxa"/>
            <w:vAlign w:val="center"/>
          </w:tcPr>
          <w:p w:rsidR="00A90E6D" w:rsidRPr="00253411" w:rsidRDefault="00A90E6D" w:rsidP="00703F40">
            <w:pPr>
              <w:pStyle w:val="P1-StandPara"/>
              <w:spacing w:line="240" w:lineRule="auto"/>
              <w:ind w:firstLine="0"/>
            </w:pPr>
          </w:p>
        </w:tc>
      </w:tr>
      <w:tr w:rsidR="00A90E6D" w:rsidRPr="00253411" w:rsidTr="00703F40">
        <w:trPr>
          <w:trHeight w:val="800"/>
        </w:trPr>
        <w:tc>
          <w:tcPr>
            <w:tcW w:w="1579" w:type="dxa"/>
            <w:vMerge/>
            <w:vAlign w:val="center"/>
          </w:tcPr>
          <w:p w:rsidR="00A90E6D" w:rsidRPr="00253411" w:rsidRDefault="00A90E6D" w:rsidP="00703F40">
            <w:pPr>
              <w:pStyle w:val="P1-StandPara"/>
              <w:spacing w:line="240" w:lineRule="auto"/>
              <w:ind w:firstLine="0"/>
            </w:pPr>
          </w:p>
        </w:tc>
        <w:tc>
          <w:tcPr>
            <w:tcW w:w="2340" w:type="dxa"/>
            <w:vAlign w:val="center"/>
          </w:tcPr>
          <w:p w:rsidR="00A90E6D" w:rsidRPr="00253411" w:rsidRDefault="00A90E6D" w:rsidP="00703F40">
            <w:pPr>
              <w:pStyle w:val="P1-StandPara"/>
              <w:spacing w:line="240" w:lineRule="auto"/>
              <w:ind w:firstLine="0"/>
            </w:pPr>
            <w:r w:rsidRPr="00253411">
              <w:t>Doubly Labeled Water (DLW) protocol (Attachment 6)</w:t>
            </w:r>
          </w:p>
        </w:tc>
        <w:tc>
          <w:tcPr>
            <w:tcW w:w="2741" w:type="dxa"/>
            <w:vAlign w:val="center"/>
          </w:tcPr>
          <w:p w:rsidR="00A90E6D" w:rsidRPr="00253411" w:rsidRDefault="00A90E6D" w:rsidP="00703F40">
            <w:pPr>
              <w:pStyle w:val="P1-StandPara"/>
              <w:spacing w:line="240" w:lineRule="auto"/>
              <w:ind w:firstLine="0"/>
            </w:pPr>
            <w:r w:rsidRPr="00253411">
              <w:t>Resting Metabolic Rate (RMR) test (Attachment 7)</w:t>
            </w:r>
          </w:p>
        </w:tc>
        <w:tc>
          <w:tcPr>
            <w:tcW w:w="1732" w:type="dxa"/>
            <w:vAlign w:val="center"/>
          </w:tcPr>
          <w:p w:rsidR="00A90E6D" w:rsidRPr="00253411" w:rsidRDefault="00A90E6D" w:rsidP="00703F40">
            <w:pPr>
              <w:pStyle w:val="P1-StandPara"/>
              <w:spacing w:line="240" w:lineRule="auto"/>
              <w:ind w:firstLine="0"/>
            </w:pPr>
          </w:p>
        </w:tc>
        <w:tc>
          <w:tcPr>
            <w:tcW w:w="1800" w:type="dxa"/>
            <w:vAlign w:val="center"/>
          </w:tcPr>
          <w:p w:rsidR="00A90E6D" w:rsidRPr="00253411" w:rsidRDefault="00A90E6D" w:rsidP="00703F40">
            <w:pPr>
              <w:pStyle w:val="P1-StandPara"/>
              <w:spacing w:line="240" w:lineRule="auto"/>
              <w:ind w:firstLine="0"/>
            </w:pPr>
          </w:p>
        </w:tc>
      </w:tr>
      <w:tr w:rsidR="00A90E6D" w:rsidRPr="00253411" w:rsidTr="00703F40">
        <w:tc>
          <w:tcPr>
            <w:tcW w:w="1579" w:type="dxa"/>
            <w:vMerge/>
            <w:vAlign w:val="center"/>
          </w:tcPr>
          <w:p w:rsidR="00A90E6D" w:rsidRPr="00253411" w:rsidRDefault="00A90E6D" w:rsidP="00703F40">
            <w:pPr>
              <w:pStyle w:val="P1-StandPara"/>
              <w:spacing w:line="240" w:lineRule="auto"/>
              <w:ind w:firstLine="0"/>
            </w:pPr>
          </w:p>
        </w:tc>
        <w:tc>
          <w:tcPr>
            <w:tcW w:w="2340" w:type="dxa"/>
            <w:vAlign w:val="center"/>
          </w:tcPr>
          <w:p w:rsidR="00A90E6D" w:rsidRPr="00253411" w:rsidRDefault="00A90E6D" w:rsidP="00703F40">
            <w:pPr>
              <w:pStyle w:val="TableofFigures"/>
              <w:spacing w:line="240" w:lineRule="auto"/>
              <w:rPr>
                <w:color w:val="000000"/>
                <w:sz w:val="20"/>
                <w:szCs w:val="20"/>
              </w:rPr>
            </w:pPr>
            <w:r w:rsidRPr="00253411">
              <w:rPr>
                <w:color w:val="000000"/>
                <w:sz w:val="20"/>
                <w:szCs w:val="20"/>
              </w:rPr>
              <w:t xml:space="preserve">Physical Activity Readiness Questionnaires – PAR-Q or </w:t>
            </w:r>
            <w:proofErr w:type="spellStart"/>
            <w:r w:rsidRPr="00253411">
              <w:rPr>
                <w:color w:val="000000"/>
                <w:sz w:val="20"/>
                <w:szCs w:val="20"/>
              </w:rPr>
              <w:t>PARmed</w:t>
            </w:r>
            <w:proofErr w:type="spellEnd"/>
            <w:r w:rsidRPr="00253411">
              <w:rPr>
                <w:color w:val="000000"/>
                <w:sz w:val="20"/>
                <w:szCs w:val="20"/>
              </w:rPr>
              <w:t>-X</w:t>
            </w:r>
          </w:p>
          <w:p w:rsidR="00A90E6D" w:rsidRPr="00253411" w:rsidRDefault="00A90E6D" w:rsidP="00703F40">
            <w:pPr>
              <w:pStyle w:val="P1-StandPara"/>
              <w:spacing w:line="240" w:lineRule="auto"/>
              <w:ind w:firstLine="0"/>
            </w:pPr>
            <w:r w:rsidRPr="00253411">
              <w:t>(Attachments 11A-11B)</w:t>
            </w:r>
          </w:p>
        </w:tc>
        <w:tc>
          <w:tcPr>
            <w:tcW w:w="2741" w:type="dxa"/>
            <w:vAlign w:val="center"/>
          </w:tcPr>
          <w:p w:rsidR="00A90E6D" w:rsidRPr="00253411" w:rsidRDefault="00A90E6D" w:rsidP="00703F40">
            <w:pPr>
              <w:pStyle w:val="P1-StandPara"/>
              <w:spacing w:line="240" w:lineRule="auto"/>
              <w:ind w:firstLine="0"/>
            </w:pPr>
            <w:r w:rsidRPr="00253411">
              <w:t>Doubly Labeled Water (DLW) protocol (Attachment 6)</w:t>
            </w:r>
          </w:p>
        </w:tc>
        <w:tc>
          <w:tcPr>
            <w:tcW w:w="1732" w:type="dxa"/>
            <w:vAlign w:val="center"/>
          </w:tcPr>
          <w:p w:rsidR="00A90E6D" w:rsidRPr="00253411" w:rsidRDefault="00A90E6D" w:rsidP="00703F40">
            <w:pPr>
              <w:pStyle w:val="P1-StandPara"/>
              <w:spacing w:line="240" w:lineRule="auto"/>
              <w:ind w:firstLine="0"/>
            </w:pPr>
          </w:p>
        </w:tc>
        <w:tc>
          <w:tcPr>
            <w:tcW w:w="1800" w:type="dxa"/>
            <w:vAlign w:val="center"/>
          </w:tcPr>
          <w:p w:rsidR="00A90E6D" w:rsidRPr="00253411" w:rsidRDefault="00A90E6D" w:rsidP="00703F40">
            <w:pPr>
              <w:pStyle w:val="P1-StandPara"/>
              <w:spacing w:line="240" w:lineRule="auto"/>
              <w:ind w:firstLine="0"/>
            </w:pPr>
          </w:p>
        </w:tc>
      </w:tr>
      <w:tr w:rsidR="00A90E6D" w:rsidRPr="00253411" w:rsidTr="00703F40">
        <w:tc>
          <w:tcPr>
            <w:tcW w:w="1579" w:type="dxa"/>
            <w:vMerge/>
            <w:vAlign w:val="center"/>
          </w:tcPr>
          <w:p w:rsidR="00A90E6D" w:rsidRPr="00253411" w:rsidRDefault="00A90E6D" w:rsidP="00703F40">
            <w:pPr>
              <w:pStyle w:val="P1-StandPara"/>
              <w:spacing w:line="240" w:lineRule="auto"/>
              <w:ind w:firstLine="0"/>
            </w:pPr>
          </w:p>
        </w:tc>
        <w:tc>
          <w:tcPr>
            <w:tcW w:w="2340" w:type="dxa"/>
            <w:vAlign w:val="center"/>
          </w:tcPr>
          <w:p w:rsidR="00A90E6D" w:rsidRDefault="00A90E6D" w:rsidP="00703F40">
            <w:pPr>
              <w:pStyle w:val="TableofFigures"/>
              <w:spacing w:line="240" w:lineRule="auto"/>
              <w:rPr>
                <w:color w:val="000000"/>
                <w:sz w:val="20"/>
                <w:szCs w:val="20"/>
              </w:rPr>
            </w:pPr>
            <w:r>
              <w:rPr>
                <w:color w:val="000000"/>
                <w:sz w:val="20"/>
                <w:szCs w:val="20"/>
              </w:rPr>
              <w:t>Heart Rate Monitor Log</w:t>
            </w:r>
          </w:p>
          <w:p w:rsidR="00A90E6D" w:rsidRPr="00253411" w:rsidRDefault="00A90E6D" w:rsidP="00703F40">
            <w:pPr>
              <w:pStyle w:val="P1-StandPara"/>
              <w:spacing w:line="240" w:lineRule="auto"/>
              <w:ind w:firstLine="0"/>
            </w:pPr>
            <w:r w:rsidRPr="00213686">
              <w:t xml:space="preserve">(Attachment </w:t>
            </w:r>
            <w:r>
              <w:t>8</w:t>
            </w:r>
            <w:r w:rsidRPr="00213686">
              <w:t>)</w:t>
            </w:r>
          </w:p>
        </w:tc>
        <w:tc>
          <w:tcPr>
            <w:tcW w:w="2741" w:type="dxa"/>
            <w:vAlign w:val="center"/>
          </w:tcPr>
          <w:p w:rsidR="00A90E6D" w:rsidRDefault="00A90E6D" w:rsidP="00703F40">
            <w:pPr>
              <w:pStyle w:val="TableofFigures"/>
              <w:spacing w:line="240" w:lineRule="auto"/>
              <w:rPr>
                <w:color w:val="000000"/>
                <w:sz w:val="20"/>
                <w:szCs w:val="20"/>
              </w:rPr>
            </w:pPr>
            <w:r>
              <w:rPr>
                <w:color w:val="000000"/>
                <w:sz w:val="20"/>
                <w:szCs w:val="20"/>
              </w:rPr>
              <w:t>Physical Activity Monitor Log (Accelerometer/</w:t>
            </w:r>
          </w:p>
          <w:p w:rsidR="00A90E6D" w:rsidRPr="00253411" w:rsidRDefault="00A90E6D" w:rsidP="00703F40">
            <w:pPr>
              <w:pStyle w:val="P1-StandPara"/>
              <w:spacing w:line="240" w:lineRule="auto"/>
              <w:ind w:firstLine="0"/>
            </w:pPr>
            <w:r>
              <w:rPr>
                <w:color w:val="000000"/>
              </w:rPr>
              <w:t xml:space="preserve">Inclinometer) </w:t>
            </w:r>
            <w:r w:rsidDel="00C6491D">
              <w:rPr>
                <w:color w:val="000000"/>
              </w:rPr>
              <w:t xml:space="preserve"> </w:t>
            </w:r>
            <w:r w:rsidRPr="00213686">
              <w:t xml:space="preserve">(Attachment </w:t>
            </w:r>
            <w:r>
              <w:t>12</w:t>
            </w:r>
            <w:r w:rsidRPr="00213686">
              <w:t>)</w:t>
            </w:r>
          </w:p>
        </w:tc>
        <w:tc>
          <w:tcPr>
            <w:tcW w:w="1732" w:type="dxa"/>
            <w:vAlign w:val="center"/>
          </w:tcPr>
          <w:p w:rsidR="00A90E6D" w:rsidRPr="00253411" w:rsidRDefault="00A90E6D" w:rsidP="00703F40">
            <w:pPr>
              <w:pStyle w:val="P1-StandPara"/>
              <w:spacing w:line="240" w:lineRule="auto"/>
              <w:ind w:firstLine="0"/>
            </w:pPr>
          </w:p>
        </w:tc>
        <w:tc>
          <w:tcPr>
            <w:tcW w:w="1800" w:type="dxa"/>
            <w:vAlign w:val="center"/>
          </w:tcPr>
          <w:p w:rsidR="00A90E6D" w:rsidRPr="00253411" w:rsidRDefault="00A90E6D" w:rsidP="00703F40">
            <w:pPr>
              <w:pStyle w:val="P1-StandPara"/>
              <w:spacing w:line="240" w:lineRule="auto"/>
              <w:ind w:firstLine="0"/>
            </w:pPr>
          </w:p>
        </w:tc>
      </w:tr>
      <w:tr w:rsidR="00A90E6D" w:rsidRPr="00253411" w:rsidTr="00703F40">
        <w:tc>
          <w:tcPr>
            <w:tcW w:w="1579" w:type="dxa"/>
            <w:vMerge/>
            <w:vAlign w:val="center"/>
          </w:tcPr>
          <w:p w:rsidR="00A90E6D" w:rsidRPr="00253411" w:rsidRDefault="00A90E6D" w:rsidP="00703F40">
            <w:pPr>
              <w:pStyle w:val="P1-StandPara"/>
              <w:spacing w:line="240" w:lineRule="auto"/>
              <w:ind w:firstLine="0"/>
            </w:pPr>
          </w:p>
        </w:tc>
        <w:tc>
          <w:tcPr>
            <w:tcW w:w="2340" w:type="dxa"/>
            <w:vAlign w:val="center"/>
          </w:tcPr>
          <w:p w:rsidR="00A90E6D" w:rsidRPr="00253411" w:rsidRDefault="00A90E6D" w:rsidP="00703F40">
            <w:pPr>
              <w:pStyle w:val="P1-StandPara"/>
              <w:spacing w:line="240" w:lineRule="auto"/>
              <w:ind w:firstLine="0"/>
            </w:pPr>
          </w:p>
        </w:tc>
        <w:tc>
          <w:tcPr>
            <w:tcW w:w="2741" w:type="dxa"/>
            <w:vAlign w:val="center"/>
          </w:tcPr>
          <w:p w:rsidR="00A90E6D" w:rsidRPr="00253411" w:rsidRDefault="00A90E6D" w:rsidP="00703F40">
            <w:pPr>
              <w:pStyle w:val="P1-StandPara"/>
              <w:spacing w:line="240" w:lineRule="auto"/>
              <w:ind w:firstLine="0"/>
            </w:pPr>
            <w:r w:rsidRPr="00253411">
              <w:t xml:space="preserve"> 24-hour Urine Protocol</w:t>
            </w:r>
            <w:r>
              <w:t xml:space="preserve"> and Form</w:t>
            </w:r>
          </w:p>
          <w:p w:rsidR="00A90E6D" w:rsidRPr="00253411" w:rsidRDefault="00A90E6D" w:rsidP="00703F40">
            <w:pPr>
              <w:pStyle w:val="P1-StandPara"/>
              <w:spacing w:line="240" w:lineRule="auto"/>
              <w:ind w:firstLine="0"/>
            </w:pPr>
            <w:r w:rsidRPr="00253411">
              <w:t>(Attachment 14)</w:t>
            </w:r>
          </w:p>
        </w:tc>
        <w:tc>
          <w:tcPr>
            <w:tcW w:w="1732" w:type="dxa"/>
            <w:vAlign w:val="center"/>
          </w:tcPr>
          <w:p w:rsidR="00A90E6D" w:rsidRPr="00253411" w:rsidRDefault="00A90E6D" w:rsidP="00703F40">
            <w:pPr>
              <w:pStyle w:val="P1-StandPara"/>
              <w:spacing w:line="240" w:lineRule="auto"/>
              <w:ind w:firstLine="0"/>
            </w:pPr>
          </w:p>
        </w:tc>
        <w:tc>
          <w:tcPr>
            <w:tcW w:w="1800" w:type="dxa"/>
            <w:vAlign w:val="center"/>
          </w:tcPr>
          <w:p w:rsidR="00A90E6D" w:rsidRPr="00253411" w:rsidRDefault="00A90E6D" w:rsidP="00703F40">
            <w:pPr>
              <w:pStyle w:val="P1-StandPara"/>
              <w:spacing w:line="240" w:lineRule="auto"/>
              <w:ind w:firstLine="0"/>
            </w:pPr>
          </w:p>
        </w:tc>
      </w:tr>
      <w:tr w:rsidR="00A90E6D" w:rsidRPr="00253411" w:rsidTr="00703F40">
        <w:tc>
          <w:tcPr>
            <w:tcW w:w="1579" w:type="dxa"/>
            <w:vMerge/>
            <w:vAlign w:val="center"/>
          </w:tcPr>
          <w:p w:rsidR="00A90E6D" w:rsidRPr="00253411" w:rsidRDefault="00A90E6D" w:rsidP="00703F40">
            <w:pPr>
              <w:pStyle w:val="P1-StandPara"/>
              <w:spacing w:line="240" w:lineRule="auto"/>
              <w:ind w:firstLine="0"/>
            </w:pPr>
          </w:p>
        </w:tc>
        <w:tc>
          <w:tcPr>
            <w:tcW w:w="2340" w:type="dxa"/>
            <w:vAlign w:val="center"/>
          </w:tcPr>
          <w:p w:rsidR="00A90E6D" w:rsidRPr="00253411" w:rsidRDefault="00A90E6D" w:rsidP="00703F40">
            <w:pPr>
              <w:pStyle w:val="P1-StandPara"/>
              <w:spacing w:line="240" w:lineRule="auto"/>
              <w:ind w:firstLine="0"/>
            </w:pPr>
          </w:p>
        </w:tc>
        <w:tc>
          <w:tcPr>
            <w:tcW w:w="2741" w:type="dxa"/>
            <w:vAlign w:val="center"/>
          </w:tcPr>
          <w:p w:rsidR="00A90E6D" w:rsidRPr="00253411" w:rsidRDefault="00A90E6D" w:rsidP="00703F40">
            <w:pPr>
              <w:pStyle w:val="P1-StandPara"/>
              <w:spacing w:line="240" w:lineRule="auto"/>
              <w:ind w:firstLine="0"/>
            </w:pPr>
            <w:r w:rsidRPr="00253411">
              <w:t>Harvard Lifestyle Validation Study Physical Activity Questionnaire</w:t>
            </w:r>
          </w:p>
          <w:p w:rsidR="00A90E6D" w:rsidRPr="00253411" w:rsidRDefault="00A90E6D" w:rsidP="00703F40">
            <w:pPr>
              <w:pStyle w:val="P1-StandPara"/>
              <w:spacing w:line="240" w:lineRule="auto"/>
              <w:ind w:firstLine="0"/>
            </w:pPr>
            <w:r w:rsidRPr="00253411">
              <w:t>(Attachment 18)</w:t>
            </w:r>
          </w:p>
        </w:tc>
        <w:tc>
          <w:tcPr>
            <w:tcW w:w="1732" w:type="dxa"/>
            <w:vAlign w:val="center"/>
          </w:tcPr>
          <w:p w:rsidR="00A90E6D" w:rsidRPr="00253411" w:rsidRDefault="00A90E6D" w:rsidP="00703F40">
            <w:pPr>
              <w:pStyle w:val="P1-StandPara"/>
              <w:spacing w:line="240" w:lineRule="auto"/>
              <w:ind w:firstLine="0"/>
            </w:pPr>
          </w:p>
        </w:tc>
        <w:tc>
          <w:tcPr>
            <w:tcW w:w="1800" w:type="dxa"/>
            <w:vAlign w:val="center"/>
          </w:tcPr>
          <w:p w:rsidR="00A90E6D" w:rsidRPr="00253411" w:rsidRDefault="00A90E6D" w:rsidP="00703F40">
            <w:pPr>
              <w:pStyle w:val="P1-StandPara"/>
              <w:spacing w:line="240" w:lineRule="auto"/>
              <w:ind w:firstLine="0"/>
            </w:pPr>
          </w:p>
        </w:tc>
      </w:tr>
      <w:tr w:rsidR="00A90E6D" w:rsidRPr="00253411" w:rsidTr="00703F40">
        <w:tc>
          <w:tcPr>
            <w:tcW w:w="1579" w:type="dxa"/>
            <w:vMerge/>
            <w:vAlign w:val="center"/>
          </w:tcPr>
          <w:p w:rsidR="00A90E6D" w:rsidRPr="00253411" w:rsidRDefault="00A90E6D" w:rsidP="00703F40">
            <w:pPr>
              <w:pStyle w:val="P1-StandPara"/>
              <w:spacing w:line="240" w:lineRule="auto"/>
              <w:ind w:firstLine="0"/>
            </w:pPr>
          </w:p>
        </w:tc>
        <w:tc>
          <w:tcPr>
            <w:tcW w:w="2340" w:type="dxa"/>
            <w:vAlign w:val="center"/>
          </w:tcPr>
          <w:p w:rsidR="00A90E6D" w:rsidRPr="00253411" w:rsidRDefault="00A90E6D" w:rsidP="00703F40">
            <w:pPr>
              <w:pStyle w:val="P1-StandPara"/>
              <w:spacing w:line="240" w:lineRule="auto"/>
              <w:ind w:firstLine="0"/>
            </w:pPr>
          </w:p>
        </w:tc>
        <w:tc>
          <w:tcPr>
            <w:tcW w:w="2741" w:type="dxa"/>
            <w:vAlign w:val="center"/>
          </w:tcPr>
          <w:p w:rsidR="00A90E6D" w:rsidRPr="00253411" w:rsidRDefault="00A90E6D" w:rsidP="00703F40">
            <w:pPr>
              <w:pStyle w:val="P1-StandPara"/>
              <w:spacing w:line="240" w:lineRule="auto"/>
              <w:ind w:firstLine="0"/>
            </w:pPr>
            <w:r w:rsidRPr="00253411">
              <w:t>Community Healthy Activities Model Program for Seniors (CHAMPS)</w:t>
            </w:r>
          </w:p>
          <w:p w:rsidR="00A90E6D" w:rsidRPr="00253411" w:rsidRDefault="00A90E6D" w:rsidP="00703F40">
            <w:pPr>
              <w:pStyle w:val="P1-StandPara"/>
              <w:spacing w:line="240" w:lineRule="auto"/>
              <w:ind w:firstLine="0"/>
            </w:pPr>
            <w:r w:rsidRPr="00253411">
              <w:t xml:space="preserve">(Attachment 19) </w:t>
            </w:r>
          </w:p>
        </w:tc>
        <w:tc>
          <w:tcPr>
            <w:tcW w:w="1732" w:type="dxa"/>
            <w:vAlign w:val="center"/>
          </w:tcPr>
          <w:p w:rsidR="00A90E6D" w:rsidRPr="00253411" w:rsidRDefault="00A90E6D" w:rsidP="00703F40">
            <w:pPr>
              <w:pStyle w:val="P1-StandPara"/>
              <w:spacing w:line="240" w:lineRule="auto"/>
              <w:ind w:firstLine="0"/>
            </w:pPr>
          </w:p>
        </w:tc>
        <w:tc>
          <w:tcPr>
            <w:tcW w:w="1800" w:type="dxa"/>
            <w:vAlign w:val="center"/>
          </w:tcPr>
          <w:p w:rsidR="00A90E6D" w:rsidRPr="00253411" w:rsidRDefault="00A90E6D" w:rsidP="00703F40">
            <w:pPr>
              <w:pStyle w:val="P1-StandPara"/>
              <w:spacing w:line="240" w:lineRule="auto"/>
              <w:ind w:firstLine="0"/>
            </w:pPr>
          </w:p>
        </w:tc>
      </w:tr>
      <w:tr w:rsidR="00A90E6D" w:rsidRPr="00253411" w:rsidTr="00703F40">
        <w:tc>
          <w:tcPr>
            <w:tcW w:w="1579" w:type="dxa"/>
            <w:vMerge/>
            <w:vAlign w:val="center"/>
          </w:tcPr>
          <w:p w:rsidR="00A90E6D" w:rsidRPr="00253411" w:rsidRDefault="00A90E6D" w:rsidP="00703F40">
            <w:pPr>
              <w:pStyle w:val="P1-StandPara"/>
              <w:spacing w:line="240" w:lineRule="auto"/>
              <w:ind w:firstLine="0"/>
            </w:pPr>
          </w:p>
        </w:tc>
        <w:tc>
          <w:tcPr>
            <w:tcW w:w="2340" w:type="dxa"/>
            <w:vAlign w:val="center"/>
          </w:tcPr>
          <w:p w:rsidR="00A90E6D" w:rsidRPr="00253411" w:rsidRDefault="00A90E6D" w:rsidP="00703F40">
            <w:pPr>
              <w:pStyle w:val="P1-StandPara"/>
              <w:spacing w:line="240" w:lineRule="auto"/>
              <w:ind w:firstLine="0"/>
            </w:pPr>
          </w:p>
        </w:tc>
        <w:tc>
          <w:tcPr>
            <w:tcW w:w="2741" w:type="dxa"/>
            <w:vAlign w:val="center"/>
          </w:tcPr>
          <w:p w:rsidR="00A90E6D" w:rsidRPr="00253411" w:rsidRDefault="00A90E6D" w:rsidP="00703F40">
            <w:pPr>
              <w:pStyle w:val="P1-StandPara"/>
              <w:spacing w:line="240" w:lineRule="auto"/>
              <w:ind w:firstLine="0"/>
            </w:pPr>
            <w:r w:rsidRPr="00253411">
              <w:t>Sedentary Behaviors Questionnaire</w:t>
            </w:r>
          </w:p>
          <w:p w:rsidR="00A90E6D" w:rsidRPr="00253411" w:rsidRDefault="00A90E6D" w:rsidP="00703F40">
            <w:pPr>
              <w:pStyle w:val="P1-StandPara"/>
              <w:spacing w:line="240" w:lineRule="auto"/>
              <w:ind w:firstLine="0"/>
            </w:pPr>
            <w:r w:rsidRPr="00253411">
              <w:t>(Attachment 21)</w:t>
            </w:r>
          </w:p>
        </w:tc>
        <w:tc>
          <w:tcPr>
            <w:tcW w:w="1732" w:type="dxa"/>
            <w:vAlign w:val="center"/>
          </w:tcPr>
          <w:p w:rsidR="00A90E6D" w:rsidRPr="00253411" w:rsidRDefault="00A90E6D" w:rsidP="00703F40">
            <w:pPr>
              <w:pStyle w:val="P1-StandPara"/>
              <w:spacing w:line="240" w:lineRule="auto"/>
              <w:ind w:firstLine="0"/>
            </w:pPr>
          </w:p>
        </w:tc>
        <w:tc>
          <w:tcPr>
            <w:tcW w:w="1800" w:type="dxa"/>
            <w:vAlign w:val="center"/>
          </w:tcPr>
          <w:p w:rsidR="00A90E6D" w:rsidRPr="00253411" w:rsidRDefault="00A90E6D" w:rsidP="00703F40">
            <w:pPr>
              <w:pStyle w:val="P1-StandPara"/>
              <w:spacing w:line="240" w:lineRule="auto"/>
              <w:ind w:firstLine="0"/>
            </w:pPr>
          </w:p>
        </w:tc>
      </w:tr>
      <w:tr w:rsidR="00A90E6D" w:rsidRPr="00253411" w:rsidTr="00703F40">
        <w:tc>
          <w:tcPr>
            <w:tcW w:w="1579" w:type="dxa"/>
            <w:vMerge/>
            <w:vAlign w:val="center"/>
          </w:tcPr>
          <w:p w:rsidR="00A90E6D" w:rsidRPr="00253411" w:rsidRDefault="00A90E6D" w:rsidP="00703F40">
            <w:pPr>
              <w:pStyle w:val="P1-StandPara"/>
              <w:spacing w:line="240" w:lineRule="auto"/>
              <w:ind w:firstLine="0"/>
            </w:pPr>
          </w:p>
        </w:tc>
        <w:tc>
          <w:tcPr>
            <w:tcW w:w="2340" w:type="dxa"/>
            <w:vAlign w:val="center"/>
          </w:tcPr>
          <w:p w:rsidR="00A90E6D" w:rsidRPr="00253411" w:rsidRDefault="00A90E6D" w:rsidP="00703F40">
            <w:pPr>
              <w:pStyle w:val="P1-StandPara"/>
              <w:spacing w:line="240" w:lineRule="auto"/>
              <w:ind w:firstLine="0"/>
            </w:pPr>
          </w:p>
        </w:tc>
        <w:tc>
          <w:tcPr>
            <w:tcW w:w="2741" w:type="dxa"/>
            <w:vAlign w:val="center"/>
          </w:tcPr>
          <w:p w:rsidR="00A90E6D" w:rsidRPr="00253411" w:rsidRDefault="00A90E6D" w:rsidP="00703F40">
            <w:pPr>
              <w:pStyle w:val="P1-StandPara"/>
              <w:spacing w:line="240" w:lineRule="auto"/>
              <w:ind w:firstLine="0"/>
            </w:pPr>
            <w:r w:rsidRPr="00253411">
              <w:t>NIH-AARP Physical Activity Questionnaire</w:t>
            </w:r>
          </w:p>
          <w:p w:rsidR="00A90E6D" w:rsidRPr="00253411" w:rsidRDefault="00A90E6D" w:rsidP="00703F40">
            <w:pPr>
              <w:pStyle w:val="P1-StandPara"/>
              <w:spacing w:line="240" w:lineRule="auto"/>
              <w:ind w:firstLine="0"/>
            </w:pPr>
            <w:r w:rsidRPr="00253411">
              <w:t>(Attachment 20)</w:t>
            </w:r>
          </w:p>
        </w:tc>
        <w:tc>
          <w:tcPr>
            <w:tcW w:w="1732" w:type="dxa"/>
            <w:vAlign w:val="center"/>
          </w:tcPr>
          <w:p w:rsidR="00A90E6D" w:rsidRPr="00253411" w:rsidRDefault="00A90E6D" w:rsidP="00703F40">
            <w:pPr>
              <w:pStyle w:val="P1-StandPara"/>
              <w:spacing w:line="240" w:lineRule="auto"/>
              <w:ind w:firstLine="0"/>
            </w:pPr>
          </w:p>
        </w:tc>
        <w:tc>
          <w:tcPr>
            <w:tcW w:w="1800" w:type="dxa"/>
            <w:vAlign w:val="center"/>
          </w:tcPr>
          <w:p w:rsidR="00A90E6D" w:rsidRPr="00253411" w:rsidRDefault="00A90E6D" w:rsidP="00703F40">
            <w:pPr>
              <w:pStyle w:val="P1-StandPara"/>
              <w:spacing w:line="240" w:lineRule="auto"/>
              <w:ind w:firstLine="0"/>
            </w:pPr>
          </w:p>
        </w:tc>
      </w:tr>
      <w:tr w:rsidR="00A90E6D" w:rsidRPr="00253411" w:rsidTr="00703F40">
        <w:tc>
          <w:tcPr>
            <w:tcW w:w="1579" w:type="dxa"/>
            <w:vMerge/>
            <w:shd w:val="clear" w:color="auto" w:fill="auto"/>
            <w:vAlign w:val="center"/>
          </w:tcPr>
          <w:p w:rsidR="00A90E6D" w:rsidRPr="00253411" w:rsidRDefault="00A90E6D" w:rsidP="00703F40">
            <w:pPr>
              <w:pStyle w:val="P1-StandPara"/>
              <w:spacing w:line="240" w:lineRule="auto"/>
              <w:ind w:firstLine="0"/>
            </w:pPr>
          </w:p>
        </w:tc>
        <w:tc>
          <w:tcPr>
            <w:tcW w:w="2340" w:type="dxa"/>
            <w:shd w:val="clear" w:color="auto" w:fill="auto"/>
            <w:vAlign w:val="center"/>
          </w:tcPr>
          <w:p w:rsidR="00A90E6D" w:rsidRPr="00253411" w:rsidRDefault="00A90E6D" w:rsidP="00703F40">
            <w:pPr>
              <w:pStyle w:val="P1-StandPara"/>
              <w:spacing w:line="240" w:lineRule="auto"/>
              <w:ind w:firstLine="0"/>
            </w:pPr>
          </w:p>
        </w:tc>
        <w:tc>
          <w:tcPr>
            <w:tcW w:w="2741" w:type="dxa"/>
            <w:shd w:val="clear" w:color="auto" w:fill="auto"/>
            <w:vAlign w:val="center"/>
          </w:tcPr>
          <w:p w:rsidR="00A90E6D" w:rsidRPr="00213686" w:rsidRDefault="00A90E6D" w:rsidP="00703F40">
            <w:pPr>
              <w:pStyle w:val="TableofFigures"/>
              <w:spacing w:line="240" w:lineRule="auto"/>
              <w:rPr>
                <w:color w:val="000000"/>
                <w:sz w:val="20"/>
                <w:szCs w:val="20"/>
              </w:rPr>
            </w:pPr>
            <w:r>
              <w:rPr>
                <w:color w:val="000000"/>
                <w:sz w:val="20"/>
                <w:szCs w:val="20"/>
              </w:rPr>
              <w:t>Stanford physical activity Survey</w:t>
            </w:r>
          </w:p>
          <w:p w:rsidR="00A90E6D" w:rsidRPr="00253411" w:rsidRDefault="00A90E6D" w:rsidP="00703F40">
            <w:pPr>
              <w:pStyle w:val="P1-StandPara"/>
              <w:spacing w:line="240" w:lineRule="auto"/>
              <w:ind w:firstLine="0"/>
            </w:pPr>
            <w:r w:rsidRPr="004659EB">
              <w:t>(Attachment 22)</w:t>
            </w:r>
          </w:p>
        </w:tc>
        <w:tc>
          <w:tcPr>
            <w:tcW w:w="1732" w:type="dxa"/>
            <w:shd w:val="clear" w:color="auto" w:fill="auto"/>
            <w:vAlign w:val="center"/>
          </w:tcPr>
          <w:p w:rsidR="00A90E6D" w:rsidRPr="00253411" w:rsidRDefault="00A90E6D" w:rsidP="00703F40">
            <w:pPr>
              <w:pStyle w:val="P1-StandPara"/>
              <w:spacing w:line="240" w:lineRule="auto"/>
              <w:ind w:firstLine="0"/>
            </w:pPr>
          </w:p>
        </w:tc>
        <w:tc>
          <w:tcPr>
            <w:tcW w:w="1800" w:type="dxa"/>
            <w:shd w:val="clear" w:color="auto" w:fill="auto"/>
            <w:vAlign w:val="center"/>
          </w:tcPr>
          <w:p w:rsidR="00A90E6D" w:rsidRPr="00253411" w:rsidRDefault="00A90E6D" w:rsidP="00703F40">
            <w:pPr>
              <w:pStyle w:val="P1-StandPara"/>
              <w:spacing w:line="240" w:lineRule="auto"/>
              <w:ind w:firstLine="0"/>
            </w:pPr>
          </w:p>
        </w:tc>
      </w:tr>
    </w:tbl>
    <w:p w:rsidR="00F636CD" w:rsidRDefault="00F636CD" w:rsidP="009B02F1">
      <w:pPr>
        <w:pStyle w:val="P1-StandPara"/>
        <w:rPr>
          <w:sz w:val="24"/>
          <w:szCs w:val="24"/>
        </w:rPr>
      </w:pPr>
    </w:p>
    <w:p w:rsidR="00127F41" w:rsidRDefault="00811683" w:rsidP="009B02F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pacing w:line="480" w:lineRule="auto"/>
        <w:ind w:firstLine="720"/>
        <w:jc w:val="left"/>
        <w:rPr>
          <w:sz w:val="24"/>
          <w:szCs w:val="24"/>
        </w:rPr>
      </w:pPr>
      <w:r>
        <w:rPr>
          <w:sz w:val="24"/>
          <w:szCs w:val="24"/>
        </w:rPr>
        <w:lastRenderedPageBreak/>
        <w:t>For the DLW and RMR protocols</w:t>
      </w:r>
      <w:r w:rsidR="00127F41" w:rsidRPr="0035440B">
        <w:rPr>
          <w:sz w:val="24"/>
          <w:szCs w:val="24"/>
        </w:rPr>
        <w:t xml:space="preserve">, a random </w:t>
      </w:r>
      <w:r w:rsidR="00127F41">
        <w:rPr>
          <w:sz w:val="24"/>
          <w:szCs w:val="24"/>
        </w:rPr>
        <w:t>sub</w:t>
      </w:r>
      <w:r w:rsidR="00127F41" w:rsidRPr="0035440B">
        <w:rPr>
          <w:sz w:val="24"/>
          <w:szCs w:val="24"/>
        </w:rPr>
        <w:t>sample of 100 respondents (</w:t>
      </w:r>
      <w:r w:rsidR="00127F41">
        <w:rPr>
          <w:sz w:val="24"/>
          <w:szCs w:val="24"/>
        </w:rPr>
        <w:t>50 men and 50 women</w:t>
      </w:r>
      <w:r w:rsidR="00127F41" w:rsidRPr="0035440B">
        <w:rPr>
          <w:sz w:val="24"/>
          <w:szCs w:val="24"/>
        </w:rPr>
        <w:t xml:space="preserve">) will be selected from </w:t>
      </w:r>
      <w:proofErr w:type="spellStart"/>
      <w:r w:rsidR="00127F41">
        <w:rPr>
          <w:sz w:val="24"/>
          <w:szCs w:val="24"/>
        </w:rPr>
        <w:t>iDATA</w:t>
      </w:r>
      <w:proofErr w:type="spellEnd"/>
      <w:r w:rsidR="00127F41">
        <w:rPr>
          <w:sz w:val="24"/>
          <w:szCs w:val="24"/>
        </w:rPr>
        <w:t xml:space="preserve"> Study</w:t>
      </w:r>
      <w:r w:rsidR="00127F41" w:rsidRPr="0035440B">
        <w:rPr>
          <w:sz w:val="24"/>
          <w:szCs w:val="24"/>
        </w:rPr>
        <w:t xml:space="preserve"> participants to repeat both the protocols six months following their initial administration and to wear a heart rate monitor for a period of seven days</w:t>
      </w:r>
      <w:r w:rsidR="00127F41">
        <w:rPr>
          <w:sz w:val="24"/>
          <w:szCs w:val="24"/>
        </w:rPr>
        <w:t xml:space="preserve">. </w:t>
      </w:r>
      <w:r w:rsidR="00127F41" w:rsidRPr="0035440B">
        <w:rPr>
          <w:sz w:val="24"/>
          <w:szCs w:val="24"/>
        </w:rPr>
        <w:t xml:space="preserve">This will help assess within person random error in these variables and measure </w:t>
      </w:r>
      <w:r w:rsidR="00127F41">
        <w:rPr>
          <w:sz w:val="24"/>
          <w:szCs w:val="24"/>
        </w:rPr>
        <w:t>cardiovascular response to physical activity intensity.</w:t>
      </w:r>
    </w:p>
    <w:p w:rsidR="00127F41" w:rsidRDefault="00127F41" w:rsidP="009B02F1">
      <w:pPr>
        <w:pStyle w:val="P1-StandPara"/>
        <w:rPr>
          <w:sz w:val="24"/>
          <w:szCs w:val="24"/>
        </w:rPr>
      </w:pPr>
      <w:r w:rsidRPr="0035440B">
        <w:rPr>
          <w:sz w:val="24"/>
          <w:szCs w:val="24"/>
        </w:rPr>
        <w:t>Westat, the contractor for the study, will provide standardized training for both Telephone Research Center (TRC) interviewers and clinic personnel to ensure uniform data collection. Westat will manage all data collection systems including information collected during the telephone screening interview, information collected at the study clinic, and information collected from internet and paper-based questionnaires and real-time data collection monitors</w:t>
      </w:r>
      <w:r>
        <w:rPr>
          <w:sz w:val="24"/>
          <w:szCs w:val="24"/>
        </w:rPr>
        <w:t xml:space="preserve">. </w:t>
      </w:r>
      <w:r w:rsidRPr="0035440B">
        <w:rPr>
          <w:sz w:val="24"/>
          <w:szCs w:val="24"/>
        </w:rPr>
        <w:t xml:space="preserve">To ensure data quality, data will be captured either directly from answers provided to internet-based questionnaires, downloaded from a </w:t>
      </w:r>
      <w:r>
        <w:rPr>
          <w:sz w:val="24"/>
          <w:szCs w:val="24"/>
        </w:rPr>
        <w:t xml:space="preserve">wearable motion detection </w:t>
      </w:r>
      <w:r w:rsidRPr="0035440B">
        <w:rPr>
          <w:sz w:val="24"/>
          <w:szCs w:val="24"/>
        </w:rPr>
        <w:t xml:space="preserve">device (accelerometer, </w:t>
      </w:r>
      <w:r>
        <w:rPr>
          <w:sz w:val="24"/>
          <w:szCs w:val="24"/>
        </w:rPr>
        <w:t xml:space="preserve">inclinometer, </w:t>
      </w:r>
      <w:r w:rsidRPr="0035440B">
        <w:rPr>
          <w:sz w:val="24"/>
          <w:szCs w:val="24"/>
        </w:rPr>
        <w:t>heart-rate monitor), or keyed from hard-copy forms into the same central data collection system</w:t>
      </w:r>
      <w:r>
        <w:rPr>
          <w:sz w:val="24"/>
          <w:szCs w:val="24"/>
        </w:rPr>
        <w:t xml:space="preserve">. </w:t>
      </w:r>
      <w:r w:rsidRPr="0035440B">
        <w:rPr>
          <w:sz w:val="24"/>
          <w:szCs w:val="24"/>
        </w:rPr>
        <w:t>In all cases, data will be stored in the central office data systems</w:t>
      </w:r>
      <w:r>
        <w:rPr>
          <w:sz w:val="24"/>
          <w:szCs w:val="24"/>
        </w:rPr>
        <w:t xml:space="preserve">. </w:t>
      </w:r>
      <w:r w:rsidRPr="0035440B">
        <w:rPr>
          <w:sz w:val="24"/>
          <w:szCs w:val="24"/>
        </w:rPr>
        <w:t>Study forms, materials, and supplies will be stored and used at the study clinic site located in Pittsburgh, Pennsylvania, which will also be operated by Westat staff</w:t>
      </w:r>
      <w:r>
        <w:rPr>
          <w:sz w:val="24"/>
          <w:szCs w:val="24"/>
        </w:rPr>
        <w:t>.</w:t>
      </w:r>
    </w:p>
    <w:p w:rsidR="00127F41" w:rsidRPr="0035440B" w:rsidRDefault="00127F41" w:rsidP="009B02F1">
      <w:pPr>
        <w:pStyle w:val="Heading2"/>
        <w:tabs>
          <w:tab w:val="clear" w:pos="1152"/>
          <w:tab w:val="left" w:pos="720"/>
        </w:tabs>
        <w:spacing w:after="0" w:line="480" w:lineRule="auto"/>
        <w:ind w:left="0" w:firstLine="0"/>
        <w:jc w:val="left"/>
        <w:rPr>
          <w:sz w:val="24"/>
          <w:szCs w:val="24"/>
        </w:rPr>
      </w:pPr>
      <w:bookmarkStart w:id="12" w:name="_Toc443881765"/>
      <w:bookmarkStart w:id="13" w:name="_Toc451592252"/>
      <w:bookmarkStart w:id="14" w:name="_Toc5610293"/>
      <w:bookmarkStart w:id="15" w:name="_Toc99178799"/>
      <w:r w:rsidRPr="0035440B">
        <w:rPr>
          <w:sz w:val="24"/>
          <w:szCs w:val="24"/>
        </w:rPr>
        <w:t>B.3</w:t>
      </w:r>
      <w:r w:rsidRPr="0035440B">
        <w:rPr>
          <w:sz w:val="24"/>
          <w:szCs w:val="24"/>
        </w:rPr>
        <w:tab/>
        <w:t xml:space="preserve">Methods to Maximize Response Rates and Deal with </w:t>
      </w:r>
      <w:proofErr w:type="spellStart"/>
      <w:r w:rsidRPr="0035440B">
        <w:rPr>
          <w:sz w:val="24"/>
          <w:szCs w:val="24"/>
        </w:rPr>
        <w:t>Nonresponse</w:t>
      </w:r>
      <w:bookmarkEnd w:id="12"/>
      <w:bookmarkEnd w:id="13"/>
      <w:bookmarkEnd w:id="14"/>
      <w:bookmarkEnd w:id="15"/>
      <w:proofErr w:type="spellEnd"/>
    </w:p>
    <w:p w:rsidR="00127F41" w:rsidRDefault="00127F41" w:rsidP="009B02F1">
      <w:pPr>
        <w:pStyle w:val="P1-StandPara"/>
        <w:rPr>
          <w:sz w:val="24"/>
          <w:szCs w:val="24"/>
        </w:rPr>
      </w:pPr>
      <w:r w:rsidRPr="0035440B">
        <w:rPr>
          <w:sz w:val="24"/>
          <w:szCs w:val="24"/>
        </w:rPr>
        <w:t xml:space="preserve">Given the length of the </w:t>
      </w:r>
      <w:proofErr w:type="spellStart"/>
      <w:r w:rsidRPr="0035440B">
        <w:rPr>
          <w:sz w:val="24"/>
          <w:szCs w:val="24"/>
        </w:rPr>
        <w:t>iDATA</w:t>
      </w:r>
      <w:proofErr w:type="spellEnd"/>
      <w:r w:rsidRPr="0035440B">
        <w:rPr>
          <w:sz w:val="24"/>
          <w:szCs w:val="24"/>
        </w:rPr>
        <w:t xml:space="preserve"> Study and the number of questionnaires, tests, and biospecimens collected, participants will be compensated $150 after completion of the first clinic visit, $100 after the second clinic visit (6-months later) and $150 after the third clinic visit for a total of $400</w:t>
      </w:r>
      <w:r>
        <w:rPr>
          <w:sz w:val="24"/>
          <w:szCs w:val="24"/>
        </w:rPr>
        <w:t xml:space="preserve">. </w:t>
      </w:r>
      <w:r w:rsidRPr="0035440B">
        <w:rPr>
          <w:sz w:val="24"/>
          <w:szCs w:val="24"/>
        </w:rPr>
        <w:t>Th</w:t>
      </w:r>
      <w:r>
        <w:rPr>
          <w:sz w:val="24"/>
          <w:szCs w:val="24"/>
        </w:rPr>
        <w:t>e subsample of 100</w:t>
      </w:r>
      <w:r w:rsidRPr="0035440B">
        <w:rPr>
          <w:sz w:val="24"/>
          <w:szCs w:val="24"/>
        </w:rPr>
        <w:t xml:space="preserve"> participants who complete the additional DLW, RMR, and </w:t>
      </w:r>
      <w:r>
        <w:rPr>
          <w:sz w:val="24"/>
          <w:szCs w:val="24"/>
        </w:rPr>
        <w:t xml:space="preserve">wear </w:t>
      </w:r>
      <w:r w:rsidRPr="0035440B">
        <w:rPr>
          <w:sz w:val="24"/>
          <w:szCs w:val="24"/>
        </w:rPr>
        <w:t>a heart rate monitor will receive an additional $100</w:t>
      </w:r>
      <w:r>
        <w:rPr>
          <w:sz w:val="24"/>
          <w:szCs w:val="24"/>
        </w:rPr>
        <w:t>.</w:t>
      </w:r>
    </w:p>
    <w:p w:rsidR="00127F41" w:rsidRPr="0035440B" w:rsidRDefault="00127F41" w:rsidP="009B02F1">
      <w:pPr>
        <w:pStyle w:val="P1-StandPara"/>
        <w:rPr>
          <w:sz w:val="24"/>
          <w:szCs w:val="24"/>
        </w:rPr>
      </w:pPr>
      <w:r w:rsidRPr="0035440B">
        <w:rPr>
          <w:sz w:val="24"/>
          <w:szCs w:val="24"/>
        </w:rPr>
        <w:t xml:space="preserve">As stated above, two versions of a paper invitation letter, one tailored to the existing NIH-AARP Diet and Health Study cohort and another tailored to current AARP members will be </w:t>
      </w:r>
      <w:r w:rsidRPr="0035440B">
        <w:rPr>
          <w:sz w:val="24"/>
          <w:szCs w:val="24"/>
        </w:rPr>
        <w:lastRenderedPageBreak/>
        <w:t>sent to the potential participants</w:t>
      </w:r>
      <w:r>
        <w:rPr>
          <w:sz w:val="24"/>
          <w:szCs w:val="24"/>
        </w:rPr>
        <w:t xml:space="preserve">. </w:t>
      </w:r>
      <w:r w:rsidRPr="0035440B">
        <w:rPr>
          <w:sz w:val="24"/>
          <w:szCs w:val="24"/>
        </w:rPr>
        <w:t>The invitation letter to existing NIH-AARP Diet and Health Study cohort participants will emphasize the long-standing success of the study and the important role their continued participation plays in the progress of health research</w:t>
      </w:r>
      <w:bookmarkStart w:id="16" w:name="_GoBack"/>
      <w:bookmarkEnd w:id="16"/>
      <w:r>
        <w:rPr>
          <w:sz w:val="24"/>
          <w:szCs w:val="24"/>
        </w:rPr>
        <w:t xml:space="preserve">. </w:t>
      </w:r>
      <w:r w:rsidRPr="0035440B">
        <w:rPr>
          <w:sz w:val="24"/>
          <w:szCs w:val="24"/>
        </w:rPr>
        <w:t>The invitation letter to current AARP members will introduce the important ongoing research evaluating diet, physical activity, and chronic disease and will state the need for their participation.</w:t>
      </w:r>
    </w:p>
    <w:p w:rsidR="00127F41" w:rsidRDefault="00127F41" w:rsidP="009B02F1">
      <w:pPr>
        <w:pStyle w:val="P1-StandPara"/>
        <w:rPr>
          <w:sz w:val="24"/>
          <w:szCs w:val="24"/>
        </w:rPr>
      </w:pPr>
      <w:r w:rsidRPr="0035440B">
        <w:rPr>
          <w:sz w:val="24"/>
          <w:szCs w:val="24"/>
        </w:rPr>
        <w:t>Potential participants who do not express interest in the study within one month of the first invitation letter will be mailed a second invitation letter. The tone of the letter will transmit a greater sense of urgency and will emphasize the compensation offered for participation to a greater degree</w:t>
      </w:r>
      <w:r>
        <w:rPr>
          <w:sz w:val="24"/>
          <w:szCs w:val="24"/>
        </w:rPr>
        <w:t xml:space="preserve">. </w:t>
      </w:r>
      <w:r w:rsidRPr="0035440B">
        <w:rPr>
          <w:sz w:val="24"/>
          <w:szCs w:val="24"/>
        </w:rPr>
        <w:t>An email invitation will also be sent to those current AARP members who have opted-in to receiving email messages</w:t>
      </w:r>
      <w:r>
        <w:rPr>
          <w:sz w:val="24"/>
          <w:szCs w:val="24"/>
        </w:rPr>
        <w:t xml:space="preserve">. </w:t>
      </w:r>
      <w:r w:rsidRPr="0035440B">
        <w:rPr>
          <w:sz w:val="24"/>
          <w:szCs w:val="24"/>
        </w:rPr>
        <w:t>The email invitation will include signatures from both NCI investigators and the AARP leadership in order to increase confidence in the trustworthiness of the message</w:t>
      </w:r>
      <w:r>
        <w:rPr>
          <w:sz w:val="24"/>
          <w:szCs w:val="24"/>
        </w:rPr>
        <w:t xml:space="preserve">. </w:t>
      </w:r>
      <w:r w:rsidRPr="0035440B">
        <w:rPr>
          <w:sz w:val="24"/>
          <w:szCs w:val="24"/>
        </w:rPr>
        <w:t xml:space="preserve">An </w:t>
      </w:r>
      <w:proofErr w:type="spellStart"/>
      <w:r w:rsidRPr="0035440B">
        <w:rPr>
          <w:sz w:val="24"/>
          <w:szCs w:val="24"/>
        </w:rPr>
        <w:t>iDATA</w:t>
      </w:r>
      <w:proofErr w:type="spellEnd"/>
      <w:r w:rsidRPr="0035440B">
        <w:rPr>
          <w:sz w:val="24"/>
          <w:szCs w:val="24"/>
        </w:rPr>
        <w:t xml:space="preserve"> Study logo will be included on all participant correspondence and study materials to continue to encourage study recognition throughout the study period</w:t>
      </w:r>
      <w:r>
        <w:rPr>
          <w:sz w:val="24"/>
          <w:szCs w:val="24"/>
        </w:rPr>
        <w:t>.</w:t>
      </w:r>
    </w:p>
    <w:p w:rsidR="00127F41" w:rsidRPr="0035440B" w:rsidRDefault="00127F41" w:rsidP="009B02F1">
      <w:pPr>
        <w:pStyle w:val="P1-StandPara"/>
        <w:rPr>
          <w:sz w:val="24"/>
          <w:szCs w:val="24"/>
        </w:rPr>
      </w:pPr>
      <w:r w:rsidRPr="0035440B">
        <w:rPr>
          <w:sz w:val="24"/>
          <w:szCs w:val="24"/>
        </w:rPr>
        <w:t>Several efforts will be undertaken throughout the study to encourage continued participation and completion of all the data collection components</w:t>
      </w:r>
      <w:r>
        <w:rPr>
          <w:sz w:val="24"/>
          <w:szCs w:val="24"/>
        </w:rPr>
        <w:t xml:space="preserve">. </w:t>
      </w:r>
      <w:r w:rsidRPr="0035440B">
        <w:rPr>
          <w:sz w:val="24"/>
          <w:szCs w:val="24"/>
        </w:rPr>
        <w:t>Chauffeured transportation will be provided to participants to and from the study clinic if needed</w:t>
      </w:r>
      <w:r>
        <w:rPr>
          <w:sz w:val="24"/>
          <w:szCs w:val="24"/>
        </w:rPr>
        <w:t xml:space="preserve">. </w:t>
      </w:r>
      <w:r w:rsidRPr="0035440B">
        <w:rPr>
          <w:sz w:val="24"/>
          <w:szCs w:val="24"/>
        </w:rPr>
        <w:t>A courier service will be used to pick up the self-collected biospecimens.</w:t>
      </w:r>
    </w:p>
    <w:p w:rsidR="00127F41" w:rsidRPr="0035440B" w:rsidRDefault="00127F41" w:rsidP="009B02F1">
      <w:pPr>
        <w:pStyle w:val="P1-StandPara"/>
        <w:rPr>
          <w:sz w:val="24"/>
          <w:szCs w:val="24"/>
        </w:rPr>
      </w:pPr>
      <w:r w:rsidRPr="0035440B">
        <w:rPr>
          <w:sz w:val="24"/>
          <w:szCs w:val="24"/>
        </w:rPr>
        <w:t xml:space="preserve">For each study activity to be completed by the participant, including clinic visits and at-home completion of data collection instruments and </w:t>
      </w:r>
      <w:proofErr w:type="spellStart"/>
      <w:r w:rsidRPr="0035440B">
        <w:rPr>
          <w:sz w:val="24"/>
          <w:szCs w:val="24"/>
        </w:rPr>
        <w:t>biospecimen</w:t>
      </w:r>
      <w:proofErr w:type="spellEnd"/>
      <w:r w:rsidRPr="0035440B">
        <w:rPr>
          <w:sz w:val="24"/>
          <w:szCs w:val="24"/>
        </w:rPr>
        <w:t xml:space="preserve"> collection, an email and phone reminder will be sent to  participants, providing the time period in which the activity must be completed and the specific instructions on completing the activity</w:t>
      </w:r>
      <w:r>
        <w:rPr>
          <w:sz w:val="24"/>
          <w:szCs w:val="24"/>
        </w:rPr>
        <w:t xml:space="preserve">. </w:t>
      </w:r>
      <w:r w:rsidRPr="0035440B">
        <w:rPr>
          <w:sz w:val="24"/>
          <w:szCs w:val="24"/>
        </w:rPr>
        <w:t>In each reminder, participants will be provided with the clinic number and study’s toll-free telephone number, the study email address, and the study website</w:t>
      </w:r>
      <w:r>
        <w:rPr>
          <w:sz w:val="24"/>
          <w:szCs w:val="24"/>
        </w:rPr>
        <w:t xml:space="preserve">. </w:t>
      </w:r>
      <w:r w:rsidRPr="0035440B">
        <w:rPr>
          <w:sz w:val="24"/>
          <w:szCs w:val="24"/>
        </w:rPr>
        <w:t xml:space="preserve"> </w:t>
      </w:r>
    </w:p>
    <w:p w:rsidR="00127F41" w:rsidRDefault="00127F41" w:rsidP="009B02F1">
      <w:pPr>
        <w:pStyle w:val="P1-StandPara"/>
        <w:rPr>
          <w:sz w:val="24"/>
          <w:szCs w:val="24"/>
        </w:rPr>
      </w:pPr>
      <w:r w:rsidRPr="0035440B">
        <w:rPr>
          <w:sz w:val="24"/>
          <w:szCs w:val="24"/>
        </w:rPr>
        <w:lastRenderedPageBreak/>
        <w:t xml:space="preserve">At the first clinic visit, an </w:t>
      </w:r>
      <w:proofErr w:type="spellStart"/>
      <w:r w:rsidRPr="0035440B">
        <w:rPr>
          <w:sz w:val="24"/>
          <w:szCs w:val="24"/>
        </w:rPr>
        <w:t>iDATA</w:t>
      </w:r>
      <w:proofErr w:type="spellEnd"/>
      <w:r w:rsidRPr="0035440B">
        <w:rPr>
          <w:sz w:val="24"/>
          <w:szCs w:val="24"/>
        </w:rPr>
        <w:t xml:space="preserve"> Study refrigerator magnet will be provided to participants containing the study contact information for easy reference to communication channels for the study. Participants will be encouraged to contact study personnel whenever they have a question</w:t>
      </w:r>
      <w:r>
        <w:rPr>
          <w:sz w:val="24"/>
          <w:szCs w:val="24"/>
        </w:rPr>
        <w:t>.</w:t>
      </w:r>
    </w:p>
    <w:p w:rsidR="00127F41" w:rsidRPr="0035440B" w:rsidRDefault="00127F41" w:rsidP="009B02F1">
      <w:pPr>
        <w:pStyle w:val="Heading2"/>
        <w:tabs>
          <w:tab w:val="clear" w:pos="1152"/>
          <w:tab w:val="left" w:pos="720"/>
        </w:tabs>
        <w:spacing w:after="0" w:line="480" w:lineRule="auto"/>
        <w:ind w:left="0" w:firstLine="0"/>
        <w:jc w:val="left"/>
        <w:rPr>
          <w:sz w:val="24"/>
          <w:szCs w:val="24"/>
        </w:rPr>
      </w:pPr>
      <w:bookmarkStart w:id="17" w:name="_Toc443881766"/>
      <w:bookmarkStart w:id="18" w:name="_Toc451592253"/>
      <w:bookmarkStart w:id="19" w:name="_Toc5610294"/>
      <w:bookmarkStart w:id="20" w:name="_Toc99178800"/>
      <w:r w:rsidRPr="0035440B">
        <w:rPr>
          <w:sz w:val="24"/>
          <w:szCs w:val="24"/>
        </w:rPr>
        <w:t>B.4</w:t>
      </w:r>
      <w:r w:rsidRPr="0035440B">
        <w:rPr>
          <w:sz w:val="24"/>
          <w:szCs w:val="24"/>
        </w:rPr>
        <w:tab/>
        <w:t>Test of Procedures or Methods to be Undertaken</w:t>
      </w:r>
      <w:bookmarkEnd w:id="17"/>
      <w:bookmarkEnd w:id="18"/>
      <w:bookmarkEnd w:id="19"/>
      <w:bookmarkEnd w:id="20"/>
    </w:p>
    <w:p w:rsidR="00127F41" w:rsidRPr="0035440B" w:rsidRDefault="00127F41" w:rsidP="009B02F1">
      <w:pPr>
        <w:pStyle w:val="P1-StandPara"/>
        <w:rPr>
          <w:sz w:val="24"/>
          <w:szCs w:val="24"/>
        </w:rPr>
      </w:pPr>
      <w:r w:rsidRPr="0035440B">
        <w:rPr>
          <w:sz w:val="24"/>
          <w:szCs w:val="24"/>
        </w:rPr>
        <w:t xml:space="preserve">Many aspects of the </w:t>
      </w:r>
      <w:proofErr w:type="spellStart"/>
      <w:r w:rsidRPr="0035440B">
        <w:rPr>
          <w:sz w:val="24"/>
          <w:szCs w:val="24"/>
        </w:rPr>
        <w:t>iDATA</w:t>
      </w:r>
      <w:proofErr w:type="spellEnd"/>
      <w:r w:rsidRPr="0035440B">
        <w:rPr>
          <w:sz w:val="24"/>
          <w:szCs w:val="24"/>
        </w:rPr>
        <w:t xml:space="preserve"> Study have been previously tested and improved upon in order to minimize burden and improve utility</w:t>
      </w:r>
      <w:r>
        <w:rPr>
          <w:sz w:val="24"/>
          <w:szCs w:val="24"/>
        </w:rPr>
        <w:t xml:space="preserve">. </w:t>
      </w:r>
      <w:r w:rsidRPr="0035440B">
        <w:rPr>
          <w:sz w:val="24"/>
          <w:szCs w:val="24"/>
        </w:rPr>
        <w:t>The OPEN study was an NCI-sponsored study designed to assess dietary measurement error by comparing results from self-reported dietary intake data with four dietary biomarkers: DLW and urinary nitrogen, sodium, and potassium. The study was conducted from July 1999 to March 2000 and included 484 men and women, aged 40-69 years old</w:t>
      </w:r>
      <w:r>
        <w:rPr>
          <w:sz w:val="24"/>
          <w:szCs w:val="24"/>
        </w:rPr>
        <w:t xml:space="preserve">. </w:t>
      </w:r>
      <w:r w:rsidRPr="0035440B">
        <w:rPr>
          <w:sz w:val="24"/>
          <w:szCs w:val="24"/>
        </w:rPr>
        <w:t>The Re-OPEN study contacted OPEN study participants to further assess measurement error issues related to food records and a combined food frequency questionnaire and a 7-day checklist</w:t>
      </w:r>
      <w:r>
        <w:rPr>
          <w:sz w:val="24"/>
          <w:szCs w:val="24"/>
        </w:rPr>
        <w:t xml:space="preserve">. </w:t>
      </w:r>
      <w:r w:rsidRPr="0035440B">
        <w:rPr>
          <w:sz w:val="24"/>
          <w:szCs w:val="24"/>
        </w:rPr>
        <w:t xml:space="preserve">Protocols, procedures, and questionnaires used in the OPEN and Re-OPEN studies provide the basis for much of the dietary information collected in the </w:t>
      </w:r>
      <w:proofErr w:type="spellStart"/>
      <w:r w:rsidRPr="0035440B">
        <w:rPr>
          <w:sz w:val="24"/>
          <w:szCs w:val="24"/>
        </w:rPr>
        <w:t>iDATA</w:t>
      </w:r>
      <w:proofErr w:type="spellEnd"/>
      <w:r w:rsidRPr="0035440B">
        <w:rPr>
          <w:sz w:val="24"/>
          <w:szCs w:val="24"/>
        </w:rPr>
        <w:t xml:space="preserve"> Study</w:t>
      </w:r>
      <w:r>
        <w:rPr>
          <w:sz w:val="24"/>
          <w:szCs w:val="24"/>
        </w:rPr>
        <w:t xml:space="preserve">. </w:t>
      </w:r>
      <w:r w:rsidRPr="0035440B">
        <w:rPr>
          <w:sz w:val="24"/>
          <w:szCs w:val="24"/>
        </w:rPr>
        <w:t>Additionally, accelerometers have been previously used to collect physical activity monitor data from the 2003-2004 National Health and Nutrition Examination Survey (NHANES).</w:t>
      </w:r>
    </w:p>
    <w:p w:rsidR="00127F41" w:rsidRPr="0035440B" w:rsidRDefault="00127F41" w:rsidP="009B02F1">
      <w:pPr>
        <w:pStyle w:val="P1-StandPara"/>
        <w:rPr>
          <w:sz w:val="24"/>
          <w:szCs w:val="24"/>
        </w:rPr>
      </w:pPr>
      <w:r w:rsidRPr="0035440B">
        <w:rPr>
          <w:sz w:val="24"/>
          <w:szCs w:val="24"/>
        </w:rPr>
        <w:t>Recently iCLIC has tested the feasibility of using a Web-based Survey Management System (WSMS) for administering internet-based questionnaires, such as the DHQ*Web-II, and 24-hour recalls, including the ASA24 and ACT24</w:t>
      </w:r>
      <w:r>
        <w:rPr>
          <w:sz w:val="24"/>
          <w:szCs w:val="24"/>
        </w:rPr>
        <w:t xml:space="preserve">. </w:t>
      </w:r>
      <w:r w:rsidRPr="0035440B">
        <w:rPr>
          <w:sz w:val="24"/>
          <w:szCs w:val="24"/>
        </w:rPr>
        <w:t>The WSMS System has proven to be an efficient and successful way of tracking complex questionnaire schedules.</w:t>
      </w:r>
    </w:p>
    <w:p w:rsidR="00127F41" w:rsidRDefault="00127F41" w:rsidP="009B02F1">
      <w:pPr>
        <w:pStyle w:val="P1-StandPara"/>
        <w:rPr>
          <w:sz w:val="24"/>
          <w:szCs w:val="24"/>
        </w:rPr>
      </w:pPr>
      <w:r w:rsidRPr="0035440B">
        <w:rPr>
          <w:sz w:val="24"/>
          <w:szCs w:val="24"/>
        </w:rPr>
        <w:t xml:space="preserve">The </w:t>
      </w:r>
      <w:proofErr w:type="spellStart"/>
      <w:r w:rsidRPr="0035440B">
        <w:rPr>
          <w:sz w:val="24"/>
          <w:szCs w:val="24"/>
        </w:rPr>
        <w:t>iDATA</w:t>
      </w:r>
      <w:proofErr w:type="spellEnd"/>
      <w:r w:rsidRPr="0035440B">
        <w:rPr>
          <w:sz w:val="24"/>
          <w:szCs w:val="24"/>
        </w:rPr>
        <w:t xml:space="preserve"> Study will also incorporate a start-up phase in order to work out minor details related to logistics, especially during the first few clinic days, which will schedule fewer </w:t>
      </w:r>
      <w:r w:rsidRPr="0035440B">
        <w:rPr>
          <w:sz w:val="24"/>
          <w:szCs w:val="24"/>
        </w:rPr>
        <w:lastRenderedPageBreak/>
        <w:t>participants than capacity in order to allow for extra time per participant per procedure that may be needed to efficiently carry out all tasks scheduled for the day</w:t>
      </w:r>
      <w:r>
        <w:rPr>
          <w:sz w:val="24"/>
          <w:szCs w:val="24"/>
        </w:rPr>
        <w:t>.</w:t>
      </w:r>
    </w:p>
    <w:p w:rsidR="00127F41" w:rsidRPr="0035440B" w:rsidRDefault="00127F41" w:rsidP="009B02F1">
      <w:pPr>
        <w:pStyle w:val="P1-StandPara"/>
        <w:ind w:firstLine="0"/>
        <w:rPr>
          <w:b/>
          <w:bCs/>
          <w:sz w:val="24"/>
          <w:szCs w:val="24"/>
        </w:rPr>
      </w:pPr>
      <w:bookmarkStart w:id="21" w:name="_Toc443881767"/>
      <w:bookmarkStart w:id="22" w:name="_Toc451592254"/>
      <w:bookmarkStart w:id="23" w:name="_Toc5610295"/>
      <w:bookmarkStart w:id="24" w:name="_Toc99178801"/>
      <w:r w:rsidRPr="0035440B">
        <w:rPr>
          <w:b/>
          <w:bCs/>
          <w:color w:val="000000"/>
          <w:sz w:val="24"/>
          <w:szCs w:val="24"/>
        </w:rPr>
        <w:t>B.5</w:t>
      </w:r>
      <w:r w:rsidRPr="0035440B">
        <w:rPr>
          <w:b/>
          <w:bCs/>
          <w:color w:val="000000"/>
          <w:sz w:val="24"/>
          <w:szCs w:val="24"/>
        </w:rPr>
        <w:tab/>
        <w:t>Individuals Consulted on Statistical Aspects and Individuals Collecting and/or Analyzing Data</w:t>
      </w:r>
      <w:bookmarkEnd w:id="21"/>
      <w:bookmarkEnd w:id="22"/>
      <w:bookmarkEnd w:id="23"/>
      <w:bookmarkEnd w:id="24"/>
    </w:p>
    <w:p w:rsidR="00127F41" w:rsidRDefault="00127F41" w:rsidP="009B02F1">
      <w:pPr>
        <w:pStyle w:val="P1-StandPara"/>
        <w:rPr>
          <w:b/>
          <w:bCs/>
          <w:sz w:val="24"/>
          <w:szCs w:val="24"/>
        </w:rPr>
      </w:pPr>
      <w:r w:rsidRPr="0035440B">
        <w:rPr>
          <w:sz w:val="24"/>
          <w:szCs w:val="24"/>
        </w:rPr>
        <w:t xml:space="preserve">The </w:t>
      </w:r>
      <w:proofErr w:type="spellStart"/>
      <w:r w:rsidRPr="0035440B">
        <w:rPr>
          <w:sz w:val="24"/>
          <w:szCs w:val="24"/>
        </w:rPr>
        <w:t>iDATA</w:t>
      </w:r>
      <w:proofErr w:type="spellEnd"/>
      <w:r w:rsidRPr="0035440B">
        <w:rPr>
          <w:sz w:val="24"/>
          <w:szCs w:val="24"/>
        </w:rPr>
        <w:t xml:space="preserve"> Study was developed with consultation from a number of scientists throughout the development period</w:t>
      </w:r>
      <w:r>
        <w:rPr>
          <w:sz w:val="24"/>
          <w:szCs w:val="24"/>
        </w:rPr>
        <w:t xml:space="preserve">. </w:t>
      </w:r>
      <w:r w:rsidRPr="0035440B">
        <w:rPr>
          <w:sz w:val="24"/>
          <w:szCs w:val="24"/>
        </w:rPr>
        <w:t>The study maintains an advisory committee that provides overall scientific direction for the study and serves as the major decision-making body for operations</w:t>
      </w:r>
      <w:r>
        <w:rPr>
          <w:sz w:val="24"/>
          <w:szCs w:val="24"/>
        </w:rPr>
        <w:t xml:space="preserve">. </w:t>
      </w:r>
      <w:r w:rsidRPr="0035440B">
        <w:rPr>
          <w:sz w:val="24"/>
          <w:szCs w:val="24"/>
        </w:rPr>
        <w:t xml:space="preserve">Members of the advisory committee have provided expertise with developing the research plan, the conceptual framework, survey questions, and sampling strategies underlying the </w:t>
      </w:r>
      <w:proofErr w:type="spellStart"/>
      <w:r w:rsidRPr="0035440B">
        <w:rPr>
          <w:sz w:val="24"/>
          <w:szCs w:val="24"/>
        </w:rPr>
        <w:t>iDATA</w:t>
      </w:r>
      <w:proofErr w:type="spellEnd"/>
      <w:r w:rsidRPr="0035440B">
        <w:rPr>
          <w:sz w:val="24"/>
          <w:szCs w:val="24"/>
        </w:rPr>
        <w:t xml:space="preserve"> Study</w:t>
      </w:r>
      <w:r>
        <w:rPr>
          <w:sz w:val="24"/>
          <w:szCs w:val="24"/>
        </w:rPr>
        <w:t xml:space="preserve">. </w:t>
      </w:r>
      <w:r w:rsidRPr="0035440B">
        <w:rPr>
          <w:sz w:val="24"/>
          <w:szCs w:val="24"/>
        </w:rPr>
        <w:t>Members of the advisory group, specifically those in the Biometry Research Group</w:t>
      </w:r>
      <w:r>
        <w:rPr>
          <w:sz w:val="24"/>
          <w:szCs w:val="24"/>
        </w:rPr>
        <w:t xml:space="preserve"> of the NCI Division of Cancer Prevention</w:t>
      </w:r>
      <w:r w:rsidRPr="0035440B">
        <w:rPr>
          <w:sz w:val="24"/>
          <w:szCs w:val="24"/>
        </w:rPr>
        <w:t xml:space="preserve">, Victor </w:t>
      </w:r>
      <w:proofErr w:type="spellStart"/>
      <w:r w:rsidRPr="0035440B">
        <w:rPr>
          <w:sz w:val="24"/>
          <w:szCs w:val="24"/>
        </w:rPr>
        <w:t>Kipnis</w:t>
      </w:r>
      <w:proofErr w:type="spellEnd"/>
      <w:r w:rsidRPr="0035440B">
        <w:rPr>
          <w:sz w:val="24"/>
          <w:szCs w:val="24"/>
        </w:rPr>
        <w:t xml:space="preserve">, </w:t>
      </w:r>
      <w:proofErr w:type="spellStart"/>
      <w:r w:rsidRPr="0035440B">
        <w:rPr>
          <w:sz w:val="24"/>
          <w:szCs w:val="24"/>
        </w:rPr>
        <w:t>Ph.D</w:t>
      </w:r>
      <w:proofErr w:type="spellEnd"/>
      <w:r w:rsidRPr="0035440B">
        <w:rPr>
          <w:sz w:val="24"/>
          <w:szCs w:val="24"/>
        </w:rPr>
        <w:t xml:space="preserve">, Douglass </w:t>
      </w:r>
      <w:proofErr w:type="spellStart"/>
      <w:r w:rsidRPr="0035440B">
        <w:rPr>
          <w:sz w:val="24"/>
          <w:szCs w:val="24"/>
        </w:rPr>
        <w:t>Midthune</w:t>
      </w:r>
      <w:proofErr w:type="spellEnd"/>
      <w:r w:rsidRPr="0035440B">
        <w:rPr>
          <w:sz w:val="24"/>
          <w:szCs w:val="24"/>
        </w:rPr>
        <w:t xml:space="preserve">, MS, and Kevin Dodd, </w:t>
      </w:r>
      <w:proofErr w:type="spellStart"/>
      <w:r w:rsidRPr="0035440B">
        <w:rPr>
          <w:sz w:val="24"/>
          <w:szCs w:val="24"/>
        </w:rPr>
        <w:t>Ph.D</w:t>
      </w:r>
      <w:proofErr w:type="spellEnd"/>
      <w:r w:rsidRPr="0035440B">
        <w:rPr>
          <w:sz w:val="24"/>
          <w:szCs w:val="24"/>
        </w:rPr>
        <w:t>, will be involved with the analysis once the data are collected</w:t>
      </w:r>
      <w:r>
        <w:rPr>
          <w:sz w:val="24"/>
          <w:szCs w:val="24"/>
        </w:rPr>
        <w:t xml:space="preserve">. </w:t>
      </w:r>
      <w:r w:rsidRPr="0035440B">
        <w:rPr>
          <w:sz w:val="24"/>
          <w:szCs w:val="24"/>
        </w:rPr>
        <w:t xml:space="preserve">A full listing of the members of the </w:t>
      </w:r>
      <w:proofErr w:type="spellStart"/>
      <w:r w:rsidRPr="0035440B">
        <w:rPr>
          <w:sz w:val="24"/>
          <w:szCs w:val="24"/>
        </w:rPr>
        <w:t>iDATA</w:t>
      </w:r>
      <w:proofErr w:type="spellEnd"/>
      <w:r w:rsidRPr="0035440B">
        <w:rPr>
          <w:sz w:val="24"/>
          <w:szCs w:val="24"/>
        </w:rPr>
        <w:t xml:space="preserve"> advisory committee is contained in </w:t>
      </w:r>
      <w:r w:rsidRPr="0035440B">
        <w:rPr>
          <w:b/>
          <w:bCs/>
          <w:sz w:val="24"/>
          <w:szCs w:val="24"/>
        </w:rPr>
        <w:t>Attachment 2</w:t>
      </w:r>
      <w:r w:rsidR="00E809C9">
        <w:rPr>
          <w:b/>
          <w:bCs/>
          <w:sz w:val="24"/>
          <w:szCs w:val="24"/>
        </w:rPr>
        <w:t>4</w:t>
      </w:r>
      <w:r>
        <w:rPr>
          <w:b/>
          <w:bCs/>
          <w:sz w:val="24"/>
          <w:szCs w:val="24"/>
        </w:rPr>
        <w:t>.</w:t>
      </w:r>
    </w:p>
    <w:p w:rsidR="00127F41" w:rsidRPr="0035440B" w:rsidRDefault="00127F41" w:rsidP="009B02F1">
      <w:pPr>
        <w:pStyle w:val="P1-StandPara"/>
        <w:rPr>
          <w:color w:val="FF0000"/>
          <w:sz w:val="24"/>
          <w:szCs w:val="24"/>
        </w:rPr>
      </w:pPr>
      <w:r w:rsidRPr="0035440B">
        <w:rPr>
          <w:sz w:val="24"/>
          <w:szCs w:val="24"/>
        </w:rPr>
        <w:t xml:space="preserve">Furthermore, the </w:t>
      </w:r>
      <w:proofErr w:type="spellStart"/>
      <w:r w:rsidRPr="0035440B">
        <w:rPr>
          <w:sz w:val="24"/>
          <w:szCs w:val="24"/>
        </w:rPr>
        <w:t>iDATA</w:t>
      </w:r>
      <w:proofErr w:type="spellEnd"/>
      <w:r w:rsidRPr="0035440B">
        <w:rPr>
          <w:sz w:val="24"/>
          <w:szCs w:val="24"/>
        </w:rPr>
        <w:t xml:space="preserve"> Study was developed with consultation from scientists outside the agency. The study maintains relationships with two external scientists: Dale </w:t>
      </w:r>
      <w:proofErr w:type="spellStart"/>
      <w:r w:rsidRPr="0035440B">
        <w:rPr>
          <w:sz w:val="24"/>
          <w:szCs w:val="24"/>
        </w:rPr>
        <w:t>Schoeller</w:t>
      </w:r>
      <w:proofErr w:type="spellEnd"/>
      <w:r w:rsidRPr="0035440B">
        <w:rPr>
          <w:sz w:val="24"/>
          <w:szCs w:val="24"/>
        </w:rPr>
        <w:t xml:space="preserve">, </w:t>
      </w:r>
      <w:proofErr w:type="spellStart"/>
      <w:r w:rsidRPr="0035440B">
        <w:rPr>
          <w:sz w:val="24"/>
          <w:szCs w:val="24"/>
        </w:rPr>
        <w:t>Ph.D</w:t>
      </w:r>
      <w:proofErr w:type="spellEnd"/>
      <w:r w:rsidRPr="0035440B">
        <w:rPr>
          <w:sz w:val="24"/>
          <w:szCs w:val="24"/>
        </w:rPr>
        <w:t xml:space="preserve">, whose expertise is in developing stable </w:t>
      </w:r>
      <w:r>
        <w:t>isotope analysis techniques for measuring macronutrient metabolism, such as the DLW,</w:t>
      </w:r>
      <w:r w:rsidRPr="002109C6">
        <w:t xml:space="preserve"> and Patty </w:t>
      </w:r>
      <w:proofErr w:type="spellStart"/>
      <w:r w:rsidRPr="002109C6">
        <w:t>Freedson</w:t>
      </w:r>
      <w:proofErr w:type="spellEnd"/>
      <w:r>
        <w:t>, Ph.D., whose expertise is in w</w:t>
      </w:r>
      <w:r w:rsidRPr="00F423E0">
        <w:t xml:space="preserve">earable </w:t>
      </w:r>
      <w:r>
        <w:t xml:space="preserve">motion detection device </w:t>
      </w:r>
      <w:r w:rsidRPr="00F423E0">
        <w:t>calibration and validation for physical activity assessment</w:t>
      </w:r>
      <w:r>
        <w:rPr>
          <w:sz w:val="24"/>
          <w:szCs w:val="24"/>
        </w:rPr>
        <w:t xml:space="preserve">. </w:t>
      </w:r>
      <w:r w:rsidRPr="0035440B">
        <w:rPr>
          <w:sz w:val="24"/>
          <w:szCs w:val="24"/>
        </w:rPr>
        <w:t>Both will be involved with analysis of the data from this study</w:t>
      </w:r>
      <w:r>
        <w:rPr>
          <w:sz w:val="24"/>
          <w:szCs w:val="24"/>
        </w:rPr>
        <w:t xml:space="preserve">. </w:t>
      </w:r>
      <w:r w:rsidRPr="0035440B">
        <w:rPr>
          <w:sz w:val="24"/>
          <w:szCs w:val="24"/>
        </w:rPr>
        <w:t xml:space="preserve">Affiliations and contact information for the external scientific consultants can be found in </w:t>
      </w:r>
      <w:r w:rsidRPr="0035440B">
        <w:rPr>
          <w:b/>
          <w:bCs/>
          <w:sz w:val="24"/>
          <w:szCs w:val="24"/>
        </w:rPr>
        <w:t>Attachment 2</w:t>
      </w:r>
      <w:r w:rsidR="00E809C9">
        <w:rPr>
          <w:b/>
          <w:bCs/>
          <w:sz w:val="24"/>
          <w:szCs w:val="24"/>
        </w:rPr>
        <w:t>5</w:t>
      </w:r>
      <w:r w:rsidRPr="0035440B">
        <w:rPr>
          <w:sz w:val="24"/>
          <w:szCs w:val="24"/>
        </w:rPr>
        <w:t>.</w:t>
      </w:r>
    </w:p>
    <w:sectPr w:rsidR="00127F41" w:rsidRPr="0035440B" w:rsidSect="00DE614A">
      <w:pgSz w:w="12240" w:h="15840" w:code="1"/>
      <w:pgMar w:top="1440" w:right="1440" w:bottom="1350" w:left="1440" w:header="720" w:footer="43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63D" w:rsidRDefault="00C3063D">
      <w:pPr>
        <w:spacing w:line="240" w:lineRule="auto"/>
      </w:pPr>
      <w:r>
        <w:separator/>
      </w:r>
    </w:p>
  </w:endnote>
  <w:endnote w:type="continuationSeparator" w:id="0">
    <w:p w:rsidR="00C3063D" w:rsidRDefault="00C3063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088921"/>
      <w:docPartObj>
        <w:docPartGallery w:val="Page Numbers (Bottom of Page)"/>
        <w:docPartUnique/>
      </w:docPartObj>
    </w:sdtPr>
    <w:sdtContent>
      <w:sdt>
        <w:sdtPr>
          <w:id w:val="98381352"/>
          <w:docPartObj>
            <w:docPartGallery w:val="Page Numbers (Top of Page)"/>
            <w:docPartUnique/>
          </w:docPartObj>
        </w:sdtPr>
        <w:sdtContent>
          <w:p w:rsidR="00AC64B4" w:rsidRDefault="00BB50FA" w:rsidP="00AC64B4">
            <w:pPr>
              <w:pStyle w:val="Footer"/>
              <w:jc w:val="center"/>
            </w:pPr>
            <w:r w:rsidRPr="00BB50FA">
              <w:t xml:space="preserve">Page </w:t>
            </w:r>
            <w:fldSimple w:instr=" PAGE ">
              <w:r w:rsidR="00A979B1">
                <w:rPr>
                  <w:noProof/>
                </w:rPr>
                <w:t>iii</w:t>
              </w:r>
            </w:fldSimple>
            <w:r w:rsidRPr="00BB50FA">
              <w:t xml:space="preserve"> of </w:t>
            </w:r>
            <w:r w:rsidR="00D52774">
              <w:t>1</w:t>
            </w:r>
            <w:r w:rsidR="00D52774">
              <w:rPr>
                <w:sz w:val="24"/>
                <w:szCs w:val="24"/>
              </w:rPr>
              <w:t>0</w:t>
            </w:r>
          </w:p>
        </w:sdtContent>
      </w:sdt>
    </w:sdtContent>
  </w:sdt>
  <w:p w:rsidR="00AC64B4" w:rsidRDefault="00AC64B4" w:rsidP="00AC64B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63D" w:rsidRDefault="00C3063D">
      <w:pPr>
        <w:spacing w:line="240" w:lineRule="auto"/>
      </w:pPr>
      <w:r>
        <w:separator/>
      </w:r>
    </w:p>
  </w:footnote>
  <w:footnote w:type="continuationSeparator" w:id="0">
    <w:p w:rsidR="00C3063D" w:rsidRDefault="00C3063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cs="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2DD04513"/>
    <w:multiLevelType w:val="hybridMultilevel"/>
    <w:tmpl w:val="61BA8F82"/>
    <w:lvl w:ilvl="0" w:tplc="8F34259E">
      <w:start w:val="3"/>
      <w:numFmt w:val="lowerLetter"/>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03C33D3"/>
    <w:multiLevelType w:val="hybridMultilevel"/>
    <w:tmpl w:val="A45004B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661A5102"/>
    <w:multiLevelType w:val="hybridMultilevel"/>
    <w:tmpl w:val="913E68D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cs="Symbol"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9">
    <w:nsid w:val="666450DF"/>
    <w:multiLevelType w:val="hybridMultilevel"/>
    <w:tmpl w:val="9E00E30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FCF0B76"/>
    <w:multiLevelType w:val="hybridMultilevel"/>
    <w:tmpl w:val="A3FCA04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3"/>
  </w:num>
  <w:num w:numId="2">
    <w:abstractNumId w:val="0"/>
  </w:num>
  <w:num w:numId="3">
    <w:abstractNumId w:val="5"/>
  </w:num>
  <w:num w:numId="4">
    <w:abstractNumId w:val="4"/>
  </w:num>
  <w:num w:numId="5">
    <w:abstractNumId w:val="7"/>
  </w:num>
  <w:num w:numId="6">
    <w:abstractNumId w:val="8"/>
  </w:num>
  <w:num w:numId="7">
    <w:abstractNumId w:val="6"/>
  </w:num>
  <w:num w:numId="8">
    <w:abstractNumId w:val="2"/>
  </w:num>
  <w:num w:numId="9">
    <w:abstractNumId w:val="1"/>
  </w:num>
  <w:num w:numId="10">
    <w:abstractNumId w:val="1"/>
  </w:num>
  <w:num w:numId="11">
    <w:abstractNumId w:val="1"/>
  </w:num>
  <w:num w:numId="12">
    <w:abstractNumId w:val="1"/>
  </w:num>
  <w:num w:numId="13">
    <w:abstractNumId w:val="1"/>
  </w:num>
  <w:num w:numId="14">
    <w:abstractNumId w:val="1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9D271A"/>
    <w:rsid w:val="0000485E"/>
    <w:rsid w:val="00007CA4"/>
    <w:rsid w:val="0001163D"/>
    <w:rsid w:val="000123B1"/>
    <w:rsid w:val="00012B52"/>
    <w:rsid w:val="00012C2D"/>
    <w:rsid w:val="00014452"/>
    <w:rsid w:val="000164DD"/>
    <w:rsid w:val="000164FC"/>
    <w:rsid w:val="00017CC0"/>
    <w:rsid w:val="00021732"/>
    <w:rsid w:val="00021DEA"/>
    <w:rsid w:val="0002576B"/>
    <w:rsid w:val="00025BCF"/>
    <w:rsid w:val="00030615"/>
    <w:rsid w:val="00034658"/>
    <w:rsid w:val="0003571F"/>
    <w:rsid w:val="00035A19"/>
    <w:rsid w:val="000403A5"/>
    <w:rsid w:val="0004184D"/>
    <w:rsid w:val="000449F9"/>
    <w:rsid w:val="00045F98"/>
    <w:rsid w:val="000472EC"/>
    <w:rsid w:val="00050343"/>
    <w:rsid w:val="00050963"/>
    <w:rsid w:val="00050A76"/>
    <w:rsid w:val="00051778"/>
    <w:rsid w:val="00051AA2"/>
    <w:rsid w:val="00055962"/>
    <w:rsid w:val="00057024"/>
    <w:rsid w:val="0006092A"/>
    <w:rsid w:val="00060A0E"/>
    <w:rsid w:val="00061D4D"/>
    <w:rsid w:val="00065E07"/>
    <w:rsid w:val="00072CF4"/>
    <w:rsid w:val="00080D50"/>
    <w:rsid w:val="00080FF0"/>
    <w:rsid w:val="00082E9D"/>
    <w:rsid w:val="00085BEC"/>
    <w:rsid w:val="000872F1"/>
    <w:rsid w:val="0009192C"/>
    <w:rsid w:val="00091E5E"/>
    <w:rsid w:val="0009593F"/>
    <w:rsid w:val="000962BB"/>
    <w:rsid w:val="000A0F5A"/>
    <w:rsid w:val="000A2132"/>
    <w:rsid w:val="000A2282"/>
    <w:rsid w:val="000A3FD5"/>
    <w:rsid w:val="000B0BFB"/>
    <w:rsid w:val="000B2376"/>
    <w:rsid w:val="000B4A20"/>
    <w:rsid w:val="000B6C43"/>
    <w:rsid w:val="000C0603"/>
    <w:rsid w:val="000C2334"/>
    <w:rsid w:val="000C4E01"/>
    <w:rsid w:val="000C6F7B"/>
    <w:rsid w:val="000D0D68"/>
    <w:rsid w:val="000D1FAE"/>
    <w:rsid w:val="000D3827"/>
    <w:rsid w:val="000E2DA2"/>
    <w:rsid w:val="000E2F5A"/>
    <w:rsid w:val="000E32A7"/>
    <w:rsid w:val="000E4FA8"/>
    <w:rsid w:val="000E77AB"/>
    <w:rsid w:val="000F2412"/>
    <w:rsid w:val="000F44FE"/>
    <w:rsid w:val="0010655B"/>
    <w:rsid w:val="00107489"/>
    <w:rsid w:val="00107CB3"/>
    <w:rsid w:val="001102A3"/>
    <w:rsid w:val="00113664"/>
    <w:rsid w:val="00113E23"/>
    <w:rsid w:val="001140AA"/>
    <w:rsid w:val="001228F5"/>
    <w:rsid w:val="001238A4"/>
    <w:rsid w:val="00125613"/>
    <w:rsid w:val="00126AA4"/>
    <w:rsid w:val="00127F41"/>
    <w:rsid w:val="0013061F"/>
    <w:rsid w:val="00131E43"/>
    <w:rsid w:val="001329A5"/>
    <w:rsid w:val="00135347"/>
    <w:rsid w:val="001376E2"/>
    <w:rsid w:val="00140A75"/>
    <w:rsid w:val="001421B7"/>
    <w:rsid w:val="0014621F"/>
    <w:rsid w:val="00151979"/>
    <w:rsid w:val="00151D20"/>
    <w:rsid w:val="001545E4"/>
    <w:rsid w:val="001566CB"/>
    <w:rsid w:val="00163567"/>
    <w:rsid w:val="001639FC"/>
    <w:rsid w:val="0016464B"/>
    <w:rsid w:val="00165428"/>
    <w:rsid w:val="0016566A"/>
    <w:rsid w:val="0016788C"/>
    <w:rsid w:val="00173F86"/>
    <w:rsid w:val="00174240"/>
    <w:rsid w:val="00175022"/>
    <w:rsid w:val="001758BA"/>
    <w:rsid w:val="00176515"/>
    <w:rsid w:val="00182CDE"/>
    <w:rsid w:val="00183500"/>
    <w:rsid w:val="001844DD"/>
    <w:rsid w:val="00187244"/>
    <w:rsid w:val="00190815"/>
    <w:rsid w:val="00191D79"/>
    <w:rsid w:val="00192B2A"/>
    <w:rsid w:val="00192CC4"/>
    <w:rsid w:val="00196479"/>
    <w:rsid w:val="00196E71"/>
    <w:rsid w:val="001A132D"/>
    <w:rsid w:val="001A28E2"/>
    <w:rsid w:val="001A3258"/>
    <w:rsid w:val="001A608D"/>
    <w:rsid w:val="001B1A9D"/>
    <w:rsid w:val="001B1E35"/>
    <w:rsid w:val="001B60A9"/>
    <w:rsid w:val="001C0969"/>
    <w:rsid w:val="001C170D"/>
    <w:rsid w:val="001C1D33"/>
    <w:rsid w:val="001C1DBE"/>
    <w:rsid w:val="001C66F6"/>
    <w:rsid w:val="001C6FC4"/>
    <w:rsid w:val="001D22EB"/>
    <w:rsid w:val="001D677B"/>
    <w:rsid w:val="001D7CD8"/>
    <w:rsid w:val="001E22FD"/>
    <w:rsid w:val="001E2BF6"/>
    <w:rsid w:val="001E40B3"/>
    <w:rsid w:val="001E4E1E"/>
    <w:rsid w:val="001F4053"/>
    <w:rsid w:val="001F66D4"/>
    <w:rsid w:val="002023C6"/>
    <w:rsid w:val="002030D9"/>
    <w:rsid w:val="00203FA2"/>
    <w:rsid w:val="00205257"/>
    <w:rsid w:val="002109C6"/>
    <w:rsid w:val="00216261"/>
    <w:rsid w:val="00220991"/>
    <w:rsid w:val="0022166E"/>
    <w:rsid w:val="00222713"/>
    <w:rsid w:val="00222B05"/>
    <w:rsid w:val="00224360"/>
    <w:rsid w:val="00224DD0"/>
    <w:rsid w:val="00226916"/>
    <w:rsid w:val="002310B1"/>
    <w:rsid w:val="0023396A"/>
    <w:rsid w:val="00240B0B"/>
    <w:rsid w:val="00240CB4"/>
    <w:rsid w:val="00242BBB"/>
    <w:rsid w:val="00247D73"/>
    <w:rsid w:val="002505DA"/>
    <w:rsid w:val="002524FA"/>
    <w:rsid w:val="0025269B"/>
    <w:rsid w:val="00252964"/>
    <w:rsid w:val="00253411"/>
    <w:rsid w:val="0025523F"/>
    <w:rsid w:val="002609D1"/>
    <w:rsid w:val="002664B4"/>
    <w:rsid w:val="002738AC"/>
    <w:rsid w:val="00273ACD"/>
    <w:rsid w:val="00274CAA"/>
    <w:rsid w:val="00280A5E"/>
    <w:rsid w:val="002855C2"/>
    <w:rsid w:val="0029007D"/>
    <w:rsid w:val="00293E14"/>
    <w:rsid w:val="002A1F4A"/>
    <w:rsid w:val="002A442A"/>
    <w:rsid w:val="002B46CD"/>
    <w:rsid w:val="002B56E0"/>
    <w:rsid w:val="002B7481"/>
    <w:rsid w:val="002B7D57"/>
    <w:rsid w:val="002C38FB"/>
    <w:rsid w:val="002D2F64"/>
    <w:rsid w:val="002E0034"/>
    <w:rsid w:val="002E1C97"/>
    <w:rsid w:val="002E3869"/>
    <w:rsid w:val="002E5AF8"/>
    <w:rsid w:val="002F2BAB"/>
    <w:rsid w:val="002F305C"/>
    <w:rsid w:val="00302C88"/>
    <w:rsid w:val="00304D02"/>
    <w:rsid w:val="003117A3"/>
    <w:rsid w:val="00313488"/>
    <w:rsid w:val="00314DC8"/>
    <w:rsid w:val="0031557E"/>
    <w:rsid w:val="003165FC"/>
    <w:rsid w:val="00321EEB"/>
    <w:rsid w:val="00323DBB"/>
    <w:rsid w:val="00332ED8"/>
    <w:rsid w:val="00335C36"/>
    <w:rsid w:val="00336508"/>
    <w:rsid w:val="00337445"/>
    <w:rsid w:val="00341780"/>
    <w:rsid w:val="00346F46"/>
    <w:rsid w:val="00350E31"/>
    <w:rsid w:val="00351539"/>
    <w:rsid w:val="003515B1"/>
    <w:rsid w:val="00352C28"/>
    <w:rsid w:val="0035440B"/>
    <w:rsid w:val="00361B78"/>
    <w:rsid w:val="00361FF7"/>
    <w:rsid w:val="00365783"/>
    <w:rsid w:val="00367CA9"/>
    <w:rsid w:val="00373623"/>
    <w:rsid w:val="003736F0"/>
    <w:rsid w:val="003762DD"/>
    <w:rsid w:val="00382830"/>
    <w:rsid w:val="003837CC"/>
    <w:rsid w:val="00383F6D"/>
    <w:rsid w:val="00384416"/>
    <w:rsid w:val="0039241E"/>
    <w:rsid w:val="00394276"/>
    <w:rsid w:val="003A0249"/>
    <w:rsid w:val="003A0609"/>
    <w:rsid w:val="003A2B38"/>
    <w:rsid w:val="003B0504"/>
    <w:rsid w:val="003B1A8C"/>
    <w:rsid w:val="003B1FA6"/>
    <w:rsid w:val="003B254D"/>
    <w:rsid w:val="003B2D2B"/>
    <w:rsid w:val="003B300E"/>
    <w:rsid w:val="003B4591"/>
    <w:rsid w:val="003B4A10"/>
    <w:rsid w:val="003B62C7"/>
    <w:rsid w:val="003C122E"/>
    <w:rsid w:val="003C1CC8"/>
    <w:rsid w:val="003C51B9"/>
    <w:rsid w:val="003C5DB0"/>
    <w:rsid w:val="003C6CE5"/>
    <w:rsid w:val="003D1BDA"/>
    <w:rsid w:val="003D3A1B"/>
    <w:rsid w:val="003D43FE"/>
    <w:rsid w:val="003D6F2A"/>
    <w:rsid w:val="003D7068"/>
    <w:rsid w:val="003E1642"/>
    <w:rsid w:val="003E215E"/>
    <w:rsid w:val="003E2CFF"/>
    <w:rsid w:val="003E3864"/>
    <w:rsid w:val="003F249F"/>
    <w:rsid w:val="003F533D"/>
    <w:rsid w:val="003F74DE"/>
    <w:rsid w:val="00402D18"/>
    <w:rsid w:val="00405B33"/>
    <w:rsid w:val="004104C1"/>
    <w:rsid w:val="00410E19"/>
    <w:rsid w:val="004110F7"/>
    <w:rsid w:val="00412D21"/>
    <w:rsid w:val="00414FE1"/>
    <w:rsid w:val="00415FB5"/>
    <w:rsid w:val="0041707B"/>
    <w:rsid w:val="00417E1C"/>
    <w:rsid w:val="0042246D"/>
    <w:rsid w:val="004239FD"/>
    <w:rsid w:val="00426BF1"/>
    <w:rsid w:val="00435130"/>
    <w:rsid w:val="00435409"/>
    <w:rsid w:val="004359F8"/>
    <w:rsid w:val="0043758A"/>
    <w:rsid w:val="004428F8"/>
    <w:rsid w:val="00450B53"/>
    <w:rsid w:val="00454AD7"/>
    <w:rsid w:val="0045688D"/>
    <w:rsid w:val="00456DC1"/>
    <w:rsid w:val="00462082"/>
    <w:rsid w:val="00462730"/>
    <w:rsid w:val="0046455C"/>
    <w:rsid w:val="00464594"/>
    <w:rsid w:val="00464BAA"/>
    <w:rsid w:val="0046757B"/>
    <w:rsid w:val="00474822"/>
    <w:rsid w:val="0047570D"/>
    <w:rsid w:val="00477FAE"/>
    <w:rsid w:val="00483FF9"/>
    <w:rsid w:val="0048588F"/>
    <w:rsid w:val="004872C8"/>
    <w:rsid w:val="00487A75"/>
    <w:rsid w:val="00490492"/>
    <w:rsid w:val="00490EDB"/>
    <w:rsid w:val="00495499"/>
    <w:rsid w:val="0049779D"/>
    <w:rsid w:val="004A047B"/>
    <w:rsid w:val="004A10B4"/>
    <w:rsid w:val="004A448B"/>
    <w:rsid w:val="004B2456"/>
    <w:rsid w:val="004B307E"/>
    <w:rsid w:val="004B60BC"/>
    <w:rsid w:val="004B6B4B"/>
    <w:rsid w:val="004D21B8"/>
    <w:rsid w:val="004D26AE"/>
    <w:rsid w:val="004D37E3"/>
    <w:rsid w:val="004D43B5"/>
    <w:rsid w:val="004E3607"/>
    <w:rsid w:val="004E5C73"/>
    <w:rsid w:val="004E60EB"/>
    <w:rsid w:val="004F1F0F"/>
    <w:rsid w:val="004F23B1"/>
    <w:rsid w:val="004F2451"/>
    <w:rsid w:val="004F382A"/>
    <w:rsid w:val="004F659A"/>
    <w:rsid w:val="00501AA2"/>
    <w:rsid w:val="00506972"/>
    <w:rsid w:val="00514F96"/>
    <w:rsid w:val="005156C0"/>
    <w:rsid w:val="0052467A"/>
    <w:rsid w:val="00530967"/>
    <w:rsid w:val="00531F75"/>
    <w:rsid w:val="0053452B"/>
    <w:rsid w:val="00534B19"/>
    <w:rsid w:val="00541C40"/>
    <w:rsid w:val="00543D63"/>
    <w:rsid w:val="00543FA2"/>
    <w:rsid w:val="005445A1"/>
    <w:rsid w:val="00544AA0"/>
    <w:rsid w:val="00545320"/>
    <w:rsid w:val="00547A9E"/>
    <w:rsid w:val="00551B43"/>
    <w:rsid w:val="00556A12"/>
    <w:rsid w:val="00556DA1"/>
    <w:rsid w:val="00564A1E"/>
    <w:rsid w:val="00572297"/>
    <w:rsid w:val="0057594E"/>
    <w:rsid w:val="00575F3F"/>
    <w:rsid w:val="0057639F"/>
    <w:rsid w:val="00577186"/>
    <w:rsid w:val="0057736B"/>
    <w:rsid w:val="005817FB"/>
    <w:rsid w:val="00581B65"/>
    <w:rsid w:val="00592061"/>
    <w:rsid w:val="005923DA"/>
    <w:rsid w:val="005948E3"/>
    <w:rsid w:val="00595BE8"/>
    <w:rsid w:val="005969B4"/>
    <w:rsid w:val="00597E48"/>
    <w:rsid w:val="005A1CFD"/>
    <w:rsid w:val="005A269C"/>
    <w:rsid w:val="005A4E54"/>
    <w:rsid w:val="005A4E64"/>
    <w:rsid w:val="005A6322"/>
    <w:rsid w:val="005B6C76"/>
    <w:rsid w:val="005C01B9"/>
    <w:rsid w:val="005C1A8C"/>
    <w:rsid w:val="005C1F7E"/>
    <w:rsid w:val="005C58E9"/>
    <w:rsid w:val="005C631B"/>
    <w:rsid w:val="005D0639"/>
    <w:rsid w:val="005D2BF6"/>
    <w:rsid w:val="005D3971"/>
    <w:rsid w:val="005D73C0"/>
    <w:rsid w:val="005D78D8"/>
    <w:rsid w:val="005E28D0"/>
    <w:rsid w:val="005E6E3B"/>
    <w:rsid w:val="006003F1"/>
    <w:rsid w:val="006019D5"/>
    <w:rsid w:val="0060291A"/>
    <w:rsid w:val="00607F2B"/>
    <w:rsid w:val="00610C5F"/>
    <w:rsid w:val="00611E46"/>
    <w:rsid w:val="00613585"/>
    <w:rsid w:val="00620791"/>
    <w:rsid w:val="00622742"/>
    <w:rsid w:val="00622CBB"/>
    <w:rsid w:val="00623409"/>
    <w:rsid w:val="00623E1B"/>
    <w:rsid w:val="00624D8E"/>
    <w:rsid w:val="006305C5"/>
    <w:rsid w:val="00630B97"/>
    <w:rsid w:val="00632869"/>
    <w:rsid w:val="00634957"/>
    <w:rsid w:val="00637B56"/>
    <w:rsid w:val="0064047C"/>
    <w:rsid w:val="00641466"/>
    <w:rsid w:val="00647764"/>
    <w:rsid w:val="006502C2"/>
    <w:rsid w:val="00650729"/>
    <w:rsid w:val="00653641"/>
    <w:rsid w:val="00656EEF"/>
    <w:rsid w:val="00657E6C"/>
    <w:rsid w:val="0066035D"/>
    <w:rsid w:val="0066321D"/>
    <w:rsid w:val="006638B2"/>
    <w:rsid w:val="006642D6"/>
    <w:rsid w:val="00666DB3"/>
    <w:rsid w:val="00667330"/>
    <w:rsid w:val="00676CB6"/>
    <w:rsid w:val="00676DB7"/>
    <w:rsid w:val="006814D0"/>
    <w:rsid w:val="00682539"/>
    <w:rsid w:val="00685B6C"/>
    <w:rsid w:val="00685E28"/>
    <w:rsid w:val="00690093"/>
    <w:rsid w:val="006914ED"/>
    <w:rsid w:val="00693634"/>
    <w:rsid w:val="006A23FD"/>
    <w:rsid w:val="006A6EA7"/>
    <w:rsid w:val="006B2141"/>
    <w:rsid w:val="006B67BE"/>
    <w:rsid w:val="006B741D"/>
    <w:rsid w:val="006C10E0"/>
    <w:rsid w:val="006C50AF"/>
    <w:rsid w:val="006C5D86"/>
    <w:rsid w:val="006D2A80"/>
    <w:rsid w:val="006D414E"/>
    <w:rsid w:val="006D5561"/>
    <w:rsid w:val="006D5964"/>
    <w:rsid w:val="006D631E"/>
    <w:rsid w:val="006E5D58"/>
    <w:rsid w:val="006E6D75"/>
    <w:rsid w:val="006E7A75"/>
    <w:rsid w:val="006F14A2"/>
    <w:rsid w:val="006F17D8"/>
    <w:rsid w:val="006F1AAA"/>
    <w:rsid w:val="006F2429"/>
    <w:rsid w:val="006F2553"/>
    <w:rsid w:val="006F6DB7"/>
    <w:rsid w:val="00703F40"/>
    <w:rsid w:val="007073D7"/>
    <w:rsid w:val="007106AD"/>
    <w:rsid w:val="0071420D"/>
    <w:rsid w:val="00717A3B"/>
    <w:rsid w:val="00721271"/>
    <w:rsid w:val="00730479"/>
    <w:rsid w:val="007313A2"/>
    <w:rsid w:val="00731600"/>
    <w:rsid w:val="00731B99"/>
    <w:rsid w:val="00733778"/>
    <w:rsid w:val="0073532E"/>
    <w:rsid w:val="00743122"/>
    <w:rsid w:val="0074711C"/>
    <w:rsid w:val="007526A2"/>
    <w:rsid w:val="00762B89"/>
    <w:rsid w:val="00762ED6"/>
    <w:rsid w:val="007638F5"/>
    <w:rsid w:val="00764902"/>
    <w:rsid w:val="007709E8"/>
    <w:rsid w:val="007718FD"/>
    <w:rsid w:val="00773A5D"/>
    <w:rsid w:val="00780582"/>
    <w:rsid w:val="00783642"/>
    <w:rsid w:val="00786263"/>
    <w:rsid w:val="007913FA"/>
    <w:rsid w:val="00794B72"/>
    <w:rsid w:val="00794D66"/>
    <w:rsid w:val="00794DD3"/>
    <w:rsid w:val="007952EC"/>
    <w:rsid w:val="007A05AC"/>
    <w:rsid w:val="007A4089"/>
    <w:rsid w:val="007B0738"/>
    <w:rsid w:val="007B07EF"/>
    <w:rsid w:val="007B0E95"/>
    <w:rsid w:val="007C0865"/>
    <w:rsid w:val="007C3864"/>
    <w:rsid w:val="007C3991"/>
    <w:rsid w:val="007C3AD3"/>
    <w:rsid w:val="007C3C03"/>
    <w:rsid w:val="007D4784"/>
    <w:rsid w:val="007D4F37"/>
    <w:rsid w:val="007D7E10"/>
    <w:rsid w:val="007E6B73"/>
    <w:rsid w:val="007E7417"/>
    <w:rsid w:val="007F247A"/>
    <w:rsid w:val="007F4546"/>
    <w:rsid w:val="007F688F"/>
    <w:rsid w:val="007F717C"/>
    <w:rsid w:val="007F7579"/>
    <w:rsid w:val="008008EE"/>
    <w:rsid w:val="00802662"/>
    <w:rsid w:val="00803856"/>
    <w:rsid w:val="0081051C"/>
    <w:rsid w:val="0081160C"/>
    <w:rsid w:val="00811683"/>
    <w:rsid w:val="0081337F"/>
    <w:rsid w:val="008170A9"/>
    <w:rsid w:val="008201A8"/>
    <w:rsid w:val="00823489"/>
    <w:rsid w:val="00823726"/>
    <w:rsid w:val="00825815"/>
    <w:rsid w:val="0083563A"/>
    <w:rsid w:val="008360EB"/>
    <w:rsid w:val="008410DD"/>
    <w:rsid w:val="00841B04"/>
    <w:rsid w:val="00846F64"/>
    <w:rsid w:val="008663BA"/>
    <w:rsid w:val="008673FD"/>
    <w:rsid w:val="008675F2"/>
    <w:rsid w:val="0087170E"/>
    <w:rsid w:val="00873228"/>
    <w:rsid w:val="0087505D"/>
    <w:rsid w:val="00875D95"/>
    <w:rsid w:val="008766BC"/>
    <w:rsid w:val="00877F3F"/>
    <w:rsid w:val="0088037B"/>
    <w:rsid w:val="008806E8"/>
    <w:rsid w:val="00881E4D"/>
    <w:rsid w:val="00882387"/>
    <w:rsid w:val="00892002"/>
    <w:rsid w:val="00892F37"/>
    <w:rsid w:val="008944BE"/>
    <w:rsid w:val="00896E5C"/>
    <w:rsid w:val="008A2C4E"/>
    <w:rsid w:val="008A5551"/>
    <w:rsid w:val="008A7FB0"/>
    <w:rsid w:val="008B2CBA"/>
    <w:rsid w:val="008B4C55"/>
    <w:rsid w:val="008B5013"/>
    <w:rsid w:val="008C0217"/>
    <w:rsid w:val="008C310C"/>
    <w:rsid w:val="008C52B9"/>
    <w:rsid w:val="008D09DD"/>
    <w:rsid w:val="008D21F0"/>
    <w:rsid w:val="008E3EBD"/>
    <w:rsid w:val="008E4D22"/>
    <w:rsid w:val="008E4DDE"/>
    <w:rsid w:val="008E773E"/>
    <w:rsid w:val="008F106B"/>
    <w:rsid w:val="008F4234"/>
    <w:rsid w:val="008F518F"/>
    <w:rsid w:val="008F60D8"/>
    <w:rsid w:val="00901219"/>
    <w:rsid w:val="00902D5D"/>
    <w:rsid w:val="009061BA"/>
    <w:rsid w:val="009076AA"/>
    <w:rsid w:val="00907B5C"/>
    <w:rsid w:val="009104A9"/>
    <w:rsid w:val="00912C08"/>
    <w:rsid w:val="009138DC"/>
    <w:rsid w:val="00914536"/>
    <w:rsid w:val="009150EC"/>
    <w:rsid w:val="00915495"/>
    <w:rsid w:val="00922008"/>
    <w:rsid w:val="0093580E"/>
    <w:rsid w:val="00935966"/>
    <w:rsid w:val="00941322"/>
    <w:rsid w:val="00941622"/>
    <w:rsid w:val="00941ECF"/>
    <w:rsid w:val="00951A90"/>
    <w:rsid w:val="00951BF3"/>
    <w:rsid w:val="00956072"/>
    <w:rsid w:val="009618B8"/>
    <w:rsid w:val="00963F6C"/>
    <w:rsid w:val="00965932"/>
    <w:rsid w:val="0097148F"/>
    <w:rsid w:val="00975E89"/>
    <w:rsid w:val="009761E7"/>
    <w:rsid w:val="0097741A"/>
    <w:rsid w:val="00983215"/>
    <w:rsid w:val="00983F70"/>
    <w:rsid w:val="009A37FC"/>
    <w:rsid w:val="009A557A"/>
    <w:rsid w:val="009A77EF"/>
    <w:rsid w:val="009B02F1"/>
    <w:rsid w:val="009B2470"/>
    <w:rsid w:val="009B441C"/>
    <w:rsid w:val="009B4572"/>
    <w:rsid w:val="009B7F13"/>
    <w:rsid w:val="009D0167"/>
    <w:rsid w:val="009D1B15"/>
    <w:rsid w:val="009D1EEA"/>
    <w:rsid w:val="009D271A"/>
    <w:rsid w:val="009D2B3B"/>
    <w:rsid w:val="009D3BE0"/>
    <w:rsid w:val="009D68B2"/>
    <w:rsid w:val="009E345B"/>
    <w:rsid w:val="009E742E"/>
    <w:rsid w:val="009F50AA"/>
    <w:rsid w:val="00A01371"/>
    <w:rsid w:val="00A0202C"/>
    <w:rsid w:val="00A027C8"/>
    <w:rsid w:val="00A101EF"/>
    <w:rsid w:val="00A11596"/>
    <w:rsid w:val="00A1269E"/>
    <w:rsid w:val="00A126B1"/>
    <w:rsid w:val="00A126DB"/>
    <w:rsid w:val="00A1320A"/>
    <w:rsid w:val="00A14736"/>
    <w:rsid w:val="00A21B37"/>
    <w:rsid w:val="00A23CD4"/>
    <w:rsid w:val="00A24064"/>
    <w:rsid w:val="00A24FFF"/>
    <w:rsid w:val="00A3178F"/>
    <w:rsid w:val="00A35B8F"/>
    <w:rsid w:val="00A40D98"/>
    <w:rsid w:val="00A435BC"/>
    <w:rsid w:val="00A463DC"/>
    <w:rsid w:val="00A47F28"/>
    <w:rsid w:val="00A5032C"/>
    <w:rsid w:val="00A512CD"/>
    <w:rsid w:val="00A55111"/>
    <w:rsid w:val="00A61FBF"/>
    <w:rsid w:val="00A621AE"/>
    <w:rsid w:val="00A6437D"/>
    <w:rsid w:val="00A674BB"/>
    <w:rsid w:val="00A71C01"/>
    <w:rsid w:val="00A76177"/>
    <w:rsid w:val="00A769AD"/>
    <w:rsid w:val="00A77049"/>
    <w:rsid w:val="00A80844"/>
    <w:rsid w:val="00A80959"/>
    <w:rsid w:val="00A82719"/>
    <w:rsid w:val="00A82E69"/>
    <w:rsid w:val="00A84631"/>
    <w:rsid w:val="00A90E6D"/>
    <w:rsid w:val="00A9133D"/>
    <w:rsid w:val="00A979B1"/>
    <w:rsid w:val="00AA0D68"/>
    <w:rsid w:val="00AA6D09"/>
    <w:rsid w:val="00AB065F"/>
    <w:rsid w:val="00AB21A5"/>
    <w:rsid w:val="00AB756A"/>
    <w:rsid w:val="00AB76E3"/>
    <w:rsid w:val="00AB7DC7"/>
    <w:rsid w:val="00AC3DC3"/>
    <w:rsid w:val="00AC537B"/>
    <w:rsid w:val="00AC64B4"/>
    <w:rsid w:val="00AC7155"/>
    <w:rsid w:val="00AC7ADF"/>
    <w:rsid w:val="00AD00A2"/>
    <w:rsid w:val="00AD1869"/>
    <w:rsid w:val="00AE40BD"/>
    <w:rsid w:val="00AE66BE"/>
    <w:rsid w:val="00AE6A32"/>
    <w:rsid w:val="00AE6AE0"/>
    <w:rsid w:val="00AF16CA"/>
    <w:rsid w:val="00AF3458"/>
    <w:rsid w:val="00AF534F"/>
    <w:rsid w:val="00AF5AE9"/>
    <w:rsid w:val="00AF61D9"/>
    <w:rsid w:val="00B0066E"/>
    <w:rsid w:val="00B006C9"/>
    <w:rsid w:val="00B01857"/>
    <w:rsid w:val="00B03932"/>
    <w:rsid w:val="00B14C82"/>
    <w:rsid w:val="00B203EB"/>
    <w:rsid w:val="00B2186A"/>
    <w:rsid w:val="00B22BA2"/>
    <w:rsid w:val="00B262CD"/>
    <w:rsid w:val="00B305B8"/>
    <w:rsid w:val="00B34CE4"/>
    <w:rsid w:val="00B36457"/>
    <w:rsid w:val="00B373EB"/>
    <w:rsid w:val="00B40F08"/>
    <w:rsid w:val="00B4109C"/>
    <w:rsid w:val="00B42401"/>
    <w:rsid w:val="00B435A1"/>
    <w:rsid w:val="00B4793E"/>
    <w:rsid w:val="00B53631"/>
    <w:rsid w:val="00B5384D"/>
    <w:rsid w:val="00B549C0"/>
    <w:rsid w:val="00B56F48"/>
    <w:rsid w:val="00B5705F"/>
    <w:rsid w:val="00B57283"/>
    <w:rsid w:val="00B71500"/>
    <w:rsid w:val="00B72055"/>
    <w:rsid w:val="00B7510A"/>
    <w:rsid w:val="00B8501D"/>
    <w:rsid w:val="00B855A3"/>
    <w:rsid w:val="00B90EF0"/>
    <w:rsid w:val="00B93878"/>
    <w:rsid w:val="00B9467A"/>
    <w:rsid w:val="00B9657C"/>
    <w:rsid w:val="00B97A5D"/>
    <w:rsid w:val="00BA0CC5"/>
    <w:rsid w:val="00BA14B1"/>
    <w:rsid w:val="00BA2E66"/>
    <w:rsid w:val="00BB115F"/>
    <w:rsid w:val="00BB1191"/>
    <w:rsid w:val="00BB50FA"/>
    <w:rsid w:val="00BC0604"/>
    <w:rsid w:val="00BC279D"/>
    <w:rsid w:val="00BC7DE2"/>
    <w:rsid w:val="00BD0165"/>
    <w:rsid w:val="00BD0764"/>
    <w:rsid w:val="00BD3073"/>
    <w:rsid w:val="00BD765D"/>
    <w:rsid w:val="00BE26B1"/>
    <w:rsid w:val="00BE6994"/>
    <w:rsid w:val="00BF04FE"/>
    <w:rsid w:val="00BF0610"/>
    <w:rsid w:val="00BF59A5"/>
    <w:rsid w:val="00BF7AA4"/>
    <w:rsid w:val="00C0204B"/>
    <w:rsid w:val="00C03AF0"/>
    <w:rsid w:val="00C046B0"/>
    <w:rsid w:val="00C04707"/>
    <w:rsid w:val="00C10D88"/>
    <w:rsid w:val="00C1645D"/>
    <w:rsid w:val="00C204FF"/>
    <w:rsid w:val="00C223C8"/>
    <w:rsid w:val="00C243D2"/>
    <w:rsid w:val="00C25302"/>
    <w:rsid w:val="00C26947"/>
    <w:rsid w:val="00C3063D"/>
    <w:rsid w:val="00C30ABF"/>
    <w:rsid w:val="00C35E83"/>
    <w:rsid w:val="00C36EF2"/>
    <w:rsid w:val="00C379CC"/>
    <w:rsid w:val="00C44DF8"/>
    <w:rsid w:val="00C45812"/>
    <w:rsid w:val="00C45942"/>
    <w:rsid w:val="00C504A0"/>
    <w:rsid w:val="00C51767"/>
    <w:rsid w:val="00C557F4"/>
    <w:rsid w:val="00C57768"/>
    <w:rsid w:val="00C6004D"/>
    <w:rsid w:val="00C6113B"/>
    <w:rsid w:val="00C61717"/>
    <w:rsid w:val="00C64461"/>
    <w:rsid w:val="00C743B6"/>
    <w:rsid w:val="00C748AF"/>
    <w:rsid w:val="00C80F95"/>
    <w:rsid w:val="00C8446F"/>
    <w:rsid w:val="00C860B9"/>
    <w:rsid w:val="00C8752A"/>
    <w:rsid w:val="00C902B9"/>
    <w:rsid w:val="00C93027"/>
    <w:rsid w:val="00C97752"/>
    <w:rsid w:val="00C97FC1"/>
    <w:rsid w:val="00CA2217"/>
    <w:rsid w:val="00CA5C77"/>
    <w:rsid w:val="00CB0454"/>
    <w:rsid w:val="00CB4918"/>
    <w:rsid w:val="00CB4F35"/>
    <w:rsid w:val="00CB61A9"/>
    <w:rsid w:val="00CC19BF"/>
    <w:rsid w:val="00CC35DD"/>
    <w:rsid w:val="00CD1A33"/>
    <w:rsid w:val="00CD2686"/>
    <w:rsid w:val="00CE1E66"/>
    <w:rsid w:val="00CE40A1"/>
    <w:rsid w:val="00CE563D"/>
    <w:rsid w:val="00CE62B4"/>
    <w:rsid w:val="00D00BA4"/>
    <w:rsid w:val="00D0260C"/>
    <w:rsid w:val="00D123B5"/>
    <w:rsid w:val="00D16EBC"/>
    <w:rsid w:val="00D20FEB"/>
    <w:rsid w:val="00D23E62"/>
    <w:rsid w:val="00D25531"/>
    <w:rsid w:val="00D25B5D"/>
    <w:rsid w:val="00D2671C"/>
    <w:rsid w:val="00D32E4F"/>
    <w:rsid w:val="00D34D3F"/>
    <w:rsid w:val="00D36E6A"/>
    <w:rsid w:val="00D40066"/>
    <w:rsid w:val="00D405A6"/>
    <w:rsid w:val="00D4199F"/>
    <w:rsid w:val="00D46BF3"/>
    <w:rsid w:val="00D47147"/>
    <w:rsid w:val="00D510C1"/>
    <w:rsid w:val="00D52774"/>
    <w:rsid w:val="00D57B20"/>
    <w:rsid w:val="00D6569C"/>
    <w:rsid w:val="00D66183"/>
    <w:rsid w:val="00D66336"/>
    <w:rsid w:val="00D67FCB"/>
    <w:rsid w:val="00D72811"/>
    <w:rsid w:val="00D7511D"/>
    <w:rsid w:val="00D75D85"/>
    <w:rsid w:val="00D76C8C"/>
    <w:rsid w:val="00D80254"/>
    <w:rsid w:val="00D82965"/>
    <w:rsid w:val="00D834D2"/>
    <w:rsid w:val="00D9544D"/>
    <w:rsid w:val="00DA0C2B"/>
    <w:rsid w:val="00DA199F"/>
    <w:rsid w:val="00DA3C1C"/>
    <w:rsid w:val="00DA5A1B"/>
    <w:rsid w:val="00DA6E2B"/>
    <w:rsid w:val="00DA6FA0"/>
    <w:rsid w:val="00DB157D"/>
    <w:rsid w:val="00DB1DDC"/>
    <w:rsid w:val="00DB2BEB"/>
    <w:rsid w:val="00DB441D"/>
    <w:rsid w:val="00DB6703"/>
    <w:rsid w:val="00DB71F9"/>
    <w:rsid w:val="00DB790B"/>
    <w:rsid w:val="00DB7AB1"/>
    <w:rsid w:val="00DC03D8"/>
    <w:rsid w:val="00DC12BB"/>
    <w:rsid w:val="00DC33C6"/>
    <w:rsid w:val="00DC4485"/>
    <w:rsid w:val="00DC6B26"/>
    <w:rsid w:val="00DC73AF"/>
    <w:rsid w:val="00DC7C6E"/>
    <w:rsid w:val="00DD06C6"/>
    <w:rsid w:val="00DD2F25"/>
    <w:rsid w:val="00DD42B1"/>
    <w:rsid w:val="00DD688C"/>
    <w:rsid w:val="00DE022E"/>
    <w:rsid w:val="00DE2DFB"/>
    <w:rsid w:val="00DE40C0"/>
    <w:rsid w:val="00DE4C9E"/>
    <w:rsid w:val="00DE614A"/>
    <w:rsid w:val="00DF1383"/>
    <w:rsid w:val="00DF189E"/>
    <w:rsid w:val="00DF26CB"/>
    <w:rsid w:val="00DF4172"/>
    <w:rsid w:val="00DF4FA5"/>
    <w:rsid w:val="00DF60FB"/>
    <w:rsid w:val="00E00362"/>
    <w:rsid w:val="00E011B9"/>
    <w:rsid w:val="00E013B7"/>
    <w:rsid w:val="00E017BB"/>
    <w:rsid w:val="00E11818"/>
    <w:rsid w:val="00E1263C"/>
    <w:rsid w:val="00E15E4C"/>
    <w:rsid w:val="00E20436"/>
    <w:rsid w:val="00E227A1"/>
    <w:rsid w:val="00E27128"/>
    <w:rsid w:val="00E33288"/>
    <w:rsid w:val="00E354A2"/>
    <w:rsid w:val="00E36DAC"/>
    <w:rsid w:val="00E41145"/>
    <w:rsid w:val="00E41609"/>
    <w:rsid w:val="00E417A6"/>
    <w:rsid w:val="00E44073"/>
    <w:rsid w:val="00E514E5"/>
    <w:rsid w:val="00E54B96"/>
    <w:rsid w:val="00E65A1C"/>
    <w:rsid w:val="00E6704B"/>
    <w:rsid w:val="00E74580"/>
    <w:rsid w:val="00E7463C"/>
    <w:rsid w:val="00E7536C"/>
    <w:rsid w:val="00E75435"/>
    <w:rsid w:val="00E75EAD"/>
    <w:rsid w:val="00E75EFD"/>
    <w:rsid w:val="00E805A5"/>
    <w:rsid w:val="00E809C9"/>
    <w:rsid w:val="00E80BC5"/>
    <w:rsid w:val="00E83150"/>
    <w:rsid w:val="00E9102C"/>
    <w:rsid w:val="00E97328"/>
    <w:rsid w:val="00E973F1"/>
    <w:rsid w:val="00EA0AB9"/>
    <w:rsid w:val="00EA6573"/>
    <w:rsid w:val="00EB1498"/>
    <w:rsid w:val="00EB6FA1"/>
    <w:rsid w:val="00EC0585"/>
    <w:rsid w:val="00EC5E32"/>
    <w:rsid w:val="00EC6938"/>
    <w:rsid w:val="00ED11DC"/>
    <w:rsid w:val="00ED4876"/>
    <w:rsid w:val="00ED56E0"/>
    <w:rsid w:val="00ED6A15"/>
    <w:rsid w:val="00ED78C5"/>
    <w:rsid w:val="00EE06FA"/>
    <w:rsid w:val="00EE1F2A"/>
    <w:rsid w:val="00EE4537"/>
    <w:rsid w:val="00EF2FC2"/>
    <w:rsid w:val="00EF439A"/>
    <w:rsid w:val="00EF4C16"/>
    <w:rsid w:val="00EF5394"/>
    <w:rsid w:val="00EF65EB"/>
    <w:rsid w:val="00F0120E"/>
    <w:rsid w:val="00F043FA"/>
    <w:rsid w:val="00F128BF"/>
    <w:rsid w:val="00F173B4"/>
    <w:rsid w:val="00F22045"/>
    <w:rsid w:val="00F31635"/>
    <w:rsid w:val="00F33AEE"/>
    <w:rsid w:val="00F33CB1"/>
    <w:rsid w:val="00F35641"/>
    <w:rsid w:val="00F37918"/>
    <w:rsid w:val="00F423E0"/>
    <w:rsid w:val="00F42EAB"/>
    <w:rsid w:val="00F4413A"/>
    <w:rsid w:val="00F504D0"/>
    <w:rsid w:val="00F52C49"/>
    <w:rsid w:val="00F56FF1"/>
    <w:rsid w:val="00F636CD"/>
    <w:rsid w:val="00F64652"/>
    <w:rsid w:val="00F71408"/>
    <w:rsid w:val="00F75F91"/>
    <w:rsid w:val="00F8417B"/>
    <w:rsid w:val="00F84A57"/>
    <w:rsid w:val="00F851AC"/>
    <w:rsid w:val="00F85916"/>
    <w:rsid w:val="00F8698D"/>
    <w:rsid w:val="00F86A17"/>
    <w:rsid w:val="00F90B74"/>
    <w:rsid w:val="00F91B23"/>
    <w:rsid w:val="00F95CFD"/>
    <w:rsid w:val="00F95F11"/>
    <w:rsid w:val="00FA0424"/>
    <w:rsid w:val="00FA11E2"/>
    <w:rsid w:val="00FA288C"/>
    <w:rsid w:val="00FB1BEB"/>
    <w:rsid w:val="00FC134D"/>
    <w:rsid w:val="00FC407F"/>
    <w:rsid w:val="00FC4D57"/>
    <w:rsid w:val="00FC5F4D"/>
    <w:rsid w:val="00FD2DFF"/>
    <w:rsid w:val="00FD541F"/>
    <w:rsid w:val="00FD5660"/>
    <w:rsid w:val="00FD58F1"/>
    <w:rsid w:val="00FD6D9B"/>
    <w:rsid w:val="00FD7844"/>
    <w:rsid w:val="00FE09F8"/>
    <w:rsid w:val="00FE3212"/>
    <w:rsid w:val="00FF1E9F"/>
    <w:rsid w:val="00FF2BA3"/>
    <w:rsid w:val="00FF34CA"/>
    <w:rsid w:val="00FF4DE1"/>
    <w:rsid w:val="00FF6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Simple 1"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style>
  <w:style w:type="paragraph" w:styleId="Heading1">
    <w:name w:val="heading 1"/>
    <w:aliases w:val="H1-Sec.Head"/>
    <w:basedOn w:val="Normal"/>
    <w:next w:val="P1-StandPara"/>
    <w:link w:val="Heading1Char"/>
    <w:uiPriority w:val="99"/>
    <w:qFormat/>
    <w:rsid w:val="000962BB"/>
    <w:pPr>
      <w:keepNext/>
      <w:tabs>
        <w:tab w:val="left" w:pos="1152"/>
      </w:tabs>
      <w:spacing w:after="360" w:line="360" w:lineRule="atLeast"/>
      <w:ind w:left="1152" w:hanging="1152"/>
      <w:outlineLvl w:val="0"/>
    </w:pPr>
    <w:rPr>
      <w:b/>
      <w:bCs/>
    </w:rPr>
  </w:style>
  <w:style w:type="paragraph" w:styleId="Heading2">
    <w:name w:val="heading 2"/>
    <w:aliases w:val="H2-Sec. Head"/>
    <w:basedOn w:val="Normal"/>
    <w:next w:val="P1-StandPara"/>
    <w:link w:val="Heading2Char"/>
    <w:uiPriority w:val="99"/>
    <w:qFormat/>
    <w:rsid w:val="000962BB"/>
    <w:pPr>
      <w:keepNext/>
      <w:tabs>
        <w:tab w:val="left" w:pos="1152"/>
      </w:tabs>
      <w:spacing w:after="360" w:line="360" w:lineRule="atLeast"/>
      <w:ind w:left="432" w:hanging="432"/>
      <w:outlineLvl w:val="1"/>
    </w:pPr>
    <w:rPr>
      <w:b/>
      <w:bCs/>
    </w:rPr>
  </w:style>
  <w:style w:type="paragraph" w:styleId="Heading4">
    <w:name w:val="heading 4"/>
    <w:basedOn w:val="Normal"/>
    <w:next w:val="Normal"/>
    <w:link w:val="Heading4Char"/>
    <w:semiHidden/>
    <w:unhideWhenUsed/>
    <w:qFormat/>
    <w:locked/>
    <w:rsid w:val="0025341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0F2412"/>
    <w:pPr>
      <w:spacing w:before="240" w:after="60"/>
      <w:outlineLvl w:val="5"/>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B11BB"/>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5B11BB"/>
    <w:rPr>
      <w:rFonts w:asciiTheme="majorHAnsi" w:eastAsiaTheme="majorEastAsia" w:hAnsiTheme="majorHAnsi" w:cstheme="majorBidi"/>
      <w:b/>
      <w:bCs/>
      <w:i/>
      <w:iCs/>
      <w:sz w:val="28"/>
      <w:szCs w:val="28"/>
    </w:rPr>
  </w:style>
  <w:style w:type="character" w:customStyle="1" w:styleId="Heading6Char">
    <w:name w:val="Heading 6 Char"/>
    <w:basedOn w:val="DefaultParagraphFont"/>
    <w:link w:val="Heading6"/>
    <w:uiPriority w:val="99"/>
    <w:semiHidden/>
    <w:locked/>
    <w:rsid w:val="000F2412"/>
    <w:rPr>
      <w:rFonts w:ascii="Calibri" w:hAnsi="Calibri" w:cs="Calibri"/>
      <w:b/>
      <w:bCs/>
      <w:sz w:val="22"/>
      <w:szCs w:val="22"/>
    </w:rPr>
  </w:style>
  <w:style w:type="paragraph" w:customStyle="1" w:styleId="P1-StandPara">
    <w:name w:val="P1-Stand Para"/>
    <w:link w:val="P1-StandParaChar"/>
    <w:uiPriority w:val="99"/>
    <w:rsid w:val="000962BB"/>
    <w:pPr>
      <w:spacing w:line="480" w:lineRule="auto"/>
      <w:ind w:firstLine="720"/>
    </w:pPr>
  </w:style>
  <w:style w:type="paragraph" w:styleId="TOC1">
    <w:name w:val="toc 1"/>
    <w:basedOn w:val="Normal"/>
    <w:autoRedefine/>
    <w:uiPriority w:val="99"/>
    <w:semiHidden/>
    <w:rsid w:val="000962BB"/>
    <w:pPr>
      <w:tabs>
        <w:tab w:val="left" w:pos="720"/>
        <w:tab w:val="right" w:leader="dot" w:pos="9494"/>
      </w:tabs>
      <w:spacing w:before="120" w:after="120" w:line="480" w:lineRule="auto"/>
      <w:jc w:val="center"/>
    </w:pPr>
    <w:rPr>
      <w:b/>
      <w:bCs/>
      <w:caps/>
      <w:noProof/>
      <w:sz w:val="24"/>
      <w:szCs w:val="24"/>
    </w:rPr>
  </w:style>
  <w:style w:type="paragraph" w:styleId="TOC2">
    <w:name w:val="toc 2"/>
    <w:basedOn w:val="Normal"/>
    <w:autoRedefine/>
    <w:uiPriority w:val="99"/>
    <w:semiHidden/>
    <w:rsid w:val="007106AD"/>
    <w:pPr>
      <w:tabs>
        <w:tab w:val="left" w:pos="720"/>
        <w:tab w:val="right" w:leader="dot" w:pos="9494"/>
      </w:tabs>
      <w:spacing w:beforeLines="120" w:afterLines="120"/>
      <w:jc w:val="left"/>
    </w:pPr>
    <w:rPr>
      <w:smallCaps/>
      <w:sz w:val="24"/>
      <w:szCs w:val="24"/>
    </w:rPr>
  </w:style>
  <w:style w:type="paragraph" w:styleId="BodyText">
    <w:name w:val="Body Text"/>
    <w:basedOn w:val="Normal"/>
    <w:link w:val="BodyTextChar"/>
    <w:uiPriority w:val="99"/>
    <w:rsid w:val="000962BB"/>
    <w:pPr>
      <w:spacing w:after="120"/>
    </w:pPr>
  </w:style>
  <w:style w:type="character" w:customStyle="1" w:styleId="BodyTextChar">
    <w:name w:val="Body Text Char"/>
    <w:basedOn w:val="DefaultParagraphFont"/>
    <w:link w:val="BodyText"/>
    <w:uiPriority w:val="99"/>
    <w:semiHidden/>
    <w:rsid w:val="005B11BB"/>
  </w:style>
  <w:style w:type="paragraph" w:styleId="Footer">
    <w:name w:val="footer"/>
    <w:basedOn w:val="Normal"/>
    <w:link w:val="FooterChar"/>
    <w:uiPriority w:val="99"/>
    <w:rsid w:val="00E41609"/>
    <w:pPr>
      <w:tabs>
        <w:tab w:val="center" w:pos="4320"/>
        <w:tab w:val="right" w:pos="8640"/>
      </w:tabs>
    </w:pPr>
  </w:style>
  <w:style w:type="character" w:customStyle="1" w:styleId="FooterChar">
    <w:name w:val="Footer Char"/>
    <w:basedOn w:val="DefaultParagraphFont"/>
    <w:link w:val="Footer"/>
    <w:uiPriority w:val="99"/>
    <w:rsid w:val="005B11BB"/>
  </w:style>
  <w:style w:type="character" w:styleId="PageNumber">
    <w:name w:val="page number"/>
    <w:basedOn w:val="DefaultParagraphFont"/>
    <w:uiPriority w:val="99"/>
    <w:rsid w:val="00E41609"/>
  </w:style>
  <w:style w:type="paragraph" w:styleId="Header">
    <w:name w:val="header"/>
    <w:basedOn w:val="Normal"/>
    <w:link w:val="HeaderChar"/>
    <w:rsid w:val="00A35B8F"/>
    <w:pPr>
      <w:tabs>
        <w:tab w:val="center" w:pos="4320"/>
        <w:tab w:val="right" w:pos="8640"/>
      </w:tabs>
    </w:pPr>
  </w:style>
  <w:style w:type="character" w:customStyle="1" w:styleId="HeaderChar">
    <w:name w:val="Header Char"/>
    <w:basedOn w:val="DefaultParagraphFont"/>
    <w:link w:val="Header"/>
    <w:rsid w:val="005B11BB"/>
  </w:style>
  <w:style w:type="character" w:styleId="Hyperlink">
    <w:name w:val="Hyperlink"/>
    <w:basedOn w:val="DefaultParagraphFont"/>
    <w:uiPriority w:val="99"/>
    <w:rsid w:val="00A35B8F"/>
    <w:rPr>
      <w:color w:val="0000FF"/>
      <w:u w:val="single"/>
    </w:rPr>
  </w:style>
  <w:style w:type="paragraph" w:styleId="BodyTextIndent3">
    <w:name w:val="Body Text Indent 3"/>
    <w:basedOn w:val="Normal"/>
    <w:link w:val="BodyTextIndent3Char"/>
    <w:uiPriority w:val="99"/>
    <w:rsid w:val="00AF34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B11BB"/>
    <w:rPr>
      <w:sz w:val="16"/>
      <w:szCs w:val="16"/>
    </w:rPr>
  </w:style>
  <w:style w:type="paragraph" w:styleId="BodyTextIndent2">
    <w:name w:val="Body Text Indent 2"/>
    <w:basedOn w:val="Normal"/>
    <w:link w:val="BodyTextIndent2Char"/>
    <w:uiPriority w:val="99"/>
    <w:rsid w:val="00196E71"/>
    <w:pPr>
      <w:spacing w:after="120" w:line="480" w:lineRule="auto"/>
      <w:ind w:left="360"/>
    </w:pPr>
  </w:style>
  <w:style w:type="character" w:customStyle="1" w:styleId="BodyTextIndent2Char">
    <w:name w:val="Body Text Indent 2 Char"/>
    <w:basedOn w:val="DefaultParagraphFont"/>
    <w:link w:val="BodyTextIndent2"/>
    <w:uiPriority w:val="99"/>
    <w:semiHidden/>
    <w:rsid w:val="005B11BB"/>
  </w:style>
  <w:style w:type="paragraph" w:styleId="BodyTextIndent">
    <w:name w:val="Body Text Indent"/>
    <w:basedOn w:val="Normal"/>
    <w:link w:val="BodyTextIndentChar"/>
    <w:uiPriority w:val="99"/>
    <w:rsid w:val="008C0217"/>
    <w:pPr>
      <w:spacing w:after="120"/>
      <w:ind w:left="360"/>
    </w:pPr>
  </w:style>
  <w:style w:type="character" w:customStyle="1" w:styleId="BodyTextIndentChar">
    <w:name w:val="Body Text Indent Char"/>
    <w:basedOn w:val="DefaultParagraphFont"/>
    <w:link w:val="BodyTextIndent"/>
    <w:uiPriority w:val="99"/>
    <w:semiHidden/>
    <w:rsid w:val="005B11BB"/>
  </w:style>
  <w:style w:type="paragraph" w:customStyle="1" w:styleId="L1-FlLSp12">
    <w:name w:val="L1-FlL Sp&amp;1/2"/>
    <w:basedOn w:val="Normal"/>
    <w:link w:val="L1-FlLSp12Char"/>
    <w:uiPriority w:val="99"/>
    <w:rsid w:val="009B441C"/>
    <w:pPr>
      <w:tabs>
        <w:tab w:val="left" w:pos="1152"/>
      </w:tabs>
      <w:jc w:val="left"/>
    </w:pPr>
    <w:rPr>
      <w:rFonts w:ascii="Garamond" w:hAnsi="Garamond" w:cs="Garamond"/>
      <w:sz w:val="24"/>
      <w:szCs w:val="24"/>
    </w:rPr>
  </w:style>
  <w:style w:type="character" w:customStyle="1" w:styleId="L1-FlLSp12Char">
    <w:name w:val="L1-FlL Sp&amp;1/2 Char"/>
    <w:basedOn w:val="DefaultParagraphFont"/>
    <w:link w:val="L1-FlLSp12"/>
    <w:uiPriority w:val="99"/>
    <w:locked/>
    <w:rsid w:val="009B441C"/>
    <w:rPr>
      <w:rFonts w:ascii="Garamond" w:hAnsi="Garamond" w:cs="Garamond"/>
      <w:sz w:val="24"/>
      <w:szCs w:val="24"/>
    </w:rPr>
  </w:style>
  <w:style w:type="character" w:styleId="CommentReference">
    <w:name w:val="annotation reference"/>
    <w:basedOn w:val="DefaultParagraphFont"/>
    <w:uiPriority w:val="99"/>
    <w:semiHidden/>
    <w:rsid w:val="005A1CFD"/>
    <w:rPr>
      <w:sz w:val="16"/>
      <w:szCs w:val="16"/>
    </w:rPr>
  </w:style>
  <w:style w:type="paragraph" w:styleId="CommentText">
    <w:name w:val="annotation text"/>
    <w:basedOn w:val="Normal"/>
    <w:link w:val="CommentTextChar"/>
    <w:uiPriority w:val="99"/>
    <w:semiHidden/>
    <w:rsid w:val="005A1CFD"/>
    <w:rPr>
      <w:sz w:val="20"/>
      <w:szCs w:val="20"/>
    </w:rPr>
  </w:style>
  <w:style w:type="character" w:customStyle="1" w:styleId="CommentTextChar">
    <w:name w:val="Comment Text Char"/>
    <w:basedOn w:val="DefaultParagraphFont"/>
    <w:link w:val="CommentText"/>
    <w:uiPriority w:val="99"/>
    <w:semiHidden/>
    <w:locked/>
    <w:rsid w:val="005A1CFD"/>
  </w:style>
  <w:style w:type="paragraph" w:styleId="CommentSubject">
    <w:name w:val="annotation subject"/>
    <w:basedOn w:val="CommentText"/>
    <w:next w:val="CommentText"/>
    <w:link w:val="CommentSubjectChar"/>
    <w:uiPriority w:val="99"/>
    <w:semiHidden/>
    <w:rsid w:val="005A1CFD"/>
    <w:rPr>
      <w:b/>
      <w:bCs/>
    </w:rPr>
  </w:style>
  <w:style w:type="character" w:customStyle="1" w:styleId="CommentSubjectChar">
    <w:name w:val="Comment Subject Char"/>
    <w:basedOn w:val="CommentTextChar"/>
    <w:link w:val="CommentSubject"/>
    <w:uiPriority w:val="99"/>
    <w:semiHidden/>
    <w:locked/>
    <w:rsid w:val="005A1CFD"/>
    <w:rPr>
      <w:b/>
      <w:bCs/>
    </w:rPr>
  </w:style>
  <w:style w:type="paragraph" w:styleId="BalloonText">
    <w:name w:val="Balloon Text"/>
    <w:basedOn w:val="Normal"/>
    <w:link w:val="BalloonTextChar"/>
    <w:uiPriority w:val="99"/>
    <w:semiHidden/>
    <w:rsid w:val="005A1C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1CFD"/>
    <w:rPr>
      <w:rFonts w:ascii="Tahoma" w:hAnsi="Tahoma" w:cs="Tahoma"/>
      <w:sz w:val="16"/>
      <w:szCs w:val="16"/>
    </w:rPr>
  </w:style>
  <w:style w:type="paragraph" w:styleId="FootnoteText">
    <w:name w:val="footnote text"/>
    <w:aliases w:val="F1"/>
    <w:basedOn w:val="Normal"/>
    <w:link w:val="FootnoteTextChar"/>
    <w:uiPriority w:val="99"/>
    <w:semiHidden/>
    <w:rsid w:val="005A1CFD"/>
    <w:pPr>
      <w:tabs>
        <w:tab w:val="left" w:pos="120"/>
      </w:tabs>
      <w:spacing w:before="120" w:line="200" w:lineRule="atLeast"/>
      <w:ind w:left="115" w:hanging="115"/>
      <w:jc w:val="left"/>
    </w:pPr>
    <w:rPr>
      <w:rFonts w:ascii="Garamond" w:hAnsi="Garamond" w:cs="Garamond"/>
      <w:sz w:val="16"/>
      <w:szCs w:val="16"/>
    </w:rPr>
  </w:style>
  <w:style w:type="character" w:customStyle="1" w:styleId="FootnoteTextChar">
    <w:name w:val="Footnote Text Char"/>
    <w:aliases w:val="F1 Char"/>
    <w:basedOn w:val="DefaultParagraphFont"/>
    <w:link w:val="FootnoteText"/>
    <w:uiPriority w:val="99"/>
    <w:semiHidden/>
    <w:locked/>
    <w:rsid w:val="005A1CFD"/>
    <w:rPr>
      <w:rFonts w:ascii="Garamond" w:hAnsi="Garamond" w:cs="Garamond"/>
      <w:sz w:val="16"/>
      <w:szCs w:val="16"/>
      <w:lang w:val="en-US" w:eastAsia="en-US"/>
    </w:rPr>
  </w:style>
  <w:style w:type="character" w:styleId="FootnoteReference">
    <w:name w:val="footnote reference"/>
    <w:basedOn w:val="DefaultParagraphFont"/>
    <w:uiPriority w:val="99"/>
    <w:semiHidden/>
    <w:rsid w:val="005A1CFD"/>
    <w:rPr>
      <w:vertAlign w:val="superscript"/>
    </w:rPr>
  </w:style>
  <w:style w:type="paragraph" w:customStyle="1" w:styleId="N1-1stBullet">
    <w:name w:val="N1-1st Bullet"/>
    <w:basedOn w:val="Normal"/>
    <w:uiPriority w:val="99"/>
    <w:rsid w:val="00620791"/>
    <w:pPr>
      <w:numPr>
        <w:numId w:val="9"/>
      </w:numPr>
      <w:spacing w:after="240"/>
      <w:jc w:val="left"/>
    </w:pPr>
    <w:rPr>
      <w:rFonts w:ascii="Garamond" w:hAnsi="Garamond" w:cs="Garamond"/>
      <w:sz w:val="24"/>
      <w:szCs w:val="24"/>
    </w:rPr>
  </w:style>
  <w:style w:type="paragraph" w:customStyle="1" w:styleId="C1-CtrBoldHd">
    <w:name w:val="C1-Ctr BoldHd"/>
    <w:uiPriority w:val="99"/>
    <w:rsid w:val="00CD1A33"/>
    <w:pPr>
      <w:keepNext/>
      <w:spacing w:after="720" w:line="240" w:lineRule="atLeast"/>
      <w:jc w:val="center"/>
    </w:pPr>
    <w:rPr>
      <w:rFonts w:ascii="Franklin Gothic Medium" w:hAnsi="Franklin Gothic Medium" w:cs="Franklin Gothic Medium"/>
      <w:b/>
      <w:bCs/>
      <w:color w:val="324162"/>
      <w:sz w:val="28"/>
      <w:szCs w:val="28"/>
    </w:rPr>
  </w:style>
  <w:style w:type="character" w:styleId="Strong">
    <w:name w:val="Strong"/>
    <w:basedOn w:val="DefaultParagraphFont"/>
    <w:uiPriority w:val="99"/>
    <w:qFormat/>
    <w:rsid w:val="000F2412"/>
    <w:rPr>
      <w:b/>
      <w:bCs/>
    </w:rPr>
  </w:style>
  <w:style w:type="character" w:customStyle="1" w:styleId="P1-StandParaChar">
    <w:name w:val="P1-Stand Para Char"/>
    <w:basedOn w:val="DefaultParagraphFont"/>
    <w:link w:val="P1-StandPara"/>
    <w:uiPriority w:val="99"/>
    <w:locked/>
    <w:rsid w:val="000F2412"/>
    <w:rPr>
      <w:sz w:val="22"/>
      <w:szCs w:val="22"/>
      <w:lang w:val="en-US" w:eastAsia="en-US"/>
    </w:rPr>
  </w:style>
  <w:style w:type="paragraph" w:styleId="PlainText">
    <w:name w:val="Plain Text"/>
    <w:basedOn w:val="Normal"/>
    <w:link w:val="PlainTextChar"/>
    <w:uiPriority w:val="99"/>
    <w:rsid w:val="000F2412"/>
    <w:pPr>
      <w:spacing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locked/>
    <w:rsid w:val="000F2412"/>
    <w:rPr>
      <w:rFonts w:ascii="Consolas" w:eastAsia="Times New Roman" w:hAnsi="Consolas" w:cs="Consolas"/>
      <w:sz w:val="21"/>
      <w:szCs w:val="21"/>
    </w:rPr>
  </w:style>
  <w:style w:type="paragraph" w:customStyle="1" w:styleId="Default">
    <w:name w:val="Default"/>
    <w:uiPriority w:val="99"/>
    <w:rsid w:val="00C04707"/>
    <w:pPr>
      <w:autoSpaceDE w:val="0"/>
      <w:autoSpaceDN w:val="0"/>
      <w:adjustRightInd w:val="0"/>
    </w:pPr>
    <w:rPr>
      <w:color w:val="000000"/>
      <w:sz w:val="24"/>
      <w:szCs w:val="24"/>
    </w:rPr>
  </w:style>
  <w:style w:type="paragraph" w:customStyle="1" w:styleId="TH-TableHeading">
    <w:name w:val="TH-Table Heading"/>
    <w:basedOn w:val="Heading1"/>
    <w:uiPriority w:val="99"/>
    <w:rsid w:val="00FA11E2"/>
    <w:pPr>
      <w:tabs>
        <w:tab w:val="clear" w:pos="1152"/>
      </w:tabs>
      <w:spacing w:after="0" w:line="240" w:lineRule="atLeast"/>
      <w:ind w:left="0" w:firstLine="0"/>
      <w:jc w:val="center"/>
    </w:pPr>
    <w:rPr>
      <w:rFonts w:ascii="Franklin Gothic Medium" w:hAnsi="Franklin Gothic Medium" w:cs="Franklin Gothic Medium"/>
      <w:sz w:val="20"/>
      <w:szCs w:val="20"/>
    </w:rPr>
  </w:style>
  <w:style w:type="paragraph" w:customStyle="1" w:styleId="TX-TableText">
    <w:name w:val="TX-Table Text"/>
    <w:basedOn w:val="Normal"/>
    <w:uiPriority w:val="99"/>
    <w:rsid w:val="00FA11E2"/>
    <w:pPr>
      <w:jc w:val="left"/>
    </w:pPr>
    <w:rPr>
      <w:rFonts w:ascii="Franklin Gothic Medium" w:hAnsi="Franklin Gothic Medium" w:cs="Franklin Gothic Medium"/>
      <w:sz w:val="20"/>
      <w:szCs w:val="20"/>
    </w:rPr>
  </w:style>
  <w:style w:type="table" w:styleId="TableGrid">
    <w:name w:val="Table Grid"/>
    <w:basedOn w:val="TableNormal"/>
    <w:uiPriority w:val="99"/>
    <w:rsid w:val="00FA11E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7106AD"/>
    <w:pPr>
      <w:spacing w:line="240" w:lineRule="auto"/>
      <w:ind w:left="720"/>
      <w:jc w:val="center"/>
    </w:pPr>
    <w:rPr>
      <w:b/>
      <w:bCs/>
      <w:sz w:val="24"/>
      <w:szCs w:val="24"/>
      <w:lang w:val="en-CA"/>
    </w:rPr>
  </w:style>
  <w:style w:type="character" w:customStyle="1" w:styleId="TitleChar">
    <w:name w:val="Title Char"/>
    <w:basedOn w:val="DefaultParagraphFont"/>
    <w:link w:val="Title"/>
    <w:uiPriority w:val="99"/>
    <w:locked/>
    <w:rsid w:val="007106AD"/>
    <w:rPr>
      <w:b/>
      <w:bCs/>
      <w:sz w:val="24"/>
      <w:szCs w:val="24"/>
      <w:lang w:val="en-CA"/>
    </w:rPr>
  </w:style>
  <w:style w:type="table" w:styleId="TableSimple1">
    <w:name w:val="Table Simple 1"/>
    <w:basedOn w:val="TableNormal"/>
    <w:uiPriority w:val="99"/>
    <w:rsid w:val="00163567"/>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4Char">
    <w:name w:val="Heading 4 Char"/>
    <w:basedOn w:val="DefaultParagraphFont"/>
    <w:link w:val="Heading4"/>
    <w:uiPriority w:val="9"/>
    <w:semiHidden/>
    <w:rsid w:val="00253411"/>
    <w:rPr>
      <w:rFonts w:asciiTheme="majorHAnsi" w:eastAsiaTheme="majorEastAsia" w:hAnsiTheme="majorHAnsi" w:cstheme="majorBidi"/>
      <w:b/>
      <w:bCs/>
      <w:i/>
      <w:iCs/>
      <w:color w:val="4F81BD" w:themeColor="accent1"/>
    </w:rPr>
  </w:style>
  <w:style w:type="paragraph" w:styleId="TableofFigures">
    <w:name w:val="table of figures"/>
    <w:basedOn w:val="Normal"/>
    <w:next w:val="Normal"/>
    <w:uiPriority w:val="99"/>
    <w:rsid w:val="00253411"/>
    <w:pPr>
      <w:jc w:val="left"/>
    </w:pPr>
    <w:rPr>
      <w:sz w:val="24"/>
      <w:szCs w:val="24"/>
      <w:lang w:val="en-CA"/>
    </w:rPr>
  </w:style>
</w:styles>
</file>

<file path=word/webSettings.xml><?xml version="1.0" encoding="utf-8"?>
<w:webSettings xmlns:r="http://schemas.openxmlformats.org/officeDocument/2006/relationships" xmlns:w="http://schemas.openxmlformats.org/wordprocessingml/2006/main">
  <w:divs>
    <w:div w:id="1508901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kyik@mail.nih.gov" TargetMode="External"/><Relationship Id="rId3" Type="http://schemas.openxmlformats.org/officeDocument/2006/relationships/settings" Target="settings.xml"/><Relationship Id="rId7" Type="http://schemas.openxmlformats.org/officeDocument/2006/relationships/hyperlink" Target="mailto:bowleshr@mail.nih.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ct24demo.westat.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3311</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22350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Vivian Horovitch-Kelley</dc:creator>
  <cp:keywords/>
  <dc:description/>
  <cp:lastModifiedBy> Vivian Horovitch-Kelley</cp:lastModifiedBy>
  <cp:revision>7</cp:revision>
  <cp:lastPrinted>2011-01-31T21:42:00Z</cp:lastPrinted>
  <dcterms:created xsi:type="dcterms:W3CDTF">2011-04-28T19:24:00Z</dcterms:created>
  <dcterms:modified xsi:type="dcterms:W3CDTF">2011-05-06T18:11:00Z</dcterms:modified>
</cp:coreProperties>
</file>