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EB" w:rsidRPr="000258C5" w:rsidRDefault="004232EB" w:rsidP="000258C5">
      <w:pPr>
        <w:pStyle w:val="Heading1"/>
      </w:pPr>
      <w:r w:rsidRPr="00F8286B">
        <w:t>Appendix</w:t>
      </w:r>
      <w:r>
        <w:t xml:space="preserve"> B: Section 1103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NewCenturySchlbk-BoldItalic" w:hAnsi="NewCenturySchlbk-BoldItalic" w:cs="NewCenturySchlbk-BoldItalic"/>
          <w:b/>
          <w:bCs/>
          <w:i/>
          <w:iCs/>
          <w:color w:val="000000"/>
          <w:sz w:val="20"/>
          <w:szCs w:val="20"/>
        </w:rPr>
        <w:t>SEC. 1103. IMMEDIATE INFORMATION THAT ALLOWS CON</w:t>
      </w:r>
      <w:r>
        <w:rPr>
          <w:rFonts w:ascii="Times-Roman" w:hAnsi="Times-Roman" w:cs="Times-Roman"/>
          <w:color w:val="000000"/>
          <w:sz w:val="28"/>
          <w:szCs w:val="28"/>
        </w:rPr>
        <w:t>8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NewCenturySchlbk-BoldItalic" w:hAnsi="NewCenturySchlbk-BoldItalic" w:cs="NewCenturySchlbk-BoldItalic"/>
              <w:b/>
              <w:bCs/>
              <w:i/>
              <w:iCs/>
              <w:color w:val="000000"/>
              <w:sz w:val="20"/>
              <w:szCs w:val="20"/>
            </w:rPr>
            <w:t>SUMERS</w:t>
          </w:r>
        </w:smartTag>
      </w:smartTag>
      <w:r>
        <w:rPr>
          <w:rFonts w:ascii="NewCenturySchlbk-BoldItalic" w:hAnsi="NewCenturySchlbk-BoldItalic" w:cs="NewCenturySchlbk-BoldItalic"/>
          <w:b/>
          <w:bCs/>
          <w:i/>
          <w:iCs/>
          <w:color w:val="000000"/>
          <w:sz w:val="20"/>
          <w:szCs w:val="20"/>
        </w:rPr>
        <w:t xml:space="preserve"> TO IDENTIFY AFFORDABLE COV</w:t>
      </w:r>
      <w:r>
        <w:rPr>
          <w:rFonts w:ascii="Times-Roman" w:hAnsi="Times-Roman" w:cs="Times-Roman"/>
          <w:color w:val="000000"/>
          <w:sz w:val="28"/>
          <w:szCs w:val="28"/>
        </w:rPr>
        <w:t>9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NewCenturySchlbk-BoldItalic" w:hAnsi="NewCenturySchlbk-BoldItalic" w:cs="NewCenturySchlbk-BoldItalic"/>
          <w:b/>
          <w:bCs/>
          <w:i/>
          <w:iCs/>
          <w:color w:val="000000"/>
          <w:sz w:val="20"/>
          <w:szCs w:val="20"/>
        </w:rPr>
      </w:pPr>
      <w:r>
        <w:rPr>
          <w:rFonts w:ascii="NewCenturySchlbk-BoldItalic" w:hAnsi="NewCenturySchlbk-BoldItalic" w:cs="NewCenturySchlbk-BoldItalic"/>
          <w:b/>
          <w:bCs/>
          <w:i/>
          <w:iCs/>
          <w:color w:val="000000"/>
          <w:sz w:val="20"/>
          <w:szCs w:val="20"/>
        </w:rPr>
        <w:t>ERAGE OPTIONS.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10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(a) I</w:t>
      </w:r>
      <w:r>
        <w:rPr>
          <w:rFonts w:ascii="DeVinne-Italic" w:eastAsia="DeVinne-Italic" w:hAnsi="NewCenturySchlbk-BoldItalic" w:cs="DeVinne-Italic"/>
          <w:i/>
          <w:iCs/>
          <w:color w:val="000000"/>
        </w:rPr>
        <w:t xml:space="preserve">NTERNET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P</w:t>
      </w:r>
      <w:r>
        <w:rPr>
          <w:rFonts w:ascii="DeVinne-Italic" w:eastAsia="DeVinne-Italic" w:hAnsi="NewCenturySchlbk-BoldItalic" w:cs="DeVinne-Italic"/>
          <w:i/>
          <w:iCs/>
          <w:color w:val="000000"/>
        </w:rPr>
        <w:t xml:space="preserve">ORTAL TO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A</w:t>
      </w:r>
      <w:r>
        <w:rPr>
          <w:rFonts w:ascii="DeVinne-Italic" w:eastAsia="DeVinne-Italic" w:hAnsi="NewCenturySchlbk-BoldItalic" w:cs="DeVinne-Italic"/>
          <w:i/>
          <w:iCs/>
          <w:color w:val="000000"/>
        </w:rPr>
        <w:t xml:space="preserve">FFORDABLE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C</w:t>
      </w:r>
      <w:r>
        <w:rPr>
          <w:rFonts w:ascii="DeVinne-Italic" w:eastAsia="DeVinne-Italic" w:hAnsi="NewCenturySchlbk-BoldItalic" w:cs="DeVinne-Italic"/>
          <w:i/>
          <w:iCs/>
          <w:color w:val="000000"/>
        </w:rPr>
        <w:t>OVERAGE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11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O</w:t>
      </w:r>
      <w:r>
        <w:rPr>
          <w:rFonts w:ascii="DeVinne-Italic" w:eastAsia="DeVinne-Italic" w:hAnsi="NewCenturySchlbk-BoldItalic" w:cs="DeVinne-Italic"/>
          <w:i/>
          <w:iCs/>
          <w:color w:val="000000"/>
        </w:rPr>
        <w:t>PTIONS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.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—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12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(1) I</w:t>
      </w:r>
      <w:r>
        <w:rPr>
          <w:rFonts w:ascii="DeVinne-Italic" w:eastAsia="DeVinne-Italic" w:hAnsi="NewCenturySchlbk-BoldItalic" w:cs="DeVinne-Italic"/>
          <w:i/>
          <w:iCs/>
          <w:color w:val="000000"/>
        </w:rPr>
        <w:t>MMEDIATE ESTABLISHMENT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.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—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Not later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13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than July 1, 2010, the Secretary, in consultation with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14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the States, shall establish a mechanism, including an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15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Internet website, through which a resident of any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16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State may identify affordable health insurance cov</w:t>
      </w:r>
      <w:r>
        <w:rPr>
          <w:rFonts w:ascii="Times-Roman" w:hAnsi="Times-Roman" w:cs="Times-Roman"/>
          <w:color w:val="000000"/>
          <w:sz w:val="28"/>
          <w:szCs w:val="28"/>
        </w:rPr>
        <w:t>17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erage options in that State.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18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(2) C</w:t>
      </w:r>
      <w:r>
        <w:rPr>
          <w:rFonts w:ascii="DeVinne-Italic" w:eastAsia="DeVinne-Italic" w:hAnsi="NewCenturySchlbk-BoldItalic" w:cs="DeVinne-Italic"/>
          <w:i/>
          <w:iCs/>
          <w:color w:val="000000"/>
        </w:rPr>
        <w:t>ONNECTING TO AFFORDABLE COVERAGE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.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—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19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An Internet website established under paragraph (1)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20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shall, to the extent practicable, provide ways for resi</w:t>
      </w:r>
      <w:r>
        <w:rPr>
          <w:rFonts w:ascii="Times-Roman" w:hAnsi="Times-Roman" w:cs="Times-Roman"/>
          <w:color w:val="000000"/>
          <w:sz w:val="28"/>
          <w:szCs w:val="28"/>
        </w:rPr>
        <w:t>21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dents of any State to receive information on at least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22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the following coverage options: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23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(A) Health insurance coverage offered by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24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health insurance issuers, other than coverage that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FFFF"/>
          <w:sz w:val="10"/>
          <w:szCs w:val="10"/>
        </w:rPr>
      </w:pPr>
      <w:r>
        <w:rPr>
          <w:rFonts w:ascii="Helvetica" w:hAnsi="Helvetica" w:cs="Helvetica"/>
          <w:color w:val="FFFFFF"/>
          <w:sz w:val="13"/>
          <w:szCs w:val="13"/>
        </w:rPr>
        <w:t xml:space="preserve">VerDate Nov 24 2008 09:39 Dec 29, 2009 Jkt 089200 PO 00000 Frm 00058 Fmt 6652 Sfmt 6203 E:\SENENR\H3590.EAS H3590 </w:t>
      </w:r>
      <w:r>
        <w:rPr>
          <w:rFonts w:ascii="Helvetica" w:hAnsi="Helvetica" w:cs="Helvetica"/>
          <w:color w:val="FFFFFF"/>
          <w:sz w:val="10"/>
          <w:szCs w:val="10"/>
        </w:rPr>
        <w:t>wwoods2 on DSK1DXX6B1PROD with BILLS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>59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HR 3590 EAS/PP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provides reimbursement only for the treatment or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2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mitigation of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—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3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(i) a single disease or condition</w:t>
      </w:r>
      <w:r>
        <w:rPr>
          <w:rFonts w:ascii="DeVinne-Italic" w:eastAsia="DeVinne-Italic" w:hAnsi="NewCenturySchlbk-BoldItalic" w:cs="DeVinne-Italic" w:hint="eastAsia"/>
          <w:i/>
          <w:iCs/>
          <w:color w:val="000000"/>
          <w:sz w:val="28"/>
          <w:szCs w:val="28"/>
        </w:rPr>
        <w:t>;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 xml:space="preserve"> or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4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(ii) an unreasonably limited set of dis</w:t>
      </w:r>
      <w:r>
        <w:rPr>
          <w:rFonts w:ascii="Times-Roman" w:hAnsi="Times-Roman" w:cs="Times-Roman"/>
          <w:color w:val="000000"/>
          <w:sz w:val="28"/>
          <w:szCs w:val="28"/>
        </w:rPr>
        <w:t>5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eases or conditions (as determined by the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6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Secretary)</w:t>
      </w:r>
      <w:r>
        <w:rPr>
          <w:rFonts w:ascii="DeVinne-Italic" w:eastAsia="DeVinne-Italic" w:hAnsi="NewCenturySchlbk-BoldItalic" w:cs="DeVinne-Italic" w:hint="eastAsia"/>
          <w:i/>
          <w:iCs/>
          <w:color w:val="000000"/>
          <w:sz w:val="28"/>
          <w:szCs w:val="28"/>
        </w:rPr>
        <w:t>;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7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(B) Medicaid coverage under title XIX of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8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the Social Security Act.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9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(C) Coverage under title XXI of the Social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10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Security Act.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11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(D) A State health benefits high risk pool,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12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to the extent that such high risk pool is offered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13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in such State</w:t>
      </w:r>
      <w:r>
        <w:rPr>
          <w:rFonts w:ascii="DeVinne-Italic" w:eastAsia="DeVinne-Italic" w:hAnsi="NewCenturySchlbk-BoldItalic" w:cs="DeVinne-Italic" w:hint="eastAsia"/>
          <w:i/>
          <w:iCs/>
          <w:color w:val="000000"/>
          <w:sz w:val="28"/>
          <w:szCs w:val="28"/>
        </w:rPr>
        <w:t>;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 xml:space="preserve"> and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14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(E) Coverage under a high risk pool under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lastRenderedPageBreak/>
        <w:t xml:space="preserve">15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section 1101.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16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(b) E</w:t>
      </w:r>
      <w:r>
        <w:rPr>
          <w:rFonts w:ascii="DeVinne-Italic" w:eastAsia="DeVinne-Italic" w:hAnsi="NewCenturySchlbk-BoldItalic" w:cs="DeVinne-Italic"/>
          <w:i/>
          <w:iCs/>
          <w:color w:val="000000"/>
        </w:rPr>
        <w:t xml:space="preserve">NHANCING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C</w:t>
      </w:r>
      <w:r>
        <w:rPr>
          <w:rFonts w:ascii="DeVinne-Italic" w:eastAsia="DeVinne-Italic" w:hAnsi="NewCenturySchlbk-BoldItalic" w:cs="DeVinne-Italic"/>
          <w:i/>
          <w:iCs/>
          <w:color w:val="000000"/>
        </w:rPr>
        <w:t xml:space="preserve">OMPARATIVE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P</w:t>
      </w:r>
      <w:r>
        <w:rPr>
          <w:rFonts w:ascii="DeVinne-Italic" w:eastAsia="DeVinne-Italic" w:hAnsi="NewCenturySchlbk-BoldItalic" w:cs="DeVinne-Italic"/>
          <w:i/>
          <w:iCs/>
          <w:color w:val="000000"/>
        </w:rPr>
        <w:t xml:space="preserve">URCHASING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O</w:t>
      </w:r>
      <w:r>
        <w:rPr>
          <w:rFonts w:ascii="DeVinne-Italic" w:eastAsia="DeVinne-Italic" w:hAnsi="NewCenturySchlbk-BoldItalic" w:cs="DeVinne-Italic"/>
          <w:i/>
          <w:iCs/>
          <w:color w:val="000000"/>
        </w:rPr>
        <w:t>P</w:t>
      </w:r>
      <w:r>
        <w:rPr>
          <w:rFonts w:ascii="Times-Roman" w:hAnsi="Times-Roman" w:cs="Times-Roman"/>
          <w:color w:val="000000"/>
          <w:sz w:val="28"/>
          <w:szCs w:val="28"/>
        </w:rPr>
        <w:t>17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DeVinne-Italic" w:eastAsia="DeVinne-Italic" w:hAnsi="NewCenturySchlbk-BoldItalic" w:cs="DeVinne-Italic"/>
          <w:i/>
          <w:iCs/>
          <w:color w:val="000000"/>
        </w:rPr>
        <w:t>TIONS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.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—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18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(1) I</w:t>
      </w:r>
      <w:r>
        <w:rPr>
          <w:rFonts w:ascii="DeVinne-Italic" w:eastAsia="DeVinne-Italic" w:hAnsi="NewCenturySchlbk-BoldItalic" w:cs="DeVinne-Italic"/>
          <w:i/>
          <w:iCs/>
          <w:color w:val="000000"/>
        </w:rPr>
        <w:t>N GENERAL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.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—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Not later than 60 days after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19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the date of enactment of this Act, the Secretary shall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20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develop a standardized format to be used for the pres</w:t>
      </w:r>
      <w:r>
        <w:rPr>
          <w:rFonts w:ascii="Times-Roman" w:hAnsi="Times-Roman" w:cs="Times-Roman"/>
          <w:color w:val="000000"/>
          <w:sz w:val="28"/>
          <w:szCs w:val="28"/>
        </w:rPr>
        <w:t>21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entation of information relating to the coverage op</w:t>
      </w:r>
      <w:r>
        <w:rPr>
          <w:rFonts w:ascii="Times-Roman" w:hAnsi="Times-Roman" w:cs="Times-Roman"/>
          <w:color w:val="000000"/>
          <w:sz w:val="28"/>
          <w:szCs w:val="28"/>
        </w:rPr>
        <w:t>22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tions described in subsection (a)(2). Such format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23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shall, at a minimum, require the inclusion of infor</w:t>
      </w:r>
      <w:r>
        <w:rPr>
          <w:rFonts w:ascii="Times-Roman" w:hAnsi="Times-Roman" w:cs="Times-Roman"/>
          <w:color w:val="000000"/>
          <w:sz w:val="28"/>
          <w:szCs w:val="28"/>
        </w:rPr>
        <w:t>24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mation on the percentage of total premium revenue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25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expended on nonclinical costs (as reported under sec-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FFFF"/>
          <w:sz w:val="10"/>
          <w:szCs w:val="10"/>
        </w:rPr>
      </w:pPr>
      <w:r>
        <w:rPr>
          <w:rFonts w:ascii="Helvetica" w:hAnsi="Helvetica" w:cs="Helvetica"/>
          <w:color w:val="FFFFFF"/>
          <w:sz w:val="13"/>
          <w:szCs w:val="13"/>
        </w:rPr>
        <w:t xml:space="preserve">VerDate Nov 24 2008 09:39 Dec 29, 2009 Jkt 089200 PO 00000 Frm 00059 Fmt 6652 Sfmt 6203 E:\SENENR\H3590.EAS H3590 </w:t>
      </w:r>
      <w:r>
        <w:rPr>
          <w:rFonts w:ascii="Helvetica" w:hAnsi="Helvetica" w:cs="Helvetica"/>
          <w:color w:val="FFFFFF"/>
          <w:sz w:val="10"/>
          <w:szCs w:val="10"/>
        </w:rPr>
        <w:t>wwoods2 on DSK1DXX6B1PROD with BILLS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>60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HR 3590 EAS/PP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tion 2718(a) of the Public Health Service Act), eligi</w:t>
      </w:r>
      <w:r>
        <w:rPr>
          <w:rFonts w:ascii="Times-Roman" w:hAnsi="Times-Roman" w:cs="Times-Roman"/>
          <w:color w:val="000000"/>
          <w:sz w:val="28"/>
          <w:szCs w:val="28"/>
        </w:rPr>
        <w:t>2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bility, availability, premium rates, and cost sharing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3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with respect to such coverage options and be con</w:t>
      </w:r>
      <w:r>
        <w:rPr>
          <w:rFonts w:ascii="Times-Roman" w:hAnsi="Times-Roman" w:cs="Times-Roman"/>
          <w:color w:val="000000"/>
          <w:sz w:val="28"/>
          <w:szCs w:val="28"/>
        </w:rPr>
        <w:t>4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sistent with the standards adopted for the uniform ex</w:t>
      </w:r>
      <w:r>
        <w:rPr>
          <w:rFonts w:ascii="Times-Roman" w:hAnsi="Times-Roman" w:cs="Times-Roman"/>
          <w:color w:val="000000"/>
          <w:sz w:val="28"/>
          <w:szCs w:val="28"/>
        </w:rPr>
        <w:t>5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planation of coverage as provided for in section 2715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6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of the Public Health Service Act.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7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(2) U</w:t>
      </w:r>
      <w:r>
        <w:rPr>
          <w:rFonts w:ascii="DeVinne-Italic" w:eastAsia="DeVinne-Italic" w:hAnsi="NewCenturySchlbk-BoldItalic" w:cs="DeVinne-Italic"/>
          <w:i/>
          <w:iCs/>
          <w:color w:val="000000"/>
        </w:rPr>
        <w:t>SE OF FORMAT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.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—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The Secretary shall uti</w:t>
      </w:r>
      <w:r>
        <w:rPr>
          <w:rFonts w:ascii="Times-Roman" w:hAnsi="Times-Roman" w:cs="Times-Roman"/>
          <w:color w:val="000000"/>
          <w:sz w:val="28"/>
          <w:szCs w:val="28"/>
        </w:rPr>
        <w:t>8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lize the format developed under paragraph (1) in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9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compiling information concerning coverage options on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10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the Internet website established under subsection (a).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11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(c) A</w:t>
      </w:r>
      <w:r>
        <w:rPr>
          <w:rFonts w:ascii="DeVinne-Italic" w:eastAsia="DeVinne-Italic" w:hAnsi="NewCenturySchlbk-BoldItalic" w:cs="DeVinne-Italic"/>
          <w:i/>
          <w:iCs/>
          <w:color w:val="000000"/>
        </w:rPr>
        <w:t xml:space="preserve">UTHORITY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T</w:t>
      </w:r>
      <w:r>
        <w:rPr>
          <w:rFonts w:ascii="DeVinne-Italic" w:eastAsia="DeVinne-Italic" w:hAnsi="NewCenturySchlbk-BoldItalic" w:cs="DeVinne-Italic"/>
          <w:i/>
          <w:iCs/>
          <w:color w:val="000000"/>
        </w:rPr>
        <w:t xml:space="preserve">O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C</w:t>
      </w:r>
      <w:r>
        <w:rPr>
          <w:rFonts w:ascii="DeVinne-Italic" w:eastAsia="DeVinne-Italic" w:hAnsi="NewCenturySchlbk-BoldItalic" w:cs="DeVinne-Italic"/>
          <w:i/>
          <w:iCs/>
          <w:color w:val="000000"/>
        </w:rPr>
        <w:t>ONTRACT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.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—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The Secretary may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12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carry out this section through contracts entered into with</w:t>
      </w:r>
    </w:p>
    <w:p w:rsidR="004232EB" w:rsidRDefault="004232EB" w:rsidP="00331BFD">
      <w:pP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13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qualified entities.</w:t>
      </w:r>
    </w:p>
    <w:p w:rsidR="004232EB" w:rsidRDefault="004232EB" w:rsidP="00331BFD">
      <w:pP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</w:p>
    <w:p w:rsidR="004232EB" w:rsidRDefault="004232EB" w:rsidP="00331BFD">
      <w:pPr>
        <w:rPr>
          <w:rFonts w:ascii="NewCenturySchlbk-BoldItalic" w:hAnsi="NewCenturySchlbk-BoldItalic" w:cs="NewCenturySchlbk-BoldItalic"/>
          <w:b/>
          <w:bCs/>
          <w:i/>
          <w:iCs/>
          <w:sz w:val="20"/>
          <w:szCs w:val="20"/>
        </w:rPr>
      </w:pPr>
      <w:r>
        <w:rPr>
          <w:rFonts w:ascii="NewCenturySchlbk-BoldItalic" w:hAnsi="NewCenturySchlbk-BoldItalic" w:cs="NewCenturySchlbk-BoldItalic"/>
          <w:b/>
          <w:bCs/>
          <w:i/>
          <w:iCs/>
          <w:sz w:val="20"/>
          <w:szCs w:val="20"/>
        </w:rPr>
        <w:t>SEC. 10102. AMENDMENTS TO SUBTITLE B.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(b) Section 1103(a) of this Act is amended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—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5 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 xml:space="preserve">(1) in paragraph (1), by inserting </w:t>
      </w:r>
      <w:r>
        <w:rPr>
          <w:rFonts w:ascii="DeVinne-Italic" w:eastAsia="DeVinne-Italic" w:cs="DeVinne-Italic" w:hint="eastAsia"/>
          <w:i/>
          <w:iCs/>
          <w:color w:val="000000"/>
          <w:sz w:val="28"/>
          <w:szCs w:val="28"/>
        </w:rPr>
        <w:t>‘‘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, or small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6 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business in,</w:t>
      </w:r>
      <w:r>
        <w:rPr>
          <w:rFonts w:ascii="DeVinne-Italic" w:eastAsia="DeVinne-Italic" w:cs="DeVinne-Italic" w:hint="eastAsia"/>
          <w:i/>
          <w:iCs/>
          <w:color w:val="000000"/>
          <w:sz w:val="28"/>
          <w:szCs w:val="28"/>
        </w:rPr>
        <w:t>’’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 xml:space="preserve"> after </w:t>
      </w:r>
      <w:r>
        <w:rPr>
          <w:rFonts w:ascii="DeVinne-Italic" w:eastAsia="DeVinne-Italic" w:cs="DeVinne-Italic" w:hint="eastAsia"/>
          <w:i/>
          <w:iCs/>
          <w:color w:val="000000"/>
          <w:sz w:val="28"/>
          <w:szCs w:val="28"/>
        </w:rPr>
        <w:t>‘‘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residents of any</w:t>
      </w:r>
      <w:r>
        <w:rPr>
          <w:rFonts w:ascii="DeVinne-Italic" w:eastAsia="DeVinne-Italic" w:cs="DeVinne-Italic" w:hint="eastAsia"/>
          <w:i/>
          <w:iCs/>
          <w:color w:val="000000"/>
          <w:sz w:val="28"/>
          <w:szCs w:val="28"/>
        </w:rPr>
        <w:t>’’;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 xml:space="preserve"> and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7 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(2) by striking paragraph (2) and inserting the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8 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following: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lastRenderedPageBreak/>
        <w:t xml:space="preserve">9 </w:t>
      </w:r>
      <w:r>
        <w:rPr>
          <w:rFonts w:ascii="DeVinne-Italic" w:eastAsia="DeVinne-Italic" w:cs="DeVinne-Italic" w:hint="eastAsia"/>
          <w:i/>
          <w:iCs/>
          <w:color w:val="000000"/>
          <w:sz w:val="28"/>
          <w:szCs w:val="28"/>
        </w:rPr>
        <w:t>‘‘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(2) C</w:t>
      </w:r>
      <w:r>
        <w:rPr>
          <w:rFonts w:ascii="DeVinne-Italic" w:eastAsia="DeVinne-Italic" w:cs="DeVinne-Italic"/>
          <w:i/>
          <w:iCs/>
          <w:color w:val="000000"/>
        </w:rPr>
        <w:t>ONNECTING TO AFFORDABLE COVERAGE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.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—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10 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An Internet website established under paragraph (1)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Times-Roman" w:eastAsia="DeVinne-Italic" w:hAnsi="Times-Roman" w:cs="Times-Roman"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11 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shall, to the extent practicable, provide ways for resi</w:t>
      </w:r>
      <w:r>
        <w:rPr>
          <w:rFonts w:ascii="Times-Roman" w:eastAsia="DeVinne-Italic" w:hAnsi="Times-Roman" w:cs="Times-Roman"/>
          <w:color w:val="000000"/>
          <w:sz w:val="28"/>
          <w:szCs w:val="28"/>
        </w:rPr>
        <w:t>12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dents of, and small businesses in, any State to receive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13 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information on at least the following coverage options: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14 </w:t>
      </w:r>
      <w:r>
        <w:rPr>
          <w:rFonts w:ascii="DeVinne-Italic" w:eastAsia="DeVinne-Italic" w:cs="DeVinne-Italic" w:hint="eastAsia"/>
          <w:i/>
          <w:iCs/>
          <w:color w:val="000000"/>
          <w:sz w:val="28"/>
          <w:szCs w:val="28"/>
        </w:rPr>
        <w:t>‘‘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(A) Health insurance coverage offered by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15 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health insurance issuers, other than coverage that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16 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provides reimbursement only for the treatment or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17 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mitigation of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—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18 </w:t>
      </w:r>
      <w:r>
        <w:rPr>
          <w:rFonts w:ascii="DeVinne-Italic" w:eastAsia="DeVinne-Italic" w:cs="DeVinne-Italic" w:hint="eastAsia"/>
          <w:i/>
          <w:iCs/>
          <w:color w:val="000000"/>
          <w:sz w:val="28"/>
          <w:szCs w:val="28"/>
        </w:rPr>
        <w:t>‘‘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(i) a single disease or condition</w:t>
      </w:r>
      <w:r>
        <w:rPr>
          <w:rFonts w:ascii="DeVinne-Italic" w:eastAsia="DeVinne-Italic" w:cs="DeVinne-Italic" w:hint="eastAsia"/>
          <w:i/>
          <w:iCs/>
          <w:color w:val="000000"/>
          <w:sz w:val="28"/>
          <w:szCs w:val="28"/>
        </w:rPr>
        <w:t>;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 xml:space="preserve"> or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19 </w:t>
      </w:r>
      <w:r>
        <w:rPr>
          <w:rFonts w:ascii="DeVinne-Italic" w:eastAsia="DeVinne-Italic" w:cs="DeVinne-Italic" w:hint="eastAsia"/>
          <w:i/>
          <w:iCs/>
          <w:color w:val="000000"/>
          <w:sz w:val="28"/>
          <w:szCs w:val="28"/>
        </w:rPr>
        <w:t>‘‘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(ii) an unreasonably limited set of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20 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diseases or conditions (as determined by the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21 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Secretary).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22 </w:t>
      </w:r>
      <w:r>
        <w:rPr>
          <w:rFonts w:ascii="DeVinne-Italic" w:eastAsia="DeVinne-Italic" w:cs="DeVinne-Italic" w:hint="eastAsia"/>
          <w:i/>
          <w:iCs/>
          <w:color w:val="000000"/>
          <w:sz w:val="28"/>
          <w:szCs w:val="28"/>
        </w:rPr>
        <w:t>‘‘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(B) Medicaid coverage under title XIX of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23 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the Social Security Act.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24 </w:t>
      </w:r>
      <w:r>
        <w:rPr>
          <w:rFonts w:ascii="DeVinne-Italic" w:eastAsia="DeVinne-Italic" w:cs="DeVinne-Italic" w:hint="eastAsia"/>
          <w:i/>
          <w:iCs/>
          <w:color w:val="000000"/>
          <w:sz w:val="28"/>
          <w:szCs w:val="28"/>
        </w:rPr>
        <w:t>‘‘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(C) Coverage under title XXI of the Social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25 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Security Act.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Helvetica" w:eastAsia="DeVinne-Italic" w:hAnsi="Helvetica" w:cs="Helvetica"/>
          <w:color w:val="FFFFFF"/>
          <w:sz w:val="10"/>
          <w:szCs w:val="10"/>
        </w:rPr>
      </w:pPr>
      <w:r>
        <w:rPr>
          <w:rFonts w:ascii="Helvetica" w:eastAsia="DeVinne-Italic" w:hAnsi="Helvetica" w:cs="Helvetica"/>
          <w:color w:val="FFFFFF"/>
          <w:sz w:val="13"/>
          <w:szCs w:val="13"/>
        </w:rPr>
        <w:t xml:space="preserve">VerDate Nov 24 2008 09:39 Dec 29, 2009 Jkt 089200 PO 00000 Frm 02057 Fmt 6652 Sfmt 6203 E:\SENENR\H3590.EAS H3590 </w:t>
      </w:r>
      <w:r>
        <w:rPr>
          <w:rFonts w:ascii="Helvetica" w:eastAsia="DeVinne-Italic" w:hAnsi="Helvetica" w:cs="Helvetica"/>
          <w:color w:val="FFFFFF"/>
          <w:sz w:val="10"/>
          <w:szCs w:val="10"/>
        </w:rPr>
        <w:t>wwoods2 on DSK1DXX6B1PROD with BILLS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" w:eastAsia="DeVinne-Italic" w:hAnsi="DeVinne" w:cs="DeVinne"/>
          <w:color w:val="000000"/>
          <w:sz w:val="28"/>
          <w:szCs w:val="28"/>
        </w:rPr>
      </w:pPr>
      <w:r>
        <w:rPr>
          <w:rFonts w:ascii="DeVinne" w:eastAsia="DeVinne-Italic" w:hAnsi="DeVinne" w:cs="DeVinne"/>
          <w:color w:val="000000"/>
          <w:sz w:val="28"/>
          <w:szCs w:val="28"/>
        </w:rPr>
        <w:t>2058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NewCenturySchlbk-Bold" w:eastAsia="DeVinne-Italic" w:hAnsi="NewCenturySchlbk-Bold" w:cs="NewCenturySchlbk-Bold"/>
          <w:b/>
          <w:bCs/>
          <w:color w:val="000000"/>
          <w:sz w:val="16"/>
          <w:szCs w:val="16"/>
        </w:rPr>
      </w:pPr>
      <w:r>
        <w:rPr>
          <w:rFonts w:ascii="NewCenturySchlbk-Bold" w:eastAsia="DeVinne-Italic" w:hAnsi="NewCenturySchlbk-Bold" w:cs="NewCenturySchlbk-Bold"/>
          <w:b/>
          <w:bCs/>
          <w:color w:val="000000"/>
          <w:sz w:val="16"/>
          <w:szCs w:val="16"/>
        </w:rPr>
        <w:t>HR 3590 EAS/PP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1 </w:t>
      </w:r>
      <w:r>
        <w:rPr>
          <w:rFonts w:ascii="DeVinne-Italic" w:eastAsia="DeVinne-Italic" w:cs="DeVinne-Italic" w:hint="eastAsia"/>
          <w:i/>
          <w:iCs/>
          <w:color w:val="000000"/>
          <w:sz w:val="28"/>
          <w:szCs w:val="28"/>
        </w:rPr>
        <w:t>‘‘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(D) A State health benefits high risk pool,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2 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to the extent that such high risk pool is offered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3 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in such State</w:t>
      </w:r>
      <w:r>
        <w:rPr>
          <w:rFonts w:ascii="DeVinne-Italic" w:eastAsia="DeVinne-Italic" w:cs="DeVinne-Italic" w:hint="eastAsia"/>
          <w:i/>
          <w:iCs/>
          <w:color w:val="000000"/>
          <w:sz w:val="28"/>
          <w:szCs w:val="28"/>
        </w:rPr>
        <w:t>;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 xml:space="preserve"> and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4 </w:t>
      </w:r>
      <w:r>
        <w:rPr>
          <w:rFonts w:ascii="DeVinne-Italic" w:eastAsia="DeVinne-Italic" w:cs="DeVinne-Italic" w:hint="eastAsia"/>
          <w:i/>
          <w:iCs/>
          <w:color w:val="000000"/>
          <w:sz w:val="28"/>
          <w:szCs w:val="28"/>
        </w:rPr>
        <w:t>‘‘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(E) Coverage under a high risk pool under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5 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section 1101.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Times-Roman" w:eastAsia="DeVinne-Italic" w:hAnsi="Times-Roman" w:cs="Times-Roman"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6 </w:t>
      </w:r>
      <w:r>
        <w:rPr>
          <w:rFonts w:ascii="DeVinne-Italic" w:eastAsia="DeVinne-Italic" w:cs="DeVinne-Italic" w:hint="eastAsia"/>
          <w:i/>
          <w:iCs/>
          <w:color w:val="000000"/>
          <w:sz w:val="28"/>
          <w:szCs w:val="28"/>
        </w:rPr>
        <w:t>‘‘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(F) Coverage within the small group mar</w:t>
      </w:r>
      <w:r>
        <w:rPr>
          <w:rFonts w:ascii="Times-Roman" w:eastAsia="DeVinne-Italic" w:hAnsi="Times-Roman" w:cs="Times-Roman"/>
          <w:color w:val="000000"/>
          <w:sz w:val="28"/>
          <w:szCs w:val="28"/>
        </w:rPr>
        <w:t>7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Times-Roman" w:eastAsia="DeVinne-Italic" w:hAnsi="Times-Roman" w:cs="Times-Roman"/>
          <w:color w:val="000000"/>
          <w:sz w:val="28"/>
          <w:szCs w:val="28"/>
        </w:rPr>
      </w:pP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ket for small businesses and their employees, in</w:t>
      </w:r>
      <w:r>
        <w:rPr>
          <w:rFonts w:ascii="Times-Roman" w:eastAsia="DeVinne-Italic" w:hAnsi="Times-Roman" w:cs="Times-Roman"/>
          <w:color w:val="000000"/>
          <w:sz w:val="28"/>
          <w:szCs w:val="28"/>
        </w:rPr>
        <w:t>8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Times-Roman" w:eastAsia="DeVinne-Italic" w:hAnsi="Times-Roman" w:cs="Times-Roman"/>
          <w:color w:val="000000"/>
          <w:sz w:val="28"/>
          <w:szCs w:val="28"/>
        </w:rPr>
      </w:pP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cluding reinsurance for early retirees under sec</w:t>
      </w:r>
      <w:r>
        <w:rPr>
          <w:rFonts w:ascii="Times-Roman" w:eastAsia="DeVinne-Italic" w:hAnsi="Times-Roman" w:cs="Times-Roman"/>
          <w:color w:val="000000"/>
          <w:sz w:val="28"/>
          <w:szCs w:val="28"/>
        </w:rPr>
        <w:t>9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tion 1102, tax credits available under section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10 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45R of the Internal Revenue Code of 1986 (as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11 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added by section 1421), and other information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Times-Roman" w:eastAsia="DeVinne-Italic" w:hAnsi="Times-Roman" w:cs="Times-Roman"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12 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specifically for small businesses regarding afford</w:t>
      </w:r>
      <w:r>
        <w:rPr>
          <w:rFonts w:ascii="Times-Roman" w:eastAsia="DeVinne-Italic" w:hAnsi="Times-Roman" w:cs="Times-Roman"/>
          <w:color w:val="000000"/>
          <w:sz w:val="28"/>
          <w:szCs w:val="28"/>
        </w:rPr>
        <w:t>13</w:t>
      </w:r>
    </w:p>
    <w:p w:rsidR="004232EB" w:rsidRDefault="004232EB" w:rsidP="00E22F2A"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able health care options.</w:t>
      </w:r>
      <w:r>
        <w:rPr>
          <w:rFonts w:ascii="DeVinne-Italic" w:eastAsia="DeVinne-Italic" w:cs="DeVinne-Italic" w:hint="eastAsia"/>
          <w:i/>
          <w:iCs/>
          <w:color w:val="000000"/>
          <w:sz w:val="28"/>
          <w:szCs w:val="28"/>
        </w:rPr>
        <w:t>’’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.</w:t>
      </w:r>
    </w:p>
    <w:sectPr w:rsidR="004232EB" w:rsidSect="00BA5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ewCenturySchlbk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Vinne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Vin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31BFD"/>
    <w:rsid w:val="000258C5"/>
    <w:rsid w:val="001A599A"/>
    <w:rsid w:val="00331BFD"/>
    <w:rsid w:val="003E5202"/>
    <w:rsid w:val="004232EB"/>
    <w:rsid w:val="004F6A84"/>
    <w:rsid w:val="005F5952"/>
    <w:rsid w:val="009C171A"/>
    <w:rsid w:val="00A07B96"/>
    <w:rsid w:val="00BA51C1"/>
    <w:rsid w:val="00BD1632"/>
    <w:rsid w:val="00E22F2A"/>
    <w:rsid w:val="00F8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C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258C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AD0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3850</Characters>
  <Application>Microsoft Office Word</Application>
  <DocSecurity>0</DocSecurity>
  <Lines>32</Lines>
  <Paragraphs>9</Paragraphs>
  <ScaleCrop>false</ScaleCrop>
  <Company>CMS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2</cp:revision>
  <dcterms:created xsi:type="dcterms:W3CDTF">2011-05-16T14:36:00Z</dcterms:created>
  <dcterms:modified xsi:type="dcterms:W3CDTF">2011-05-16T14:36:00Z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-1506326733</vt:i4>
  </property>
  <property fmtid="{D5CDD505-2E9C-101B-9397-08002B2CF9AE}" pid="3" name="_NewReviewCycle">
    <vt:lpwstr/>
  </property>
  <property fmtid="{D5CDD505-2E9C-101B-9397-08002B2CF9AE}" pid="4" name="_EmailSubject">
    <vt:lpwstr>PRA package for Web portal</vt:lpwstr>
  </property>
  <property fmtid="{D5CDD505-2E9C-101B-9397-08002B2CF9AE}" pid="5" name="_AuthorEmail">
    <vt:lpwstr>WILLIAM.PARHAM@cms.hhs.gov</vt:lpwstr>
  </property>
  <property fmtid="{D5CDD505-2E9C-101B-9397-08002B2CF9AE}" pid="6" name="_AuthorEmailDisplayName">
    <vt:lpwstr>PARHAM, WILLIAM N. (CMS/OSORA)</vt:lpwstr>
  </property>
  <property fmtid="{D5CDD505-2E9C-101B-9397-08002B2CF9AE}" pid="7" name="_PreviousAdHocReviewCycleID">
    <vt:i4>1558885047</vt:i4>
  </property>
  <property fmtid="{D5CDD505-2E9C-101B-9397-08002B2CF9AE}" pid="8" name="_ReviewingToolsShownOnce">
    <vt:lpwstr/>
  </property>
</Properties>
</file>