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658" w:rsidRPr="00CE713E" w:rsidRDefault="00854D25">
      <w:pPr>
        <w:spacing w:after="8"/>
        <w:rPr>
          <w:rFonts w:ascii="Times New Roman" w:hAnsi="Times New Roman"/>
          <w:caps/>
          <w:szCs w:val="24"/>
        </w:rPr>
      </w:pPr>
      <w:r w:rsidRPr="00854D25">
        <w:rPr>
          <w:rFonts w:ascii="Times New Roman" w:hAnsi="Times New Roman"/>
          <w:b/>
          <w:noProof/>
          <w:spacing w:val="-5"/>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73.6pt;margin-top:-17.4pt;width:201.6pt;height:80.65pt;z-index:251658240;visibility:visible;mso-wrap-edited:f" o:allowincell="f">
            <v:imagedata r:id="rId5" o:title=""/>
          </v:shape>
          <o:OLEObject Type="Embed" ProgID="Word.Picture.8" ShapeID="_x0000_s1028" DrawAspect="Content" ObjectID="_1367047244" r:id="rId6"/>
        </w:pict>
      </w:r>
      <w:r w:rsidR="00C33035" w:rsidRPr="00CE713E">
        <w:rPr>
          <w:rFonts w:ascii="Times New Roman" w:hAnsi="Times New Roman"/>
          <w:caps/>
          <w:szCs w:val="24"/>
        </w:rPr>
        <w:t>Department of Health &amp; Human Services</w:t>
      </w:r>
    </w:p>
    <w:p w:rsidR="00223658" w:rsidRPr="00CE713E" w:rsidRDefault="00C33035">
      <w:pPr>
        <w:spacing w:after="8"/>
        <w:rPr>
          <w:rFonts w:ascii="Times New Roman" w:hAnsi="Times New Roman"/>
          <w:szCs w:val="24"/>
        </w:rPr>
      </w:pPr>
      <w:r w:rsidRPr="00CE713E">
        <w:rPr>
          <w:rFonts w:ascii="Times New Roman" w:hAnsi="Times New Roman"/>
          <w:szCs w:val="24"/>
        </w:rPr>
        <w:t>Centers for Medicare &amp; Medicaid Services</w:t>
      </w:r>
    </w:p>
    <w:p w:rsidR="00223658" w:rsidRPr="00CE713E" w:rsidRDefault="00C33035">
      <w:pPr>
        <w:spacing w:after="8"/>
        <w:rPr>
          <w:rFonts w:ascii="Times New Roman" w:hAnsi="Times New Roman"/>
          <w:szCs w:val="24"/>
        </w:rPr>
      </w:pPr>
      <w:r w:rsidRPr="00CE713E">
        <w:rPr>
          <w:rFonts w:ascii="Times New Roman" w:hAnsi="Times New Roman"/>
          <w:szCs w:val="24"/>
        </w:rPr>
        <w:t>7500 Security Boulevard, Mail Stop C2-21-15</w:t>
      </w:r>
    </w:p>
    <w:p w:rsidR="00223658" w:rsidRPr="00CE713E" w:rsidRDefault="00C33035">
      <w:pPr>
        <w:spacing w:after="8"/>
        <w:rPr>
          <w:rFonts w:ascii="Times New Roman" w:hAnsi="Times New Roman"/>
          <w:szCs w:val="24"/>
        </w:rPr>
      </w:pPr>
      <w:r w:rsidRPr="00CE713E">
        <w:rPr>
          <w:rFonts w:ascii="Times New Roman" w:hAnsi="Times New Roman"/>
          <w:szCs w:val="24"/>
        </w:rPr>
        <w:t>Baltimore, Maryland 21244-1850</w:t>
      </w:r>
    </w:p>
    <w:p w:rsidR="00223658" w:rsidRPr="00CE713E" w:rsidRDefault="00223658">
      <w:pPr>
        <w:rPr>
          <w:rFonts w:ascii="Times New Roman" w:hAnsi="Times New Roman"/>
          <w:szCs w:val="24"/>
        </w:rPr>
      </w:pPr>
    </w:p>
    <w:p w:rsidR="00223658" w:rsidRPr="00CE713E" w:rsidRDefault="00854D25">
      <w:pPr>
        <w:tabs>
          <w:tab w:val="right" w:pos="9360"/>
        </w:tabs>
        <w:rPr>
          <w:rFonts w:ascii="Times New Roman" w:hAnsi="Times New Roman"/>
          <w:spacing w:val="-5"/>
          <w:szCs w:val="24"/>
        </w:rPr>
      </w:pPr>
      <w:r w:rsidRPr="00854D25">
        <w:rPr>
          <w:rFonts w:ascii="Times New Roman" w:hAnsi="Times New Roman"/>
          <w:b/>
          <w:noProof/>
          <w:spacing w:val="-5"/>
          <w:szCs w:val="24"/>
        </w:rPr>
        <w:pict>
          <v:line id="_x0000_s1026" style="position:absolute;z-index:251657216" from="-1.05pt,14.4pt" to="466.95pt,14.4pt" o:allowincell="f" strokeweight="1pt"/>
        </w:pict>
      </w:r>
      <w:r w:rsidR="00C33035" w:rsidRPr="00CE713E">
        <w:rPr>
          <w:rFonts w:ascii="Times New Roman" w:hAnsi="Times New Roman"/>
          <w:spacing w:val="-5"/>
          <w:szCs w:val="24"/>
        </w:rPr>
        <w:tab/>
      </w:r>
    </w:p>
    <w:p w:rsidR="00223658" w:rsidRPr="00CE713E" w:rsidRDefault="00223658">
      <w:pPr>
        <w:tabs>
          <w:tab w:val="right" w:pos="9360"/>
        </w:tabs>
        <w:rPr>
          <w:rFonts w:ascii="Times New Roman" w:hAnsi="Times New Roman"/>
          <w:spacing w:val="-5"/>
          <w:szCs w:val="24"/>
        </w:rPr>
      </w:pPr>
    </w:p>
    <w:p w:rsidR="00ED4629" w:rsidRPr="00CE713E" w:rsidRDefault="00ED4629" w:rsidP="00ED4629">
      <w:pPr>
        <w:tabs>
          <w:tab w:val="left" w:pos="1260"/>
        </w:tabs>
        <w:rPr>
          <w:rFonts w:ascii="Times New Roman" w:hAnsi="Times New Roman"/>
          <w:szCs w:val="24"/>
        </w:rPr>
      </w:pPr>
    </w:p>
    <w:p w:rsidR="00ED4629" w:rsidRPr="00CE713E" w:rsidRDefault="00ED4629" w:rsidP="00ED4629">
      <w:pPr>
        <w:ind w:left="-720" w:right="-720" w:firstLine="720"/>
        <w:rPr>
          <w:rFonts w:ascii="Times New Roman" w:hAnsi="Times New Roman"/>
          <w:szCs w:val="24"/>
        </w:rPr>
      </w:pPr>
      <w:r w:rsidRPr="00CE713E">
        <w:rPr>
          <w:rFonts w:ascii="Times New Roman" w:hAnsi="Times New Roman"/>
          <w:szCs w:val="24"/>
        </w:rPr>
        <w:t>DATE:</w:t>
      </w:r>
      <w:r w:rsidRPr="00CE713E">
        <w:rPr>
          <w:rFonts w:ascii="Times New Roman" w:hAnsi="Times New Roman"/>
          <w:szCs w:val="24"/>
        </w:rPr>
        <w:tab/>
      </w:r>
      <w:r w:rsidRPr="00CE713E">
        <w:rPr>
          <w:rFonts w:ascii="Times New Roman" w:hAnsi="Times New Roman"/>
          <w:szCs w:val="24"/>
        </w:rPr>
        <w:tab/>
        <w:t>May 16, 2011</w:t>
      </w:r>
    </w:p>
    <w:p w:rsidR="00ED4629" w:rsidRPr="00CE713E" w:rsidRDefault="00ED4629" w:rsidP="00ED4629">
      <w:pPr>
        <w:ind w:left="-720" w:right="-720"/>
        <w:rPr>
          <w:rFonts w:ascii="Times New Roman" w:hAnsi="Times New Roman"/>
          <w:szCs w:val="24"/>
        </w:rPr>
      </w:pPr>
    </w:p>
    <w:p w:rsidR="00ED4629" w:rsidRPr="00CE713E" w:rsidRDefault="00ED4629" w:rsidP="00ED4629">
      <w:pPr>
        <w:ind w:left="-720" w:right="-720"/>
        <w:rPr>
          <w:rFonts w:ascii="Times New Roman" w:hAnsi="Times New Roman"/>
          <w:szCs w:val="24"/>
        </w:rPr>
      </w:pPr>
      <w:r w:rsidRPr="00CE713E">
        <w:rPr>
          <w:rFonts w:ascii="Times New Roman" w:hAnsi="Times New Roman"/>
          <w:szCs w:val="24"/>
        </w:rPr>
        <w:tab/>
        <w:t>TO:</w:t>
      </w:r>
      <w:r w:rsidRPr="00CE713E">
        <w:rPr>
          <w:rFonts w:ascii="Times New Roman" w:hAnsi="Times New Roman"/>
          <w:szCs w:val="24"/>
        </w:rPr>
        <w:tab/>
      </w:r>
      <w:r w:rsidRPr="00CE713E">
        <w:rPr>
          <w:rFonts w:ascii="Times New Roman" w:hAnsi="Times New Roman"/>
          <w:szCs w:val="24"/>
        </w:rPr>
        <w:tab/>
        <w:t>Issuers of Health Insurance</w:t>
      </w:r>
    </w:p>
    <w:p w:rsidR="00ED4629" w:rsidRPr="00CE713E" w:rsidRDefault="00ED4629" w:rsidP="00ED4629">
      <w:pPr>
        <w:ind w:left="-720" w:right="-720"/>
        <w:rPr>
          <w:rFonts w:ascii="Times New Roman" w:hAnsi="Times New Roman"/>
          <w:szCs w:val="24"/>
        </w:rPr>
      </w:pPr>
    </w:p>
    <w:p w:rsidR="00ED4629" w:rsidRPr="00CE713E" w:rsidRDefault="00ED4629" w:rsidP="00ED4629">
      <w:pPr>
        <w:ind w:left="-720" w:right="-720" w:firstLine="720"/>
        <w:rPr>
          <w:rFonts w:ascii="Times New Roman" w:hAnsi="Times New Roman"/>
          <w:szCs w:val="24"/>
        </w:rPr>
      </w:pPr>
      <w:r w:rsidRPr="00CE713E">
        <w:rPr>
          <w:rFonts w:ascii="Times New Roman" w:hAnsi="Times New Roman"/>
          <w:szCs w:val="24"/>
        </w:rPr>
        <w:t>FROM:</w:t>
      </w:r>
      <w:r w:rsidRPr="00CE713E">
        <w:rPr>
          <w:rFonts w:ascii="Times New Roman" w:hAnsi="Times New Roman"/>
          <w:szCs w:val="24"/>
        </w:rPr>
        <w:tab/>
        <w:t>Doug Pennington</w:t>
      </w:r>
    </w:p>
    <w:p w:rsidR="00ED4629" w:rsidRPr="00CE713E" w:rsidRDefault="00ED4629" w:rsidP="00ED4629">
      <w:pPr>
        <w:ind w:left="720" w:right="-720" w:firstLine="720"/>
        <w:rPr>
          <w:rFonts w:ascii="Times New Roman" w:hAnsi="Times New Roman"/>
          <w:szCs w:val="24"/>
        </w:rPr>
      </w:pPr>
      <w:r w:rsidRPr="00CE713E">
        <w:rPr>
          <w:rFonts w:ascii="Times New Roman" w:hAnsi="Times New Roman"/>
          <w:szCs w:val="24"/>
        </w:rPr>
        <w:t xml:space="preserve">Division Director, Healthcare.gov Plan Finder </w:t>
      </w:r>
    </w:p>
    <w:p w:rsidR="00ED4629" w:rsidRPr="00F033C5" w:rsidRDefault="00ED4629" w:rsidP="00ED4629">
      <w:pPr>
        <w:ind w:left="720" w:right="-720" w:firstLine="720"/>
        <w:rPr>
          <w:rFonts w:ascii="Times New Roman" w:hAnsi="Times New Roman"/>
          <w:szCs w:val="24"/>
        </w:rPr>
      </w:pPr>
    </w:p>
    <w:p w:rsidR="009107E2" w:rsidRPr="00F033C5" w:rsidRDefault="00CE713E" w:rsidP="00CE713E">
      <w:pPr>
        <w:spacing w:after="120"/>
        <w:rPr>
          <w:rFonts w:ascii="Times New Roman" w:hAnsi="Times New Roman"/>
          <w:szCs w:val="24"/>
        </w:rPr>
      </w:pPr>
      <w:r w:rsidRPr="00F033C5">
        <w:rPr>
          <w:rFonts w:ascii="Times New Roman" w:hAnsi="Times New Roman"/>
          <w:szCs w:val="24"/>
        </w:rPr>
        <w:t xml:space="preserve">SUBJECT: </w:t>
      </w:r>
      <w:r w:rsidRPr="00F033C5">
        <w:rPr>
          <w:rFonts w:ascii="Times New Roman" w:hAnsi="Times New Roman"/>
          <w:szCs w:val="24"/>
        </w:rPr>
        <w:tab/>
      </w:r>
      <w:r w:rsidR="009107E2" w:rsidRPr="00F033C5">
        <w:rPr>
          <w:rFonts w:ascii="Times New Roman" w:hAnsi="Times New Roman"/>
          <w:szCs w:val="24"/>
        </w:rPr>
        <w:t>Reply to Comments, Information Collection Request for HealthCare.gov</w:t>
      </w:r>
    </w:p>
    <w:p w:rsidR="009107E2" w:rsidRPr="00F033C5" w:rsidRDefault="009107E2" w:rsidP="00CE713E">
      <w:pPr>
        <w:spacing w:after="120"/>
        <w:ind w:left="720" w:firstLine="720"/>
        <w:rPr>
          <w:rFonts w:ascii="Times New Roman" w:hAnsi="Times New Roman"/>
          <w:szCs w:val="24"/>
        </w:rPr>
      </w:pPr>
      <w:r w:rsidRPr="00F033C5">
        <w:rPr>
          <w:rFonts w:ascii="Times New Roman" w:hAnsi="Times New Roman"/>
          <w:szCs w:val="24"/>
        </w:rPr>
        <w:t>OMB Control # 0938-1086</w:t>
      </w:r>
    </w:p>
    <w:p w:rsidR="009107E2" w:rsidRPr="00CE713E" w:rsidRDefault="009107E2" w:rsidP="00CE713E">
      <w:pPr>
        <w:spacing w:after="120"/>
        <w:rPr>
          <w:rFonts w:ascii="Times New Roman" w:hAnsi="Times New Roman"/>
          <w:b/>
          <w:szCs w:val="24"/>
        </w:rPr>
      </w:pPr>
    </w:p>
    <w:p w:rsidR="009107E2" w:rsidRPr="00CE713E" w:rsidRDefault="009107E2" w:rsidP="00CE713E">
      <w:pPr>
        <w:spacing w:after="120"/>
        <w:rPr>
          <w:rFonts w:ascii="Times New Roman" w:hAnsi="Times New Roman"/>
          <w:szCs w:val="24"/>
        </w:rPr>
      </w:pPr>
      <w:r w:rsidRPr="00CE713E">
        <w:rPr>
          <w:rFonts w:ascii="Times New Roman" w:hAnsi="Times New Roman"/>
          <w:szCs w:val="24"/>
        </w:rPr>
        <w:t xml:space="preserve">We want to thank those who provided comment on our emergency information collection request. CMS received four replies, three of which address the actual data collection and one comment that did not address the topics raised in the PRA. While the commenters presented very different perspectives on the collection, they raised salient points. Certain common themes were present, and CMS will be taking steps to address them, including: the cost of data collection, the elimination of redundant or unnecessary data elements, confidentiality protections, and coordination of collections moving forward.  These areas are addressed below.  </w:t>
      </w:r>
    </w:p>
    <w:p w:rsidR="00CE713E" w:rsidRPr="00CE713E" w:rsidRDefault="009107E2" w:rsidP="00CE713E">
      <w:pPr>
        <w:pStyle w:val="Heading2"/>
        <w:spacing w:after="120"/>
        <w:rPr>
          <w:rFonts w:ascii="Times New Roman" w:hAnsi="Times New Roman" w:cs="Times New Roman"/>
          <w:color w:val="auto"/>
          <w:sz w:val="24"/>
          <w:szCs w:val="24"/>
        </w:rPr>
      </w:pPr>
      <w:r w:rsidRPr="00CE713E">
        <w:rPr>
          <w:rFonts w:ascii="Times New Roman" w:hAnsi="Times New Roman" w:cs="Times New Roman"/>
          <w:color w:val="auto"/>
          <w:sz w:val="24"/>
          <w:szCs w:val="24"/>
        </w:rPr>
        <w:t>Cost of the collection:</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Two commenters suggest that the costs of complying are higher than stated in the PRA notice. One comment notes that we collect through two different systems, while the other mentions the scope of data. Neither comment provided specific new information on why the costs are high. CMS is committed to continuously improving the system to reduce the costs on submitters, and is currently reviewing the systems and contracts underlying the collection to this end.</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Planned improvements include better integration of the collection instruments for products and portal plans, as well as development of more automated data collection methods including XML standards and APIs for electronic data exchange. One improvement that we have implemented as a result of similar concerns is to use date based rates, which will allow us to decrease the number of updates. We will emphasize the importance of “pre-populating” data in templates moving forward to decrease data entry times. We also plan to incorporate template designs which allow for increased flexibility in data entry requiring less reliance on custom adaptations.</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 xml:space="preserve">One comment contends that their projected costs are significantly higher than the average presented in the PRA support materials, and recommends decreasing the number of elements collected. We are committed to reducing the burden on issuers, and note that CMS collects only a few elements which are not currently collected by third party vendors engaged by the industry. We believe that cost savings can best be realized not by scaling back data elements, but rather through process improvements which we are implementing and/or planning. As the commenter indicates, their costs are compounded by short time frames, and certain inefficiencies in the collection process which we are addressing. </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lastRenderedPageBreak/>
        <w:t>One commenter also mentions inadequate granularity for data elements to reflect actual company practice. In general, there is some tension between providing standardized categories for answers and reflecting actual practices. CMS plans to continue scheduled conference calls, the PRA process, and email to address these types of concerns as they arise. CMS is dedicated to continuous improvement and is currently reviewing data element operationalizations.</w:t>
      </w:r>
    </w:p>
    <w:p w:rsidR="009107E2" w:rsidRPr="00CE713E" w:rsidRDefault="009107E2" w:rsidP="00CE713E">
      <w:pPr>
        <w:pStyle w:val="Heading2"/>
        <w:spacing w:after="120"/>
        <w:rPr>
          <w:rFonts w:ascii="Times New Roman" w:hAnsi="Times New Roman" w:cs="Times New Roman"/>
          <w:color w:val="auto"/>
          <w:sz w:val="24"/>
          <w:szCs w:val="24"/>
        </w:rPr>
      </w:pPr>
      <w:r w:rsidRPr="00CE713E">
        <w:rPr>
          <w:rFonts w:ascii="Times New Roman" w:hAnsi="Times New Roman" w:cs="Times New Roman"/>
          <w:color w:val="auto"/>
          <w:sz w:val="24"/>
          <w:szCs w:val="24"/>
        </w:rPr>
        <w:t>Information collected and not used:</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Two commenters mention that data is collected which is not displayed on the web site. We note that this is not due to “monitoring” activities as such, but generally reflect specific application needs for the current site as well as planned improvements.</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The first specific elements mentioned are closed blocks of business. The collection of closed block information gives CMS notice on what products issuers are licensed to sell. This is the only way to define the universe for purposes of the data collection, and we collect very limited information on these: knowledge of these lines of business and their enrollment. This facilitates general compliance with the regulation and helps to convey why we only have a small percentage of the covered lives represented within the plans on offer.</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 xml:space="preserve">Additionally, collecting this information helps maintain continuity in the population of plans and products over time. “Closed Blocks” is a term of art, with issuers rotating blocks of business in and out of the market. Not including closed blocks of business because the product is not being actively marketed would mean that it is impossible to adequately represent the full universe of products and plans to consumers. Finally, collecting this information to populate the entities offered to the public will help coordinate this data collection with other requirements of the ACA moving forward. </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 xml:space="preserve">Two commenters indicate a number of data elements are collected and not displayed, such as financial ratings. We do plan on displaying financial rating information or links to the appropriate rating firm for companies within corporate profiles. There are some data elements which are included in the collection primarily as residual elements from the commercial templates we took as our model. These include logos and written corporate descriptions which are not displayed. CMS is contemplating including this information on future company profile pages on HealthCare.gov moving forward, and would like to use these elements in user testing to determine the most consumer and corporate friendly presentation. Nevertheless, the elements are not critical to the current data collection and should be considered voluntary. CMS will make sure issuers recognize those elements (and elements which are duplicated across templates) are voluntary and not required. </w:t>
      </w:r>
    </w:p>
    <w:p w:rsidR="009107E2" w:rsidRPr="00CE713E" w:rsidRDefault="009107E2" w:rsidP="00CE713E">
      <w:pPr>
        <w:pStyle w:val="Heading2"/>
        <w:spacing w:after="120"/>
        <w:rPr>
          <w:rFonts w:ascii="Times New Roman" w:hAnsi="Times New Roman" w:cs="Times New Roman"/>
          <w:color w:val="auto"/>
          <w:sz w:val="24"/>
          <w:szCs w:val="24"/>
        </w:rPr>
      </w:pPr>
      <w:r w:rsidRPr="00CE713E">
        <w:rPr>
          <w:rFonts w:ascii="Times New Roman" w:hAnsi="Times New Roman" w:cs="Times New Roman"/>
          <w:color w:val="auto"/>
          <w:sz w:val="24"/>
          <w:szCs w:val="24"/>
        </w:rPr>
        <w:t>Availability of materials elsewhere</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 xml:space="preserve">One commenter notes that much of the information collected is available elsewhere, for example plan brochures. CMS recognizes that much of the information is available on third party vendor sites, issuer web sites, SERFF filings and associated State regulatory pages. However, the specific statutory mandate of the PlanFinder application of the site, and the value of the site, is to provide a single location where consumers receive sufficient information to determine the range of affordable care options available to them. Our approach has been to collect the information in a consistent comparable fashion, and link consumers to specific details (such as brochures and premium quotes) through linking to the issuer web sites. </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 xml:space="preserve">There are a few key differences from commercial sites which we believe make the data collection worthwhile for both the public and insurers. First, we estimate that only 50% of issuers use these commercial sites. Coverage and representation of options on those sites is not </w:t>
      </w:r>
      <w:r w:rsidRPr="00CE713E">
        <w:rPr>
          <w:rFonts w:ascii="Times New Roman" w:hAnsi="Times New Roman"/>
          <w:szCs w:val="24"/>
        </w:rPr>
        <w:lastRenderedPageBreak/>
        <w:t xml:space="preserve">standardized and doesn’t present the full range of affordable options, representing particular marketing efforts. CMS collects some additional data elements which contextualize the information for consumers, and requires reporting of open plans that represent a significant share of enrollment. </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Specific elements were identified which the commenter contends should be provided solely by insurer’s own websites without further explanation, including : plan enrollment, additional coverage, dental benefits, medical records coverage, and chiropractic, mental health and substance abuse treatment services. We note that these elements are not standardized across web sites, making them impossible for consumers to compare. The specific benefit coverage types are all suggested by the NAIC for inclusion in the Summary of Costs and Coverage, and the mental health and substance abuse treatment services have been singled out for particular notice by various consumer groups and SAMHSA as difficult to find in issuers’ current materials.</w:t>
      </w:r>
    </w:p>
    <w:p w:rsidR="009107E2" w:rsidRPr="00CE713E" w:rsidRDefault="009107E2" w:rsidP="00CE713E">
      <w:pPr>
        <w:pStyle w:val="Heading2"/>
        <w:spacing w:after="120"/>
        <w:rPr>
          <w:rFonts w:ascii="Times New Roman" w:hAnsi="Times New Roman" w:cs="Times New Roman"/>
          <w:color w:val="auto"/>
          <w:sz w:val="24"/>
          <w:szCs w:val="24"/>
        </w:rPr>
      </w:pPr>
      <w:r w:rsidRPr="00CE713E">
        <w:rPr>
          <w:rFonts w:ascii="Times New Roman" w:hAnsi="Times New Roman" w:cs="Times New Roman"/>
          <w:color w:val="auto"/>
          <w:sz w:val="24"/>
          <w:szCs w:val="24"/>
        </w:rPr>
        <w:t xml:space="preserve">Confidentiality </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CMS recognizes the importance of confidentiality and is currently engaged in discussions to determine better ways to make sure industry concerns are being met. All three commenters address a concern with the release of what they consider to be confidential business information through Freedom of Information Act requests. Factors listed as potentially confidential included enrollment levels, rating factors, citizenship requirements, eligibility requirements, rate update timing, categorical conditions for membership, administrative fees, rating tiers, and minimum contribution requirements for small group plans, applications, uprated offers and denials.</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While CMS contends that prior FOIA requests were responded to in the proper manner, we acknowledge that industry still has concerns and we are in regular discussions with industry representatives to assure we fully understand and address those concerns within the scope of our authority and the law.</w:t>
      </w:r>
    </w:p>
    <w:p w:rsidR="009107E2" w:rsidRPr="00CE713E" w:rsidRDefault="009107E2" w:rsidP="00CE713E">
      <w:pPr>
        <w:pStyle w:val="Heading2"/>
        <w:spacing w:after="120"/>
        <w:rPr>
          <w:rFonts w:ascii="Times New Roman" w:hAnsi="Times New Roman" w:cs="Times New Roman"/>
          <w:color w:val="auto"/>
          <w:sz w:val="24"/>
          <w:szCs w:val="24"/>
        </w:rPr>
      </w:pPr>
      <w:r w:rsidRPr="00CE713E">
        <w:rPr>
          <w:rFonts w:ascii="Times New Roman" w:hAnsi="Times New Roman" w:cs="Times New Roman"/>
          <w:color w:val="auto"/>
          <w:sz w:val="24"/>
          <w:szCs w:val="24"/>
        </w:rPr>
        <w:t xml:space="preserve">Integration of data collection under the ACA: </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Two comments raised a concern regarding data coordination under the ACA moving forward. CMS is dedicated to this effort as well. The CCIIO teams responsible for various provisions of the ACA at CMS have recently chartered a Data Steering Committee to make sure those involved in these efforts coordinate moving forward. We are currently engaged in defining a metadata repository which will allow for concrete mapping of entities reducing the likelihood of conflicting definitions and duplicative data collection. CMS has recently incorporated a CCIIO representative to the CMS Data Governance Board to increase coordination with other federal efforts as well.</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HealthCare.gov will continue to serve as a focal point for additional collections outside the specific scope of the exchanges. We believe that by anticipating certain needs and maintaining a degree of flexibility in the HealthCare.gov collection, we believe we can take further steps to decrease the burden from forthcoming data collections.  The Health Information Oversight System (HIOS) which is used to collect issuer and product data currently is intended to serve as our primary collection instrument. Contracts are currently being revised and generated to improve this process and expand it to cover other ACA requirements and eventually all 1103 data collection may be collected through HIOS.</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 xml:space="preserve">We believe that additional discussions, to include insurance industry representatives, are appropriate regarding the overall structure of future implementations, but note that we are under statutory guidelines which require continued provision of affordable health care information on HealthCare.gov. The emergency clearance requested for the current PRA was due to a set of </w:t>
      </w:r>
      <w:r w:rsidRPr="00CE713E">
        <w:rPr>
          <w:rFonts w:ascii="Times New Roman" w:hAnsi="Times New Roman"/>
          <w:szCs w:val="24"/>
        </w:rPr>
        <w:lastRenderedPageBreak/>
        <w:t>outstanding questions regarding other data collections, and a regular PRA process has begun which will incorporate guidance being developed under section 2715 for transparency data to include a standardized Summary of Costs and Benefits. We believe we are clearly incorporating the primary points identified by the commenters as elements for an integrated framework.</w:t>
      </w:r>
    </w:p>
    <w:p w:rsidR="009107E2" w:rsidRPr="00CE713E" w:rsidRDefault="009107E2" w:rsidP="00CE713E">
      <w:pPr>
        <w:pStyle w:val="Heading2"/>
        <w:spacing w:after="120"/>
        <w:rPr>
          <w:rFonts w:ascii="Times New Roman" w:hAnsi="Times New Roman" w:cs="Times New Roman"/>
          <w:color w:val="auto"/>
          <w:sz w:val="24"/>
          <w:szCs w:val="24"/>
        </w:rPr>
      </w:pPr>
      <w:r w:rsidRPr="00CE713E">
        <w:rPr>
          <w:rFonts w:ascii="Times New Roman" w:hAnsi="Times New Roman" w:cs="Times New Roman"/>
          <w:color w:val="auto"/>
          <w:sz w:val="24"/>
          <w:szCs w:val="24"/>
        </w:rPr>
        <w:t>Goals of the web portal/plan finder</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 xml:space="preserve">One comment takes issue with the fundamental purpose of the site, arguing we should list companies, what types of insurance they sell, and provide links to the primary company web sites. CMS contends that Congress intended through section 1103 of the ACA to provide consumers with access to consumer friendly information about available affordable health care options, requiring the ability to assess the affordability of those options. Additionally, we note that Congress did not include an end date of 2014 despite the opportunity to do so, and that Congress included other mentions of the web portal in other provisions which would appear to suggest an expanded role – specifically section 2715 and 2715A covering transparency. Congress did not deny HHS the opportunity to utilize the web portal in assisting issuers to meet other reporting provisions should this prove cost beneficial to the agency or issuers. </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While HealthCare.gov is the first centralized collection of this information for all issuers, and does allow a single point for reviewing information, we wish to note that we have only very minimally increased the number of elements being collected beyond those used for commercial sites. Centralization, standardization, and inclusiveness make HealthCare.gov qualitatively different from what is currently available in the marketplace.</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The web site warnings regarding the timeliness and accuracy of rates are standard practice, and do not suggest that base rates are erroneous. Base rates allow for comparison, and uprate and denial data provide context by which the consumer can understand the likelihood that they will receive those base rates offers. HealthCare.gov is the only site to provide such context. We include processes for attestation as well as issuer review, and have been able to respond to the few concerns issuers have expressed regarding accuracy. CMS believes base rates are an essential component of allowing consumers to compare affordable options. While we acknowledge that some consumers may be confused by the distinction between base rate and premium, we believe that HealthCare.gov does a better job of delineating the difference for consumers than do commercial sites, and we consider educating consumers about this difference to be one of the functions of the site.</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 xml:space="preserve">Two commenters ask that we only collect information immediately displayed to the public through the HealthCare.gov web site, but note exceptions used for underlying determinations. This is exactly the current approach utilized by the HealthCare.gov plan finder team. As noted, CMS is reviewing data definitions, and will provide additional guidance regarding those few elements on the current templates which are duplicative, not used, or not planned for use. We note that the vast majority of elements not displayed are either used for processing of displayed elements, data structuring and evaluation, are planned for future display, or some subset of these three.  Enrollment is incorporated into sorting and is used in evaluating compliance and coverage of the website. While no underwriting rating factors are collected, the set of eligibility and rating questions are designed into the current base rate calculation algorithms. Raw numbers of uprated offers and denials are used for displayed metrics. Plans are in place for a company level display of information, and additional eligibility and out of network costs are being scheduled for inclusion. </w:t>
      </w:r>
    </w:p>
    <w:p w:rsidR="00ED4629" w:rsidRPr="00CE713E" w:rsidRDefault="00ED4629" w:rsidP="009107E2">
      <w:pPr>
        <w:rPr>
          <w:rFonts w:ascii="Times New Roman" w:hAnsi="Times New Roman"/>
          <w:spacing w:val="-5"/>
          <w:szCs w:val="24"/>
        </w:rPr>
      </w:pPr>
    </w:p>
    <w:sectPr w:rsidR="00ED4629" w:rsidRPr="00CE713E" w:rsidSect="00223658">
      <w:pgSz w:w="12240" w:h="15840"/>
      <w:pgMar w:top="72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ont257">
    <w:altName w:val="MS Mincho"/>
    <w:charset w:val="80"/>
    <w:family w:val="auto"/>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isplayHorizontalDrawingGridEvery w:val="0"/>
  <w:displayVerticalDrawingGridEvery w:val="0"/>
  <w:doNotUseMarginsForDrawingGridOrigin/>
  <w:noPunctuationKerning/>
  <w:characterSpacingControl w:val="doNotCompress"/>
  <w:compat/>
  <w:rsids>
    <w:rsidRoot w:val="00C33035"/>
    <w:rsid w:val="00223658"/>
    <w:rsid w:val="00351193"/>
    <w:rsid w:val="00687229"/>
    <w:rsid w:val="00736F2B"/>
    <w:rsid w:val="00854D25"/>
    <w:rsid w:val="00866E04"/>
    <w:rsid w:val="008A5908"/>
    <w:rsid w:val="009107E2"/>
    <w:rsid w:val="00A90B5F"/>
    <w:rsid w:val="00C33035"/>
    <w:rsid w:val="00CE713E"/>
    <w:rsid w:val="00ED4629"/>
    <w:rsid w:val="00F033C5"/>
    <w:rsid w:val="00F86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658"/>
    <w:rPr>
      <w:sz w:val="24"/>
    </w:rPr>
  </w:style>
  <w:style w:type="paragraph" w:styleId="Heading2">
    <w:name w:val="heading 2"/>
    <w:basedOn w:val="Normal"/>
    <w:next w:val="BodyText"/>
    <w:link w:val="Heading2Char"/>
    <w:qFormat/>
    <w:rsid w:val="009107E2"/>
    <w:pPr>
      <w:keepNext/>
      <w:keepLines/>
      <w:widowControl w:val="0"/>
      <w:numPr>
        <w:ilvl w:val="1"/>
        <w:numId w:val="1"/>
      </w:numPr>
      <w:suppressAutoHyphens/>
      <w:spacing w:before="200" w:line="100" w:lineRule="atLeast"/>
      <w:outlineLvl w:val="1"/>
    </w:pPr>
    <w:rPr>
      <w:rFonts w:ascii="Cambria" w:eastAsia="Arial Unicode MS" w:hAnsi="Cambria" w:cs="font257"/>
      <w:b/>
      <w:bCs/>
      <w:color w:val="4F81BD"/>
      <w:kern w:val="1"/>
      <w:sz w:val="26"/>
      <w:szCs w:val="26"/>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223658"/>
    <w:pPr>
      <w:widowControl w:val="0"/>
      <w:tabs>
        <w:tab w:val="left" w:pos="204"/>
      </w:tabs>
      <w:spacing w:line="283" w:lineRule="atLeast"/>
    </w:pPr>
    <w:rPr>
      <w:rFonts w:ascii="Times New Roman" w:eastAsia="Times New Roman" w:hAnsi="Times New Roman"/>
    </w:rPr>
  </w:style>
  <w:style w:type="paragraph" w:customStyle="1" w:styleId="p11">
    <w:name w:val="p11"/>
    <w:basedOn w:val="Normal"/>
    <w:rsid w:val="00223658"/>
    <w:pPr>
      <w:widowControl w:val="0"/>
      <w:tabs>
        <w:tab w:val="left" w:pos="742"/>
      </w:tabs>
      <w:spacing w:line="283" w:lineRule="atLeast"/>
      <w:ind w:left="368"/>
    </w:pPr>
    <w:rPr>
      <w:rFonts w:ascii="Times New Roman" w:eastAsia="Times New Roman" w:hAnsi="Times New Roman"/>
    </w:rPr>
  </w:style>
  <w:style w:type="character" w:customStyle="1" w:styleId="Heading2Char">
    <w:name w:val="Heading 2 Char"/>
    <w:basedOn w:val="DefaultParagraphFont"/>
    <w:link w:val="Heading2"/>
    <w:rsid w:val="009107E2"/>
    <w:rPr>
      <w:rFonts w:ascii="Cambria" w:eastAsia="Arial Unicode MS" w:hAnsi="Cambria" w:cs="font257"/>
      <w:b/>
      <w:bCs/>
      <w:color w:val="4F81BD"/>
      <w:kern w:val="1"/>
      <w:sz w:val="26"/>
      <w:szCs w:val="26"/>
      <w:lang w:eastAsia="hi-IN" w:bidi="hi-IN"/>
    </w:rPr>
  </w:style>
  <w:style w:type="paragraph" w:styleId="BodyText">
    <w:name w:val="Body Text"/>
    <w:basedOn w:val="Normal"/>
    <w:link w:val="BodyTextChar"/>
    <w:uiPriority w:val="99"/>
    <w:semiHidden/>
    <w:unhideWhenUsed/>
    <w:rsid w:val="009107E2"/>
    <w:pPr>
      <w:spacing w:after="120"/>
    </w:pPr>
  </w:style>
  <w:style w:type="character" w:customStyle="1" w:styleId="BodyTextChar">
    <w:name w:val="Body Text Char"/>
    <w:basedOn w:val="DefaultParagraphFont"/>
    <w:link w:val="BodyText"/>
    <w:uiPriority w:val="99"/>
    <w:semiHidden/>
    <w:rsid w:val="009107E2"/>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2161</Words>
  <Characters>12251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HCFA</Company>
  <LinksUpToDate>false</LinksUpToDate>
  <CharactersWithSpaces>14384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subject/>
  <dc:creator>Graphics</dc:creator>
  <cp:keywords/>
  <cp:lastModifiedBy>CMS</cp:lastModifiedBy>
  <cp:revision>2</cp:revision>
  <cp:lastPrinted>2001-11-07T14:54:00Z</cp:lastPrinted>
  <dcterms:created xsi:type="dcterms:W3CDTF">2011-05-16T14:34:00Z</dcterms:created>
  <dcterms:modified xsi:type="dcterms:W3CDTF">2011-05-16T14:34:00Z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