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0807B5" w:rsidRPr="007B4710" w:rsidRDefault="007B4710" w:rsidP="000807B5">
      <w:pPr>
        <w:jc w:val="center"/>
        <w:rPr>
          <w:rFonts w:ascii="Arial" w:hAnsi="Arial" w:cs="Arial"/>
          <w:b/>
          <w:bCs/>
          <w:sz w:val="28"/>
          <w:szCs w:val="28"/>
        </w:rPr>
      </w:pPr>
      <w:r w:rsidRPr="007B4710">
        <w:rPr>
          <w:rFonts w:ascii="Arial" w:hAnsi="Arial" w:cs="Arial"/>
          <w:b/>
          <w:bCs/>
          <w:sz w:val="28"/>
          <w:szCs w:val="28"/>
        </w:rPr>
        <w:t>Procedures for State, Tribal, and Local Government Historic Preservation Programs</w:t>
      </w:r>
    </w:p>
    <w:p w:rsidR="007B4710" w:rsidRPr="007B4710" w:rsidRDefault="007B4710" w:rsidP="000807B5">
      <w:pPr>
        <w:jc w:val="center"/>
        <w:rPr>
          <w:rFonts w:ascii="Arial" w:hAnsi="Arial" w:cs="Arial"/>
          <w:b/>
          <w:bCs/>
          <w:sz w:val="28"/>
          <w:szCs w:val="28"/>
        </w:rPr>
      </w:pPr>
      <w:r w:rsidRPr="007B4710">
        <w:rPr>
          <w:rFonts w:ascii="Arial" w:hAnsi="Arial" w:cs="Arial"/>
          <w:b/>
          <w:bCs/>
          <w:sz w:val="28"/>
          <w:szCs w:val="28"/>
        </w:rPr>
        <w:t>36 CFR 61</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150437"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 xml:space="preserve">OMB Control Number </w:t>
      </w:r>
      <w:r w:rsidR="007B4710">
        <w:rPr>
          <w:rFonts w:ascii="Arial" w:hAnsi="Arial" w:cs="Arial"/>
          <w:b/>
          <w:bCs/>
          <w:sz w:val="28"/>
          <w:szCs w:val="28"/>
        </w:rPr>
        <w:t>1024-0038</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03863" w:rsidRPr="00670629" w:rsidRDefault="005C76AB" w:rsidP="007B47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sz w:val="22"/>
          <w:szCs w:val="22"/>
        </w:rPr>
      </w:pPr>
      <w:r w:rsidRPr="00670629">
        <w:rPr>
          <w:rFonts w:ascii="Arial" w:hAnsi="Arial" w:cs="Arial"/>
          <w:b/>
          <w:bCs/>
          <w:sz w:val="22"/>
          <w:szCs w:val="22"/>
        </w:rPr>
        <w:t xml:space="preserve">Terms of Clearance.  </w:t>
      </w:r>
      <w:r w:rsidR="007B4710">
        <w:rPr>
          <w:rFonts w:ascii="Arial" w:hAnsi="Arial" w:cs="Arial"/>
          <w:b/>
          <w:bCs/>
          <w:sz w:val="22"/>
          <w:szCs w:val="22"/>
        </w:rPr>
        <w:t>None.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The National Historic Preservation Act (16 U.S.C. 470 et seq.), as amended, established the programs and 36 CFR 61 further defined the programs for which NPS created the information collections in this Supporting Statement.  The programs relating to these information collections have been in operation for at least 20 years.  The programs have not changed since the Office of Management and Budget (OMB) last approved the information collections for 36 CFR 61.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The Act does not require State, tribal, or local governments to participate in these programs.  Those that do participate must meet certain requirements to maintain their eligibility for the programs and the associated funding.  Section 2 of the Act provides the declaration of policy of the Federal government with regard to historic preservation.  Section 101(b)(2) of the Act requires the Secretary of the Interior to periodically evaluate each State's historic preservation program to make a determination as to whether or not it is in compliance with the requirements of the Act.  Section 101(b) of the Act outlines the specific standards that the States must meet in order to obtain such approval.  Section 101(c)(1) requires that each approved State program must provide for a mechanism for the certification of local governments.  Pursuant to Section 101(d) of the Act, federally recognized Indian tribes, after agreement with the NPS, may assume responsibilities specified in Section 101(b)(3) and therefore use related information collections.  Section 101(a)(7)(C) and Section 101(b)(1) of the Act authorize the Secretary to revise or promulgate regulations implementing these approval and certification processes.  Section 101(c)(1)(E) requires that each certified local government (CLG) satisfactorily perform the responsibilities delegated to it under the Act.  Section 101(b)(3)(A) of the Act requires each State to survey for historic resources and maintain an inventory of such properties.  Sections 101(b)(3)(E), (F), and (I) of the Act require participating States to cooperate with, consult, and advise Federal agencies in meeting Federal agency responsibilities under the Act.  The short-hand terminology for this process is “Review and Compliance” because States assist Federal agencies in part by reviewing Federal work, undertakings, etc., for compliance with Federal responsibilities under the Act.  NPS carries out the authorities that these sections of the Act assign to the Secretary of the Interior.</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Section 108 of the Act created the Historic Preservation Fund (HPF) to support activities that carry out the purposes of the Act.  Section 101(e)(1) of the Act requires the Secretary of the Interior to administer a program of matching grants to the States.  Similarly</w:t>
      </w:r>
      <w:r w:rsidR="00CF7AFB" w:rsidRPr="003F2685">
        <w:rPr>
          <w:rFonts w:ascii="Arial" w:hAnsi="Arial" w:cs="Arial"/>
          <w:sz w:val="22"/>
          <w:szCs w:val="22"/>
        </w:rPr>
        <w:t>, S</w:t>
      </w:r>
      <w:r w:rsidRPr="003F2685">
        <w:rPr>
          <w:rFonts w:ascii="Arial" w:hAnsi="Arial" w:cs="Arial"/>
          <w:sz w:val="22"/>
          <w:szCs w:val="22"/>
        </w:rPr>
        <w:t>ections 101(d) and 101(e) of the Act direct a program of grants to Tribal Historic Preservation Offices (THPOs) for carr</w:t>
      </w:r>
      <w:r w:rsidR="003F2685" w:rsidRPr="003F2685">
        <w:rPr>
          <w:rFonts w:ascii="Arial" w:hAnsi="Arial" w:cs="Arial"/>
          <w:sz w:val="22"/>
          <w:szCs w:val="22"/>
        </w:rPr>
        <w:t xml:space="preserve">ying out their responsibilities </w:t>
      </w:r>
      <w:r w:rsidRPr="003F2685">
        <w:rPr>
          <w:rFonts w:ascii="Arial" w:hAnsi="Arial" w:cs="Arial"/>
          <w:sz w:val="22"/>
          <w:szCs w:val="22"/>
        </w:rPr>
        <w:t xml:space="preserve">under the Act.  Each year, Congress directs NPS to use part of the annual appropriation from the HPF for the State grant program and the tribal grant program.  The purpose of both the HPF State grants program and the HPF THPO grants program is to </w:t>
      </w:r>
      <w:r w:rsidRPr="003F2685">
        <w:rPr>
          <w:rFonts w:ascii="Arial" w:hAnsi="Arial" w:cs="Arial"/>
          <w:sz w:val="22"/>
          <w:szCs w:val="22"/>
        </w:rPr>
        <w:lastRenderedPageBreak/>
        <w:t>assist States and tribes in carrying out their statutory role in the national historic preservation program.  Section 103(c) requires that States pass at least 10 percent of their</w:t>
      </w:r>
      <w:r w:rsidR="00744BC0">
        <w:rPr>
          <w:rFonts w:ascii="Arial" w:hAnsi="Arial" w:cs="Arial"/>
          <w:sz w:val="22"/>
          <w:szCs w:val="22"/>
        </w:rPr>
        <w:t xml:space="preserve"> annual grant award through to CLGs.</w:t>
      </w:r>
      <w:r w:rsidRPr="003F2685">
        <w:rPr>
          <w:rFonts w:ascii="Arial" w:hAnsi="Arial" w:cs="Arial"/>
          <w:sz w:val="22"/>
          <w:szCs w:val="22"/>
        </w:rPr>
        <w:t xml:space="preserve">  Section 102 of Act gives the Secretary the authority to require reports from grantees.  Section 101(b) mandates that State staff include qualified historic preservation professionals and describes the responsibilities of each State Historic Preservation Officer.  Section 102(a) mandates that no grants to States may be awarded unless the application is in accordance with the </w:t>
      </w:r>
      <w:proofErr w:type="gramStart"/>
      <w:r w:rsidRPr="003F2685">
        <w:rPr>
          <w:rFonts w:ascii="Arial" w:hAnsi="Arial" w:cs="Arial"/>
          <w:sz w:val="22"/>
          <w:szCs w:val="22"/>
        </w:rPr>
        <w:t>Statewide</w:t>
      </w:r>
      <w:proofErr w:type="gramEnd"/>
      <w:r w:rsidRPr="003F2685">
        <w:rPr>
          <w:rFonts w:ascii="Arial" w:hAnsi="Arial" w:cs="Arial"/>
          <w:sz w:val="22"/>
          <w:szCs w:val="22"/>
        </w:rPr>
        <w:t xml:space="preserve"> historic preservation plan.  These program-specific statutory mandates (in combination with governmentwide grant requirements and restrictions) form the basis for determining which activities are eligible for HPF grant support.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Each State and tribe </w:t>
      </w:r>
      <w:r w:rsidR="00744BC0">
        <w:rPr>
          <w:rFonts w:ascii="Arial" w:hAnsi="Arial" w:cs="Arial"/>
          <w:sz w:val="22"/>
          <w:szCs w:val="22"/>
        </w:rPr>
        <w:t>approved a</w:t>
      </w:r>
      <w:r w:rsidRPr="003F2685">
        <w:rPr>
          <w:rFonts w:ascii="Arial" w:hAnsi="Arial" w:cs="Arial"/>
          <w:sz w:val="22"/>
          <w:szCs w:val="22"/>
        </w:rPr>
        <w:t xml:space="preserve">nd </w:t>
      </w:r>
      <w:r w:rsidR="00744BC0">
        <w:rPr>
          <w:rFonts w:ascii="Arial" w:hAnsi="Arial" w:cs="Arial"/>
          <w:sz w:val="22"/>
          <w:szCs w:val="22"/>
        </w:rPr>
        <w:t>local government certified</w:t>
      </w:r>
      <w:r w:rsidRPr="003F2685">
        <w:rPr>
          <w:rFonts w:ascii="Arial" w:hAnsi="Arial" w:cs="Arial"/>
          <w:sz w:val="22"/>
          <w:szCs w:val="22"/>
        </w:rPr>
        <w:t xml:space="preserve"> under these requirements is eligible to receive grant assistance.  36 CFR 61 details the processes for approval of State and tribal programs, the certification of local governments, and the monitoring and evaluation of State and CLG programs in a manner that ensures the propriety of the uses of this Federal assistance.  NPS intends the provisions of 36 CFR 61 to meet minimum standards and requirements that the Act established without imposing additional or unwarranted burdens on States, tribes, or CLGs.  None of these information collections are unfunded mandates.  Congress appropriates monies annually from the HPF for distribution to the States and territories and tribes, and States pass through HPF grant funds to CLGs.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Congress appropriates monies annually from the Historic Preservation Fund (HPF) for distribution to the 59 States and territories.  Currently Congress appropriates approximately $46 million annually for all States and local governments through the HPF.  These grantees must meet basic requirements expected of all recipients of such Federal assistance.  See OMB Circular A-102 as implemented in the Department of the Interior through 43 CFR 12.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NPS developed these program-specific information collections in consultation with State Historic Preservation Offices (SHPOs), THPOs, and CLGs.  NPS and its official partners (i.e., SHPOs, THPOs, and CLGs) designed these information collections (and related forms) to serve both NPS and partner needs.  Just as NPS needs to describe the grant program and its accomplishments to OMB, Congress, and other Federal Government </w:t>
      </w:r>
      <w:proofErr w:type="spellStart"/>
      <w:r w:rsidRPr="003F2685">
        <w:rPr>
          <w:rFonts w:ascii="Arial" w:hAnsi="Arial" w:cs="Arial"/>
          <w:sz w:val="22"/>
          <w:szCs w:val="22"/>
        </w:rPr>
        <w:t>decisionmakers</w:t>
      </w:r>
      <w:proofErr w:type="spellEnd"/>
      <w:r w:rsidRPr="003F2685">
        <w:rPr>
          <w:rFonts w:ascii="Arial" w:hAnsi="Arial" w:cs="Arial"/>
          <w:sz w:val="22"/>
          <w:szCs w:val="22"/>
        </w:rPr>
        <w:t>, States (for example) have the parallel need to describe the grant program and its accomplishmen</w:t>
      </w:r>
      <w:r w:rsidR="00B8799B">
        <w:rPr>
          <w:rFonts w:ascii="Arial" w:hAnsi="Arial" w:cs="Arial"/>
          <w:sz w:val="22"/>
          <w:szCs w:val="22"/>
        </w:rPr>
        <w:t xml:space="preserve">ts to State government </w:t>
      </w:r>
      <w:proofErr w:type="spellStart"/>
      <w:r w:rsidR="00B8799B">
        <w:rPr>
          <w:rFonts w:ascii="Arial" w:hAnsi="Arial" w:cs="Arial"/>
          <w:sz w:val="22"/>
          <w:szCs w:val="22"/>
        </w:rPr>
        <w:t>decision</w:t>
      </w:r>
      <w:r w:rsidRPr="003F2685">
        <w:rPr>
          <w:rFonts w:ascii="Arial" w:hAnsi="Arial" w:cs="Arial"/>
          <w:sz w:val="22"/>
          <w:szCs w:val="22"/>
        </w:rPr>
        <w:t>makers</w:t>
      </w:r>
      <w:proofErr w:type="spellEnd"/>
      <w:r w:rsidRPr="003F2685">
        <w:rPr>
          <w:rFonts w:ascii="Arial" w:hAnsi="Arial" w:cs="Arial"/>
          <w:sz w:val="22"/>
          <w:szCs w:val="22"/>
        </w:rPr>
        <w:t xml:space="preserve">.  NPS has a policy of designing information collections so that they can serve multiple functions.  For example, these information collections also produce performance data that NPS uses to assess its progress in meeting goals set in Departmental and NPS strategic plans created pursuant to the 1993 Government Performance and Results Act, as amended.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Some of the information collections covered by this justification relate primarily to the grants process, some relate primarily to becoming and maintaining official partner status regardless of funding, and some information collections relate to both.</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HPF grants to States and THPOs have a 2-year grant cycle.  That is, each State/THPO has the year for which Congress appropriates the funds plus one more to apply for, administer, and close out its HPF Grant.  With this Supporting Statement, NPS is seeking OMB clearance for the annualized burden imposed by the information collections associated with a single grants cycle.  In broad categories, these information collections relate to applying for the grant, administering the active grant, and reporting on performance achieved pursuant to the grant.  Because of differences in statutory authority and program needs, grants to SHPOs and to THPOs have different (although parallel) forms and other program requirements.</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These are decentralized program grants.  That is, NPS sets broad standards and guidelines, but </w:t>
      </w:r>
      <w:r w:rsidRPr="003F2685">
        <w:rPr>
          <w:rFonts w:ascii="Arial" w:hAnsi="Arial" w:cs="Arial"/>
          <w:sz w:val="22"/>
          <w:szCs w:val="22"/>
        </w:rPr>
        <w:lastRenderedPageBreak/>
        <w:t>each State/THPO chooses individual projects and activities to fund in response to its own priorities.  NPS presumes that State/</w:t>
      </w:r>
      <w:r w:rsidR="00B8799B">
        <w:rPr>
          <w:rFonts w:ascii="Arial" w:hAnsi="Arial" w:cs="Arial"/>
          <w:sz w:val="22"/>
          <w:szCs w:val="22"/>
        </w:rPr>
        <w:t>t</w:t>
      </w:r>
      <w:r w:rsidRPr="003F2685">
        <w:rPr>
          <w:rFonts w:ascii="Arial" w:hAnsi="Arial" w:cs="Arial"/>
          <w:sz w:val="22"/>
          <w:szCs w:val="22"/>
        </w:rPr>
        <w:t xml:space="preserve">ribal historic preservation officials manage their programs and grants in an </w:t>
      </w:r>
      <w:proofErr w:type="gramStart"/>
      <w:r w:rsidRPr="003F2685">
        <w:rPr>
          <w:rFonts w:ascii="Arial" w:hAnsi="Arial" w:cs="Arial"/>
          <w:sz w:val="22"/>
          <w:szCs w:val="22"/>
        </w:rPr>
        <w:t>accountable</w:t>
      </w:r>
      <w:proofErr w:type="gramEnd"/>
      <w:r w:rsidRPr="003F2685">
        <w:rPr>
          <w:rFonts w:ascii="Arial" w:hAnsi="Arial" w:cs="Arial"/>
          <w:sz w:val="22"/>
          <w:szCs w:val="22"/>
        </w:rPr>
        <w:t xml:space="preserve"> way unless situations indicate the contrary.  NPS uses a minimum of oversight and limits the use of more intensive Federal management review procedures to high risk situations.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NPS has developed a number of forms to meet governmentwide and program-specific requirements for grant applications, grant amendments, financial and program performance reports, and general quality control.  OMB Circular A-102, which the Department of the Interior (DOI) implements through 43 CFR 12, requires these program elements.  NPS has supplemented these governmentwide requirements and forms to meet program-specific requirements.  For States, the forms are the Cumulative Products Table, the Sources of Nonfederal Matching Share Report, the Project/Activity Database Report, Project Notifications, Final Project Reports,  and the Annual Achievements Report for States.  For THPOs, the forms are a “Grants Product Summary Ta</w:t>
      </w:r>
      <w:r w:rsidR="003F2685" w:rsidRPr="003F2685">
        <w:rPr>
          <w:rFonts w:ascii="Arial" w:hAnsi="Arial" w:cs="Arial"/>
          <w:sz w:val="22"/>
          <w:szCs w:val="22"/>
        </w:rPr>
        <w:t>ble,” an unexpended funds carry</w:t>
      </w:r>
      <w:r w:rsidRPr="003F2685">
        <w:rPr>
          <w:rFonts w:ascii="Arial" w:hAnsi="Arial" w:cs="Arial"/>
          <w:sz w:val="22"/>
          <w:szCs w:val="22"/>
        </w:rPr>
        <w:t>over statement, and a “THPO Annual Report” (a narrative summary of important accomplishments).  For CLGs, the forms are the  Baseline Questionnaire for CLGs and the  Annual Achievements Report for CLGs.</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The State Cumulative Products Table form provides for concise, standardized summary data that functions as part of a State application for grant monies from the HPF.  NPS also uses the Cumulative Products Table for performance reports, comparing planned versus actual performance in statutorily-derived program areas.  NPS also uses these information collections for s</w:t>
      </w:r>
      <w:r w:rsidR="00B8799B">
        <w:rPr>
          <w:rFonts w:ascii="Arial" w:hAnsi="Arial" w:cs="Arial"/>
          <w:sz w:val="22"/>
          <w:szCs w:val="22"/>
        </w:rPr>
        <w:t>ummary data that is used in NPS</w:t>
      </w:r>
      <w:r w:rsidRPr="003F2685">
        <w:rPr>
          <w:rFonts w:ascii="Arial" w:hAnsi="Arial" w:cs="Arial"/>
          <w:sz w:val="22"/>
          <w:szCs w:val="22"/>
        </w:rPr>
        <w:t xml:space="preserve"> and DOI strategic plans as well as for data that might be used as a partial basis for apportioning Historic Preservation Fund grants among the States.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NPS originally developed the State Cumulative Products Table and the State Sources of Nonfederal Matching Share Report to address a Congressional request for better information.  Congress wanted information on the "level of activity, administrative support, the uses to which Federal matching assistance is put, and the level of State and local financial support" (Conference Committee Report, H.R. 98-399 for the FY 1984 Department of the Interior Appropriations Act).  Congress wanted the basis to make better-informed decisions relating to the HPF.  Similarly, NPS developed the annual State Project/Activity Database Report as a performance report at the request of the State grantees to serve the function of obtaining better and more useable data on individual projects and activities supported by HPF and matching funds.  The Secretary already had the authority to create these (and the other) information collections pursuant to Sections 101, 102, and 103 of the Act as</w:t>
      </w:r>
      <w:r w:rsidR="00B8799B">
        <w:rPr>
          <w:rFonts w:ascii="Arial" w:hAnsi="Arial" w:cs="Arial"/>
          <w:sz w:val="22"/>
          <w:szCs w:val="22"/>
        </w:rPr>
        <w:t xml:space="preserve"> well as pursuant to </w:t>
      </w:r>
      <w:proofErr w:type="spellStart"/>
      <w:r w:rsidR="00B8799B">
        <w:rPr>
          <w:rFonts w:ascii="Arial" w:hAnsi="Arial" w:cs="Arial"/>
          <w:sz w:val="22"/>
          <w:szCs w:val="22"/>
        </w:rPr>
        <w:t>governmentw</w:t>
      </w:r>
      <w:r w:rsidRPr="003F2685">
        <w:rPr>
          <w:rFonts w:ascii="Arial" w:hAnsi="Arial" w:cs="Arial"/>
          <w:sz w:val="22"/>
          <w:szCs w:val="22"/>
        </w:rPr>
        <w:t>ide</w:t>
      </w:r>
      <w:proofErr w:type="spellEnd"/>
      <w:r w:rsidRPr="003F2685">
        <w:rPr>
          <w:rFonts w:ascii="Arial" w:hAnsi="Arial" w:cs="Arial"/>
          <w:sz w:val="22"/>
          <w:szCs w:val="22"/>
        </w:rPr>
        <w:t xml:space="preserve"> requirements for Federal grants.  The need for these kinds of data has not changed since NPS created the information collections.</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Each State uses the Sources of Non-Federal Matching Share Report to provide concise, summary information on the level of (and sources for) the financial support that the State uses to match its Federal HPF grant.  NPS uses the Sources of Non-Federal Matching Share Report to help ensure that States meet the statutory requirements for a minimum level of nonfederal matching share.  Seven “States” are statutorily exempted from requirements to match Federal grants (48 U.S.C. 1469a) because they are territories.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The Project/Activity Database Report contains concise, summary information on each subgrant and each “major” (as defined by each State) in-house activity.  NPS also uses the Project/Activity Database Report to confirm that States meet statutory requirements concerning subgrants to CLGs.  NPS uses Project Notifications (for planned projects) and Final Project Reports (for completed projects) to monitor larger (i.e., greater than $25,000 Federal share) </w:t>
      </w:r>
      <w:r w:rsidRPr="003F2685">
        <w:rPr>
          <w:rFonts w:ascii="Arial" w:hAnsi="Arial" w:cs="Arial"/>
          <w:sz w:val="22"/>
          <w:szCs w:val="22"/>
        </w:rPr>
        <w:lastRenderedPageBreak/>
        <w:t xml:space="preserve">subgrants and subgrants that high-risk grantees make.  The Unexpended Funds Carryover Table and Statement is the means that NPS uses to monitor its "Use or Lose" policy, thus ensuring an effective use of appropriated funds and a high expenditure rate.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The THPO Grants Product Summary Page form provides for concise, standardized summary data that functions as part of a THPO’s performance report on its use of grant monies from the HPF.  The THPO Unexpended Funds Carryover Statement is the means that NPS uses to monitor its "Use or Lose" policy for HPF grants to THPOs, thus ensuring an effective use of appropriated funds and a high expenditure rate.  NPS also uses these information collections for s</w:t>
      </w:r>
      <w:r w:rsidR="00B8799B">
        <w:rPr>
          <w:rFonts w:ascii="Arial" w:hAnsi="Arial" w:cs="Arial"/>
          <w:sz w:val="22"/>
          <w:szCs w:val="22"/>
        </w:rPr>
        <w:t>ummary data that is used in NPS</w:t>
      </w:r>
      <w:r w:rsidRPr="003F2685">
        <w:rPr>
          <w:rFonts w:ascii="Arial" w:hAnsi="Arial" w:cs="Arial"/>
          <w:sz w:val="22"/>
          <w:szCs w:val="22"/>
        </w:rPr>
        <w:t xml:space="preserve"> and D</w:t>
      </w:r>
      <w:r w:rsidR="00B8799B">
        <w:rPr>
          <w:rFonts w:ascii="Arial" w:hAnsi="Arial" w:cs="Arial"/>
          <w:sz w:val="22"/>
          <w:szCs w:val="22"/>
        </w:rPr>
        <w:t>OI</w:t>
      </w:r>
      <w:r w:rsidRPr="003F2685">
        <w:rPr>
          <w:rFonts w:ascii="Arial" w:hAnsi="Arial" w:cs="Arial"/>
          <w:sz w:val="22"/>
          <w:szCs w:val="22"/>
        </w:rPr>
        <w:t xml:space="preserve"> strategic plans.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NPS also has information collections/tracking requirements that do not employ a specified form or format or for which a form is optional.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As a part of the grant application, States use an Organization Chart and Staffing Summary to demonstrate the involvement of appropriately-qualified historic preservation professionals in grant-supported, HPF-eligible activities.  States also provide an Anticipated Activities List to demonstrate both major planned activities in each of the areas of SHPO responsibilities that the Act mandates and (as required by the Act) to demonstrate the connection between planned activities and the Statewide Historic Preservation Plan.  Each State’s End of Year Report includes the Significant Preservation Accomplishments Summary, a brief narrative of three to five grant-supported-accomplishments chosen by the State to illustrate its “success stories.”  There should be a correlation between the major activities that the State describes in the application and the success stories that the State describes in the End-of-Year Report.  On a voluntary basis, States complete an Annual Achievements Report for States that estimates the number of historic properties designated/protected under State law regardless of the funding source.  Also, on a voluntary basis, States that have not participated in the annual report process for a while or that have identified errors in recent annual reports complete a Baseline Questionnaire.  However, fewer than 10 States do this each year.  As such this does not meet the definition of information collection, so burden estimates are not proved below for the Baseline Questionnaire for States.  As a member of the national historic preservation partnership, the Act requires that each State must – after evaluation against national standards -- add properties to the State Inventory and through a “Review and Compliance” process assist Federal agencies in carrying out their historic preservation responsibilities.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Each State (that has general purpose political subdivisions) also has a statutory responsibility to participate in a Local Government Certification Process whereby qualified and willing local governments become official members of the national historic preservation partnership as “Certified Local Governments” (CLGs).  On a voluntary basis, CLGs complete a one-time only Baseline Questionnaire for CLGs that identifies the historic preservation programs that the CLG has created under local law along with an estimate of the cumulative number of historic properties that have been designated/protected under those programs (regardless of the funding source) for those activities carried out as a part of the national historic preservation partnership.  Thereafter, on a voluntary basis, CLGs complete an Annual Achievements Report for CLGs that estimates the number of historic properties designated/protected under local law regardless of the funding source.  States periodically must also conduct a CLG Monitoring and</w:t>
      </w:r>
      <w:r w:rsidR="00B8799B">
        <w:rPr>
          <w:rFonts w:ascii="Arial" w:hAnsi="Arial" w:cs="Arial"/>
          <w:sz w:val="22"/>
          <w:szCs w:val="22"/>
        </w:rPr>
        <w:t xml:space="preserve"> </w:t>
      </w:r>
      <w:r w:rsidRPr="003F2685">
        <w:rPr>
          <w:rFonts w:ascii="Arial" w:hAnsi="Arial" w:cs="Arial"/>
          <w:sz w:val="22"/>
          <w:szCs w:val="22"/>
        </w:rPr>
        <w:t>Evaluation Process to ensure continued compliance with statutory requirements for CLGs.  Similarly, the Act requires NPS (through the State Program Review Process) periodically to monitor and evaluate State compliance with statutory requirements.</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The “THPO Annual Report” is a short narrative summary of important accomplishments carried out as a part of Tribe’s membership in the national historic preservation partnership.</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The NPS, other Federal agencies, State, tribal, and local governments, public and private organizations, and individuals use – to varying degrees – the data from the information collections that this supporting statement covers.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uses the information provided by State, tribal, and local governments to evaluate whether or not State, tribal, and local governments meet minimum standards and requirements for participation in the national historic preservation program and to meet governmentwide requirements for Federal grant programs.  The decision by a State, tribal, or local government to seek approval, certification, or funding is voluntary, but completing the information collections is required to obtain the benefits of participation.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Also, NPS may use the information in part (in accordance with an apportionment formula) to determine the amount that each State and territory is to receive from the HPF appropriation in the next fiscal year.  NPS also uses data from these information collections in reports on the grant program’s accomplishments, budget documents, as well as NPS and Department of the Interior’s strategic plan documents.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Although NPS establishes the minimum requirements for documentation, NPS generally does not require the use of specific forms or recordkeeping formats.  Grantees may copy and use the model forms.  States may use the NPS-designed, online database software to generate required information.  Alternatively, for some information collections, State, tribal, and local government partners may use off-the-shelf word-processing, database, or spread sheet software to adjust the model format to each grantee’s particular situation.  Generally speaking, as long as the partner provides all of the required elements, the State, tribal, or local partner may use whatever format (e.g., spread sheets) or transmittal means (e.g., e-mail) that it chooses to submit the data.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State, tribal, and local government partners use the information collections to demonstrate their eligibility for grant support, to document their compliance with statutorily-mandated responsibilities for historic preservation offices, to plan for and report on their historic preservation performance, and to demonstrate their contributions to the Federal-State-tribal-local national historic preservation partnership.  Information related to program capability and to program achievements in the identification, evaluation, registration, and protection of irreplaceable historic and prehistoric resources is used by the general public and by decisionmakers at all levels of government to assess the success of historic preservation programs everywhere.</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The information collections fall into the categories listed below.  </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 xml:space="preserve">a.  Application Requirement – Local Government Certification Application and Agreement.  Local governments apply for certification as an official historic preservation partner pursuant to Section 101(c) of the Act and 36 CFR 61.  To be eligible for certification, each local government must agree to enforce appropriate preservation laws, maintain a local survey and inventory system for historic resources, maintain a qualified local historic preservation review commission, involve the public in its preservation program, and satisfactorily carry out its responsibilities under the CLG program.  Although many local governments already meet the requirements of the rule, it is necessary for them to prepare documentation and request certification.  The request for certification is a one-time requirement so long as a local government maintains a certified status.  The Act requires that the State and NPS jointly certify each local government.  Each interested local government prepares the certification materials </w:t>
      </w:r>
      <w:r w:rsidRPr="00BB3E95">
        <w:rPr>
          <w:rFonts w:ascii="Arial" w:hAnsi="Arial" w:cs="Arial"/>
          <w:sz w:val="22"/>
          <w:szCs w:val="22"/>
        </w:rPr>
        <w:lastRenderedPageBreak/>
        <w:t>and sends them to the SHPO for review and certification.  After the State certifies the eligibility of the local government, the State forwards the material to NPS to complete the certification process.  Successful applicants sign (along with the State) a certification agreement that spells out its rights and responsibilities as a CLG in that State.  All 50 States that have local entities that meet the statutory definition of “local government” participate in the CLG program and have at least two CLGs.  NPS has posted on its Certified Local Government website, contact information for each State’s CLG program.</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Each CLG and its SHPO use the certification agreement to define the specific mutual expectations and commitments in this formal partnership.  As a public document, the certification agreement directly (or by cross reference) defines for each CLG’s citizens how it has decided to organize its program to preserve its irreplaceable community heritage.  It is a part of the local blueprint for historic preservation.</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Once the certification process has been completed, NPS adds the name of the CLG as well as the CLG’s local contact person to NPS’ CLG website, thus giving any interested party the means to find out about historic preservation within that local government’s jurisdiction.  Many States post similar information on their State Historic Preservation Office’s website.</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b.  Quality Control Requirement – Certified Local Government (CLG) Monitoring.  Pursuant to Section 101(c)(1)(E) of the Act and 36 CFR Part 61.6(e), every State that has a CLG program has written procedures for monitoring its CLGs’ compliance with Federal and State requirements as well as the responsibilities specified in each CLG’s certification agreement.  NPS does not specify how each State conducts its monitoring.  Each State determines the details of its own monitoring process.  Monitoring is an ongoing process that involves State examination of information that CLGs provide routinely to the State over the course of the year.  For example, quite often review of materials related to the Federal Historic Preservation Fund-supported and State-selected subgrants to CLGs serves the dual purpose of checking compliance with Federal governmentwide grant requirements as well as CLG program requirements.  This information collection is subject to NPS review during State Program Review.  The information is retained in the State Historic Preservation Office.  Except for unusual occasions, NPS sees this information only during State Program Review.  State monitoring and evaluation of CLGs gives NPS and others increased confidence in the validity of data that CLGs provide in other venues.</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SHPOs and CLGs use the monitoring process for both quality control purposes as well as the means to report to their decisionmakers and constituents on the workload and accomplishments associated with each CLG’s historic preservation program and CLGs collectively within the State.  </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 xml:space="preserve">c.  Quality Control Requirement – Certified Local Government (CLG) Evaluation.  Pursuant to Section 101(c)(1)(E) of the Act and 36 CFR Part 61.6(e), every State that has a CLG program has written procedures for making a periodic formal evaluation of each CLG’s compliance with Federal and State requirements as well as the responsibilities specified in each CLG’s certification agreement.  NPS does not specify how each State conducts its evaluations.  Each State determines its own cycle for formal evaluation of each CLG.  Cycles vary from State to State but the trend is for States to formally evaluate each CLG at least once every 4 years, unless individual circumstances dictate the need for a more frequent review.  Each State determines the details of its own evaluation process.  This information collection is subject to NPS review during State Program Review.  Materials related to CLG evaluations are retained in the SHPO.  Except for unusual occasions, NPS sees this information only during State Program Review.  State monitoring and evaluation of CLGs gives NPS and others increased confidence </w:t>
      </w:r>
      <w:r w:rsidRPr="00BB3E95">
        <w:rPr>
          <w:rFonts w:ascii="Arial" w:hAnsi="Arial" w:cs="Arial"/>
          <w:sz w:val="22"/>
          <w:szCs w:val="22"/>
        </w:rPr>
        <w:lastRenderedPageBreak/>
        <w:t>in the validity of data that CLGs provide in other venues.</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State Historic Preservation Offices and CLGs use the formal evaluation process for both quality control purposes as well as the means to report to their decisionmakers and constituents that the CLG’s historic preservation program continues to meet the Federal and State requirements for membership in the Federal-State-Local Historic Preservation Partnership.  </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d.  Reporting and Quality Control Option – Baseline Questionnaire for CLGs.  On a voluntary basis, CLGs complete a one-time only Baseline Questionnaire for CLGs that identifies the historic preservation programs that the CLG has created under local law along with an estimate of the cumulative number of historic properties that have been designated/protected under those programs regardless of the funding source.</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The questions and blanks correspond to standard types of historic preservation (mandated and/or authorized) commonly practiced by CLGs.  The data are readily-available information that local historic preservation programs would keep even if they were not a part of the national historic preservation partnership.  The blanks in this form were developed in consultation with the partners in the CLG program; i.e., States and local governments both individually and collectively.  State CLG Program Coordinators have the option to participate in gathering and reviewing this information.  NPS shares the information with all States whether or not they are involved in the gathering of it.</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makes several uses of the information data supplied in the Baseline Questionnaire.  NPS reviews the Baseline Questionnaire for compliance with national statutory requirements for CLGs by checking for the presence of nationally-required programs and activity.  State CLG Coordinators perform the same review for nationally authorized but State-selected requirements.  In reviewing the Baseline Questionnaire summary figures for completed products, NPS (and State CLG Coordinators) also check for reasonableness, anomalies, and consistency what is known both about the individual CLGs and other CLGs within the State.  NPS and State reviewers will ask for an explanation where a summary number is significantly larger or smaller than one would normally expect.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Finally, NPS uses the actual figures in reports on CLG accomplishments, budget documents, NPS’ and Department of the Interior’s strategic plan documents.  The information that is a part of the Baseline Questionnaire is also useful for decisionmakers at the State and local government level to understand the scope and scale of historic preservation efforts.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NPS posts the Baseline Questionnaire summary data to NPS’ CLG website, thus giving any interested party the means to find out about historic preservation within that local government’s jurisdiction.  Many States post similar information on their SHPOs website.</w:t>
      </w:r>
      <w:r w:rsidR="004E5033">
        <w:rPr>
          <w:rFonts w:ascii="Arial" w:hAnsi="Arial" w:cs="Arial"/>
          <w:sz w:val="22"/>
          <w:szCs w:val="22"/>
        </w:rPr>
        <w:t xml:space="preserve">  </w:t>
      </w:r>
      <w:r w:rsidRPr="00BB3E95">
        <w:rPr>
          <w:rFonts w:ascii="Arial" w:hAnsi="Arial" w:cs="Arial"/>
          <w:sz w:val="22"/>
          <w:szCs w:val="22"/>
        </w:rPr>
        <w:t>CLGs often rely heavily on volunteers to carry out CLG responsibilities.  Answers provided on the Baseline Questionnaire are often a good indicator of where technical assistance should be targeted.</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 xml:space="preserve">e.  Reporting and Quality Control Option – Annual Achievements Report for CLGs.  On a voluntary basis, CLGs complete an Annual Report for CLGs that identifies the historic preservation programs that the CLG has created under local law and estimates the number of historic properties designated/protected under local law during the reporting year regardless of the funding source but that are accomplished under activities carried out as a part of the national historic preservation partnership.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The questions and blanks correspond to standard types of historic preservation (mandated and/or authorized) commonly practiced by CLGs.  The data are readily-available information </w:t>
      </w:r>
      <w:r w:rsidRPr="00BB3E95">
        <w:rPr>
          <w:rFonts w:ascii="Arial" w:hAnsi="Arial" w:cs="Arial"/>
          <w:sz w:val="22"/>
          <w:szCs w:val="22"/>
        </w:rPr>
        <w:lastRenderedPageBreak/>
        <w:t>that local historic preservation programs would keep even if they were not a part of the national historic preservation partnership.  The blanks in this form were developed in consultation with the partners in the CLG program; i.e., States and local governments both individually and collectively.  States/CLGs are not required to use the form that NPS provides as a template.  State CLG Program Coordinators have the option to participate in gathering and reviewing this information.  NPS shares the information with all States whether or not they are involved in the gathering of it.</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makes several uses of the information data supplied in the Annual Achievements Report for CLGs.  In reviewing the Annual Report summary figures for completed products, NPS (and State CLG Coordinators) check for reasonableness, anomalies, and consistency what is known both about the individual CLGs and other CLGs within the State.  NPS and State reviewers will ask for an explanation where a summary number is significantly larger or smaller than one would normally expect.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Finally, NPS uses the actual figures in reports on CLG accompli</w:t>
      </w:r>
      <w:r w:rsidR="004E5033">
        <w:rPr>
          <w:rFonts w:ascii="Arial" w:hAnsi="Arial" w:cs="Arial"/>
          <w:sz w:val="22"/>
          <w:szCs w:val="22"/>
        </w:rPr>
        <w:t xml:space="preserve">shments, budget documents, </w:t>
      </w:r>
      <w:proofErr w:type="gramStart"/>
      <w:r w:rsidR="004E5033">
        <w:rPr>
          <w:rFonts w:ascii="Arial" w:hAnsi="Arial" w:cs="Arial"/>
          <w:sz w:val="22"/>
          <w:szCs w:val="22"/>
        </w:rPr>
        <w:t>NPS</w:t>
      </w:r>
      <w:proofErr w:type="gramEnd"/>
      <w:r w:rsidR="004E5033">
        <w:rPr>
          <w:rFonts w:ascii="Arial" w:hAnsi="Arial" w:cs="Arial"/>
          <w:sz w:val="22"/>
          <w:szCs w:val="22"/>
        </w:rPr>
        <w:t xml:space="preserve"> </w:t>
      </w:r>
      <w:r w:rsidRPr="00BB3E95">
        <w:rPr>
          <w:rFonts w:ascii="Arial" w:hAnsi="Arial" w:cs="Arial"/>
          <w:sz w:val="22"/>
          <w:szCs w:val="22"/>
        </w:rPr>
        <w:t>and D</w:t>
      </w:r>
      <w:r w:rsidR="004E5033">
        <w:rPr>
          <w:rFonts w:ascii="Arial" w:hAnsi="Arial" w:cs="Arial"/>
          <w:sz w:val="22"/>
          <w:szCs w:val="22"/>
        </w:rPr>
        <w:t xml:space="preserve">OI </w:t>
      </w:r>
      <w:r w:rsidRPr="00BB3E95">
        <w:rPr>
          <w:rFonts w:ascii="Arial" w:hAnsi="Arial" w:cs="Arial"/>
          <w:sz w:val="22"/>
          <w:szCs w:val="22"/>
        </w:rPr>
        <w:t xml:space="preserve">strategic plan documents.  The information that is a part of the Annual Report is also useful for decisionmakers at the State and local government level to understand the scope and scale of historic preservation efforts.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NPS posts the Annual Report summary data to NPS’ CLG website, thus giving any interested party the means to find out about historic preservation within that local government’s jurisdiction.  Many States post similar information on their SHPOs website.</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CLGs often rely heavily on volunteers to carry out CLG responsibilities.  Answers provided on the Annual Report are often a good indicator of where technical assistance should be targeted.</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 xml:space="preserve">f.  Recordkeeping Requirement – State Inventory Maintenance.  Section 101(b)(3)(A) of the Act and 36 CFR 61 require each State to maintain a statewide inventory of historic resources.  NPS requires that State inventory records include a description of the property, information on its location, and the State's opinion on the property's significance.  There is no federally-prescribed format for State inventory information and many States maintain information in their inventories beyond NPS’ minimum requirements.  The Federal inventory requirement generally does not place significant additional burden on States.  Maintaining such inventories is a basic historic preservation responsibility in the States that they have conducted at a professionally advanced level for many years.  The acquisition of more inventory information facilitates each State’s ability to meet its responsibility to advise Federal agencies about historic and prehistoric resources in the State.  Most States have completed or are in the process of completing the automation of their inventories.  NPS does not dictate the method that is used for automation.  Automation, however, has changed the nature of the burden.  Data entry has become the major burden related to inventory maintenance.  NPS has changed its burden analysis and focus accordingly; i.e., to the burden of processing new records into the State inventory.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This information collection is subject to NPS review during State Program Review.  It is retained in the SHPO.  Except for grant data and unusual occasions, NPS sees this information only during State Program Review.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SHPOs use inventory maintenance data as part of reporting to report to their decisionmakers and constituents on the workload and accomplishments associated with each State’s historic preservation program.</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lastRenderedPageBreak/>
        <w:t>Each inventory is the repository of what is known about historic and prehistoric resources within each State.  As such, Federal, State, Tribal, and Local Government agencies, academic institutions, and members of the public use the information for research, planning, and/or celebratory purposes.  A few States have made their inventory data available online to their constituents (although reserving locational data for some fragile/sensitive properties such as archeological sites that might be subject to looting).</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g.  Recordkeeping Requirement – State Technical Assistance to Federal Agencies (Review and Compliance).  Sections 101(b)(3)(E), (F), and (I) of the Act require participating States to cooperate with, consult, and advise Federal agencies in meeting Federal agency responsibilities under the Act.  The short-hand terminology for this process is “Review and Compliance” because States assist Federal agencies in part by reviewing Federal work, undertakings, etc., for compliance with Federal responsibilities under the Act.  When Federal agencies request assistance under these statutory provisions, NPS requires that States review, monitor, and respond to the request within a prescribed review period (generally no later than 30 days).  To be able to check State compliance with this requirement, NPS requires each State to maintain a tracking system that identifies 1) the Federal undertaking being reviewed, 2) the date the State received the request, 3) the result or outcome of the review, and 4) the date the State transmitted the review’s result to the Federal agency.  This tracking system requirement formalized what most States were already doing.  State historic preservation officials want to know about and have a timely opportunity to comment on Federal undertakings that might adversely affect historic and prehistoric resources located within the State.</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This information collection is subject to NPS review during State Program Review.  It is retained in the SHPO.  NPS sees this information only during State Program Review.  State monitoring and evaluation of the Review and Compliance process gives NPS and others increased confidence in the validity of data that States provide in other venues.</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SHPOs use the monitoring process for both quality control purposes as well as the means to report to their decisionmakers and constituents on the workload and accomplishments associated with each with its review and compliance program.  </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h.  Reporting Requirement – State Program Review.  Pursuant to Section 101(b) of the Act, NPS evaluates each State program for conformance with the requirements of the Act as specified in 36 CFR 61.  This involves the documentation of basic information concerning historic preservation activities by the State.  The State Program Review involves an examination of State activities in the general program areas specified by the Act and related regulations.  The examination checks to see that each State has adequate systems in place and that it uses its NPS-approved systems.  State Program Review also does a spot check on the results that State systems produce.  This gives NPS and others increased confidence in the validity of data that States provide in other venues.</w:t>
      </w:r>
    </w:p>
    <w:p w:rsidR="0018447E" w:rsidRPr="00BB3E95" w:rsidRDefault="0018447E" w:rsidP="0018447E">
      <w:pPr>
        <w:rPr>
          <w:rFonts w:ascii="Arial" w:hAnsi="Arial" w:cs="Arial"/>
          <w:sz w:val="22"/>
          <w:szCs w:val="22"/>
        </w:rPr>
      </w:pPr>
    </w:p>
    <w:p w:rsidR="0018447E" w:rsidRPr="00BB3E95" w:rsidRDefault="0018447E" w:rsidP="0018447E">
      <w:pPr>
        <w:ind w:firstLine="720"/>
        <w:rPr>
          <w:rFonts w:ascii="Arial" w:hAnsi="Arial" w:cs="Arial"/>
          <w:sz w:val="22"/>
          <w:szCs w:val="22"/>
        </w:rPr>
      </w:pPr>
      <w:r w:rsidRPr="00BB3E95">
        <w:rPr>
          <w:rFonts w:ascii="Arial" w:hAnsi="Arial" w:cs="Arial"/>
          <w:sz w:val="22"/>
          <w:szCs w:val="22"/>
        </w:rPr>
        <w:t>i.   Application and Reporting Requirement – State Cumulative Products Table.  The Cumulative Products Table collects information on Outlay ($), Effort (time spent), and selected Products.  States partially fill out (e.g., projected Products) the Cumulative Products Table for the HPF annual grant application.  They fill out the remainder (e.g., actual Products) for the End-of-Year Report.  Inasmuch as national figures for Outlay and Effort have shown relatively little variation from year to year, effective with the FY 1996 End-of-Year Report, States no longer report Outlay and Effort on a yearly basis.  NPS may require States to report those figures periodically or if the national funding situation changes dramatically.  In recent years, the total annual approp</w:t>
      </w:r>
      <w:r w:rsidR="00222B0F">
        <w:rPr>
          <w:rFonts w:ascii="Arial" w:hAnsi="Arial" w:cs="Arial"/>
          <w:sz w:val="22"/>
          <w:szCs w:val="22"/>
        </w:rPr>
        <w:t>riations for the 59 States and t</w:t>
      </w:r>
      <w:r w:rsidRPr="00BB3E95">
        <w:rPr>
          <w:rFonts w:ascii="Arial" w:hAnsi="Arial" w:cs="Arial"/>
          <w:sz w:val="22"/>
          <w:szCs w:val="22"/>
        </w:rPr>
        <w:t xml:space="preserve">erritories have remained fairly level.  NPS does not require States to report on actual Products figures in the Cumulative Products Table when the </w:t>
      </w:r>
      <w:r w:rsidRPr="00BB3E95">
        <w:rPr>
          <w:rFonts w:ascii="Arial" w:hAnsi="Arial" w:cs="Arial"/>
          <w:sz w:val="22"/>
          <w:szCs w:val="22"/>
        </w:rPr>
        <w:lastRenderedPageBreak/>
        <w:t xml:space="preserve">States already provide the information in other documents or when NPS' own records provide a good approximation.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The Cumulative Products Table is divided into “program areas” that correspond to SHPO responsibilities that Section 101(b)(3) of the Act specifies.  Each State provides planned and actual performance for the key (and most common) products in each program area.  The blanks in this form were developed in consultation with the States both individually and collectively through the National Conference of State Historic Preservation Officers.</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In addition to documenting compliance with statutory and grant requirements, SHPOs use the Cumulative Products Table as a means to help plan for their historic preservation activities as well as to report in a summary fashion to their decisionmakers and constituents on the workload and accomplishments associated with each State’s historic preservation program.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NPS makes several uses of the summary data supplied in the Cumulative Products Table.  As part of the State application and End-of-Year Report, NPS reviews the Cumulative Products Table for compliance with SHPO statutory responsibilities by checking for planned and completed tangible products in the various program areas.  As part of the quality control review of the application, NPS checks the Cumulative Products Table for reasonableness, anomalies, and consistencies with other parts of the application.  The summary figures for planned products should be in an amount that is reasonable given the level of proposed funding.  The summary planned numbers in the Cumulative Products Table should be consistent with the descriptions in the Anticipated Acti</w:t>
      </w:r>
      <w:r w:rsidR="00222B0F">
        <w:rPr>
          <w:rFonts w:ascii="Arial" w:hAnsi="Arial" w:cs="Arial"/>
          <w:sz w:val="22"/>
          <w:szCs w:val="22"/>
        </w:rPr>
        <w:t>vities List (see 2k</w:t>
      </w:r>
      <w:r w:rsidRPr="00BB3E95">
        <w:rPr>
          <w:rFonts w:ascii="Arial" w:hAnsi="Arial" w:cs="Arial"/>
          <w:sz w:val="22"/>
          <w:szCs w:val="22"/>
        </w:rPr>
        <w:t xml:space="preserve"> below).  Finally, if a proposed summa</w:t>
      </w:r>
      <w:r w:rsidR="00222B0F">
        <w:rPr>
          <w:rFonts w:ascii="Arial" w:hAnsi="Arial" w:cs="Arial"/>
          <w:sz w:val="22"/>
          <w:szCs w:val="22"/>
        </w:rPr>
        <w:t>ry number (especially for a non</w:t>
      </w:r>
      <w:r w:rsidRPr="00BB3E95">
        <w:rPr>
          <w:rFonts w:ascii="Arial" w:hAnsi="Arial" w:cs="Arial"/>
          <w:sz w:val="22"/>
          <w:szCs w:val="22"/>
        </w:rPr>
        <w:t>discretionary activity) is significantly larger or smaller than one would normally expect for a given level of funding, NPS staff will ask the State to confirm or alter the estimate.  In reviewing the summary figures for completed products, NPS will also check for reasonableness, anomalies, and consistency both with other portions of the End-of-Year Report and with the activities planned in the application.  NPS will ask for an explanation where there is a significant difference between planned and actual figures.  Finally, NPS uses the actual figures in reports on the grant program’s accompl</w:t>
      </w:r>
      <w:r w:rsidR="00222B0F">
        <w:rPr>
          <w:rFonts w:ascii="Arial" w:hAnsi="Arial" w:cs="Arial"/>
          <w:sz w:val="22"/>
          <w:szCs w:val="22"/>
        </w:rPr>
        <w:t xml:space="preserve">ishments, budget documents, NPS and DOI </w:t>
      </w:r>
      <w:r w:rsidRPr="00BB3E95">
        <w:rPr>
          <w:rFonts w:ascii="Arial" w:hAnsi="Arial" w:cs="Arial"/>
          <w:sz w:val="22"/>
          <w:szCs w:val="22"/>
        </w:rPr>
        <w:t>strategic plan documents, as well as (potentially) a partial basis for apportioning Historic Preservation Fund grants among the States.</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States submit the Cumulative Products Table online through the “HPF On-Line” system.  </w:t>
      </w:r>
    </w:p>
    <w:p w:rsidR="0018447E" w:rsidRPr="00BB3E95" w:rsidRDefault="0018447E" w:rsidP="0018447E">
      <w:pPr>
        <w:rPr>
          <w:rFonts w:ascii="Arial" w:hAnsi="Arial" w:cs="Arial"/>
          <w:sz w:val="22"/>
          <w:szCs w:val="22"/>
        </w:rPr>
      </w:pPr>
    </w:p>
    <w:p w:rsidR="0018447E" w:rsidRPr="00BB3E95" w:rsidRDefault="00BB3E95" w:rsidP="00BB3E95">
      <w:pPr>
        <w:rPr>
          <w:rFonts w:ascii="Arial" w:hAnsi="Arial" w:cs="Arial"/>
          <w:sz w:val="22"/>
          <w:szCs w:val="22"/>
        </w:rPr>
      </w:pPr>
      <w:r w:rsidRPr="00BB3E95">
        <w:rPr>
          <w:rFonts w:ascii="Arial" w:hAnsi="Arial" w:cs="Arial"/>
          <w:sz w:val="22"/>
          <w:szCs w:val="22"/>
        </w:rPr>
        <w:t xml:space="preserve">         </w:t>
      </w:r>
      <w:proofErr w:type="gramStart"/>
      <w:r w:rsidRPr="00BB3E95">
        <w:rPr>
          <w:rFonts w:ascii="Arial" w:hAnsi="Arial" w:cs="Arial"/>
          <w:sz w:val="22"/>
          <w:szCs w:val="22"/>
        </w:rPr>
        <w:t xml:space="preserve">j.  </w:t>
      </w:r>
      <w:r w:rsidR="0018447E" w:rsidRPr="00BB3E95">
        <w:rPr>
          <w:rFonts w:ascii="Arial" w:hAnsi="Arial" w:cs="Arial"/>
          <w:sz w:val="22"/>
          <w:szCs w:val="22"/>
        </w:rPr>
        <w:t>Application</w:t>
      </w:r>
      <w:proofErr w:type="gramEnd"/>
      <w:r w:rsidR="0018447E" w:rsidRPr="00BB3E95">
        <w:rPr>
          <w:rFonts w:ascii="Arial" w:hAnsi="Arial" w:cs="Arial"/>
          <w:sz w:val="22"/>
          <w:szCs w:val="22"/>
        </w:rPr>
        <w:t xml:space="preserve"> Requirement – State Organization Chart and Staffing Summary.  With its annual application, each State includes an organization chart and staffing summary that shows the SHPO’s organization, reporting relationships, historic preservation qualified staff, and which staff members are funded by HPF or matching funds.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The organization chart allows States to demonstrate to NPS and to any of the State’s historic preservation constituents that the State complies with the statutory requirement for a professionally-qualified staff and that those staff are in positions and reporting relationships that allow their professional expertise to be appropriately used in decisionmaking relating to the identification, evaluation, and treatment of historic and prehistoric resources.  This adds credibility to the State Office’s historic preservation-related decisionmaking.  Finally, the organization chart and staffing summary helps the State government to clearly identify which part of the State’s historic preservation program that is supported by Federal funds and thus is subject to Federal rules.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reviews each State’s organization chart and staffing summary as a part of the documentation that the State has the statutorily-mandated qualified staff and that the State </w:t>
      </w:r>
      <w:r w:rsidRPr="00BB3E95">
        <w:rPr>
          <w:rFonts w:ascii="Arial" w:hAnsi="Arial" w:cs="Arial"/>
          <w:sz w:val="22"/>
          <w:szCs w:val="22"/>
        </w:rPr>
        <w:lastRenderedPageBreak/>
        <w:t>office is organized to ensure that federally-supported historic preservation activities have the input of appropriately-qualified staff.  NPS also reviews the organization and staffing summary to ensure that HPF and matching share-supported staff have titles and positions that are likely to have activities that are eligible for HPF funding.  For example, a law librarian is not likely to be someone whose salary should be paid with HPF or matching funds.</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On the “HPF On-Line” system, NPS has posted for downloading and printing a template for the Organizational Chart and Staffing Summary.  </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k.</w:t>
      </w:r>
      <w:r w:rsidR="00BB3E95" w:rsidRPr="00BB3E95">
        <w:rPr>
          <w:rFonts w:ascii="Arial" w:hAnsi="Arial" w:cs="Arial"/>
          <w:sz w:val="22"/>
          <w:szCs w:val="22"/>
        </w:rPr>
        <w:t xml:space="preserve">  </w:t>
      </w:r>
      <w:r w:rsidRPr="00BB3E95">
        <w:rPr>
          <w:rFonts w:ascii="Arial" w:hAnsi="Arial" w:cs="Arial"/>
          <w:sz w:val="22"/>
          <w:szCs w:val="22"/>
        </w:rPr>
        <w:t>Application Requirement – State Anticipated Activities List.  With its annual application, each State includes an Anticipated Activities List that shows for each program area a brief descriptive title of each “major” (in the State’s view) project or activity and references the Statewide Plan’s goal or objective (if any) that the project or activity helps to achieve.  NPS does not specify the format of the list.  In its End-of-Year Report, each State must address the status of every activity or project that was included in its application’s Anticipated Activities List.</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In addition to being a useful short-hand list of the year’s planned major activities that the SHPO can share with its constituents, each State uses the Anticipated Activities List to demonstrate to NPS that the grant application satisfies the statutory requirement (Section 102(a) of the Act) that grants only be awarded for applications consistent with the Statewide historic preservation plan.  In addition, because program areas coincide with the SHPO responsibilities that Section 101(b)(3) of the Act mandate, the Anticipated Activities List helps to demonstrate that some level of activity will take place for each of the SHPO responsibilities.</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reviews the Anticipated Activity List for compliance with Section 102(a) of the Act and to ensure that the application addresses all of the SHPO responsibilities.  NPS has no desire to award grants that do not address needs identified in the NPS-approved State Plans.  NPS also reviews the list for quality control reasons.  NPS reviews each list to ensure that each item on the list will produce a tangible, historic preservation-related product that is eligible for HPF grant support.  For example, HPF grants to States don’t pay for staff salaries per se, but rather for the products that the staff produces.  Similarly, HPF grants to States do not pay for lobbying in favor of or in opposition to any piece of legislation.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States use the Anticipated Activities List to provide activity-specific information for State constituents and decisionmakers.  This provides a narrative counterpart to the summary data that the Cumulative Products Table provides.</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l.</w:t>
      </w:r>
      <w:r w:rsidR="00BB3E95" w:rsidRPr="00BB3E95">
        <w:rPr>
          <w:rFonts w:ascii="Arial" w:hAnsi="Arial" w:cs="Arial"/>
          <w:sz w:val="22"/>
          <w:szCs w:val="22"/>
        </w:rPr>
        <w:t xml:space="preserve">  </w:t>
      </w:r>
      <w:r w:rsidRPr="00BB3E95">
        <w:rPr>
          <w:rFonts w:ascii="Arial" w:hAnsi="Arial" w:cs="Arial"/>
          <w:sz w:val="22"/>
          <w:szCs w:val="22"/>
        </w:rPr>
        <w:t xml:space="preserve">Application and Reporting Requirement – State Project Notification.  A Project Notification is a summary document that describes key elements of a proposed third-party agreement (subgrant).  Pursuant to OMB Circular A-102 and 43 CFR 12, NPS treats subgrants as amendments to the annual grant agreement.  NPS requires a State to submit a Project Notification and obtain prior approval before beginning any project with a Federal share greater than $25,000 and for each subgrant that a high-risk grantee proposes.  Less than 12 percent of HPF subgrants exceed $25,000 in Federal share.  This is a significant reduction in burden that NPS' overall quality control system imposes.  Formerly, States had to obtain NPS approval before beginning every subgrant.  Generally, after 20 calendar days from the date of submitting the Project Notification, a State may proceed with the proposed project unless NPS notifies the State to the contrary.  </w:t>
      </w:r>
    </w:p>
    <w:p w:rsidR="00222B0F" w:rsidRDefault="00222B0F"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A State uses a Project Notification to demonstrate to NPS that a proposed third-party agreement (or subgrant) will produce a tangible, HPF-eligible product that meets all of the relevant provisions of the HPF Grant Agreement.  Even for experienced and stable grantees </w:t>
      </w:r>
      <w:r w:rsidRPr="00BB3E95">
        <w:rPr>
          <w:rFonts w:ascii="Arial" w:hAnsi="Arial" w:cs="Arial"/>
          <w:sz w:val="22"/>
          <w:szCs w:val="22"/>
        </w:rPr>
        <w:lastRenderedPageBreak/>
        <w:t>such as States, every third-party agreement inherently adds some risk of inappropriate use of HPF or matching funds.  Where a substantial amount of funds are involved, it is worth the extra effort to carefully examine the proposed project.  By seeking NPS approval in advance, the State eliminates the risk of an after-the-fact disapproval and forced recapture of funds.  NPS benefits from the same analysis.  In addition, States sometimes find it useful (when responding to constituents’ questions) to be able to point to NPS concurrence</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On the revised version of the “HPF On-Line” system being tested now, States will be able to complete Project Notifications online.  </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m.</w:t>
      </w:r>
      <w:r w:rsidR="00BB3E95" w:rsidRPr="00BB3E95">
        <w:rPr>
          <w:rFonts w:ascii="Arial" w:hAnsi="Arial" w:cs="Arial"/>
          <w:sz w:val="22"/>
          <w:szCs w:val="22"/>
        </w:rPr>
        <w:t xml:space="preserve">  </w:t>
      </w:r>
      <w:r w:rsidRPr="00BB3E95">
        <w:rPr>
          <w:rFonts w:ascii="Arial" w:hAnsi="Arial" w:cs="Arial"/>
          <w:sz w:val="22"/>
          <w:szCs w:val="22"/>
        </w:rPr>
        <w:t xml:space="preserve">Reporting Requirement – State Final Project Report.  A Final Project Report is a summary document that describes key elements of a completed third-party agreement (subgrant).  When a Final Project Report is necessary, the State must submit it within 90 days of completion of the subgrant.  Pursuant to OMB Circular A-102 and 43 CFR 12, the Final Project Report also describes the differences, if any, between planned and actual products and costs.  NPS requires a Final Project Report for every subgrant that requires a Project Notification.  The substantial reduction some years ago in the number of situations requiring a Project Notification has led to a corresponding reduction in the number of required Final Project Reports.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The uses for a Final Project Report are parallel to those for a Project Notification.  In addition, in reviewing a Final Project Report, NPS (for quality control purposes) will also check for reasonableness, anomalies, and consistency both with the End-of-Year Report summary documents (e.g., Cumulative Products Table and the Sources of Nonfederal Matching Share Report) and with the activities planned in the Project Notification.  NPS will ask for an explanation where there is a significant difference between planned and actual product(s) or cost.  </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n.</w:t>
      </w:r>
      <w:r w:rsidR="00BB3E95" w:rsidRPr="00BB3E95">
        <w:rPr>
          <w:rFonts w:ascii="Arial" w:hAnsi="Arial" w:cs="Arial"/>
          <w:sz w:val="22"/>
          <w:szCs w:val="22"/>
        </w:rPr>
        <w:t xml:space="preserve">  </w:t>
      </w:r>
      <w:r w:rsidRPr="00BB3E95">
        <w:rPr>
          <w:rFonts w:ascii="Arial" w:hAnsi="Arial" w:cs="Arial"/>
          <w:sz w:val="22"/>
          <w:szCs w:val="22"/>
        </w:rPr>
        <w:t xml:space="preserve">Reporting Requirement – State Project/Activity Database Report.  The Project/Activity Database Report is a part of the State End-of-Year Report.  It contains concise, summary information on each subgrant awarded and/or completed and each “major” (as defined by each State) in-house activity completed during the just completed fiscal year.  The Project/Activity Database Report addresses every program area.  A program area is a grouping of activities that corresponds to one or more of the State’s statutorily-mandated responsibilities.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States and NPS use the Project/Activity Database Report for both compliance and quality control purposes.  States use the report to demonstrate to NPS and other constituents that some level of activity actually took place for each of the SHPO responsibilities.  Preparing the subgrant portion of the report helps States to determine whether they have committed and/or expended sufficient funds to subgrants to CLGs to satisfy the statutory minimum pass-through requirement.  NPS will recapture funds in the amount of any shortfall in CLG minimum pass through requirement.</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reviews the Project/Activity Database Report to ensure that the State has completed activities that address all of the SHPO responsibilities.  NPS reviews each record in the report to ensure that each item produced or will produce a tangible, historic preservation-related product that is eligible for HPF grant support.  For example, HPF grants to States don’t pay for staff salaries per se but rather for the products that the staff produces.  Similarly, HPF grants to States do not pay for lobbying in favor of or in opposition to any piece of legislation.  Although NPS does not require prior approval for most subgrants, it does monitor subgrants by means of the Project/Activity Database Report.  Third-party agreements inherently add risk to the successful completion of any grant.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lastRenderedPageBreak/>
        <w:t>In addition, in reviewing the report, NPS (for quality control purposes) will also check for reasonableness, anomalies, and consistency both with the End-of-Year Report summary documents (e.g., Cumulative Products Table and the Sources of Non-federal Matching Share Report) and with the activities described in the Anticipated Activities List and/or the Project Notification.  NPS will ask for an explanation where there is a significant difference between planned and actual product(s) or cost.  The figures for products should be in an amount that is reasonable given the level of funding involved.  Finally, if a product number or subgrant cost is significantly larger or smaller than one would normally expect, NPS staff will ask the State to confirm or alter the estimate.</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States submit the Project/Activity Database Report information online via the Internet through the “HPF O</w:t>
      </w:r>
      <w:r w:rsidR="00222B0F">
        <w:rPr>
          <w:rFonts w:ascii="Arial" w:hAnsi="Arial" w:cs="Arial"/>
          <w:sz w:val="22"/>
          <w:szCs w:val="22"/>
        </w:rPr>
        <w:t>n-Line” system.  Because the on</w:t>
      </w:r>
      <w:r w:rsidRPr="00BB3E95">
        <w:rPr>
          <w:rFonts w:ascii="Arial" w:hAnsi="Arial" w:cs="Arial"/>
          <w:sz w:val="22"/>
          <w:szCs w:val="22"/>
        </w:rPr>
        <w:t>line system performs the simple math functions (e.g., sums, differences, percentages) automatically, quality control checks for the report are made easier for both the State and NPS.  The fewer times that data has to be entered, the less chance there is for transcription error.  In addition, it is easier for NPS to analyze (for national program purposes) information in a database than information that is not in a database.  The HPF On-Line system will automatically identify any shortfall in the minimum required amount of pass-through to CLGs.  Depending upon the situation, this will give States the opportunity to re-program additional funds to CLGs or alternatively identify the amount that NPS will recapture.  All States now use HPF On-Line for their applications and End-of-Year Reports</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o.</w:t>
      </w:r>
      <w:r w:rsidR="00BB3E95" w:rsidRPr="00BB3E95">
        <w:rPr>
          <w:rFonts w:ascii="Arial" w:hAnsi="Arial" w:cs="Arial"/>
          <w:sz w:val="22"/>
          <w:szCs w:val="22"/>
        </w:rPr>
        <w:t xml:space="preserve">  </w:t>
      </w:r>
      <w:r w:rsidRPr="00BB3E95">
        <w:rPr>
          <w:rFonts w:ascii="Arial" w:hAnsi="Arial" w:cs="Arial"/>
          <w:sz w:val="22"/>
          <w:szCs w:val="22"/>
        </w:rPr>
        <w:t>Reporting Requirement – State Sources of Non-Federal Matching Share Report.  The Sources of Non-federal Matching Share Report collects information on the sources (State l</w:t>
      </w:r>
      <w:r w:rsidR="00222B0F">
        <w:rPr>
          <w:rFonts w:ascii="Arial" w:hAnsi="Arial" w:cs="Arial"/>
          <w:sz w:val="22"/>
          <w:szCs w:val="22"/>
        </w:rPr>
        <w:t>egislature, CLGs, non</w:t>
      </w:r>
      <w:r w:rsidRPr="00BB3E95">
        <w:rPr>
          <w:rFonts w:ascii="Arial" w:hAnsi="Arial" w:cs="Arial"/>
          <w:sz w:val="22"/>
          <w:szCs w:val="22"/>
        </w:rPr>
        <w:t>profit organizations, etc.) of funds (cash and donated goods and services) that States use to match Federal HPF monies.  Stat</w:t>
      </w:r>
      <w:r w:rsidR="00F9242D">
        <w:rPr>
          <w:rFonts w:ascii="Arial" w:hAnsi="Arial" w:cs="Arial"/>
          <w:sz w:val="22"/>
          <w:szCs w:val="22"/>
        </w:rPr>
        <w:t>es fill out the Sources of Non-F</w:t>
      </w:r>
      <w:r w:rsidRPr="00BB3E95">
        <w:rPr>
          <w:rFonts w:ascii="Arial" w:hAnsi="Arial" w:cs="Arial"/>
          <w:sz w:val="22"/>
          <w:szCs w:val="22"/>
        </w:rPr>
        <w:t xml:space="preserve">ederal Matching Share Report only for the End-of-Year Report.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States submit the Sources of Non-Federal Matching Share Report information online via the Internet through the “HPF On-Line” system.  Because the online system performs the simple math functions (e.g., sums, differences, percentages) automatically, quality control checks for the report are made easier for both the State and NPS.  The fewer times that data has to be entered, the less chance there is for transcription error.  In addition, it is easier for NPS to analyze (for national program purposes) information in a database than information that is not in a database.</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p.</w:t>
      </w:r>
      <w:r w:rsidR="00BB3E95" w:rsidRPr="00BB3E95">
        <w:rPr>
          <w:rFonts w:ascii="Arial" w:hAnsi="Arial" w:cs="Arial"/>
          <w:sz w:val="22"/>
          <w:szCs w:val="22"/>
        </w:rPr>
        <w:t xml:space="preserve">  </w:t>
      </w:r>
      <w:r w:rsidRPr="00BB3E95">
        <w:rPr>
          <w:rFonts w:ascii="Arial" w:hAnsi="Arial" w:cs="Arial"/>
          <w:sz w:val="22"/>
          <w:szCs w:val="22"/>
        </w:rPr>
        <w:t xml:space="preserve">Reporting Requirement – State Unexpended Carryover Funds Table and Statement.  The Unexpended Carryover Funds Table and Statement contains information on expended and unexpended (but committed) funds and thus allows NPS to implement its "Use or Lose" Policy to ensure effective use of grant funds.  This policy has proven successful.  NPS recaptures and returns to the U.S. Treasury less than 1% of HPF funds appropriated to States.  The Unexpended Carryover Funds Table and Statement also allows NPS to monitor State compliance with the statutory requirement (Section 103(c) of the Act) that States pass through at least 10% of each year’s grant to Certified Local Governments.  The data used to complete the Unexpended Carryover Funds Table and Statement is information that each State already has available.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has given States the option to prepare the Unexpended Carryover Funds Table and Statement information online via the Internet through the “HPF On-Line” system.  The States have taken advantage of this opportunity.  Because the online system performs the simple math functions (e.g., sums, differences, percentages) automatically, quality control checks for the report are made easier for both the State and NPS.  The fewer times that data has to be entered, the less chance there is for transcription error.  In addition, it is easier for NPS to </w:t>
      </w:r>
      <w:r w:rsidRPr="00BB3E95">
        <w:rPr>
          <w:rFonts w:ascii="Arial" w:hAnsi="Arial" w:cs="Arial"/>
          <w:sz w:val="22"/>
          <w:szCs w:val="22"/>
        </w:rPr>
        <w:lastRenderedPageBreak/>
        <w:t>analyze (for national program purposes) information in a database than information that is not in a database.</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q.</w:t>
      </w:r>
      <w:r w:rsidR="00BB3E95" w:rsidRPr="00BB3E95">
        <w:rPr>
          <w:rFonts w:ascii="Arial" w:hAnsi="Arial" w:cs="Arial"/>
          <w:sz w:val="22"/>
          <w:szCs w:val="22"/>
        </w:rPr>
        <w:t xml:space="preserve">  </w:t>
      </w:r>
      <w:r w:rsidRPr="00BB3E95">
        <w:rPr>
          <w:rFonts w:ascii="Arial" w:hAnsi="Arial" w:cs="Arial"/>
          <w:sz w:val="22"/>
          <w:szCs w:val="22"/>
        </w:rPr>
        <w:t>Reporting Requirement – State Significant Preservation Accomplishments Summary.  With its End-of-Year Report, each State includes a Significant Preservation Accomplishments Summary that shows what the State believes to be its three to five most important grant-supported accomplishments (“success stories”) of the year.  NPS does not specify the format of this summary.  NPS reviews this summary to ensure that the State-described activities are eligible for HPF grant support and to ensure that they reflect the parallel items in the Anticipated Activities List that the State submitted as a part of its annual application.  In illustrating the accomplishments of the HPF Grants to States program and the national historic preservation partnership, both NPS and States use the success stories as a narrative counterpart to the summary numbers that the other information collections provide.</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r.</w:t>
      </w:r>
      <w:r w:rsidR="00BB3E95" w:rsidRPr="00BB3E95">
        <w:rPr>
          <w:rFonts w:ascii="Arial" w:hAnsi="Arial" w:cs="Arial"/>
          <w:sz w:val="22"/>
          <w:szCs w:val="22"/>
        </w:rPr>
        <w:t xml:space="preserve">  </w:t>
      </w:r>
      <w:r w:rsidRPr="00BB3E95">
        <w:rPr>
          <w:rFonts w:ascii="Arial" w:hAnsi="Arial" w:cs="Arial"/>
          <w:sz w:val="22"/>
          <w:szCs w:val="22"/>
        </w:rPr>
        <w:t xml:space="preserve">Reporting and Quality Control Option – Annual Achievements Report for States.  On a voluntary basis, States complete an Annual Report for States that 1) identifies whether or not the State offers standard historic preservation programs under State law and that 2) estimates the number of historic properties designated/protected under State law regardless of the funding source, but that are activities carried out as a part of the national historic preservation partnership.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The questions and blanks correspond to standard types of historic preservation commonly practiced by SHPOs.  The data are readily available information that State historic preservation programs would keep even if they were not a part of the national historic preservation partnership.  The blanks in this form were developed in consultation with the States both individually and collectively.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makes several uses of the information data supplied in the Annual Achievements Report for States.  In reviewing the Annual Report summary figures for completed products, NPS checks for reasonableness, anomalies, and consistency what is known both about the individual State and other similar States.  NPS reviewers will ask for an explanation where a summary number is significantly larger or smaller than one would normally expect.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Finally, NPS uses the actual figures in reports on State accomplishments, budget documents, NPS’ and DOI’s strategic plan documents.  The information that is a part of the Annual Report is also useful for decisionmakers at the State and local government level to understand the scope and scale of historic preservation efforts.  NPS makes the Annual Report summary data generally available.  Many States post similar information on their SHPOs website.</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s.</w:t>
      </w:r>
      <w:r w:rsidR="00BB3E95" w:rsidRPr="00BB3E95">
        <w:rPr>
          <w:rFonts w:ascii="Arial" w:hAnsi="Arial" w:cs="Arial"/>
          <w:sz w:val="22"/>
          <w:szCs w:val="22"/>
        </w:rPr>
        <w:t xml:space="preserve">  </w:t>
      </w:r>
      <w:r w:rsidRPr="00BB3E95">
        <w:rPr>
          <w:rFonts w:ascii="Arial" w:hAnsi="Arial" w:cs="Arial"/>
          <w:sz w:val="22"/>
          <w:szCs w:val="22"/>
        </w:rPr>
        <w:t>Reporting and Quality Control Requirement – Tribal Historic Preservation Office (THPO) Grants Product Summary Page.  The Grants Product Summary Page is divided into “program areas” that correspond to those of the SHPO responsibilities that Section 101(b)(3) of the Act specifies and that THPOs most commonly assume.  Each tribe provides actual performance data for the key (and most common) products in each program area.  In addition to the grants reporting requirement, this collection also satisfies the reporting requirement explicit in the agreement that each tribe signs voluntarily to become an official part of the national historic preservation partnership.</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In addition to documenting compliance with statutory, grant, and THPO agreement requirements, THPO</w:t>
      </w:r>
      <w:r w:rsidR="00F9242D">
        <w:rPr>
          <w:rFonts w:ascii="Arial" w:hAnsi="Arial" w:cs="Arial"/>
          <w:sz w:val="22"/>
          <w:szCs w:val="22"/>
        </w:rPr>
        <w:t>s</w:t>
      </w:r>
      <w:r w:rsidRPr="00BB3E95">
        <w:rPr>
          <w:rFonts w:ascii="Arial" w:hAnsi="Arial" w:cs="Arial"/>
          <w:sz w:val="22"/>
          <w:szCs w:val="22"/>
        </w:rPr>
        <w:t xml:space="preserve"> use the Grants Product Summary Page as a means to help report in a summary fashion to their decisionmakers and constituents on the workload and accomp</w:t>
      </w:r>
      <w:r w:rsidR="00F9242D">
        <w:rPr>
          <w:rFonts w:ascii="Arial" w:hAnsi="Arial" w:cs="Arial"/>
          <w:sz w:val="22"/>
          <w:szCs w:val="22"/>
        </w:rPr>
        <w:t>lishments associated with each t</w:t>
      </w:r>
      <w:r w:rsidRPr="00BB3E95">
        <w:rPr>
          <w:rFonts w:ascii="Arial" w:hAnsi="Arial" w:cs="Arial"/>
          <w:sz w:val="22"/>
          <w:szCs w:val="22"/>
        </w:rPr>
        <w:t xml:space="preserve">ribe’s historic preservation program.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makes several uses of the summary data supplied in the Grants Product Summary Page.  As part of the THPO End-of-Year Report, NPS reviews the Grants Product Summary Page for compliance with THPO statutory and THPO agreement responsibilities by checking for completed tangible products in the various program areas.  As part of the quality control review, NPS checks the Grants Product summary Page for reasonableness, anomalies, and consistencies with other parts of the End of Year Report.  The summary numbers in the Grants Product Summary Page should be consistent with the descriptions in </w:t>
      </w:r>
      <w:r w:rsidR="00F9242D">
        <w:rPr>
          <w:rFonts w:ascii="Arial" w:hAnsi="Arial" w:cs="Arial"/>
          <w:sz w:val="22"/>
          <w:szCs w:val="22"/>
        </w:rPr>
        <w:t>the THPO Annual Report (see 2u</w:t>
      </w:r>
      <w:r w:rsidRPr="00BB3E95">
        <w:rPr>
          <w:rFonts w:ascii="Arial" w:hAnsi="Arial" w:cs="Arial"/>
          <w:sz w:val="22"/>
          <w:szCs w:val="22"/>
        </w:rPr>
        <w:t xml:space="preserve"> below).  Finally, NPS uses the actual figures in reports on the grant program’s accompl</w:t>
      </w:r>
      <w:r w:rsidR="00F9242D">
        <w:rPr>
          <w:rFonts w:ascii="Arial" w:hAnsi="Arial" w:cs="Arial"/>
          <w:sz w:val="22"/>
          <w:szCs w:val="22"/>
        </w:rPr>
        <w:t>ishments, budget documents, NPS and DOI</w:t>
      </w:r>
      <w:r w:rsidRPr="00BB3E95">
        <w:rPr>
          <w:rFonts w:ascii="Arial" w:hAnsi="Arial" w:cs="Arial"/>
          <w:sz w:val="22"/>
          <w:szCs w:val="22"/>
        </w:rPr>
        <w:t xml:space="preserve"> strategic plan documents.</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t.</w:t>
      </w:r>
      <w:r w:rsidR="00BB3E95" w:rsidRPr="00BB3E95">
        <w:rPr>
          <w:rFonts w:ascii="Arial" w:hAnsi="Arial" w:cs="Arial"/>
          <w:sz w:val="22"/>
          <w:szCs w:val="22"/>
        </w:rPr>
        <w:t xml:space="preserve">  </w:t>
      </w:r>
      <w:r w:rsidRPr="00BB3E95">
        <w:rPr>
          <w:rFonts w:ascii="Arial" w:hAnsi="Arial" w:cs="Arial"/>
          <w:sz w:val="22"/>
          <w:szCs w:val="22"/>
        </w:rPr>
        <w:t>Reporting and Quality Control Requirement – Tribal Historic Preservation Office (THPO) Unexpended Funds Carryover Statement. This document is the means that NPS uses to monitor its "Use or Lose" policy for HPF grants to THPOs, thus ensuring an effective use of appropriated funds and a high expenditure rate.  The data used to complete the Unexpended Funds Carryover Statement are information that each THPO already has available.  Effective and efficient use of appropriates funds is of interest to both Federal and tribal decisionmakers.</w:t>
      </w:r>
    </w:p>
    <w:p w:rsidR="0018447E" w:rsidRPr="00BB3E95" w:rsidRDefault="0018447E" w:rsidP="0018447E">
      <w:pPr>
        <w:rPr>
          <w:rFonts w:ascii="Arial" w:hAnsi="Arial" w:cs="Arial"/>
          <w:sz w:val="22"/>
          <w:szCs w:val="22"/>
        </w:rPr>
      </w:pPr>
    </w:p>
    <w:p w:rsidR="0018447E" w:rsidRPr="00BB3E95" w:rsidRDefault="0018447E" w:rsidP="00BB3E95">
      <w:pPr>
        <w:ind w:firstLine="720"/>
        <w:rPr>
          <w:rFonts w:ascii="Arial" w:hAnsi="Arial" w:cs="Arial"/>
          <w:sz w:val="22"/>
          <w:szCs w:val="22"/>
        </w:rPr>
      </w:pPr>
      <w:r w:rsidRPr="00BB3E95">
        <w:rPr>
          <w:rFonts w:ascii="Arial" w:hAnsi="Arial" w:cs="Arial"/>
          <w:sz w:val="22"/>
          <w:szCs w:val="22"/>
        </w:rPr>
        <w:t>u.</w:t>
      </w:r>
      <w:r w:rsidR="00BB3E95" w:rsidRPr="00BB3E95">
        <w:rPr>
          <w:rFonts w:ascii="Arial" w:hAnsi="Arial" w:cs="Arial"/>
          <w:sz w:val="22"/>
          <w:szCs w:val="22"/>
        </w:rPr>
        <w:t xml:space="preserve">  </w:t>
      </w:r>
      <w:r w:rsidRPr="00BB3E95">
        <w:rPr>
          <w:rFonts w:ascii="Arial" w:hAnsi="Arial" w:cs="Arial"/>
          <w:sz w:val="22"/>
          <w:szCs w:val="22"/>
        </w:rPr>
        <w:t>Reporting and Quality Control Requirement – Tribal Historic Preservation Office (THPO) Annual Report.  This report serves dual functions.  The agreement that specifies each tribe’s rights and responsibilities as an official member of the national historic preservation partnership requires – as a condition of agreement – that the tribe provide an annual report, regardless of funding.  The THPO Annual report also provides a narrative counterpart to the summary data that the Grants Product Summary Page provides.  NPS reviews the THPO Annual Report for completeness and consistency with both 1) the list of responsibilities specified in the THPO agreement and 2) the Grants Products Summary Page.  When an inconsistency or apparent anomaly is discovered, NPS will ask for an explanation and/or alteration.  NPS and the THPO can use the THPO Annual Report to illustrate THPO accomplishments to Federal and Tribal government officials as well as to other interested parties.</w:t>
      </w:r>
    </w:p>
    <w:p w:rsidR="00670629" w:rsidRPr="00670629" w:rsidRDefault="00670629" w:rsidP="0067062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BE32B4"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5220">
        <w:rPr>
          <w:rFonts w:ascii="Arial" w:hAnsi="Arial" w:cs="Arial"/>
          <w:sz w:val="22"/>
          <w:szCs w:val="22"/>
        </w:rPr>
        <w:t xml:space="preserve">The decentralized and flexible nature of NPS’ administration of State, tribal, and local government partner historic preservation programs and the varying needs and computer capabilities of States, tribes, and local governments, and the different kinds of information collections covered by this Supporting Statement all are major obstacles to totally or uniformly automating the systems.  </w:t>
      </w:r>
    </w:p>
    <w:p w:rsidR="00075220" w:rsidRPr="0007522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E32B4"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5220">
        <w:rPr>
          <w:rFonts w:ascii="Arial" w:hAnsi="Arial" w:cs="Arial"/>
          <w:sz w:val="22"/>
          <w:szCs w:val="22"/>
        </w:rPr>
        <w:t xml:space="preserve">For most of the information collections that this supporting statement describes there is no compulsory, paper-based requirement.  The information collections that are not grants-related do not produce data that States, tribes, or local governments send routinely to the NPS.  For these information collections, NPS gives each State, THPO, and CLG the latitude to use whatever technological collection techniques make sense in its legal, organizational, and information technology environment.  Consequently, Government Paperwork Elimination Act (GPEA) requirements are met for those information collections.  Even where NPS does require a hard-copy document because of a signature requirement, NPS has attempted to put the spirit of GPEA into effect.  Like all Federal grant programs, the Historic Preservation Fund State </w:t>
      </w:r>
      <w:r w:rsidRPr="00075220">
        <w:rPr>
          <w:rFonts w:ascii="Arial" w:hAnsi="Arial" w:cs="Arial"/>
          <w:sz w:val="22"/>
          <w:szCs w:val="22"/>
        </w:rPr>
        <w:lastRenderedPageBreak/>
        <w:t xml:space="preserve">Grants program and Tribal Grants Program are committed to the government-wide “E-Grants,” “Grants.gov,” and similar initiatives.  As soon as the original signature issues have been solved, the HPF State and Tribal Grants programs will drop their hard copy requirements and become fully compliant with GPEA.  States submit electronically the grant-related forms for which NPS does not require hard-copy submittals.  </w:t>
      </w:r>
    </w:p>
    <w:p w:rsidR="00075220" w:rsidRPr="0007522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E32B4"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5220">
        <w:rPr>
          <w:rFonts w:ascii="Arial" w:hAnsi="Arial" w:cs="Arial"/>
          <w:sz w:val="22"/>
          <w:szCs w:val="22"/>
        </w:rPr>
        <w:t xml:space="preserve">NPS has embarked on a program to provide the States the option of using better information technology to reduce errors and to make data entry, revision, evaluation, and use easier.  States have cooperated in meeting these requirements, thereby reducing the workload.  NPS is considering how it can automate more of these requirements without putting an excessive burden on States.  </w:t>
      </w:r>
    </w:p>
    <w:p w:rsidR="00075220" w:rsidRPr="0007522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E32B4"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5220">
        <w:rPr>
          <w:rFonts w:ascii="Arial" w:hAnsi="Arial" w:cs="Arial"/>
          <w:sz w:val="22"/>
          <w:szCs w:val="22"/>
        </w:rPr>
        <w:t>NPS designed the various tables and reports that relate to the HPF grant cycle to allow for easy automation.  This project is now well under way.  NPS has an online, Internet version that uses a Cold Fusion interface with a Microsoft SQL database back-end.  Unlike with its stand-alone predecessor, the computer type or capability in the SHPO is not a factor.  Any State that has access to the Internet can use the NPS online system.  The online system allows its users to accumulate information about a particular project or activity over the course of the year and then have the online system generate automatically the various reports that NPS requires.  For a State using this system, neither the State nor NPS has the burden of reviewing for mathematical accuracy and consistency those elements that the systems generate automatically.</w:t>
      </w:r>
    </w:p>
    <w:p w:rsidR="00075220" w:rsidRPr="0007522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E32B4"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5220">
        <w:rPr>
          <w:rFonts w:ascii="Arial" w:hAnsi="Arial" w:cs="Arial"/>
          <w:sz w:val="22"/>
          <w:szCs w:val="22"/>
        </w:rPr>
        <w:t>Since the last OMB clearance, NPS has created for States the option of entering online information relating to CLG Monitoring, CLG Baseline Questionnaires, and CLG Annual Achievement Reports.  The use of these options eliminates one complete set of transcriptions thus reducing the likelihood of transcription errors</w:t>
      </w:r>
      <w:r w:rsidR="00075220">
        <w:rPr>
          <w:rFonts w:ascii="Arial" w:hAnsi="Arial" w:cs="Arial"/>
          <w:sz w:val="22"/>
          <w:szCs w:val="22"/>
        </w:rPr>
        <w:t>.</w:t>
      </w:r>
    </w:p>
    <w:p w:rsidR="00AC6C16" w:rsidRDefault="00AC6C16"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E6EA8"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5220">
        <w:rPr>
          <w:rFonts w:ascii="Arial" w:hAnsi="Arial" w:cs="Arial"/>
          <w:sz w:val="22"/>
          <w:szCs w:val="22"/>
        </w:rPr>
        <w:t>Some States, THPOs, and CLGs have used their own spread sheets, databases, and other software to generate the reports that they then submit either in hard-copy form or via e-mail.  Some States, THPOs, and CLGs still copy and fill in a hard copy of the form or type the information from scratch.  Advances in spread sheets, databases, and other software also have improved the ability of NPS to process and analyze the data that grant application and end of year tables and reports provide.  The same is true for reports that are not grant-related.</w:t>
      </w:r>
    </w:p>
    <w:p w:rsidR="0007522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DC0C9A" w:rsidRDefault="006C41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DC0C9A">
        <w:rPr>
          <w:rFonts w:ascii="Arial" w:hAnsi="Arial" w:cs="Arial"/>
          <w:sz w:val="22"/>
          <w:szCs w:val="22"/>
        </w:rPr>
        <w:t>The information that we collect is unique and not available from any other source.</w:t>
      </w:r>
    </w:p>
    <w:p w:rsidR="006C41D7" w:rsidRPr="00670629" w:rsidRDefault="006C41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0450CA" w:rsidRDefault="000450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C41D7" w:rsidRPr="00670629" w:rsidRDefault="000450CA" w:rsidP="00DC0C9A">
      <w:pPr>
        <w:pStyle w:val="CM22"/>
        <w:spacing w:line="253" w:lineRule="atLeast"/>
        <w:rPr>
          <w:sz w:val="22"/>
          <w:szCs w:val="22"/>
        </w:rPr>
      </w:pPr>
      <w:r w:rsidRPr="00DC0C9A">
        <w:rPr>
          <w:sz w:val="22"/>
          <w:szCs w:val="22"/>
        </w:rPr>
        <w:t>These information collection requirements do not impact small bus</w:t>
      </w:r>
      <w:r w:rsidR="00DC0C9A">
        <w:rPr>
          <w:sz w:val="22"/>
          <w:szCs w:val="22"/>
        </w:rPr>
        <w:t>inesses or other small entities as w</w:t>
      </w:r>
      <w:r w:rsidRPr="00DC0C9A">
        <w:rPr>
          <w:sz w:val="22"/>
          <w:szCs w:val="22"/>
        </w:rPr>
        <w:t xml:space="preserve">e only collect information from States, tribes, and local governments.  </w:t>
      </w:r>
      <w:r w:rsidR="0005767E" w:rsidRPr="00DC0C9A">
        <w:rPr>
          <w:sz w:val="22"/>
          <w:szCs w:val="22"/>
        </w:rPr>
        <w:t xml:space="preserve">In addition, </w:t>
      </w:r>
      <w:r w:rsidR="00DC0C9A" w:rsidRPr="00DC0C9A">
        <w:rPr>
          <w:sz w:val="22"/>
          <w:szCs w:val="22"/>
        </w:rPr>
        <w:t xml:space="preserve">we collect only the minimum information necessary to establish eligibility and to assess the effect of the programs.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23226" w:rsidRPr="008A4A16" w:rsidRDefault="00EA38A5" w:rsidP="00423226">
      <w:pPr>
        <w:rPr>
          <w:rFonts w:ascii="Arial" w:hAnsi="Arial" w:cs="Arial"/>
          <w:sz w:val="22"/>
          <w:szCs w:val="22"/>
        </w:rPr>
      </w:pPr>
      <w:r w:rsidRPr="008A4A16">
        <w:rPr>
          <w:rFonts w:ascii="Arial" w:hAnsi="Arial" w:cs="Arial"/>
          <w:sz w:val="22"/>
          <w:szCs w:val="22"/>
        </w:rPr>
        <w:t xml:space="preserve">NPS must collect this information </w:t>
      </w:r>
      <w:r w:rsidR="008A4A16">
        <w:rPr>
          <w:rFonts w:ascii="Arial" w:hAnsi="Arial" w:cs="Arial"/>
          <w:sz w:val="22"/>
          <w:szCs w:val="22"/>
        </w:rPr>
        <w:t>in order to ensure that State, tribal, and local g</w:t>
      </w:r>
      <w:r w:rsidRPr="008A4A16">
        <w:rPr>
          <w:rFonts w:ascii="Arial" w:hAnsi="Arial" w:cs="Arial"/>
          <w:sz w:val="22"/>
          <w:szCs w:val="22"/>
        </w:rPr>
        <w:t xml:space="preserve">overnments meet the specific requirements and standards that the Act established and to ensure the proper </w:t>
      </w:r>
      <w:r w:rsidRPr="008A4A16">
        <w:rPr>
          <w:rFonts w:ascii="Arial" w:hAnsi="Arial" w:cs="Arial"/>
          <w:sz w:val="22"/>
          <w:szCs w:val="22"/>
        </w:rPr>
        <w:lastRenderedPageBreak/>
        <w:t xml:space="preserve">conduct of Federal assistance activities. </w:t>
      </w:r>
    </w:p>
    <w:p w:rsidR="00EA38A5" w:rsidRPr="00670629" w:rsidRDefault="00EA38A5"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913659" w:rsidRPr="00B55D87" w:rsidRDefault="00B55D87" w:rsidP="00B55D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5D87">
        <w:rPr>
          <w:rFonts w:ascii="Arial" w:hAnsi="Arial" w:cs="Arial"/>
          <w:sz w:val="22"/>
          <w:szCs w:val="22"/>
        </w:rPr>
        <w:t xml:space="preserve">The only special circumstance that is inconsistent with OMB guidelines is the timeframe for the retention of each State’s inventory on its historic resources, which by its nature requires retention longer than 3 years.  Maintenance of the State inventory is a requirement of the Act [Section 101(b)(3)(A)].  </w:t>
      </w:r>
    </w:p>
    <w:p w:rsidR="00B55D87" w:rsidRPr="00670629" w:rsidRDefault="00B55D87" w:rsidP="00B55D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767FB4" w:rsidRPr="005E05DE" w:rsidRDefault="00767FB4" w:rsidP="00767FB4">
      <w:pPr>
        <w:rPr>
          <w:rFonts w:ascii="Arial" w:hAnsi="Arial" w:cs="Arial"/>
          <w:sz w:val="22"/>
          <w:szCs w:val="22"/>
        </w:rPr>
      </w:pPr>
      <w:r w:rsidRPr="005E05DE">
        <w:rPr>
          <w:rFonts w:ascii="Arial" w:hAnsi="Arial" w:cs="Arial"/>
          <w:sz w:val="22"/>
          <w:szCs w:val="22"/>
        </w:rPr>
        <w:t>The NPS published a notice in the Federal Register on March 25, 2011 (76 FR 16813), soliciting public comments for 60 days.  The comment period ended on May 24, 2011.  No public comments were received.</w:t>
      </w:r>
    </w:p>
    <w:p w:rsidR="00767FB4" w:rsidRPr="005E05DE" w:rsidRDefault="00767FB4" w:rsidP="00767FB4">
      <w:pPr>
        <w:rPr>
          <w:rFonts w:ascii="Arial" w:hAnsi="Arial" w:cs="Arial"/>
          <w:sz w:val="22"/>
          <w:szCs w:val="22"/>
        </w:rPr>
      </w:pPr>
    </w:p>
    <w:p w:rsidR="00767FB4" w:rsidRPr="005E05DE" w:rsidRDefault="00767FB4" w:rsidP="00767FB4">
      <w:pPr>
        <w:rPr>
          <w:rFonts w:ascii="Arial" w:hAnsi="Arial" w:cs="Arial"/>
          <w:sz w:val="22"/>
          <w:szCs w:val="22"/>
        </w:rPr>
      </w:pPr>
      <w:r w:rsidRPr="005E05DE">
        <w:rPr>
          <w:rFonts w:ascii="Arial" w:hAnsi="Arial" w:cs="Arial"/>
          <w:sz w:val="22"/>
          <w:szCs w:val="22"/>
        </w:rPr>
        <w:t xml:space="preserve">NPS consulted with States when originally developing these information collection requirements.  In addition, we consult all States several times annually either directly at regularly scheduled meetings of SHPOs or through officials of the National Conference of State Historic Preservation Officers, which represents the interests of the States.  These consultations serve as opportunities for the States to provide suggestions and comments  on the availability of data, information items required, the clarity of instructions, etc.  Similar consultations have taken place with tribes and local governments both individually and through their national organizations (the National Association of THPOs and National Alliance of Preservation </w:t>
      </w:r>
      <w:r w:rsidRPr="005E05DE">
        <w:rPr>
          <w:rFonts w:ascii="Arial" w:hAnsi="Arial" w:cs="Arial"/>
          <w:sz w:val="22"/>
          <w:szCs w:val="22"/>
        </w:rPr>
        <w:lastRenderedPageBreak/>
        <w:t xml:space="preserve">Commissions).  CLGs also have the ability to communicate with NPS through their SHPOs.  </w:t>
      </w:r>
    </w:p>
    <w:p w:rsidR="00767FB4" w:rsidRPr="005E05DE" w:rsidRDefault="00767FB4" w:rsidP="00767FB4">
      <w:pPr>
        <w:rPr>
          <w:rFonts w:ascii="Arial" w:hAnsi="Arial" w:cs="Arial"/>
          <w:sz w:val="22"/>
          <w:szCs w:val="22"/>
        </w:rPr>
      </w:pPr>
    </w:p>
    <w:p w:rsidR="00907EC4" w:rsidRPr="005E05DE" w:rsidRDefault="00767FB4" w:rsidP="00767FB4">
      <w:pPr>
        <w:rPr>
          <w:rFonts w:ascii="Arial" w:hAnsi="Arial" w:cs="Arial"/>
          <w:sz w:val="22"/>
          <w:szCs w:val="22"/>
        </w:rPr>
      </w:pPr>
      <w:r w:rsidRPr="005E05DE">
        <w:rPr>
          <w:rFonts w:ascii="Arial" w:hAnsi="Arial" w:cs="Arial"/>
          <w:sz w:val="22"/>
          <w:szCs w:val="22"/>
        </w:rPr>
        <w:t>For this renewal, we consulted with a small sample of States, THPOs, and CLGs (see attachment 1) to determine the current burden in terms of time and dollars.  We used an average of the responses to generate our estimates.  Note that because no State Program Reviews have occurred in the last 3 years, we did not make new inquiries about the burdens associated with that information collection requirement.  Instead, we used the time burden estimates from the previous submission and updated the dollar cost burdens</w:t>
      </w:r>
      <w:r w:rsidR="005E05DE" w:rsidRPr="005E05DE">
        <w:rPr>
          <w:rFonts w:ascii="Arial" w:hAnsi="Arial" w:cs="Arial"/>
          <w:sz w:val="22"/>
          <w:szCs w:val="22"/>
        </w:rPr>
        <w:t>.</w:t>
      </w:r>
    </w:p>
    <w:p w:rsidR="00767FB4" w:rsidRPr="00670629" w:rsidRDefault="00767FB4" w:rsidP="00767FB4">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AE48A1" w:rsidRDefault="00AE48A1" w:rsidP="00907EC4">
      <w:pPr>
        <w:rPr>
          <w:rFonts w:ascii="Arial" w:hAnsi="Arial" w:cs="Arial"/>
          <w:sz w:val="22"/>
          <w:szCs w:val="22"/>
        </w:rPr>
      </w:pPr>
      <w:r w:rsidRPr="00AE48A1">
        <w:rPr>
          <w:rFonts w:ascii="Arial" w:hAnsi="Arial" w:cs="Arial"/>
          <w:sz w:val="22"/>
          <w:szCs w:val="22"/>
        </w:rPr>
        <w:t>We do not provide payments or gifts to respondents other than remuneration of grantees.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C76BDA" w:rsidRDefault="00C76B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C76BDA" w:rsidRPr="00C76BDA" w:rsidRDefault="00C76BDA" w:rsidP="00AE48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C76BDA">
        <w:rPr>
          <w:rFonts w:ascii="Arial" w:hAnsi="Arial" w:cs="Arial"/>
          <w:bCs/>
          <w:sz w:val="22"/>
          <w:szCs w:val="22"/>
        </w:rPr>
        <w:t xml:space="preserve">NPS makes no assurance of confidentiality to any respondent.  The only exception is for location information concerning some properties included in the State inventories.  Pursuant to Section 304 of the National Historic Preservation Act, as amended, (16 U.S.C. 470w-3) release of information is tightly controlled when such release could have the potential of damaging those qualities that make a property historic.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871AB7" w:rsidRPr="00C76BDA" w:rsidRDefault="00C76BDA" w:rsidP="00BB4A08">
      <w:pPr>
        <w:rPr>
          <w:rFonts w:ascii="Arial" w:hAnsi="Arial" w:cs="Arial"/>
          <w:sz w:val="22"/>
          <w:szCs w:val="22"/>
        </w:rPr>
      </w:pPr>
      <w:r w:rsidRPr="00C76BDA">
        <w:rPr>
          <w:rFonts w:ascii="Arial" w:hAnsi="Arial" w:cs="Arial"/>
          <w:sz w:val="22"/>
          <w:szCs w:val="22"/>
        </w:rPr>
        <w:t>We do not ask questions of a sensitive nature.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6A5504" w:rsidRDefault="006A5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6A5504" w:rsidRDefault="006A5504" w:rsidP="006A5504">
      <w:pPr>
        <w:rPr>
          <w:rFonts w:ascii="Arial" w:hAnsi="Arial" w:cs="Arial"/>
        </w:rPr>
      </w:pPr>
      <w:r w:rsidRPr="003A0BE1">
        <w:rPr>
          <w:rFonts w:ascii="Arial" w:hAnsi="Arial" w:cs="Arial"/>
        </w:rPr>
        <w:t xml:space="preserve">There are approximately 1,924 respondents (59 States, territories, and District of Columbia; 100 tribal governments; and 1,765 certified local governments) </w:t>
      </w:r>
      <w:r>
        <w:rPr>
          <w:rFonts w:ascii="Arial" w:hAnsi="Arial" w:cs="Arial"/>
        </w:rPr>
        <w:t>for these</w:t>
      </w:r>
      <w:r w:rsidRPr="003A0BE1">
        <w:rPr>
          <w:rFonts w:ascii="Arial" w:hAnsi="Arial" w:cs="Arial"/>
        </w:rPr>
        <w:t xml:space="preserve"> information collection</w:t>
      </w:r>
      <w:r>
        <w:rPr>
          <w:rFonts w:ascii="Arial" w:hAnsi="Arial" w:cs="Arial"/>
        </w:rPr>
        <w:t xml:space="preserve"> requirements</w:t>
      </w:r>
      <w:r w:rsidRPr="003A0BE1">
        <w:rPr>
          <w:rFonts w:ascii="Arial" w:hAnsi="Arial" w:cs="Arial"/>
        </w:rPr>
        <w:t>.  We estimate that we will receive 56,382 annual responses totaling 44,390 burden hours as indicated below.  We based our estimates on our experience in administering this collection and the results of our outreach.</w:t>
      </w:r>
    </w:p>
    <w:p w:rsidR="006A5504" w:rsidRPr="001E0023" w:rsidRDefault="006A5504" w:rsidP="006A5504">
      <w:pPr>
        <w:rPr>
          <w:rFonts w:ascii="Arial" w:hAnsi="Arial" w:cs="Arial"/>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260"/>
        <w:gridCol w:w="1350"/>
        <w:gridCol w:w="1080"/>
      </w:tblGrid>
      <w:tr w:rsidR="006A5504" w:rsidRPr="000F66C4" w:rsidTr="00CB1F14">
        <w:tc>
          <w:tcPr>
            <w:tcW w:w="5580" w:type="dxa"/>
          </w:tcPr>
          <w:p w:rsidR="006A5504" w:rsidRPr="00200D81" w:rsidRDefault="006A5504" w:rsidP="00CB1F1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ACTIVITY</w:t>
            </w:r>
          </w:p>
        </w:tc>
        <w:tc>
          <w:tcPr>
            <w:tcW w:w="1260" w:type="dxa"/>
          </w:tcPr>
          <w:p w:rsidR="006A5504" w:rsidRPr="00200D81" w:rsidRDefault="006A5504" w:rsidP="00CB1F1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ANNUAL</w:t>
            </w:r>
          </w:p>
          <w:p w:rsidR="006A5504" w:rsidRPr="00200D81" w:rsidRDefault="006A5504" w:rsidP="00CB1F1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NUMBER OF RESPONSES</w:t>
            </w:r>
          </w:p>
        </w:tc>
        <w:tc>
          <w:tcPr>
            <w:tcW w:w="1350" w:type="dxa"/>
          </w:tcPr>
          <w:p w:rsidR="006A5504" w:rsidRDefault="006A5504" w:rsidP="00CB1F1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COMPLETION TIME PER RESPONSE</w:t>
            </w:r>
          </w:p>
          <w:p w:rsidR="006A5504" w:rsidRPr="00200D81" w:rsidRDefault="006A5504" w:rsidP="00CB1F14">
            <w:pPr>
              <w:pStyle w:val="HTMLPreformatted"/>
              <w:widowControl w:val="0"/>
              <w:tabs>
                <w:tab w:val="clear" w:pos="916"/>
                <w:tab w:val="left" w:pos="480"/>
              </w:tabs>
              <w:autoSpaceDE w:val="0"/>
              <w:autoSpaceDN w:val="0"/>
              <w:adjustRightInd w:val="0"/>
              <w:rPr>
                <w:rFonts w:ascii="Arial" w:hAnsi="Arial" w:cs="Times New Roman"/>
                <w:b/>
                <w:sz w:val="16"/>
                <w:szCs w:val="16"/>
              </w:rPr>
            </w:pPr>
            <w:r>
              <w:rPr>
                <w:rFonts w:ascii="Arial" w:hAnsi="Arial" w:cs="Times New Roman"/>
                <w:b/>
                <w:sz w:val="16"/>
                <w:szCs w:val="16"/>
              </w:rPr>
              <w:t>(hours)</w:t>
            </w:r>
          </w:p>
        </w:tc>
        <w:tc>
          <w:tcPr>
            <w:tcW w:w="1080" w:type="dxa"/>
          </w:tcPr>
          <w:p w:rsidR="006A5504" w:rsidRPr="00200D81" w:rsidRDefault="006A5504" w:rsidP="00CB1F1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TOTAL ANNUAL BURDEN HOURS</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Local Government Certification Application</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55</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21.40</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1,177</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Certified Local Government Monitoring</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1,765</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7.00</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12,355</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7D6833">
              <w:rPr>
                <w:rFonts w:ascii="Arial" w:hAnsi="Arial"/>
                <w:sz w:val="18"/>
                <w:szCs w:val="18"/>
              </w:rPr>
              <w:t>Certified Local Government</w:t>
            </w:r>
            <w:r>
              <w:rPr>
                <w:rFonts w:ascii="Arial" w:hAnsi="Arial"/>
                <w:sz w:val="18"/>
                <w:szCs w:val="18"/>
              </w:rPr>
              <w:t xml:space="preserve"> Evaluations</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441</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13.33</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5,879</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Baseline Questionnaire for CLGs</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250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.59</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148</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Annual Achievements Report for CLGs</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900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2.20</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1,980</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State Inventory Maintenance</w:t>
            </w:r>
          </w:p>
        </w:tc>
        <w:tc>
          <w:tcPr>
            <w:tcW w:w="1260" w:type="dxa"/>
          </w:tcPr>
          <w:p w:rsidR="006A5504" w:rsidRPr="00200D81" w:rsidRDefault="00D73A32" w:rsidP="00CB1F14">
            <w:pPr>
              <w:jc w:val="right"/>
              <w:rPr>
                <w:rFonts w:ascii="Arial" w:hAnsi="Arial"/>
                <w:sz w:val="18"/>
                <w:szCs w:val="18"/>
              </w:rPr>
            </w:pPr>
            <w:r>
              <w:rPr>
                <w:rFonts w:ascii="Arial" w:hAnsi="Arial"/>
                <w:sz w:val="18"/>
                <w:szCs w:val="18"/>
              </w:rPr>
              <w:t>26,904</w:t>
            </w:r>
            <w:bookmarkStart w:id="0" w:name="_GoBack"/>
            <w:bookmarkEnd w:id="0"/>
          </w:p>
        </w:tc>
        <w:tc>
          <w:tcPr>
            <w:tcW w:w="1350" w:type="dxa"/>
          </w:tcPr>
          <w:p w:rsidR="006A5504" w:rsidRPr="00200D81" w:rsidRDefault="006A5504" w:rsidP="00CB1F14">
            <w:pPr>
              <w:jc w:val="right"/>
              <w:rPr>
                <w:rFonts w:ascii="Arial" w:hAnsi="Arial"/>
                <w:sz w:val="18"/>
                <w:szCs w:val="18"/>
              </w:rPr>
            </w:pPr>
            <w:r>
              <w:rPr>
                <w:rFonts w:ascii="Arial" w:hAnsi="Arial"/>
                <w:sz w:val="18"/>
                <w:szCs w:val="18"/>
              </w:rPr>
              <w:t>.46</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12,376</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State Review and Compliance Task Tracking</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25,370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.17</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4,313</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Program Review</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14</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90.00</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1,260</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Cumulative Products Table</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59</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7.46</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440</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Organization Chart and Staffing Summary</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30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1.15</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35</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Anticipated Activities List</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30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7.47</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224</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Project Notification</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30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1.37</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41</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Final Project Report</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30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1.03</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31</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t>State Project/Activity Database Report</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59</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7.14</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421</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State Sources of Non-F</w:t>
            </w:r>
            <w:r w:rsidRPr="007B48E0">
              <w:rPr>
                <w:rFonts w:ascii="Arial" w:hAnsi="Arial" w:cs="Times New Roman"/>
                <w:sz w:val="18"/>
                <w:szCs w:val="18"/>
              </w:rPr>
              <w:t>ederal Matching Share Report</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52</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4.28</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223</w:t>
            </w:r>
          </w:p>
        </w:tc>
      </w:tr>
      <w:tr w:rsidR="006A5504" w:rsidRPr="000F66C4" w:rsidTr="00CB1F14">
        <w:tc>
          <w:tcPr>
            <w:tcW w:w="5580" w:type="dxa"/>
          </w:tcPr>
          <w:p w:rsidR="006A5504"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7F5A53">
              <w:rPr>
                <w:rFonts w:ascii="Arial" w:hAnsi="Arial" w:cs="Times New Roman"/>
                <w:sz w:val="18"/>
                <w:szCs w:val="18"/>
              </w:rPr>
              <w:t>State Unexpended Funds Carryover Table and Statement</w:t>
            </w:r>
          </w:p>
        </w:tc>
        <w:tc>
          <w:tcPr>
            <w:tcW w:w="1260" w:type="dxa"/>
          </w:tcPr>
          <w:p w:rsidR="006A5504" w:rsidRDefault="006A5504" w:rsidP="00CB1F14">
            <w:pPr>
              <w:jc w:val="right"/>
              <w:rPr>
                <w:rFonts w:ascii="Arial" w:hAnsi="Arial"/>
                <w:sz w:val="18"/>
                <w:szCs w:val="18"/>
              </w:rPr>
            </w:pPr>
            <w:r>
              <w:rPr>
                <w:rFonts w:ascii="Arial" w:hAnsi="Arial"/>
                <w:sz w:val="18"/>
                <w:szCs w:val="18"/>
              </w:rPr>
              <w:t>59</w:t>
            </w:r>
          </w:p>
        </w:tc>
        <w:tc>
          <w:tcPr>
            <w:tcW w:w="1350" w:type="dxa"/>
          </w:tcPr>
          <w:p w:rsidR="006A5504" w:rsidRDefault="006A5504" w:rsidP="00CB1F14">
            <w:pPr>
              <w:jc w:val="right"/>
              <w:rPr>
                <w:rFonts w:ascii="Arial" w:hAnsi="Arial"/>
                <w:sz w:val="18"/>
                <w:szCs w:val="18"/>
              </w:rPr>
            </w:pPr>
            <w:r>
              <w:rPr>
                <w:rFonts w:ascii="Arial" w:hAnsi="Arial"/>
                <w:sz w:val="18"/>
                <w:szCs w:val="18"/>
              </w:rPr>
              <w:t>.08</w:t>
            </w:r>
          </w:p>
        </w:tc>
        <w:tc>
          <w:tcPr>
            <w:tcW w:w="1080" w:type="dxa"/>
          </w:tcPr>
          <w:p w:rsidR="006A5504" w:rsidRDefault="006A5504" w:rsidP="00CB1F14">
            <w:pPr>
              <w:jc w:val="right"/>
              <w:rPr>
                <w:rFonts w:ascii="Arial" w:hAnsi="Arial"/>
                <w:sz w:val="18"/>
                <w:szCs w:val="18"/>
              </w:rPr>
            </w:pPr>
            <w:r>
              <w:rPr>
                <w:rFonts w:ascii="Arial" w:hAnsi="Arial"/>
                <w:sz w:val="18"/>
                <w:szCs w:val="18"/>
              </w:rPr>
              <w:t>5</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lastRenderedPageBreak/>
              <w:t>State Significant Preservation Accomplishments Summary</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59</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2.09</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123</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t>Annual Achievements Report for States</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25</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2.22</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56</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sidRPr="005C6413">
              <w:rPr>
                <w:rFonts w:ascii="Arial" w:hAnsi="Arial" w:cs="Times New Roman"/>
                <w:sz w:val="18"/>
                <w:szCs w:val="18"/>
              </w:rPr>
              <w:t>Tribal Historic Preservation Office (THPO) Grants Product Summary Page</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100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12.00</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1,200</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THPO</w:t>
            </w:r>
            <w:r w:rsidRPr="005C6413">
              <w:rPr>
                <w:rFonts w:ascii="Arial" w:hAnsi="Arial" w:cs="Times New Roman"/>
                <w:sz w:val="18"/>
                <w:szCs w:val="18"/>
              </w:rPr>
              <w:t xml:space="preserve"> Unexpected Funds Carryover Statement</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50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7.08</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354</w:t>
            </w:r>
          </w:p>
        </w:tc>
      </w:tr>
      <w:tr w:rsidR="006A5504" w:rsidRPr="000F66C4" w:rsidTr="00CB1F14">
        <w:tc>
          <w:tcPr>
            <w:tcW w:w="5580" w:type="dxa"/>
          </w:tcPr>
          <w:p w:rsidR="006A5504" w:rsidRPr="00ED0C45" w:rsidRDefault="006A5504" w:rsidP="00CB1F1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THPO</w:t>
            </w:r>
            <w:r w:rsidRPr="005C6413">
              <w:rPr>
                <w:rFonts w:ascii="Arial" w:hAnsi="Arial" w:cs="Times New Roman"/>
                <w:sz w:val="18"/>
                <w:szCs w:val="18"/>
              </w:rPr>
              <w:t xml:space="preserve"> Annual Report</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100</w:t>
            </w:r>
          </w:p>
        </w:tc>
        <w:tc>
          <w:tcPr>
            <w:tcW w:w="1350" w:type="dxa"/>
          </w:tcPr>
          <w:p w:rsidR="006A5504" w:rsidRPr="00200D81" w:rsidRDefault="006A5504" w:rsidP="00CB1F14">
            <w:pPr>
              <w:jc w:val="right"/>
              <w:rPr>
                <w:rFonts w:ascii="Arial" w:hAnsi="Arial"/>
                <w:sz w:val="18"/>
                <w:szCs w:val="18"/>
              </w:rPr>
            </w:pPr>
            <w:r>
              <w:rPr>
                <w:rFonts w:ascii="Arial" w:hAnsi="Arial"/>
                <w:sz w:val="18"/>
                <w:szCs w:val="18"/>
              </w:rPr>
              <w:t>17.49</w:t>
            </w:r>
          </w:p>
        </w:tc>
        <w:tc>
          <w:tcPr>
            <w:tcW w:w="1080" w:type="dxa"/>
          </w:tcPr>
          <w:p w:rsidR="006A5504" w:rsidRPr="00200D81" w:rsidRDefault="006A5504" w:rsidP="00CB1F14">
            <w:pPr>
              <w:jc w:val="right"/>
              <w:rPr>
                <w:rFonts w:ascii="Arial" w:hAnsi="Arial"/>
                <w:sz w:val="18"/>
                <w:szCs w:val="18"/>
              </w:rPr>
            </w:pPr>
            <w:r>
              <w:rPr>
                <w:rFonts w:ascii="Arial" w:hAnsi="Arial"/>
                <w:sz w:val="18"/>
                <w:szCs w:val="18"/>
              </w:rPr>
              <w:t>1,749</w:t>
            </w:r>
          </w:p>
        </w:tc>
      </w:tr>
      <w:tr w:rsidR="006A5504" w:rsidRPr="000F66C4" w:rsidTr="00CB1F14">
        <w:tc>
          <w:tcPr>
            <w:tcW w:w="5580" w:type="dxa"/>
          </w:tcPr>
          <w:p w:rsidR="006A5504" w:rsidRPr="00425A73" w:rsidRDefault="006A5504" w:rsidP="00CB1F14">
            <w:pPr>
              <w:pStyle w:val="HTMLPreformatted"/>
              <w:widowControl w:val="0"/>
              <w:tabs>
                <w:tab w:val="clear" w:pos="916"/>
                <w:tab w:val="left" w:pos="480"/>
              </w:tabs>
              <w:autoSpaceDE w:val="0"/>
              <w:autoSpaceDN w:val="0"/>
              <w:adjustRightInd w:val="0"/>
              <w:rPr>
                <w:rFonts w:ascii="Arial" w:hAnsi="Arial" w:cs="Times New Roman"/>
                <w:b/>
                <w:sz w:val="18"/>
                <w:szCs w:val="18"/>
              </w:rPr>
            </w:pPr>
            <w:r>
              <w:rPr>
                <w:rFonts w:ascii="Arial" w:hAnsi="Arial" w:cs="Times New Roman"/>
                <w:b/>
                <w:sz w:val="18"/>
                <w:szCs w:val="18"/>
              </w:rPr>
              <w:t>TOTAL</w:t>
            </w:r>
          </w:p>
        </w:tc>
        <w:tc>
          <w:tcPr>
            <w:tcW w:w="1260" w:type="dxa"/>
          </w:tcPr>
          <w:p w:rsidR="006A5504" w:rsidRPr="00200D81" w:rsidRDefault="006A5504" w:rsidP="00CB1F14">
            <w:pPr>
              <w:jc w:val="right"/>
              <w:rPr>
                <w:rFonts w:ascii="Arial" w:hAnsi="Arial"/>
                <w:sz w:val="18"/>
                <w:szCs w:val="18"/>
              </w:rPr>
            </w:pPr>
            <w:r>
              <w:rPr>
                <w:rFonts w:ascii="Arial" w:hAnsi="Arial"/>
                <w:sz w:val="18"/>
                <w:szCs w:val="18"/>
              </w:rPr>
              <w:t>56,382</w:t>
            </w:r>
          </w:p>
        </w:tc>
        <w:tc>
          <w:tcPr>
            <w:tcW w:w="1350" w:type="dxa"/>
          </w:tcPr>
          <w:p w:rsidR="006A5504" w:rsidRPr="00200D81" w:rsidRDefault="006A5504" w:rsidP="00CB1F14">
            <w:pPr>
              <w:jc w:val="right"/>
              <w:rPr>
                <w:rFonts w:ascii="Arial" w:hAnsi="Arial"/>
                <w:sz w:val="18"/>
                <w:szCs w:val="18"/>
              </w:rPr>
            </w:pPr>
          </w:p>
        </w:tc>
        <w:tc>
          <w:tcPr>
            <w:tcW w:w="1080" w:type="dxa"/>
          </w:tcPr>
          <w:p w:rsidR="006A5504" w:rsidRPr="00200D81" w:rsidRDefault="006A5504" w:rsidP="00CB1F14">
            <w:pPr>
              <w:jc w:val="right"/>
              <w:rPr>
                <w:rFonts w:ascii="Arial" w:hAnsi="Arial"/>
                <w:sz w:val="18"/>
                <w:szCs w:val="18"/>
              </w:rPr>
            </w:pPr>
            <w:r>
              <w:rPr>
                <w:rFonts w:ascii="Arial" w:hAnsi="Arial"/>
                <w:sz w:val="18"/>
                <w:szCs w:val="18"/>
              </w:rPr>
              <w:t>44,390</w:t>
            </w:r>
          </w:p>
        </w:tc>
      </w:tr>
    </w:tbl>
    <w:p w:rsidR="006A5504" w:rsidRDefault="006A5504" w:rsidP="006A5504"/>
    <w:p w:rsidR="00FC3110" w:rsidRPr="00FC3110" w:rsidRDefault="006A5504" w:rsidP="006A5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3366FF"/>
          <w:sz w:val="22"/>
          <w:szCs w:val="22"/>
        </w:rPr>
      </w:pPr>
      <w:r>
        <w:rPr>
          <w:rFonts w:ascii="Arial" w:hAnsi="Arial" w:cs="Arial"/>
          <w:sz w:val="22"/>
          <w:szCs w:val="22"/>
        </w:rPr>
        <w:t xml:space="preserve">We estimate </w:t>
      </w:r>
      <w:r w:rsidR="00495AA9">
        <w:rPr>
          <w:rFonts w:ascii="Arial" w:hAnsi="Arial" w:cs="Arial"/>
          <w:sz w:val="22"/>
          <w:szCs w:val="22"/>
        </w:rPr>
        <w:t xml:space="preserve">that </w:t>
      </w:r>
      <w:r>
        <w:rPr>
          <w:rFonts w:ascii="Arial" w:hAnsi="Arial" w:cs="Arial"/>
          <w:sz w:val="22"/>
          <w:szCs w:val="22"/>
        </w:rPr>
        <w:t xml:space="preserve">the total value of the burden hours </w:t>
      </w:r>
      <w:r w:rsidR="00495AA9">
        <w:rPr>
          <w:rFonts w:ascii="Arial" w:hAnsi="Arial" w:cs="Arial"/>
          <w:sz w:val="22"/>
          <w:szCs w:val="22"/>
        </w:rPr>
        <w:t>is</w:t>
      </w:r>
      <w:r>
        <w:rPr>
          <w:rFonts w:ascii="Arial" w:hAnsi="Arial" w:cs="Arial"/>
          <w:sz w:val="22"/>
          <w:szCs w:val="22"/>
        </w:rPr>
        <w:t xml:space="preserve"> $</w:t>
      </w:r>
      <w:r w:rsidR="00495AA9">
        <w:rPr>
          <w:rFonts w:ascii="Arial" w:hAnsi="Arial" w:cs="Arial"/>
          <w:sz w:val="22"/>
          <w:szCs w:val="22"/>
        </w:rPr>
        <w:t xml:space="preserve">1,642,430 </w:t>
      </w:r>
      <w:r>
        <w:rPr>
          <w:rFonts w:ascii="Arial" w:hAnsi="Arial" w:cs="Arial"/>
          <w:sz w:val="22"/>
          <w:szCs w:val="22"/>
        </w:rPr>
        <w:t>(44,390 hours x $</w:t>
      </w:r>
      <w:r w:rsidR="00495AA9">
        <w:rPr>
          <w:rFonts w:ascii="Arial" w:hAnsi="Arial" w:cs="Arial"/>
          <w:sz w:val="22"/>
          <w:szCs w:val="22"/>
        </w:rPr>
        <w:t>37</w:t>
      </w:r>
      <w:r>
        <w:rPr>
          <w:rFonts w:ascii="Arial" w:hAnsi="Arial" w:cs="Arial"/>
          <w:sz w:val="22"/>
          <w:szCs w:val="22"/>
        </w:rPr>
        <w:t xml:space="preserve">).  </w:t>
      </w:r>
      <w:r w:rsidRPr="006A5504">
        <w:rPr>
          <w:rFonts w:ascii="Arial" w:hAnsi="Arial" w:cs="Arial"/>
          <w:sz w:val="22"/>
          <w:szCs w:val="22"/>
        </w:rPr>
        <w:t xml:space="preserve">Historians represent a typical discipline found in every government historic preservation office.  We have used the average hourly wage of a historian in a </w:t>
      </w:r>
      <w:r>
        <w:rPr>
          <w:rFonts w:ascii="Arial" w:hAnsi="Arial" w:cs="Arial"/>
          <w:sz w:val="22"/>
          <w:szCs w:val="22"/>
        </w:rPr>
        <w:t>State government setting ($24.68</w:t>
      </w:r>
      <w:r w:rsidRPr="006A5504">
        <w:rPr>
          <w:rFonts w:ascii="Arial" w:hAnsi="Arial" w:cs="Arial"/>
          <w:sz w:val="22"/>
          <w:szCs w:val="22"/>
        </w:rPr>
        <w:t xml:space="preserve">) as the average combined wage for </w:t>
      </w:r>
      <w:r>
        <w:rPr>
          <w:rFonts w:ascii="Arial" w:hAnsi="Arial" w:cs="Arial"/>
          <w:sz w:val="22"/>
          <w:szCs w:val="22"/>
        </w:rPr>
        <w:t>all who perform work associated with these requirements (</w:t>
      </w:r>
      <w:r w:rsidRPr="006A5504">
        <w:rPr>
          <w:rFonts w:ascii="Arial" w:hAnsi="Arial" w:cs="Arial"/>
          <w:sz w:val="22"/>
          <w:szCs w:val="22"/>
        </w:rPr>
        <w:t>Clerical/Unskilled, Skilled/Technical, Professional Managers, and Executive</w:t>
      </w:r>
      <w:r>
        <w:rPr>
          <w:rFonts w:ascii="Arial" w:hAnsi="Arial" w:cs="Arial"/>
          <w:sz w:val="22"/>
          <w:szCs w:val="22"/>
        </w:rPr>
        <w:t>s).</w:t>
      </w:r>
      <w:r w:rsidRPr="006A5504">
        <w:rPr>
          <w:rFonts w:ascii="Arial" w:hAnsi="Arial" w:cs="Arial"/>
          <w:sz w:val="22"/>
          <w:szCs w:val="22"/>
        </w:rPr>
        <w:t xml:space="preserve">  The source of the wage data is the B</w:t>
      </w:r>
      <w:r w:rsidR="00495AA9">
        <w:rPr>
          <w:rFonts w:ascii="Arial" w:hAnsi="Arial" w:cs="Arial"/>
          <w:sz w:val="22"/>
          <w:szCs w:val="22"/>
        </w:rPr>
        <w:t>ureau of Labor Statistics</w:t>
      </w:r>
      <w:r w:rsidRPr="006A5504">
        <w:rPr>
          <w:rFonts w:ascii="Arial" w:hAnsi="Arial" w:cs="Arial"/>
          <w:sz w:val="22"/>
          <w:szCs w:val="22"/>
        </w:rPr>
        <w:t xml:space="preserve"> Occupational Employment and Wages, May 2010</w:t>
      </w:r>
      <w:r>
        <w:rPr>
          <w:rFonts w:ascii="Arial" w:hAnsi="Arial" w:cs="Arial"/>
          <w:sz w:val="22"/>
          <w:szCs w:val="22"/>
        </w:rPr>
        <w:t xml:space="preserve">, </w:t>
      </w:r>
      <w:r w:rsidRPr="006A5504">
        <w:rPr>
          <w:rFonts w:ascii="Arial" w:hAnsi="Arial" w:cs="Arial"/>
          <w:sz w:val="22"/>
          <w:szCs w:val="22"/>
        </w:rPr>
        <w:t>19-3093 Historians</w:t>
      </w:r>
      <w:r>
        <w:rPr>
          <w:rFonts w:ascii="Arial" w:hAnsi="Arial" w:cs="Arial"/>
          <w:sz w:val="22"/>
          <w:szCs w:val="22"/>
        </w:rPr>
        <w:t xml:space="preserve">. </w:t>
      </w:r>
      <w:r w:rsidR="00495AA9" w:rsidRPr="00495AA9">
        <w:rPr>
          <w:rFonts w:ascii="Arial" w:hAnsi="Arial" w:cs="Arial"/>
          <w:sz w:val="22"/>
          <w:szCs w:val="22"/>
        </w:rPr>
        <w:t>In accordance with Bureau of Labor Statistics Bulletin USDL 11-0304 entitled “Employer Costs for Employee Compensation—December 2010“ (http://www.bls.gov/news.release/pdf/ecec.pdf), we m</w:t>
      </w:r>
      <w:r w:rsidR="00495AA9">
        <w:rPr>
          <w:rFonts w:ascii="Arial" w:hAnsi="Arial" w:cs="Arial"/>
          <w:sz w:val="22"/>
          <w:szCs w:val="22"/>
        </w:rPr>
        <w:t>ultiplied the hourly wage by 1.5</w:t>
      </w:r>
      <w:r w:rsidR="00495AA9" w:rsidRPr="00495AA9">
        <w:rPr>
          <w:rFonts w:ascii="Arial" w:hAnsi="Arial" w:cs="Arial"/>
          <w:sz w:val="22"/>
          <w:szCs w:val="22"/>
        </w:rPr>
        <w:t xml:space="preserve"> to account for benefits, re</w:t>
      </w:r>
      <w:r w:rsidR="00495AA9">
        <w:rPr>
          <w:rFonts w:ascii="Arial" w:hAnsi="Arial" w:cs="Arial"/>
          <w:sz w:val="22"/>
          <w:szCs w:val="22"/>
        </w:rPr>
        <w:t>sulting in an hourly wage of $37</w:t>
      </w:r>
      <w:r w:rsidR="00495AA9" w:rsidRPr="00495AA9">
        <w:rPr>
          <w:rFonts w:ascii="Arial" w:hAnsi="Arial" w:cs="Arial"/>
          <w:sz w:val="22"/>
          <w:szCs w:val="22"/>
        </w:rPr>
        <w:t xml:space="preserve">.00 (rounded).  </w:t>
      </w:r>
    </w:p>
    <w:p w:rsidR="00FC3110" w:rsidRDefault="00FC3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Default="00B572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total annual </w:t>
      </w:r>
      <w:proofErr w:type="spellStart"/>
      <w:r>
        <w:rPr>
          <w:rFonts w:ascii="Arial" w:hAnsi="Arial" w:cs="Arial"/>
          <w:sz w:val="22"/>
          <w:szCs w:val="22"/>
        </w:rPr>
        <w:t>nonhour</w:t>
      </w:r>
      <w:proofErr w:type="spellEnd"/>
      <w:r>
        <w:rPr>
          <w:rFonts w:ascii="Arial" w:hAnsi="Arial" w:cs="Arial"/>
          <w:sz w:val="22"/>
          <w:szCs w:val="22"/>
        </w:rPr>
        <w:t xml:space="preserve"> burden cost for this information collection is $340,474, primarily for </w:t>
      </w:r>
      <w:r w:rsidR="00C76BDA" w:rsidRPr="00C76BDA">
        <w:rPr>
          <w:rFonts w:ascii="Arial" w:hAnsi="Arial" w:cs="Arial"/>
          <w:sz w:val="22"/>
          <w:szCs w:val="22"/>
        </w:rPr>
        <w:t xml:space="preserve">photocopying, mailing, office supplies, </w:t>
      </w:r>
      <w:r>
        <w:rPr>
          <w:rFonts w:ascii="Arial" w:hAnsi="Arial" w:cs="Arial"/>
          <w:sz w:val="22"/>
          <w:szCs w:val="22"/>
        </w:rPr>
        <w:t>travel expenses, etc.</w:t>
      </w:r>
      <w:r w:rsidR="00C76BDA" w:rsidRPr="00C76BDA">
        <w:rPr>
          <w:rFonts w:ascii="Arial" w:hAnsi="Arial" w:cs="Arial"/>
          <w:sz w:val="22"/>
          <w:szCs w:val="22"/>
        </w:rPr>
        <w:t xml:space="preserve"> </w:t>
      </w:r>
    </w:p>
    <w:p w:rsidR="00C76BDA" w:rsidRPr="00670629" w:rsidRDefault="00C76B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835FC" w:rsidRPr="009A1F98" w:rsidRDefault="00C73A8E" w:rsidP="003835FC">
      <w:pPr>
        <w:rPr>
          <w:rFonts w:ascii="Arial" w:hAnsi="Arial" w:cs="Arial"/>
          <w:sz w:val="22"/>
          <w:szCs w:val="22"/>
        </w:rPr>
      </w:pPr>
      <w:r w:rsidRPr="009A1F98">
        <w:rPr>
          <w:rFonts w:ascii="Arial" w:hAnsi="Arial" w:cs="Arial"/>
          <w:sz w:val="22"/>
          <w:szCs w:val="22"/>
        </w:rPr>
        <w:t>The total annual cost to the Federal Government is approximately $</w:t>
      </w:r>
      <w:r w:rsidR="00AC6C16" w:rsidRPr="009A1F98">
        <w:rPr>
          <w:rFonts w:ascii="Arial" w:hAnsi="Arial" w:cs="Arial"/>
          <w:sz w:val="22"/>
          <w:szCs w:val="22"/>
        </w:rPr>
        <w:t>3</w:t>
      </w:r>
      <w:r w:rsidR="00892018">
        <w:rPr>
          <w:rFonts w:ascii="Arial" w:hAnsi="Arial" w:cs="Arial"/>
          <w:sz w:val="22"/>
          <w:szCs w:val="22"/>
        </w:rPr>
        <w:t>46,403</w:t>
      </w:r>
      <w:r w:rsidR="00AC6C16" w:rsidRPr="009A1F98">
        <w:rPr>
          <w:rFonts w:ascii="Arial" w:hAnsi="Arial" w:cs="Arial"/>
          <w:sz w:val="22"/>
          <w:szCs w:val="22"/>
        </w:rPr>
        <w:t xml:space="preserve">.  </w:t>
      </w:r>
      <w:r w:rsidR="003835FC" w:rsidRPr="009A1F98">
        <w:rPr>
          <w:rFonts w:ascii="Arial" w:hAnsi="Arial" w:cs="Arial"/>
          <w:sz w:val="22"/>
          <w:szCs w:val="22"/>
        </w:rPr>
        <w:t>We used the Office of Personnel Management Salary Table 2011-DCB to determine hourly wages</w:t>
      </w:r>
      <w:r w:rsidRPr="009A1F98">
        <w:rPr>
          <w:rFonts w:ascii="Arial" w:hAnsi="Arial" w:cs="Arial"/>
          <w:sz w:val="22"/>
          <w:szCs w:val="22"/>
        </w:rPr>
        <w:t xml:space="preserve">.  </w:t>
      </w:r>
      <w:r w:rsidR="00BD1EFF">
        <w:rPr>
          <w:rFonts w:ascii="Arial" w:hAnsi="Arial" w:cs="Arial"/>
          <w:sz w:val="22"/>
          <w:szCs w:val="22"/>
        </w:rPr>
        <w:t>Federal s</w:t>
      </w:r>
      <w:r w:rsidR="003835FC" w:rsidRPr="009A1F98">
        <w:rPr>
          <w:rFonts w:ascii="Arial" w:hAnsi="Arial" w:cs="Arial"/>
          <w:sz w:val="22"/>
          <w:szCs w:val="22"/>
        </w:rPr>
        <w:t xml:space="preserve">alary </w:t>
      </w:r>
      <w:r w:rsidR="00BD1EFF">
        <w:rPr>
          <w:rFonts w:ascii="Arial" w:hAnsi="Arial" w:cs="Arial"/>
          <w:sz w:val="22"/>
          <w:szCs w:val="22"/>
        </w:rPr>
        <w:t>hourly rates</w:t>
      </w:r>
      <w:r w:rsidR="003835FC" w:rsidRPr="009A1F98">
        <w:rPr>
          <w:rFonts w:ascii="Arial" w:hAnsi="Arial" w:cs="Arial"/>
          <w:sz w:val="22"/>
          <w:szCs w:val="22"/>
        </w:rPr>
        <w:t xml:space="preserve"> (including 30% benefits):</w:t>
      </w:r>
    </w:p>
    <w:p w:rsidR="003835FC" w:rsidRPr="009A1F98" w:rsidRDefault="003835FC" w:rsidP="003835FC">
      <w:pPr>
        <w:rPr>
          <w:rFonts w:ascii="Arial" w:hAnsi="Arial" w:cs="Arial"/>
          <w:sz w:val="22"/>
          <w:szCs w:val="22"/>
        </w:rPr>
      </w:pPr>
    </w:p>
    <w:p w:rsidR="003835FC" w:rsidRPr="009A1F98" w:rsidRDefault="003835FC" w:rsidP="003835FC">
      <w:pPr>
        <w:ind w:left="720"/>
        <w:rPr>
          <w:rFonts w:ascii="Arial" w:hAnsi="Arial" w:cs="Arial"/>
          <w:sz w:val="22"/>
          <w:szCs w:val="22"/>
        </w:rPr>
      </w:pPr>
      <w:r w:rsidRPr="009A1F98">
        <w:rPr>
          <w:rFonts w:ascii="Arial" w:hAnsi="Arial" w:cs="Arial"/>
          <w:sz w:val="22"/>
          <w:szCs w:val="22"/>
        </w:rPr>
        <w:t xml:space="preserve">Clerical/Unskilled (GS 7/1) = $26.38 </w:t>
      </w:r>
    </w:p>
    <w:p w:rsidR="003835FC" w:rsidRPr="009A1F98" w:rsidRDefault="003835FC" w:rsidP="003835FC">
      <w:pPr>
        <w:ind w:left="720"/>
        <w:rPr>
          <w:rFonts w:ascii="Arial" w:hAnsi="Arial" w:cs="Arial"/>
          <w:sz w:val="22"/>
          <w:szCs w:val="22"/>
        </w:rPr>
      </w:pPr>
      <w:r w:rsidRPr="009A1F98">
        <w:rPr>
          <w:rFonts w:ascii="Arial" w:hAnsi="Arial" w:cs="Arial"/>
          <w:sz w:val="22"/>
          <w:szCs w:val="22"/>
        </w:rPr>
        <w:t xml:space="preserve">Skilled/Technical (GS 9/1) = $32.27 </w:t>
      </w:r>
    </w:p>
    <w:p w:rsidR="003835FC" w:rsidRPr="009A1F98" w:rsidRDefault="003835FC" w:rsidP="003835FC">
      <w:pPr>
        <w:ind w:left="720"/>
        <w:rPr>
          <w:rFonts w:ascii="Arial" w:hAnsi="Arial" w:cs="Arial"/>
          <w:sz w:val="22"/>
          <w:szCs w:val="22"/>
        </w:rPr>
      </w:pPr>
      <w:r w:rsidRPr="009A1F98">
        <w:rPr>
          <w:rFonts w:ascii="Arial" w:hAnsi="Arial" w:cs="Arial"/>
          <w:sz w:val="22"/>
          <w:szCs w:val="22"/>
        </w:rPr>
        <w:t xml:space="preserve">Professionals/Managers (GS 11/1) = $39.04 </w:t>
      </w:r>
    </w:p>
    <w:p w:rsidR="003835FC" w:rsidRPr="009A1F98" w:rsidRDefault="003835FC" w:rsidP="003835FC">
      <w:pPr>
        <w:ind w:left="720"/>
        <w:rPr>
          <w:rFonts w:ascii="Arial" w:hAnsi="Arial" w:cs="Arial"/>
          <w:sz w:val="22"/>
          <w:szCs w:val="22"/>
        </w:rPr>
      </w:pPr>
      <w:r w:rsidRPr="009A1F98">
        <w:rPr>
          <w:rFonts w:ascii="Arial" w:hAnsi="Arial" w:cs="Arial"/>
          <w:sz w:val="22"/>
          <w:szCs w:val="22"/>
        </w:rPr>
        <w:t xml:space="preserve">Executives (GS 14/1) = $65.76 </w:t>
      </w:r>
    </w:p>
    <w:p w:rsidR="003835FC" w:rsidRPr="009A1F98" w:rsidRDefault="003835FC" w:rsidP="003835FC">
      <w:pPr>
        <w:rPr>
          <w:rFonts w:ascii="Arial" w:hAnsi="Arial" w:cs="Arial"/>
          <w:sz w:val="22"/>
          <w:szCs w:val="22"/>
        </w:rPr>
      </w:pPr>
    </w:p>
    <w:p w:rsidR="003835FC" w:rsidRPr="009A1F98" w:rsidRDefault="003835FC" w:rsidP="003835FC">
      <w:pPr>
        <w:rPr>
          <w:rFonts w:ascii="Arial" w:hAnsi="Arial" w:cs="Arial"/>
          <w:sz w:val="22"/>
          <w:szCs w:val="22"/>
        </w:rPr>
      </w:pPr>
      <w:r w:rsidRPr="009A1F98">
        <w:rPr>
          <w:rFonts w:ascii="Arial" w:hAnsi="Arial" w:cs="Arial"/>
          <w:sz w:val="22"/>
          <w:szCs w:val="22"/>
        </w:rPr>
        <w:t>The Federal salary cost for each requirement is:</w:t>
      </w:r>
    </w:p>
    <w:p w:rsidR="003835FC" w:rsidRDefault="003835FC" w:rsidP="003835FC">
      <w:pPr>
        <w:rPr>
          <w:rFonts w:ascii="Arial" w:hAnsi="Arial" w:cs="Arial"/>
        </w:rPr>
      </w:pPr>
    </w:p>
    <w:p w:rsidR="003835FC" w:rsidRDefault="003835FC" w:rsidP="003835FC">
      <w:pPr>
        <w:rPr>
          <w:rFonts w:ascii="Arial" w:hAnsi="Arial" w:cs="Arial"/>
        </w:rPr>
      </w:pPr>
      <w:r w:rsidRPr="00941EC3">
        <w:rPr>
          <w:rFonts w:ascii="Arial" w:hAnsi="Arial" w:cs="Arial"/>
          <w:b/>
        </w:rPr>
        <w:t>Local Government Certification</w:t>
      </w:r>
      <w:r w:rsidRPr="005D31D1">
        <w:rPr>
          <w:rFonts w:ascii="Arial" w:hAnsi="Arial" w:cs="Arial"/>
        </w:rPr>
        <w:t xml:space="preserve">.  </w:t>
      </w:r>
    </w:p>
    <w:p w:rsidR="003835FC" w:rsidRPr="005D31D1" w:rsidRDefault="003835FC" w:rsidP="003835FC">
      <w:pPr>
        <w:ind w:firstLine="720"/>
        <w:rPr>
          <w:rFonts w:ascii="Arial" w:hAnsi="Arial" w:cs="Arial"/>
        </w:rPr>
      </w:pPr>
      <w:r w:rsidRPr="005D31D1">
        <w:rPr>
          <w:rFonts w:ascii="Arial" w:hAnsi="Arial" w:cs="Arial"/>
        </w:rPr>
        <w:t>Hours</w:t>
      </w:r>
      <w:r w:rsidR="00700754">
        <w:rPr>
          <w:rFonts w:ascii="Arial" w:hAnsi="Arial" w:cs="Arial"/>
        </w:rPr>
        <w:t xml:space="preserve"> per Response</w:t>
      </w:r>
      <w:r w:rsidR="004D5DC5">
        <w:rPr>
          <w:rFonts w:ascii="Arial" w:hAnsi="Arial" w:cs="Arial"/>
        </w:rPr>
        <w:tab/>
      </w:r>
      <w:r w:rsidR="00700754">
        <w:rPr>
          <w:rFonts w:ascii="Arial" w:hAnsi="Arial" w:cs="Arial"/>
        </w:rPr>
        <w:tab/>
      </w:r>
      <w:r w:rsidR="004D5DC5">
        <w:rPr>
          <w:rFonts w:ascii="Arial" w:hAnsi="Arial" w:cs="Arial"/>
        </w:rPr>
        <w:tab/>
      </w:r>
      <w:r w:rsidR="004D5DC5">
        <w:rPr>
          <w:rFonts w:ascii="Arial" w:hAnsi="Arial" w:cs="Arial"/>
        </w:rPr>
        <w:tab/>
      </w:r>
      <w:r w:rsidR="004D5DC5">
        <w:rPr>
          <w:rFonts w:ascii="Arial" w:hAnsi="Arial" w:cs="Arial"/>
        </w:rPr>
        <w:tab/>
      </w:r>
      <w:r w:rsidR="004D5DC5">
        <w:rPr>
          <w:rFonts w:ascii="Arial" w:hAnsi="Arial" w:cs="Arial"/>
        </w:rPr>
        <w:tab/>
      </w:r>
      <w:r w:rsidRPr="005D31D1">
        <w:rPr>
          <w:rFonts w:ascii="Arial" w:hAnsi="Arial" w:cs="Arial"/>
        </w:rPr>
        <w:tab/>
        <w:t>1.58</w:t>
      </w:r>
    </w:p>
    <w:p w:rsidR="003835FC" w:rsidRDefault="003835FC" w:rsidP="003835FC">
      <w:pPr>
        <w:rPr>
          <w:rFonts w:ascii="Arial" w:hAnsi="Arial" w:cs="Arial"/>
        </w:rPr>
      </w:pPr>
      <w:r w:rsidRPr="005D31D1">
        <w:rPr>
          <w:rFonts w:ascii="Arial" w:hAnsi="Arial" w:cs="Arial"/>
        </w:rPr>
        <w:tab/>
      </w:r>
      <w:r w:rsidR="00941EC3">
        <w:rPr>
          <w:rFonts w:ascii="Arial" w:hAnsi="Arial" w:cs="Arial"/>
        </w:rPr>
        <w:tab/>
      </w:r>
      <w:r w:rsidRPr="005D31D1">
        <w:rPr>
          <w:rFonts w:ascii="Arial" w:hAnsi="Arial" w:cs="Arial"/>
        </w:rPr>
        <w:t>Clerical/Unskilled</w:t>
      </w:r>
      <w:r w:rsidRPr="005D31D1">
        <w:rPr>
          <w:rFonts w:ascii="Arial" w:hAnsi="Arial" w:cs="Arial"/>
        </w:rPr>
        <w:tab/>
      </w:r>
      <w:r w:rsidR="00941EC3">
        <w:rPr>
          <w:rFonts w:ascii="Arial" w:hAnsi="Arial" w:cs="Arial"/>
        </w:rPr>
        <w:tab/>
      </w:r>
      <w:r w:rsidRPr="005D31D1">
        <w:rPr>
          <w:rFonts w:ascii="Arial" w:hAnsi="Arial" w:cs="Arial"/>
        </w:rPr>
        <w:t>0.50</w:t>
      </w:r>
      <w:r w:rsidRPr="005D31D1">
        <w:rPr>
          <w:rFonts w:ascii="Arial" w:hAnsi="Arial" w:cs="Arial"/>
        </w:rPr>
        <w:tab/>
      </w:r>
    </w:p>
    <w:p w:rsidR="003835FC" w:rsidRPr="005D31D1" w:rsidRDefault="003835FC" w:rsidP="00941EC3">
      <w:pPr>
        <w:ind w:left="720" w:firstLine="720"/>
        <w:rPr>
          <w:rFonts w:ascii="Arial" w:hAnsi="Arial" w:cs="Arial"/>
        </w:rPr>
      </w:pPr>
      <w:r w:rsidRPr="005D31D1">
        <w:rPr>
          <w:rFonts w:ascii="Arial" w:hAnsi="Arial" w:cs="Arial"/>
        </w:rPr>
        <w:t>Skilled/Technical</w:t>
      </w:r>
      <w:r w:rsidRPr="005D31D1">
        <w:rPr>
          <w:rFonts w:ascii="Arial" w:hAnsi="Arial" w:cs="Arial"/>
        </w:rPr>
        <w:tab/>
      </w:r>
      <w:r w:rsidR="00941EC3">
        <w:rPr>
          <w:rFonts w:ascii="Arial" w:hAnsi="Arial" w:cs="Arial"/>
        </w:rPr>
        <w:tab/>
      </w:r>
      <w:r w:rsidRPr="005D31D1">
        <w:rPr>
          <w:rFonts w:ascii="Arial" w:hAnsi="Arial" w:cs="Arial"/>
        </w:rPr>
        <w:t>0.08</w:t>
      </w:r>
    </w:p>
    <w:p w:rsidR="003835FC" w:rsidRPr="005D31D1" w:rsidRDefault="003835FC" w:rsidP="003835FC">
      <w:pPr>
        <w:rPr>
          <w:rFonts w:ascii="Arial" w:hAnsi="Arial" w:cs="Arial"/>
        </w:rPr>
      </w:pPr>
      <w:r w:rsidRPr="005D31D1">
        <w:rPr>
          <w:rFonts w:ascii="Arial" w:hAnsi="Arial" w:cs="Arial"/>
        </w:rPr>
        <w:tab/>
      </w:r>
      <w:r w:rsidR="00941EC3">
        <w:rPr>
          <w:rFonts w:ascii="Arial" w:hAnsi="Arial" w:cs="Arial"/>
        </w:rPr>
        <w:tab/>
      </w:r>
      <w:r w:rsidRPr="005D31D1">
        <w:rPr>
          <w:rFonts w:ascii="Arial" w:hAnsi="Arial" w:cs="Arial"/>
        </w:rPr>
        <w:t>Professionals/Managers</w:t>
      </w:r>
      <w:r w:rsidRPr="005D31D1">
        <w:rPr>
          <w:rFonts w:ascii="Arial" w:hAnsi="Arial" w:cs="Arial"/>
        </w:rPr>
        <w:tab/>
      </w:r>
      <w:r w:rsidR="00941EC3">
        <w:rPr>
          <w:rFonts w:ascii="Arial" w:hAnsi="Arial" w:cs="Arial"/>
        </w:rPr>
        <w:tab/>
      </w:r>
      <w:r w:rsidRPr="005D31D1">
        <w:rPr>
          <w:rFonts w:ascii="Arial" w:hAnsi="Arial" w:cs="Arial"/>
        </w:rPr>
        <w:t>1.00</w:t>
      </w:r>
    </w:p>
    <w:p w:rsidR="003835FC" w:rsidRPr="005D31D1" w:rsidRDefault="003835FC" w:rsidP="003835FC">
      <w:pPr>
        <w:rPr>
          <w:rFonts w:ascii="Arial" w:hAnsi="Arial" w:cs="Arial"/>
        </w:rPr>
      </w:pPr>
      <w:r w:rsidRPr="005D31D1">
        <w:rPr>
          <w:rFonts w:ascii="Arial" w:hAnsi="Arial" w:cs="Arial"/>
        </w:rPr>
        <w:tab/>
      </w:r>
      <w:r w:rsidR="00B81071">
        <w:rPr>
          <w:rFonts w:ascii="Arial" w:hAnsi="Arial" w:cs="Arial"/>
        </w:rPr>
        <w:t>N</w:t>
      </w:r>
      <w:r w:rsidRPr="005D31D1">
        <w:rPr>
          <w:rFonts w:ascii="Arial" w:hAnsi="Arial" w:cs="Arial"/>
        </w:rPr>
        <w:t xml:space="preserve">umber of </w:t>
      </w:r>
      <w:r w:rsidR="00700754">
        <w:rPr>
          <w:rFonts w:ascii="Arial" w:hAnsi="Arial" w:cs="Arial"/>
        </w:rPr>
        <w:t>Responses</w:t>
      </w:r>
      <w:r w:rsidR="00700754">
        <w:rPr>
          <w:rFonts w:ascii="Arial" w:hAnsi="Arial" w:cs="Arial"/>
        </w:rPr>
        <w:tab/>
      </w:r>
      <w:r w:rsidR="004D5DC5">
        <w:rPr>
          <w:rFonts w:ascii="Arial" w:hAnsi="Arial" w:cs="Arial"/>
        </w:rPr>
        <w:tab/>
      </w:r>
      <w:r w:rsidR="00700754">
        <w:rPr>
          <w:rFonts w:ascii="Arial" w:hAnsi="Arial" w:cs="Arial"/>
        </w:rPr>
        <w:tab/>
      </w:r>
      <w:r w:rsidR="00941EC3">
        <w:rPr>
          <w:rFonts w:ascii="Arial" w:hAnsi="Arial" w:cs="Arial"/>
        </w:rPr>
        <w:tab/>
      </w:r>
      <w:r w:rsidR="00941EC3">
        <w:rPr>
          <w:rFonts w:ascii="Arial" w:hAnsi="Arial" w:cs="Arial"/>
        </w:rPr>
        <w:tab/>
      </w:r>
      <w:r w:rsidR="00941EC3">
        <w:rPr>
          <w:rFonts w:ascii="Arial" w:hAnsi="Arial" w:cs="Arial"/>
        </w:rPr>
        <w:tab/>
      </w:r>
      <w:r w:rsidR="00941EC3">
        <w:rPr>
          <w:rFonts w:ascii="Arial" w:hAnsi="Arial" w:cs="Arial"/>
        </w:rPr>
        <w:tab/>
      </w:r>
      <w:r w:rsidRPr="005D31D1">
        <w:rPr>
          <w:rFonts w:ascii="Arial" w:hAnsi="Arial" w:cs="Arial"/>
        </w:rPr>
        <w:t>55</w:t>
      </w:r>
    </w:p>
    <w:p w:rsidR="003835FC" w:rsidRPr="005D31D1" w:rsidRDefault="003835FC" w:rsidP="00B81071">
      <w:pPr>
        <w:ind w:firstLine="720"/>
        <w:rPr>
          <w:rFonts w:ascii="Arial" w:hAnsi="Arial" w:cs="Arial"/>
        </w:rPr>
      </w:pPr>
      <w:r w:rsidRPr="005D31D1">
        <w:rPr>
          <w:rFonts w:ascii="Arial" w:hAnsi="Arial" w:cs="Arial"/>
        </w:rPr>
        <w:t xml:space="preserve">Salary Cost </w:t>
      </w:r>
      <w:r w:rsidR="00700754">
        <w:rPr>
          <w:rFonts w:ascii="Arial" w:hAnsi="Arial" w:cs="Arial"/>
        </w:rPr>
        <w:t>per Response</w:t>
      </w:r>
      <w:r w:rsidR="00700754">
        <w:rPr>
          <w:rFonts w:ascii="Arial" w:hAnsi="Arial" w:cs="Arial"/>
        </w:rPr>
        <w:tab/>
      </w:r>
      <w:r w:rsidR="00700754">
        <w:rPr>
          <w:rFonts w:ascii="Arial" w:hAnsi="Arial" w:cs="Arial"/>
        </w:rPr>
        <w:tab/>
      </w:r>
      <w:r w:rsidR="00700754">
        <w:rPr>
          <w:rFonts w:ascii="Arial" w:hAnsi="Arial" w:cs="Arial"/>
        </w:rPr>
        <w:tab/>
      </w:r>
      <w:r w:rsidR="00700754">
        <w:rPr>
          <w:rFonts w:ascii="Arial" w:hAnsi="Arial" w:cs="Arial"/>
        </w:rPr>
        <w:tab/>
      </w:r>
      <w:r w:rsidR="00700754">
        <w:rPr>
          <w:rFonts w:ascii="Arial" w:hAnsi="Arial" w:cs="Arial"/>
        </w:rPr>
        <w:tab/>
      </w:r>
      <w:r w:rsidR="002E2A20">
        <w:rPr>
          <w:rFonts w:ascii="Arial" w:hAnsi="Arial" w:cs="Arial"/>
        </w:rPr>
        <w:tab/>
        <w:t>$54.81</w:t>
      </w:r>
    </w:p>
    <w:p w:rsidR="003835FC" w:rsidRPr="005D31D1" w:rsidRDefault="003835FC" w:rsidP="003835FC">
      <w:pPr>
        <w:rPr>
          <w:rFonts w:ascii="Arial" w:hAnsi="Arial" w:cs="Arial"/>
        </w:rPr>
      </w:pPr>
      <w:r w:rsidRPr="005D31D1">
        <w:rPr>
          <w:rFonts w:ascii="Arial" w:hAnsi="Arial" w:cs="Arial"/>
        </w:rPr>
        <w:tab/>
      </w:r>
      <w:r w:rsidR="00B81071">
        <w:rPr>
          <w:rFonts w:ascii="Arial" w:hAnsi="Arial" w:cs="Arial"/>
        </w:rPr>
        <w:tab/>
      </w:r>
      <w:r w:rsidRPr="005D31D1">
        <w:rPr>
          <w:rFonts w:ascii="Arial" w:hAnsi="Arial" w:cs="Arial"/>
        </w:rPr>
        <w:t>Clerical/Unskilled</w:t>
      </w:r>
      <w:r w:rsidRPr="005D31D1">
        <w:rPr>
          <w:rFonts w:ascii="Arial" w:hAnsi="Arial" w:cs="Arial"/>
        </w:rPr>
        <w:tab/>
      </w:r>
      <w:r w:rsidR="00941EC3">
        <w:rPr>
          <w:rFonts w:ascii="Arial" w:hAnsi="Arial" w:cs="Arial"/>
        </w:rPr>
        <w:tab/>
      </w:r>
      <w:r w:rsidR="00F55E39">
        <w:rPr>
          <w:rFonts w:ascii="Arial" w:hAnsi="Arial" w:cs="Arial"/>
        </w:rPr>
        <w:tab/>
      </w:r>
      <w:r w:rsidRPr="005D31D1">
        <w:rPr>
          <w:rFonts w:ascii="Arial" w:hAnsi="Arial" w:cs="Arial"/>
        </w:rPr>
        <w:t>$13.19</w:t>
      </w:r>
    </w:p>
    <w:p w:rsidR="003835FC" w:rsidRPr="005D31D1" w:rsidRDefault="003835FC" w:rsidP="003835FC">
      <w:pPr>
        <w:rPr>
          <w:rFonts w:ascii="Arial" w:hAnsi="Arial" w:cs="Arial"/>
        </w:rPr>
      </w:pPr>
      <w:r w:rsidRPr="005D31D1">
        <w:rPr>
          <w:rFonts w:ascii="Arial" w:hAnsi="Arial" w:cs="Arial"/>
        </w:rPr>
        <w:tab/>
      </w:r>
      <w:r w:rsidR="00B81071">
        <w:rPr>
          <w:rFonts w:ascii="Arial" w:hAnsi="Arial" w:cs="Arial"/>
        </w:rPr>
        <w:tab/>
      </w:r>
      <w:r w:rsidRPr="005D31D1">
        <w:rPr>
          <w:rFonts w:ascii="Arial" w:hAnsi="Arial" w:cs="Arial"/>
        </w:rPr>
        <w:t>Skilled/Technical</w:t>
      </w:r>
      <w:r w:rsidRPr="005D31D1">
        <w:rPr>
          <w:rFonts w:ascii="Arial" w:hAnsi="Arial" w:cs="Arial"/>
        </w:rPr>
        <w:tab/>
      </w:r>
      <w:r w:rsidR="00941EC3">
        <w:rPr>
          <w:rFonts w:ascii="Arial" w:hAnsi="Arial" w:cs="Arial"/>
        </w:rPr>
        <w:tab/>
      </w:r>
      <w:r w:rsidR="00F55E39">
        <w:rPr>
          <w:rFonts w:ascii="Arial" w:hAnsi="Arial" w:cs="Arial"/>
        </w:rPr>
        <w:tab/>
      </w:r>
      <w:r w:rsidRPr="005D31D1">
        <w:rPr>
          <w:rFonts w:ascii="Arial" w:hAnsi="Arial" w:cs="Arial"/>
        </w:rPr>
        <w:t>$</w:t>
      </w:r>
      <w:r w:rsidR="00941EC3">
        <w:rPr>
          <w:rFonts w:ascii="Arial" w:hAnsi="Arial" w:cs="Arial"/>
        </w:rPr>
        <w:t xml:space="preserve"> </w:t>
      </w:r>
      <w:r w:rsidR="002E2A20">
        <w:rPr>
          <w:rFonts w:ascii="Arial" w:hAnsi="Arial" w:cs="Arial"/>
        </w:rPr>
        <w:t xml:space="preserve"> 2.58</w:t>
      </w:r>
    </w:p>
    <w:p w:rsidR="003835FC" w:rsidRPr="005D31D1" w:rsidRDefault="003835FC" w:rsidP="003835FC">
      <w:pPr>
        <w:rPr>
          <w:rFonts w:ascii="Arial" w:hAnsi="Arial" w:cs="Arial"/>
        </w:rPr>
      </w:pPr>
      <w:r w:rsidRPr="005D31D1">
        <w:rPr>
          <w:rFonts w:ascii="Arial" w:hAnsi="Arial" w:cs="Arial"/>
        </w:rPr>
        <w:tab/>
      </w:r>
      <w:r w:rsidR="00B81071">
        <w:rPr>
          <w:rFonts w:ascii="Arial" w:hAnsi="Arial" w:cs="Arial"/>
        </w:rPr>
        <w:tab/>
      </w:r>
      <w:r w:rsidRPr="005D31D1">
        <w:rPr>
          <w:rFonts w:ascii="Arial" w:hAnsi="Arial" w:cs="Arial"/>
        </w:rPr>
        <w:t>Professionals/Managers</w:t>
      </w:r>
      <w:r w:rsidRPr="005D31D1">
        <w:rPr>
          <w:rFonts w:ascii="Arial" w:hAnsi="Arial" w:cs="Arial"/>
        </w:rPr>
        <w:tab/>
      </w:r>
      <w:r w:rsidR="00941EC3">
        <w:rPr>
          <w:rFonts w:ascii="Arial" w:hAnsi="Arial" w:cs="Arial"/>
        </w:rPr>
        <w:tab/>
      </w:r>
      <w:r w:rsidR="00F55E39">
        <w:rPr>
          <w:rFonts w:ascii="Arial" w:hAnsi="Arial" w:cs="Arial"/>
        </w:rPr>
        <w:tab/>
      </w:r>
      <w:r w:rsidRPr="005D31D1">
        <w:rPr>
          <w:rFonts w:ascii="Arial" w:hAnsi="Arial" w:cs="Arial"/>
        </w:rPr>
        <w:t>$39.04</w:t>
      </w:r>
      <w:r w:rsidRPr="005D31D1">
        <w:rPr>
          <w:rFonts w:ascii="Arial" w:hAnsi="Arial" w:cs="Arial"/>
        </w:rPr>
        <w:tab/>
      </w:r>
      <w:r w:rsidR="00941EC3">
        <w:rPr>
          <w:rFonts w:ascii="Arial" w:hAnsi="Arial" w:cs="Arial"/>
        </w:rPr>
        <w:tab/>
      </w:r>
    </w:p>
    <w:p w:rsidR="003835FC" w:rsidRPr="005D31D1" w:rsidRDefault="003835FC" w:rsidP="003835FC">
      <w:pPr>
        <w:rPr>
          <w:rFonts w:ascii="Arial" w:hAnsi="Arial" w:cs="Arial"/>
        </w:rPr>
      </w:pPr>
      <w:r w:rsidRPr="005D31D1">
        <w:rPr>
          <w:rFonts w:ascii="Arial" w:hAnsi="Arial" w:cs="Arial"/>
        </w:rPr>
        <w:tab/>
        <w:t xml:space="preserve">Cost to Federal Government </w:t>
      </w:r>
      <w:r w:rsidR="00941EC3">
        <w:rPr>
          <w:rFonts w:ascii="Arial" w:hAnsi="Arial" w:cs="Arial"/>
        </w:rPr>
        <w:tab/>
      </w:r>
      <w:r w:rsidR="00941EC3">
        <w:rPr>
          <w:rFonts w:ascii="Arial" w:hAnsi="Arial" w:cs="Arial"/>
        </w:rPr>
        <w:tab/>
      </w:r>
      <w:r w:rsidR="00941EC3">
        <w:rPr>
          <w:rFonts w:ascii="Arial" w:hAnsi="Arial" w:cs="Arial"/>
        </w:rPr>
        <w:tab/>
      </w:r>
      <w:r w:rsidR="00941EC3">
        <w:rPr>
          <w:rFonts w:ascii="Arial" w:hAnsi="Arial" w:cs="Arial"/>
        </w:rPr>
        <w:tab/>
      </w:r>
      <w:r w:rsidR="00941EC3">
        <w:rPr>
          <w:rFonts w:ascii="Arial" w:hAnsi="Arial" w:cs="Arial"/>
        </w:rPr>
        <w:tab/>
      </w:r>
      <w:r w:rsidR="00941EC3">
        <w:rPr>
          <w:rFonts w:ascii="Arial" w:hAnsi="Arial" w:cs="Arial"/>
        </w:rPr>
        <w:tab/>
      </w:r>
      <w:r w:rsidR="00700754">
        <w:rPr>
          <w:rFonts w:ascii="Arial" w:hAnsi="Arial" w:cs="Arial"/>
        </w:rPr>
        <w:tab/>
      </w:r>
      <w:r w:rsidR="005A1961">
        <w:rPr>
          <w:rFonts w:ascii="Arial" w:hAnsi="Arial" w:cs="Arial"/>
        </w:rPr>
        <w:t>$3,015</w:t>
      </w:r>
    </w:p>
    <w:p w:rsidR="003835FC" w:rsidRPr="005D31D1" w:rsidRDefault="003835FC" w:rsidP="003835FC">
      <w:pPr>
        <w:rPr>
          <w:rFonts w:ascii="Arial" w:hAnsi="Arial" w:cs="Arial"/>
        </w:rPr>
      </w:pPr>
    </w:p>
    <w:p w:rsidR="003835FC" w:rsidRPr="005D31D1" w:rsidRDefault="004D5DC5" w:rsidP="003835FC">
      <w:pPr>
        <w:rPr>
          <w:rFonts w:ascii="Arial" w:hAnsi="Arial" w:cs="Arial"/>
        </w:rPr>
      </w:pPr>
      <w:r w:rsidRPr="004D5DC5">
        <w:rPr>
          <w:rFonts w:ascii="Arial" w:hAnsi="Arial" w:cs="Arial"/>
          <w:b/>
        </w:rPr>
        <w:t>C</w:t>
      </w:r>
      <w:r w:rsidR="003835FC" w:rsidRPr="004D5DC5">
        <w:rPr>
          <w:rFonts w:ascii="Arial" w:hAnsi="Arial" w:cs="Arial"/>
          <w:b/>
        </w:rPr>
        <w:t>LG Monitoring</w:t>
      </w:r>
      <w:r>
        <w:rPr>
          <w:rFonts w:ascii="Arial" w:hAnsi="Arial" w:cs="Arial"/>
        </w:rPr>
        <w:t xml:space="preserve"> (costs included in State Program Review)</w:t>
      </w:r>
    </w:p>
    <w:p w:rsidR="003835FC" w:rsidRPr="005D31D1" w:rsidRDefault="003835FC" w:rsidP="003835FC">
      <w:pPr>
        <w:rPr>
          <w:rFonts w:ascii="Arial" w:hAnsi="Arial" w:cs="Arial"/>
        </w:rPr>
      </w:pPr>
    </w:p>
    <w:p w:rsidR="003835FC" w:rsidRDefault="003835FC" w:rsidP="003835FC">
      <w:pPr>
        <w:rPr>
          <w:rFonts w:ascii="Arial" w:hAnsi="Arial" w:cs="Arial"/>
        </w:rPr>
      </w:pPr>
      <w:r w:rsidRPr="004D5DC5">
        <w:rPr>
          <w:rFonts w:ascii="Arial" w:hAnsi="Arial" w:cs="Arial"/>
          <w:b/>
        </w:rPr>
        <w:t>CLG Evaluations</w:t>
      </w:r>
      <w:r w:rsidR="004D5DC5">
        <w:rPr>
          <w:rFonts w:ascii="Arial" w:hAnsi="Arial" w:cs="Arial"/>
          <w:b/>
        </w:rPr>
        <w:t xml:space="preserve"> </w:t>
      </w:r>
      <w:r w:rsidR="004D5DC5">
        <w:rPr>
          <w:rFonts w:ascii="Arial" w:hAnsi="Arial" w:cs="Arial"/>
        </w:rPr>
        <w:t>(costs included in State Program Review)</w:t>
      </w:r>
    </w:p>
    <w:p w:rsidR="004D5DC5" w:rsidRPr="005D31D1" w:rsidRDefault="004D5DC5" w:rsidP="003835FC">
      <w:pPr>
        <w:rPr>
          <w:rFonts w:ascii="Arial" w:hAnsi="Arial" w:cs="Arial"/>
        </w:rPr>
      </w:pPr>
    </w:p>
    <w:p w:rsidR="004D5DC5" w:rsidRDefault="003835FC" w:rsidP="003835FC">
      <w:pPr>
        <w:rPr>
          <w:rFonts w:ascii="Arial" w:hAnsi="Arial" w:cs="Arial"/>
        </w:rPr>
      </w:pPr>
      <w:r w:rsidRPr="004D5DC5">
        <w:rPr>
          <w:rFonts w:ascii="Arial" w:hAnsi="Arial" w:cs="Arial"/>
          <w:b/>
        </w:rPr>
        <w:t>Baseline Questionnaire for CLGs</w:t>
      </w:r>
      <w:r w:rsidRPr="005D31D1">
        <w:rPr>
          <w:rFonts w:ascii="Arial" w:hAnsi="Arial" w:cs="Arial"/>
        </w:rPr>
        <w:t xml:space="preserve">.  </w:t>
      </w:r>
    </w:p>
    <w:p w:rsidR="004D5DC5" w:rsidRPr="005D31D1" w:rsidRDefault="004D5DC5" w:rsidP="004D5DC5">
      <w:pPr>
        <w:ind w:firstLine="720"/>
        <w:rPr>
          <w:rFonts w:ascii="Arial" w:hAnsi="Arial" w:cs="Arial"/>
        </w:rPr>
      </w:pPr>
      <w:r w:rsidRPr="005D31D1">
        <w:rPr>
          <w:rFonts w:ascii="Arial" w:hAnsi="Arial" w:cs="Arial"/>
        </w:rPr>
        <w:lastRenderedPageBreak/>
        <w:t>Total Hours</w:t>
      </w:r>
      <w:r w:rsidR="00700754">
        <w:rPr>
          <w:rFonts w:ascii="Arial" w:hAnsi="Arial" w:cs="Arial"/>
        </w:rPr>
        <w:t xml:space="preserve"> per Response</w:t>
      </w:r>
      <w:r w:rsidRPr="005D31D1">
        <w:rPr>
          <w:rFonts w:ascii="Arial" w:hAnsi="Arial" w:cs="Arial"/>
        </w:rPr>
        <w:tab/>
      </w:r>
      <w:r w:rsidR="00700754">
        <w:rPr>
          <w:rFonts w:ascii="Arial" w:hAnsi="Arial" w:cs="Arial"/>
        </w:rPr>
        <w:tab/>
      </w:r>
      <w:r w:rsidR="00CB1F14">
        <w:rPr>
          <w:rFonts w:ascii="Arial" w:hAnsi="Arial" w:cs="Arial"/>
        </w:rPr>
        <w:tab/>
      </w:r>
      <w:r w:rsidR="00CB1F14">
        <w:rPr>
          <w:rFonts w:ascii="Arial" w:hAnsi="Arial" w:cs="Arial"/>
        </w:rPr>
        <w:tab/>
      </w:r>
      <w:r w:rsidR="00CB1F14">
        <w:rPr>
          <w:rFonts w:ascii="Arial" w:hAnsi="Arial" w:cs="Arial"/>
        </w:rPr>
        <w:tab/>
      </w:r>
      <w:r w:rsidR="00CB1F14">
        <w:rPr>
          <w:rFonts w:ascii="Arial" w:hAnsi="Arial" w:cs="Arial"/>
        </w:rPr>
        <w:tab/>
        <w:t>2.56</w:t>
      </w:r>
      <w:r w:rsidR="00700754">
        <w:rPr>
          <w:rFonts w:ascii="Arial" w:hAnsi="Arial" w:cs="Arial"/>
        </w:rPr>
        <w:tab/>
      </w:r>
      <w:r w:rsidR="00700754">
        <w:rPr>
          <w:rFonts w:ascii="Arial" w:hAnsi="Arial" w:cs="Arial"/>
        </w:rPr>
        <w:tab/>
      </w:r>
      <w:r w:rsidR="00700754">
        <w:rPr>
          <w:rFonts w:ascii="Arial" w:hAnsi="Arial" w:cs="Arial"/>
        </w:rPr>
        <w:tab/>
      </w:r>
    </w:p>
    <w:p w:rsidR="00CB1F14" w:rsidRPr="005D31D1" w:rsidRDefault="004D5DC5" w:rsidP="00CB1F14">
      <w:pPr>
        <w:rPr>
          <w:rFonts w:ascii="Arial" w:hAnsi="Arial" w:cs="Arial"/>
        </w:rPr>
      </w:pPr>
      <w:r w:rsidRPr="005D31D1">
        <w:rPr>
          <w:rFonts w:ascii="Arial" w:hAnsi="Arial" w:cs="Arial"/>
        </w:rPr>
        <w:tab/>
      </w:r>
      <w:r>
        <w:rPr>
          <w:rFonts w:ascii="Arial" w:hAnsi="Arial" w:cs="Arial"/>
        </w:rPr>
        <w:tab/>
      </w:r>
      <w:r w:rsidR="00CB1F14" w:rsidRPr="005D31D1">
        <w:rPr>
          <w:rFonts w:ascii="Arial" w:hAnsi="Arial" w:cs="Arial"/>
        </w:rPr>
        <w:t>Clerical/Unskilled</w:t>
      </w:r>
      <w:r w:rsidR="00CB1F14" w:rsidRPr="005D31D1">
        <w:rPr>
          <w:rFonts w:ascii="Arial" w:hAnsi="Arial" w:cs="Arial"/>
        </w:rPr>
        <w:tab/>
      </w:r>
      <w:r w:rsidR="00CB1F14">
        <w:rPr>
          <w:rFonts w:ascii="Arial" w:hAnsi="Arial" w:cs="Arial"/>
        </w:rPr>
        <w:tab/>
      </w:r>
      <w:r w:rsidR="00CB1F14" w:rsidRPr="005D31D1">
        <w:rPr>
          <w:rFonts w:ascii="Arial" w:hAnsi="Arial" w:cs="Arial"/>
        </w:rPr>
        <w:t>0.10</w:t>
      </w:r>
    </w:p>
    <w:p w:rsidR="00CB1F14" w:rsidRPr="005D31D1" w:rsidRDefault="00CB1F14" w:rsidP="00CB1F14">
      <w:pPr>
        <w:ind w:left="720" w:firstLine="720"/>
        <w:rPr>
          <w:rFonts w:ascii="Arial" w:hAnsi="Arial" w:cs="Arial"/>
        </w:rPr>
      </w:pPr>
      <w:r w:rsidRPr="005D31D1">
        <w:rPr>
          <w:rFonts w:ascii="Arial" w:hAnsi="Arial" w:cs="Arial"/>
        </w:rPr>
        <w:t>Skilled/Technical</w:t>
      </w:r>
      <w:r w:rsidRPr="005D31D1">
        <w:rPr>
          <w:rFonts w:ascii="Arial" w:hAnsi="Arial" w:cs="Arial"/>
        </w:rPr>
        <w:tab/>
      </w:r>
      <w:r>
        <w:rPr>
          <w:rFonts w:ascii="Arial" w:hAnsi="Arial" w:cs="Arial"/>
        </w:rPr>
        <w:tab/>
      </w:r>
      <w:r w:rsidRPr="005D31D1">
        <w:rPr>
          <w:rFonts w:ascii="Arial" w:hAnsi="Arial" w:cs="Arial"/>
        </w:rPr>
        <w:t>0.71</w:t>
      </w:r>
    </w:p>
    <w:p w:rsidR="00CB1F14" w:rsidRPr="005D31D1" w:rsidRDefault="00CB1F14" w:rsidP="00CB1F14">
      <w:pPr>
        <w:ind w:left="1440"/>
        <w:rPr>
          <w:rFonts w:ascii="Arial" w:hAnsi="Arial" w:cs="Arial"/>
        </w:rPr>
      </w:pP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1.50</w:t>
      </w:r>
    </w:p>
    <w:p w:rsidR="00CB1F14" w:rsidRPr="005D31D1" w:rsidRDefault="00CB1F14" w:rsidP="00CB1F14">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r>
      <w:r w:rsidRPr="005D31D1">
        <w:rPr>
          <w:rFonts w:ascii="Arial" w:hAnsi="Arial" w:cs="Arial"/>
        </w:rPr>
        <w:t>0.25</w:t>
      </w:r>
    </w:p>
    <w:p w:rsidR="004D5DC5" w:rsidRPr="005D31D1" w:rsidRDefault="004D5DC5" w:rsidP="004D5DC5">
      <w:pPr>
        <w:rPr>
          <w:rFonts w:ascii="Arial" w:hAnsi="Arial" w:cs="Arial"/>
        </w:rPr>
      </w:pPr>
      <w:r>
        <w:rPr>
          <w:rFonts w:ascii="Arial" w:hAnsi="Arial" w:cs="Arial"/>
        </w:rPr>
        <w:tab/>
      </w:r>
      <w:r w:rsidRPr="005D31D1">
        <w:rPr>
          <w:rFonts w:ascii="Arial" w:hAnsi="Arial" w:cs="Arial"/>
        </w:rPr>
        <w:t xml:space="preserve">Number of </w:t>
      </w:r>
      <w:r w:rsidR="00700754">
        <w:rPr>
          <w:rFonts w:ascii="Arial" w:hAnsi="Arial" w:cs="Arial"/>
        </w:rPr>
        <w:t>Responses</w:t>
      </w:r>
      <w:r w:rsidRPr="005D31D1">
        <w:rPr>
          <w:rFonts w:ascii="Arial" w:hAnsi="Arial" w:cs="Arial"/>
        </w:rPr>
        <w:tab/>
      </w:r>
      <w:r w:rsidR="00CB1F14">
        <w:rPr>
          <w:rFonts w:ascii="Arial" w:hAnsi="Arial" w:cs="Arial"/>
        </w:rPr>
        <w:tab/>
      </w:r>
      <w:r w:rsidR="00CB1F14">
        <w:rPr>
          <w:rFonts w:ascii="Arial" w:hAnsi="Arial" w:cs="Arial"/>
        </w:rPr>
        <w:tab/>
      </w:r>
      <w:r w:rsidR="00CB1F14">
        <w:rPr>
          <w:rFonts w:ascii="Arial" w:hAnsi="Arial" w:cs="Arial"/>
        </w:rPr>
        <w:tab/>
      </w:r>
      <w:r w:rsidR="00CB1F14">
        <w:rPr>
          <w:rFonts w:ascii="Arial" w:hAnsi="Arial" w:cs="Arial"/>
        </w:rPr>
        <w:tab/>
      </w:r>
      <w:r w:rsidR="00CB1F14">
        <w:rPr>
          <w:rFonts w:ascii="Arial" w:hAnsi="Arial" w:cs="Arial"/>
        </w:rPr>
        <w:tab/>
      </w:r>
      <w:r w:rsidR="00CB1F14">
        <w:rPr>
          <w:rFonts w:ascii="Arial" w:hAnsi="Arial" w:cs="Arial"/>
        </w:rPr>
        <w:tab/>
        <w:t>250</w:t>
      </w:r>
      <w:r>
        <w:rPr>
          <w:rFonts w:ascii="Arial" w:hAnsi="Arial" w:cs="Arial"/>
        </w:rPr>
        <w:tab/>
      </w:r>
      <w:r>
        <w:rPr>
          <w:rFonts w:ascii="Arial" w:hAnsi="Arial" w:cs="Arial"/>
        </w:rPr>
        <w:tab/>
      </w:r>
      <w:r>
        <w:rPr>
          <w:rFonts w:ascii="Arial" w:hAnsi="Arial" w:cs="Arial"/>
        </w:rPr>
        <w:tab/>
      </w:r>
    </w:p>
    <w:p w:rsidR="004D5DC5" w:rsidRPr="005D31D1" w:rsidRDefault="004D5DC5" w:rsidP="00B81071">
      <w:pPr>
        <w:ind w:firstLine="720"/>
        <w:rPr>
          <w:rFonts w:ascii="Arial" w:hAnsi="Arial" w:cs="Arial"/>
        </w:rPr>
      </w:pPr>
      <w:r w:rsidRPr="005D31D1">
        <w:rPr>
          <w:rFonts w:ascii="Arial" w:hAnsi="Arial" w:cs="Arial"/>
        </w:rPr>
        <w:t xml:space="preserve">Salary Cost </w:t>
      </w:r>
      <w:r w:rsidR="00700754">
        <w:rPr>
          <w:rFonts w:ascii="Arial" w:hAnsi="Arial" w:cs="Arial"/>
        </w:rPr>
        <w:t>per Response</w:t>
      </w:r>
      <w:r w:rsidR="00700754">
        <w:rPr>
          <w:rFonts w:ascii="Arial" w:hAnsi="Arial" w:cs="Arial"/>
        </w:rPr>
        <w:tab/>
      </w:r>
      <w:r w:rsidR="00700754">
        <w:rPr>
          <w:rFonts w:ascii="Arial" w:hAnsi="Arial" w:cs="Arial"/>
        </w:rPr>
        <w:tab/>
      </w:r>
      <w:r w:rsidR="00700754">
        <w:rPr>
          <w:rFonts w:ascii="Arial" w:hAnsi="Arial" w:cs="Arial"/>
        </w:rPr>
        <w:tab/>
      </w:r>
      <w:r w:rsidR="00700754">
        <w:rPr>
          <w:rFonts w:ascii="Arial" w:hAnsi="Arial" w:cs="Arial"/>
        </w:rPr>
        <w:tab/>
      </w:r>
      <w:r w:rsidR="00700754">
        <w:rPr>
          <w:rFonts w:ascii="Arial" w:hAnsi="Arial" w:cs="Arial"/>
        </w:rPr>
        <w:tab/>
      </w:r>
      <w:r w:rsidRPr="005D31D1">
        <w:rPr>
          <w:rFonts w:ascii="Arial" w:hAnsi="Arial" w:cs="Arial"/>
        </w:rPr>
        <w:tab/>
        <w:t>$</w:t>
      </w:r>
      <w:r w:rsidR="002E2A20">
        <w:rPr>
          <w:rFonts w:ascii="Arial" w:hAnsi="Arial" w:cs="Arial"/>
        </w:rPr>
        <w:t>100.55</w:t>
      </w:r>
    </w:p>
    <w:p w:rsidR="004D5DC5" w:rsidRPr="005D31D1" w:rsidRDefault="004D5DC5" w:rsidP="004D5DC5">
      <w:pPr>
        <w:rPr>
          <w:rFonts w:ascii="Arial" w:hAnsi="Arial" w:cs="Arial"/>
        </w:rPr>
      </w:pPr>
      <w:r w:rsidRPr="005D31D1">
        <w:rPr>
          <w:rFonts w:ascii="Arial" w:hAnsi="Arial" w:cs="Arial"/>
        </w:rPr>
        <w:tab/>
      </w:r>
      <w:r>
        <w:rPr>
          <w:rFonts w:ascii="Arial" w:hAnsi="Arial" w:cs="Arial"/>
        </w:rPr>
        <w:tab/>
      </w:r>
      <w:r w:rsidRPr="005D31D1">
        <w:rPr>
          <w:rFonts w:ascii="Arial" w:hAnsi="Arial" w:cs="Arial"/>
        </w:rPr>
        <w:t>Clerical/Unskilled</w:t>
      </w:r>
      <w:r w:rsidRPr="005D31D1">
        <w:rPr>
          <w:rFonts w:ascii="Arial" w:hAnsi="Arial" w:cs="Arial"/>
        </w:rPr>
        <w:tab/>
      </w:r>
      <w:r>
        <w:rPr>
          <w:rFonts w:ascii="Arial" w:hAnsi="Arial" w:cs="Arial"/>
        </w:rPr>
        <w:tab/>
      </w:r>
      <w:r w:rsidRPr="005D31D1">
        <w:rPr>
          <w:rFonts w:ascii="Arial" w:hAnsi="Arial" w:cs="Arial"/>
        </w:rPr>
        <w:t>$</w:t>
      </w:r>
      <w:r w:rsidR="00E963B0">
        <w:rPr>
          <w:rFonts w:ascii="Arial" w:hAnsi="Arial" w:cs="Arial"/>
        </w:rPr>
        <w:t xml:space="preserve">  2.64</w:t>
      </w:r>
    </w:p>
    <w:p w:rsidR="004D5DC5" w:rsidRDefault="004D5DC5" w:rsidP="004D5DC5">
      <w:pPr>
        <w:rPr>
          <w:rFonts w:ascii="Arial" w:hAnsi="Arial" w:cs="Arial"/>
        </w:rPr>
      </w:pPr>
      <w:r w:rsidRPr="005D31D1">
        <w:rPr>
          <w:rFonts w:ascii="Arial" w:hAnsi="Arial" w:cs="Arial"/>
        </w:rPr>
        <w:tab/>
      </w:r>
      <w:r>
        <w:rPr>
          <w:rFonts w:ascii="Arial" w:hAnsi="Arial" w:cs="Arial"/>
        </w:rPr>
        <w:tab/>
      </w:r>
      <w:r w:rsidRPr="005D31D1">
        <w:rPr>
          <w:rFonts w:ascii="Arial" w:hAnsi="Arial" w:cs="Arial"/>
        </w:rPr>
        <w:t>Skilled/Technical</w:t>
      </w:r>
      <w:r w:rsidRPr="005D31D1">
        <w:rPr>
          <w:rFonts w:ascii="Arial" w:hAnsi="Arial" w:cs="Arial"/>
        </w:rPr>
        <w:tab/>
      </w:r>
      <w:r>
        <w:rPr>
          <w:rFonts w:ascii="Arial" w:hAnsi="Arial" w:cs="Arial"/>
        </w:rPr>
        <w:tab/>
      </w:r>
      <w:r w:rsidRPr="005D31D1">
        <w:rPr>
          <w:rFonts w:ascii="Arial" w:hAnsi="Arial" w:cs="Arial"/>
        </w:rPr>
        <w:t>$</w:t>
      </w:r>
      <w:r w:rsidR="002E2A20">
        <w:rPr>
          <w:rFonts w:ascii="Arial" w:hAnsi="Arial" w:cs="Arial"/>
        </w:rPr>
        <w:t>22.91</w:t>
      </w:r>
    </w:p>
    <w:p w:rsidR="004D5DC5" w:rsidRPr="005D31D1" w:rsidRDefault="004D5DC5" w:rsidP="004D5DC5">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sidR="00E963B0">
        <w:rPr>
          <w:rFonts w:ascii="Arial" w:hAnsi="Arial" w:cs="Arial"/>
        </w:rPr>
        <w:t>58.56</w:t>
      </w:r>
      <w:r>
        <w:rPr>
          <w:rFonts w:ascii="Arial" w:hAnsi="Arial" w:cs="Arial"/>
        </w:rPr>
        <w:tab/>
      </w:r>
    </w:p>
    <w:p w:rsidR="004D5DC5" w:rsidRDefault="004D5DC5" w:rsidP="004D5DC5">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w:t>
      </w:r>
      <w:r w:rsidR="002E2A20">
        <w:rPr>
          <w:rFonts w:ascii="Arial" w:hAnsi="Arial" w:cs="Arial"/>
        </w:rPr>
        <w:t>16</w:t>
      </w:r>
      <w:r w:rsidR="00E963B0">
        <w:rPr>
          <w:rFonts w:ascii="Arial" w:hAnsi="Arial" w:cs="Arial"/>
        </w:rPr>
        <w:t>.44</w:t>
      </w:r>
    </w:p>
    <w:p w:rsidR="004D5DC5" w:rsidRDefault="004D5DC5" w:rsidP="00B81071">
      <w:pPr>
        <w:rPr>
          <w:rFonts w:ascii="Arial" w:hAnsi="Arial" w:cs="Arial"/>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A1560">
        <w:rPr>
          <w:rFonts w:ascii="Arial" w:hAnsi="Arial" w:cs="Arial"/>
        </w:rPr>
        <w:tab/>
      </w:r>
      <w:r w:rsidR="005A1560">
        <w:rPr>
          <w:rFonts w:ascii="Arial" w:hAnsi="Arial" w:cs="Arial"/>
        </w:rPr>
        <w:tab/>
      </w:r>
      <w:r>
        <w:rPr>
          <w:rFonts w:ascii="Arial" w:hAnsi="Arial" w:cs="Arial"/>
        </w:rPr>
        <w:t>$</w:t>
      </w:r>
      <w:r w:rsidR="00F55E39">
        <w:rPr>
          <w:rFonts w:ascii="Arial" w:hAnsi="Arial" w:cs="Arial"/>
        </w:rPr>
        <w:t>25,138</w:t>
      </w:r>
    </w:p>
    <w:p w:rsidR="00B81071" w:rsidRDefault="00B81071" w:rsidP="00B81071">
      <w:pPr>
        <w:rPr>
          <w:rFonts w:ascii="Arial" w:hAnsi="Arial" w:cs="Arial"/>
        </w:rPr>
      </w:pPr>
    </w:p>
    <w:p w:rsidR="005A1560" w:rsidRDefault="003835FC" w:rsidP="005A1560">
      <w:pPr>
        <w:rPr>
          <w:rFonts w:ascii="Arial" w:hAnsi="Arial" w:cs="Arial"/>
        </w:rPr>
      </w:pPr>
      <w:r w:rsidRPr="005A1560">
        <w:rPr>
          <w:rFonts w:ascii="Arial" w:hAnsi="Arial" w:cs="Arial"/>
          <w:b/>
        </w:rPr>
        <w:t>Annual Achievements Report for CLGs</w:t>
      </w:r>
      <w:r w:rsidRPr="005D31D1">
        <w:rPr>
          <w:rFonts w:ascii="Arial" w:hAnsi="Arial" w:cs="Arial"/>
        </w:rPr>
        <w:t xml:space="preserve"> </w:t>
      </w:r>
    </w:p>
    <w:p w:rsidR="005A1560" w:rsidRPr="005D31D1" w:rsidRDefault="003835FC" w:rsidP="0087520A">
      <w:pPr>
        <w:rPr>
          <w:rFonts w:ascii="Arial" w:hAnsi="Arial" w:cs="Arial"/>
        </w:rPr>
      </w:pPr>
      <w:r w:rsidRPr="005D31D1">
        <w:rPr>
          <w:rFonts w:ascii="Arial" w:hAnsi="Arial" w:cs="Arial"/>
        </w:rPr>
        <w:t xml:space="preserve"> </w:t>
      </w:r>
      <w:r w:rsidR="0087520A">
        <w:rPr>
          <w:rFonts w:ascii="Arial" w:hAnsi="Arial" w:cs="Arial"/>
        </w:rPr>
        <w:tab/>
      </w:r>
      <w:r w:rsidR="005A1560" w:rsidRPr="005D31D1">
        <w:rPr>
          <w:rFonts w:ascii="Arial" w:hAnsi="Arial" w:cs="Arial"/>
        </w:rPr>
        <w:t>Total Hours</w:t>
      </w:r>
      <w:r w:rsidR="005A1560">
        <w:rPr>
          <w:rFonts w:ascii="Arial" w:hAnsi="Arial" w:cs="Arial"/>
        </w:rPr>
        <w:t xml:space="preserve"> per Response</w:t>
      </w:r>
      <w:r w:rsidR="005A1560" w:rsidRPr="005D31D1">
        <w:rPr>
          <w:rFonts w:ascii="Arial" w:hAnsi="Arial" w:cs="Arial"/>
        </w:rPr>
        <w:tab/>
      </w:r>
      <w:r w:rsidR="005A1560">
        <w:rPr>
          <w:rFonts w:ascii="Arial" w:hAnsi="Arial" w:cs="Arial"/>
        </w:rPr>
        <w:tab/>
      </w:r>
      <w:r w:rsidR="005A1560">
        <w:rPr>
          <w:rFonts w:ascii="Arial" w:hAnsi="Arial" w:cs="Arial"/>
        </w:rPr>
        <w:tab/>
      </w:r>
      <w:r w:rsidR="005A1560">
        <w:rPr>
          <w:rFonts w:ascii="Arial" w:hAnsi="Arial" w:cs="Arial"/>
        </w:rPr>
        <w:tab/>
      </w:r>
      <w:r w:rsidR="005A1560">
        <w:rPr>
          <w:rFonts w:ascii="Arial" w:hAnsi="Arial" w:cs="Arial"/>
        </w:rPr>
        <w:tab/>
      </w:r>
      <w:r w:rsidR="005A1560">
        <w:rPr>
          <w:rFonts w:ascii="Arial" w:hAnsi="Arial" w:cs="Arial"/>
        </w:rPr>
        <w:tab/>
        <w:t>2.56</w:t>
      </w:r>
      <w:r w:rsidR="005A1560">
        <w:rPr>
          <w:rFonts w:ascii="Arial" w:hAnsi="Arial" w:cs="Arial"/>
        </w:rPr>
        <w:tab/>
      </w:r>
      <w:r w:rsidR="005A1560">
        <w:rPr>
          <w:rFonts w:ascii="Arial" w:hAnsi="Arial" w:cs="Arial"/>
        </w:rPr>
        <w:tab/>
      </w:r>
      <w:r w:rsidR="005A1560">
        <w:rPr>
          <w:rFonts w:ascii="Arial" w:hAnsi="Arial" w:cs="Arial"/>
        </w:rPr>
        <w:tab/>
      </w:r>
    </w:p>
    <w:p w:rsidR="005A1560" w:rsidRPr="005D31D1" w:rsidRDefault="005A1560" w:rsidP="005A1560">
      <w:pPr>
        <w:rPr>
          <w:rFonts w:ascii="Arial" w:hAnsi="Arial" w:cs="Arial"/>
        </w:rPr>
      </w:pPr>
      <w:r w:rsidRPr="005D31D1">
        <w:rPr>
          <w:rFonts w:ascii="Arial" w:hAnsi="Arial" w:cs="Arial"/>
        </w:rPr>
        <w:tab/>
      </w:r>
      <w:r>
        <w:rPr>
          <w:rFonts w:ascii="Arial" w:hAnsi="Arial" w:cs="Arial"/>
        </w:rPr>
        <w:tab/>
      </w:r>
      <w:r w:rsidRPr="005D31D1">
        <w:rPr>
          <w:rFonts w:ascii="Arial" w:hAnsi="Arial" w:cs="Arial"/>
        </w:rPr>
        <w:t>Clerical/Unskilled</w:t>
      </w:r>
      <w:r w:rsidRPr="005D31D1">
        <w:rPr>
          <w:rFonts w:ascii="Arial" w:hAnsi="Arial" w:cs="Arial"/>
        </w:rPr>
        <w:tab/>
      </w:r>
      <w:r>
        <w:rPr>
          <w:rFonts w:ascii="Arial" w:hAnsi="Arial" w:cs="Arial"/>
        </w:rPr>
        <w:tab/>
      </w:r>
      <w:r w:rsidRPr="005D31D1">
        <w:rPr>
          <w:rFonts w:ascii="Arial" w:hAnsi="Arial" w:cs="Arial"/>
        </w:rPr>
        <w:t>0.10</w:t>
      </w:r>
    </w:p>
    <w:p w:rsidR="005A1560" w:rsidRPr="005D31D1" w:rsidRDefault="005A1560" w:rsidP="005A1560">
      <w:pPr>
        <w:ind w:left="720" w:firstLine="720"/>
        <w:rPr>
          <w:rFonts w:ascii="Arial" w:hAnsi="Arial" w:cs="Arial"/>
        </w:rPr>
      </w:pPr>
      <w:r w:rsidRPr="005D31D1">
        <w:rPr>
          <w:rFonts w:ascii="Arial" w:hAnsi="Arial" w:cs="Arial"/>
        </w:rPr>
        <w:t>Skilled/Technical</w:t>
      </w:r>
      <w:r w:rsidRPr="005D31D1">
        <w:rPr>
          <w:rFonts w:ascii="Arial" w:hAnsi="Arial" w:cs="Arial"/>
        </w:rPr>
        <w:tab/>
      </w:r>
      <w:r>
        <w:rPr>
          <w:rFonts w:ascii="Arial" w:hAnsi="Arial" w:cs="Arial"/>
        </w:rPr>
        <w:tab/>
      </w:r>
      <w:r w:rsidRPr="005D31D1">
        <w:rPr>
          <w:rFonts w:ascii="Arial" w:hAnsi="Arial" w:cs="Arial"/>
        </w:rPr>
        <w:t>0.71</w:t>
      </w:r>
    </w:p>
    <w:p w:rsidR="005A1560" w:rsidRPr="005D31D1" w:rsidRDefault="005A1560" w:rsidP="005A1560">
      <w:pPr>
        <w:ind w:left="1440"/>
        <w:rPr>
          <w:rFonts w:ascii="Arial" w:hAnsi="Arial" w:cs="Arial"/>
        </w:rPr>
      </w:pP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1.50</w:t>
      </w:r>
    </w:p>
    <w:p w:rsidR="005A1560" w:rsidRPr="005D31D1" w:rsidRDefault="005A1560" w:rsidP="005A1560">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r>
      <w:r w:rsidRPr="005D31D1">
        <w:rPr>
          <w:rFonts w:ascii="Arial" w:hAnsi="Arial" w:cs="Arial"/>
        </w:rPr>
        <w:t>0.25</w:t>
      </w:r>
    </w:p>
    <w:p w:rsidR="005A1560" w:rsidRPr="005D31D1" w:rsidRDefault="005A1560" w:rsidP="005A1560">
      <w:pPr>
        <w:rPr>
          <w:rFonts w:ascii="Arial" w:hAnsi="Arial" w:cs="Arial"/>
        </w:rPr>
      </w:pPr>
      <w:r>
        <w:rPr>
          <w:rFonts w:ascii="Arial" w:hAnsi="Arial" w:cs="Arial"/>
        </w:rPr>
        <w:tab/>
      </w:r>
      <w:r w:rsidR="0087520A">
        <w:rPr>
          <w:rFonts w:ascii="Arial" w:hAnsi="Arial" w:cs="Arial"/>
        </w:rPr>
        <w:t>N</w:t>
      </w:r>
      <w:r w:rsidRPr="005D31D1">
        <w:rPr>
          <w:rFonts w:ascii="Arial" w:hAnsi="Arial" w:cs="Arial"/>
        </w:rPr>
        <w:t xml:space="preserve">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900</w:t>
      </w:r>
      <w:r>
        <w:rPr>
          <w:rFonts w:ascii="Arial" w:hAnsi="Arial" w:cs="Arial"/>
        </w:rPr>
        <w:tab/>
      </w:r>
      <w:r>
        <w:rPr>
          <w:rFonts w:ascii="Arial" w:hAnsi="Arial" w:cs="Arial"/>
        </w:rPr>
        <w:tab/>
      </w:r>
      <w:r>
        <w:rPr>
          <w:rFonts w:ascii="Arial" w:hAnsi="Arial" w:cs="Arial"/>
        </w:rPr>
        <w:tab/>
      </w:r>
    </w:p>
    <w:p w:rsidR="005A1560" w:rsidRPr="005D31D1" w:rsidRDefault="005A1560" w:rsidP="005A1560">
      <w:pPr>
        <w:rPr>
          <w:rFonts w:ascii="Arial" w:hAnsi="Arial" w:cs="Arial"/>
        </w:rPr>
      </w:pPr>
      <w:r w:rsidRPr="005D31D1">
        <w:rPr>
          <w:rFonts w:ascii="Arial" w:hAnsi="Arial" w:cs="Arial"/>
        </w:rPr>
        <w:tab/>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Pr>
          <w:rFonts w:ascii="Arial" w:hAnsi="Arial" w:cs="Arial"/>
        </w:rPr>
        <w:t>100.55</w:t>
      </w:r>
    </w:p>
    <w:p w:rsidR="005A1560" w:rsidRPr="005D31D1" w:rsidRDefault="005A1560" w:rsidP="005A1560">
      <w:pPr>
        <w:rPr>
          <w:rFonts w:ascii="Arial" w:hAnsi="Arial" w:cs="Arial"/>
        </w:rPr>
      </w:pPr>
      <w:r w:rsidRPr="005D31D1">
        <w:rPr>
          <w:rFonts w:ascii="Arial" w:hAnsi="Arial" w:cs="Arial"/>
        </w:rPr>
        <w:tab/>
      </w:r>
      <w:r w:rsidR="00F55E39">
        <w:rPr>
          <w:rFonts w:ascii="Arial" w:hAnsi="Arial" w:cs="Arial"/>
        </w:rPr>
        <w:tab/>
        <w:t>C</w:t>
      </w:r>
      <w:r w:rsidRPr="005D31D1">
        <w:rPr>
          <w:rFonts w:ascii="Arial" w:hAnsi="Arial" w:cs="Arial"/>
        </w:rPr>
        <w:t>lerical/Unskilled</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 xml:space="preserve">  2.64</w:t>
      </w:r>
    </w:p>
    <w:p w:rsidR="005A1560" w:rsidRDefault="005A1560" w:rsidP="005A1560">
      <w:pPr>
        <w:rPr>
          <w:rFonts w:ascii="Arial" w:hAnsi="Arial" w:cs="Arial"/>
        </w:rPr>
      </w:pPr>
      <w:r w:rsidRPr="005D31D1">
        <w:rPr>
          <w:rFonts w:ascii="Arial" w:hAnsi="Arial" w:cs="Arial"/>
        </w:rPr>
        <w:tab/>
      </w:r>
      <w:r w:rsidR="00F55E39">
        <w:rPr>
          <w:rFonts w:ascii="Arial" w:hAnsi="Arial" w:cs="Arial"/>
        </w:rPr>
        <w:tab/>
        <w:t>S</w:t>
      </w:r>
      <w:r w:rsidRPr="005D31D1">
        <w:rPr>
          <w:rFonts w:ascii="Arial" w:hAnsi="Arial" w:cs="Arial"/>
        </w:rPr>
        <w:t>killed/Technical</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22.91</w:t>
      </w:r>
    </w:p>
    <w:p w:rsidR="005A1560" w:rsidRPr="005D31D1" w:rsidRDefault="005A1560" w:rsidP="005A1560">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58.56</w:t>
      </w:r>
      <w:r>
        <w:rPr>
          <w:rFonts w:ascii="Arial" w:hAnsi="Arial" w:cs="Arial"/>
        </w:rPr>
        <w:tab/>
      </w:r>
    </w:p>
    <w:p w:rsidR="005A1560" w:rsidRDefault="005A1560" w:rsidP="005A1560">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$16.44</w:t>
      </w:r>
    </w:p>
    <w:p w:rsidR="005A1560" w:rsidRPr="005D31D1" w:rsidRDefault="005A1560" w:rsidP="0087520A">
      <w:pPr>
        <w:rPr>
          <w:rFonts w:ascii="Arial" w:hAnsi="Arial" w:cs="Arial"/>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F55E39">
        <w:rPr>
          <w:rFonts w:ascii="Arial" w:hAnsi="Arial" w:cs="Arial"/>
        </w:rPr>
        <w:t>90,495</w:t>
      </w:r>
    </w:p>
    <w:p w:rsidR="003835FC" w:rsidRPr="005D31D1" w:rsidRDefault="003835FC" w:rsidP="003835FC">
      <w:pPr>
        <w:rPr>
          <w:rFonts w:ascii="Arial" w:hAnsi="Arial" w:cs="Arial"/>
        </w:rPr>
      </w:pPr>
    </w:p>
    <w:p w:rsidR="003835FC" w:rsidRPr="005D31D1" w:rsidRDefault="003835FC" w:rsidP="003835FC">
      <w:pPr>
        <w:rPr>
          <w:rFonts w:ascii="Arial" w:hAnsi="Arial" w:cs="Arial"/>
        </w:rPr>
      </w:pPr>
      <w:r w:rsidRPr="005A1560">
        <w:rPr>
          <w:rFonts w:ascii="Arial" w:hAnsi="Arial" w:cs="Arial"/>
          <w:b/>
        </w:rPr>
        <w:t>State Inventory Maintenance</w:t>
      </w:r>
      <w:r w:rsidR="005A1560">
        <w:rPr>
          <w:rFonts w:ascii="Arial" w:hAnsi="Arial" w:cs="Arial"/>
          <w:b/>
        </w:rPr>
        <w:t xml:space="preserve"> </w:t>
      </w:r>
      <w:r w:rsidR="005A1560">
        <w:rPr>
          <w:rFonts w:ascii="Arial" w:hAnsi="Arial" w:cs="Arial"/>
        </w:rPr>
        <w:t>(costs included in State Program Review)</w:t>
      </w:r>
    </w:p>
    <w:p w:rsidR="003835FC" w:rsidRPr="005D31D1" w:rsidRDefault="003835FC" w:rsidP="003835FC">
      <w:pPr>
        <w:rPr>
          <w:rFonts w:ascii="Arial" w:hAnsi="Arial" w:cs="Arial"/>
        </w:rPr>
      </w:pPr>
    </w:p>
    <w:p w:rsidR="003835FC" w:rsidRDefault="003835FC" w:rsidP="003835FC">
      <w:pPr>
        <w:rPr>
          <w:rFonts w:ascii="Arial" w:hAnsi="Arial" w:cs="Arial"/>
        </w:rPr>
      </w:pPr>
      <w:r w:rsidRPr="0092757B">
        <w:rPr>
          <w:rFonts w:ascii="Arial" w:hAnsi="Arial" w:cs="Arial"/>
          <w:b/>
        </w:rPr>
        <w:t>State Review and Compliance Tracking</w:t>
      </w:r>
      <w:r w:rsidR="0092757B">
        <w:rPr>
          <w:rFonts w:ascii="Arial" w:hAnsi="Arial" w:cs="Arial"/>
        </w:rPr>
        <w:t xml:space="preserve"> (costs included in State Program Review)</w:t>
      </w:r>
    </w:p>
    <w:p w:rsidR="0092757B" w:rsidRPr="005D31D1" w:rsidRDefault="0092757B" w:rsidP="003835FC">
      <w:pPr>
        <w:rPr>
          <w:rFonts w:ascii="Arial" w:hAnsi="Arial" w:cs="Arial"/>
        </w:rPr>
      </w:pPr>
    </w:p>
    <w:p w:rsidR="003835FC" w:rsidRDefault="003835FC" w:rsidP="003835FC">
      <w:pPr>
        <w:rPr>
          <w:rFonts w:ascii="Arial" w:hAnsi="Arial" w:cs="Arial"/>
        </w:rPr>
      </w:pPr>
      <w:r w:rsidRPr="0092757B">
        <w:rPr>
          <w:rFonts w:ascii="Arial" w:hAnsi="Arial" w:cs="Arial"/>
          <w:b/>
        </w:rPr>
        <w:t>State Program Review</w:t>
      </w:r>
      <w:r w:rsidRPr="005D31D1">
        <w:rPr>
          <w:rFonts w:ascii="Arial" w:hAnsi="Arial" w:cs="Arial"/>
        </w:rPr>
        <w:t xml:space="preserve"> </w:t>
      </w:r>
    </w:p>
    <w:p w:rsidR="0092757B" w:rsidRPr="005D31D1" w:rsidRDefault="0092757B" w:rsidP="0092757B">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174</w:t>
      </w:r>
      <w:r>
        <w:rPr>
          <w:rFonts w:ascii="Arial" w:hAnsi="Arial" w:cs="Arial"/>
        </w:rPr>
        <w:tab/>
      </w:r>
      <w:r>
        <w:rPr>
          <w:rFonts w:ascii="Arial" w:hAnsi="Arial" w:cs="Arial"/>
        </w:rPr>
        <w:tab/>
      </w:r>
      <w:r>
        <w:rPr>
          <w:rFonts w:ascii="Arial" w:hAnsi="Arial" w:cs="Arial"/>
        </w:rPr>
        <w:tab/>
      </w:r>
    </w:p>
    <w:p w:rsidR="0092757B" w:rsidRPr="005D31D1" w:rsidRDefault="0092757B" w:rsidP="0092757B">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116</w:t>
      </w:r>
    </w:p>
    <w:p w:rsidR="0092757B" w:rsidRPr="005D31D1" w:rsidRDefault="0092757B" w:rsidP="0092757B">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58</w:t>
      </w:r>
    </w:p>
    <w:p w:rsidR="0092757B" w:rsidRPr="005D31D1" w:rsidRDefault="0092757B" w:rsidP="0092757B">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14</w:t>
      </w:r>
      <w:r>
        <w:rPr>
          <w:rFonts w:ascii="Arial" w:hAnsi="Arial" w:cs="Arial"/>
        </w:rPr>
        <w:tab/>
      </w:r>
      <w:r>
        <w:rPr>
          <w:rFonts w:ascii="Arial" w:hAnsi="Arial" w:cs="Arial"/>
        </w:rPr>
        <w:tab/>
      </w:r>
      <w:r>
        <w:rPr>
          <w:rFonts w:ascii="Arial" w:hAnsi="Arial" w:cs="Arial"/>
        </w:rPr>
        <w:tab/>
      </w:r>
    </w:p>
    <w:p w:rsidR="0092757B" w:rsidRPr="005D31D1" w:rsidRDefault="00F55E39" w:rsidP="0092757B">
      <w:pPr>
        <w:rPr>
          <w:rFonts w:ascii="Arial" w:hAnsi="Arial" w:cs="Arial"/>
        </w:rPr>
      </w:pPr>
      <w:r>
        <w:rPr>
          <w:rFonts w:ascii="Arial" w:hAnsi="Arial" w:cs="Arial"/>
        </w:rPr>
        <w:tab/>
      </w:r>
      <w:r w:rsidR="0092757B" w:rsidRPr="005D31D1">
        <w:rPr>
          <w:rFonts w:ascii="Arial" w:hAnsi="Arial" w:cs="Arial"/>
        </w:rPr>
        <w:t xml:space="preserve">Salary Cost </w:t>
      </w:r>
      <w:r w:rsidR="0092757B">
        <w:rPr>
          <w:rFonts w:ascii="Arial" w:hAnsi="Arial" w:cs="Arial"/>
        </w:rPr>
        <w:t>per Response</w:t>
      </w:r>
      <w:r w:rsidR="0092757B">
        <w:rPr>
          <w:rFonts w:ascii="Arial" w:hAnsi="Arial" w:cs="Arial"/>
        </w:rPr>
        <w:tab/>
      </w:r>
      <w:r w:rsidR="0092757B">
        <w:rPr>
          <w:rFonts w:ascii="Arial" w:hAnsi="Arial" w:cs="Arial"/>
        </w:rPr>
        <w:tab/>
      </w:r>
      <w:r w:rsidR="0092757B">
        <w:rPr>
          <w:rFonts w:ascii="Arial" w:hAnsi="Arial" w:cs="Arial"/>
        </w:rPr>
        <w:tab/>
      </w:r>
      <w:r w:rsidR="0092757B">
        <w:rPr>
          <w:rFonts w:ascii="Arial" w:hAnsi="Arial" w:cs="Arial"/>
        </w:rPr>
        <w:tab/>
      </w:r>
      <w:r w:rsidR="0092757B">
        <w:rPr>
          <w:rFonts w:ascii="Arial" w:hAnsi="Arial" w:cs="Arial"/>
        </w:rPr>
        <w:tab/>
      </w:r>
      <w:r w:rsidR="0092757B" w:rsidRPr="005D31D1">
        <w:rPr>
          <w:rFonts w:ascii="Arial" w:hAnsi="Arial" w:cs="Arial"/>
        </w:rPr>
        <w:tab/>
        <w:t>$</w:t>
      </w:r>
      <w:r w:rsidR="0092757B">
        <w:rPr>
          <w:rFonts w:ascii="Arial" w:hAnsi="Arial" w:cs="Arial"/>
        </w:rPr>
        <w:t>8,342.72</w:t>
      </w:r>
    </w:p>
    <w:p w:rsidR="0092757B" w:rsidRPr="005D31D1" w:rsidRDefault="0092757B" w:rsidP="0092757B">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4,528.64</w:t>
      </w:r>
      <w:r>
        <w:rPr>
          <w:rFonts w:ascii="Arial" w:hAnsi="Arial" w:cs="Arial"/>
        </w:rPr>
        <w:tab/>
      </w:r>
    </w:p>
    <w:p w:rsidR="0092757B" w:rsidRDefault="0092757B" w:rsidP="0092757B">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$3,814.08</w:t>
      </w:r>
    </w:p>
    <w:p w:rsidR="0092757B" w:rsidRDefault="0092757B" w:rsidP="0092757B">
      <w:pPr>
        <w:rPr>
          <w:rFonts w:ascii="Arial" w:hAnsi="Arial" w:cs="Arial"/>
        </w:rPr>
      </w:pPr>
      <w:r w:rsidRPr="005D31D1">
        <w:rPr>
          <w:rFonts w:ascii="Arial" w:hAnsi="Arial" w:cs="Arial"/>
        </w:rPr>
        <w:tab/>
      </w:r>
      <w:r w:rsidR="00F55E39">
        <w:rPr>
          <w:rFonts w:ascii="Arial" w:hAnsi="Arial" w:cs="Arial"/>
        </w:rPr>
        <w:t>Nonsalary Cost per Response</w:t>
      </w:r>
      <w:r w:rsidR="00F55E39">
        <w:rPr>
          <w:rFonts w:ascii="Arial" w:hAnsi="Arial" w:cs="Arial"/>
        </w:rPr>
        <w:tab/>
      </w:r>
      <w:r w:rsidR="00F55E39">
        <w:rPr>
          <w:rFonts w:ascii="Arial" w:hAnsi="Arial" w:cs="Arial"/>
        </w:rPr>
        <w:tab/>
      </w:r>
      <w:r w:rsidR="00F55E39">
        <w:rPr>
          <w:rFonts w:ascii="Arial" w:hAnsi="Arial" w:cs="Arial"/>
        </w:rPr>
        <w:tab/>
      </w:r>
      <w:r w:rsidR="00F55E39">
        <w:rPr>
          <w:rFonts w:ascii="Arial" w:hAnsi="Arial" w:cs="Arial"/>
        </w:rPr>
        <w:tab/>
      </w:r>
      <w:r w:rsidR="00F55E39">
        <w:rPr>
          <w:rFonts w:ascii="Arial" w:hAnsi="Arial" w:cs="Arial"/>
        </w:rPr>
        <w:tab/>
      </w:r>
      <w:r w:rsidR="00F55E39">
        <w:rPr>
          <w:rFonts w:ascii="Arial" w:hAnsi="Arial" w:cs="Arial"/>
        </w:rPr>
        <w:tab/>
        <w:t>$5,000.00</w:t>
      </w:r>
    </w:p>
    <w:p w:rsidR="0092757B" w:rsidRPr="005D31D1" w:rsidRDefault="0092757B" w:rsidP="0092757B">
      <w:pPr>
        <w:ind w:firstLine="720"/>
        <w:rPr>
          <w:rFonts w:ascii="Arial" w:hAnsi="Arial" w:cs="Arial"/>
        </w:rPr>
      </w:pPr>
      <w:r w:rsidRPr="005D31D1">
        <w:rPr>
          <w:rFonts w:ascii="Arial" w:hAnsi="Arial" w:cs="Arial"/>
        </w:rPr>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F55E39">
        <w:rPr>
          <w:rFonts w:ascii="Arial" w:hAnsi="Arial" w:cs="Arial"/>
        </w:rPr>
        <w:t>186,798</w:t>
      </w:r>
    </w:p>
    <w:p w:rsidR="0092757B" w:rsidRDefault="0092757B" w:rsidP="003835FC">
      <w:pPr>
        <w:rPr>
          <w:rFonts w:ascii="Arial" w:hAnsi="Arial" w:cs="Arial"/>
        </w:rPr>
      </w:pPr>
    </w:p>
    <w:p w:rsidR="00FF482B" w:rsidRDefault="00F55E39" w:rsidP="003835FC">
      <w:pPr>
        <w:rPr>
          <w:rFonts w:ascii="Arial" w:hAnsi="Arial" w:cs="Arial"/>
          <w:b/>
        </w:rPr>
      </w:pPr>
      <w:r w:rsidRPr="00F55E39">
        <w:rPr>
          <w:rFonts w:ascii="Arial" w:hAnsi="Arial" w:cs="Arial"/>
          <w:b/>
        </w:rPr>
        <w:t>S</w:t>
      </w:r>
      <w:r w:rsidR="003835FC" w:rsidRPr="00F55E39">
        <w:rPr>
          <w:rFonts w:ascii="Arial" w:hAnsi="Arial" w:cs="Arial"/>
          <w:b/>
        </w:rPr>
        <w:t>tate Cumulative Products Table</w:t>
      </w:r>
    </w:p>
    <w:p w:rsidR="00FF482B" w:rsidRPr="005D31D1" w:rsidRDefault="00FF482B" w:rsidP="00FF482B">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0.87</w:t>
      </w:r>
      <w:r>
        <w:rPr>
          <w:rFonts w:ascii="Arial" w:hAnsi="Arial" w:cs="Arial"/>
        </w:rPr>
        <w:tab/>
      </w:r>
      <w:r>
        <w:rPr>
          <w:rFonts w:ascii="Arial" w:hAnsi="Arial" w:cs="Arial"/>
        </w:rPr>
        <w:tab/>
      </w:r>
      <w:r>
        <w:rPr>
          <w:rFonts w:ascii="Arial" w:hAnsi="Arial" w:cs="Arial"/>
        </w:rPr>
        <w:tab/>
      </w:r>
    </w:p>
    <w:p w:rsidR="00FF482B" w:rsidRPr="005D31D1" w:rsidRDefault="00FF482B" w:rsidP="00FF482B">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0.62</w:t>
      </w:r>
    </w:p>
    <w:p w:rsidR="00FF482B" w:rsidRPr="005D31D1" w:rsidRDefault="00FF482B" w:rsidP="00FF482B">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0.25 </w:t>
      </w:r>
    </w:p>
    <w:p w:rsidR="00FF482B" w:rsidRPr="005D31D1" w:rsidRDefault="00FF482B" w:rsidP="00FF482B">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59</w:t>
      </w:r>
      <w:r>
        <w:rPr>
          <w:rFonts w:ascii="Arial" w:hAnsi="Arial" w:cs="Arial"/>
        </w:rPr>
        <w:tab/>
      </w:r>
      <w:r>
        <w:rPr>
          <w:rFonts w:ascii="Arial" w:hAnsi="Arial" w:cs="Arial"/>
        </w:rPr>
        <w:tab/>
      </w:r>
      <w:r>
        <w:rPr>
          <w:rFonts w:ascii="Arial" w:hAnsi="Arial" w:cs="Arial"/>
        </w:rPr>
        <w:tab/>
      </w:r>
    </w:p>
    <w:p w:rsidR="00FF482B" w:rsidRPr="005D31D1" w:rsidRDefault="00FF482B" w:rsidP="00FF482B">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892018">
        <w:rPr>
          <w:rFonts w:ascii="Arial" w:hAnsi="Arial" w:cs="Arial"/>
        </w:rPr>
        <w:t>40.64</w:t>
      </w:r>
    </w:p>
    <w:p w:rsidR="00FF482B" w:rsidRPr="005D31D1" w:rsidRDefault="00FF482B" w:rsidP="00FF482B">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24.20</w:t>
      </w:r>
      <w:r>
        <w:rPr>
          <w:rFonts w:ascii="Arial" w:hAnsi="Arial" w:cs="Arial"/>
        </w:rPr>
        <w:tab/>
      </w:r>
    </w:p>
    <w:p w:rsidR="00FF482B" w:rsidRDefault="00892018" w:rsidP="00FF482B">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$16.44</w:t>
      </w:r>
    </w:p>
    <w:p w:rsidR="00FF482B" w:rsidRDefault="00FF482B" w:rsidP="0087520A">
      <w:pPr>
        <w:rPr>
          <w:rFonts w:ascii="Arial" w:hAnsi="Arial" w:cs="Arial"/>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$2,398</w:t>
      </w:r>
    </w:p>
    <w:p w:rsidR="0087520A" w:rsidRDefault="0087520A" w:rsidP="0087520A">
      <w:pPr>
        <w:rPr>
          <w:rFonts w:ascii="Arial" w:hAnsi="Arial" w:cs="Arial"/>
        </w:rPr>
      </w:pPr>
    </w:p>
    <w:p w:rsidR="00AC6C16" w:rsidRDefault="00AC6C16">
      <w:pPr>
        <w:widowControl/>
        <w:autoSpaceDE/>
        <w:autoSpaceDN/>
        <w:adjustRightInd/>
        <w:spacing w:after="200" w:line="276" w:lineRule="auto"/>
        <w:rPr>
          <w:rFonts w:ascii="Arial" w:hAnsi="Arial" w:cs="Arial"/>
          <w:b/>
        </w:rPr>
      </w:pPr>
      <w:r>
        <w:rPr>
          <w:rFonts w:ascii="Arial" w:hAnsi="Arial" w:cs="Arial"/>
          <w:b/>
        </w:rPr>
        <w:br w:type="page"/>
      </w:r>
    </w:p>
    <w:p w:rsidR="003835FC" w:rsidRDefault="003835FC" w:rsidP="003835FC">
      <w:pPr>
        <w:rPr>
          <w:rFonts w:ascii="Arial" w:hAnsi="Arial" w:cs="Arial"/>
        </w:rPr>
      </w:pPr>
      <w:r w:rsidRPr="00FF482B">
        <w:rPr>
          <w:rFonts w:ascii="Arial" w:hAnsi="Arial" w:cs="Arial"/>
          <w:b/>
        </w:rPr>
        <w:lastRenderedPageBreak/>
        <w:t>State Organization Chart and Staffing Summary</w:t>
      </w:r>
      <w:r w:rsidRPr="005D31D1">
        <w:rPr>
          <w:rFonts w:ascii="Arial" w:hAnsi="Arial" w:cs="Arial"/>
        </w:rPr>
        <w:t xml:space="preserve">  </w:t>
      </w:r>
    </w:p>
    <w:p w:rsidR="00FF482B" w:rsidRPr="005D31D1" w:rsidRDefault="00FF482B" w:rsidP="00FF482B">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0.40</w:t>
      </w:r>
      <w:r>
        <w:rPr>
          <w:rFonts w:ascii="Arial" w:hAnsi="Arial" w:cs="Arial"/>
        </w:rPr>
        <w:tab/>
      </w:r>
      <w:r>
        <w:rPr>
          <w:rFonts w:ascii="Arial" w:hAnsi="Arial" w:cs="Arial"/>
        </w:rPr>
        <w:tab/>
      </w:r>
      <w:r>
        <w:rPr>
          <w:rFonts w:ascii="Arial" w:hAnsi="Arial" w:cs="Arial"/>
        </w:rPr>
        <w:tab/>
      </w:r>
    </w:p>
    <w:p w:rsidR="00FF482B" w:rsidRPr="005D31D1" w:rsidRDefault="00FF482B" w:rsidP="00FF482B">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0.23</w:t>
      </w:r>
    </w:p>
    <w:p w:rsidR="00FF482B" w:rsidRPr="005D31D1" w:rsidRDefault="00FF482B" w:rsidP="00FF482B">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0.17 </w:t>
      </w:r>
    </w:p>
    <w:p w:rsidR="00FF482B" w:rsidRPr="005D31D1" w:rsidRDefault="00FF482B" w:rsidP="00FF482B">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A6E27">
        <w:rPr>
          <w:rFonts w:ascii="Arial" w:hAnsi="Arial" w:cs="Arial"/>
        </w:rPr>
        <w:t>30</w:t>
      </w:r>
      <w:r>
        <w:rPr>
          <w:rFonts w:ascii="Arial" w:hAnsi="Arial" w:cs="Arial"/>
        </w:rPr>
        <w:tab/>
      </w:r>
      <w:r>
        <w:rPr>
          <w:rFonts w:ascii="Arial" w:hAnsi="Arial" w:cs="Arial"/>
        </w:rPr>
        <w:tab/>
      </w:r>
      <w:r>
        <w:rPr>
          <w:rFonts w:ascii="Arial" w:hAnsi="Arial" w:cs="Arial"/>
        </w:rPr>
        <w:tab/>
      </w:r>
    </w:p>
    <w:p w:rsidR="00FF482B" w:rsidRPr="005D31D1" w:rsidRDefault="00FF482B" w:rsidP="00FF482B">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FA6E27">
        <w:rPr>
          <w:rFonts w:ascii="Arial" w:hAnsi="Arial" w:cs="Arial"/>
        </w:rPr>
        <w:t>20.16</w:t>
      </w:r>
    </w:p>
    <w:p w:rsidR="00FF482B" w:rsidRPr="005D31D1" w:rsidRDefault="00FF482B" w:rsidP="00FF482B">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sidR="00FA6E27">
        <w:rPr>
          <w:rFonts w:ascii="Arial" w:hAnsi="Arial" w:cs="Arial"/>
        </w:rPr>
        <w:t xml:space="preserve">  8.98</w:t>
      </w:r>
      <w:r>
        <w:rPr>
          <w:rFonts w:ascii="Arial" w:hAnsi="Arial" w:cs="Arial"/>
        </w:rPr>
        <w:tab/>
      </w:r>
    </w:p>
    <w:p w:rsidR="00FF482B" w:rsidRDefault="00FF482B" w:rsidP="00FF482B">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w:t>
      </w:r>
      <w:r w:rsidR="00FA6E27">
        <w:rPr>
          <w:rFonts w:ascii="Arial" w:hAnsi="Arial" w:cs="Arial"/>
        </w:rPr>
        <w:t>11.18</w:t>
      </w:r>
    </w:p>
    <w:p w:rsidR="00FF482B" w:rsidRDefault="00FF482B" w:rsidP="0087520A">
      <w:pPr>
        <w:rPr>
          <w:rFonts w:ascii="Arial" w:hAnsi="Arial" w:cs="Arial"/>
          <w:b/>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FA6E27">
        <w:rPr>
          <w:rFonts w:ascii="Arial" w:hAnsi="Arial" w:cs="Arial"/>
        </w:rPr>
        <w:t>605</w:t>
      </w:r>
    </w:p>
    <w:p w:rsidR="00FF482B" w:rsidRPr="005D31D1" w:rsidRDefault="00FF482B" w:rsidP="003835FC">
      <w:pPr>
        <w:rPr>
          <w:rFonts w:ascii="Arial" w:hAnsi="Arial" w:cs="Arial"/>
        </w:rPr>
      </w:pPr>
    </w:p>
    <w:p w:rsidR="003835FC" w:rsidRDefault="003835FC" w:rsidP="003835FC">
      <w:pPr>
        <w:rPr>
          <w:rFonts w:ascii="Arial" w:hAnsi="Arial" w:cs="Arial"/>
          <w:b/>
        </w:rPr>
      </w:pPr>
      <w:r w:rsidRPr="00FA6E27">
        <w:rPr>
          <w:rFonts w:ascii="Arial" w:hAnsi="Arial" w:cs="Arial"/>
          <w:b/>
        </w:rPr>
        <w:t>State Anticipated Activities List</w:t>
      </w:r>
    </w:p>
    <w:p w:rsidR="00FA6E27" w:rsidRPr="005D31D1" w:rsidRDefault="00FA6E27" w:rsidP="00FA6E27">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1.21</w:t>
      </w:r>
      <w:r>
        <w:rPr>
          <w:rFonts w:ascii="Arial" w:hAnsi="Arial" w:cs="Arial"/>
        </w:rPr>
        <w:tab/>
      </w:r>
      <w:r>
        <w:rPr>
          <w:rFonts w:ascii="Arial" w:hAnsi="Arial" w:cs="Arial"/>
        </w:rPr>
        <w:tab/>
      </w:r>
      <w:r>
        <w:rPr>
          <w:rFonts w:ascii="Arial" w:hAnsi="Arial" w:cs="Arial"/>
        </w:rPr>
        <w:tab/>
      </w:r>
    </w:p>
    <w:p w:rsidR="00FA6E27" w:rsidRPr="005D31D1" w:rsidRDefault="00FA6E27" w:rsidP="00FA6E27">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0.88</w:t>
      </w:r>
    </w:p>
    <w:p w:rsidR="00FA6E27" w:rsidRPr="005D31D1" w:rsidRDefault="00FA6E27" w:rsidP="00FA6E27">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0.33 </w:t>
      </w:r>
    </w:p>
    <w:p w:rsidR="00FA6E27" w:rsidRPr="005D31D1" w:rsidRDefault="00FA6E27" w:rsidP="00FA6E27">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r>
        <w:rPr>
          <w:rFonts w:ascii="Arial" w:hAnsi="Arial" w:cs="Arial"/>
        </w:rPr>
        <w:tab/>
      </w:r>
      <w:r>
        <w:rPr>
          <w:rFonts w:ascii="Arial" w:hAnsi="Arial" w:cs="Arial"/>
        </w:rPr>
        <w:tab/>
      </w:r>
      <w:r>
        <w:rPr>
          <w:rFonts w:ascii="Arial" w:hAnsi="Arial" w:cs="Arial"/>
        </w:rPr>
        <w:tab/>
      </w:r>
    </w:p>
    <w:p w:rsidR="00FA6E27" w:rsidRPr="005D31D1" w:rsidRDefault="00FA6E27" w:rsidP="00FA6E27">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426924">
        <w:rPr>
          <w:rFonts w:ascii="Arial" w:hAnsi="Arial" w:cs="Arial"/>
        </w:rPr>
        <w:t>56</w:t>
      </w:r>
      <w:r>
        <w:rPr>
          <w:rFonts w:ascii="Arial" w:hAnsi="Arial" w:cs="Arial"/>
        </w:rPr>
        <w:t>.</w:t>
      </w:r>
      <w:r w:rsidR="00426924">
        <w:rPr>
          <w:rFonts w:ascii="Arial" w:hAnsi="Arial" w:cs="Arial"/>
        </w:rPr>
        <w:t>0</w:t>
      </w:r>
      <w:r>
        <w:rPr>
          <w:rFonts w:ascii="Arial" w:hAnsi="Arial" w:cs="Arial"/>
        </w:rPr>
        <w:t>6</w:t>
      </w:r>
    </w:p>
    <w:p w:rsidR="00FA6E27" w:rsidRPr="005D31D1" w:rsidRDefault="00FA6E27" w:rsidP="00FA6E27">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sidR="00426924">
        <w:rPr>
          <w:rFonts w:ascii="Arial" w:hAnsi="Arial" w:cs="Arial"/>
        </w:rPr>
        <w:t>34.36</w:t>
      </w:r>
      <w:r>
        <w:rPr>
          <w:rFonts w:ascii="Arial" w:hAnsi="Arial" w:cs="Arial"/>
        </w:rPr>
        <w:tab/>
      </w:r>
    </w:p>
    <w:p w:rsidR="00FA6E27" w:rsidRDefault="00FA6E27" w:rsidP="00FA6E27">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w:t>
      </w:r>
      <w:r w:rsidR="00426924">
        <w:rPr>
          <w:rFonts w:ascii="Arial" w:hAnsi="Arial" w:cs="Arial"/>
        </w:rPr>
        <w:t>21.70</w:t>
      </w:r>
    </w:p>
    <w:p w:rsidR="00FA6E27" w:rsidRDefault="00FA6E27" w:rsidP="0087520A">
      <w:pPr>
        <w:rPr>
          <w:rFonts w:ascii="Arial" w:hAnsi="Arial" w:cs="Arial"/>
          <w:b/>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426924">
        <w:rPr>
          <w:rFonts w:ascii="Arial" w:hAnsi="Arial" w:cs="Arial"/>
        </w:rPr>
        <w:t>1,682</w:t>
      </w:r>
    </w:p>
    <w:p w:rsidR="003835FC" w:rsidRPr="005D31D1" w:rsidRDefault="003835FC" w:rsidP="003835FC">
      <w:pPr>
        <w:rPr>
          <w:rFonts w:ascii="Arial" w:hAnsi="Arial" w:cs="Arial"/>
        </w:rPr>
      </w:pPr>
    </w:p>
    <w:p w:rsidR="003835FC" w:rsidRDefault="003835FC" w:rsidP="003835FC">
      <w:pPr>
        <w:rPr>
          <w:rFonts w:ascii="Arial" w:hAnsi="Arial" w:cs="Arial"/>
          <w:b/>
        </w:rPr>
      </w:pPr>
      <w:r w:rsidRPr="00426924">
        <w:rPr>
          <w:rFonts w:ascii="Arial" w:hAnsi="Arial" w:cs="Arial"/>
          <w:b/>
        </w:rPr>
        <w:t>State Project Notification</w:t>
      </w:r>
    </w:p>
    <w:p w:rsidR="00426924" w:rsidRPr="005D31D1" w:rsidRDefault="00426924" w:rsidP="00426924">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0.50</w:t>
      </w:r>
      <w:r>
        <w:rPr>
          <w:rFonts w:ascii="Arial" w:hAnsi="Arial" w:cs="Arial"/>
        </w:rPr>
        <w:tab/>
      </w:r>
      <w:r>
        <w:rPr>
          <w:rFonts w:ascii="Arial" w:hAnsi="Arial" w:cs="Arial"/>
        </w:rPr>
        <w:tab/>
      </w:r>
      <w:r>
        <w:rPr>
          <w:rFonts w:ascii="Arial" w:hAnsi="Arial" w:cs="Arial"/>
        </w:rPr>
        <w:tab/>
      </w:r>
    </w:p>
    <w:p w:rsidR="00426924" w:rsidRPr="005D31D1" w:rsidRDefault="00426924" w:rsidP="00426924">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0.50</w:t>
      </w:r>
    </w:p>
    <w:p w:rsidR="00426924" w:rsidRPr="005D31D1" w:rsidRDefault="00426924" w:rsidP="00426924">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r>
        <w:rPr>
          <w:rFonts w:ascii="Arial" w:hAnsi="Arial" w:cs="Arial"/>
        </w:rPr>
        <w:tab/>
      </w:r>
      <w:r>
        <w:rPr>
          <w:rFonts w:ascii="Arial" w:hAnsi="Arial" w:cs="Arial"/>
        </w:rPr>
        <w:tab/>
      </w:r>
      <w:r>
        <w:rPr>
          <w:rFonts w:ascii="Arial" w:hAnsi="Arial" w:cs="Arial"/>
        </w:rPr>
        <w:tab/>
      </w:r>
    </w:p>
    <w:p w:rsidR="00426924" w:rsidRPr="005D31D1" w:rsidRDefault="00426924" w:rsidP="00426924">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8A5564">
        <w:rPr>
          <w:rFonts w:ascii="Arial" w:hAnsi="Arial" w:cs="Arial"/>
        </w:rPr>
        <w:t>19.52</w:t>
      </w:r>
    </w:p>
    <w:p w:rsidR="00426924" w:rsidRPr="005D31D1" w:rsidRDefault="00426924" w:rsidP="00426924">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sidR="008A5564">
        <w:rPr>
          <w:rFonts w:ascii="Arial" w:hAnsi="Arial" w:cs="Arial"/>
        </w:rPr>
        <w:t>19</w:t>
      </w:r>
      <w:r>
        <w:rPr>
          <w:rFonts w:ascii="Arial" w:hAnsi="Arial" w:cs="Arial"/>
        </w:rPr>
        <w:t>.52</w:t>
      </w:r>
      <w:r>
        <w:rPr>
          <w:rFonts w:ascii="Arial" w:hAnsi="Arial" w:cs="Arial"/>
        </w:rPr>
        <w:tab/>
      </w:r>
    </w:p>
    <w:p w:rsidR="00426924" w:rsidRDefault="00426924" w:rsidP="0087520A">
      <w:pPr>
        <w:rPr>
          <w:rFonts w:ascii="Arial" w:hAnsi="Arial" w:cs="Arial"/>
          <w:b/>
        </w:rPr>
      </w:pPr>
      <w:r>
        <w:rPr>
          <w:rFonts w:ascii="Arial" w:hAnsi="Arial" w:cs="Arial"/>
        </w:rPr>
        <w:tab/>
      </w:r>
      <w:r w:rsidRPr="005D31D1">
        <w:rPr>
          <w:rFonts w:ascii="Arial" w:hAnsi="Arial" w:cs="Arial"/>
        </w:rPr>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8A5564">
        <w:rPr>
          <w:rFonts w:ascii="Arial" w:hAnsi="Arial" w:cs="Arial"/>
        </w:rPr>
        <w:t>586</w:t>
      </w:r>
    </w:p>
    <w:p w:rsidR="00426924" w:rsidRPr="005D31D1" w:rsidRDefault="00426924" w:rsidP="00426924">
      <w:pPr>
        <w:rPr>
          <w:rFonts w:ascii="Arial" w:hAnsi="Arial" w:cs="Arial"/>
        </w:rPr>
      </w:pPr>
    </w:p>
    <w:p w:rsidR="00506AFF" w:rsidRDefault="003835FC" w:rsidP="003835FC">
      <w:pPr>
        <w:rPr>
          <w:rFonts w:ascii="Arial" w:hAnsi="Arial" w:cs="Arial"/>
          <w:b/>
        </w:rPr>
      </w:pPr>
      <w:r w:rsidRPr="00506AFF">
        <w:rPr>
          <w:rFonts w:ascii="Arial" w:hAnsi="Arial" w:cs="Arial"/>
          <w:b/>
        </w:rPr>
        <w:t>State Final Project Report</w:t>
      </w:r>
    </w:p>
    <w:p w:rsidR="00506AFF" w:rsidRPr="005D31D1" w:rsidRDefault="00506AFF" w:rsidP="00506AFF">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0.35</w:t>
      </w:r>
      <w:r>
        <w:rPr>
          <w:rFonts w:ascii="Arial" w:hAnsi="Arial" w:cs="Arial"/>
        </w:rPr>
        <w:tab/>
      </w:r>
      <w:r>
        <w:rPr>
          <w:rFonts w:ascii="Arial" w:hAnsi="Arial" w:cs="Arial"/>
        </w:rPr>
        <w:tab/>
      </w:r>
      <w:r>
        <w:rPr>
          <w:rFonts w:ascii="Arial" w:hAnsi="Arial" w:cs="Arial"/>
        </w:rPr>
        <w:tab/>
      </w:r>
    </w:p>
    <w:p w:rsidR="00506AFF" w:rsidRPr="005D31D1" w:rsidRDefault="00506AFF" w:rsidP="00506AFF">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0.35</w:t>
      </w:r>
    </w:p>
    <w:p w:rsidR="00506AFF" w:rsidRPr="005D31D1" w:rsidRDefault="00506AFF" w:rsidP="00506AFF">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r>
        <w:rPr>
          <w:rFonts w:ascii="Arial" w:hAnsi="Arial" w:cs="Arial"/>
        </w:rPr>
        <w:tab/>
      </w:r>
      <w:r>
        <w:rPr>
          <w:rFonts w:ascii="Arial" w:hAnsi="Arial" w:cs="Arial"/>
        </w:rPr>
        <w:tab/>
      </w:r>
      <w:r>
        <w:rPr>
          <w:rFonts w:ascii="Arial" w:hAnsi="Arial" w:cs="Arial"/>
        </w:rPr>
        <w:tab/>
      </w:r>
    </w:p>
    <w:p w:rsidR="00506AFF" w:rsidRPr="005D31D1" w:rsidRDefault="00506AFF" w:rsidP="00506AFF">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Pr>
          <w:rFonts w:ascii="Arial" w:hAnsi="Arial" w:cs="Arial"/>
        </w:rPr>
        <w:t>13.66</w:t>
      </w:r>
    </w:p>
    <w:p w:rsidR="00506AFF" w:rsidRPr="005D31D1" w:rsidRDefault="00506AFF" w:rsidP="00506AFF">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13.66</w:t>
      </w:r>
      <w:r>
        <w:rPr>
          <w:rFonts w:ascii="Arial" w:hAnsi="Arial" w:cs="Arial"/>
        </w:rPr>
        <w:tab/>
      </w:r>
    </w:p>
    <w:p w:rsidR="00506AFF" w:rsidRDefault="00506AFF" w:rsidP="0087520A">
      <w:pPr>
        <w:rPr>
          <w:rFonts w:ascii="Arial" w:hAnsi="Arial" w:cs="Arial"/>
        </w:rPr>
      </w:pPr>
      <w:r>
        <w:rPr>
          <w:rFonts w:ascii="Arial" w:hAnsi="Arial" w:cs="Arial"/>
        </w:rPr>
        <w:tab/>
      </w:r>
      <w:r w:rsidRPr="005D31D1">
        <w:rPr>
          <w:rFonts w:ascii="Arial" w:hAnsi="Arial" w:cs="Arial"/>
        </w:rPr>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$410</w:t>
      </w:r>
    </w:p>
    <w:p w:rsidR="0087520A" w:rsidRDefault="0087520A" w:rsidP="0087520A">
      <w:pPr>
        <w:rPr>
          <w:rFonts w:ascii="Arial" w:hAnsi="Arial" w:cs="Arial"/>
        </w:rPr>
      </w:pPr>
    </w:p>
    <w:p w:rsidR="0087520A" w:rsidRDefault="003835FC" w:rsidP="0087520A">
      <w:pPr>
        <w:widowControl/>
        <w:autoSpaceDE/>
        <w:autoSpaceDN/>
        <w:adjustRightInd/>
        <w:spacing w:after="200" w:line="276" w:lineRule="auto"/>
        <w:rPr>
          <w:rFonts w:ascii="Arial" w:hAnsi="Arial" w:cs="Arial"/>
        </w:rPr>
      </w:pPr>
      <w:r w:rsidRPr="00506AFF">
        <w:rPr>
          <w:rFonts w:ascii="Arial" w:hAnsi="Arial" w:cs="Arial"/>
          <w:b/>
        </w:rPr>
        <w:t>State Project/Activity Database Report</w:t>
      </w:r>
      <w:r w:rsidRPr="005D31D1">
        <w:rPr>
          <w:rFonts w:ascii="Arial" w:hAnsi="Arial" w:cs="Arial"/>
        </w:rPr>
        <w:t xml:space="preserve"> </w:t>
      </w:r>
    </w:p>
    <w:p w:rsidR="0087520A" w:rsidRPr="005D31D1" w:rsidRDefault="0087520A" w:rsidP="0087520A">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7.99</w:t>
      </w:r>
      <w:r>
        <w:rPr>
          <w:rFonts w:ascii="Arial" w:hAnsi="Arial" w:cs="Arial"/>
        </w:rPr>
        <w:tab/>
      </w:r>
      <w:r>
        <w:rPr>
          <w:rFonts w:ascii="Arial" w:hAnsi="Arial" w:cs="Arial"/>
        </w:rPr>
        <w:tab/>
      </w:r>
      <w:r>
        <w:rPr>
          <w:rFonts w:ascii="Arial" w:hAnsi="Arial" w:cs="Arial"/>
        </w:rPr>
        <w:tab/>
      </w:r>
    </w:p>
    <w:p w:rsidR="0087520A" w:rsidRDefault="0087520A" w:rsidP="0087520A">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3.32</w:t>
      </w:r>
    </w:p>
    <w:p w:rsidR="0087520A" w:rsidRPr="005D31D1" w:rsidRDefault="0087520A" w:rsidP="0087520A">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4.67</w:t>
      </w:r>
    </w:p>
    <w:p w:rsidR="0087520A" w:rsidRPr="005D31D1" w:rsidRDefault="0087520A" w:rsidP="0087520A">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59</w:t>
      </w:r>
      <w:r>
        <w:rPr>
          <w:rFonts w:ascii="Arial" w:hAnsi="Arial" w:cs="Arial"/>
        </w:rPr>
        <w:tab/>
      </w:r>
      <w:r>
        <w:rPr>
          <w:rFonts w:ascii="Arial" w:hAnsi="Arial" w:cs="Arial"/>
        </w:rPr>
        <w:tab/>
      </w:r>
      <w:r>
        <w:rPr>
          <w:rFonts w:ascii="Arial" w:hAnsi="Arial" w:cs="Arial"/>
        </w:rPr>
        <w:tab/>
      </w:r>
    </w:p>
    <w:p w:rsidR="0087520A" w:rsidRPr="005D31D1" w:rsidRDefault="0087520A" w:rsidP="0087520A">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892018">
        <w:rPr>
          <w:rFonts w:ascii="Arial" w:hAnsi="Arial" w:cs="Arial"/>
        </w:rPr>
        <w:t>436.71</w:t>
      </w:r>
    </w:p>
    <w:p w:rsidR="0087520A" w:rsidRDefault="0087520A" w:rsidP="0087520A">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sidR="00892018">
        <w:rPr>
          <w:rFonts w:ascii="Arial" w:hAnsi="Arial" w:cs="Arial"/>
        </w:rPr>
        <w:t>129.61</w:t>
      </w:r>
    </w:p>
    <w:p w:rsidR="0087520A" w:rsidRPr="005D31D1" w:rsidRDefault="0087520A" w:rsidP="0087520A">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w:t>
      </w:r>
      <w:r w:rsidR="007C71FC">
        <w:rPr>
          <w:rFonts w:ascii="Arial" w:hAnsi="Arial" w:cs="Arial"/>
        </w:rPr>
        <w:t>307.10</w:t>
      </w:r>
    </w:p>
    <w:p w:rsidR="00506AFF" w:rsidRPr="005D31D1" w:rsidRDefault="0087520A" w:rsidP="007C71FC">
      <w:pPr>
        <w:widowControl/>
        <w:autoSpaceDE/>
        <w:autoSpaceDN/>
        <w:adjustRightInd/>
        <w:spacing w:after="200" w:line="276" w:lineRule="auto"/>
        <w:rPr>
          <w:rFonts w:ascii="Arial" w:hAnsi="Arial" w:cs="Arial"/>
        </w:rPr>
      </w:pPr>
      <w:r>
        <w:rPr>
          <w:rFonts w:ascii="Arial" w:hAnsi="Arial" w:cs="Arial"/>
        </w:rPr>
        <w:tab/>
      </w:r>
      <w:r w:rsidRPr="005D31D1">
        <w:rPr>
          <w:rFonts w:ascii="Arial" w:hAnsi="Arial" w:cs="Arial"/>
        </w:rPr>
        <w:t xml:space="preserve">Cost to Federal Government </w:t>
      </w:r>
      <w:r>
        <w:rPr>
          <w:rFonts w:ascii="Arial" w:hAnsi="Arial" w:cs="Arial"/>
        </w:rPr>
        <w:tab/>
      </w:r>
      <w:r w:rsidR="007C71FC">
        <w:rPr>
          <w:rFonts w:ascii="Arial" w:hAnsi="Arial" w:cs="Arial"/>
        </w:rPr>
        <w:tab/>
      </w:r>
      <w:r w:rsidR="007C71FC">
        <w:rPr>
          <w:rFonts w:ascii="Arial" w:hAnsi="Arial" w:cs="Arial"/>
        </w:rPr>
        <w:tab/>
      </w:r>
      <w:r w:rsidR="007C71FC">
        <w:rPr>
          <w:rFonts w:ascii="Arial" w:hAnsi="Arial" w:cs="Arial"/>
        </w:rPr>
        <w:tab/>
      </w:r>
      <w:r w:rsidR="007C71FC">
        <w:rPr>
          <w:rFonts w:ascii="Arial" w:hAnsi="Arial" w:cs="Arial"/>
        </w:rPr>
        <w:tab/>
      </w:r>
      <w:r w:rsidR="007C71FC">
        <w:rPr>
          <w:rFonts w:ascii="Arial" w:hAnsi="Arial" w:cs="Arial"/>
        </w:rPr>
        <w:tab/>
      </w:r>
      <w:r w:rsidR="007C71FC">
        <w:rPr>
          <w:rFonts w:ascii="Arial" w:hAnsi="Arial" w:cs="Arial"/>
        </w:rPr>
        <w:tab/>
        <w:t>$25,766</w:t>
      </w:r>
    </w:p>
    <w:p w:rsidR="006A2558" w:rsidRDefault="006A2558" w:rsidP="003835FC">
      <w:pPr>
        <w:rPr>
          <w:rFonts w:ascii="Arial" w:hAnsi="Arial" w:cs="Arial"/>
        </w:rPr>
      </w:pPr>
      <w:r w:rsidRPr="006A2558">
        <w:rPr>
          <w:rFonts w:ascii="Arial" w:hAnsi="Arial" w:cs="Arial"/>
          <w:b/>
        </w:rPr>
        <w:t>S</w:t>
      </w:r>
      <w:r w:rsidR="003835FC" w:rsidRPr="006A2558">
        <w:rPr>
          <w:rFonts w:ascii="Arial" w:hAnsi="Arial" w:cs="Arial"/>
          <w:b/>
        </w:rPr>
        <w:t>tate Sources of Non</w:t>
      </w:r>
      <w:r>
        <w:rPr>
          <w:rFonts w:ascii="Arial" w:hAnsi="Arial" w:cs="Arial"/>
          <w:b/>
        </w:rPr>
        <w:t>-F</w:t>
      </w:r>
      <w:r w:rsidR="003835FC" w:rsidRPr="006A2558">
        <w:rPr>
          <w:rFonts w:ascii="Arial" w:hAnsi="Arial" w:cs="Arial"/>
          <w:b/>
        </w:rPr>
        <w:t>ederal Matching Share Report</w:t>
      </w:r>
      <w:r w:rsidR="003835FC" w:rsidRPr="005D31D1">
        <w:rPr>
          <w:rFonts w:ascii="Arial" w:hAnsi="Arial" w:cs="Arial"/>
        </w:rPr>
        <w:t xml:space="preserve"> </w:t>
      </w:r>
    </w:p>
    <w:p w:rsidR="006A2558" w:rsidRPr="005D31D1" w:rsidRDefault="006A2558" w:rsidP="006A2558">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0.42</w:t>
      </w:r>
      <w:r>
        <w:rPr>
          <w:rFonts w:ascii="Arial" w:hAnsi="Arial" w:cs="Arial"/>
        </w:rPr>
        <w:tab/>
      </w:r>
      <w:r>
        <w:rPr>
          <w:rFonts w:ascii="Arial" w:hAnsi="Arial" w:cs="Arial"/>
        </w:rPr>
        <w:tab/>
      </w:r>
      <w:r>
        <w:rPr>
          <w:rFonts w:ascii="Arial" w:hAnsi="Arial" w:cs="Arial"/>
        </w:rPr>
        <w:tab/>
      </w:r>
    </w:p>
    <w:p w:rsidR="006A2558" w:rsidRPr="005D31D1" w:rsidRDefault="006A2558" w:rsidP="006A2558">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0.25</w:t>
      </w:r>
    </w:p>
    <w:p w:rsidR="006A2558" w:rsidRPr="005D31D1" w:rsidRDefault="006A2558" w:rsidP="006A2558">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0.17 </w:t>
      </w:r>
    </w:p>
    <w:p w:rsidR="006A2558" w:rsidRPr="005D31D1" w:rsidRDefault="006A2558" w:rsidP="006A2558">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52</w:t>
      </w:r>
      <w:r>
        <w:rPr>
          <w:rFonts w:ascii="Arial" w:hAnsi="Arial" w:cs="Arial"/>
        </w:rPr>
        <w:tab/>
      </w:r>
      <w:r>
        <w:rPr>
          <w:rFonts w:ascii="Arial" w:hAnsi="Arial" w:cs="Arial"/>
        </w:rPr>
        <w:tab/>
      </w:r>
      <w:r>
        <w:rPr>
          <w:rFonts w:ascii="Arial" w:hAnsi="Arial" w:cs="Arial"/>
        </w:rPr>
        <w:tab/>
      </w:r>
    </w:p>
    <w:p w:rsidR="006A2558" w:rsidRPr="005D31D1" w:rsidRDefault="006A2558" w:rsidP="007C71FC">
      <w:pPr>
        <w:ind w:firstLine="720"/>
        <w:rPr>
          <w:rFonts w:ascii="Arial" w:hAnsi="Arial" w:cs="Arial"/>
        </w:rPr>
      </w:pP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Pr>
          <w:rFonts w:ascii="Arial" w:hAnsi="Arial" w:cs="Arial"/>
        </w:rPr>
        <w:t>20.94</w:t>
      </w:r>
    </w:p>
    <w:p w:rsidR="006A2558" w:rsidRPr="005D31D1" w:rsidRDefault="006A2558" w:rsidP="006A2558">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 xml:space="preserve">  9.76</w:t>
      </w:r>
      <w:r>
        <w:rPr>
          <w:rFonts w:ascii="Arial" w:hAnsi="Arial" w:cs="Arial"/>
        </w:rPr>
        <w:tab/>
      </w:r>
    </w:p>
    <w:p w:rsidR="006A2558" w:rsidRDefault="006A2558" w:rsidP="006A2558">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$11.18</w:t>
      </w:r>
    </w:p>
    <w:p w:rsidR="003835FC" w:rsidRDefault="006A2558" w:rsidP="007C71FC">
      <w:pPr>
        <w:rPr>
          <w:rFonts w:ascii="Arial" w:hAnsi="Arial" w:cs="Arial"/>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$1,089</w:t>
      </w:r>
      <w:r w:rsidR="003835FC" w:rsidRPr="005D31D1">
        <w:rPr>
          <w:rFonts w:ascii="Arial" w:hAnsi="Arial" w:cs="Arial"/>
        </w:rPr>
        <w:t xml:space="preserve"> </w:t>
      </w:r>
    </w:p>
    <w:p w:rsidR="006A2558" w:rsidRPr="005D31D1" w:rsidRDefault="006A2558" w:rsidP="003835FC">
      <w:pPr>
        <w:rPr>
          <w:rFonts w:ascii="Arial" w:hAnsi="Arial" w:cs="Arial"/>
        </w:rPr>
      </w:pPr>
    </w:p>
    <w:p w:rsidR="003835FC" w:rsidRDefault="00AC6C16" w:rsidP="003835FC">
      <w:pPr>
        <w:rPr>
          <w:rFonts w:ascii="Arial" w:hAnsi="Arial" w:cs="Arial"/>
        </w:rPr>
      </w:pPr>
      <w:r>
        <w:rPr>
          <w:rFonts w:ascii="Arial" w:hAnsi="Arial" w:cs="Arial"/>
          <w:b/>
        </w:rPr>
        <w:br/>
      </w:r>
      <w:r w:rsidR="003835FC" w:rsidRPr="006A2558">
        <w:rPr>
          <w:rFonts w:ascii="Arial" w:hAnsi="Arial" w:cs="Arial"/>
          <w:b/>
        </w:rPr>
        <w:lastRenderedPageBreak/>
        <w:t>State Unexpended</w:t>
      </w:r>
      <w:r w:rsidR="00394D19">
        <w:rPr>
          <w:rFonts w:ascii="Arial" w:hAnsi="Arial" w:cs="Arial"/>
          <w:b/>
        </w:rPr>
        <w:t xml:space="preserve"> Funds Carryover </w:t>
      </w:r>
      <w:r w:rsidR="003835FC" w:rsidRPr="006A2558">
        <w:rPr>
          <w:rFonts w:ascii="Arial" w:hAnsi="Arial" w:cs="Arial"/>
          <w:b/>
        </w:rPr>
        <w:t>Table and Statement</w:t>
      </w:r>
      <w:r w:rsidR="003835FC" w:rsidRPr="005D31D1">
        <w:rPr>
          <w:rFonts w:ascii="Arial" w:hAnsi="Arial" w:cs="Arial"/>
        </w:rPr>
        <w:t xml:space="preserve">  </w:t>
      </w:r>
    </w:p>
    <w:p w:rsidR="00394D19" w:rsidRPr="005D31D1" w:rsidRDefault="00394D19" w:rsidP="00394D19">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0.22</w:t>
      </w:r>
      <w:r>
        <w:rPr>
          <w:rFonts w:ascii="Arial" w:hAnsi="Arial" w:cs="Arial"/>
        </w:rPr>
        <w:tab/>
      </w:r>
      <w:r>
        <w:rPr>
          <w:rFonts w:ascii="Arial" w:hAnsi="Arial" w:cs="Arial"/>
        </w:rPr>
        <w:tab/>
      </w:r>
      <w:r>
        <w:rPr>
          <w:rFonts w:ascii="Arial" w:hAnsi="Arial" w:cs="Arial"/>
        </w:rPr>
        <w:tab/>
      </w:r>
    </w:p>
    <w:p w:rsidR="00394D19" w:rsidRPr="005D31D1" w:rsidRDefault="00394D19" w:rsidP="00394D19">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0.14</w:t>
      </w:r>
    </w:p>
    <w:p w:rsidR="00394D19" w:rsidRPr="005D31D1" w:rsidRDefault="00394D19" w:rsidP="00394D19">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0.08 </w:t>
      </w:r>
    </w:p>
    <w:p w:rsidR="00394D19" w:rsidRPr="005D31D1" w:rsidRDefault="00394D19" w:rsidP="00394D19">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sidR="00C65339">
        <w:rPr>
          <w:rFonts w:ascii="Arial" w:hAnsi="Arial" w:cs="Arial"/>
        </w:rPr>
        <w:t>9</w:t>
      </w:r>
      <w:r>
        <w:rPr>
          <w:rFonts w:ascii="Arial" w:hAnsi="Arial" w:cs="Arial"/>
        </w:rPr>
        <w:tab/>
      </w:r>
      <w:r>
        <w:rPr>
          <w:rFonts w:ascii="Arial" w:hAnsi="Arial" w:cs="Arial"/>
        </w:rPr>
        <w:tab/>
      </w:r>
      <w:r>
        <w:rPr>
          <w:rFonts w:ascii="Arial" w:hAnsi="Arial" w:cs="Arial"/>
        </w:rPr>
        <w:tab/>
      </w:r>
    </w:p>
    <w:p w:rsidR="00394D19" w:rsidRPr="005D31D1" w:rsidRDefault="00394D19" w:rsidP="00394D19">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477715">
        <w:rPr>
          <w:rFonts w:ascii="Arial" w:hAnsi="Arial" w:cs="Arial"/>
        </w:rPr>
        <w:t>10.73</w:t>
      </w:r>
    </w:p>
    <w:p w:rsidR="00394D19" w:rsidRPr="005D31D1" w:rsidRDefault="00394D19" w:rsidP="00394D19">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sidR="00477715">
        <w:rPr>
          <w:rFonts w:ascii="Arial" w:hAnsi="Arial" w:cs="Arial"/>
        </w:rPr>
        <w:t>5.47</w:t>
      </w:r>
      <w:r>
        <w:rPr>
          <w:rFonts w:ascii="Arial" w:hAnsi="Arial" w:cs="Arial"/>
        </w:rPr>
        <w:t xml:space="preserve">  </w:t>
      </w:r>
      <w:r>
        <w:rPr>
          <w:rFonts w:ascii="Arial" w:hAnsi="Arial" w:cs="Arial"/>
        </w:rPr>
        <w:tab/>
      </w:r>
    </w:p>
    <w:p w:rsidR="00394D19" w:rsidRDefault="00394D19" w:rsidP="00394D19">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w:t>
      </w:r>
      <w:r w:rsidR="00477715">
        <w:rPr>
          <w:rFonts w:ascii="Arial" w:hAnsi="Arial" w:cs="Arial"/>
        </w:rPr>
        <w:t>5.26</w:t>
      </w:r>
    </w:p>
    <w:p w:rsidR="00394D19" w:rsidRDefault="00394D19" w:rsidP="007C71FC">
      <w:pPr>
        <w:rPr>
          <w:rFonts w:ascii="Arial" w:hAnsi="Arial" w:cs="Arial"/>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477715">
        <w:rPr>
          <w:rFonts w:ascii="Arial" w:hAnsi="Arial" w:cs="Arial"/>
        </w:rPr>
        <w:t>633</w:t>
      </w:r>
    </w:p>
    <w:p w:rsidR="006A2558" w:rsidRPr="005D31D1" w:rsidRDefault="006A2558" w:rsidP="003835FC">
      <w:pPr>
        <w:rPr>
          <w:rFonts w:ascii="Arial" w:hAnsi="Arial" w:cs="Arial"/>
        </w:rPr>
      </w:pPr>
    </w:p>
    <w:p w:rsidR="003835FC" w:rsidRPr="005D31D1" w:rsidRDefault="003835FC" w:rsidP="003835FC">
      <w:pPr>
        <w:rPr>
          <w:rFonts w:ascii="Arial" w:hAnsi="Arial" w:cs="Arial"/>
        </w:rPr>
      </w:pPr>
      <w:r w:rsidRPr="00477715">
        <w:rPr>
          <w:rFonts w:ascii="Arial" w:hAnsi="Arial" w:cs="Arial"/>
          <w:b/>
        </w:rPr>
        <w:t>State Significant Preservation Accomplishments Summary</w:t>
      </w:r>
    </w:p>
    <w:p w:rsidR="00477715" w:rsidRPr="005D31D1" w:rsidRDefault="00477715" w:rsidP="00477715">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0.45</w:t>
      </w:r>
      <w:r>
        <w:rPr>
          <w:rFonts w:ascii="Arial" w:hAnsi="Arial" w:cs="Arial"/>
        </w:rPr>
        <w:tab/>
      </w:r>
      <w:r>
        <w:rPr>
          <w:rFonts w:ascii="Arial" w:hAnsi="Arial" w:cs="Arial"/>
        </w:rPr>
        <w:tab/>
      </w:r>
      <w:r>
        <w:rPr>
          <w:rFonts w:ascii="Arial" w:hAnsi="Arial" w:cs="Arial"/>
        </w:rPr>
        <w:tab/>
      </w:r>
    </w:p>
    <w:p w:rsidR="00477715" w:rsidRPr="005D31D1" w:rsidRDefault="00477715" w:rsidP="00477715">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0.20</w:t>
      </w:r>
    </w:p>
    <w:p w:rsidR="00477715" w:rsidRPr="005D31D1" w:rsidRDefault="00477715" w:rsidP="00477715">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0.25 </w:t>
      </w:r>
    </w:p>
    <w:p w:rsidR="00477715" w:rsidRPr="005D31D1" w:rsidRDefault="00477715" w:rsidP="00477715">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59</w:t>
      </w:r>
      <w:r>
        <w:rPr>
          <w:rFonts w:ascii="Arial" w:hAnsi="Arial" w:cs="Arial"/>
        </w:rPr>
        <w:tab/>
      </w:r>
      <w:r>
        <w:rPr>
          <w:rFonts w:ascii="Arial" w:hAnsi="Arial" w:cs="Arial"/>
        </w:rPr>
        <w:tab/>
      </w:r>
      <w:r>
        <w:rPr>
          <w:rFonts w:ascii="Arial" w:hAnsi="Arial" w:cs="Arial"/>
        </w:rPr>
        <w:tab/>
      </w:r>
    </w:p>
    <w:p w:rsidR="00477715" w:rsidRPr="005D31D1" w:rsidRDefault="00477715" w:rsidP="00477715">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892018">
        <w:rPr>
          <w:rFonts w:ascii="Arial" w:hAnsi="Arial" w:cs="Arial"/>
        </w:rPr>
        <w:t>24.25</w:t>
      </w:r>
    </w:p>
    <w:p w:rsidR="00477715" w:rsidRPr="005D31D1" w:rsidRDefault="00477715" w:rsidP="00477715">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proofErr w:type="gramStart"/>
      <w:r w:rsidRPr="005D31D1">
        <w:rPr>
          <w:rFonts w:ascii="Arial" w:hAnsi="Arial" w:cs="Arial"/>
        </w:rPr>
        <w:t>$</w:t>
      </w:r>
      <w:r w:rsidR="007C71FC">
        <w:rPr>
          <w:rFonts w:ascii="Arial" w:hAnsi="Arial" w:cs="Arial"/>
        </w:rPr>
        <w:t xml:space="preserve"> </w:t>
      </w:r>
      <w:r w:rsidR="00892018">
        <w:rPr>
          <w:rFonts w:ascii="Arial" w:hAnsi="Arial" w:cs="Arial"/>
        </w:rPr>
        <w:t xml:space="preserve"> 7.81</w:t>
      </w:r>
      <w:proofErr w:type="gramEnd"/>
      <w:r>
        <w:rPr>
          <w:rFonts w:ascii="Arial" w:hAnsi="Arial" w:cs="Arial"/>
        </w:rPr>
        <w:t xml:space="preserve">  </w:t>
      </w:r>
      <w:r>
        <w:rPr>
          <w:rFonts w:ascii="Arial" w:hAnsi="Arial" w:cs="Arial"/>
        </w:rPr>
        <w:tab/>
      </w:r>
    </w:p>
    <w:p w:rsidR="00477715" w:rsidRDefault="00477715" w:rsidP="00477715">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$16.44</w:t>
      </w:r>
    </w:p>
    <w:p w:rsidR="00477715" w:rsidRDefault="00477715" w:rsidP="007C71FC">
      <w:pPr>
        <w:rPr>
          <w:rFonts w:ascii="Arial" w:hAnsi="Arial" w:cs="Arial"/>
        </w:rPr>
      </w:pPr>
      <w:r w:rsidRPr="005D31D1">
        <w:rPr>
          <w:rFonts w:ascii="Arial" w:hAnsi="Arial" w:cs="Arial"/>
        </w:rPr>
        <w:tab/>
        <w:t xml:space="preserve">Cost to Federal Government </w:t>
      </w:r>
      <w:r w:rsidR="00892018">
        <w:rPr>
          <w:rFonts w:ascii="Arial" w:hAnsi="Arial" w:cs="Arial"/>
        </w:rPr>
        <w:tab/>
      </w:r>
      <w:r w:rsidR="00892018">
        <w:rPr>
          <w:rFonts w:ascii="Arial" w:hAnsi="Arial" w:cs="Arial"/>
        </w:rPr>
        <w:tab/>
      </w:r>
      <w:r w:rsidR="00892018">
        <w:rPr>
          <w:rFonts w:ascii="Arial" w:hAnsi="Arial" w:cs="Arial"/>
        </w:rPr>
        <w:tab/>
      </w:r>
      <w:r w:rsidR="00892018">
        <w:rPr>
          <w:rFonts w:ascii="Arial" w:hAnsi="Arial" w:cs="Arial"/>
        </w:rPr>
        <w:tab/>
      </w:r>
      <w:r w:rsidR="00892018">
        <w:rPr>
          <w:rFonts w:ascii="Arial" w:hAnsi="Arial" w:cs="Arial"/>
        </w:rPr>
        <w:tab/>
      </w:r>
      <w:r w:rsidR="00892018">
        <w:rPr>
          <w:rFonts w:ascii="Arial" w:hAnsi="Arial" w:cs="Arial"/>
        </w:rPr>
        <w:tab/>
      </w:r>
      <w:r w:rsidR="00892018">
        <w:rPr>
          <w:rFonts w:ascii="Arial" w:hAnsi="Arial" w:cs="Arial"/>
        </w:rPr>
        <w:tab/>
        <w:t>$1,431</w:t>
      </w:r>
    </w:p>
    <w:p w:rsidR="00477715" w:rsidRPr="005D31D1" w:rsidRDefault="00477715" w:rsidP="003835FC">
      <w:pPr>
        <w:rPr>
          <w:rFonts w:ascii="Arial" w:hAnsi="Arial" w:cs="Arial"/>
        </w:rPr>
      </w:pPr>
    </w:p>
    <w:p w:rsidR="003835FC" w:rsidRPr="005D31D1" w:rsidRDefault="003835FC" w:rsidP="00477715">
      <w:pPr>
        <w:rPr>
          <w:rFonts w:ascii="Arial" w:hAnsi="Arial" w:cs="Arial"/>
        </w:rPr>
      </w:pPr>
      <w:r w:rsidRPr="00477715">
        <w:rPr>
          <w:rFonts w:ascii="Arial" w:hAnsi="Arial" w:cs="Arial"/>
          <w:b/>
        </w:rPr>
        <w:t>Annual Achievements Report for States</w:t>
      </w:r>
      <w:r w:rsidRPr="005D31D1">
        <w:rPr>
          <w:rFonts w:ascii="Arial" w:hAnsi="Arial" w:cs="Arial"/>
        </w:rPr>
        <w:t xml:space="preserve">  </w:t>
      </w:r>
    </w:p>
    <w:p w:rsidR="009B3AF9" w:rsidRPr="005D31D1" w:rsidRDefault="009B3AF9" w:rsidP="009B3AF9">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2.56</w:t>
      </w:r>
      <w:r>
        <w:rPr>
          <w:rFonts w:ascii="Arial" w:hAnsi="Arial" w:cs="Arial"/>
        </w:rPr>
        <w:tab/>
      </w:r>
      <w:r>
        <w:rPr>
          <w:rFonts w:ascii="Arial" w:hAnsi="Arial" w:cs="Arial"/>
        </w:rPr>
        <w:tab/>
      </w:r>
      <w:r>
        <w:rPr>
          <w:rFonts w:ascii="Arial" w:hAnsi="Arial" w:cs="Arial"/>
        </w:rPr>
        <w:tab/>
      </w:r>
    </w:p>
    <w:p w:rsidR="009B3AF9" w:rsidRPr="005D31D1" w:rsidRDefault="009B3AF9" w:rsidP="009B3AF9">
      <w:pPr>
        <w:rPr>
          <w:rFonts w:ascii="Arial" w:hAnsi="Arial" w:cs="Arial"/>
        </w:rPr>
      </w:pPr>
      <w:r w:rsidRPr="005D31D1">
        <w:rPr>
          <w:rFonts w:ascii="Arial" w:hAnsi="Arial" w:cs="Arial"/>
        </w:rPr>
        <w:tab/>
      </w:r>
      <w:r>
        <w:rPr>
          <w:rFonts w:ascii="Arial" w:hAnsi="Arial" w:cs="Arial"/>
        </w:rPr>
        <w:tab/>
      </w:r>
      <w:r w:rsidRPr="005D31D1">
        <w:rPr>
          <w:rFonts w:ascii="Arial" w:hAnsi="Arial" w:cs="Arial"/>
        </w:rPr>
        <w:t>Clerical/Unskilled</w:t>
      </w:r>
      <w:r w:rsidRPr="005D31D1">
        <w:rPr>
          <w:rFonts w:ascii="Arial" w:hAnsi="Arial" w:cs="Arial"/>
        </w:rPr>
        <w:tab/>
      </w:r>
      <w:r>
        <w:rPr>
          <w:rFonts w:ascii="Arial" w:hAnsi="Arial" w:cs="Arial"/>
        </w:rPr>
        <w:tab/>
      </w:r>
      <w:r w:rsidRPr="005D31D1">
        <w:rPr>
          <w:rFonts w:ascii="Arial" w:hAnsi="Arial" w:cs="Arial"/>
        </w:rPr>
        <w:t>0.10</w:t>
      </w:r>
    </w:p>
    <w:p w:rsidR="009B3AF9" w:rsidRPr="005D31D1" w:rsidRDefault="009B3AF9" w:rsidP="009B3AF9">
      <w:pPr>
        <w:ind w:left="720" w:firstLine="720"/>
        <w:rPr>
          <w:rFonts w:ascii="Arial" w:hAnsi="Arial" w:cs="Arial"/>
        </w:rPr>
      </w:pPr>
      <w:r w:rsidRPr="005D31D1">
        <w:rPr>
          <w:rFonts w:ascii="Arial" w:hAnsi="Arial" w:cs="Arial"/>
        </w:rPr>
        <w:t>Skilled/Technical</w:t>
      </w:r>
      <w:r w:rsidRPr="005D31D1">
        <w:rPr>
          <w:rFonts w:ascii="Arial" w:hAnsi="Arial" w:cs="Arial"/>
        </w:rPr>
        <w:tab/>
      </w:r>
      <w:r>
        <w:rPr>
          <w:rFonts w:ascii="Arial" w:hAnsi="Arial" w:cs="Arial"/>
        </w:rPr>
        <w:tab/>
      </w:r>
      <w:r w:rsidRPr="005D31D1">
        <w:rPr>
          <w:rFonts w:ascii="Arial" w:hAnsi="Arial" w:cs="Arial"/>
        </w:rPr>
        <w:t>0.71</w:t>
      </w:r>
    </w:p>
    <w:p w:rsidR="009B3AF9" w:rsidRPr="005D31D1" w:rsidRDefault="009B3AF9" w:rsidP="009B3AF9">
      <w:pPr>
        <w:ind w:left="1440"/>
        <w:rPr>
          <w:rFonts w:ascii="Arial" w:hAnsi="Arial" w:cs="Arial"/>
        </w:rPr>
      </w:pP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1.50</w:t>
      </w:r>
    </w:p>
    <w:p w:rsidR="009B3AF9" w:rsidRPr="005D31D1" w:rsidRDefault="009B3AF9" w:rsidP="009B3AF9">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r>
      <w:r w:rsidRPr="005D31D1">
        <w:rPr>
          <w:rFonts w:ascii="Arial" w:hAnsi="Arial" w:cs="Arial"/>
        </w:rPr>
        <w:t>0.25</w:t>
      </w:r>
    </w:p>
    <w:p w:rsidR="009B3AF9" w:rsidRPr="005D31D1" w:rsidRDefault="009B3AF9" w:rsidP="009B3AF9">
      <w:pPr>
        <w:rPr>
          <w:rFonts w:ascii="Arial" w:hAnsi="Arial" w:cs="Arial"/>
        </w:rPr>
      </w:pPr>
      <w:r w:rsidRPr="005D31D1">
        <w:rPr>
          <w:rFonts w:ascii="Arial" w:hAnsi="Arial" w:cs="Arial"/>
        </w:rPr>
        <w:tab/>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w:t>
      </w:r>
      <w:r>
        <w:rPr>
          <w:rFonts w:ascii="Arial" w:hAnsi="Arial" w:cs="Arial"/>
        </w:rPr>
        <w:tab/>
      </w:r>
      <w:r>
        <w:rPr>
          <w:rFonts w:ascii="Arial" w:hAnsi="Arial" w:cs="Arial"/>
        </w:rPr>
        <w:tab/>
      </w:r>
      <w:r>
        <w:rPr>
          <w:rFonts w:ascii="Arial" w:hAnsi="Arial" w:cs="Arial"/>
        </w:rPr>
        <w:tab/>
      </w:r>
    </w:p>
    <w:p w:rsidR="009B3AF9" w:rsidRPr="005D31D1" w:rsidRDefault="009B3AF9" w:rsidP="009B3AF9">
      <w:pPr>
        <w:ind w:firstLine="720"/>
        <w:rPr>
          <w:rFonts w:ascii="Arial" w:hAnsi="Arial" w:cs="Arial"/>
        </w:rPr>
      </w:pP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Pr>
          <w:rFonts w:ascii="Arial" w:hAnsi="Arial" w:cs="Arial"/>
        </w:rPr>
        <w:t>100.55</w:t>
      </w:r>
    </w:p>
    <w:p w:rsidR="009B3AF9" w:rsidRPr="005D31D1" w:rsidRDefault="009B3AF9" w:rsidP="009B3AF9">
      <w:pPr>
        <w:rPr>
          <w:rFonts w:ascii="Arial" w:hAnsi="Arial" w:cs="Arial"/>
        </w:rPr>
      </w:pPr>
      <w:r w:rsidRPr="005D31D1">
        <w:rPr>
          <w:rFonts w:ascii="Arial" w:hAnsi="Arial" w:cs="Arial"/>
        </w:rPr>
        <w:tab/>
      </w:r>
      <w:r>
        <w:rPr>
          <w:rFonts w:ascii="Arial" w:hAnsi="Arial" w:cs="Arial"/>
        </w:rPr>
        <w:tab/>
      </w:r>
      <w:r w:rsidRPr="005D31D1">
        <w:rPr>
          <w:rFonts w:ascii="Arial" w:hAnsi="Arial" w:cs="Arial"/>
        </w:rPr>
        <w:t>Clerical/Unskilled</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 xml:space="preserve">  2.64</w:t>
      </w:r>
    </w:p>
    <w:p w:rsidR="009B3AF9" w:rsidRDefault="009B3AF9" w:rsidP="009B3AF9">
      <w:pPr>
        <w:rPr>
          <w:rFonts w:ascii="Arial" w:hAnsi="Arial" w:cs="Arial"/>
        </w:rPr>
      </w:pPr>
      <w:r w:rsidRPr="005D31D1">
        <w:rPr>
          <w:rFonts w:ascii="Arial" w:hAnsi="Arial" w:cs="Arial"/>
        </w:rPr>
        <w:tab/>
      </w:r>
      <w:r>
        <w:rPr>
          <w:rFonts w:ascii="Arial" w:hAnsi="Arial" w:cs="Arial"/>
        </w:rPr>
        <w:tab/>
      </w:r>
      <w:r w:rsidRPr="005D31D1">
        <w:rPr>
          <w:rFonts w:ascii="Arial" w:hAnsi="Arial" w:cs="Arial"/>
        </w:rPr>
        <w:t>Skilled/Technical</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22.91</w:t>
      </w:r>
    </w:p>
    <w:p w:rsidR="009B3AF9" w:rsidRPr="005D31D1" w:rsidRDefault="009B3AF9" w:rsidP="009B3AF9">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58.56</w:t>
      </w:r>
      <w:r>
        <w:rPr>
          <w:rFonts w:ascii="Arial" w:hAnsi="Arial" w:cs="Arial"/>
        </w:rPr>
        <w:tab/>
      </w:r>
    </w:p>
    <w:p w:rsidR="009B3AF9" w:rsidRDefault="009B3AF9" w:rsidP="009B3AF9">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$16.44</w:t>
      </w:r>
    </w:p>
    <w:p w:rsidR="009B3AF9" w:rsidRPr="005D31D1" w:rsidRDefault="009B3AF9" w:rsidP="007C71FC">
      <w:pPr>
        <w:rPr>
          <w:rFonts w:ascii="Arial" w:hAnsi="Arial" w:cs="Arial"/>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$2,514</w:t>
      </w:r>
    </w:p>
    <w:p w:rsidR="009B3AF9" w:rsidRDefault="009B3AF9" w:rsidP="009B3AF9">
      <w:pPr>
        <w:rPr>
          <w:rFonts w:ascii="Arial" w:hAnsi="Arial" w:cs="Arial"/>
        </w:rPr>
      </w:pPr>
    </w:p>
    <w:p w:rsidR="003835FC" w:rsidRDefault="003835FC" w:rsidP="003835FC">
      <w:pPr>
        <w:rPr>
          <w:rFonts w:ascii="Arial" w:hAnsi="Arial" w:cs="Arial"/>
          <w:b/>
        </w:rPr>
      </w:pPr>
      <w:r w:rsidRPr="009B3AF9">
        <w:rPr>
          <w:rFonts w:ascii="Arial" w:hAnsi="Arial" w:cs="Arial"/>
          <w:b/>
        </w:rPr>
        <w:t>THP</w:t>
      </w:r>
      <w:r w:rsidR="009B3AF9" w:rsidRPr="009B3AF9">
        <w:rPr>
          <w:rFonts w:ascii="Arial" w:hAnsi="Arial" w:cs="Arial"/>
          <w:b/>
        </w:rPr>
        <w:t>O Grants Product Summary Page</w:t>
      </w:r>
    </w:p>
    <w:p w:rsidR="009B3AF9" w:rsidRPr="005D31D1" w:rsidRDefault="009B3AF9" w:rsidP="009B3AF9">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0.34</w:t>
      </w:r>
      <w:r>
        <w:rPr>
          <w:rFonts w:ascii="Arial" w:hAnsi="Arial" w:cs="Arial"/>
        </w:rPr>
        <w:tab/>
      </w:r>
      <w:r>
        <w:rPr>
          <w:rFonts w:ascii="Arial" w:hAnsi="Arial" w:cs="Arial"/>
        </w:rPr>
        <w:tab/>
      </w:r>
      <w:r>
        <w:rPr>
          <w:rFonts w:ascii="Arial" w:hAnsi="Arial" w:cs="Arial"/>
        </w:rPr>
        <w:tab/>
      </w:r>
    </w:p>
    <w:p w:rsidR="009B3AF9" w:rsidRPr="005D31D1" w:rsidRDefault="009B3AF9" w:rsidP="009B3AF9">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0.17</w:t>
      </w:r>
    </w:p>
    <w:p w:rsidR="009B3AF9" w:rsidRPr="005D31D1" w:rsidRDefault="009B3AF9" w:rsidP="009B3AF9">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0.17 </w:t>
      </w:r>
    </w:p>
    <w:p w:rsidR="009B3AF9" w:rsidRPr="005D31D1" w:rsidRDefault="009B3AF9" w:rsidP="009B3AF9">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sidR="006179E5">
        <w:rPr>
          <w:rFonts w:ascii="Arial" w:hAnsi="Arial" w:cs="Arial"/>
        </w:rPr>
        <w:tab/>
      </w:r>
      <w:r w:rsidR="006179E5">
        <w:rPr>
          <w:rFonts w:ascii="Arial" w:hAnsi="Arial" w:cs="Arial"/>
        </w:rPr>
        <w:tab/>
      </w:r>
      <w:r w:rsidR="006179E5">
        <w:rPr>
          <w:rFonts w:ascii="Arial" w:hAnsi="Arial" w:cs="Arial"/>
        </w:rPr>
        <w:tab/>
      </w:r>
      <w:r w:rsidR="006179E5">
        <w:rPr>
          <w:rFonts w:ascii="Arial" w:hAnsi="Arial" w:cs="Arial"/>
        </w:rPr>
        <w:tab/>
      </w:r>
      <w:r w:rsidR="006179E5">
        <w:rPr>
          <w:rFonts w:ascii="Arial" w:hAnsi="Arial" w:cs="Arial"/>
        </w:rPr>
        <w:tab/>
      </w:r>
      <w:r w:rsidR="006179E5">
        <w:rPr>
          <w:rFonts w:ascii="Arial" w:hAnsi="Arial" w:cs="Arial"/>
        </w:rPr>
        <w:tab/>
        <w:t>100</w:t>
      </w:r>
      <w:r>
        <w:rPr>
          <w:rFonts w:ascii="Arial" w:hAnsi="Arial" w:cs="Arial"/>
        </w:rPr>
        <w:tab/>
      </w:r>
      <w:r>
        <w:rPr>
          <w:rFonts w:ascii="Arial" w:hAnsi="Arial" w:cs="Arial"/>
        </w:rPr>
        <w:tab/>
      </w:r>
      <w:r>
        <w:rPr>
          <w:rFonts w:ascii="Arial" w:hAnsi="Arial" w:cs="Arial"/>
        </w:rPr>
        <w:tab/>
      </w:r>
    </w:p>
    <w:p w:rsidR="009B3AF9" w:rsidRPr="005D31D1" w:rsidRDefault="009B3AF9" w:rsidP="009B3AF9">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892018">
        <w:rPr>
          <w:rFonts w:ascii="Arial" w:hAnsi="Arial" w:cs="Arial"/>
        </w:rPr>
        <w:t>17.82</w:t>
      </w:r>
    </w:p>
    <w:p w:rsidR="009B3AF9" w:rsidRPr="005D31D1" w:rsidRDefault="009B3AF9" w:rsidP="009B3AF9">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proofErr w:type="gramStart"/>
      <w:r w:rsidRPr="005D31D1">
        <w:rPr>
          <w:rFonts w:ascii="Arial" w:hAnsi="Arial" w:cs="Arial"/>
        </w:rPr>
        <w:t>$</w:t>
      </w:r>
      <w:r>
        <w:rPr>
          <w:rFonts w:ascii="Arial" w:hAnsi="Arial" w:cs="Arial"/>
        </w:rPr>
        <w:t xml:space="preserve">  </w:t>
      </w:r>
      <w:r w:rsidR="00892018">
        <w:rPr>
          <w:rFonts w:ascii="Arial" w:hAnsi="Arial" w:cs="Arial"/>
        </w:rPr>
        <w:t>6.64</w:t>
      </w:r>
      <w:proofErr w:type="gramEnd"/>
      <w:r>
        <w:rPr>
          <w:rFonts w:ascii="Arial" w:hAnsi="Arial" w:cs="Arial"/>
        </w:rPr>
        <w:tab/>
      </w:r>
    </w:p>
    <w:p w:rsidR="009B3AF9" w:rsidRDefault="009B3AF9" w:rsidP="009B3AF9">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$11.18</w:t>
      </w:r>
    </w:p>
    <w:p w:rsidR="009B3AF9" w:rsidRDefault="009B3AF9" w:rsidP="003835FC">
      <w:pPr>
        <w:rPr>
          <w:rFonts w:ascii="Arial" w:hAnsi="Arial" w:cs="Arial"/>
          <w:b/>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6179E5">
        <w:rPr>
          <w:rFonts w:ascii="Arial" w:hAnsi="Arial" w:cs="Arial"/>
        </w:rPr>
        <w:t>1</w:t>
      </w:r>
      <w:r w:rsidR="00892018">
        <w:rPr>
          <w:rFonts w:ascii="Arial" w:hAnsi="Arial" w:cs="Arial"/>
        </w:rPr>
        <w:t>,782</w:t>
      </w:r>
    </w:p>
    <w:p w:rsidR="009B3AF9" w:rsidRPr="009B3AF9" w:rsidRDefault="009B3AF9" w:rsidP="003835FC">
      <w:pPr>
        <w:rPr>
          <w:rFonts w:ascii="Arial" w:hAnsi="Arial" w:cs="Arial"/>
          <w:b/>
        </w:rPr>
      </w:pPr>
    </w:p>
    <w:p w:rsidR="003835FC" w:rsidRDefault="003835FC" w:rsidP="003835FC">
      <w:pPr>
        <w:rPr>
          <w:rFonts w:ascii="Arial" w:hAnsi="Arial" w:cs="Arial"/>
        </w:rPr>
      </w:pPr>
      <w:r w:rsidRPr="006179E5">
        <w:rPr>
          <w:rFonts w:ascii="Arial" w:hAnsi="Arial" w:cs="Arial"/>
          <w:b/>
        </w:rPr>
        <w:t>THPO Unexpended Funds Carryover Statemen</w:t>
      </w:r>
      <w:r w:rsidR="006179E5">
        <w:rPr>
          <w:rFonts w:ascii="Arial" w:hAnsi="Arial" w:cs="Arial"/>
          <w:b/>
        </w:rPr>
        <w:t>t</w:t>
      </w:r>
      <w:r w:rsidRPr="005D31D1">
        <w:rPr>
          <w:rFonts w:ascii="Arial" w:hAnsi="Arial" w:cs="Arial"/>
        </w:rPr>
        <w:t xml:space="preserve"> </w:t>
      </w:r>
    </w:p>
    <w:p w:rsidR="006179E5" w:rsidRPr="005D31D1" w:rsidRDefault="006179E5" w:rsidP="006179E5">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0.83</w:t>
      </w:r>
      <w:r>
        <w:rPr>
          <w:rFonts w:ascii="Arial" w:hAnsi="Arial" w:cs="Arial"/>
        </w:rPr>
        <w:tab/>
      </w:r>
      <w:r>
        <w:rPr>
          <w:rFonts w:ascii="Arial" w:hAnsi="Arial" w:cs="Arial"/>
        </w:rPr>
        <w:tab/>
      </w:r>
      <w:r>
        <w:rPr>
          <w:rFonts w:ascii="Arial" w:hAnsi="Arial" w:cs="Arial"/>
        </w:rPr>
        <w:tab/>
      </w:r>
    </w:p>
    <w:p w:rsidR="006179E5" w:rsidRPr="005D31D1" w:rsidRDefault="006179E5" w:rsidP="006179E5">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t xml:space="preserve"> 0.50</w:t>
      </w:r>
    </w:p>
    <w:p w:rsidR="006179E5" w:rsidRPr="005D31D1" w:rsidRDefault="006179E5" w:rsidP="006179E5">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 xml:space="preserve"> 0.33 </w:t>
      </w:r>
    </w:p>
    <w:p w:rsidR="006179E5" w:rsidRPr="005D31D1" w:rsidRDefault="006179E5" w:rsidP="006179E5">
      <w:pPr>
        <w:rPr>
          <w:rFonts w:ascii="Arial" w:hAnsi="Arial" w:cs="Arial"/>
        </w:rPr>
      </w:pPr>
      <w:r>
        <w:rPr>
          <w:rFonts w:ascii="Arial" w:hAnsi="Arial" w:cs="Arial"/>
        </w:rPr>
        <w:tab/>
      </w:r>
      <w:r w:rsidRPr="005D31D1">
        <w:rPr>
          <w:rFonts w:ascii="Arial" w:hAnsi="Arial" w:cs="Arial"/>
        </w:rPr>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81071">
        <w:rPr>
          <w:rFonts w:ascii="Arial" w:hAnsi="Arial" w:cs="Arial"/>
        </w:rPr>
        <w:t>50</w:t>
      </w:r>
      <w:r>
        <w:rPr>
          <w:rFonts w:ascii="Arial" w:hAnsi="Arial" w:cs="Arial"/>
        </w:rPr>
        <w:tab/>
      </w:r>
      <w:r>
        <w:rPr>
          <w:rFonts w:ascii="Arial" w:hAnsi="Arial" w:cs="Arial"/>
        </w:rPr>
        <w:tab/>
      </w:r>
      <w:r>
        <w:rPr>
          <w:rFonts w:ascii="Arial" w:hAnsi="Arial" w:cs="Arial"/>
        </w:rPr>
        <w:tab/>
      </w:r>
    </w:p>
    <w:p w:rsidR="006179E5" w:rsidRPr="005D31D1" w:rsidRDefault="006179E5" w:rsidP="006179E5">
      <w:pPr>
        <w:rPr>
          <w:rFonts w:ascii="Arial" w:hAnsi="Arial" w:cs="Arial"/>
        </w:rPr>
      </w:pPr>
      <w:r>
        <w:rPr>
          <w:rFonts w:ascii="Arial" w:hAnsi="Arial" w:cs="Arial"/>
        </w:rPr>
        <w:tab/>
      </w: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sidR="00B81071">
        <w:rPr>
          <w:rFonts w:ascii="Arial" w:hAnsi="Arial" w:cs="Arial"/>
        </w:rPr>
        <w:t>41.22</w:t>
      </w:r>
    </w:p>
    <w:p w:rsidR="006179E5" w:rsidRPr="005D31D1" w:rsidRDefault="006179E5" w:rsidP="006179E5">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sidR="00B81071">
        <w:rPr>
          <w:rFonts w:ascii="Arial" w:hAnsi="Arial" w:cs="Arial"/>
        </w:rPr>
        <w:t>19.52</w:t>
      </w:r>
      <w:r>
        <w:rPr>
          <w:rFonts w:ascii="Arial" w:hAnsi="Arial" w:cs="Arial"/>
        </w:rPr>
        <w:tab/>
      </w:r>
    </w:p>
    <w:p w:rsidR="006179E5" w:rsidRDefault="006179E5" w:rsidP="006179E5">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w:t>
      </w:r>
      <w:r w:rsidR="00B81071">
        <w:rPr>
          <w:rFonts w:ascii="Arial" w:hAnsi="Arial" w:cs="Arial"/>
        </w:rPr>
        <w:t>21.70</w:t>
      </w:r>
    </w:p>
    <w:p w:rsidR="006179E5" w:rsidRDefault="006179E5" w:rsidP="007C71FC">
      <w:pPr>
        <w:rPr>
          <w:rFonts w:ascii="Arial" w:hAnsi="Arial" w:cs="Arial"/>
          <w:b/>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B81071">
        <w:rPr>
          <w:rFonts w:ascii="Arial" w:hAnsi="Arial" w:cs="Arial"/>
        </w:rPr>
        <w:t>2,061</w:t>
      </w:r>
    </w:p>
    <w:p w:rsidR="006179E5" w:rsidRPr="005D31D1" w:rsidRDefault="006179E5" w:rsidP="003835FC">
      <w:pPr>
        <w:rPr>
          <w:rFonts w:ascii="Arial" w:hAnsi="Arial" w:cs="Arial"/>
        </w:rPr>
      </w:pPr>
    </w:p>
    <w:p w:rsidR="00DC047B" w:rsidRDefault="007C71FC" w:rsidP="007C71FC">
      <w:pPr>
        <w:widowControl/>
        <w:autoSpaceDE/>
        <w:autoSpaceDN/>
        <w:adjustRightInd/>
        <w:spacing w:after="200" w:line="276" w:lineRule="auto"/>
        <w:rPr>
          <w:rFonts w:ascii="Arial" w:hAnsi="Arial" w:cs="Arial"/>
        </w:rPr>
      </w:pPr>
      <w:r>
        <w:rPr>
          <w:rFonts w:ascii="Arial" w:hAnsi="Arial" w:cs="Arial"/>
          <w:b/>
        </w:rPr>
        <w:br w:type="page"/>
      </w:r>
    </w:p>
    <w:p w:rsidR="00DC047B" w:rsidRPr="005D31D1" w:rsidRDefault="00DC047B" w:rsidP="00DC047B">
      <w:pPr>
        <w:rPr>
          <w:rFonts w:ascii="Arial" w:hAnsi="Arial" w:cs="Arial"/>
        </w:rPr>
      </w:pPr>
      <w:r>
        <w:rPr>
          <w:rFonts w:ascii="Arial" w:hAnsi="Arial" w:cs="Arial"/>
          <w:b/>
        </w:rPr>
        <w:lastRenderedPageBreak/>
        <w:t xml:space="preserve">THPO </w:t>
      </w:r>
      <w:r w:rsidRPr="00477715">
        <w:rPr>
          <w:rFonts w:ascii="Arial" w:hAnsi="Arial" w:cs="Arial"/>
          <w:b/>
        </w:rPr>
        <w:t>Annual Report</w:t>
      </w:r>
      <w:r w:rsidRPr="005D31D1">
        <w:rPr>
          <w:rFonts w:ascii="Arial" w:hAnsi="Arial" w:cs="Arial"/>
        </w:rPr>
        <w:t xml:space="preserve">  </w:t>
      </w:r>
    </w:p>
    <w:p w:rsidR="00DC047B" w:rsidRPr="005D31D1" w:rsidRDefault="00DC047B" w:rsidP="00DC047B">
      <w:pPr>
        <w:ind w:firstLine="720"/>
        <w:rPr>
          <w:rFonts w:ascii="Arial" w:hAnsi="Arial" w:cs="Arial"/>
        </w:rPr>
      </w:pPr>
      <w:r w:rsidRPr="005D31D1">
        <w:rPr>
          <w:rFonts w:ascii="Arial" w:hAnsi="Arial" w:cs="Arial"/>
        </w:rPr>
        <w:t>Total Hours</w:t>
      </w:r>
      <w:r>
        <w:rPr>
          <w:rFonts w:ascii="Arial" w:hAnsi="Arial" w:cs="Arial"/>
        </w:rPr>
        <w:t xml:space="preserve"> per Response</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0.99</w:t>
      </w:r>
      <w:r>
        <w:rPr>
          <w:rFonts w:ascii="Arial" w:hAnsi="Arial" w:cs="Arial"/>
        </w:rPr>
        <w:tab/>
      </w:r>
      <w:r>
        <w:rPr>
          <w:rFonts w:ascii="Arial" w:hAnsi="Arial" w:cs="Arial"/>
        </w:rPr>
        <w:tab/>
      </w:r>
      <w:r>
        <w:rPr>
          <w:rFonts w:ascii="Arial" w:hAnsi="Arial" w:cs="Arial"/>
        </w:rPr>
        <w:tab/>
      </w:r>
    </w:p>
    <w:p w:rsidR="00DC047B" w:rsidRPr="005D31D1" w:rsidRDefault="00DC047B" w:rsidP="00DC047B">
      <w:pPr>
        <w:rPr>
          <w:rFonts w:ascii="Arial" w:hAnsi="Arial" w:cs="Arial"/>
        </w:rPr>
      </w:pPr>
      <w:r w:rsidRPr="005D31D1">
        <w:rPr>
          <w:rFonts w:ascii="Arial" w:hAnsi="Arial" w:cs="Arial"/>
        </w:rPr>
        <w:tab/>
      </w:r>
      <w:r>
        <w:rPr>
          <w:rFonts w:ascii="Arial" w:hAnsi="Arial" w:cs="Arial"/>
        </w:rPr>
        <w:tab/>
      </w:r>
      <w:r w:rsidRPr="005D31D1">
        <w:rPr>
          <w:rFonts w:ascii="Arial" w:hAnsi="Arial" w:cs="Arial"/>
        </w:rPr>
        <w:t>Clerical/Unskilled</w:t>
      </w:r>
      <w:r w:rsidRPr="005D31D1">
        <w:rPr>
          <w:rFonts w:ascii="Arial" w:hAnsi="Arial" w:cs="Arial"/>
        </w:rPr>
        <w:tab/>
      </w:r>
      <w:r>
        <w:rPr>
          <w:rFonts w:ascii="Arial" w:hAnsi="Arial" w:cs="Arial"/>
        </w:rPr>
        <w:tab/>
        <w:t>0.08</w:t>
      </w:r>
    </w:p>
    <w:p w:rsidR="00DC047B" w:rsidRPr="005D31D1" w:rsidRDefault="00DC047B" w:rsidP="00DC047B">
      <w:pPr>
        <w:ind w:left="720" w:firstLine="720"/>
        <w:rPr>
          <w:rFonts w:ascii="Arial" w:hAnsi="Arial" w:cs="Arial"/>
        </w:rPr>
      </w:pPr>
      <w:r w:rsidRPr="005D31D1">
        <w:rPr>
          <w:rFonts w:ascii="Arial" w:hAnsi="Arial" w:cs="Arial"/>
        </w:rPr>
        <w:t>Skilled/Technical</w:t>
      </w:r>
      <w:r w:rsidRPr="005D31D1">
        <w:rPr>
          <w:rFonts w:ascii="Arial" w:hAnsi="Arial" w:cs="Arial"/>
        </w:rPr>
        <w:tab/>
      </w:r>
      <w:r>
        <w:rPr>
          <w:rFonts w:ascii="Arial" w:hAnsi="Arial" w:cs="Arial"/>
        </w:rPr>
        <w:tab/>
        <w:t>0.08</w:t>
      </w:r>
    </w:p>
    <w:p w:rsidR="00DC047B" w:rsidRPr="005D31D1" w:rsidRDefault="00DC047B" w:rsidP="00DC047B">
      <w:pPr>
        <w:ind w:left="1440"/>
        <w:rPr>
          <w:rFonts w:ascii="Arial" w:hAnsi="Arial" w:cs="Arial"/>
        </w:rPr>
      </w:pPr>
      <w:r w:rsidRPr="005D31D1">
        <w:rPr>
          <w:rFonts w:ascii="Arial" w:hAnsi="Arial" w:cs="Arial"/>
        </w:rPr>
        <w:t>Professionals/Managers</w:t>
      </w:r>
      <w:r w:rsidRPr="005D31D1">
        <w:rPr>
          <w:rFonts w:ascii="Arial" w:hAnsi="Arial" w:cs="Arial"/>
        </w:rPr>
        <w:tab/>
      </w:r>
      <w:r>
        <w:rPr>
          <w:rFonts w:ascii="Arial" w:hAnsi="Arial" w:cs="Arial"/>
        </w:rPr>
        <w:tab/>
        <w:t>0.33</w:t>
      </w:r>
    </w:p>
    <w:p w:rsidR="00DC047B" w:rsidRPr="005D31D1" w:rsidRDefault="00DC047B" w:rsidP="00DC047B">
      <w:pPr>
        <w:ind w:left="720" w:firstLine="720"/>
        <w:rPr>
          <w:rFonts w:ascii="Arial" w:hAnsi="Arial" w:cs="Arial"/>
        </w:rPr>
      </w:pPr>
      <w:r w:rsidRPr="005D31D1">
        <w:rPr>
          <w:rFonts w:ascii="Arial" w:hAnsi="Arial" w:cs="Arial"/>
        </w:rPr>
        <w:t>Executives</w:t>
      </w:r>
      <w:r w:rsidRPr="005D31D1">
        <w:rPr>
          <w:rFonts w:ascii="Arial" w:hAnsi="Arial" w:cs="Arial"/>
        </w:rPr>
        <w:tab/>
      </w:r>
      <w:r>
        <w:rPr>
          <w:rFonts w:ascii="Arial" w:hAnsi="Arial" w:cs="Arial"/>
        </w:rPr>
        <w:tab/>
      </w:r>
      <w:r>
        <w:rPr>
          <w:rFonts w:ascii="Arial" w:hAnsi="Arial" w:cs="Arial"/>
        </w:rPr>
        <w:tab/>
        <w:t>0.50</w:t>
      </w:r>
    </w:p>
    <w:p w:rsidR="00DC047B" w:rsidRPr="005D31D1" w:rsidRDefault="00DC047B" w:rsidP="00DC047B">
      <w:pPr>
        <w:rPr>
          <w:rFonts w:ascii="Arial" w:hAnsi="Arial" w:cs="Arial"/>
        </w:rPr>
      </w:pPr>
      <w:r w:rsidRPr="005D31D1">
        <w:rPr>
          <w:rFonts w:ascii="Arial" w:hAnsi="Arial" w:cs="Arial"/>
        </w:rPr>
        <w:tab/>
        <w:t xml:space="preserve">Number of </w:t>
      </w:r>
      <w:r>
        <w:rPr>
          <w:rFonts w:ascii="Arial" w:hAnsi="Arial" w:cs="Arial"/>
        </w:rPr>
        <w:t>Responses</w:t>
      </w:r>
      <w:r w:rsidRPr="005D31D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w:t>
      </w:r>
      <w:r>
        <w:rPr>
          <w:rFonts w:ascii="Arial" w:hAnsi="Arial" w:cs="Arial"/>
        </w:rPr>
        <w:tab/>
      </w:r>
      <w:r>
        <w:rPr>
          <w:rFonts w:ascii="Arial" w:hAnsi="Arial" w:cs="Arial"/>
        </w:rPr>
        <w:tab/>
      </w:r>
      <w:r>
        <w:rPr>
          <w:rFonts w:ascii="Arial" w:hAnsi="Arial" w:cs="Arial"/>
        </w:rPr>
        <w:tab/>
      </w:r>
    </w:p>
    <w:p w:rsidR="00DC047B" w:rsidRPr="005D31D1" w:rsidRDefault="00DC047B" w:rsidP="00DC047B">
      <w:pPr>
        <w:ind w:firstLine="720"/>
        <w:rPr>
          <w:rFonts w:ascii="Arial" w:hAnsi="Arial" w:cs="Arial"/>
        </w:rPr>
      </w:pPr>
      <w:r w:rsidRPr="005D31D1">
        <w:rPr>
          <w:rFonts w:ascii="Arial" w:hAnsi="Arial" w:cs="Arial"/>
        </w:rPr>
        <w:t xml:space="preserve">Salary Cost </w:t>
      </w:r>
      <w:r>
        <w:rPr>
          <w:rFonts w:ascii="Arial" w:hAnsi="Arial" w:cs="Arial"/>
        </w:rPr>
        <w:t>per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D31D1">
        <w:rPr>
          <w:rFonts w:ascii="Arial" w:hAnsi="Arial" w:cs="Arial"/>
        </w:rPr>
        <w:tab/>
        <w:t>$</w:t>
      </w:r>
      <w:r>
        <w:rPr>
          <w:rFonts w:ascii="Arial" w:hAnsi="Arial" w:cs="Arial"/>
        </w:rPr>
        <w:t>50.45</w:t>
      </w:r>
    </w:p>
    <w:p w:rsidR="00DC047B" w:rsidRPr="005D31D1" w:rsidRDefault="00DC047B" w:rsidP="00DC047B">
      <w:pPr>
        <w:rPr>
          <w:rFonts w:ascii="Arial" w:hAnsi="Arial" w:cs="Arial"/>
        </w:rPr>
      </w:pPr>
      <w:r w:rsidRPr="005D31D1">
        <w:rPr>
          <w:rFonts w:ascii="Arial" w:hAnsi="Arial" w:cs="Arial"/>
        </w:rPr>
        <w:tab/>
      </w:r>
      <w:r>
        <w:rPr>
          <w:rFonts w:ascii="Arial" w:hAnsi="Arial" w:cs="Arial"/>
        </w:rPr>
        <w:tab/>
      </w:r>
      <w:r w:rsidRPr="005D31D1">
        <w:rPr>
          <w:rFonts w:ascii="Arial" w:hAnsi="Arial" w:cs="Arial"/>
        </w:rPr>
        <w:t>Clerical/Unskilled</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 xml:space="preserve">  2.11</w:t>
      </w:r>
    </w:p>
    <w:p w:rsidR="00DC047B" w:rsidRDefault="00DC047B" w:rsidP="00DC047B">
      <w:pPr>
        <w:rPr>
          <w:rFonts w:ascii="Arial" w:hAnsi="Arial" w:cs="Arial"/>
        </w:rPr>
      </w:pPr>
      <w:r w:rsidRPr="005D31D1">
        <w:rPr>
          <w:rFonts w:ascii="Arial" w:hAnsi="Arial" w:cs="Arial"/>
        </w:rPr>
        <w:tab/>
      </w:r>
      <w:r>
        <w:rPr>
          <w:rFonts w:ascii="Arial" w:hAnsi="Arial" w:cs="Arial"/>
        </w:rPr>
        <w:tab/>
      </w:r>
      <w:r w:rsidRPr="005D31D1">
        <w:rPr>
          <w:rFonts w:ascii="Arial" w:hAnsi="Arial" w:cs="Arial"/>
        </w:rPr>
        <w:t>Skilled/Technical</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 xml:space="preserve">  2.58</w:t>
      </w:r>
    </w:p>
    <w:p w:rsidR="00DC047B" w:rsidRPr="005D31D1" w:rsidRDefault="00DC047B" w:rsidP="00DC047B">
      <w:pPr>
        <w:rPr>
          <w:rFonts w:ascii="Arial" w:hAnsi="Arial" w:cs="Arial"/>
        </w:rPr>
      </w:pPr>
      <w:r w:rsidRPr="005D31D1">
        <w:rPr>
          <w:rFonts w:ascii="Arial" w:hAnsi="Arial" w:cs="Arial"/>
        </w:rPr>
        <w:tab/>
      </w:r>
      <w:r>
        <w:rPr>
          <w:rFonts w:ascii="Arial" w:hAnsi="Arial" w:cs="Arial"/>
        </w:rPr>
        <w:tab/>
      </w:r>
      <w:r w:rsidRPr="005D31D1">
        <w:rPr>
          <w:rFonts w:ascii="Arial" w:hAnsi="Arial" w:cs="Arial"/>
        </w:rPr>
        <w:t>Professionals/Managers</w:t>
      </w:r>
      <w:r w:rsidRPr="005D31D1">
        <w:rPr>
          <w:rFonts w:ascii="Arial" w:hAnsi="Arial" w:cs="Arial"/>
        </w:rPr>
        <w:tab/>
      </w:r>
      <w:r>
        <w:rPr>
          <w:rFonts w:ascii="Arial" w:hAnsi="Arial" w:cs="Arial"/>
        </w:rPr>
        <w:tab/>
      </w:r>
      <w:r w:rsidRPr="005D31D1">
        <w:rPr>
          <w:rFonts w:ascii="Arial" w:hAnsi="Arial" w:cs="Arial"/>
        </w:rPr>
        <w:t>$</w:t>
      </w:r>
      <w:r>
        <w:rPr>
          <w:rFonts w:ascii="Arial" w:hAnsi="Arial" w:cs="Arial"/>
        </w:rPr>
        <w:t>12.88</w:t>
      </w:r>
      <w:r>
        <w:rPr>
          <w:rFonts w:ascii="Arial" w:hAnsi="Arial" w:cs="Arial"/>
        </w:rPr>
        <w:tab/>
      </w:r>
    </w:p>
    <w:p w:rsidR="00DC047B" w:rsidRDefault="00DC047B" w:rsidP="00DC047B">
      <w:pPr>
        <w:rPr>
          <w:rFonts w:ascii="Arial" w:hAnsi="Arial" w:cs="Arial"/>
        </w:rPr>
      </w:pPr>
      <w:r>
        <w:rPr>
          <w:rFonts w:ascii="Arial" w:hAnsi="Arial" w:cs="Arial"/>
        </w:rPr>
        <w:tab/>
      </w:r>
      <w:r>
        <w:rPr>
          <w:rFonts w:ascii="Arial" w:hAnsi="Arial" w:cs="Arial"/>
        </w:rPr>
        <w:tab/>
        <w:t>Executives</w:t>
      </w:r>
      <w:r>
        <w:rPr>
          <w:rFonts w:ascii="Arial" w:hAnsi="Arial" w:cs="Arial"/>
        </w:rPr>
        <w:tab/>
      </w:r>
      <w:r>
        <w:rPr>
          <w:rFonts w:ascii="Arial" w:hAnsi="Arial" w:cs="Arial"/>
        </w:rPr>
        <w:tab/>
      </w:r>
      <w:r>
        <w:rPr>
          <w:rFonts w:ascii="Arial" w:hAnsi="Arial" w:cs="Arial"/>
        </w:rPr>
        <w:tab/>
        <w:t>$32.88</w:t>
      </w:r>
    </w:p>
    <w:p w:rsidR="00CC1311" w:rsidRDefault="00DC047B" w:rsidP="00C73A8E">
      <w:pPr>
        <w:rPr>
          <w:rFonts w:ascii="Arial" w:hAnsi="Arial" w:cs="Arial"/>
          <w:b/>
          <w:bCs/>
          <w:sz w:val="22"/>
          <w:szCs w:val="22"/>
        </w:rPr>
      </w:pPr>
      <w:r w:rsidRPr="005D31D1">
        <w:rPr>
          <w:rFonts w:ascii="Arial" w:hAnsi="Arial" w:cs="Arial"/>
        </w:rPr>
        <w:tab/>
        <w:t xml:space="preserve">Cost to Federal Government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C73A8E">
        <w:rPr>
          <w:rFonts w:ascii="Arial" w:hAnsi="Arial" w:cs="Arial"/>
        </w:rPr>
        <w:t>5,045</w:t>
      </w:r>
    </w:p>
    <w:p w:rsidR="00CC1311" w:rsidRDefault="00CC1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C73A8E" w:rsidRDefault="00C73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Default="00C73A8E" w:rsidP="00C73A8E">
      <w:pPr>
        <w:tabs>
          <w:tab w:val="left" w:pos="-1080"/>
          <w:tab w:val="left" w:pos="-720"/>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We are reporting 56,382 annual responses totaling 44,390 burden hours, which is an increase of 22,038 responses and 8,463 burden hours.  We made adjustments in our estimates based on our outreach and our experience in administering this collection.</w:t>
      </w:r>
    </w:p>
    <w:p w:rsidR="00AC6C16" w:rsidRDefault="00AC6C16" w:rsidP="00C73A8E">
      <w:pPr>
        <w:tabs>
          <w:tab w:val="left" w:pos="-1080"/>
          <w:tab w:val="left" w:pos="-720"/>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AC6C16" w:rsidRPr="00670629" w:rsidRDefault="00AC6C16" w:rsidP="00C73A8E">
      <w:pPr>
        <w:tabs>
          <w:tab w:val="left" w:pos="-1080"/>
          <w:tab w:val="left" w:pos="-720"/>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Cs/>
          <w:sz w:val="22"/>
          <w:szCs w:val="22"/>
        </w:rPr>
        <w:t xml:space="preserve">We are reporting as a program change $340,474 in </w:t>
      </w:r>
      <w:proofErr w:type="spellStart"/>
      <w:r>
        <w:rPr>
          <w:rFonts w:ascii="Arial" w:hAnsi="Arial" w:cs="Arial"/>
          <w:bCs/>
          <w:sz w:val="22"/>
          <w:szCs w:val="22"/>
        </w:rPr>
        <w:t>nonhour</w:t>
      </w:r>
      <w:proofErr w:type="spellEnd"/>
      <w:r>
        <w:rPr>
          <w:rFonts w:ascii="Arial" w:hAnsi="Arial" w:cs="Arial"/>
          <w:bCs/>
          <w:sz w:val="22"/>
          <w:szCs w:val="22"/>
        </w:rPr>
        <w:t xml:space="preserve"> burden costs not previously included in our submission.</w:t>
      </w:r>
    </w:p>
    <w:p w:rsidR="00A80285" w:rsidRPr="00670629" w:rsidRDefault="00A80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32FEA" w:rsidRPr="00C00362" w:rsidRDefault="00F32FEA" w:rsidP="00F32FEA">
      <w:pPr>
        <w:rPr>
          <w:rFonts w:ascii="Arial" w:hAnsi="Arial" w:cs="Arial"/>
          <w:sz w:val="22"/>
          <w:szCs w:val="22"/>
        </w:rPr>
      </w:pPr>
      <w:r w:rsidRPr="00C00362">
        <w:rPr>
          <w:rFonts w:ascii="Arial" w:hAnsi="Arial" w:cs="Arial"/>
          <w:sz w:val="22"/>
          <w:szCs w:val="22"/>
        </w:rPr>
        <w:t>Upon certification, NPS adds the name of each CLG to the list of CLGs that appears on its CLG web site.  Because the other information collections mostly relate either to program compliance or quality control and involve data that our partners do not submit to NPS, NPS does not arrange for publication of the information collections.  However, this is changing.  These are federally-supported information collections and thus are public documents which NPS partners will make available upon request.  NPS also makes available upon request the underlying data from any of the information collections.  However, NPS is in the planning stages of posting on our web site much of the information that we currently make available upon request.  These postings are likely to be compilations of the collected data without any substantive editing, analysis, or commentary; e.g., a State-by-State listing of properties newly added to their State inventory during a given fiscal year.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F32FEA" w:rsidRDefault="009C158D" w:rsidP="000B41D9">
      <w:pPr>
        <w:rPr>
          <w:rFonts w:ascii="Arial" w:hAnsi="Arial" w:cs="Arial"/>
          <w:sz w:val="22"/>
          <w:szCs w:val="22"/>
        </w:rPr>
      </w:pPr>
      <w:r w:rsidRPr="00F32FEA">
        <w:rPr>
          <w:rFonts w:ascii="Arial" w:hAnsi="Arial" w:cs="Arial"/>
          <w:sz w:val="22"/>
          <w:szCs w:val="22"/>
        </w:rPr>
        <w:t>We will display the OMB control number and expiration date on forms and other appropriate documents associated with this information collection</w:t>
      </w:r>
      <w:r w:rsidR="00F32FEA" w:rsidRPr="00F32FEA">
        <w:rPr>
          <w:rFonts w:ascii="Arial" w:hAnsi="Arial" w:cs="Arial"/>
          <w:sz w:val="22"/>
          <w:szCs w:val="22"/>
        </w:rPr>
        <w: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00E93" w:rsidRPr="009C158D" w:rsidRDefault="009C158D" w:rsidP="009C158D">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C158D">
        <w:rPr>
          <w:rFonts w:ascii="Arial" w:hAnsi="Arial" w:cs="Arial"/>
          <w:sz w:val="22"/>
          <w:szCs w:val="22"/>
        </w:rPr>
        <w:t>There are no exceptions to the certification statement.</w:t>
      </w:r>
    </w:p>
    <w:sectPr w:rsidR="00A00E93" w:rsidRPr="009C158D" w:rsidSect="00F54295">
      <w:footerReference w:type="default" r:id="rId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7E" w:rsidRDefault="00C5487E">
      <w:r>
        <w:separator/>
      </w:r>
    </w:p>
  </w:endnote>
  <w:endnote w:type="continuationSeparator" w:id="0">
    <w:p w:rsidR="00C5487E" w:rsidRDefault="00C5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C0" w:rsidRDefault="00744BC0"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3A32">
      <w:rPr>
        <w:rStyle w:val="PageNumber"/>
        <w:noProof/>
      </w:rPr>
      <w:t>18</w:t>
    </w:r>
    <w:r>
      <w:rPr>
        <w:rStyle w:val="PageNumber"/>
      </w:rPr>
      <w:fldChar w:fldCharType="end"/>
    </w:r>
  </w:p>
  <w:p w:rsidR="00744BC0" w:rsidRDefault="00744BC0"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7E" w:rsidRDefault="00C5487E">
      <w:r>
        <w:separator/>
      </w:r>
    </w:p>
  </w:footnote>
  <w:footnote w:type="continuationSeparator" w:id="0">
    <w:p w:rsidR="00C5487E" w:rsidRDefault="00C54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2"/>
  </w:num>
  <w:num w:numId="6">
    <w:abstractNumId w:val="6"/>
  </w:num>
  <w:num w:numId="7">
    <w:abstractNumId w:val="12"/>
  </w:num>
  <w:num w:numId="8">
    <w:abstractNumId w:val="5"/>
  </w:num>
  <w:num w:numId="9">
    <w:abstractNumId w:val="4"/>
  </w:num>
  <w:num w:numId="10">
    <w:abstractNumId w:val="1"/>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34D80"/>
    <w:rsid w:val="000450CA"/>
    <w:rsid w:val="0005767E"/>
    <w:rsid w:val="00075220"/>
    <w:rsid w:val="000807B5"/>
    <w:rsid w:val="0008548C"/>
    <w:rsid w:val="000A2A0E"/>
    <w:rsid w:val="000B41D9"/>
    <w:rsid w:val="000C3C8B"/>
    <w:rsid w:val="000D498D"/>
    <w:rsid w:val="00104DAB"/>
    <w:rsid w:val="00150437"/>
    <w:rsid w:val="00153299"/>
    <w:rsid w:val="00157818"/>
    <w:rsid w:val="0018447E"/>
    <w:rsid w:val="00193911"/>
    <w:rsid w:val="001A1789"/>
    <w:rsid w:val="001F41ED"/>
    <w:rsid w:val="00210063"/>
    <w:rsid w:val="00222B0F"/>
    <w:rsid w:val="00261817"/>
    <w:rsid w:val="002A7BBD"/>
    <w:rsid w:val="002C4305"/>
    <w:rsid w:val="002E2A20"/>
    <w:rsid w:val="00372251"/>
    <w:rsid w:val="0038338F"/>
    <w:rsid w:val="003835FC"/>
    <w:rsid w:val="00384A4E"/>
    <w:rsid w:val="00394D19"/>
    <w:rsid w:val="003B1915"/>
    <w:rsid w:val="003C7C1D"/>
    <w:rsid w:val="003D2DED"/>
    <w:rsid w:val="003F2685"/>
    <w:rsid w:val="004035E3"/>
    <w:rsid w:val="00423226"/>
    <w:rsid w:val="00426924"/>
    <w:rsid w:val="00477715"/>
    <w:rsid w:val="004810E6"/>
    <w:rsid w:val="00495AA9"/>
    <w:rsid w:val="004A2225"/>
    <w:rsid w:val="004C706B"/>
    <w:rsid w:val="004D5DC5"/>
    <w:rsid w:val="004E5033"/>
    <w:rsid w:val="004F5E56"/>
    <w:rsid w:val="00506AFF"/>
    <w:rsid w:val="005647CC"/>
    <w:rsid w:val="00564D6E"/>
    <w:rsid w:val="00593FCA"/>
    <w:rsid w:val="005A0410"/>
    <w:rsid w:val="005A1560"/>
    <w:rsid w:val="005A1961"/>
    <w:rsid w:val="005C76AB"/>
    <w:rsid w:val="005E05DE"/>
    <w:rsid w:val="006179E5"/>
    <w:rsid w:val="006365C6"/>
    <w:rsid w:val="00670629"/>
    <w:rsid w:val="006A2558"/>
    <w:rsid w:val="006A5504"/>
    <w:rsid w:val="006C41D7"/>
    <w:rsid w:val="006D2762"/>
    <w:rsid w:val="006E3E3B"/>
    <w:rsid w:val="006F256F"/>
    <w:rsid w:val="00700754"/>
    <w:rsid w:val="00704A79"/>
    <w:rsid w:val="007234AC"/>
    <w:rsid w:val="00744BC0"/>
    <w:rsid w:val="00760C33"/>
    <w:rsid w:val="00767FB4"/>
    <w:rsid w:val="007B4710"/>
    <w:rsid w:val="007B7AC1"/>
    <w:rsid w:val="007C71FC"/>
    <w:rsid w:val="007D1DAC"/>
    <w:rsid w:val="007E2908"/>
    <w:rsid w:val="00825436"/>
    <w:rsid w:val="00871AB7"/>
    <w:rsid w:val="0087520A"/>
    <w:rsid w:val="00892018"/>
    <w:rsid w:val="008A4A16"/>
    <w:rsid w:val="008A5564"/>
    <w:rsid w:val="008B73D0"/>
    <w:rsid w:val="008E6EA8"/>
    <w:rsid w:val="00907EC4"/>
    <w:rsid w:val="00913659"/>
    <w:rsid w:val="0092757B"/>
    <w:rsid w:val="00941EC3"/>
    <w:rsid w:val="0095362B"/>
    <w:rsid w:val="009A1F98"/>
    <w:rsid w:val="009B1CDE"/>
    <w:rsid w:val="009B3AF9"/>
    <w:rsid w:val="009C158D"/>
    <w:rsid w:val="009E2E8D"/>
    <w:rsid w:val="009E69CA"/>
    <w:rsid w:val="00A004C4"/>
    <w:rsid w:val="00A00E93"/>
    <w:rsid w:val="00A01B93"/>
    <w:rsid w:val="00A24AD0"/>
    <w:rsid w:val="00A367FF"/>
    <w:rsid w:val="00A80285"/>
    <w:rsid w:val="00A9672A"/>
    <w:rsid w:val="00AB6EB2"/>
    <w:rsid w:val="00AC325A"/>
    <w:rsid w:val="00AC6C16"/>
    <w:rsid w:val="00AE4375"/>
    <w:rsid w:val="00AE48A1"/>
    <w:rsid w:val="00B02D69"/>
    <w:rsid w:val="00B0516F"/>
    <w:rsid w:val="00B234DC"/>
    <w:rsid w:val="00B45D26"/>
    <w:rsid w:val="00B51632"/>
    <w:rsid w:val="00B55D87"/>
    <w:rsid w:val="00B572F9"/>
    <w:rsid w:val="00B81071"/>
    <w:rsid w:val="00B8799B"/>
    <w:rsid w:val="00B87D33"/>
    <w:rsid w:val="00BA6F77"/>
    <w:rsid w:val="00BA7C86"/>
    <w:rsid w:val="00BB0E92"/>
    <w:rsid w:val="00BB3E95"/>
    <w:rsid w:val="00BB4A08"/>
    <w:rsid w:val="00BD1EFF"/>
    <w:rsid w:val="00BE32B4"/>
    <w:rsid w:val="00BE45D3"/>
    <w:rsid w:val="00BF324C"/>
    <w:rsid w:val="00C50496"/>
    <w:rsid w:val="00C5487E"/>
    <w:rsid w:val="00C5605F"/>
    <w:rsid w:val="00C65339"/>
    <w:rsid w:val="00C73A8E"/>
    <w:rsid w:val="00C76BDA"/>
    <w:rsid w:val="00C85649"/>
    <w:rsid w:val="00C93460"/>
    <w:rsid w:val="00CA7B7E"/>
    <w:rsid w:val="00CB1F14"/>
    <w:rsid w:val="00CC1311"/>
    <w:rsid w:val="00CC1D72"/>
    <w:rsid w:val="00CF7AFB"/>
    <w:rsid w:val="00D315BD"/>
    <w:rsid w:val="00D73A32"/>
    <w:rsid w:val="00DC047B"/>
    <w:rsid w:val="00DC0C9A"/>
    <w:rsid w:val="00DD0EA7"/>
    <w:rsid w:val="00E1762E"/>
    <w:rsid w:val="00E337B1"/>
    <w:rsid w:val="00E963B0"/>
    <w:rsid w:val="00E96D94"/>
    <w:rsid w:val="00EA38A5"/>
    <w:rsid w:val="00EC7AB0"/>
    <w:rsid w:val="00F03863"/>
    <w:rsid w:val="00F111D5"/>
    <w:rsid w:val="00F32FEA"/>
    <w:rsid w:val="00F54295"/>
    <w:rsid w:val="00F5487E"/>
    <w:rsid w:val="00F55E39"/>
    <w:rsid w:val="00F75276"/>
    <w:rsid w:val="00F9242D"/>
    <w:rsid w:val="00FA6E27"/>
    <w:rsid w:val="00FC3110"/>
    <w:rsid w:val="00FD0999"/>
    <w:rsid w:val="00FD26BB"/>
    <w:rsid w:val="00FF0937"/>
    <w:rsid w:val="00F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11744</Words>
  <Characters>66946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2011-05-19T03:34:00Z</dcterms:created>
  <dcterms:modified xsi:type="dcterms:W3CDTF">2011-05-24T19:27:00Z</dcterms:modified>
</cp:coreProperties>
</file>