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39" w:rsidRPr="00694AED" w:rsidRDefault="00C90F69">
      <w:pPr>
        <w:pStyle w:val="Title"/>
        <w:rPr>
          <w:sz w:val="24"/>
        </w:rPr>
      </w:pPr>
      <w:r w:rsidRPr="00694AED">
        <w:rPr>
          <w:sz w:val="24"/>
        </w:rPr>
        <w:t>Supporting Statement for Paperwork Reduction Act Submissions</w:t>
      </w:r>
    </w:p>
    <w:p w:rsidR="00212439" w:rsidRPr="00694AED" w:rsidRDefault="00212439"/>
    <w:p w:rsidR="00212439" w:rsidRPr="00694AED" w:rsidRDefault="00C90F69">
      <w:pPr>
        <w:jc w:val="center"/>
        <w:rPr>
          <w:b/>
          <w:bCs/>
        </w:rPr>
      </w:pPr>
      <w:r w:rsidRPr="00694AED">
        <w:rPr>
          <w:b/>
          <w:bCs/>
        </w:rPr>
        <w:t>Graduate Assistance in Areas of National Need (GAANN)</w:t>
      </w:r>
    </w:p>
    <w:p w:rsidR="00212439" w:rsidRPr="00694AED" w:rsidRDefault="00C90F69">
      <w:pPr>
        <w:pStyle w:val="Heading1"/>
      </w:pPr>
      <w:r w:rsidRPr="00694AED">
        <w:t>Application for New Grants</w:t>
      </w:r>
    </w:p>
    <w:p w:rsidR="00212439" w:rsidRPr="00694AED" w:rsidRDefault="00212439"/>
    <w:p w:rsidR="00212439" w:rsidRPr="00694AED" w:rsidRDefault="00C90F69">
      <w:pPr>
        <w:pStyle w:val="Heading2"/>
      </w:pPr>
      <w:r w:rsidRPr="00694AED">
        <w:t>A. Justification</w:t>
      </w:r>
    </w:p>
    <w:p w:rsidR="00212439" w:rsidRPr="00694AED" w:rsidRDefault="00212439">
      <w:pPr>
        <w:ind w:left="360"/>
      </w:pPr>
    </w:p>
    <w:p w:rsidR="00694AED" w:rsidRDefault="00694AED" w:rsidP="00694AED">
      <w:pPr>
        <w:pStyle w:val="ListParagraph"/>
        <w:numPr>
          <w:ilvl w:val="0"/>
          <w:numId w:val="3"/>
        </w:numPr>
        <w:tabs>
          <w:tab w:val="left" w:pos="0"/>
        </w:tabs>
        <w:suppressAutoHyphens/>
      </w:pPr>
      <w:r w:rsidRPr="00694AE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4AED" w:rsidRPr="00694AED" w:rsidRDefault="00694AED" w:rsidP="00694AED">
      <w:pPr>
        <w:pStyle w:val="ListParagraph"/>
        <w:tabs>
          <w:tab w:val="left" w:pos="0"/>
        </w:tabs>
        <w:suppressAutoHyphens/>
      </w:pPr>
    </w:p>
    <w:p w:rsidR="00E41278" w:rsidRDefault="00C90F69" w:rsidP="00F21E85">
      <w:pPr>
        <w:spacing w:before="100" w:beforeAutospacing="1" w:after="100" w:afterAutospacing="1"/>
        <w:ind w:left="720"/>
        <w:rPr>
          <w:rFonts w:ascii="Verdana" w:hAnsi="Verdana"/>
          <w:color w:val="000000"/>
          <w:sz w:val="17"/>
          <w:szCs w:val="17"/>
        </w:rPr>
      </w:pPr>
      <w:r w:rsidRPr="00694AED">
        <w:t>The Graduate Assistance in Areas of National Need (GAANN) program</w:t>
      </w:r>
      <w:r w:rsidR="00912AFB">
        <w:t>, authorized under</w:t>
      </w:r>
      <w:r w:rsidR="00A74646">
        <w:t xml:space="preserve"> </w:t>
      </w:r>
      <w:r w:rsidR="00912AFB">
        <w:t>20</w:t>
      </w:r>
      <w:r w:rsidR="00A74646">
        <w:t xml:space="preserve"> U.S.C. </w:t>
      </w:r>
      <w:r w:rsidR="00912AFB">
        <w:t xml:space="preserve">1135, </w:t>
      </w:r>
      <w:r w:rsidRPr="00694AED">
        <w:t>provides grants to departments and programs of higher education to support graduate fellowships for students of superior ability who demonstrate financial need.  The authorizing statute for GAANN (Title VII, Part A</w:t>
      </w:r>
      <w:r w:rsidR="00E41278">
        <w:t xml:space="preserve">, </w:t>
      </w:r>
      <w:r w:rsidR="00E41278" w:rsidRPr="00912AFB">
        <w:t>Subpart 2</w:t>
      </w:r>
      <w:r w:rsidRPr="00694AED">
        <w:t xml:space="preserve"> of the Higher Education Act of 1965, as amended) requires the collection of specific data that are necessary for applicant institutions to receive an initial competitive grant</w:t>
      </w:r>
      <w:r w:rsidR="00B51DA1" w:rsidRPr="00694AED">
        <w:t xml:space="preserve"> and non-competing continuation</w:t>
      </w:r>
      <w:r w:rsidRPr="00694AED">
        <w:t xml:space="preserve"> grants for the second and third years.  The current application (OMB #1840-0604) </w:t>
      </w:r>
      <w:r w:rsidR="003D2F21" w:rsidRPr="00694AED">
        <w:t>will expire</w:t>
      </w:r>
      <w:r w:rsidRPr="00694AED">
        <w:t xml:space="preserve"> on </w:t>
      </w:r>
      <w:r w:rsidR="003D2F21" w:rsidRPr="00694AED">
        <w:t>August 31, 2011</w:t>
      </w:r>
      <w:r w:rsidRPr="00694AED">
        <w:t xml:space="preserve">.  The Department of Education is now </w:t>
      </w:r>
      <w:r w:rsidR="003D2F21" w:rsidRPr="00694AED">
        <w:t>requesting an extension of</w:t>
      </w:r>
      <w:r w:rsidRPr="00694AED">
        <w:t xml:space="preserve"> this collection package to collect data under</w:t>
      </w:r>
      <w:r w:rsidR="002F11B3">
        <w:t xml:space="preserve"> 34 CFR</w:t>
      </w:r>
      <w:r w:rsidRPr="00694AED">
        <w:t xml:space="preserve"> Sec</w:t>
      </w:r>
      <w:r w:rsidR="00582439">
        <w:t>tions</w:t>
      </w:r>
      <w:r w:rsidRPr="00694AED">
        <w:t xml:space="preserve"> 648.20, 648.31, and 648.66.</w:t>
      </w:r>
      <w:r w:rsidR="00E41278">
        <w:t xml:space="preserve"> </w:t>
      </w:r>
    </w:p>
    <w:p w:rsidR="00694AED" w:rsidRDefault="00694AED">
      <w:pPr>
        <w:numPr>
          <w:ilvl w:val="0"/>
          <w:numId w:val="3"/>
        </w:numPr>
      </w:pPr>
      <w:r w:rsidRPr="00694AED">
        <w:t>Indicate how, by whom, and for what purpose the information is to be used.  Except for a new collection, indicate the actual use the agency has made of the information recei</w:t>
      </w:r>
      <w:r>
        <w:t>ved from the current collection.</w:t>
      </w:r>
    </w:p>
    <w:p w:rsidR="00694AED" w:rsidRPr="00694AED" w:rsidRDefault="00694AED" w:rsidP="00694AED">
      <w:pPr>
        <w:ind w:left="720"/>
      </w:pPr>
    </w:p>
    <w:p w:rsidR="00212439" w:rsidRPr="00694AED" w:rsidRDefault="00C90F69" w:rsidP="00694AED">
      <w:pPr>
        <w:ind w:left="720"/>
      </w:pPr>
      <w:r w:rsidRPr="00694AED">
        <w:t>The Department uses the data collected in the Application for New Grants to evaluate, score, and rank the quality of the projects proposed by the institutions of higher education applying for a grant.  Data are also used to determine allowable multi-year project expenses based on statutory requirements, and to recommend funding levels for the proposed grants.  If the data are not collected, the Department could not determine the quality of competing applications, which is the basis for making grant awards as required by the statute.</w:t>
      </w:r>
    </w:p>
    <w:p w:rsidR="00212439" w:rsidRPr="00694AED" w:rsidRDefault="00212439"/>
    <w:p w:rsidR="00694AED" w:rsidRPr="00694AED" w:rsidRDefault="00694AED" w:rsidP="00694AED">
      <w:pPr>
        <w:pStyle w:val="ListParagraph"/>
        <w:numPr>
          <w:ilvl w:val="0"/>
          <w:numId w:val="3"/>
        </w:numPr>
        <w:tabs>
          <w:tab w:val="left" w:pos="-720"/>
        </w:tabs>
        <w:suppressAutoHyphens/>
      </w:pPr>
      <w:r w:rsidRPr="00694AED">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94AED" w:rsidRPr="00694AED" w:rsidRDefault="00694AED" w:rsidP="00694AED">
      <w:pPr>
        <w:pStyle w:val="ListParagraph"/>
        <w:tabs>
          <w:tab w:val="left" w:pos="-720"/>
        </w:tabs>
        <w:suppressAutoHyphens/>
      </w:pPr>
    </w:p>
    <w:p w:rsidR="00212439" w:rsidRPr="00694AED" w:rsidRDefault="00C90F69" w:rsidP="00694AED">
      <w:pPr>
        <w:ind w:left="720"/>
      </w:pPr>
      <w:r w:rsidRPr="00694AED">
        <w:t xml:space="preserve">The GAANN program participates in the Grants.gov application submission process. The GAANN application is available only through Grants.gov. Through Grants.gov, applicants are able to build and submit their proposals offline and then submit them electronically.  </w:t>
      </w:r>
    </w:p>
    <w:p w:rsidR="00212439" w:rsidRPr="00694AED" w:rsidRDefault="00212439"/>
    <w:p w:rsidR="00694AED" w:rsidRDefault="00694AED" w:rsidP="00694AED">
      <w:pPr>
        <w:pStyle w:val="ListParagraph"/>
        <w:numPr>
          <w:ilvl w:val="0"/>
          <w:numId w:val="3"/>
        </w:numPr>
        <w:tabs>
          <w:tab w:val="left" w:pos="-720"/>
        </w:tabs>
        <w:suppressAutoHyphens/>
      </w:pPr>
      <w:r w:rsidRPr="00694AED">
        <w:t>Describe efforts to identify duplication.  Show specifically why any similar information already available cannot be used or modified for use for the purposes described in Item 2 above.</w:t>
      </w:r>
    </w:p>
    <w:p w:rsidR="00694AED" w:rsidRPr="00694AED" w:rsidRDefault="00694AED" w:rsidP="00694AED">
      <w:pPr>
        <w:pStyle w:val="ListParagraph"/>
        <w:tabs>
          <w:tab w:val="left" w:pos="-720"/>
        </w:tabs>
        <w:suppressAutoHyphens/>
      </w:pPr>
    </w:p>
    <w:p w:rsidR="00212439" w:rsidRPr="00694AED" w:rsidRDefault="00C90F69" w:rsidP="00694AED">
      <w:pPr>
        <w:ind w:left="720"/>
      </w:pPr>
      <w:r w:rsidRPr="00694AED">
        <w:t>Since the information submitted in the application is specific to the GAANN program, there is no duplication.  There is no other collection instrument available to collect the information necessary to meet the purposes described in item 2 above.</w:t>
      </w:r>
    </w:p>
    <w:p w:rsidR="00212439" w:rsidRPr="00694AED" w:rsidRDefault="00212439"/>
    <w:p w:rsidR="00694AED" w:rsidRDefault="00694AED">
      <w:pPr>
        <w:numPr>
          <w:ilvl w:val="0"/>
          <w:numId w:val="3"/>
        </w:numPr>
      </w:pPr>
      <w:r w:rsidRPr="00694AED">
        <w:t>If the collection of information impacts small businesses or other small entities (Item 8b of IC Data Part 2), describe any methods used to minimize burden.</w:t>
      </w:r>
    </w:p>
    <w:p w:rsidR="00694AED" w:rsidRPr="00694AED" w:rsidRDefault="00694AED" w:rsidP="00694AED">
      <w:pPr>
        <w:ind w:left="720"/>
      </w:pPr>
    </w:p>
    <w:p w:rsidR="00212439" w:rsidRPr="00694AED" w:rsidRDefault="00C90F69" w:rsidP="00694AED">
      <w:pPr>
        <w:ind w:left="720"/>
      </w:pPr>
      <w:r w:rsidRPr="00694AED">
        <w:t>Institutions of higher education are the sole recipients of GAANN grants.  There is no impact on small businesses or small entities.</w:t>
      </w:r>
    </w:p>
    <w:p w:rsidR="00212439" w:rsidRPr="00694AED" w:rsidRDefault="00212439"/>
    <w:p w:rsidR="00694AED" w:rsidRDefault="00694AED">
      <w:pPr>
        <w:numPr>
          <w:ilvl w:val="0"/>
          <w:numId w:val="3"/>
        </w:numPr>
      </w:pPr>
      <w:r w:rsidRPr="00694AED">
        <w:t>Describe the consequences to Federal program or policy activities if the collection is not conducted or is conducted less frequently, as well as any technical or leg</w:t>
      </w:r>
      <w:r>
        <w:t>al obstacles to reducing burden.</w:t>
      </w:r>
    </w:p>
    <w:p w:rsidR="00694AED" w:rsidRPr="00694AED" w:rsidRDefault="00694AED" w:rsidP="00694AED">
      <w:pPr>
        <w:ind w:left="720"/>
      </w:pPr>
    </w:p>
    <w:p w:rsidR="00694AED" w:rsidRPr="00694AED" w:rsidRDefault="00C90F69" w:rsidP="00694AED">
      <w:pPr>
        <w:ind w:left="720"/>
      </w:pPr>
      <w:r w:rsidRPr="00694AED">
        <w:t>Grants awarded under this program are made annually and the data must be collected for each new competition cycle.  Failure to collect this information would prohibit the Department from fulfilling its responsibility to award grants under this program.</w:t>
      </w:r>
    </w:p>
    <w:p w:rsidR="00694AED" w:rsidRPr="00694AED" w:rsidRDefault="00694AED" w:rsidP="00694AED">
      <w:pPr>
        <w:ind w:left="720"/>
      </w:pPr>
    </w:p>
    <w:p w:rsidR="00694AED" w:rsidRPr="00694AED" w:rsidRDefault="00694AED" w:rsidP="00694AED">
      <w:pPr>
        <w:pStyle w:val="ListParagraph"/>
        <w:numPr>
          <w:ilvl w:val="0"/>
          <w:numId w:val="3"/>
        </w:numPr>
      </w:pPr>
      <w:r w:rsidRPr="00694AED">
        <w:t>Explain any special circumstances that would cause an information collection to be conducted in a manner:</w:t>
      </w:r>
    </w:p>
    <w:p w:rsidR="00694AED" w:rsidRPr="00694AED" w:rsidRDefault="00694AED" w:rsidP="00FF5A04">
      <w:pPr>
        <w:tabs>
          <w:tab w:val="left" w:pos="-720"/>
        </w:tabs>
        <w:suppressAutoHyphens/>
        <w:ind w:left="1080" w:hanging="360"/>
        <w:rPr>
          <w:b/>
        </w:rPr>
      </w:pPr>
    </w:p>
    <w:p w:rsidR="00694AED" w:rsidRPr="00694AED" w:rsidRDefault="00694AED" w:rsidP="00FF5A04">
      <w:pPr>
        <w:numPr>
          <w:ilvl w:val="0"/>
          <w:numId w:val="5"/>
        </w:numPr>
        <w:tabs>
          <w:tab w:val="left" w:pos="-720"/>
          <w:tab w:val="left" w:pos="1247"/>
        </w:tabs>
        <w:suppressAutoHyphens/>
        <w:ind w:left="1080"/>
      </w:pPr>
      <w:r w:rsidRPr="00694AED">
        <w:t>requiring respondents to report information to the agency more often than quarterly;</w:t>
      </w:r>
    </w:p>
    <w:p w:rsidR="00694AED" w:rsidRPr="00694AED" w:rsidRDefault="00694AED" w:rsidP="00FF5A04">
      <w:pPr>
        <w:numPr>
          <w:ilvl w:val="0"/>
          <w:numId w:val="5"/>
        </w:numPr>
        <w:tabs>
          <w:tab w:val="left" w:pos="-720"/>
          <w:tab w:val="left" w:pos="1247"/>
        </w:tabs>
        <w:suppressAutoHyphens/>
        <w:ind w:left="1080"/>
      </w:pPr>
      <w:r w:rsidRPr="00694AED">
        <w:t>requiring respondents to prepare a written response to a collection of information in fewer than 30 days after receipt of it;</w:t>
      </w:r>
    </w:p>
    <w:p w:rsidR="00694AED" w:rsidRPr="00694AED" w:rsidRDefault="00694AED" w:rsidP="00FF5A04">
      <w:pPr>
        <w:numPr>
          <w:ilvl w:val="0"/>
          <w:numId w:val="5"/>
        </w:numPr>
        <w:tabs>
          <w:tab w:val="left" w:pos="-720"/>
          <w:tab w:val="left" w:pos="1247"/>
        </w:tabs>
        <w:suppressAutoHyphens/>
        <w:ind w:left="1080"/>
      </w:pPr>
      <w:r w:rsidRPr="00694AED">
        <w:t>requiring respondents to submit more than an original and two copies of any document;</w:t>
      </w:r>
    </w:p>
    <w:p w:rsidR="00694AED" w:rsidRPr="00694AED" w:rsidRDefault="00694AED" w:rsidP="00FF5A04">
      <w:pPr>
        <w:numPr>
          <w:ilvl w:val="0"/>
          <w:numId w:val="5"/>
        </w:numPr>
        <w:tabs>
          <w:tab w:val="left" w:pos="-720"/>
          <w:tab w:val="left" w:pos="1247"/>
        </w:tabs>
        <w:suppressAutoHyphens/>
        <w:ind w:left="1080"/>
      </w:pPr>
      <w:r w:rsidRPr="00694AED">
        <w:t>requiring respondents to retain records, other than health, medical, government contract, grant-in-aid, or tax records for more than three years;</w:t>
      </w:r>
    </w:p>
    <w:p w:rsidR="00694AED" w:rsidRPr="00694AED" w:rsidRDefault="00694AED" w:rsidP="00FF5A04">
      <w:pPr>
        <w:numPr>
          <w:ilvl w:val="0"/>
          <w:numId w:val="5"/>
        </w:numPr>
        <w:tabs>
          <w:tab w:val="left" w:pos="-720"/>
          <w:tab w:val="left" w:pos="1247"/>
        </w:tabs>
        <w:suppressAutoHyphens/>
        <w:ind w:left="1080"/>
      </w:pPr>
      <w:r w:rsidRPr="00694AED">
        <w:t>in connection with a statistical survey, that is not designed to produce valid and reliable results than can be generalized to the universe of study;</w:t>
      </w:r>
    </w:p>
    <w:p w:rsidR="00694AED" w:rsidRPr="00694AED" w:rsidRDefault="00694AED" w:rsidP="00FF5A04">
      <w:pPr>
        <w:numPr>
          <w:ilvl w:val="0"/>
          <w:numId w:val="5"/>
        </w:numPr>
        <w:tabs>
          <w:tab w:val="left" w:pos="-720"/>
          <w:tab w:val="left" w:pos="1247"/>
        </w:tabs>
        <w:suppressAutoHyphens/>
        <w:ind w:left="1080"/>
      </w:pPr>
      <w:r w:rsidRPr="00694AED">
        <w:t>requiring the use of a statistical data classification that has not been reviewed and approved by OMB;</w:t>
      </w:r>
    </w:p>
    <w:p w:rsidR="00694AED" w:rsidRDefault="00694AED" w:rsidP="00FF5A04">
      <w:pPr>
        <w:numPr>
          <w:ilvl w:val="0"/>
          <w:numId w:val="5"/>
        </w:numPr>
        <w:tabs>
          <w:tab w:val="left" w:pos="-720"/>
          <w:tab w:val="left" w:pos="1247"/>
        </w:tabs>
        <w:suppressAutoHyphens/>
        <w:ind w:left="1080"/>
      </w:pPr>
      <w:r w:rsidRPr="00694AED">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r>
        <w:t xml:space="preserve"> </w:t>
      </w:r>
    </w:p>
    <w:p w:rsidR="00694AED" w:rsidRPr="00694AED" w:rsidRDefault="00694AED" w:rsidP="00FF5A04">
      <w:pPr>
        <w:numPr>
          <w:ilvl w:val="0"/>
          <w:numId w:val="5"/>
        </w:numPr>
        <w:tabs>
          <w:tab w:val="left" w:pos="-720"/>
          <w:tab w:val="left" w:pos="1247"/>
        </w:tabs>
        <w:suppressAutoHyphens/>
        <w:ind w:left="1080"/>
      </w:pPr>
      <w:proofErr w:type="gramStart"/>
      <w:r w:rsidRPr="00694AED">
        <w:t>requiring</w:t>
      </w:r>
      <w:proofErr w:type="gramEnd"/>
      <w:r w:rsidRPr="00694AED">
        <w:t xml:space="preserve"> respondents to submit proprietary trade secrets, or other confidential information unless the agency can demonstrate that it has instituted procedures to protect the information’s confidentiality to the extent permitted by law.</w:t>
      </w:r>
    </w:p>
    <w:p w:rsidR="00694AED" w:rsidRPr="00694AED" w:rsidRDefault="00694AED" w:rsidP="00694AED">
      <w:pPr>
        <w:ind w:left="720"/>
      </w:pPr>
    </w:p>
    <w:p w:rsidR="00212439" w:rsidRPr="00694AED" w:rsidRDefault="00C90F69" w:rsidP="00694AED">
      <w:pPr>
        <w:ind w:left="720"/>
      </w:pPr>
      <w:r w:rsidRPr="00694AED">
        <w:t>There are no special circumstances included in this information collection.</w:t>
      </w:r>
    </w:p>
    <w:p w:rsidR="00212439" w:rsidRPr="00694AED" w:rsidRDefault="00212439"/>
    <w:p w:rsidR="00694AED" w:rsidRPr="00694AED" w:rsidRDefault="00694AED" w:rsidP="00FF5A04">
      <w:pPr>
        <w:numPr>
          <w:ilvl w:val="0"/>
          <w:numId w:val="7"/>
        </w:numPr>
        <w:tabs>
          <w:tab w:val="left" w:pos="-720"/>
          <w:tab w:val="left" w:pos="720"/>
        </w:tabs>
        <w:suppressAutoHyphens/>
        <w:ind w:left="720"/>
      </w:pPr>
      <w:r w:rsidRPr="00694AED">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4AED" w:rsidRDefault="00694AED" w:rsidP="00E92CCE">
      <w:pPr>
        <w:tabs>
          <w:tab w:val="left" w:pos="-720"/>
        </w:tabs>
        <w:suppressAutoHyphens/>
        <w:ind w:left="720"/>
        <w:rPr>
          <w:rStyle w:val="a"/>
          <w:b/>
        </w:rPr>
      </w:pPr>
    </w:p>
    <w:p w:rsidR="00E92CCE" w:rsidRPr="00E92CCE" w:rsidRDefault="00E92CCE" w:rsidP="00E92CCE">
      <w:pPr>
        <w:tabs>
          <w:tab w:val="left" w:pos="-720"/>
        </w:tabs>
        <w:suppressAutoHyphens/>
        <w:ind w:left="720"/>
        <w:rPr>
          <w:rStyle w:val="a"/>
        </w:rPr>
      </w:pPr>
      <w:r>
        <w:rPr>
          <w:rStyle w:val="a"/>
        </w:rPr>
        <w:t>We published the applicable Federal Register Notices seeking public comment.</w:t>
      </w:r>
    </w:p>
    <w:p w:rsidR="00E92CCE" w:rsidRPr="00694AED" w:rsidRDefault="00E92CCE" w:rsidP="00694AED">
      <w:pPr>
        <w:tabs>
          <w:tab w:val="left" w:pos="-720"/>
        </w:tabs>
        <w:suppressAutoHyphens/>
        <w:rPr>
          <w:rStyle w:val="a"/>
          <w:b/>
        </w:rPr>
      </w:pPr>
      <w:r>
        <w:rPr>
          <w:rStyle w:val="a"/>
          <w:b/>
        </w:rPr>
        <w:tab/>
      </w:r>
    </w:p>
    <w:p w:rsidR="00694AED" w:rsidRPr="00694AED" w:rsidRDefault="00694AED" w:rsidP="00FF5A04">
      <w:pPr>
        <w:tabs>
          <w:tab w:val="left" w:pos="-720"/>
          <w:tab w:val="left" w:pos="720"/>
        </w:tabs>
        <w:suppressAutoHyphens/>
        <w:ind w:left="720"/>
        <w:rPr>
          <w:rStyle w:val="a"/>
        </w:rPr>
      </w:pPr>
      <w:r w:rsidRPr="00694AED">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94AED" w:rsidRPr="00694AED" w:rsidRDefault="00694AED" w:rsidP="00694AED">
      <w:pPr>
        <w:tabs>
          <w:tab w:val="left" w:pos="-720"/>
        </w:tabs>
        <w:suppressAutoHyphens/>
        <w:rPr>
          <w:rStyle w:val="a"/>
        </w:rPr>
      </w:pPr>
    </w:p>
    <w:p w:rsidR="00694AED" w:rsidRPr="00694AED" w:rsidRDefault="00694AED" w:rsidP="00FF5A04">
      <w:pPr>
        <w:ind w:left="720"/>
        <w:rPr>
          <w:rStyle w:val="a"/>
        </w:rPr>
      </w:pPr>
      <w:r w:rsidRPr="00694AED">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Style w:val="a"/>
        </w:rPr>
        <w:t>.</w:t>
      </w:r>
    </w:p>
    <w:p w:rsidR="00694AED" w:rsidRPr="00694AED" w:rsidRDefault="00694AED" w:rsidP="00FF5A04">
      <w:pPr>
        <w:ind w:left="720"/>
        <w:rPr>
          <w:rStyle w:val="a"/>
        </w:rPr>
      </w:pPr>
    </w:p>
    <w:p w:rsidR="00212439" w:rsidRPr="00694AED" w:rsidRDefault="00C90F69" w:rsidP="00FF5A04">
      <w:pPr>
        <w:ind w:left="720"/>
      </w:pPr>
      <w:r w:rsidRPr="00B35F4A">
        <w:t>Collection of this data will follow the guidelines under 5 CFR 1320.8.</w:t>
      </w:r>
      <w:r w:rsidR="00E92CCE" w:rsidRPr="00B35F4A">
        <w:t xml:space="preserve"> GAANN grantees were consulted through email, phone and the project director meeting. No changes are necessary based their comments.</w:t>
      </w:r>
      <w:r w:rsidR="00E92CCE">
        <w:t xml:space="preserve"> </w:t>
      </w:r>
    </w:p>
    <w:p w:rsidR="00212439" w:rsidRPr="00694AED" w:rsidRDefault="00E92CCE">
      <w:r>
        <w:t xml:space="preserve"> </w:t>
      </w:r>
    </w:p>
    <w:p w:rsidR="00694AED" w:rsidRDefault="00694AED" w:rsidP="00FF5A04">
      <w:pPr>
        <w:pStyle w:val="ListParagraph"/>
        <w:numPr>
          <w:ilvl w:val="0"/>
          <w:numId w:val="7"/>
        </w:numPr>
        <w:ind w:left="720" w:hanging="360"/>
        <w:rPr>
          <w:rStyle w:val="a"/>
        </w:rPr>
      </w:pPr>
      <w:r w:rsidRPr="00694AED">
        <w:rPr>
          <w:rStyle w:val="a"/>
        </w:rPr>
        <w:t>Explain any decision to provide any payment or gift to respondents, other than remuneration of contractors or grantees.</w:t>
      </w:r>
    </w:p>
    <w:p w:rsidR="00694AED" w:rsidRPr="00694AED" w:rsidRDefault="00694AED" w:rsidP="00694AED">
      <w:pPr>
        <w:pStyle w:val="ListParagraph"/>
        <w:ind w:left="375"/>
        <w:rPr>
          <w:rStyle w:val="a"/>
        </w:rPr>
      </w:pPr>
    </w:p>
    <w:p w:rsidR="00212439" w:rsidRPr="00694AED" w:rsidRDefault="00C90F69" w:rsidP="00FF5A04">
      <w:pPr>
        <w:pStyle w:val="ListParagraph"/>
        <w:ind w:left="375" w:firstLine="345"/>
      </w:pPr>
      <w:r w:rsidRPr="00694AED">
        <w:t>The Department will not provide any payment or gifts to respondents.</w:t>
      </w:r>
    </w:p>
    <w:p w:rsidR="00212439" w:rsidRPr="00694AED" w:rsidRDefault="00212439"/>
    <w:p w:rsidR="00694AED" w:rsidRDefault="00694AED" w:rsidP="00FF5A04">
      <w:pPr>
        <w:numPr>
          <w:ilvl w:val="0"/>
          <w:numId w:val="7"/>
        </w:numPr>
        <w:ind w:left="720" w:hanging="360"/>
      </w:pPr>
      <w:r w:rsidRPr="00694AED">
        <w:t>Describe any assurance of confidentiality provided to respondents and the basis for the assurance in statute, regulation, or agency policy.</w:t>
      </w:r>
    </w:p>
    <w:p w:rsidR="00694AED" w:rsidRPr="00694AED" w:rsidRDefault="00694AED" w:rsidP="00694AED">
      <w:pPr>
        <w:ind w:left="375"/>
      </w:pPr>
    </w:p>
    <w:p w:rsidR="00212439" w:rsidRPr="00694AED" w:rsidRDefault="007D23DA" w:rsidP="00FF5A04">
      <w:pPr>
        <w:ind w:left="720"/>
      </w:pPr>
      <w:r>
        <w:t>There are no assurances of confidentiality provided</w:t>
      </w:r>
      <w:r w:rsidR="00C90F69" w:rsidRPr="00694AED">
        <w:t>.</w:t>
      </w:r>
    </w:p>
    <w:p w:rsidR="00212439" w:rsidRPr="00694AED" w:rsidRDefault="00212439"/>
    <w:p w:rsidR="00694AED" w:rsidRPr="00694AED" w:rsidRDefault="00694AED" w:rsidP="00FF5A04">
      <w:pPr>
        <w:numPr>
          <w:ilvl w:val="0"/>
          <w:numId w:val="7"/>
        </w:numPr>
        <w:ind w:left="720" w:hanging="360"/>
      </w:pPr>
      <w:r w:rsidRPr="00694AED">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4AED" w:rsidRPr="00694AED" w:rsidRDefault="00694AED" w:rsidP="00FF5A04">
      <w:pPr>
        <w:ind w:left="720" w:hanging="360"/>
      </w:pPr>
    </w:p>
    <w:p w:rsidR="00212439" w:rsidRPr="00694AED" w:rsidRDefault="00C90F69" w:rsidP="00FF5A04">
      <w:pPr>
        <w:ind w:left="720"/>
      </w:pPr>
      <w:r w:rsidRPr="00694AED">
        <w:t>The application form does not include questions about sexual behavior and attitudes, religious beliefs, or other items that are commonly considered sensitive and private.</w:t>
      </w:r>
    </w:p>
    <w:p w:rsidR="00212439" w:rsidRPr="00694AED" w:rsidRDefault="00212439"/>
    <w:p w:rsidR="00582439" w:rsidRDefault="00582439">
      <w:pPr>
        <w:rPr>
          <w:rStyle w:val="a"/>
        </w:rPr>
      </w:pPr>
      <w:r>
        <w:rPr>
          <w:rStyle w:val="a"/>
        </w:rPr>
        <w:br w:type="page"/>
      </w:r>
    </w:p>
    <w:p w:rsidR="00694AED" w:rsidRPr="00694AED" w:rsidRDefault="00694AED" w:rsidP="00FF5A04">
      <w:pPr>
        <w:pStyle w:val="ListParagraph"/>
        <w:numPr>
          <w:ilvl w:val="0"/>
          <w:numId w:val="7"/>
        </w:numPr>
        <w:tabs>
          <w:tab w:val="left" w:pos="-720"/>
        </w:tabs>
        <w:suppressAutoHyphens/>
        <w:ind w:left="720" w:hanging="360"/>
        <w:rPr>
          <w:rStyle w:val="a"/>
        </w:rPr>
      </w:pPr>
      <w:r w:rsidRPr="00694AED">
        <w:rPr>
          <w:rStyle w:val="a"/>
        </w:rPr>
        <w:lastRenderedPageBreak/>
        <w:t>Provide estimates of the hour burden of the collection of information.  The statement should :</w:t>
      </w:r>
    </w:p>
    <w:p w:rsidR="00694AED" w:rsidRPr="00694AED" w:rsidRDefault="00694AED" w:rsidP="00694AED">
      <w:pPr>
        <w:tabs>
          <w:tab w:val="left" w:pos="-720"/>
        </w:tabs>
        <w:suppressAutoHyphens/>
        <w:rPr>
          <w:rStyle w:val="a"/>
        </w:rPr>
      </w:pPr>
    </w:p>
    <w:p w:rsidR="00694AED" w:rsidRPr="00694AED" w:rsidRDefault="00694AED" w:rsidP="00694AED">
      <w:pPr>
        <w:numPr>
          <w:ilvl w:val="0"/>
          <w:numId w:val="8"/>
        </w:numPr>
        <w:tabs>
          <w:tab w:val="left" w:pos="-720"/>
          <w:tab w:val="left" w:pos="1247"/>
        </w:tabs>
        <w:suppressAutoHyphens/>
        <w:rPr>
          <w:rStyle w:val="a"/>
        </w:rPr>
      </w:pPr>
      <w:r w:rsidRPr="00694AED">
        <w:rPr>
          <w:rStyle w:val="a"/>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94AED" w:rsidRDefault="00694AED" w:rsidP="00694AED">
      <w:pPr>
        <w:numPr>
          <w:ilvl w:val="0"/>
          <w:numId w:val="8"/>
        </w:numPr>
        <w:tabs>
          <w:tab w:val="left" w:pos="-720"/>
          <w:tab w:val="left" w:pos="1247"/>
        </w:tabs>
        <w:suppressAutoHyphens/>
        <w:ind w:left="1080"/>
        <w:rPr>
          <w:rStyle w:val="a"/>
        </w:rPr>
      </w:pPr>
      <w:r w:rsidRPr="00694AED">
        <w:rPr>
          <w:rStyle w:val="a"/>
        </w:rPr>
        <w:t>If this request for approval covers more than one form, provide separate hour burden estimates for each form and aggregate the hour burdens in item 16 of IC Data Part 1.</w:t>
      </w:r>
    </w:p>
    <w:p w:rsidR="00694AED" w:rsidRPr="00694AED" w:rsidRDefault="00694AED" w:rsidP="00694AED">
      <w:pPr>
        <w:numPr>
          <w:ilvl w:val="0"/>
          <w:numId w:val="8"/>
        </w:numPr>
        <w:tabs>
          <w:tab w:val="left" w:pos="-720"/>
          <w:tab w:val="left" w:pos="1247"/>
        </w:tabs>
        <w:suppressAutoHyphens/>
        <w:ind w:left="1080"/>
        <w:rPr>
          <w:rStyle w:val="a"/>
        </w:rPr>
      </w:pPr>
      <w:r w:rsidRPr="00694AED">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Pr>
          <w:rStyle w:val="a"/>
        </w:rPr>
        <w:t>14.</w:t>
      </w:r>
    </w:p>
    <w:p w:rsidR="00694AED" w:rsidRPr="00694AED" w:rsidRDefault="00694AED" w:rsidP="00694AED">
      <w:pPr>
        <w:ind w:left="375"/>
        <w:rPr>
          <w:rStyle w:val="a"/>
        </w:rPr>
      </w:pPr>
    </w:p>
    <w:p w:rsidR="00212439" w:rsidRPr="00694AED" w:rsidRDefault="00C90F69" w:rsidP="00694AED">
      <w:pPr>
        <w:ind w:left="720"/>
      </w:pPr>
      <w:r w:rsidRPr="00694AED">
        <w:t>The estimated total reporting burden for this data collection is 13,432 hours.  This includes a total of 325 respondents</w:t>
      </w:r>
      <w:r w:rsidR="00941B95">
        <w:t xml:space="preserve"> (</w:t>
      </w:r>
      <w:r w:rsidR="00E92CCE">
        <w:t>227 public universities and 98 private universities)</w:t>
      </w:r>
      <w:r w:rsidRPr="00694AED">
        <w:t xml:space="preserve">, each with an estimated response time of 41.33 hours.  </w:t>
      </w:r>
    </w:p>
    <w:p w:rsidR="00212439" w:rsidRPr="00694AED" w:rsidRDefault="00212439"/>
    <w:tbl>
      <w:tblPr>
        <w:tblStyle w:val="TableGrid"/>
        <w:tblW w:w="0" w:type="auto"/>
        <w:tblInd w:w="1440" w:type="dxa"/>
        <w:tblLook w:val="04A0"/>
      </w:tblPr>
      <w:tblGrid>
        <w:gridCol w:w="3708"/>
        <w:gridCol w:w="2070"/>
        <w:gridCol w:w="2358"/>
      </w:tblGrid>
      <w:tr w:rsidR="00E92CCE" w:rsidTr="00E92CCE">
        <w:tc>
          <w:tcPr>
            <w:tcW w:w="3708" w:type="dxa"/>
          </w:tcPr>
          <w:p w:rsidR="00E92CCE" w:rsidRPr="00694AED" w:rsidRDefault="00E92CCE"/>
        </w:tc>
        <w:tc>
          <w:tcPr>
            <w:tcW w:w="2070" w:type="dxa"/>
          </w:tcPr>
          <w:p w:rsidR="00E92CCE" w:rsidRDefault="00E92CCE">
            <w:r>
              <w:t>Public Universities</w:t>
            </w:r>
          </w:p>
        </w:tc>
        <w:tc>
          <w:tcPr>
            <w:tcW w:w="2358" w:type="dxa"/>
          </w:tcPr>
          <w:p w:rsidR="00E92CCE" w:rsidRDefault="00E92CCE">
            <w:r>
              <w:t>Private Universities</w:t>
            </w:r>
          </w:p>
        </w:tc>
      </w:tr>
      <w:tr w:rsidR="00E92CCE" w:rsidTr="00E92CCE">
        <w:tc>
          <w:tcPr>
            <w:tcW w:w="3708" w:type="dxa"/>
          </w:tcPr>
          <w:p w:rsidR="00E92CCE" w:rsidRDefault="00E92CCE">
            <w:r w:rsidRPr="00694AED">
              <w:t>Estimated number of respondents</w:t>
            </w:r>
          </w:p>
        </w:tc>
        <w:tc>
          <w:tcPr>
            <w:tcW w:w="2070" w:type="dxa"/>
          </w:tcPr>
          <w:p w:rsidR="00E92CCE" w:rsidRDefault="00E92CCE">
            <w:r>
              <w:t>227</w:t>
            </w:r>
          </w:p>
        </w:tc>
        <w:tc>
          <w:tcPr>
            <w:tcW w:w="2358" w:type="dxa"/>
          </w:tcPr>
          <w:p w:rsidR="00E92CCE" w:rsidRDefault="00E92CCE">
            <w:r>
              <w:t>98</w:t>
            </w:r>
          </w:p>
        </w:tc>
      </w:tr>
      <w:tr w:rsidR="00E92CCE" w:rsidTr="00E92CCE">
        <w:tc>
          <w:tcPr>
            <w:tcW w:w="3708" w:type="dxa"/>
          </w:tcPr>
          <w:p w:rsidR="00E92CCE" w:rsidRDefault="00E92CCE">
            <w:r w:rsidRPr="00694AED">
              <w:t>Estimated response time</w:t>
            </w:r>
          </w:p>
        </w:tc>
        <w:tc>
          <w:tcPr>
            <w:tcW w:w="2070" w:type="dxa"/>
          </w:tcPr>
          <w:p w:rsidR="00E92CCE" w:rsidRDefault="00E92CCE">
            <w:r>
              <w:t>41.33</w:t>
            </w:r>
          </w:p>
        </w:tc>
        <w:tc>
          <w:tcPr>
            <w:tcW w:w="2358" w:type="dxa"/>
          </w:tcPr>
          <w:p w:rsidR="00E92CCE" w:rsidRDefault="00E92CCE">
            <w:r>
              <w:t>41.33</w:t>
            </w:r>
          </w:p>
        </w:tc>
      </w:tr>
      <w:tr w:rsidR="00E92CCE" w:rsidTr="00E92CCE">
        <w:tc>
          <w:tcPr>
            <w:tcW w:w="3708" w:type="dxa"/>
          </w:tcPr>
          <w:p w:rsidR="00E92CCE" w:rsidRDefault="00E92CCE">
            <w:r w:rsidRPr="00694AED">
              <w:t>Frequency of collection</w:t>
            </w:r>
          </w:p>
        </w:tc>
        <w:tc>
          <w:tcPr>
            <w:tcW w:w="2070" w:type="dxa"/>
          </w:tcPr>
          <w:p w:rsidR="00E92CCE" w:rsidRDefault="00E92CCE">
            <w:r>
              <w:t>1 annually</w:t>
            </w:r>
          </w:p>
        </w:tc>
        <w:tc>
          <w:tcPr>
            <w:tcW w:w="2358" w:type="dxa"/>
          </w:tcPr>
          <w:p w:rsidR="00E92CCE" w:rsidRDefault="00E92CCE">
            <w:r>
              <w:t>1 annually</w:t>
            </w:r>
          </w:p>
        </w:tc>
      </w:tr>
      <w:tr w:rsidR="00E92CCE" w:rsidTr="00E92CCE">
        <w:tc>
          <w:tcPr>
            <w:tcW w:w="3708" w:type="dxa"/>
          </w:tcPr>
          <w:p w:rsidR="00E92CCE" w:rsidRDefault="00E92CCE">
            <w:r w:rsidRPr="00694AED">
              <w:t>Total estimated burden hours</w:t>
            </w:r>
          </w:p>
        </w:tc>
        <w:tc>
          <w:tcPr>
            <w:tcW w:w="2070" w:type="dxa"/>
          </w:tcPr>
          <w:p w:rsidR="00E92CCE" w:rsidRDefault="00E92CCE">
            <w:r>
              <w:t>9382</w:t>
            </w:r>
          </w:p>
        </w:tc>
        <w:tc>
          <w:tcPr>
            <w:tcW w:w="2358" w:type="dxa"/>
          </w:tcPr>
          <w:p w:rsidR="00E92CCE" w:rsidRDefault="00E92CCE">
            <w:r>
              <w:t>4050</w:t>
            </w:r>
          </w:p>
        </w:tc>
      </w:tr>
    </w:tbl>
    <w:p w:rsidR="00E92CCE" w:rsidRDefault="00E92CCE">
      <w:pPr>
        <w:ind w:left="1440"/>
      </w:pPr>
    </w:p>
    <w:p w:rsidR="00212439" w:rsidRPr="00694AED" w:rsidRDefault="00C90F69">
      <w:pPr>
        <w:ind w:left="720"/>
      </w:pPr>
      <w:r w:rsidRPr="00694AED">
        <w:t>The burden to each individual respondent, established at 41.33 hours, is based on feedback from respondents during previous competitions.</w:t>
      </w:r>
    </w:p>
    <w:p w:rsidR="00212439" w:rsidRPr="00694AED" w:rsidRDefault="00212439"/>
    <w:p w:rsidR="00212439" w:rsidRPr="00694AED" w:rsidRDefault="00C90F69">
      <w:pPr>
        <w:ind w:left="720"/>
      </w:pPr>
      <w:r w:rsidRPr="00694AED">
        <w:t>The estimated annual cost to a single respondent is as follows:</w:t>
      </w:r>
    </w:p>
    <w:p w:rsidR="00212439" w:rsidRDefault="00212439">
      <w:pPr>
        <w:ind w:left="720"/>
      </w:pPr>
    </w:p>
    <w:tbl>
      <w:tblPr>
        <w:tblStyle w:val="TableGrid"/>
        <w:tblW w:w="0" w:type="auto"/>
        <w:tblInd w:w="720" w:type="dxa"/>
        <w:tblLook w:val="04A0"/>
      </w:tblPr>
      <w:tblGrid>
        <w:gridCol w:w="4338"/>
        <w:gridCol w:w="2250"/>
        <w:gridCol w:w="2268"/>
      </w:tblGrid>
      <w:tr w:rsidR="00E92CCE" w:rsidTr="00415CDF">
        <w:tc>
          <w:tcPr>
            <w:tcW w:w="4338" w:type="dxa"/>
          </w:tcPr>
          <w:p w:rsidR="00E92CCE" w:rsidRDefault="00E92CCE"/>
        </w:tc>
        <w:tc>
          <w:tcPr>
            <w:tcW w:w="2250" w:type="dxa"/>
          </w:tcPr>
          <w:p w:rsidR="00E92CCE" w:rsidRDefault="00E92CCE">
            <w:r>
              <w:t>Public Universities</w:t>
            </w:r>
          </w:p>
        </w:tc>
        <w:tc>
          <w:tcPr>
            <w:tcW w:w="2268" w:type="dxa"/>
          </w:tcPr>
          <w:p w:rsidR="00E92CCE" w:rsidRDefault="00E92CCE">
            <w:r>
              <w:t>Private Universities</w:t>
            </w:r>
          </w:p>
        </w:tc>
      </w:tr>
      <w:tr w:rsidR="00E92CCE" w:rsidTr="00415CDF">
        <w:tc>
          <w:tcPr>
            <w:tcW w:w="4338" w:type="dxa"/>
          </w:tcPr>
          <w:p w:rsidR="00E92CCE" w:rsidRDefault="00415CDF" w:rsidP="00415CDF">
            <w:pPr>
              <w:ind w:left="720" w:hanging="720"/>
            </w:pPr>
            <w:r w:rsidRPr="00694AED">
              <w:t>Professional staff</w:t>
            </w:r>
            <w:r>
              <w:t xml:space="preserve"> </w:t>
            </w:r>
            <w:r w:rsidRPr="00694AED">
              <w:t>(35 hrs x $35 per hour)</w:t>
            </w:r>
          </w:p>
        </w:tc>
        <w:tc>
          <w:tcPr>
            <w:tcW w:w="2250" w:type="dxa"/>
          </w:tcPr>
          <w:p w:rsidR="00E92CCE" w:rsidRDefault="00415CDF">
            <w:r>
              <w:t>$1,225</w:t>
            </w:r>
          </w:p>
        </w:tc>
        <w:tc>
          <w:tcPr>
            <w:tcW w:w="2268" w:type="dxa"/>
          </w:tcPr>
          <w:p w:rsidR="00E92CCE" w:rsidRDefault="00415CDF">
            <w:r>
              <w:t>$1,225</w:t>
            </w:r>
          </w:p>
        </w:tc>
      </w:tr>
      <w:tr w:rsidR="00E92CCE" w:rsidTr="00415CDF">
        <w:tc>
          <w:tcPr>
            <w:tcW w:w="4338" w:type="dxa"/>
          </w:tcPr>
          <w:p w:rsidR="00E92CCE" w:rsidRDefault="00415CDF">
            <w:r>
              <w:t>Clerical staff (6.33 hrs x $10 per hour)</w:t>
            </w:r>
          </w:p>
        </w:tc>
        <w:tc>
          <w:tcPr>
            <w:tcW w:w="2250" w:type="dxa"/>
          </w:tcPr>
          <w:p w:rsidR="00E92CCE" w:rsidRDefault="00415CDF">
            <w:r>
              <w:t>$63.30</w:t>
            </w:r>
          </w:p>
        </w:tc>
        <w:tc>
          <w:tcPr>
            <w:tcW w:w="2268" w:type="dxa"/>
          </w:tcPr>
          <w:p w:rsidR="00E92CCE" w:rsidRDefault="00415CDF">
            <w:r>
              <w:t>$63.30</w:t>
            </w:r>
          </w:p>
        </w:tc>
      </w:tr>
      <w:tr w:rsidR="00E92CCE" w:rsidTr="00415CDF">
        <w:tc>
          <w:tcPr>
            <w:tcW w:w="4338" w:type="dxa"/>
          </w:tcPr>
          <w:p w:rsidR="00E92CCE" w:rsidRDefault="00415CDF">
            <w:r>
              <w:t>Total estimated cost per respondent</w:t>
            </w:r>
          </w:p>
        </w:tc>
        <w:tc>
          <w:tcPr>
            <w:tcW w:w="2250" w:type="dxa"/>
          </w:tcPr>
          <w:p w:rsidR="00E92CCE" w:rsidRDefault="00415CDF">
            <w:r>
              <w:t>$1,288.30</w:t>
            </w:r>
          </w:p>
        </w:tc>
        <w:tc>
          <w:tcPr>
            <w:tcW w:w="2268" w:type="dxa"/>
          </w:tcPr>
          <w:p w:rsidR="00E92CCE" w:rsidRDefault="00415CDF">
            <w:r>
              <w:t>$1,288.30</w:t>
            </w:r>
          </w:p>
        </w:tc>
      </w:tr>
      <w:tr w:rsidR="00E92CCE" w:rsidTr="00415CDF">
        <w:tc>
          <w:tcPr>
            <w:tcW w:w="4338" w:type="dxa"/>
          </w:tcPr>
          <w:p w:rsidR="00E92CCE" w:rsidRDefault="00415CDF" w:rsidP="00415CDF">
            <w:r>
              <w:t>Total estimated costs to all 325 respondents (227 public universities x $1,288.30) and (98 private universities x $1,288.30)</w:t>
            </w:r>
          </w:p>
        </w:tc>
        <w:tc>
          <w:tcPr>
            <w:tcW w:w="2250" w:type="dxa"/>
          </w:tcPr>
          <w:p w:rsidR="00E92CCE" w:rsidRDefault="00415CDF">
            <w:r>
              <w:t>$292,444.10</w:t>
            </w:r>
          </w:p>
        </w:tc>
        <w:tc>
          <w:tcPr>
            <w:tcW w:w="2268" w:type="dxa"/>
          </w:tcPr>
          <w:p w:rsidR="00E92CCE" w:rsidRDefault="00415CDF">
            <w:r>
              <w:t>$126,253.40</w:t>
            </w:r>
          </w:p>
        </w:tc>
      </w:tr>
    </w:tbl>
    <w:p w:rsidR="00212439" w:rsidRPr="00694AED" w:rsidRDefault="00212439">
      <w:pPr>
        <w:ind w:left="720"/>
      </w:pPr>
    </w:p>
    <w:p w:rsidR="00212439" w:rsidRPr="00694AED" w:rsidRDefault="00212439">
      <w:pPr>
        <w:ind w:left="720"/>
      </w:pPr>
    </w:p>
    <w:p w:rsidR="00694AED" w:rsidRPr="00694AED" w:rsidRDefault="00694AED" w:rsidP="00FF5A04">
      <w:pPr>
        <w:pStyle w:val="ListParagraph"/>
        <w:numPr>
          <w:ilvl w:val="0"/>
          <w:numId w:val="7"/>
        </w:numPr>
        <w:tabs>
          <w:tab w:val="left" w:pos="-720"/>
        </w:tabs>
        <w:suppressAutoHyphens/>
        <w:ind w:left="720" w:hanging="360"/>
      </w:pPr>
      <w:r w:rsidRPr="00694AED">
        <w:rPr>
          <w:rStyle w:val="a"/>
        </w:rPr>
        <w:lastRenderedPageBreak/>
        <w:t>Provide an estimate of the total annual cost burden to respondents or record keepers resulting from the collection of information.  (Do not include the cost of any hour burden shown in Items 12 and 14.)</w:t>
      </w:r>
    </w:p>
    <w:p w:rsidR="00694AED" w:rsidRPr="00694AED" w:rsidRDefault="00694AED" w:rsidP="00694AED">
      <w:pPr>
        <w:tabs>
          <w:tab w:val="left" w:pos="-720"/>
        </w:tabs>
        <w:suppressAutoHyphens/>
      </w:pPr>
    </w:p>
    <w:p w:rsidR="00694AED" w:rsidRPr="00694AED" w:rsidRDefault="00694AED" w:rsidP="00FF5A04">
      <w:pPr>
        <w:numPr>
          <w:ilvl w:val="0"/>
          <w:numId w:val="9"/>
        </w:numPr>
        <w:tabs>
          <w:tab w:val="clear" w:pos="700"/>
          <w:tab w:val="left" w:pos="-720"/>
          <w:tab w:val="num" w:pos="1080"/>
          <w:tab w:val="left" w:pos="1247"/>
        </w:tabs>
        <w:suppressAutoHyphens/>
        <w:ind w:left="1080"/>
      </w:pPr>
      <w:r w:rsidRPr="00694AED">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94AED" w:rsidRPr="00694AED" w:rsidRDefault="00694AED" w:rsidP="00FF5A04">
      <w:pPr>
        <w:numPr>
          <w:ilvl w:val="0"/>
          <w:numId w:val="9"/>
        </w:numPr>
        <w:tabs>
          <w:tab w:val="clear" w:pos="700"/>
          <w:tab w:val="left" w:pos="-720"/>
          <w:tab w:val="num" w:pos="1080"/>
          <w:tab w:val="left" w:pos="1247"/>
        </w:tabs>
        <w:suppressAutoHyphens/>
        <w:ind w:left="1080"/>
      </w:pPr>
      <w:r w:rsidRPr="00694AED">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94AED" w:rsidRPr="00694AED" w:rsidRDefault="00694AED" w:rsidP="00FF5A04">
      <w:pPr>
        <w:numPr>
          <w:ilvl w:val="0"/>
          <w:numId w:val="9"/>
        </w:numPr>
        <w:tabs>
          <w:tab w:val="clear" w:pos="700"/>
          <w:tab w:val="left" w:pos="-720"/>
          <w:tab w:val="num" w:pos="1080"/>
          <w:tab w:val="left" w:pos="1247"/>
        </w:tabs>
        <w:suppressAutoHyphens/>
        <w:ind w:left="1080"/>
      </w:pPr>
      <w:r w:rsidRPr="00694AED">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94AED">
        <w:t>government,</w:t>
      </w:r>
      <w:proofErr w:type="gramEnd"/>
      <w:r w:rsidRPr="00694AED">
        <w:t xml:space="preserve"> or (4) as part of customary and usual business or private practices.</w:t>
      </w:r>
    </w:p>
    <w:p w:rsidR="00694AED" w:rsidRPr="00694AED" w:rsidRDefault="00694AED" w:rsidP="00FF5A04">
      <w:pPr>
        <w:tabs>
          <w:tab w:val="left" w:pos="-720"/>
          <w:tab w:val="num" w:pos="1080"/>
        </w:tabs>
        <w:suppressAutoHyphens/>
        <w:ind w:left="1080" w:hanging="360"/>
      </w:pPr>
    </w:p>
    <w:p w:rsidR="00694AED" w:rsidRPr="00694AED" w:rsidRDefault="00694AED" w:rsidP="00FF5A04">
      <w:pPr>
        <w:tabs>
          <w:tab w:val="left" w:pos="-720"/>
          <w:tab w:val="num" w:pos="1080"/>
        </w:tabs>
        <w:suppressAutoHyphens/>
        <w:ind w:left="1080" w:hanging="360"/>
      </w:pPr>
      <w:r w:rsidRPr="00694AED">
        <w:tab/>
        <w:t xml:space="preserve">Total Annualized Capital/Startup Cost: </w:t>
      </w:r>
    </w:p>
    <w:p w:rsidR="00694AED" w:rsidRPr="00694AED" w:rsidRDefault="007E0B1E" w:rsidP="00FF5A04">
      <w:pPr>
        <w:tabs>
          <w:tab w:val="left" w:pos="-720"/>
          <w:tab w:val="num" w:pos="1080"/>
        </w:tabs>
        <w:suppressAutoHyphens/>
        <w:ind w:left="1080" w:hanging="360"/>
      </w:pPr>
      <w:r>
        <w:rPr>
          <w:noProof/>
        </w:rPr>
        <w:pict>
          <v:shapetype id="_x0000_t32" coordsize="21600,21600" o:spt="32" o:oned="t" path="m,l21600,21600e" filled="f">
            <v:path arrowok="t" fillok="f" o:connecttype="none"/>
            <o:lock v:ext="edit" shapetype="t"/>
          </v:shapetype>
          <v:shape id="_x0000_s1034" type="#_x0000_t32" style="position:absolute;left:0;text-align:left;margin-left:244.5pt;margin-top:13.4pt;width:101.25pt;height:0;z-index:251662336" o:connectortype="straight"/>
        </w:pict>
      </w:r>
      <w:r w:rsidR="00582439">
        <w:tab/>
        <w:t>Total Annual Costs (O&amp;M)</w:t>
      </w:r>
      <w:r w:rsidR="00582439">
        <w:tab/>
        <w:t xml:space="preserve">        </w:t>
      </w:r>
      <w:r w:rsidR="00694AED" w:rsidRPr="00694AED">
        <w:t xml:space="preserve">: </w:t>
      </w:r>
    </w:p>
    <w:p w:rsidR="00694AED" w:rsidRPr="00694AED" w:rsidRDefault="00694AED" w:rsidP="00FF5A04">
      <w:pPr>
        <w:tabs>
          <w:tab w:val="left" w:pos="-720"/>
          <w:tab w:val="num" w:pos="1080"/>
        </w:tabs>
        <w:suppressAutoHyphens/>
        <w:ind w:left="1080" w:hanging="360"/>
      </w:pPr>
      <w:r w:rsidRPr="00694AED">
        <w:tab/>
        <w:t>T</w:t>
      </w:r>
      <w:r w:rsidR="00582439">
        <w:t>otal Annualized Costs Requested</w:t>
      </w:r>
      <w:r w:rsidRPr="00694AED">
        <w:t xml:space="preserve"> </w:t>
      </w:r>
      <w:r w:rsidR="00582439">
        <w:t xml:space="preserve">     :</w:t>
      </w:r>
    </w:p>
    <w:p w:rsidR="00694AED" w:rsidRPr="00694AED" w:rsidRDefault="00694AED" w:rsidP="00694AED">
      <w:pPr>
        <w:pStyle w:val="BodyTextIndent"/>
        <w:ind w:left="0"/>
      </w:pPr>
    </w:p>
    <w:p w:rsidR="00212439" w:rsidRPr="00694AED" w:rsidRDefault="00C90F69" w:rsidP="00FF5A04">
      <w:pPr>
        <w:pStyle w:val="BodyTextIndent"/>
        <w:ind w:left="720"/>
      </w:pPr>
      <w:r w:rsidRPr="00694AED">
        <w:t>There are no other costs to the respondent except those that would be customary and usual business practices.</w:t>
      </w:r>
    </w:p>
    <w:p w:rsidR="00212439" w:rsidRPr="00694AED" w:rsidRDefault="00212439">
      <w:pPr>
        <w:pStyle w:val="BodyTextIndent"/>
        <w:ind w:left="360"/>
      </w:pPr>
    </w:p>
    <w:p w:rsidR="00694AED" w:rsidRPr="00694AED" w:rsidRDefault="00694AED" w:rsidP="00FF5A04">
      <w:pPr>
        <w:pStyle w:val="ListParagraph"/>
        <w:numPr>
          <w:ilvl w:val="0"/>
          <w:numId w:val="7"/>
        </w:numPr>
        <w:tabs>
          <w:tab w:val="left" w:pos="-720"/>
        </w:tabs>
        <w:suppressAutoHyphens/>
        <w:ind w:left="720" w:hanging="360"/>
      </w:pPr>
      <w:r w:rsidRPr="00694AED">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94AED" w:rsidRPr="00694AED" w:rsidRDefault="00694AED" w:rsidP="00694AED">
      <w:pPr>
        <w:pStyle w:val="BodyTextIndent"/>
        <w:ind w:left="375"/>
      </w:pPr>
    </w:p>
    <w:p w:rsidR="00212439" w:rsidRPr="00694AED" w:rsidRDefault="00C90F69" w:rsidP="00656E9B">
      <w:pPr>
        <w:pStyle w:val="BodyTextIndent"/>
        <w:ind w:left="375"/>
      </w:pPr>
      <w:r w:rsidRPr="00694AED">
        <w:t>Estimated cost to the Federal Government: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5"/>
        <w:gridCol w:w="1012"/>
        <w:gridCol w:w="888"/>
        <w:gridCol w:w="1077"/>
        <w:gridCol w:w="1043"/>
        <w:gridCol w:w="1261"/>
      </w:tblGrid>
      <w:tr w:rsidR="00212439" w:rsidRPr="00694AED">
        <w:tc>
          <w:tcPr>
            <w:tcW w:w="3935" w:type="dxa"/>
            <w:shd w:val="clear" w:color="auto" w:fill="C0C0C0"/>
          </w:tcPr>
          <w:p w:rsidR="00212439" w:rsidRPr="00694AED" w:rsidRDefault="00C90F69">
            <w:pPr>
              <w:pStyle w:val="BodyTextIndent"/>
              <w:ind w:left="0"/>
              <w:rPr>
                <w:b/>
                <w:bCs/>
              </w:rPr>
            </w:pPr>
            <w:r w:rsidRPr="00694AED">
              <w:rPr>
                <w:b/>
                <w:bCs/>
              </w:rPr>
              <w:t>Task</w:t>
            </w:r>
          </w:p>
        </w:tc>
        <w:tc>
          <w:tcPr>
            <w:tcW w:w="1012" w:type="dxa"/>
            <w:shd w:val="clear" w:color="auto" w:fill="C0C0C0"/>
          </w:tcPr>
          <w:p w:rsidR="00212439" w:rsidRPr="00694AED" w:rsidRDefault="00C90F69">
            <w:pPr>
              <w:pStyle w:val="BodyTextIndent"/>
              <w:ind w:left="0"/>
              <w:rPr>
                <w:b/>
                <w:bCs/>
              </w:rPr>
            </w:pPr>
            <w:r w:rsidRPr="00694AED">
              <w:rPr>
                <w:b/>
                <w:bCs/>
              </w:rPr>
              <w:t>Cost</w:t>
            </w:r>
          </w:p>
        </w:tc>
        <w:tc>
          <w:tcPr>
            <w:tcW w:w="888" w:type="dxa"/>
            <w:shd w:val="clear" w:color="auto" w:fill="C0C0C0"/>
          </w:tcPr>
          <w:p w:rsidR="00212439" w:rsidRPr="00694AED" w:rsidRDefault="00C90F69">
            <w:pPr>
              <w:pStyle w:val="BodyTextIndent"/>
              <w:ind w:left="0"/>
              <w:rPr>
                <w:b/>
                <w:bCs/>
              </w:rPr>
            </w:pPr>
            <w:r w:rsidRPr="00694AED">
              <w:rPr>
                <w:b/>
                <w:bCs/>
              </w:rPr>
              <w:t>Hours</w:t>
            </w:r>
          </w:p>
        </w:tc>
        <w:tc>
          <w:tcPr>
            <w:tcW w:w="1077" w:type="dxa"/>
            <w:shd w:val="clear" w:color="auto" w:fill="C0C0C0"/>
          </w:tcPr>
          <w:p w:rsidR="00212439" w:rsidRPr="00694AED" w:rsidRDefault="00C90F69">
            <w:pPr>
              <w:pStyle w:val="BodyTextIndent"/>
              <w:ind w:left="0"/>
              <w:rPr>
                <w:b/>
                <w:bCs/>
              </w:rPr>
            </w:pPr>
            <w:r w:rsidRPr="00694AED">
              <w:rPr>
                <w:b/>
                <w:bCs/>
              </w:rPr>
              <w:t>Number of Staff</w:t>
            </w:r>
          </w:p>
        </w:tc>
        <w:tc>
          <w:tcPr>
            <w:tcW w:w="1043" w:type="dxa"/>
            <w:shd w:val="clear" w:color="auto" w:fill="C0C0C0"/>
          </w:tcPr>
          <w:p w:rsidR="00212439" w:rsidRPr="00694AED" w:rsidRDefault="00C90F69">
            <w:pPr>
              <w:pStyle w:val="BodyTextIndent"/>
              <w:ind w:left="0"/>
              <w:rPr>
                <w:b/>
                <w:bCs/>
              </w:rPr>
            </w:pPr>
            <w:r w:rsidRPr="00694AED">
              <w:rPr>
                <w:b/>
                <w:bCs/>
              </w:rPr>
              <w:t>Hours Total</w:t>
            </w:r>
          </w:p>
        </w:tc>
        <w:tc>
          <w:tcPr>
            <w:tcW w:w="1261" w:type="dxa"/>
            <w:shd w:val="clear" w:color="auto" w:fill="C0C0C0"/>
          </w:tcPr>
          <w:p w:rsidR="00212439" w:rsidRPr="00694AED" w:rsidRDefault="00C90F69">
            <w:pPr>
              <w:pStyle w:val="BodyTextIndent"/>
              <w:ind w:left="0"/>
              <w:rPr>
                <w:b/>
                <w:bCs/>
              </w:rPr>
            </w:pPr>
            <w:r w:rsidRPr="00694AED">
              <w:rPr>
                <w:b/>
                <w:bCs/>
              </w:rPr>
              <w:t>Total Cost</w:t>
            </w:r>
          </w:p>
        </w:tc>
      </w:tr>
      <w:tr w:rsidR="00212439" w:rsidRPr="00694AED">
        <w:tc>
          <w:tcPr>
            <w:tcW w:w="3935" w:type="dxa"/>
          </w:tcPr>
          <w:p w:rsidR="00212439" w:rsidRPr="00694AED" w:rsidRDefault="00C90F69">
            <w:pPr>
              <w:pStyle w:val="BodyTextIndent"/>
              <w:ind w:left="0"/>
            </w:pPr>
            <w:r w:rsidRPr="00694AED">
              <w:t xml:space="preserve">Securing OMB approval once every 3 </w:t>
            </w:r>
            <w:r w:rsidRPr="00694AED">
              <w:lastRenderedPageBreak/>
              <w:t>years.</w:t>
            </w:r>
          </w:p>
        </w:tc>
        <w:tc>
          <w:tcPr>
            <w:tcW w:w="1012" w:type="dxa"/>
          </w:tcPr>
          <w:p w:rsidR="00212439" w:rsidRPr="00694AED" w:rsidRDefault="00C90F69">
            <w:pPr>
              <w:pStyle w:val="BodyTextIndent"/>
              <w:ind w:left="0"/>
            </w:pPr>
            <w:r w:rsidRPr="00694AED">
              <w:lastRenderedPageBreak/>
              <w:t>$42/hr</w:t>
            </w:r>
          </w:p>
        </w:tc>
        <w:tc>
          <w:tcPr>
            <w:tcW w:w="888" w:type="dxa"/>
          </w:tcPr>
          <w:p w:rsidR="00212439" w:rsidRPr="00694AED" w:rsidRDefault="00C90F69">
            <w:pPr>
              <w:pStyle w:val="BodyTextIndent"/>
              <w:ind w:left="0"/>
            </w:pPr>
            <w:r w:rsidRPr="00694AED">
              <w:t>15</w:t>
            </w:r>
          </w:p>
        </w:tc>
        <w:tc>
          <w:tcPr>
            <w:tcW w:w="1077" w:type="dxa"/>
          </w:tcPr>
          <w:p w:rsidR="00212439" w:rsidRPr="00694AED" w:rsidRDefault="00C90F69">
            <w:pPr>
              <w:pStyle w:val="BodyTextIndent"/>
              <w:ind w:left="0"/>
            </w:pPr>
            <w:r w:rsidRPr="00694AED">
              <w:t>4</w:t>
            </w:r>
          </w:p>
        </w:tc>
        <w:tc>
          <w:tcPr>
            <w:tcW w:w="1043" w:type="dxa"/>
          </w:tcPr>
          <w:p w:rsidR="00212439" w:rsidRPr="00694AED" w:rsidRDefault="00C90F69">
            <w:pPr>
              <w:pStyle w:val="BodyTextIndent"/>
              <w:ind w:left="0"/>
            </w:pPr>
            <w:r w:rsidRPr="00694AED">
              <w:t>60</w:t>
            </w:r>
          </w:p>
        </w:tc>
        <w:tc>
          <w:tcPr>
            <w:tcW w:w="1261" w:type="dxa"/>
          </w:tcPr>
          <w:p w:rsidR="00212439" w:rsidRPr="00694AED" w:rsidRDefault="00C90F69">
            <w:pPr>
              <w:pStyle w:val="BodyTextIndent"/>
              <w:ind w:left="0"/>
            </w:pPr>
            <w:r w:rsidRPr="00694AED">
              <w:t>$2,520</w:t>
            </w:r>
          </w:p>
        </w:tc>
      </w:tr>
      <w:tr w:rsidR="00212439" w:rsidRPr="00694AED">
        <w:tc>
          <w:tcPr>
            <w:tcW w:w="3935" w:type="dxa"/>
          </w:tcPr>
          <w:p w:rsidR="00212439" w:rsidRPr="00694AED" w:rsidRDefault="00C90F69">
            <w:pPr>
              <w:pStyle w:val="BodyTextIndent"/>
              <w:ind w:left="0"/>
            </w:pPr>
            <w:r w:rsidRPr="00694AED">
              <w:lastRenderedPageBreak/>
              <w:t>Reports Design (every 3 years)</w:t>
            </w:r>
          </w:p>
        </w:tc>
        <w:tc>
          <w:tcPr>
            <w:tcW w:w="1012" w:type="dxa"/>
          </w:tcPr>
          <w:p w:rsidR="00212439" w:rsidRPr="00694AED" w:rsidRDefault="00C90F69">
            <w:pPr>
              <w:pStyle w:val="BodyTextIndent"/>
              <w:ind w:left="0"/>
            </w:pPr>
            <w:r w:rsidRPr="00694AED">
              <w:t>$42/hr</w:t>
            </w:r>
          </w:p>
        </w:tc>
        <w:tc>
          <w:tcPr>
            <w:tcW w:w="888" w:type="dxa"/>
          </w:tcPr>
          <w:p w:rsidR="00212439" w:rsidRPr="00694AED" w:rsidRDefault="00C90F69">
            <w:pPr>
              <w:pStyle w:val="BodyTextIndent"/>
              <w:ind w:left="0"/>
            </w:pPr>
            <w:r w:rsidRPr="00694AED">
              <w:t>20</w:t>
            </w:r>
          </w:p>
        </w:tc>
        <w:tc>
          <w:tcPr>
            <w:tcW w:w="1077" w:type="dxa"/>
          </w:tcPr>
          <w:p w:rsidR="00212439" w:rsidRPr="00694AED" w:rsidRDefault="00C90F69">
            <w:pPr>
              <w:pStyle w:val="BodyTextIndent"/>
              <w:ind w:left="0"/>
            </w:pPr>
            <w:r w:rsidRPr="00694AED">
              <w:t>3</w:t>
            </w:r>
          </w:p>
        </w:tc>
        <w:tc>
          <w:tcPr>
            <w:tcW w:w="1043" w:type="dxa"/>
          </w:tcPr>
          <w:p w:rsidR="00212439" w:rsidRPr="00694AED" w:rsidRDefault="00C90F69">
            <w:pPr>
              <w:pStyle w:val="BodyTextIndent"/>
              <w:ind w:left="0"/>
            </w:pPr>
            <w:r w:rsidRPr="00694AED">
              <w:t>60</w:t>
            </w:r>
          </w:p>
        </w:tc>
        <w:tc>
          <w:tcPr>
            <w:tcW w:w="1261" w:type="dxa"/>
          </w:tcPr>
          <w:p w:rsidR="00212439" w:rsidRPr="00694AED" w:rsidRDefault="00C90F69">
            <w:pPr>
              <w:pStyle w:val="BodyTextIndent"/>
              <w:ind w:left="0"/>
            </w:pPr>
            <w:r w:rsidRPr="00694AED">
              <w:t>$2,520</w:t>
            </w:r>
          </w:p>
        </w:tc>
      </w:tr>
      <w:tr w:rsidR="00212439" w:rsidRPr="00694AED">
        <w:tc>
          <w:tcPr>
            <w:tcW w:w="3935" w:type="dxa"/>
          </w:tcPr>
          <w:p w:rsidR="00212439" w:rsidRPr="00694AED" w:rsidRDefault="00C90F69">
            <w:pPr>
              <w:pStyle w:val="BodyTextIndent"/>
              <w:ind w:left="0"/>
            </w:pPr>
            <w:r w:rsidRPr="00694AED">
              <w:t xml:space="preserve">Sorting applications, forming review panels, assigning proposals </w:t>
            </w:r>
          </w:p>
        </w:tc>
        <w:tc>
          <w:tcPr>
            <w:tcW w:w="1012" w:type="dxa"/>
          </w:tcPr>
          <w:p w:rsidR="00212439" w:rsidRPr="00694AED" w:rsidRDefault="00C90F69">
            <w:pPr>
              <w:pStyle w:val="BodyTextIndent"/>
              <w:ind w:left="0"/>
            </w:pPr>
            <w:r w:rsidRPr="00694AED">
              <w:t>$42/hr</w:t>
            </w:r>
          </w:p>
        </w:tc>
        <w:tc>
          <w:tcPr>
            <w:tcW w:w="888" w:type="dxa"/>
          </w:tcPr>
          <w:p w:rsidR="00212439" w:rsidRPr="00694AED" w:rsidRDefault="00C90F69">
            <w:pPr>
              <w:pStyle w:val="BodyTextIndent"/>
              <w:ind w:left="0"/>
            </w:pPr>
            <w:r w:rsidRPr="00694AED">
              <w:t>320</w:t>
            </w:r>
          </w:p>
        </w:tc>
        <w:tc>
          <w:tcPr>
            <w:tcW w:w="1077" w:type="dxa"/>
          </w:tcPr>
          <w:p w:rsidR="00212439" w:rsidRPr="00694AED" w:rsidRDefault="00C90F69">
            <w:pPr>
              <w:pStyle w:val="BodyTextIndent"/>
              <w:ind w:left="0"/>
            </w:pPr>
            <w:r w:rsidRPr="00694AED">
              <w:t>3</w:t>
            </w:r>
          </w:p>
        </w:tc>
        <w:tc>
          <w:tcPr>
            <w:tcW w:w="1043" w:type="dxa"/>
          </w:tcPr>
          <w:p w:rsidR="00212439" w:rsidRPr="00694AED" w:rsidRDefault="00C90F69">
            <w:pPr>
              <w:pStyle w:val="BodyTextIndent"/>
              <w:ind w:left="0"/>
            </w:pPr>
            <w:r w:rsidRPr="00694AED">
              <w:t>960</w:t>
            </w:r>
          </w:p>
        </w:tc>
        <w:tc>
          <w:tcPr>
            <w:tcW w:w="1261" w:type="dxa"/>
          </w:tcPr>
          <w:p w:rsidR="00212439" w:rsidRPr="00694AED" w:rsidRDefault="00C90F69">
            <w:pPr>
              <w:pStyle w:val="BodyTextIndent"/>
              <w:ind w:left="0"/>
            </w:pPr>
            <w:r w:rsidRPr="00694AED">
              <w:t>$40,320</w:t>
            </w:r>
          </w:p>
        </w:tc>
      </w:tr>
      <w:tr w:rsidR="00212439" w:rsidRPr="00694AED">
        <w:tc>
          <w:tcPr>
            <w:tcW w:w="3935" w:type="dxa"/>
          </w:tcPr>
          <w:p w:rsidR="00212439" w:rsidRPr="00694AED" w:rsidRDefault="00C90F69">
            <w:pPr>
              <w:pStyle w:val="BodyTextIndent"/>
              <w:ind w:left="0"/>
            </w:pPr>
            <w:r w:rsidRPr="00694AED">
              <w:t>Conducting Reviews</w:t>
            </w:r>
          </w:p>
        </w:tc>
        <w:tc>
          <w:tcPr>
            <w:tcW w:w="1012" w:type="dxa"/>
          </w:tcPr>
          <w:p w:rsidR="00212439" w:rsidRPr="00694AED" w:rsidRDefault="00C90F69">
            <w:pPr>
              <w:pStyle w:val="BodyTextIndent"/>
              <w:ind w:left="0"/>
            </w:pPr>
            <w:r w:rsidRPr="00694AED">
              <w:t>$42/hr</w:t>
            </w:r>
          </w:p>
        </w:tc>
        <w:tc>
          <w:tcPr>
            <w:tcW w:w="888" w:type="dxa"/>
          </w:tcPr>
          <w:p w:rsidR="00212439" w:rsidRPr="00694AED" w:rsidRDefault="00C90F69">
            <w:pPr>
              <w:pStyle w:val="BodyTextIndent"/>
              <w:ind w:left="0"/>
            </w:pPr>
            <w:r w:rsidRPr="00694AED">
              <w:t>200</w:t>
            </w:r>
          </w:p>
        </w:tc>
        <w:tc>
          <w:tcPr>
            <w:tcW w:w="1077" w:type="dxa"/>
          </w:tcPr>
          <w:p w:rsidR="00212439" w:rsidRPr="00694AED" w:rsidRDefault="00C90F69">
            <w:pPr>
              <w:pStyle w:val="BodyTextIndent"/>
              <w:ind w:left="0"/>
            </w:pPr>
            <w:r w:rsidRPr="00694AED">
              <w:t>3</w:t>
            </w:r>
          </w:p>
        </w:tc>
        <w:tc>
          <w:tcPr>
            <w:tcW w:w="1043" w:type="dxa"/>
          </w:tcPr>
          <w:p w:rsidR="00212439" w:rsidRPr="00694AED" w:rsidRDefault="00C90F69">
            <w:pPr>
              <w:pStyle w:val="BodyTextIndent"/>
              <w:ind w:left="0"/>
            </w:pPr>
            <w:r w:rsidRPr="00694AED">
              <w:t>600</w:t>
            </w:r>
          </w:p>
        </w:tc>
        <w:tc>
          <w:tcPr>
            <w:tcW w:w="1261" w:type="dxa"/>
          </w:tcPr>
          <w:p w:rsidR="00212439" w:rsidRPr="00694AED" w:rsidRDefault="00C90F69">
            <w:pPr>
              <w:pStyle w:val="BodyTextIndent"/>
              <w:ind w:left="0"/>
            </w:pPr>
            <w:r w:rsidRPr="00694AED">
              <w:t>$25,200</w:t>
            </w:r>
          </w:p>
        </w:tc>
      </w:tr>
      <w:tr w:rsidR="00212439" w:rsidRPr="00694AED">
        <w:tc>
          <w:tcPr>
            <w:tcW w:w="3935" w:type="dxa"/>
          </w:tcPr>
          <w:p w:rsidR="00212439" w:rsidRPr="00694AED" w:rsidRDefault="00C90F69">
            <w:pPr>
              <w:pStyle w:val="BodyTextIndent"/>
              <w:ind w:left="0"/>
            </w:pPr>
            <w:r w:rsidRPr="00694AED">
              <w:t>Generate/Preparing Slates</w:t>
            </w:r>
          </w:p>
        </w:tc>
        <w:tc>
          <w:tcPr>
            <w:tcW w:w="1012" w:type="dxa"/>
          </w:tcPr>
          <w:p w:rsidR="00212439" w:rsidRPr="00694AED" w:rsidRDefault="00C90F69">
            <w:pPr>
              <w:pStyle w:val="BodyTextIndent"/>
              <w:ind w:left="0"/>
            </w:pPr>
            <w:r w:rsidRPr="00694AED">
              <w:t>$42/hr</w:t>
            </w:r>
          </w:p>
        </w:tc>
        <w:tc>
          <w:tcPr>
            <w:tcW w:w="888" w:type="dxa"/>
          </w:tcPr>
          <w:p w:rsidR="00212439" w:rsidRPr="00694AED" w:rsidRDefault="00C90F69">
            <w:pPr>
              <w:pStyle w:val="BodyTextIndent"/>
              <w:ind w:left="0"/>
            </w:pPr>
            <w:r w:rsidRPr="00694AED">
              <w:t>40</w:t>
            </w:r>
          </w:p>
        </w:tc>
        <w:tc>
          <w:tcPr>
            <w:tcW w:w="1077" w:type="dxa"/>
          </w:tcPr>
          <w:p w:rsidR="00212439" w:rsidRPr="00694AED" w:rsidRDefault="00C90F69">
            <w:pPr>
              <w:pStyle w:val="BodyTextIndent"/>
              <w:ind w:left="0"/>
            </w:pPr>
            <w:r w:rsidRPr="00694AED">
              <w:t>3</w:t>
            </w:r>
          </w:p>
        </w:tc>
        <w:tc>
          <w:tcPr>
            <w:tcW w:w="1043" w:type="dxa"/>
          </w:tcPr>
          <w:p w:rsidR="00212439" w:rsidRPr="00694AED" w:rsidRDefault="00C90F69">
            <w:pPr>
              <w:pStyle w:val="BodyTextIndent"/>
              <w:ind w:left="0"/>
            </w:pPr>
            <w:r w:rsidRPr="00694AED">
              <w:t>120</w:t>
            </w:r>
          </w:p>
        </w:tc>
        <w:tc>
          <w:tcPr>
            <w:tcW w:w="1261" w:type="dxa"/>
          </w:tcPr>
          <w:p w:rsidR="00212439" w:rsidRPr="00694AED" w:rsidRDefault="00C90F69">
            <w:pPr>
              <w:pStyle w:val="BodyTextIndent"/>
              <w:ind w:left="0"/>
            </w:pPr>
            <w:r w:rsidRPr="00694AED">
              <w:t>$5,040</w:t>
            </w:r>
          </w:p>
        </w:tc>
      </w:tr>
      <w:tr w:rsidR="00212439" w:rsidRPr="00694AED">
        <w:tc>
          <w:tcPr>
            <w:tcW w:w="3935" w:type="dxa"/>
          </w:tcPr>
          <w:p w:rsidR="00212439" w:rsidRPr="00694AED" w:rsidRDefault="00C90F69">
            <w:pPr>
              <w:pStyle w:val="BodyTextIndent"/>
              <w:ind w:left="0"/>
            </w:pPr>
            <w:r w:rsidRPr="00694AED">
              <w:t>Slate Review and Approval</w:t>
            </w:r>
          </w:p>
        </w:tc>
        <w:tc>
          <w:tcPr>
            <w:tcW w:w="1012" w:type="dxa"/>
          </w:tcPr>
          <w:p w:rsidR="00212439" w:rsidRPr="00694AED" w:rsidRDefault="00C90F69">
            <w:pPr>
              <w:pStyle w:val="BodyTextIndent"/>
              <w:ind w:left="0"/>
            </w:pPr>
            <w:r w:rsidRPr="00694AED">
              <w:t>$55/hr</w:t>
            </w:r>
          </w:p>
        </w:tc>
        <w:tc>
          <w:tcPr>
            <w:tcW w:w="888" w:type="dxa"/>
          </w:tcPr>
          <w:p w:rsidR="00212439" w:rsidRPr="00694AED" w:rsidRDefault="00C90F69">
            <w:pPr>
              <w:pStyle w:val="BodyTextIndent"/>
              <w:ind w:left="0"/>
            </w:pPr>
            <w:r w:rsidRPr="00694AED">
              <w:t>5</w:t>
            </w:r>
          </w:p>
        </w:tc>
        <w:tc>
          <w:tcPr>
            <w:tcW w:w="1077" w:type="dxa"/>
          </w:tcPr>
          <w:p w:rsidR="00212439" w:rsidRPr="00694AED" w:rsidRDefault="00C90F69">
            <w:pPr>
              <w:pStyle w:val="BodyTextIndent"/>
              <w:ind w:left="0"/>
            </w:pPr>
            <w:r w:rsidRPr="00694AED">
              <w:t>6</w:t>
            </w:r>
          </w:p>
        </w:tc>
        <w:tc>
          <w:tcPr>
            <w:tcW w:w="1043" w:type="dxa"/>
          </w:tcPr>
          <w:p w:rsidR="00212439" w:rsidRPr="00694AED" w:rsidRDefault="00C90F69">
            <w:pPr>
              <w:pStyle w:val="BodyTextIndent"/>
              <w:ind w:left="0"/>
            </w:pPr>
            <w:r w:rsidRPr="00694AED">
              <w:t>30</w:t>
            </w:r>
          </w:p>
        </w:tc>
        <w:tc>
          <w:tcPr>
            <w:tcW w:w="1261" w:type="dxa"/>
          </w:tcPr>
          <w:p w:rsidR="00212439" w:rsidRPr="00694AED" w:rsidRDefault="00C90F69">
            <w:pPr>
              <w:pStyle w:val="BodyTextIndent"/>
              <w:ind w:left="0"/>
            </w:pPr>
            <w:r w:rsidRPr="00694AED">
              <w:t>$1,650</w:t>
            </w:r>
          </w:p>
        </w:tc>
      </w:tr>
      <w:tr w:rsidR="00212439" w:rsidRPr="00694AED">
        <w:tc>
          <w:tcPr>
            <w:tcW w:w="3935" w:type="dxa"/>
          </w:tcPr>
          <w:p w:rsidR="00212439" w:rsidRPr="00694AED" w:rsidRDefault="00C90F69">
            <w:pPr>
              <w:pStyle w:val="BodyTextIndent"/>
              <w:ind w:left="0"/>
            </w:pPr>
            <w:r w:rsidRPr="00694AED">
              <w:t xml:space="preserve">Issuance of Awards </w:t>
            </w:r>
          </w:p>
        </w:tc>
        <w:tc>
          <w:tcPr>
            <w:tcW w:w="1012" w:type="dxa"/>
          </w:tcPr>
          <w:p w:rsidR="00212439" w:rsidRPr="00694AED" w:rsidRDefault="00C90F69">
            <w:pPr>
              <w:pStyle w:val="BodyTextIndent"/>
              <w:ind w:left="0"/>
            </w:pPr>
            <w:r w:rsidRPr="00694AED">
              <w:t>$42</w:t>
            </w:r>
          </w:p>
        </w:tc>
        <w:tc>
          <w:tcPr>
            <w:tcW w:w="888" w:type="dxa"/>
          </w:tcPr>
          <w:p w:rsidR="00212439" w:rsidRPr="00694AED" w:rsidRDefault="00C90F69">
            <w:pPr>
              <w:pStyle w:val="BodyTextIndent"/>
              <w:ind w:left="0"/>
            </w:pPr>
            <w:r w:rsidRPr="00694AED">
              <w:t>100</w:t>
            </w:r>
          </w:p>
        </w:tc>
        <w:tc>
          <w:tcPr>
            <w:tcW w:w="1077" w:type="dxa"/>
          </w:tcPr>
          <w:p w:rsidR="00212439" w:rsidRPr="00694AED" w:rsidRDefault="00C90F69">
            <w:pPr>
              <w:pStyle w:val="BodyTextIndent"/>
              <w:ind w:left="0"/>
            </w:pPr>
            <w:r w:rsidRPr="00694AED">
              <w:t>2</w:t>
            </w:r>
          </w:p>
        </w:tc>
        <w:tc>
          <w:tcPr>
            <w:tcW w:w="1043" w:type="dxa"/>
          </w:tcPr>
          <w:p w:rsidR="00212439" w:rsidRPr="00694AED" w:rsidRDefault="00C90F69">
            <w:pPr>
              <w:pStyle w:val="BodyTextIndent"/>
              <w:ind w:left="0"/>
            </w:pPr>
            <w:r w:rsidRPr="00694AED">
              <w:t>200</w:t>
            </w:r>
          </w:p>
        </w:tc>
        <w:tc>
          <w:tcPr>
            <w:tcW w:w="1261" w:type="dxa"/>
          </w:tcPr>
          <w:p w:rsidR="00212439" w:rsidRPr="00694AED" w:rsidRDefault="00C90F69">
            <w:pPr>
              <w:pStyle w:val="BodyTextIndent"/>
              <w:ind w:left="0"/>
            </w:pPr>
            <w:r w:rsidRPr="00694AED">
              <w:t>$8,400</w:t>
            </w:r>
          </w:p>
        </w:tc>
      </w:tr>
      <w:tr w:rsidR="00212439" w:rsidRPr="00694AED">
        <w:tc>
          <w:tcPr>
            <w:tcW w:w="3935" w:type="dxa"/>
            <w:tcBorders>
              <w:bottom w:val="single" w:sz="4" w:space="0" w:color="auto"/>
            </w:tcBorders>
          </w:tcPr>
          <w:p w:rsidR="00212439" w:rsidRPr="00694AED" w:rsidRDefault="00C90F69">
            <w:pPr>
              <w:pStyle w:val="BodyTextIndent"/>
              <w:ind w:left="0"/>
            </w:pPr>
            <w:r w:rsidRPr="00694AED">
              <w:t>Monitoring and Technical Assistance</w:t>
            </w:r>
          </w:p>
        </w:tc>
        <w:tc>
          <w:tcPr>
            <w:tcW w:w="1012" w:type="dxa"/>
            <w:tcBorders>
              <w:bottom w:val="single" w:sz="4" w:space="0" w:color="auto"/>
            </w:tcBorders>
          </w:tcPr>
          <w:p w:rsidR="00212439" w:rsidRPr="00694AED" w:rsidRDefault="00C90F69">
            <w:pPr>
              <w:pStyle w:val="BodyTextIndent"/>
              <w:ind w:left="0"/>
            </w:pPr>
            <w:r w:rsidRPr="00694AED">
              <w:t>$42</w:t>
            </w:r>
          </w:p>
        </w:tc>
        <w:tc>
          <w:tcPr>
            <w:tcW w:w="888" w:type="dxa"/>
            <w:tcBorders>
              <w:bottom w:val="single" w:sz="4" w:space="0" w:color="auto"/>
            </w:tcBorders>
          </w:tcPr>
          <w:p w:rsidR="00212439" w:rsidRPr="00694AED" w:rsidRDefault="00C90F69">
            <w:pPr>
              <w:pStyle w:val="BodyTextIndent"/>
              <w:ind w:left="0"/>
            </w:pPr>
            <w:r w:rsidRPr="00694AED">
              <w:t>500</w:t>
            </w:r>
          </w:p>
        </w:tc>
        <w:tc>
          <w:tcPr>
            <w:tcW w:w="1077" w:type="dxa"/>
            <w:tcBorders>
              <w:bottom w:val="single" w:sz="4" w:space="0" w:color="auto"/>
            </w:tcBorders>
          </w:tcPr>
          <w:p w:rsidR="00212439" w:rsidRPr="00694AED" w:rsidRDefault="00C90F69">
            <w:pPr>
              <w:pStyle w:val="BodyTextIndent"/>
              <w:ind w:left="0"/>
            </w:pPr>
            <w:r w:rsidRPr="00694AED">
              <w:t>2</w:t>
            </w:r>
          </w:p>
        </w:tc>
        <w:tc>
          <w:tcPr>
            <w:tcW w:w="1043" w:type="dxa"/>
            <w:tcBorders>
              <w:bottom w:val="single" w:sz="4" w:space="0" w:color="auto"/>
            </w:tcBorders>
          </w:tcPr>
          <w:p w:rsidR="00212439" w:rsidRPr="00694AED" w:rsidRDefault="00C90F69">
            <w:pPr>
              <w:pStyle w:val="BodyTextIndent"/>
              <w:ind w:left="0"/>
            </w:pPr>
            <w:r w:rsidRPr="00694AED">
              <w:t>1000</w:t>
            </w:r>
          </w:p>
        </w:tc>
        <w:tc>
          <w:tcPr>
            <w:tcW w:w="1261" w:type="dxa"/>
            <w:tcBorders>
              <w:bottom w:val="single" w:sz="4" w:space="0" w:color="auto"/>
            </w:tcBorders>
          </w:tcPr>
          <w:p w:rsidR="00212439" w:rsidRPr="00694AED" w:rsidRDefault="00C90F69">
            <w:pPr>
              <w:pStyle w:val="BodyTextIndent"/>
              <w:ind w:left="0"/>
            </w:pPr>
            <w:r w:rsidRPr="00694AED">
              <w:t>$42,000</w:t>
            </w:r>
          </w:p>
        </w:tc>
      </w:tr>
      <w:tr w:rsidR="00212439" w:rsidRPr="00694AED">
        <w:tc>
          <w:tcPr>
            <w:tcW w:w="3935" w:type="dxa"/>
            <w:shd w:val="clear" w:color="auto" w:fill="C0C0C0"/>
          </w:tcPr>
          <w:p w:rsidR="00212439" w:rsidRPr="00694AED" w:rsidRDefault="00C90F69">
            <w:pPr>
              <w:pStyle w:val="BodyTextIndent"/>
              <w:ind w:left="0"/>
              <w:rPr>
                <w:b/>
                <w:bCs/>
              </w:rPr>
            </w:pPr>
            <w:r w:rsidRPr="00694AED">
              <w:rPr>
                <w:b/>
                <w:bCs/>
              </w:rPr>
              <w:t>Total Annual Cost</w:t>
            </w:r>
          </w:p>
        </w:tc>
        <w:tc>
          <w:tcPr>
            <w:tcW w:w="1012" w:type="dxa"/>
            <w:shd w:val="clear" w:color="auto" w:fill="C0C0C0"/>
          </w:tcPr>
          <w:p w:rsidR="00212439" w:rsidRPr="00694AED" w:rsidRDefault="00212439">
            <w:pPr>
              <w:pStyle w:val="BodyTextIndent"/>
              <w:ind w:left="0"/>
            </w:pPr>
          </w:p>
        </w:tc>
        <w:tc>
          <w:tcPr>
            <w:tcW w:w="888" w:type="dxa"/>
            <w:shd w:val="clear" w:color="auto" w:fill="C0C0C0"/>
          </w:tcPr>
          <w:p w:rsidR="00212439" w:rsidRPr="00694AED" w:rsidRDefault="00212439">
            <w:pPr>
              <w:pStyle w:val="BodyTextIndent"/>
              <w:ind w:left="0"/>
            </w:pPr>
          </w:p>
        </w:tc>
        <w:tc>
          <w:tcPr>
            <w:tcW w:w="1077" w:type="dxa"/>
            <w:shd w:val="clear" w:color="auto" w:fill="C0C0C0"/>
          </w:tcPr>
          <w:p w:rsidR="00212439" w:rsidRPr="00694AED" w:rsidRDefault="00212439">
            <w:pPr>
              <w:pStyle w:val="BodyTextIndent"/>
              <w:ind w:left="0"/>
            </w:pPr>
          </w:p>
        </w:tc>
        <w:tc>
          <w:tcPr>
            <w:tcW w:w="1043" w:type="dxa"/>
            <w:shd w:val="clear" w:color="auto" w:fill="C0C0C0"/>
          </w:tcPr>
          <w:p w:rsidR="00212439" w:rsidRPr="00694AED" w:rsidRDefault="00212439">
            <w:pPr>
              <w:pStyle w:val="BodyTextIndent"/>
              <w:ind w:left="0"/>
              <w:rPr>
                <w:b/>
                <w:bCs/>
              </w:rPr>
            </w:pPr>
          </w:p>
        </w:tc>
        <w:tc>
          <w:tcPr>
            <w:tcW w:w="1261" w:type="dxa"/>
            <w:shd w:val="clear" w:color="auto" w:fill="C0C0C0"/>
          </w:tcPr>
          <w:p w:rsidR="00212439" w:rsidRPr="00694AED" w:rsidRDefault="00C90F69">
            <w:pPr>
              <w:pStyle w:val="BodyTextIndent"/>
              <w:ind w:left="0"/>
              <w:rPr>
                <w:b/>
                <w:bCs/>
              </w:rPr>
            </w:pPr>
            <w:r w:rsidRPr="00694AED">
              <w:rPr>
                <w:b/>
                <w:bCs/>
              </w:rPr>
              <w:t>$127,650</w:t>
            </w:r>
          </w:p>
        </w:tc>
      </w:tr>
    </w:tbl>
    <w:p w:rsidR="00212439" w:rsidRPr="00694AED" w:rsidRDefault="00212439">
      <w:pPr>
        <w:pStyle w:val="BodyTextIndent"/>
        <w:ind w:left="360"/>
      </w:pPr>
    </w:p>
    <w:p w:rsidR="00694AED" w:rsidRDefault="00694AED" w:rsidP="00757030">
      <w:pPr>
        <w:pStyle w:val="BodyTextIndent"/>
        <w:numPr>
          <w:ilvl w:val="0"/>
          <w:numId w:val="7"/>
        </w:numPr>
        <w:ind w:left="720" w:hanging="360"/>
      </w:pPr>
      <w:r w:rsidRPr="00694AED">
        <w:t>Explain the reasons for any program changes or adjustments to #16f of the IC Data Part 1 Form.</w:t>
      </w:r>
    </w:p>
    <w:p w:rsidR="00656E9B" w:rsidRPr="00694AED" w:rsidRDefault="00656E9B" w:rsidP="00656E9B">
      <w:pPr>
        <w:pStyle w:val="BodyTextIndent"/>
        <w:ind w:left="375"/>
      </w:pPr>
    </w:p>
    <w:p w:rsidR="00212439" w:rsidRPr="00694AED" w:rsidRDefault="00C90F69" w:rsidP="00757030">
      <w:pPr>
        <w:pStyle w:val="BodyTextIndent"/>
        <w:ind w:left="720"/>
      </w:pPr>
      <w:r w:rsidRPr="00694AED">
        <w:t xml:space="preserve">There are no changes in total burden. </w:t>
      </w:r>
    </w:p>
    <w:p w:rsidR="00212439" w:rsidRPr="00694AED" w:rsidRDefault="00212439">
      <w:pPr>
        <w:pStyle w:val="BodyTextIndent"/>
        <w:ind w:left="360"/>
      </w:pPr>
    </w:p>
    <w:p w:rsidR="00694AED" w:rsidRDefault="00694AED" w:rsidP="00757030">
      <w:pPr>
        <w:pStyle w:val="BodyTextIndent"/>
        <w:numPr>
          <w:ilvl w:val="0"/>
          <w:numId w:val="7"/>
        </w:numPr>
        <w:ind w:left="720" w:hanging="360"/>
        <w:rPr>
          <w:rStyle w:val="a"/>
        </w:rPr>
      </w:pPr>
      <w:r w:rsidRPr="00694AED">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6E9B" w:rsidRPr="00694AED" w:rsidRDefault="00656E9B" w:rsidP="00656E9B">
      <w:pPr>
        <w:pStyle w:val="BodyTextIndent"/>
        <w:ind w:left="375"/>
        <w:rPr>
          <w:rStyle w:val="a"/>
        </w:rPr>
      </w:pPr>
    </w:p>
    <w:p w:rsidR="00212439" w:rsidRPr="00694AED" w:rsidRDefault="00C90F69" w:rsidP="00757030">
      <w:pPr>
        <w:pStyle w:val="BodyTextIndent"/>
        <w:ind w:left="375" w:firstLine="345"/>
      </w:pPr>
      <w:r w:rsidRPr="00694AED">
        <w:t>The Department has no plans to publish any information from this collection.</w:t>
      </w:r>
    </w:p>
    <w:p w:rsidR="00212439" w:rsidRPr="00694AED" w:rsidRDefault="00212439">
      <w:pPr>
        <w:pStyle w:val="BodyTextIndent"/>
        <w:ind w:left="0"/>
      </w:pPr>
    </w:p>
    <w:p w:rsidR="00694AED" w:rsidRDefault="00694AED" w:rsidP="00757030">
      <w:pPr>
        <w:pStyle w:val="BodyTextIndent"/>
        <w:numPr>
          <w:ilvl w:val="0"/>
          <w:numId w:val="7"/>
        </w:numPr>
        <w:ind w:left="720" w:hanging="360"/>
        <w:rPr>
          <w:rStyle w:val="a"/>
        </w:rPr>
      </w:pPr>
      <w:r w:rsidRPr="00694AED">
        <w:rPr>
          <w:rStyle w:val="a"/>
        </w:rPr>
        <w:t>If seeking approval to not display the expiration date for OMB approval of the information collection, explain the reasons that display would be inappropriate.</w:t>
      </w:r>
    </w:p>
    <w:p w:rsidR="00656E9B" w:rsidRPr="00694AED" w:rsidRDefault="00656E9B" w:rsidP="00656E9B">
      <w:pPr>
        <w:pStyle w:val="BodyTextIndent"/>
        <w:ind w:left="375"/>
        <w:rPr>
          <w:rStyle w:val="a"/>
        </w:rPr>
      </w:pPr>
    </w:p>
    <w:p w:rsidR="00212439" w:rsidRPr="00694AED" w:rsidRDefault="00C90F69" w:rsidP="00757030">
      <w:pPr>
        <w:pStyle w:val="BodyTextIndent"/>
        <w:ind w:left="375" w:firstLine="345"/>
      </w:pPr>
      <w:r w:rsidRPr="00694AED">
        <w:t>The expiration date will be displayed.</w:t>
      </w:r>
    </w:p>
    <w:p w:rsidR="00212439" w:rsidRPr="00694AED" w:rsidRDefault="00212439">
      <w:pPr>
        <w:pStyle w:val="BodyTextIndent"/>
        <w:ind w:left="0"/>
      </w:pPr>
    </w:p>
    <w:p w:rsidR="00694AED" w:rsidRDefault="00694AED" w:rsidP="00757030">
      <w:pPr>
        <w:pStyle w:val="BodyTextIndent"/>
        <w:numPr>
          <w:ilvl w:val="0"/>
          <w:numId w:val="7"/>
        </w:numPr>
        <w:ind w:left="720"/>
        <w:rPr>
          <w:rStyle w:val="a"/>
        </w:rPr>
      </w:pPr>
      <w:r w:rsidRPr="00694AED">
        <w:rPr>
          <w:rStyle w:val="a"/>
        </w:rPr>
        <w:t>Explain each exception to the certification statement identified in the Certification of Paperwork Reduction Act.</w:t>
      </w:r>
    </w:p>
    <w:p w:rsidR="00656E9B" w:rsidRPr="00694AED" w:rsidRDefault="00656E9B" w:rsidP="00656E9B">
      <w:pPr>
        <w:pStyle w:val="BodyTextIndent"/>
        <w:ind w:left="375"/>
        <w:rPr>
          <w:rStyle w:val="a"/>
        </w:rPr>
      </w:pPr>
    </w:p>
    <w:p w:rsidR="00212439" w:rsidRPr="00694AED" w:rsidRDefault="00C90F69" w:rsidP="00757030">
      <w:pPr>
        <w:pStyle w:val="BodyTextIndent"/>
        <w:ind w:left="375" w:firstLine="345"/>
      </w:pPr>
      <w:r w:rsidRPr="00694AED">
        <w:t>No exceptions are being requested.</w:t>
      </w:r>
    </w:p>
    <w:p w:rsidR="00212439" w:rsidRPr="00694AED" w:rsidRDefault="00212439">
      <w:pPr>
        <w:pStyle w:val="BodyTextIndent"/>
        <w:ind w:left="0"/>
      </w:pPr>
    </w:p>
    <w:p w:rsidR="00212439" w:rsidRPr="00694AED" w:rsidRDefault="00C90F69" w:rsidP="00694AED">
      <w:pPr>
        <w:rPr>
          <w:b/>
          <w:bCs/>
        </w:rPr>
      </w:pPr>
      <w:r w:rsidRPr="00694AED">
        <w:rPr>
          <w:b/>
          <w:bCs/>
        </w:rPr>
        <w:t>Collection of Information Employing Statistical Methods</w:t>
      </w:r>
    </w:p>
    <w:p w:rsidR="00212439" w:rsidRPr="00694AED" w:rsidRDefault="00212439">
      <w:pPr>
        <w:pStyle w:val="BodyTextIndent"/>
      </w:pPr>
    </w:p>
    <w:p w:rsidR="00212439" w:rsidRPr="00694AED" w:rsidRDefault="00C90F69">
      <w:pPr>
        <w:pStyle w:val="BodyTextIndent"/>
        <w:ind w:left="720"/>
      </w:pPr>
      <w:r w:rsidRPr="00694AED">
        <w:t>This collection does not employ statistical methods.</w:t>
      </w:r>
    </w:p>
    <w:p w:rsidR="00212439" w:rsidRPr="00694AED" w:rsidRDefault="00212439">
      <w:pPr>
        <w:pStyle w:val="BodyTextIndent"/>
        <w:ind w:left="1080"/>
      </w:pPr>
    </w:p>
    <w:sectPr w:rsidR="00212439" w:rsidRPr="00694AED" w:rsidSect="0021243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30E" w:rsidRDefault="0012230E">
      <w:r>
        <w:separator/>
      </w:r>
    </w:p>
  </w:endnote>
  <w:endnote w:type="continuationSeparator" w:id="0">
    <w:p w:rsidR="0012230E" w:rsidRDefault="001223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30E" w:rsidRDefault="0012230E">
      <w:r>
        <w:separator/>
      </w:r>
    </w:p>
  </w:footnote>
  <w:footnote w:type="continuationSeparator" w:id="0">
    <w:p w:rsidR="0012230E" w:rsidRDefault="00122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0E" w:rsidRDefault="0012230E">
    <w:pPr>
      <w:pStyle w:val="Header"/>
      <w:jc w:val="right"/>
    </w:pPr>
    <w:r>
      <w:t>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0CD49A3"/>
    <w:multiLevelType w:val="multilevel"/>
    <w:tmpl w:val="74C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312F174C"/>
    <w:multiLevelType w:val="hybridMultilevel"/>
    <w:tmpl w:val="E8F224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7878BA"/>
    <w:multiLevelType w:val="multilevel"/>
    <w:tmpl w:val="7CA8B90C"/>
    <w:lvl w:ilvl="0">
      <w:start w:val="8"/>
      <w:numFmt w:val="decimal"/>
      <w:lvlText w:val="%1."/>
      <w:legacy w:legacy="1" w:legacySpace="0" w:legacyIndent="375"/>
      <w:lvlJc w:val="left"/>
      <w:pPr>
        <w:ind w:left="375" w:hanging="375"/>
      </w:p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74993"/>
    <w:multiLevelType w:val="hybridMultilevel"/>
    <w:tmpl w:val="FBAEDD78"/>
    <w:lvl w:ilvl="0" w:tplc="0409000F">
      <w:start w:val="1"/>
      <w:numFmt w:val="decimal"/>
      <w:lvlText w:val="%1."/>
      <w:lvlJc w:val="left"/>
      <w:pPr>
        <w:tabs>
          <w:tab w:val="num" w:pos="720"/>
        </w:tabs>
        <w:ind w:left="720" w:hanging="360"/>
      </w:pPr>
    </w:lvl>
    <w:lvl w:ilvl="1" w:tplc="06C4D862">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0361F5"/>
    <w:multiLevelType w:val="hybridMultilevel"/>
    <w:tmpl w:val="AD46EC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066380"/>
    <w:multiLevelType w:val="hybridMultilevel"/>
    <w:tmpl w:val="0244519A"/>
    <w:lvl w:ilvl="0" w:tplc="95243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2"/>
  </w:num>
  <w:num w:numId="5">
    <w:abstractNumId w:val="5"/>
  </w:num>
  <w:num w:numId="6">
    <w:abstractNumId w:val="9"/>
  </w:num>
  <w:num w:numId="7">
    <w:abstractNumId w:val="4"/>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C90F69"/>
    <w:rsid w:val="0012230E"/>
    <w:rsid w:val="001A1769"/>
    <w:rsid w:val="001E0464"/>
    <w:rsid w:val="001F74CB"/>
    <w:rsid w:val="00212439"/>
    <w:rsid w:val="0021704B"/>
    <w:rsid w:val="002A0584"/>
    <w:rsid w:val="002B5BF8"/>
    <w:rsid w:val="002F0CFE"/>
    <w:rsid w:val="002F11B3"/>
    <w:rsid w:val="003221D9"/>
    <w:rsid w:val="003A253A"/>
    <w:rsid w:val="003D2F21"/>
    <w:rsid w:val="00415CDF"/>
    <w:rsid w:val="00582439"/>
    <w:rsid w:val="00656E9B"/>
    <w:rsid w:val="00657592"/>
    <w:rsid w:val="00694AED"/>
    <w:rsid w:val="00757030"/>
    <w:rsid w:val="007D23DA"/>
    <w:rsid w:val="007E0B1E"/>
    <w:rsid w:val="00833C63"/>
    <w:rsid w:val="00866503"/>
    <w:rsid w:val="00912AFB"/>
    <w:rsid w:val="00941B95"/>
    <w:rsid w:val="009B1BA2"/>
    <w:rsid w:val="00A74646"/>
    <w:rsid w:val="00AC4D40"/>
    <w:rsid w:val="00B35F4A"/>
    <w:rsid w:val="00B51DA1"/>
    <w:rsid w:val="00BA3555"/>
    <w:rsid w:val="00C15E03"/>
    <w:rsid w:val="00C90F69"/>
    <w:rsid w:val="00C910E9"/>
    <w:rsid w:val="00CD569B"/>
    <w:rsid w:val="00D4242D"/>
    <w:rsid w:val="00E15CDE"/>
    <w:rsid w:val="00E41278"/>
    <w:rsid w:val="00E4505D"/>
    <w:rsid w:val="00E92CCE"/>
    <w:rsid w:val="00F21E85"/>
    <w:rsid w:val="00FF5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39"/>
    <w:rPr>
      <w:sz w:val="24"/>
      <w:szCs w:val="24"/>
    </w:rPr>
  </w:style>
  <w:style w:type="paragraph" w:styleId="Heading1">
    <w:name w:val="heading 1"/>
    <w:basedOn w:val="Normal"/>
    <w:next w:val="Normal"/>
    <w:qFormat/>
    <w:rsid w:val="00212439"/>
    <w:pPr>
      <w:keepNext/>
      <w:jc w:val="center"/>
      <w:outlineLvl w:val="0"/>
    </w:pPr>
    <w:rPr>
      <w:b/>
      <w:bCs/>
    </w:rPr>
  </w:style>
  <w:style w:type="paragraph" w:styleId="Heading2">
    <w:name w:val="heading 2"/>
    <w:basedOn w:val="Normal"/>
    <w:next w:val="Normal"/>
    <w:qFormat/>
    <w:rsid w:val="00212439"/>
    <w:pPr>
      <w:keepNext/>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2439"/>
    <w:pPr>
      <w:jc w:val="center"/>
    </w:pPr>
    <w:rPr>
      <w:b/>
      <w:bCs/>
      <w:sz w:val="28"/>
    </w:rPr>
  </w:style>
  <w:style w:type="character" w:styleId="Hyperlink">
    <w:name w:val="Hyperlink"/>
    <w:basedOn w:val="DefaultParagraphFont"/>
    <w:semiHidden/>
    <w:rsid w:val="00212439"/>
    <w:rPr>
      <w:color w:val="0000FF"/>
      <w:u w:val="single"/>
    </w:rPr>
  </w:style>
  <w:style w:type="paragraph" w:styleId="BodyTextIndent">
    <w:name w:val="Body Text Indent"/>
    <w:basedOn w:val="Normal"/>
    <w:semiHidden/>
    <w:rsid w:val="00212439"/>
    <w:pPr>
      <w:ind w:left="1440"/>
    </w:pPr>
  </w:style>
  <w:style w:type="paragraph" w:styleId="Header">
    <w:name w:val="header"/>
    <w:basedOn w:val="Normal"/>
    <w:semiHidden/>
    <w:rsid w:val="00212439"/>
    <w:pPr>
      <w:tabs>
        <w:tab w:val="center" w:pos="4320"/>
        <w:tab w:val="right" w:pos="8640"/>
      </w:tabs>
    </w:pPr>
  </w:style>
  <w:style w:type="paragraph" w:styleId="Footer">
    <w:name w:val="footer"/>
    <w:basedOn w:val="Normal"/>
    <w:semiHidden/>
    <w:rsid w:val="00212439"/>
    <w:pPr>
      <w:tabs>
        <w:tab w:val="center" w:pos="4320"/>
        <w:tab w:val="right" w:pos="8640"/>
      </w:tabs>
    </w:pPr>
  </w:style>
  <w:style w:type="paragraph" w:styleId="ListParagraph">
    <w:name w:val="List Paragraph"/>
    <w:basedOn w:val="Normal"/>
    <w:uiPriority w:val="34"/>
    <w:qFormat/>
    <w:rsid w:val="00694AED"/>
    <w:pPr>
      <w:ind w:left="720"/>
      <w:contextualSpacing/>
    </w:pPr>
  </w:style>
  <w:style w:type="character" w:customStyle="1" w:styleId="a">
    <w:name w:val="À"/>
    <w:basedOn w:val="DefaultParagraphFont"/>
    <w:rsid w:val="00694AED"/>
  </w:style>
  <w:style w:type="table" w:styleId="TableGrid">
    <w:name w:val="Table Grid"/>
    <w:basedOn w:val="TableNormal"/>
    <w:uiPriority w:val="59"/>
    <w:rsid w:val="00E92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7265028">
      <w:bodyDiv w:val="1"/>
      <w:marLeft w:val="0"/>
      <w:marRight w:val="0"/>
      <w:marTop w:val="0"/>
      <w:marBottom w:val="0"/>
      <w:divBdr>
        <w:top w:val="none" w:sz="0" w:space="0" w:color="auto"/>
        <w:left w:val="none" w:sz="0" w:space="0" w:color="auto"/>
        <w:bottom w:val="none" w:sz="0" w:space="0" w:color="auto"/>
        <w:right w:val="none" w:sz="0" w:space="0" w:color="auto"/>
      </w:divBdr>
      <w:divsChild>
        <w:div w:id="149567120">
          <w:marLeft w:val="0"/>
          <w:marRight w:val="0"/>
          <w:marTop w:val="100"/>
          <w:marBottom w:val="100"/>
          <w:divBdr>
            <w:top w:val="none" w:sz="0" w:space="0" w:color="auto"/>
            <w:left w:val="none" w:sz="0" w:space="0" w:color="auto"/>
            <w:bottom w:val="none" w:sz="0" w:space="0" w:color="auto"/>
            <w:right w:val="none" w:sz="0" w:space="0" w:color="auto"/>
          </w:divBdr>
          <w:divsChild>
            <w:div w:id="1084835788">
              <w:marLeft w:val="0"/>
              <w:marRight w:val="0"/>
              <w:marTop w:val="0"/>
              <w:marBottom w:val="0"/>
              <w:divBdr>
                <w:top w:val="none" w:sz="0" w:space="0" w:color="auto"/>
                <w:left w:val="none" w:sz="0" w:space="0" w:color="auto"/>
                <w:bottom w:val="none" w:sz="0" w:space="0" w:color="auto"/>
                <w:right w:val="none" w:sz="0" w:space="0" w:color="auto"/>
              </w:divBdr>
              <w:divsChild>
                <w:div w:id="2069330177">
                  <w:marLeft w:val="0"/>
                  <w:marRight w:val="0"/>
                  <w:marTop w:val="0"/>
                  <w:marBottom w:val="0"/>
                  <w:divBdr>
                    <w:top w:val="none" w:sz="0" w:space="0" w:color="auto"/>
                    <w:left w:val="none" w:sz="0" w:space="0" w:color="auto"/>
                    <w:bottom w:val="none" w:sz="0" w:space="0" w:color="auto"/>
                    <w:right w:val="none" w:sz="0" w:space="0" w:color="auto"/>
                  </w:divBdr>
                  <w:divsChild>
                    <w:div w:id="836384154">
                      <w:marLeft w:val="0"/>
                      <w:marRight w:val="0"/>
                      <w:marTop w:val="100"/>
                      <w:marBottom w:val="225"/>
                      <w:divBdr>
                        <w:top w:val="none" w:sz="0" w:space="0" w:color="auto"/>
                        <w:left w:val="none" w:sz="0" w:space="0" w:color="auto"/>
                        <w:bottom w:val="none" w:sz="0" w:space="0" w:color="auto"/>
                        <w:right w:val="none" w:sz="0" w:space="0" w:color="auto"/>
                      </w:divBdr>
                      <w:divsChild>
                        <w:div w:id="17265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2156</Words>
  <Characters>12074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Department of Education</Company>
  <LinksUpToDate>false</LinksUpToDate>
  <CharactersWithSpaces>14202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BRANDY SILVERMAN</dc:creator>
  <cp:lastModifiedBy>James Hyler</cp:lastModifiedBy>
  <cp:revision>2</cp:revision>
  <cp:lastPrinted>2011-05-10T13:46:00Z</cp:lastPrinted>
  <dcterms:created xsi:type="dcterms:W3CDTF">2011-05-10T14:14:00Z</dcterms:created>
  <dcterms:modified xsi:type="dcterms:W3CDTF">2011-05-10T14:14:00Z</dcterms:modified>
</cp:coreProperties>
</file>