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92"/>
        <w:tblW w:w="10170" w:type="dxa"/>
        <w:tblLayout w:type="fixed"/>
        <w:tblLook w:val="0000"/>
      </w:tblPr>
      <w:tblGrid>
        <w:gridCol w:w="2157"/>
        <w:gridCol w:w="8013"/>
      </w:tblGrid>
      <w:tr w:rsidR="00A939D8" w:rsidTr="00A939D8">
        <w:tc>
          <w:tcPr>
            <w:tcW w:w="2157" w:type="dxa"/>
          </w:tcPr>
          <w:p w:rsidR="00A939D8" w:rsidRPr="00E140D1" w:rsidRDefault="00A939D8" w:rsidP="00A939D8">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2185" cy="100393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72185" cy="1003935"/>
                          </a:xfrm>
                          <a:prstGeom prst="rect">
                            <a:avLst/>
                          </a:prstGeom>
                          <a:noFill/>
                        </pic:spPr>
                      </pic:pic>
                    </a:graphicData>
                  </a:graphic>
                </wp:anchor>
              </w:drawing>
            </w:r>
          </w:p>
        </w:tc>
        <w:tc>
          <w:tcPr>
            <w:tcW w:w="8013" w:type="dxa"/>
          </w:tcPr>
          <w:p w:rsidR="00A939D8" w:rsidRDefault="00A939D8" w:rsidP="00A939D8">
            <w:pPr>
              <w:pStyle w:val="C1-CtrSglSp"/>
              <w:tabs>
                <w:tab w:val="center" w:pos="3600"/>
                <w:tab w:val="left" w:pos="7905"/>
              </w:tabs>
              <w:ind w:right="2052"/>
              <w:jc w:val="left"/>
              <w:rPr>
                <w:rFonts w:ascii="Helvetica" w:hAnsi="Helvetica"/>
              </w:rPr>
            </w:pPr>
          </w:p>
          <w:p w:rsidR="00A939D8" w:rsidRDefault="00A939D8" w:rsidP="00A939D8">
            <w:pPr>
              <w:pStyle w:val="C1-CtrSglSp"/>
              <w:tabs>
                <w:tab w:val="left" w:pos="7905"/>
              </w:tabs>
              <w:ind w:right="2052"/>
              <w:jc w:val="left"/>
              <w:rPr>
                <w:rFonts w:ascii="Helvetica" w:hAnsi="Helvetica"/>
              </w:rPr>
            </w:pPr>
          </w:p>
          <w:p w:rsidR="00A939D8" w:rsidRPr="00EB278E" w:rsidRDefault="00A939D8" w:rsidP="00A939D8">
            <w:pPr>
              <w:pStyle w:val="C1-CtrSglSp"/>
              <w:tabs>
                <w:tab w:val="left" w:pos="1245"/>
                <w:tab w:val="left" w:pos="7905"/>
              </w:tabs>
              <w:jc w:val="left"/>
              <w:rPr>
                <w:rFonts w:ascii="AvantGarde" w:hAnsi="AvantGarde" w:cs="Arial"/>
                <w:b/>
                <w:sz w:val="20"/>
              </w:rPr>
            </w:pPr>
            <w:r>
              <w:rPr>
                <w:rFonts w:ascii="Helvetica" w:hAnsi="Helvetica"/>
              </w:rPr>
              <w:tab/>
            </w:r>
            <w:smartTag w:uri="urn:schemas-microsoft-com:office:smarttags" w:element="country-region">
              <w:smartTag w:uri="urn:schemas-microsoft-com:office:smarttags" w:element="place">
                <w:r w:rsidRPr="00EB278E">
                  <w:rPr>
                    <w:rFonts w:ascii="AvantGarde" w:hAnsi="AvantGarde" w:cs="Arial"/>
                    <w:b/>
                    <w:sz w:val="20"/>
                  </w:rPr>
                  <w:t>U.S.</w:t>
                </w:r>
              </w:smartTag>
            </w:smartTag>
            <w:r w:rsidRPr="00EB278E">
              <w:rPr>
                <w:rFonts w:ascii="AvantGarde" w:hAnsi="AvantGarde" w:cs="Arial"/>
                <w:b/>
                <w:sz w:val="20"/>
              </w:rPr>
              <w:t xml:space="preserve"> DEPARTMENT OF EDUCATION</w:t>
            </w:r>
          </w:p>
          <w:p w:rsidR="00A939D8" w:rsidRPr="00EB278E" w:rsidRDefault="00A939D8" w:rsidP="00A939D8">
            <w:pPr>
              <w:pStyle w:val="C1-CtrSglSp"/>
              <w:tabs>
                <w:tab w:val="left" w:pos="1083"/>
              </w:tabs>
              <w:ind w:right="2322"/>
              <w:jc w:val="left"/>
              <w:rPr>
                <w:rFonts w:ascii="AvantGarde" w:hAnsi="AvantGarde" w:cs="Arial"/>
                <w:spacing w:val="4"/>
                <w:sz w:val="20"/>
              </w:rPr>
            </w:pPr>
            <w:r w:rsidRPr="00EB278E">
              <w:rPr>
                <w:rFonts w:ascii="AvantGarde" w:hAnsi="AvantGarde"/>
                <w:sz w:val="17"/>
              </w:rPr>
              <w:tab/>
            </w:r>
            <w:smartTag w:uri="urn:schemas-microsoft-com:office:smarttags" w:element="PlaceType">
              <w:smartTag w:uri="urn:schemas-microsoft-com:office:smarttags" w:element="place">
                <w:r w:rsidRPr="00EB278E">
                  <w:rPr>
                    <w:rFonts w:ascii="AvantGarde" w:hAnsi="AvantGarde" w:cs="Arial"/>
                    <w:spacing w:val="4"/>
                    <w:sz w:val="20"/>
                  </w:rPr>
                  <w:t>INSTITUTE</w:t>
                </w:r>
              </w:smartTag>
              <w:r w:rsidRPr="00EB278E">
                <w:rPr>
                  <w:rFonts w:ascii="AvantGarde" w:hAnsi="AvantGarde" w:cs="Arial"/>
                  <w:spacing w:val="4"/>
                  <w:sz w:val="20"/>
                </w:rPr>
                <w:t xml:space="preserve"> OF </w:t>
              </w:r>
              <w:smartTag w:uri="urn:schemas-microsoft-com:office:smarttags" w:element="PlaceName">
                <w:r w:rsidRPr="00EB278E">
                  <w:rPr>
                    <w:rFonts w:ascii="AvantGarde" w:hAnsi="AvantGarde" w:cs="Arial"/>
                    <w:spacing w:val="4"/>
                    <w:sz w:val="20"/>
                  </w:rPr>
                  <w:t>EDUCATION</w:t>
                </w:r>
              </w:smartTag>
            </w:smartTag>
            <w:r w:rsidRPr="00EB278E">
              <w:rPr>
                <w:rFonts w:ascii="AvantGarde" w:hAnsi="AvantGarde" w:cs="Arial"/>
                <w:spacing w:val="4"/>
                <w:sz w:val="20"/>
              </w:rPr>
              <w:t xml:space="preserve"> SCIENCES</w:t>
            </w:r>
          </w:p>
          <w:p w:rsidR="00A939D8" w:rsidRDefault="00A939D8" w:rsidP="00A939D8">
            <w:pPr>
              <w:pStyle w:val="C1-CtrSglSp"/>
              <w:tabs>
                <w:tab w:val="left" w:pos="7905"/>
              </w:tabs>
              <w:jc w:val="right"/>
              <w:rPr>
                <w:rFonts w:ascii="Helvetica" w:hAnsi="Helvetica"/>
                <w:sz w:val="18"/>
              </w:rPr>
            </w:pPr>
          </w:p>
          <w:p w:rsidR="00A939D8" w:rsidRPr="00EB278E" w:rsidRDefault="00A939D8" w:rsidP="00A939D8">
            <w:pPr>
              <w:pStyle w:val="C1-CtrSglSp"/>
              <w:tabs>
                <w:tab w:val="left" w:pos="3405"/>
              </w:tabs>
              <w:ind w:right="432"/>
              <w:jc w:val="left"/>
              <w:rPr>
                <w:rFonts w:ascii="Arial" w:hAnsi="Arial" w:cs="Arial"/>
                <w:sz w:val="16"/>
                <w:szCs w:val="16"/>
              </w:rPr>
            </w:pPr>
            <w:r>
              <w:rPr>
                <w:rFonts w:ascii="Arial" w:hAnsi="Arial" w:cs="Arial"/>
                <w:sz w:val="16"/>
                <w:szCs w:val="16"/>
              </w:rPr>
              <w:tab/>
            </w:r>
            <w:smartTag w:uri="urn:schemas-microsoft-com:office:smarttags" w:element="PlaceName">
              <w:smartTag w:uri="urn:schemas-microsoft-com:office:smarttags" w:element="place">
                <w:r w:rsidRPr="00EB278E">
                  <w:rPr>
                    <w:rFonts w:ascii="Arial" w:hAnsi="Arial" w:cs="Arial"/>
                    <w:sz w:val="16"/>
                    <w:szCs w:val="16"/>
                  </w:rPr>
                  <w:t>NATIONAL</w:t>
                </w:r>
              </w:smartTag>
              <w:r w:rsidRPr="00EB278E">
                <w:rPr>
                  <w:rFonts w:ascii="Arial" w:hAnsi="Arial" w:cs="Arial"/>
                  <w:sz w:val="16"/>
                  <w:szCs w:val="16"/>
                </w:rPr>
                <w:t xml:space="preserve"> </w:t>
              </w:r>
              <w:smartTag w:uri="urn:schemas-microsoft-com:office:smarttags" w:element="PlaceType">
                <w:r w:rsidRPr="00EB278E">
                  <w:rPr>
                    <w:rFonts w:ascii="Arial" w:hAnsi="Arial" w:cs="Arial"/>
                    <w:sz w:val="16"/>
                    <w:szCs w:val="16"/>
                  </w:rPr>
                  <w:t>CENTER</w:t>
                </w:r>
              </w:smartTag>
            </w:smartTag>
            <w:r w:rsidRPr="00EB278E">
              <w:rPr>
                <w:rFonts w:ascii="Arial" w:hAnsi="Arial" w:cs="Arial"/>
                <w:sz w:val="16"/>
                <w:szCs w:val="16"/>
              </w:rPr>
              <w:t xml:space="preserve"> FOR EDUCATION STATISTICS</w:t>
            </w:r>
          </w:p>
        </w:tc>
      </w:tr>
    </w:tbl>
    <w:tbl>
      <w:tblPr>
        <w:tblW w:w="4919" w:type="pct"/>
        <w:tblLayout w:type="fixed"/>
        <w:tblCellMar>
          <w:left w:w="115" w:type="dxa"/>
          <w:right w:w="115" w:type="dxa"/>
        </w:tblCellMar>
        <w:tblLook w:val="0000"/>
      </w:tblPr>
      <w:tblGrid>
        <w:gridCol w:w="1402"/>
        <w:gridCol w:w="8883"/>
      </w:tblGrid>
      <w:tr w:rsidR="00A939D8" w:rsidTr="002F4BD9">
        <w:tc>
          <w:tcPr>
            <w:tcW w:w="1402" w:type="dxa"/>
          </w:tcPr>
          <w:p w:rsidR="00A939D8" w:rsidRDefault="00A939D8" w:rsidP="00A939D8">
            <w:pPr>
              <w:pStyle w:val="SL-FlLftSgl"/>
              <w:rPr>
                <w:rFonts w:ascii="Franklin Gothic Medium" w:hAnsi="Franklin Gothic Medium"/>
              </w:rPr>
            </w:pPr>
            <w:r>
              <w:rPr>
                <w:rFonts w:ascii="Franklin Gothic Medium" w:hAnsi="Franklin Gothic Medium"/>
              </w:rPr>
              <w:t>Date:</w:t>
            </w:r>
          </w:p>
        </w:tc>
        <w:tc>
          <w:tcPr>
            <w:tcW w:w="8883" w:type="dxa"/>
          </w:tcPr>
          <w:p w:rsidR="00A939D8" w:rsidRDefault="00DB2662" w:rsidP="00E85E9E">
            <w:pPr>
              <w:pStyle w:val="SL-FlLftSgl"/>
            </w:pPr>
            <w:bookmarkStart w:id="0" w:name="Date"/>
            <w:bookmarkEnd w:id="0"/>
            <w:r>
              <w:t xml:space="preserve">July </w:t>
            </w:r>
            <w:r w:rsidR="00E85E9E">
              <w:t>15</w:t>
            </w:r>
            <w:r w:rsidR="00A939D8">
              <w:t>, 2011</w:t>
            </w:r>
          </w:p>
        </w:tc>
      </w:tr>
      <w:tr w:rsidR="00A939D8" w:rsidTr="002F4BD9">
        <w:tc>
          <w:tcPr>
            <w:tcW w:w="10285" w:type="dxa"/>
            <w:gridSpan w:val="2"/>
          </w:tcPr>
          <w:p w:rsidR="00A939D8" w:rsidRDefault="00A939D8" w:rsidP="00A939D8">
            <w:pPr>
              <w:pStyle w:val="SL-FlLftSgl"/>
            </w:pPr>
          </w:p>
        </w:tc>
      </w:tr>
      <w:tr w:rsidR="00A939D8" w:rsidTr="002F4BD9">
        <w:tc>
          <w:tcPr>
            <w:tcW w:w="1402" w:type="dxa"/>
          </w:tcPr>
          <w:p w:rsidR="00A939D8" w:rsidRDefault="00A939D8" w:rsidP="00A939D8">
            <w:pPr>
              <w:pStyle w:val="SL-FlLftSgl"/>
              <w:rPr>
                <w:rFonts w:ascii="Franklin Gothic Medium" w:hAnsi="Franklin Gothic Medium"/>
              </w:rPr>
            </w:pPr>
            <w:r>
              <w:rPr>
                <w:rFonts w:ascii="Franklin Gothic Medium" w:hAnsi="Franklin Gothic Medium"/>
              </w:rPr>
              <w:t>To:</w:t>
            </w:r>
          </w:p>
        </w:tc>
        <w:tc>
          <w:tcPr>
            <w:tcW w:w="8883" w:type="dxa"/>
          </w:tcPr>
          <w:p w:rsidR="00A939D8" w:rsidRDefault="00A939D8" w:rsidP="00A939D8">
            <w:pPr>
              <w:tabs>
                <w:tab w:val="left" w:pos="1440"/>
              </w:tabs>
              <w:spacing w:line="240" w:lineRule="auto"/>
            </w:pPr>
            <w:bookmarkStart w:id="1" w:name="To"/>
            <w:bookmarkEnd w:id="1"/>
            <w:r>
              <w:rPr>
                <w:rFonts w:ascii="Times New Roman" w:hAnsi="Times New Roman"/>
              </w:rPr>
              <w:t>Rochelle W.</w:t>
            </w:r>
            <w:r w:rsidRPr="00256FF3">
              <w:rPr>
                <w:rFonts w:ascii="Times New Roman" w:hAnsi="Times New Roman"/>
              </w:rPr>
              <w:t xml:space="preserve"> Martinez</w:t>
            </w:r>
            <w:r>
              <w:rPr>
                <w:rFonts w:ascii="Times New Roman" w:hAnsi="Times New Roman"/>
              </w:rPr>
              <w:t>, OMB</w:t>
            </w:r>
          </w:p>
        </w:tc>
      </w:tr>
      <w:tr w:rsidR="00A939D8" w:rsidRPr="00BE484A" w:rsidTr="002F4BD9">
        <w:tc>
          <w:tcPr>
            <w:tcW w:w="1402" w:type="dxa"/>
          </w:tcPr>
          <w:p w:rsidR="00A939D8" w:rsidRDefault="00A939D8" w:rsidP="00A939D8">
            <w:pPr>
              <w:pStyle w:val="SL-FlLftSgl"/>
              <w:rPr>
                <w:rFonts w:ascii="Franklin Gothic Medium" w:hAnsi="Franklin Gothic Medium"/>
              </w:rPr>
            </w:pPr>
            <w:r>
              <w:rPr>
                <w:rFonts w:ascii="Franklin Gothic Medium" w:hAnsi="Franklin Gothic Medium"/>
              </w:rPr>
              <w:t>Through:</w:t>
            </w:r>
          </w:p>
        </w:tc>
        <w:tc>
          <w:tcPr>
            <w:tcW w:w="8883" w:type="dxa"/>
          </w:tcPr>
          <w:p w:rsidR="00A939D8" w:rsidRPr="00BE484A" w:rsidRDefault="00A939D8" w:rsidP="00A939D8">
            <w:pPr>
              <w:pStyle w:val="SL-FlLftSgl"/>
            </w:pPr>
            <w:bookmarkStart w:id="2" w:name="From"/>
            <w:bookmarkEnd w:id="2"/>
            <w:r w:rsidRPr="00256FF3">
              <w:rPr>
                <w:szCs w:val="22"/>
              </w:rPr>
              <w:t>Kashka Kubzdela</w:t>
            </w:r>
            <w:r>
              <w:rPr>
                <w:szCs w:val="22"/>
              </w:rPr>
              <w:t>, NCES</w:t>
            </w:r>
          </w:p>
        </w:tc>
      </w:tr>
      <w:tr w:rsidR="00A939D8" w:rsidRPr="0069016B" w:rsidTr="002F4BD9">
        <w:tc>
          <w:tcPr>
            <w:tcW w:w="1402" w:type="dxa"/>
          </w:tcPr>
          <w:p w:rsidR="00A939D8" w:rsidRDefault="00A939D8" w:rsidP="00A939D8">
            <w:pPr>
              <w:pStyle w:val="SL-FlLftSgl"/>
              <w:rPr>
                <w:rFonts w:ascii="Franklin Gothic Medium" w:hAnsi="Franklin Gothic Medium"/>
              </w:rPr>
            </w:pPr>
          </w:p>
        </w:tc>
        <w:tc>
          <w:tcPr>
            <w:tcW w:w="8883" w:type="dxa"/>
          </w:tcPr>
          <w:p w:rsidR="00A939D8" w:rsidRPr="0069016B" w:rsidRDefault="00A939D8" w:rsidP="00A939D8">
            <w:pPr>
              <w:pStyle w:val="SL-FlLftSgl"/>
              <w:rPr>
                <w:b/>
              </w:rPr>
            </w:pPr>
          </w:p>
        </w:tc>
      </w:tr>
      <w:tr w:rsidR="00A939D8" w:rsidRPr="00BE484A" w:rsidTr="002F4BD9">
        <w:tc>
          <w:tcPr>
            <w:tcW w:w="1402" w:type="dxa"/>
          </w:tcPr>
          <w:p w:rsidR="00A939D8" w:rsidRDefault="00A939D8" w:rsidP="00A939D8">
            <w:pPr>
              <w:pStyle w:val="SL-FlLftSgl"/>
              <w:rPr>
                <w:rFonts w:ascii="Franklin Gothic Medium" w:hAnsi="Franklin Gothic Medium"/>
              </w:rPr>
            </w:pPr>
            <w:r>
              <w:rPr>
                <w:rFonts w:ascii="Franklin Gothic Medium" w:hAnsi="Franklin Gothic Medium"/>
              </w:rPr>
              <w:t>From</w:t>
            </w:r>
          </w:p>
        </w:tc>
        <w:tc>
          <w:tcPr>
            <w:tcW w:w="8883" w:type="dxa"/>
          </w:tcPr>
          <w:p w:rsidR="00A939D8" w:rsidRPr="00BE484A" w:rsidRDefault="00A939D8" w:rsidP="00A939D8">
            <w:pPr>
              <w:tabs>
                <w:tab w:val="left" w:pos="1440"/>
              </w:tabs>
              <w:spacing w:line="240" w:lineRule="auto"/>
              <w:rPr>
                <w:rFonts w:ascii="Times New Roman" w:hAnsi="Times New Roman"/>
              </w:rPr>
            </w:pPr>
            <w:r>
              <w:rPr>
                <w:rFonts w:ascii="Times New Roman" w:hAnsi="Times New Roman"/>
              </w:rPr>
              <w:t>Jared Coopersmith, NCES</w:t>
            </w:r>
          </w:p>
        </w:tc>
      </w:tr>
      <w:tr w:rsidR="00A939D8" w:rsidTr="002F4BD9">
        <w:tc>
          <w:tcPr>
            <w:tcW w:w="1402" w:type="dxa"/>
          </w:tcPr>
          <w:p w:rsidR="00A939D8" w:rsidRDefault="00A939D8" w:rsidP="00A939D8">
            <w:pPr>
              <w:pStyle w:val="SL-FlLftSgl"/>
              <w:rPr>
                <w:rFonts w:ascii="Franklin Gothic Medium" w:hAnsi="Franklin Gothic Medium"/>
              </w:rPr>
            </w:pPr>
            <w:r>
              <w:rPr>
                <w:rFonts w:ascii="Franklin Gothic Medium" w:hAnsi="Franklin Gothic Medium"/>
              </w:rPr>
              <w:t>Subject:</w:t>
            </w:r>
          </w:p>
        </w:tc>
        <w:tc>
          <w:tcPr>
            <w:tcW w:w="8883" w:type="dxa"/>
          </w:tcPr>
          <w:p w:rsidR="00EC718D" w:rsidRPr="00EC718D" w:rsidRDefault="00EC718D" w:rsidP="00EC718D">
            <w:pPr>
              <w:pStyle w:val="SL-FlLftSgl"/>
            </w:pPr>
            <w:bookmarkStart w:id="3" w:name="Subject"/>
            <w:bookmarkEnd w:id="3"/>
            <w:r w:rsidRPr="00EC718D">
              <w:t>Fast Response Survey System (FRSS) 104: Dual Credit and Exam-Based Courses in Public High Schools: 2010–11</w:t>
            </w:r>
            <w:r>
              <w:t xml:space="preserve"> </w:t>
            </w:r>
            <w:r>
              <w:rPr>
                <w:szCs w:val="22"/>
              </w:rPr>
              <w:t>and</w:t>
            </w:r>
            <w:r w:rsidR="00A939D8">
              <w:rPr>
                <w:szCs w:val="22"/>
              </w:rPr>
              <w:t xml:space="preserve"> </w:t>
            </w:r>
            <w:r w:rsidRPr="00EC718D">
              <w:t xml:space="preserve">Postsecondary Education Quick Information System (PEQIS) 18: Dual Enrollment </w:t>
            </w:r>
            <w:r w:rsidR="008556AE">
              <w:t>Programs and Courses for High School Students</w:t>
            </w:r>
            <w:r w:rsidRPr="00EC718D">
              <w:t>: 2010–11</w:t>
            </w:r>
            <w:r w:rsidR="002F4BD9">
              <w:t xml:space="preserve"> (OMB# </w:t>
            </w:r>
            <w:r w:rsidR="002F4BD9" w:rsidRPr="002F4BD9">
              <w:t>1850-0733 v.25</w:t>
            </w:r>
            <w:r w:rsidR="002F4BD9">
              <w:t>)</w:t>
            </w:r>
          </w:p>
          <w:p w:rsidR="00A939D8" w:rsidRDefault="00A939D8" w:rsidP="00A939D8">
            <w:pPr>
              <w:pStyle w:val="SL-FlLftSgl"/>
            </w:pPr>
          </w:p>
        </w:tc>
      </w:tr>
    </w:tbl>
    <w:p w:rsidR="00182BF5" w:rsidRPr="0083654A" w:rsidRDefault="00ED1CA7">
      <w:pPr>
        <w:rPr>
          <w:rFonts w:ascii="Times New Roman" w:hAnsi="Times New Roman" w:cs="Times New Roman"/>
          <w:b/>
          <w:sz w:val="28"/>
          <w:szCs w:val="28"/>
        </w:rPr>
      </w:pPr>
      <w:r w:rsidRPr="0083654A">
        <w:rPr>
          <w:rFonts w:ascii="Times New Roman" w:hAnsi="Times New Roman" w:cs="Times New Roman"/>
          <w:b/>
          <w:sz w:val="28"/>
          <w:szCs w:val="28"/>
        </w:rPr>
        <w:t>Justification</w:t>
      </w:r>
    </w:p>
    <w:p w:rsidR="007478BD" w:rsidRDefault="00823CB3" w:rsidP="00823CB3">
      <w:pPr>
        <w:ind w:firstLine="720"/>
        <w:rPr>
          <w:rFonts w:ascii="Times New Roman" w:hAnsi="Times New Roman" w:cs="Times New Roman"/>
        </w:rPr>
      </w:pPr>
      <w:r w:rsidRPr="009C0728">
        <w:rPr>
          <w:rFonts w:ascii="Times New Roman" w:hAnsi="Times New Roman" w:cs="Times New Roman"/>
        </w:rPr>
        <w:t xml:space="preserve">The National Center for Education Statistics (NCES), U.S. Department of Education (ED) proposes to </w:t>
      </w:r>
      <w:r w:rsidR="00EC7718" w:rsidRPr="009C0728">
        <w:rPr>
          <w:rFonts w:ascii="Times New Roman" w:hAnsi="Times New Roman" w:cs="Times New Roman"/>
        </w:rPr>
        <w:t xml:space="preserve">use the </w:t>
      </w:r>
      <w:r w:rsidR="0062176C" w:rsidRPr="009C0728">
        <w:rPr>
          <w:rFonts w:ascii="Times New Roman" w:hAnsi="Times New Roman" w:cs="Times New Roman"/>
        </w:rPr>
        <w:t xml:space="preserve">Fast Response Survey System (FRSS) and the </w:t>
      </w:r>
      <w:r w:rsidR="00EC7718" w:rsidRPr="009C0728">
        <w:rPr>
          <w:rFonts w:ascii="Times New Roman" w:hAnsi="Times New Roman" w:cs="Times New Roman"/>
        </w:rPr>
        <w:t>Postsecondary Education Quick Information System (PEQIS)</w:t>
      </w:r>
      <w:r w:rsidRPr="009C0728">
        <w:rPr>
          <w:rFonts w:ascii="Times New Roman" w:hAnsi="Times New Roman" w:cs="Times New Roman"/>
        </w:rPr>
        <w:t xml:space="preserve"> to conduct </w:t>
      </w:r>
      <w:r w:rsidR="0062176C" w:rsidRPr="009C0728">
        <w:rPr>
          <w:rFonts w:ascii="Times New Roman" w:hAnsi="Times New Roman" w:cs="Times New Roman"/>
        </w:rPr>
        <w:t xml:space="preserve">two </w:t>
      </w:r>
      <w:r w:rsidR="00CF15B5" w:rsidRPr="009C0728">
        <w:rPr>
          <w:rFonts w:ascii="Times New Roman" w:hAnsi="Times New Roman" w:cs="Times New Roman"/>
        </w:rPr>
        <w:t xml:space="preserve">complementary </w:t>
      </w:r>
      <w:r w:rsidR="0062176C" w:rsidRPr="009C0728">
        <w:rPr>
          <w:rFonts w:ascii="Times New Roman" w:hAnsi="Times New Roman" w:cs="Times New Roman"/>
        </w:rPr>
        <w:t xml:space="preserve">surveys on </w:t>
      </w:r>
      <w:r w:rsidR="00CF15B5" w:rsidRPr="009C0728">
        <w:rPr>
          <w:rFonts w:ascii="Times New Roman" w:hAnsi="Times New Roman" w:cs="Times New Roman"/>
        </w:rPr>
        <w:t xml:space="preserve">dual credit and </w:t>
      </w:r>
      <w:r w:rsidR="0062176C" w:rsidRPr="009C0728">
        <w:rPr>
          <w:rFonts w:ascii="Times New Roman" w:hAnsi="Times New Roman" w:cs="Times New Roman"/>
        </w:rPr>
        <w:t>dual enrollment programs</w:t>
      </w:r>
      <w:r w:rsidR="00705EF0" w:rsidRPr="009C0728">
        <w:rPr>
          <w:rFonts w:ascii="Times New Roman" w:hAnsi="Times New Roman" w:cs="Times New Roman"/>
        </w:rPr>
        <w:t xml:space="preserve"> offered to high school students</w:t>
      </w:r>
      <w:r w:rsidRPr="009C0728">
        <w:rPr>
          <w:rFonts w:ascii="Times New Roman" w:hAnsi="Times New Roman" w:cs="Times New Roman"/>
        </w:rPr>
        <w:t xml:space="preserve">. </w:t>
      </w:r>
      <w:r w:rsidR="009C0728" w:rsidRPr="009C0728">
        <w:rPr>
          <w:rFonts w:ascii="Times New Roman" w:hAnsi="Times New Roman" w:cs="Times New Roman"/>
        </w:rPr>
        <w:t xml:space="preserve">The proposed surveys were requested by the Office of Elementary and Secondary Education (OESE), ED. </w:t>
      </w:r>
    </w:p>
    <w:p w:rsidR="007478BD" w:rsidRDefault="007478BD" w:rsidP="007478BD">
      <w:pPr>
        <w:ind w:firstLine="720"/>
        <w:rPr>
          <w:rFonts w:ascii="Times New Roman" w:hAnsi="Times New Roman" w:cs="Times New Roman"/>
        </w:rPr>
      </w:pPr>
      <w:r w:rsidRPr="007478BD">
        <w:rPr>
          <w:rFonts w:ascii="Times New Roman" w:hAnsi="Times New Roman" w:cs="Times New Roman"/>
        </w:rPr>
        <w:t>Dual enrollment courses that offer high school students the opportunity to earn high school and postsecondary credit simultaneously have attracted con</w:t>
      </w:r>
      <w:r w:rsidR="001D64C8">
        <w:rPr>
          <w:rFonts w:ascii="Times New Roman" w:hAnsi="Times New Roman" w:cs="Times New Roman"/>
        </w:rPr>
        <w:t>siderable interest among policy</w:t>
      </w:r>
      <w:r w:rsidRPr="007478BD">
        <w:rPr>
          <w:rFonts w:ascii="Times New Roman" w:hAnsi="Times New Roman" w:cs="Times New Roman"/>
        </w:rPr>
        <w:t>makers in recent years.</w:t>
      </w:r>
      <w:r w:rsidR="005E04AF">
        <w:rPr>
          <w:rFonts w:ascii="Times New Roman" w:hAnsi="Times New Roman" w:cs="Times New Roman"/>
        </w:rPr>
        <w:t xml:space="preserve"> </w:t>
      </w:r>
      <w:r w:rsidRPr="007478BD">
        <w:rPr>
          <w:rFonts w:ascii="Times New Roman" w:hAnsi="Times New Roman" w:cs="Times New Roman"/>
        </w:rPr>
        <w:t xml:space="preserve">These </w:t>
      </w:r>
      <w:r w:rsidR="001D64C8">
        <w:rPr>
          <w:rFonts w:ascii="Times New Roman" w:hAnsi="Times New Roman" w:cs="Times New Roman"/>
        </w:rPr>
        <w:t>courses are appealing to policy</w:t>
      </w:r>
      <w:r w:rsidRPr="007478BD">
        <w:rPr>
          <w:rFonts w:ascii="Times New Roman" w:hAnsi="Times New Roman" w:cs="Times New Roman"/>
        </w:rPr>
        <w:t xml:space="preserve">makers because they </w:t>
      </w:r>
      <w:r w:rsidR="001D64C8">
        <w:rPr>
          <w:rFonts w:ascii="Times New Roman" w:hAnsi="Times New Roman" w:cs="Times New Roman"/>
        </w:rPr>
        <w:t xml:space="preserve">hold the </w:t>
      </w:r>
      <w:r w:rsidRPr="007478BD">
        <w:rPr>
          <w:rFonts w:ascii="Times New Roman" w:hAnsi="Times New Roman" w:cs="Times New Roman"/>
        </w:rPr>
        <w:t>promise</w:t>
      </w:r>
      <w:r w:rsidR="001D64C8">
        <w:rPr>
          <w:rFonts w:ascii="Times New Roman" w:hAnsi="Times New Roman" w:cs="Times New Roman"/>
        </w:rPr>
        <w:t xml:space="preserve"> of</w:t>
      </w:r>
      <w:r w:rsidRPr="007478BD">
        <w:rPr>
          <w:rFonts w:ascii="Times New Roman" w:hAnsi="Times New Roman" w:cs="Times New Roman"/>
        </w:rPr>
        <w:t xml:space="preserve"> both </w:t>
      </w:r>
      <w:r w:rsidR="001D64C8">
        <w:rPr>
          <w:rFonts w:ascii="Times New Roman" w:hAnsi="Times New Roman" w:cs="Times New Roman"/>
        </w:rPr>
        <w:t>increasing</w:t>
      </w:r>
      <w:r w:rsidRPr="007478BD">
        <w:rPr>
          <w:rFonts w:ascii="Times New Roman" w:hAnsi="Times New Roman" w:cs="Times New Roman"/>
        </w:rPr>
        <w:t xml:space="preserve"> the rigor of the high school curriculum and </w:t>
      </w:r>
      <w:r w:rsidR="001D64C8">
        <w:rPr>
          <w:rFonts w:ascii="Times New Roman" w:hAnsi="Times New Roman" w:cs="Times New Roman"/>
        </w:rPr>
        <w:t>accelerating</w:t>
      </w:r>
      <w:r w:rsidRPr="007478BD">
        <w:rPr>
          <w:rFonts w:ascii="Times New Roman" w:hAnsi="Times New Roman" w:cs="Times New Roman"/>
        </w:rPr>
        <w:t xml:space="preserve"> the completion of postsecondary education by participating students.</w:t>
      </w:r>
      <w:r w:rsidRPr="007478BD">
        <w:rPr>
          <w:rStyle w:val="FootnoteReference"/>
          <w:rFonts w:ascii="Times New Roman" w:hAnsi="Times New Roman" w:cs="Times New Roman"/>
        </w:rPr>
        <w:footnoteReference w:id="1"/>
      </w:r>
      <w:r w:rsidRPr="007478BD">
        <w:rPr>
          <w:rFonts w:ascii="Times New Roman" w:hAnsi="Times New Roman" w:cs="Times New Roman"/>
        </w:rPr>
        <w:t xml:space="preserve"> Some policy analysts also contend that dual enrollment is an effective strategy for promoting enrollment and success in postsecondary education by not only high-achieving students, but middle- and low-achieving students as well.</w:t>
      </w:r>
      <w:r w:rsidRPr="007478BD">
        <w:rPr>
          <w:rStyle w:val="FootnoteReference"/>
          <w:rFonts w:ascii="Times New Roman" w:hAnsi="Times New Roman" w:cs="Times New Roman"/>
        </w:rPr>
        <w:footnoteReference w:id="2"/>
      </w:r>
      <w:r>
        <w:rPr>
          <w:rFonts w:ascii="Times New Roman" w:hAnsi="Times New Roman" w:cs="Times New Roman"/>
        </w:rPr>
        <w:t xml:space="preserve"> </w:t>
      </w:r>
    </w:p>
    <w:p w:rsidR="007D1682" w:rsidRDefault="001D64C8" w:rsidP="007478BD">
      <w:pPr>
        <w:ind w:firstLine="720"/>
        <w:rPr>
          <w:rFonts w:ascii="Times New Roman" w:hAnsi="Times New Roman" w:cs="Times New Roman"/>
        </w:rPr>
      </w:pPr>
      <w:r>
        <w:rPr>
          <w:rFonts w:ascii="Times New Roman" w:hAnsi="Times New Roman" w:cs="Times New Roman"/>
        </w:rPr>
        <w:t>Policy</w:t>
      </w:r>
      <w:r w:rsidR="007478BD" w:rsidRPr="007478BD">
        <w:rPr>
          <w:rFonts w:ascii="Times New Roman" w:hAnsi="Times New Roman" w:cs="Times New Roman"/>
        </w:rPr>
        <w:t>makers in 46 states have established statewide policies to support and regulate dual enrollment course offerings.</w:t>
      </w:r>
      <w:r w:rsidR="005E04AF">
        <w:rPr>
          <w:rFonts w:ascii="Times New Roman" w:hAnsi="Times New Roman" w:cs="Times New Roman"/>
        </w:rPr>
        <w:t xml:space="preserve"> </w:t>
      </w:r>
      <w:r w:rsidR="007478BD" w:rsidRPr="007478BD">
        <w:rPr>
          <w:rFonts w:ascii="Times New Roman" w:hAnsi="Times New Roman" w:cs="Times New Roman"/>
        </w:rPr>
        <w:t>Twelve of these states require all of their school districts or public postsecondary institutions or both to provide dual enrollment opportunities to high school students.</w:t>
      </w:r>
      <w:r w:rsidR="007478BD" w:rsidRPr="007478BD">
        <w:rPr>
          <w:rStyle w:val="FootnoteReference"/>
          <w:rFonts w:ascii="Times New Roman" w:hAnsi="Times New Roman" w:cs="Times New Roman"/>
        </w:rPr>
        <w:footnoteReference w:id="3"/>
      </w:r>
      <w:r w:rsidR="007478BD" w:rsidRPr="007478BD">
        <w:rPr>
          <w:rFonts w:ascii="Times New Roman" w:hAnsi="Times New Roman" w:cs="Times New Roman"/>
        </w:rPr>
        <w:t xml:space="preserve"> There also is emerging int</w:t>
      </w:r>
      <w:r>
        <w:rPr>
          <w:rFonts w:ascii="Times New Roman" w:hAnsi="Times New Roman" w:cs="Times New Roman"/>
        </w:rPr>
        <w:t>erest in dual enrollment among federal policy</w:t>
      </w:r>
      <w:r w:rsidR="007478BD" w:rsidRPr="007478BD">
        <w:rPr>
          <w:rFonts w:ascii="Times New Roman" w:hAnsi="Times New Roman" w:cs="Times New Roman"/>
        </w:rPr>
        <w:t xml:space="preserve">makers. The </w:t>
      </w:r>
      <w:r>
        <w:rPr>
          <w:rFonts w:ascii="Times New Roman" w:hAnsi="Times New Roman" w:cs="Times New Roman"/>
        </w:rPr>
        <w:t xml:space="preserve">President’s federal </w:t>
      </w:r>
      <w:r w:rsidR="007478BD" w:rsidRPr="007478BD">
        <w:rPr>
          <w:rFonts w:ascii="Times New Roman" w:hAnsi="Times New Roman" w:cs="Times New Roman"/>
        </w:rPr>
        <w:t xml:space="preserve">Fiscal Year 2012 budget proposal would create a new College Pathways and Accelerated Learning program that would support, among other activities, efforts to </w:t>
      </w:r>
      <w:proofErr w:type="gramStart"/>
      <w:r w:rsidR="007478BD" w:rsidRPr="007478BD">
        <w:rPr>
          <w:rFonts w:ascii="Times New Roman" w:hAnsi="Times New Roman" w:cs="Times New Roman"/>
        </w:rPr>
        <w:t>provide</w:t>
      </w:r>
      <w:proofErr w:type="gramEnd"/>
      <w:r w:rsidR="007478BD" w:rsidRPr="007478BD">
        <w:rPr>
          <w:rFonts w:ascii="Times New Roman" w:hAnsi="Times New Roman" w:cs="Times New Roman"/>
        </w:rPr>
        <w:t xml:space="preserve"> dual enrollment programs to students attending high-poverty high schools.</w:t>
      </w:r>
      <w:r w:rsidR="007478BD">
        <w:rPr>
          <w:rFonts w:ascii="Times New Roman" w:hAnsi="Times New Roman" w:cs="Times New Roman"/>
        </w:rPr>
        <w:t xml:space="preserve"> </w:t>
      </w:r>
    </w:p>
    <w:p w:rsidR="007478BD" w:rsidRPr="007478BD" w:rsidRDefault="007478BD" w:rsidP="007478BD">
      <w:pPr>
        <w:ind w:firstLine="720"/>
        <w:rPr>
          <w:rFonts w:ascii="Times New Roman" w:hAnsi="Times New Roman" w:cs="Times New Roman"/>
        </w:rPr>
      </w:pPr>
      <w:r w:rsidRPr="007478BD">
        <w:rPr>
          <w:rFonts w:ascii="Times New Roman" w:hAnsi="Times New Roman" w:cs="Times New Roman"/>
        </w:rPr>
        <w:t>There are no current national data on the prevalence and characteristi</w:t>
      </w:r>
      <w:r w:rsidR="00A85876">
        <w:rPr>
          <w:rFonts w:ascii="Times New Roman" w:hAnsi="Times New Roman" w:cs="Times New Roman"/>
        </w:rPr>
        <w:t xml:space="preserve">cs of dual enrollment courses. </w:t>
      </w:r>
      <w:r w:rsidR="007D1682">
        <w:rPr>
          <w:rFonts w:ascii="Times New Roman" w:hAnsi="Times New Roman" w:cs="Times New Roman"/>
        </w:rPr>
        <w:t>The proposed</w:t>
      </w:r>
      <w:r w:rsidRPr="007478BD">
        <w:rPr>
          <w:rFonts w:ascii="Times New Roman" w:hAnsi="Times New Roman" w:cs="Times New Roman"/>
        </w:rPr>
        <w:t xml:space="preserve"> surveys will</w:t>
      </w:r>
      <w:r w:rsidR="00B56F91">
        <w:rPr>
          <w:rFonts w:ascii="Times New Roman" w:hAnsi="Times New Roman" w:cs="Times New Roman"/>
        </w:rPr>
        <w:t xml:space="preserve"> help</w:t>
      </w:r>
      <w:r w:rsidRPr="007478BD">
        <w:rPr>
          <w:rFonts w:ascii="Times New Roman" w:hAnsi="Times New Roman" w:cs="Times New Roman"/>
        </w:rPr>
        <w:t xml:space="preserve"> fill this k</w:t>
      </w:r>
      <w:r w:rsidR="00B56F91">
        <w:rPr>
          <w:rFonts w:ascii="Times New Roman" w:hAnsi="Times New Roman" w:cs="Times New Roman"/>
        </w:rPr>
        <w:t>nowledge gap and provide policy</w:t>
      </w:r>
      <w:r w:rsidRPr="007478BD">
        <w:rPr>
          <w:rFonts w:ascii="Times New Roman" w:hAnsi="Times New Roman" w:cs="Times New Roman"/>
        </w:rPr>
        <w:t>makers and educators with comprehensive information about the extent and characteristics of dual enrollment programs in the United States.</w:t>
      </w:r>
    </w:p>
    <w:p w:rsidR="007478BD" w:rsidRPr="007478BD" w:rsidRDefault="007478BD" w:rsidP="007478BD">
      <w:pPr>
        <w:ind w:firstLine="720"/>
        <w:rPr>
          <w:rFonts w:ascii="Times New Roman" w:hAnsi="Times New Roman" w:cs="Times New Roman"/>
        </w:rPr>
      </w:pPr>
      <w:r w:rsidRPr="007478BD">
        <w:rPr>
          <w:rFonts w:ascii="Times New Roman" w:hAnsi="Times New Roman" w:cs="Times New Roman"/>
        </w:rPr>
        <w:t xml:space="preserve">The most recent national data on dual </w:t>
      </w:r>
      <w:r w:rsidR="001B3949">
        <w:rPr>
          <w:rFonts w:ascii="Times New Roman" w:hAnsi="Times New Roman" w:cs="Times New Roman"/>
        </w:rPr>
        <w:t xml:space="preserve">enrollment </w:t>
      </w:r>
      <w:r w:rsidRPr="007478BD">
        <w:rPr>
          <w:rFonts w:ascii="Times New Roman" w:hAnsi="Times New Roman" w:cs="Times New Roman"/>
        </w:rPr>
        <w:t xml:space="preserve">programs </w:t>
      </w:r>
      <w:r w:rsidR="0030164C">
        <w:rPr>
          <w:rFonts w:ascii="Times New Roman" w:hAnsi="Times New Roman" w:cs="Times New Roman"/>
        </w:rPr>
        <w:t xml:space="preserve">are for the </w:t>
      </w:r>
      <w:r w:rsidR="0030164C" w:rsidRPr="007478BD">
        <w:rPr>
          <w:rFonts w:ascii="Times New Roman" w:hAnsi="Times New Roman" w:cs="Times New Roman"/>
        </w:rPr>
        <w:t>2002</w:t>
      </w:r>
      <w:r w:rsidR="0030164C">
        <w:rPr>
          <w:rFonts w:ascii="Times New Roman" w:hAnsi="Times New Roman" w:cs="Times New Roman"/>
        </w:rPr>
        <w:t>–</w:t>
      </w:r>
      <w:r w:rsidR="0030164C" w:rsidRPr="007478BD">
        <w:rPr>
          <w:rFonts w:ascii="Times New Roman" w:hAnsi="Times New Roman" w:cs="Times New Roman"/>
        </w:rPr>
        <w:t>03 school year</w:t>
      </w:r>
      <w:r w:rsidR="0030164C">
        <w:rPr>
          <w:rFonts w:ascii="Times New Roman" w:hAnsi="Times New Roman" w:cs="Times New Roman"/>
        </w:rPr>
        <w:t>. These data</w:t>
      </w:r>
      <w:r w:rsidR="0030164C" w:rsidRPr="007478BD">
        <w:rPr>
          <w:rFonts w:ascii="Times New Roman" w:hAnsi="Times New Roman" w:cs="Times New Roman"/>
        </w:rPr>
        <w:t xml:space="preserve"> </w:t>
      </w:r>
      <w:r w:rsidRPr="007478BD">
        <w:rPr>
          <w:rFonts w:ascii="Times New Roman" w:hAnsi="Times New Roman" w:cs="Times New Roman"/>
        </w:rPr>
        <w:t>were collected by NCES th</w:t>
      </w:r>
      <w:r w:rsidR="0030164C">
        <w:rPr>
          <w:rFonts w:ascii="Times New Roman" w:hAnsi="Times New Roman" w:cs="Times New Roman"/>
        </w:rPr>
        <w:t>rough two complementary surveys, including</w:t>
      </w:r>
      <w:r w:rsidR="006A361D">
        <w:rPr>
          <w:rFonts w:ascii="Times New Roman" w:hAnsi="Times New Roman" w:cs="Times New Roman"/>
        </w:rPr>
        <w:t xml:space="preserve"> an FRSS secondary school survey and a PEQIS postsecondary institution survey. </w:t>
      </w:r>
      <w:r w:rsidRPr="007478BD">
        <w:rPr>
          <w:rFonts w:ascii="Times New Roman" w:hAnsi="Times New Roman" w:cs="Times New Roman"/>
        </w:rPr>
        <w:t xml:space="preserve">Together, they provided comprehensive data on the extent of dual </w:t>
      </w:r>
      <w:r w:rsidRPr="007478BD">
        <w:rPr>
          <w:rFonts w:ascii="Times New Roman" w:hAnsi="Times New Roman" w:cs="Times New Roman"/>
        </w:rPr>
        <w:lastRenderedPageBreak/>
        <w:t>enrollment participation and the characteristics of these courses during the 2002</w:t>
      </w:r>
      <w:r w:rsidR="0030164C">
        <w:rPr>
          <w:rFonts w:ascii="Times New Roman" w:hAnsi="Times New Roman" w:cs="Times New Roman"/>
        </w:rPr>
        <w:t>–</w:t>
      </w:r>
      <w:r w:rsidRPr="007478BD">
        <w:rPr>
          <w:rFonts w:ascii="Times New Roman" w:hAnsi="Times New Roman" w:cs="Times New Roman"/>
        </w:rPr>
        <w:t xml:space="preserve">03 school </w:t>
      </w:r>
      <w:proofErr w:type="gramStart"/>
      <w:r w:rsidRPr="007478BD">
        <w:rPr>
          <w:rFonts w:ascii="Times New Roman" w:hAnsi="Times New Roman" w:cs="Times New Roman"/>
        </w:rPr>
        <w:t>year</w:t>
      </w:r>
      <w:proofErr w:type="gramEnd"/>
      <w:r w:rsidRPr="007478BD">
        <w:rPr>
          <w:rFonts w:ascii="Times New Roman" w:hAnsi="Times New Roman" w:cs="Times New Roman"/>
        </w:rPr>
        <w:t>. These data have been cited widely in the policy and research literature on dual enrollment.</w:t>
      </w:r>
      <w:r w:rsidRPr="007478BD">
        <w:rPr>
          <w:rStyle w:val="FootnoteReference"/>
          <w:rFonts w:ascii="Times New Roman" w:hAnsi="Times New Roman" w:cs="Times New Roman"/>
        </w:rPr>
        <w:footnoteReference w:id="4"/>
      </w:r>
      <w:r>
        <w:rPr>
          <w:rFonts w:ascii="Times New Roman" w:hAnsi="Times New Roman" w:cs="Times New Roman"/>
        </w:rPr>
        <w:t xml:space="preserve"> </w:t>
      </w:r>
      <w:r w:rsidRPr="007478BD">
        <w:rPr>
          <w:rFonts w:ascii="Times New Roman" w:hAnsi="Times New Roman" w:cs="Times New Roman"/>
        </w:rPr>
        <w:t>In the eight years since these data were collected, there have been significant developments in the field that have likely affected the extent and characteristics of dual enrollment programs. A number of states have established new mandates or invested significant funding in expanding dual enrollment opportunities. For example, in 2003, North Carolina enacted new legislation to support partnerships between school districts and institutions of higher education to create innovative high school programs, particularly programs that offer dual enrollment opportunities.</w:t>
      </w:r>
      <w:r w:rsidR="005E04AF">
        <w:rPr>
          <w:rFonts w:ascii="Times New Roman" w:hAnsi="Times New Roman" w:cs="Times New Roman"/>
        </w:rPr>
        <w:t xml:space="preserve"> </w:t>
      </w:r>
      <w:r w:rsidRPr="007478BD">
        <w:rPr>
          <w:rFonts w:ascii="Times New Roman" w:hAnsi="Times New Roman" w:cs="Times New Roman"/>
        </w:rPr>
        <w:t xml:space="preserve">In 2006, Texas established a new policy that requires school districts to provide students with the opportunity to earn </w:t>
      </w:r>
      <w:r w:rsidR="007E110A">
        <w:rPr>
          <w:rFonts w:ascii="Times New Roman" w:hAnsi="Times New Roman" w:cs="Times New Roman"/>
        </w:rPr>
        <w:t xml:space="preserve">at least </w:t>
      </w:r>
      <w:r w:rsidRPr="007478BD">
        <w:rPr>
          <w:rFonts w:ascii="Times New Roman" w:hAnsi="Times New Roman" w:cs="Times New Roman"/>
        </w:rPr>
        <w:t xml:space="preserve">12 college credits </w:t>
      </w:r>
      <w:r w:rsidR="007E110A">
        <w:rPr>
          <w:rFonts w:ascii="Times New Roman" w:hAnsi="Times New Roman" w:cs="Times New Roman"/>
        </w:rPr>
        <w:t xml:space="preserve">while in high school. </w:t>
      </w:r>
      <w:r w:rsidRPr="007478BD">
        <w:rPr>
          <w:rFonts w:ascii="Times New Roman" w:hAnsi="Times New Roman" w:cs="Times New Roman"/>
        </w:rPr>
        <w:t>Pennsylvania established a new program in 2007 that provides $10 million annually to support dual enrollment programs.</w:t>
      </w:r>
      <w:r w:rsidRPr="007478BD">
        <w:rPr>
          <w:rStyle w:val="FootnoteReference"/>
          <w:rFonts w:ascii="Times New Roman" w:hAnsi="Times New Roman" w:cs="Times New Roman"/>
        </w:rPr>
        <w:footnoteReference w:id="5"/>
      </w:r>
      <w:r w:rsidRPr="007478BD">
        <w:rPr>
          <w:rFonts w:ascii="Times New Roman" w:hAnsi="Times New Roman" w:cs="Times New Roman"/>
        </w:rPr>
        <w:t xml:space="preserve"> In addition, since 2002, the Gates Foundation and several other philanthropies have supported the creation of </w:t>
      </w:r>
      <w:r w:rsidR="001B3949">
        <w:rPr>
          <w:rFonts w:ascii="Times New Roman" w:hAnsi="Times New Roman" w:cs="Times New Roman"/>
        </w:rPr>
        <w:t>208 “early college high schools”</w:t>
      </w:r>
      <w:r w:rsidRPr="007478BD">
        <w:rPr>
          <w:rFonts w:ascii="Times New Roman" w:hAnsi="Times New Roman" w:cs="Times New Roman"/>
        </w:rPr>
        <w:t xml:space="preserve"> in 28 states and the District of Columbia.</w:t>
      </w:r>
      <w:r w:rsidR="005E04AF">
        <w:rPr>
          <w:rFonts w:ascii="Times New Roman" w:hAnsi="Times New Roman" w:cs="Times New Roman"/>
        </w:rPr>
        <w:t xml:space="preserve"> </w:t>
      </w:r>
      <w:r w:rsidRPr="007478BD">
        <w:rPr>
          <w:rFonts w:ascii="Times New Roman" w:hAnsi="Times New Roman" w:cs="Times New Roman"/>
        </w:rPr>
        <w:t>These schools principally serve low- and middle-achieving students and are designed to enable students to earn a high school diploma and an associate’s degree concurrently.</w:t>
      </w:r>
      <w:r w:rsidRPr="007478BD">
        <w:rPr>
          <w:rStyle w:val="FootnoteReference"/>
          <w:rFonts w:ascii="Times New Roman" w:hAnsi="Times New Roman" w:cs="Times New Roman"/>
        </w:rPr>
        <w:footnoteReference w:id="6"/>
      </w:r>
      <w:r w:rsidRPr="007478BD">
        <w:rPr>
          <w:rFonts w:ascii="Times New Roman" w:hAnsi="Times New Roman" w:cs="Times New Roman"/>
        </w:rPr>
        <w:t xml:space="preserve"> Given the </w:t>
      </w:r>
      <w:r w:rsidR="00277062">
        <w:rPr>
          <w:rFonts w:ascii="Times New Roman" w:hAnsi="Times New Roman" w:cs="Times New Roman"/>
        </w:rPr>
        <w:t>extensive interest among policy</w:t>
      </w:r>
      <w:r w:rsidRPr="007478BD">
        <w:rPr>
          <w:rFonts w:ascii="Times New Roman" w:hAnsi="Times New Roman" w:cs="Times New Roman"/>
        </w:rPr>
        <w:t xml:space="preserve">makers and educators in dual enrollment and developments in the field since 2002, </w:t>
      </w:r>
      <w:r w:rsidR="006A361D">
        <w:rPr>
          <w:rFonts w:ascii="Times New Roman" w:hAnsi="Times New Roman" w:cs="Times New Roman"/>
        </w:rPr>
        <w:t xml:space="preserve">NCES and OESE believe </w:t>
      </w:r>
      <w:r w:rsidRPr="007478BD">
        <w:rPr>
          <w:rFonts w:ascii="Times New Roman" w:hAnsi="Times New Roman" w:cs="Times New Roman"/>
        </w:rPr>
        <w:t>the collection of new national data on dual enrollment is warranted.</w:t>
      </w:r>
      <w:r w:rsidR="005E04AF">
        <w:rPr>
          <w:sz w:val="24"/>
          <w:szCs w:val="24"/>
        </w:rPr>
        <w:t xml:space="preserve"> </w:t>
      </w:r>
    </w:p>
    <w:p w:rsidR="000328F8" w:rsidRDefault="00823CB3" w:rsidP="000328F8">
      <w:pPr>
        <w:ind w:firstLine="720"/>
        <w:rPr>
          <w:rFonts w:ascii="Times New Roman" w:hAnsi="Times New Roman" w:cs="Times New Roman"/>
        </w:rPr>
      </w:pPr>
      <w:r w:rsidRPr="00823CB3">
        <w:rPr>
          <w:rFonts w:ascii="Times New Roman" w:hAnsi="Times New Roman" w:cs="Times New Roman"/>
        </w:rPr>
        <w:t xml:space="preserve">The </w:t>
      </w:r>
      <w:r w:rsidR="006A361D">
        <w:rPr>
          <w:rFonts w:ascii="Times New Roman" w:hAnsi="Times New Roman" w:cs="Times New Roman"/>
        </w:rPr>
        <w:t xml:space="preserve">current </w:t>
      </w:r>
      <w:r w:rsidR="0062176C">
        <w:rPr>
          <w:rFonts w:ascii="Times New Roman" w:hAnsi="Times New Roman" w:cs="Times New Roman"/>
        </w:rPr>
        <w:t>surveys</w:t>
      </w:r>
      <w:r w:rsidRPr="00823CB3">
        <w:rPr>
          <w:rFonts w:ascii="Times New Roman" w:hAnsi="Times New Roman" w:cs="Times New Roman"/>
        </w:rPr>
        <w:t xml:space="preserve">, under OMB clearance #1850-0733, </w:t>
      </w:r>
      <w:r w:rsidR="0062176C">
        <w:rPr>
          <w:rFonts w:ascii="Times New Roman" w:hAnsi="Times New Roman" w:cs="Times New Roman"/>
        </w:rPr>
        <w:t>are</w:t>
      </w:r>
      <w:r w:rsidRPr="00823CB3">
        <w:rPr>
          <w:rFonts w:ascii="Times New Roman" w:hAnsi="Times New Roman" w:cs="Times New Roman"/>
        </w:rPr>
        <w:t xml:space="preserve"> authorized under the </w:t>
      </w:r>
      <w:r w:rsidR="00F65A27" w:rsidRPr="001018BB">
        <w:rPr>
          <w:rFonts w:ascii="Times New Roman" w:hAnsi="Times New Roman" w:cs="Times New Roman"/>
          <w:bCs/>
          <w:szCs w:val="24"/>
        </w:rPr>
        <w:t>Education Sciences Reform Act of 2002 (</w:t>
      </w:r>
      <w:r w:rsidR="00F65A27">
        <w:rPr>
          <w:rFonts w:ascii="Times New Roman" w:hAnsi="Times New Roman" w:cs="Times New Roman"/>
          <w:bCs/>
          <w:szCs w:val="24"/>
        </w:rPr>
        <w:t>ESRA 2002, 20 U.S.</w:t>
      </w:r>
      <w:r w:rsidR="00F65A27" w:rsidRPr="00E371C4">
        <w:rPr>
          <w:rFonts w:ascii="Times New Roman" w:hAnsi="Times New Roman" w:cs="Times New Roman"/>
          <w:bCs/>
          <w:szCs w:val="24"/>
        </w:rPr>
        <w:t>C</w:t>
      </w:r>
      <w:r w:rsidR="00F65A27">
        <w:rPr>
          <w:rFonts w:ascii="Times New Roman" w:hAnsi="Times New Roman" w:cs="Times New Roman"/>
          <w:bCs/>
          <w:szCs w:val="24"/>
        </w:rPr>
        <w:t>.</w:t>
      </w:r>
      <w:r w:rsidR="00F65A27" w:rsidRPr="00E371C4">
        <w:rPr>
          <w:rFonts w:ascii="Times New Roman" w:hAnsi="Times New Roman" w:cs="Times New Roman"/>
          <w:bCs/>
          <w:szCs w:val="24"/>
        </w:rPr>
        <w:t xml:space="preserve"> § 9573</w:t>
      </w:r>
      <w:r w:rsidR="00F65A27" w:rsidRPr="001018BB">
        <w:rPr>
          <w:rFonts w:ascii="Times New Roman" w:hAnsi="Times New Roman" w:cs="Times New Roman"/>
          <w:bCs/>
          <w:szCs w:val="24"/>
        </w:rPr>
        <w:t>)</w:t>
      </w:r>
      <w:r w:rsidRPr="00823CB3">
        <w:rPr>
          <w:rFonts w:ascii="Times New Roman" w:hAnsi="Times New Roman" w:cs="Times New Roman"/>
        </w:rPr>
        <w:t xml:space="preserve">, which authorizes NCES to collect and report statistical data related to </w:t>
      </w:r>
      <w:r w:rsidR="006A361D">
        <w:rPr>
          <w:rFonts w:ascii="Times New Roman" w:hAnsi="Times New Roman" w:cs="Times New Roman"/>
        </w:rPr>
        <w:t>education in the United States.</w:t>
      </w:r>
    </w:p>
    <w:p w:rsidR="00ED1CA7" w:rsidRPr="0083654A" w:rsidRDefault="00ED1CA7">
      <w:pPr>
        <w:rPr>
          <w:rFonts w:ascii="Times New Roman" w:hAnsi="Times New Roman" w:cs="Times New Roman"/>
          <w:b/>
          <w:sz w:val="28"/>
          <w:szCs w:val="28"/>
        </w:rPr>
      </w:pPr>
      <w:r w:rsidRPr="0083654A">
        <w:rPr>
          <w:rFonts w:ascii="Times New Roman" w:hAnsi="Times New Roman" w:cs="Times New Roman"/>
          <w:b/>
          <w:sz w:val="28"/>
          <w:szCs w:val="28"/>
        </w:rPr>
        <w:t>Design</w:t>
      </w:r>
    </w:p>
    <w:p w:rsidR="00ED1CA7" w:rsidRPr="0083654A" w:rsidRDefault="00ED1CA7">
      <w:pPr>
        <w:rPr>
          <w:rFonts w:ascii="Times New Roman" w:hAnsi="Times New Roman" w:cs="Times New Roman"/>
          <w:b/>
          <w:sz w:val="24"/>
          <w:szCs w:val="24"/>
        </w:rPr>
      </w:pPr>
      <w:r w:rsidRPr="0083654A">
        <w:rPr>
          <w:rFonts w:ascii="Times New Roman" w:hAnsi="Times New Roman" w:cs="Times New Roman"/>
          <w:b/>
          <w:sz w:val="24"/>
          <w:szCs w:val="24"/>
        </w:rPr>
        <w:t>Overview of Survey Development</w:t>
      </w:r>
    </w:p>
    <w:p w:rsidR="009C0728" w:rsidRPr="00B17E4E" w:rsidRDefault="00936284" w:rsidP="009C0728">
      <w:pPr>
        <w:ind w:firstLine="720"/>
        <w:rPr>
          <w:rFonts w:ascii="Times New Roman" w:hAnsi="Times New Roman" w:cs="Times New Roman"/>
        </w:rPr>
      </w:pPr>
      <w:proofErr w:type="spellStart"/>
      <w:r w:rsidRPr="00034A9E">
        <w:rPr>
          <w:rFonts w:ascii="Times New Roman" w:hAnsi="Times New Roman" w:cs="Times New Roman"/>
        </w:rPr>
        <w:t>Westat</w:t>
      </w:r>
      <w:proofErr w:type="spellEnd"/>
      <w:r w:rsidRPr="00034A9E">
        <w:rPr>
          <w:rFonts w:ascii="Times New Roman" w:hAnsi="Times New Roman" w:cs="Times New Roman"/>
        </w:rPr>
        <w:t xml:space="preserve"> will collect the information for the </w:t>
      </w:r>
      <w:r w:rsidR="00034A9E" w:rsidRPr="00034A9E">
        <w:rPr>
          <w:rFonts w:ascii="Times New Roman" w:hAnsi="Times New Roman" w:cs="Times New Roman"/>
        </w:rPr>
        <w:t xml:space="preserve">Early Childhood, International, and Crosscutting Studies Division, NCES, </w:t>
      </w:r>
      <w:r w:rsidR="00277062">
        <w:rPr>
          <w:rFonts w:ascii="Times New Roman" w:hAnsi="Times New Roman" w:cs="Times New Roman"/>
        </w:rPr>
        <w:t>ED</w:t>
      </w:r>
      <w:r w:rsidR="008F1A3D">
        <w:rPr>
          <w:rFonts w:ascii="Times New Roman" w:hAnsi="Times New Roman" w:cs="Times New Roman"/>
        </w:rPr>
        <w:t>,</w:t>
      </w:r>
      <w:r w:rsidR="00277062">
        <w:rPr>
          <w:rFonts w:ascii="Times New Roman" w:hAnsi="Times New Roman" w:cs="Times New Roman"/>
        </w:rPr>
        <w:t xml:space="preserve"> </w:t>
      </w:r>
      <w:r w:rsidRPr="00034A9E">
        <w:rPr>
          <w:rFonts w:ascii="Times New Roman" w:hAnsi="Times New Roman" w:cs="Times New Roman"/>
        </w:rPr>
        <w:t>using</w:t>
      </w:r>
      <w:r>
        <w:rPr>
          <w:rFonts w:ascii="Times New Roman" w:hAnsi="Times New Roman" w:cs="Times New Roman"/>
        </w:rPr>
        <w:t xml:space="preserve"> the </w:t>
      </w:r>
      <w:r w:rsidR="0065654B">
        <w:rPr>
          <w:rFonts w:ascii="Times New Roman" w:hAnsi="Times New Roman" w:cs="Times New Roman"/>
        </w:rPr>
        <w:t xml:space="preserve">FRSS and </w:t>
      </w:r>
      <w:r>
        <w:rPr>
          <w:rFonts w:ascii="Times New Roman" w:hAnsi="Times New Roman" w:cs="Times New Roman"/>
        </w:rPr>
        <w:t xml:space="preserve">PEQIS. </w:t>
      </w:r>
      <w:proofErr w:type="spellStart"/>
      <w:r>
        <w:rPr>
          <w:rFonts w:ascii="Times New Roman" w:hAnsi="Times New Roman" w:cs="Times New Roman"/>
        </w:rPr>
        <w:t>Westat</w:t>
      </w:r>
      <w:proofErr w:type="spellEnd"/>
      <w:r>
        <w:rPr>
          <w:rFonts w:ascii="Times New Roman" w:hAnsi="Times New Roman" w:cs="Times New Roman"/>
        </w:rPr>
        <w:t xml:space="preserve"> is responsible for questionnaire development; sample design and selection; data collection by mail and web; telephone follow</w:t>
      </w:r>
      <w:r w:rsidR="00F33C1E">
        <w:rPr>
          <w:rFonts w:ascii="Times New Roman" w:hAnsi="Times New Roman" w:cs="Times New Roman"/>
        </w:rPr>
        <w:t>-</w:t>
      </w:r>
      <w:r>
        <w:rPr>
          <w:rFonts w:ascii="Times New Roman" w:hAnsi="Times New Roman" w:cs="Times New Roman"/>
        </w:rPr>
        <w:t>up; editing, coding, keying, and verification of data; and production of tabulations and the report</w:t>
      </w:r>
      <w:r w:rsidR="0065654B">
        <w:rPr>
          <w:rFonts w:ascii="Times New Roman" w:hAnsi="Times New Roman" w:cs="Times New Roman"/>
        </w:rPr>
        <w:t>s</w:t>
      </w:r>
      <w:r>
        <w:rPr>
          <w:rFonts w:ascii="Times New Roman" w:hAnsi="Times New Roman" w:cs="Times New Roman"/>
        </w:rPr>
        <w:t xml:space="preserve"> detailing the results of the survey</w:t>
      </w:r>
      <w:r w:rsidR="0065654B">
        <w:rPr>
          <w:rFonts w:ascii="Times New Roman" w:hAnsi="Times New Roman" w:cs="Times New Roman"/>
        </w:rPr>
        <w:t>s</w:t>
      </w:r>
      <w:r>
        <w:rPr>
          <w:rFonts w:ascii="Times New Roman" w:hAnsi="Times New Roman" w:cs="Times New Roman"/>
        </w:rPr>
        <w:t xml:space="preserve">. </w:t>
      </w:r>
    </w:p>
    <w:p w:rsidR="009C0728" w:rsidRPr="00B17E4E" w:rsidRDefault="00882FCD" w:rsidP="009C0728">
      <w:pPr>
        <w:ind w:firstLine="720"/>
        <w:rPr>
          <w:rFonts w:ascii="Times New Roman" w:hAnsi="Times New Roman" w:cs="Times New Roman"/>
        </w:rPr>
      </w:pPr>
      <w:r w:rsidRPr="0079689D">
        <w:rPr>
          <w:rFonts w:ascii="Times New Roman" w:hAnsi="Times New Roman"/>
        </w:rPr>
        <w:t xml:space="preserve">Both surveys were previously conducted by NCES </w:t>
      </w:r>
      <w:r w:rsidR="007E110A">
        <w:rPr>
          <w:rFonts w:ascii="Times New Roman" w:hAnsi="Times New Roman"/>
        </w:rPr>
        <w:t>to collect data for the 2002</w:t>
      </w:r>
      <w:r w:rsidR="007E110A">
        <w:rPr>
          <w:rFonts w:ascii="Times New Roman" w:hAnsi="Times New Roman" w:cs="Times New Roman"/>
        </w:rPr>
        <w:t>–</w:t>
      </w:r>
      <w:r w:rsidR="007E110A">
        <w:rPr>
          <w:rFonts w:ascii="Times New Roman" w:hAnsi="Times New Roman"/>
        </w:rPr>
        <w:t>03</w:t>
      </w:r>
      <w:r w:rsidR="008F1A3D">
        <w:rPr>
          <w:rFonts w:ascii="Times New Roman" w:hAnsi="Times New Roman"/>
        </w:rPr>
        <w:t xml:space="preserve"> school year</w:t>
      </w:r>
      <w:r w:rsidRPr="0079689D">
        <w:rPr>
          <w:rFonts w:ascii="Times New Roman" w:hAnsi="Times New Roman"/>
        </w:rPr>
        <w:t xml:space="preserve">; </w:t>
      </w:r>
      <w:r w:rsidRPr="0079689D">
        <w:rPr>
          <w:rFonts w:ascii="Times New Roman" w:hAnsi="Times New Roman"/>
          <w:i/>
        </w:rPr>
        <w:t xml:space="preserve">Dual Credit and Exam-Based Courses </w:t>
      </w:r>
      <w:r w:rsidRPr="0079689D">
        <w:rPr>
          <w:rFonts w:ascii="Times New Roman" w:hAnsi="Times New Roman"/>
        </w:rPr>
        <w:t xml:space="preserve">(FRSS 85) and </w:t>
      </w:r>
      <w:r w:rsidRPr="0079689D">
        <w:rPr>
          <w:rFonts w:ascii="Times New Roman" w:hAnsi="Times New Roman"/>
          <w:i/>
        </w:rPr>
        <w:t xml:space="preserve">Dual Enrollment </w:t>
      </w:r>
      <w:r w:rsidR="004B4CA5">
        <w:rPr>
          <w:rFonts w:ascii="Times New Roman" w:hAnsi="Times New Roman"/>
          <w:i/>
        </w:rPr>
        <w:t>Programs and Courses for High School Students</w:t>
      </w:r>
      <w:r w:rsidRPr="0079689D">
        <w:rPr>
          <w:rFonts w:ascii="Times New Roman" w:hAnsi="Times New Roman"/>
          <w:i/>
        </w:rPr>
        <w:t xml:space="preserve"> </w:t>
      </w:r>
      <w:r w:rsidRPr="0079689D">
        <w:rPr>
          <w:rFonts w:ascii="Times New Roman" w:hAnsi="Times New Roman"/>
        </w:rPr>
        <w:t>(PEQIS 14)</w:t>
      </w:r>
      <w:r w:rsidRPr="0079689D">
        <w:rPr>
          <w:rFonts w:ascii="Times New Roman" w:hAnsi="Times New Roman"/>
          <w:i/>
        </w:rPr>
        <w:t>.</w:t>
      </w:r>
      <w:r w:rsidRPr="0079689D">
        <w:rPr>
          <w:rFonts w:ascii="Times New Roman" w:hAnsi="Times New Roman"/>
        </w:rPr>
        <w:t xml:space="preserve"> </w:t>
      </w:r>
      <w:r w:rsidRPr="00882FCD">
        <w:rPr>
          <w:rFonts w:ascii="Times New Roman" w:hAnsi="Times New Roman" w:cs="Times New Roman"/>
        </w:rPr>
        <w:t>The development work for the current survey</w:t>
      </w:r>
      <w:r w:rsidR="00414596">
        <w:rPr>
          <w:rFonts w:ascii="Times New Roman" w:hAnsi="Times New Roman" w:cs="Times New Roman"/>
        </w:rPr>
        <w:t>s (</w:t>
      </w:r>
      <w:r w:rsidR="00141410">
        <w:rPr>
          <w:rFonts w:ascii="Times New Roman" w:hAnsi="Times New Roman" w:cs="Times New Roman"/>
        </w:rPr>
        <w:t xml:space="preserve">to collect data for the </w:t>
      </w:r>
      <w:r w:rsidR="00414596">
        <w:rPr>
          <w:rFonts w:ascii="Times New Roman" w:hAnsi="Times New Roman" w:cs="Times New Roman"/>
        </w:rPr>
        <w:t>2010</w:t>
      </w:r>
      <w:r w:rsidR="00BD2175">
        <w:rPr>
          <w:rFonts w:ascii="Times New Roman" w:hAnsi="Times New Roman" w:cs="Times New Roman"/>
        </w:rPr>
        <w:t>–</w:t>
      </w:r>
      <w:r w:rsidR="00414596">
        <w:rPr>
          <w:rFonts w:ascii="Times New Roman" w:hAnsi="Times New Roman" w:cs="Times New Roman"/>
        </w:rPr>
        <w:t>11</w:t>
      </w:r>
      <w:r w:rsidR="00141410">
        <w:rPr>
          <w:rFonts w:ascii="Times New Roman" w:hAnsi="Times New Roman" w:cs="Times New Roman"/>
        </w:rPr>
        <w:t xml:space="preserve"> school year</w:t>
      </w:r>
      <w:r w:rsidRPr="00882FCD">
        <w:rPr>
          <w:rFonts w:ascii="Times New Roman" w:hAnsi="Times New Roman" w:cs="Times New Roman"/>
        </w:rPr>
        <w:t>) is based on the previous versions, with modifications based on</w:t>
      </w:r>
      <w:r w:rsidR="00414596">
        <w:rPr>
          <w:rFonts w:ascii="Times New Roman" w:hAnsi="Times New Roman" w:cs="Times New Roman"/>
        </w:rPr>
        <w:t xml:space="preserve"> literature searches,</w:t>
      </w:r>
      <w:r w:rsidRPr="00882FCD">
        <w:rPr>
          <w:rFonts w:ascii="Times New Roman" w:hAnsi="Times New Roman" w:cs="Times New Roman"/>
        </w:rPr>
        <w:t xml:space="preserve"> feasibility calls</w:t>
      </w:r>
      <w:r w:rsidR="00414596">
        <w:rPr>
          <w:rFonts w:ascii="Times New Roman" w:hAnsi="Times New Roman" w:cs="Times New Roman"/>
        </w:rPr>
        <w:t xml:space="preserve">, </w:t>
      </w:r>
      <w:r w:rsidR="00B5688B">
        <w:rPr>
          <w:rFonts w:ascii="Times New Roman" w:hAnsi="Times New Roman" w:cs="Times New Roman"/>
        </w:rPr>
        <w:t xml:space="preserve">and pretest calls with </w:t>
      </w:r>
      <w:r w:rsidR="003A167F">
        <w:rPr>
          <w:rFonts w:ascii="Times New Roman" w:hAnsi="Times New Roman" w:cs="Times New Roman"/>
        </w:rPr>
        <w:t xml:space="preserve">school and institution </w:t>
      </w:r>
      <w:r w:rsidR="00622D7A">
        <w:rPr>
          <w:rFonts w:ascii="Times New Roman" w:hAnsi="Times New Roman" w:cs="Times New Roman"/>
        </w:rPr>
        <w:t>staff</w:t>
      </w:r>
      <w:r w:rsidR="00E62AEA" w:rsidRPr="00E62AEA">
        <w:rPr>
          <w:rFonts w:ascii="Times New Roman" w:hAnsi="Times New Roman" w:cs="Times New Roman"/>
        </w:rPr>
        <w:t xml:space="preserve"> </w:t>
      </w:r>
      <w:r w:rsidR="00E62AEA">
        <w:rPr>
          <w:rFonts w:ascii="Times New Roman" w:hAnsi="Times New Roman" w:cs="Times New Roman"/>
        </w:rPr>
        <w:t>most knowledgeable about dual credit and dual enrollment</w:t>
      </w:r>
      <w:r w:rsidR="00622D7A">
        <w:rPr>
          <w:rFonts w:ascii="Times New Roman" w:hAnsi="Times New Roman" w:cs="Times New Roman"/>
        </w:rPr>
        <w:t>.</w:t>
      </w:r>
      <w:r w:rsidR="00414596">
        <w:rPr>
          <w:rFonts w:ascii="Times New Roman" w:hAnsi="Times New Roman" w:cs="Times New Roman"/>
        </w:rPr>
        <w:t xml:space="preserve"> </w:t>
      </w:r>
      <w:r w:rsidR="00936284">
        <w:rPr>
          <w:rFonts w:ascii="Times New Roman" w:hAnsi="Times New Roman" w:cs="Times New Roman"/>
        </w:rPr>
        <w:t xml:space="preserve">The two rounds of feasibility calls were conducted to gather feedback from </w:t>
      </w:r>
      <w:r w:rsidR="00206A2C">
        <w:rPr>
          <w:rFonts w:ascii="Times New Roman" w:hAnsi="Times New Roman" w:cs="Times New Roman"/>
        </w:rPr>
        <w:t>respondents</w:t>
      </w:r>
      <w:r w:rsidR="00936284">
        <w:rPr>
          <w:rFonts w:ascii="Times New Roman" w:hAnsi="Times New Roman" w:cs="Times New Roman"/>
        </w:rPr>
        <w:t xml:space="preserve"> on draft survey</w:t>
      </w:r>
      <w:r w:rsidR="0065654B">
        <w:rPr>
          <w:rFonts w:ascii="Times New Roman" w:hAnsi="Times New Roman" w:cs="Times New Roman"/>
        </w:rPr>
        <w:t>s</w:t>
      </w:r>
      <w:r w:rsidR="002F4BD9">
        <w:rPr>
          <w:rFonts w:ascii="Times New Roman" w:hAnsi="Times New Roman" w:cs="Times New Roman"/>
        </w:rPr>
        <w:t xml:space="preserve"> (OMB# </w:t>
      </w:r>
      <w:r w:rsidR="002F4BD9" w:rsidRPr="002F4BD9">
        <w:rPr>
          <w:rFonts w:ascii="Times New Roman" w:hAnsi="Times New Roman" w:cs="Times New Roman"/>
        </w:rPr>
        <w:t>1850-0803 v.39</w:t>
      </w:r>
      <w:r w:rsidR="002F4BD9">
        <w:rPr>
          <w:rFonts w:ascii="Times New Roman" w:hAnsi="Times New Roman" w:cs="Times New Roman"/>
        </w:rPr>
        <w:t>)</w:t>
      </w:r>
      <w:r w:rsidR="00936284">
        <w:rPr>
          <w:rFonts w:ascii="Times New Roman" w:hAnsi="Times New Roman" w:cs="Times New Roman"/>
        </w:rPr>
        <w:t xml:space="preserve">. </w:t>
      </w:r>
      <w:r w:rsidR="0065654B">
        <w:rPr>
          <w:rFonts w:ascii="Times New Roman" w:hAnsi="Times New Roman" w:cs="Times New Roman"/>
        </w:rPr>
        <w:t>Respondents</w:t>
      </w:r>
      <w:r w:rsidR="00936284">
        <w:rPr>
          <w:rFonts w:ascii="Times New Roman" w:hAnsi="Times New Roman" w:cs="Times New Roman"/>
        </w:rPr>
        <w:t xml:space="preserve"> were asked to review, but </w:t>
      </w:r>
      <w:r w:rsidR="00206A2C">
        <w:rPr>
          <w:rFonts w:ascii="Times New Roman" w:hAnsi="Times New Roman" w:cs="Times New Roman"/>
        </w:rPr>
        <w:t xml:space="preserve">not </w:t>
      </w:r>
      <w:proofErr w:type="gramStart"/>
      <w:r w:rsidR="00206A2C">
        <w:rPr>
          <w:rFonts w:ascii="Times New Roman" w:hAnsi="Times New Roman" w:cs="Times New Roman"/>
        </w:rPr>
        <w:t>complete,</w:t>
      </w:r>
      <w:proofErr w:type="gramEnd"/>
      <w:r w:rsidR="00206A2C">
        <w:rPr>
          <w:rFonts w:ascii="Times New Roman" w:hAnsi="Times New Roman" w:cs="Times New Roman"/>
        </w:rPr>
        <w:t xml:space="preserve"> the questionnaire and then participate</w:t>
      </w:r>
      <w:r w:rsidR="00936284">
        <w:rPr>
          <w:rFonts w:ascii="Times New Roman" w:hAnsi="Times New Roman" w:cs="Times New Roman"/>
        </w:rPr>
        <w:t xml:space="preserve"> in a </w:t>
      </w:r>
      <w:r w:rsidR="00B900AF">
        <w:rPr>
          <w:rFonts w:ascii="Times New Roman" w:hAnsi="Times New Roman" w:cs="Times New Roman"/>
        </w:rPr>
        <w:t xml:space="preserve">short </w:t>
      </w:r>
      <w:r w:rsidR="00936284">
        <w:rPr>
          <w:rFonts w:ascii="Times New Roman" w:hAnsi="Times New Roman" w:cs="Times New Roman"/>
        </w:rPr>
        <w:t xml:space="preserve">telephone interview with </w:t>
      </w:r>
      <w:proofErr w:type="spellStart"/>
      <w:r w:rsidR="00936284">
        <w:rPr>
          <w:rFonts w:ascii="Times New Roman" w:hAnsi="Times New Roman" w:cs="Times New Roman"/>
        </w:rPr>
        <w:t>Westat</w:t>
      </w:r>
      <w:proofErr w:type="spellEnd"/>
      <w:r w:rsidR="00936284">
        <w:rPr>
          <w:rFonts w:ascii="Times New Roman" w:hAnsi="Times New Roman" w:cs="Times New Roman"/>
        </w:rPr>
        <w:t xml:space="preserve"> to provide feedback on the questionnaire. Based on respondent feedback on the questionnaire</w:t>
      </w:r>
      <w:r w:rsidR="00206A2C">
        <w:rPr>
          <w:rFonts w:ascii="Times New Roman" w:hAnsi="Times New Roman" w:cs="Times New Roman"/>
        </w:rPr>
        <w:t>s</w:t>
      </w:r>
      <w:r w:rsidR="00936284">
        <w:rPr>
          <w:rFonts w:ascii="Times New Roman" w:hAnsi="Times New Roman" w:cs="Times New Roman"/>
        </w:rPr>
        <w:t>, the survey</w:t>
      </w:r>
      <w:r w:rsidR="00206A2C">
        <w:rPr>
          <w:rFonts w:ascii="Times New Roman" w:hAnsi="Times New Roman" w:cs="Times New Roman"/>
        </w:rPr>
        <w:t>s</w:t>
      </w:r>
      <w:r w:rsidR="00936284">
        <w:rPr>
          <w:rFonts w:ascii="Times New Roman" w:hAnsi="Times New Roman" w:cs="Times New Roman"/>
        </w:rPr>
        <w:t xml:space="preserve"> w</w:t>
      </w:r>
      <w:r w:rsidR="00206A2C">
        <w:rPr>
          <w:rFonts w:ascii="Times New Roman" w:hAnsi="Times New Roman" w:cs="Times New Roman"/>
        </w:rPr>
        <w:t>ere</w:t>
      </w:r>
      <w:r w:rsidR="00936284">
        <w:rPr>
          <w:rFonts w:ascii="Times New Roman" w:hAnsi="Times New Roman" w:cs="Times New Roman"/>
        </w:rPr>
        <w:t xml:space="preserve"> revised in </w:t>
      </w:r>
      <w:r w:rsidR="005068CB">
        <w:rPr>
          <w:rFonts w:ascii="Times New Roman" w:hAnsi="Times New Roman" w:cs="Times New Roman"/>
        </w:rPr>
        <w:t>consultation</w:t>
      </w:r>
      <w:r w:rsidR="00936284">
        <w:rPr>
          <w:rFonts w:ascii="Times New Roman" w:hAnsi="Times New Roman" w:cs="Times New Roman"/>
        </w:rPr>
        <w:t xml:space="preserve"> with OESE and NCES prior to </w:t>
      </w:r>
      <w:r w:rsidR="002E01A2">
        <w:rPr>
          <w:rFonts w:ascii="Times New Roman" w:hAnsi="Times New Roman" w:cs="Times New Roman"/>
        </w:rPr>
        <w:t>pretesting</w:t>
      </w:r>
      <w:r w:rsidR="00936284">
        <w:rPr>
          <w:rFonts w:ascii="Times New Roman" w:hAnsi="Times New Roman" w:cs="Times New Roman"/>
        </w:rPr>
        <w:t>.</w:t>
      </w:r>
      <w:r w:rsidR="005068CB">
        <w:rPr>
          <w:rFonts w:ascii="Times New Roman" w:hAnsi="Times New Roman" w:cs="Times New Roman"/>
        </w:rPr>
        <w:t xml:space="preserve"> After the second round of feasibility testing</w:t>
      </w:r>
      <w:r w:rsidR="00E62AEA">
        <w:rPr>
          <w:rFonts w:ascii="Times New Roman" w:hAnsi="Times New Roman" w:cs="Times New Roman"/>
        </w:rPr>
        <w:t>,</w:t>
      </w:r>
      <w:r w:rsidR="005068CB">
        <w:rPr>
          <w:rFonts w:ascii="Times New Roman" w:hAnsi="Times New Roman" w:cs="Times New Roman"/>
        </w:rPr>
        <w:t xml:space="preserve"> the survey</w:t>
      </w:r>
      <w:r w:rsidR="00206A2C">
        <w:rPr>
          <w:rFonts w:ascii="Times New Roman" w:hAnsi="Times New Roman" w:cs="Times New Roman"/>
        </w:rPr>
        <w:t>s</w:t>
      </w:r>
      <w:r w:rsidR="005068CB">
        <w:rPr>
          <w:rFonts w:ascii="Times New Roman" w:hAnsi="Times New Roman" w:cs="Times New Roman"/>
        </w:rPr>
        <w:t xml:space="preserve"> w</w:t>
      </w:r>
      <w:r w:rsidR="00206A2C">
        <w:rPr>
          <w:rFonts w:ascii="Times New Roman" w:hAnsi="Times New Roman" w:cs="Times New Roman"/>
        </w:rPr>
        <w:t>ere</w:t>
      </w:r>
      <w:r w:rsidR="005068CB">
        <w:rPr>
          <w:rFonts w:ascii="Times New Roman" w:hAnsi="Times New Roman" w:cs="Times New Roman"/>
        </w:rPr>
        <w:t xml:space="preserve"> revised and submitted to the NCES Quality Review Board (QRB) for additional feedback. </w:t>
      </w:r>
    </w:p>
    <w:p w:rsidR="005068CB" w:rsidRDefault="005068CB" w:rsidP="005068CB">
      <w:pPr>
        <w:ind w:firstLine="720"/>
        <w:rPr>
          <w:rFonts w:ascii="Times New Roman" w:hAnsi="Times New Roman" w:cs="Times New Roman"/>
        </w:rPr>
      </w:pPr>
      <w:r>
        <w:rPr>
          <w:rFonts w:ascii="Times New Roman" w:hAnsi="Times New Roman" w:cs="Times New Roman"/>
        </w:rPr>
        <w:t>Based on QRB comments and suggestion</w:t>
      </w:r>
      <w:r w:rsidR="0065654B">
        <w:rPr>
          <w:rFonts w:ascii="Times New Roman" w:hAnsi="Times New Roman" w:cs="Times New Roman"/>
        </w:rPr>
        <w:t>s</w:t>
      </w:r>
      <w:r>
        <w:rPr>
          <w:rFonts w:ascii="Times New Roman" w:hAnsi="Times New Roman" w:cs="Times New Roman"/>
        </w:rPr>
        <w:t>, the survey</w:t>
      </w:r>
      <w:r w:rsidR="0065654B">
        <w:rPr>
          <w:rFonts w:ascii="Times New Roman" w:hAnsi="Times New Roman" w:cs="Times New Roman"/>
        </w:rPr>
        <w:t>s</w:t>
      </w:r>
      <w:r>
        <w:rPr>
          <w:rFonts w:ascii="Times New Roman" w:hAnsi="Times New Roman" w:cs="Times New Roman"/>
        </w:rPr>
        <w:t xml:space="preserve"> w</w:t>
      </w:r>
      <w:r w:rsidR="0065654B">
        <w:rPr>
          <w:rFonts w:ascii="Times New Roman" w:hAnsi="Times New Roman" w:cs="Times New Roman"/>
        </w:rPr>
        <w:t xml:space="preserve">ere </w:t>
      </w:r>
      <w:r>
        <w:rPr>
          <w:rFonts w:ascii="Times New Roman" w:hAnsi="Times New Roman" w:cs="Times New Roman"/>
        </w:rPr>
        <w:t>revised and pretest</w:t>
      </w:r>
      <w:r w:rsidR="00206A2C">
        <w:rPr>
          <w:rFonts w:ascii="Times New Roman" w:hAnsi="Times New Roman" w:cs="Times New Roman"/>
        </w:rPr>
        <w:t>s</w:t>
      </w:r>
      <w:r>
        <w:rPr>
          <w:rFonts w:ascii="Times New Roman" w:hAnsi="Times New Roman" w:cs="Times New Roman"/>
        </w:rPr>
        <w:t xml:space="preserve"> </w:t>
      </w:r>
      <w:r w:rsidR="00206A2C">
        <w:rPr>
          <w:rFonts w:ascii="Times New Roman" w:hAnsi="Times New Roman" w:cs="Times New Roman"/>
        </w:rPr>
        <w:t>were</w:t>
      </w:r>
      <w:r>
        <w:rPr>
          <w:rFonts w:ascii="Times New Roman" w:hAnsi="Times New Roman" w:cs="Times New Roman"/>
        </w:rPr>
        <w:t xml:space="preserve"> conducted </w:t>
      </w:r>
      <w:r w:rsidR="00B900AF">
        <w:rPr>
          <w:rFonts w:ascii="Times New Roman" w:hAnsi="Times New Roman" w:cs="Times New Roman"/>
        </w:rPr>
        <w:t xml:space="preserve">with public secondary schools and postsecondary institutions </w:t>
      </w:r>
      <w:r>
        <w:rPr>
          <w:rFonts w:ascii="Times New Roman" w:hAnsi="Times New Roman" w:cs="Times New Roman"/>
        </w:rPr>
        <w:t xml:space="preserve">to identify problems </w:t>
      </w:r>
      <w:r w:rsidR="00B5688B">
        <w:rPr>
          <w:rFonts w:ascii="Times New Roman" w:hAnsi="Times New Roman" w:cs="Times New Roman"/>
        </w:rPr>
        <w:t xml:space="preserve">respondents </w:t>
      </w:r>
      <w:r>
        <w:rPr>
          <w:rFonts w:ascii="Times New Roman" w:hAnsi="Times New Roman" w:cs="Times New Roman"/>
        </w:rPr>
        <w:t>might have in provi</w:t>
      </w:r>
      <w:r w:rsidR="002E01A2">
        <w:rPr>
          <w:rFonts w:ascii="Times New Roman" w:hAnsi="Times New Roman" w:cs="Times New Roman"/>
        </w:rPr>
        <w:t>ding the requested information</w:t>
      </w:r>
      <w:r w:rsidR="002F4BD9">
        <w:rPr>
          <w:rFonts w:ascii="Times New Roman" w:hAnsi="Times New Roman" w:cs="Times New Roman"/>
        </w:rPr>
        <w:t xml:space="preserve"> (OMB# </w:t>
      </w:r>
      <w:r w:rsidR="002F4BD9" w:rsidRPr="002F4BD9">
        <w:rPr>
          <w:rFonts w:ascii="Times New Roman" w:hAnsi="Times New Roman" w:cs="Times New Roman"/>
        </w:rPr>
        <w:t>1850-0803 v.50</w:t>
      </w:r>
      <w:r w:rsidR="002F4BD9">
        <w:rPr>
          <w:rFonts w:ascii="Times New Roman" w:hAnsi="Times New Roman" w:cs="Times New Roman"/>
        </w:rPr>
        <w:t>)</w:t>
      </w:r>
      <w:r w:rsidR="002E01A2">
        <w:rPr>
          <w:rFonts w:ascii="Times New Roman" w:hAnsi="Times New Roman" w:cs="Times New Roman"/>
        </w:rPr>
        <w:t xml:space="preserve">. </w:t>
      </w:r>
      <w:r w:rsidR="00B900AF">
        <w:rPr>
          <w:rFonts w:ascii="Times New Roman" w:hAnsi="Times New Roman" w:cs="Times New Roman"/>
        </w:rPr>
        <w:t xml:space="preserve">Respondents were asked </w:t>
      </w:r>
      <w:r w:rsidR="002F4BD9">
        <w:rPr>
          <w:rFonts w:ascii="Times New Roman" w:hAnsi="Times New Roman" w:cs="Times New Roman"/>
        </w:rPr>
        <w:t xml:space="preserve">to </w:t>
      </w:r>
      <w:r w:rsidR="00B900AF">
        <w:rPr>
          <w:rFonts w:ascii="Times New Roman" w:hAnsi="Times New Roman" w:cs="Times New Roman"/>
        </w:rPr>
        <w:t xml:space="preserve">complete the questionnaire and </w:t>
      </w:r>
      <w:r w:rsidR="00B900AF">
        <w:rPr>
          <w:rFonts w:ascii="Times New Roman" w:hAnsi="Times New Roman" w:cs="Times New Roman"/>
        </w:rPr>
        <w:lastRenderedPageBreak/>
        <w:t xml:space="preserve">participate in a telephone debriefing with </w:t>
      </w:r>
      <w:proofErr w:type="spellStart"/>
      <w:r w:rsidR="00B900AF">
        <w:rPr>
          <w:rFonts w:ascii="Times New Roman" w:hAnsi="Times New Roman" w:cs="Times New Roman"/>
        </w:rPr>
        <w:t>Westat</w:t>
      </w:r>
      <w:proofErr w:type="spellEnd"/>
      <w:r w:rsidR="00B900AF">
        <w:rPr>
          <w:rFonts w:ascii="Times New Roman" w:hAnsi="Times New Roman" w:cs="Times New Roman"/>
        </w:rPr>
        <w:t xml:space="preserve"> to provide feedback on the questionnaire. Completed questionnaires were collected by fax prior to the debriefing with each respondent. </w:t>
      </w:r>
      <w:r w:rsidR="002E01A2">
        <w:rPr>
          <w:rFonts w:ascii="Times New Roman" w:hAnsi="Times New Roman" w:cs="Times New Roman"/>
        </w:rPr>
        <w:t xml:space="preserve">One round of pretesting was conducted for the FRSS survey, and two rounds of pretesting were conducted for the PEQIS survey. </w:t>
      </w:r>
      <w:r>
        <w:rPr>
          <w:rFonts w:ascii="Times New Roman" w:hAnsi="Times New Roman" w:cs="Times New Roman"/>
        </w:rPr>
        <w:t>The purpose of the pretest</w:t>
      </w:r>
      <w:r w:rsidR="0065654B">
        <w:rPr>
          <w:rFonts w:ascii="Times New Roman" w:hAnsi="Times New Roman" w:cs="Times New Roman"/>
        </w:rPr>
        <w:t>s</w:t>
      </w:r>
      <w:r>
        <w:rPr>
          <w:rFonts w:ascii="Times New Roman" w:hAnsi="Times New Roman" w:cs="Times New Roman"/>
        </w:rPr>
        <w:t xml:space="preserve"> was to verify that all questions and corresponding instructions were clear and unambiguous, to determine if the information would be readily accessible to respondents, and to determine whether the burden on respondents could be </w:t>
      </w:r>
      <w:r w:rsidR="00431EAE">
        <w:rPr>
          <w:rFonts w:ascii="Times New Roman" w:hAnsi="Times New Roman" w:cs="Times New Roman"/>
        </w:rPr>
        <w:t>reduced further</w:t>
      </w:r>
      <w:r>
        <w:rPr>
          <w:rFonts w:ascii="Times New Roman" w:hAnsi="Times New Roman" w:cs="Times New Roman"/>
        </w:rPr>
        <w:t>. Changes to the questionnaire</w:t>
      </w:r>
      <w:r w:rsidR="0065654B">
        <w:rPr>
          <w:rFonts w:ascii="Times New Roman" w:hAnsi="Times New Roman" w:cs="Times New Roman"/>
        </w:rPr>
        <w:t>s</w:t>
      </w:r>
      <w:r>
        <w:rPr>
          <w:rFonts w:ascii="Times New Roman" w:hAnsi="Times New Roman" w:cs="Times New Roman"/>
        </w:rPr>
        <w:t xml:space="preserve"> were made based on the feedback received from the pretest</w:t>
      </w:r>
      <w:r w:rsidR="00B5688B">
        <w:rPr>
          <w:rFonts w:ascii="Times New Roman" w:hAnsi="Times New Roman" w:cs="Times New Roman"/>
        </w:rPr>
        <w:t>s</w:t>
      </w:r>
      <w:r>
        <w:rPr>
          <w:rFonts w:ascii="Times New Roman" w:hAnsi="Times New Roman" w:cs="Times New Roman"/>
        </w:rPr>
        <w:t>, and documented in memorandum</w:t>
      </w:r>
      <w:r w:rsidR="00B5688B">
        <w:rPr>
          <w:rFonts w:ascii="Times New Roman" w:hAnsi="Times New Roman" w:cs="Times New Roman"/>
        </w:rPr>
        <w:t>s</w:t>
      </w:r>
      <w:r>
        <w:rPr>
          <w:rFonts w:ascii="Times New Roman" w:hAnsi="Times New Roman" w:cs="Times New Roman"/>
        </w:rPr>
        <w:t xml:space="preserve"> summarizing the pretest results. </w:t>
      </w:r>
      <w:r w:rsidR="001018BB">
        <w:rPr>
          <w:rFonts w:ascii="Times New Roman" w:hAnsi="Times New Roman" w:cs="Times New Roman"/>
          <w:bCs/>
          <w:szCs w:val="24"/>
        </w:rPr>
        <w:t>OESE</w:t>
      </w:r>
      <w:r w:rsidR="001018BB" w:rsidRPr="001018BB">
        <w:rPr>
          <w:rFonts w:ascii="Times New Roman" w:hAnsi="Times New Roman" w:cs="Times New Roman"/>
          <w:bCs/>
          <w:szCs w:val="24"/>
        </w:rPr>
        <w:t>, the data requester for this survey, reviewed and approv</w:t>
      </w:r>
      <w:r w:rsidR="00F33C1E">
        <w:rPr>
          <w:rFonts w:ascii="Times New Roman" w:hAnsi="Times New Roman" w:cs="Times New Roman"/>
          <w:bCs/>
          <w:szCs w:val="24"/>
        </w:rPr>
        <w:t xml:space="preserve">ed </w:t>
      </w:r>
      <w:r w:rsidR="001018BB">
        <w:rPr>
          <w:rFonts w:ascii="Times New Roman" w:hAnsi="Times New Roman" w:cs="Times New Roman"/>
          <w:bCs/>
          <w:szCs w:val="24"/>
        </w:rPr>
        <w:t xml:space="preserve">all </w:t>
      </w:r>
      <w:r w:rsidR="001018BB" w:rsidRPr="001018BB">
        <w:rPr>
          <w:rFonts w:ascii="Times New Roman" w:hAnsi="Times New Roman" w:cs="Times New Roman"/>
          <w:bCs/>
          <w:szCs w:val="24"/>
        </w:rPr>
        <w:t>questionnaire changes.</w:t>
      </w:r>
      <w:r w:rsidR="001018BB">
        <w:rPr>
          <w:bCs/>
          <w:szCs w:val="24"/>
        </w:rPr>
        <w:t xml:space="preserve"> </w:t>
      </w:r>
      <w:r>
        <w:rPr>
          <w:rFonts w:ascii="Times New Roman" w:hAnsi="Times New Roman" w:cs="Times New Roman"/>
        </w:rPr>
        <w:t>The revised questionnaire</w:t>
      </w:r>
      <w:r w:rsidR="0065654B">
        <w:rPr>
          <w:rFonts w:ascii="Times New Roman" w:hAnsi="Times New Roman" w:cs="Times New Roman"/>
        </w:rPr>
        <w:t>s</w:t>
      </w:r>
      <w:r w:rsidR="00617678">
        <w:rPr>
          <w:rFonts w:ascii="Times New Roman" w:hAnsi="Times New Roman" w:cs="Times New Roman"/>
        </w:rPr>
        <w:t xml:space="preserve"> (Attachment</w:t>
      </w:r>
      <w:r w:rsidR="00342131">
        <w:rPr>
          <w:rFonts w:ascii="Times New Roman" w:hAnsi="Times New Roman" w:cs="Times New Roman"/>
        </w:rPr>
        <w:t xml:space="preserve"> 1 </w:t>
      </w:r>
      <w:r w:rsidR="00617678">
        <w:rPr>
          <w:rFonts w:ascii="Times New Roman" w:hAnsi="Times New Roman" w:cs="Times New Roman"/>
        </w:rPr>
        <w:t xml:space="preserve">for FRSS 104 </w:t>
      </w:r>
      <w:r w:rsidR="00342131">
        <w:rPr>
          <w:rFonts w:ascii="Times New Roman" w:hAnsi="Times New Roman" w:cs="Times New Roman"/>
        </w:rPr>
        <w:t xml:space="preserve">and </w:t>
      </w:r>
      <w:r w:rsidR="00617678">
        <w:rPr>
          <w:rFonts w:ascii="Times New Roman" w:hAnsi="Times New Roman" w:cs="Times New Roman"/>
        </w:rPr>
        <w:t xml:space="preserve">Attachment </w:t>
      </w:r>
      <w:r w:rsidR="00342131">
        <w:rPr>
          <w:rFonts w:ascii="Times New Roman" w:hAnsi="Times New Roman" w:cs="Times New Roman"/>
        </w:rPr>
        <w:t>2</w:t>
      </w:r>
      <w:r w:rsidR="00617678">
        <w:rPr>
          <w:rFonts w:ascii="Times New Roman" w:hAnsi="Times New Roman" w:cs="Times New Roman"/>
        </w:rPr>
        <w:t xml:space="preserve"> for PEQIS 18</w:t>
      </w:r>
      <w:r w:rsidR="00342131">
        <w:rPr>
          <w:rFonts w:ascii="Times New Roman" w:hAnsi="Times New Roman" w:cs="Times New Roman"/>
        </w:rPr>
        <w:t>)</w:t>
      </w:r>
      <w:r>
        <w:rPr>
          <w:rFonts w:ascii="Times New Roman" w:hAnsi="Times New Roman" w:cs="Times New Roman"/>
        </w:rPr>
        <w:t xml:space="preserve"> </w:t>
      </w:r>
      <w:r w:rsidR="0065654B">
        <w:rPr>
          <w:rFonts w:ascii="Times New Roman" w:hAnsi="Times New Roman" w:cs="Times New Roman"/>
        </w:rPr>
        <w:t>are</w:t>
      </w:r>
      <w:r>
        <w:rPr>
          <w:rFonts w:ascii="Times New Roman" w:hAnsi="Times New Roman" w:cs="Times New Roman"/>
        </w:rPr>
        <w:t xml:space="preserve"> being submitted with this request for OMB clearance. </w:t>
      </w:r>
    </w:p>
    <w:p w:rsidR="001018BB" w:rsidRPr="001018BB" w:rsidRDefault="001018BB" w:rsidP="001018BB">
      <w:pPr>
        <w:rPr>
          <w:rFonts w:ascii="Times New Roman" w:hAnsi="Times New Roman" w:cs="Times New Roman"/>
          <w:b/>
          <w:sz w:val="24"/>
          <w:szCs w:val="24"/>
        </w:rPr>
      </w:pPr>
      <w:r w:rsidRPr="001018BB">
        <w:rPr>
          <w:rFonts w:ascii="Times New Roman" w:hAnsi="Times New Roman" w:cs="Times New Roman"/>
          <w:b/>
          <w:bCs/>
          <w:sz w:val="24"/>
          <w:szCs w:val="24"/>
        </w:rPr>
        <w:t>Assurance of Confidentiality</w:t>
      </w:r>
    </w:p>
    <w:p w:rsidR="001018BB" w:rsidRPr="00E371C4" w:rsidRDefault="001018BB" w:rsidP="001018BB">
      <w:pPr>
        <w:ind w:firstLine="720"/>
        <w:rPr>
          <w:rFonts w:ascii="Times New Roman" w:hAnsi="Times New Roman" w:cs="Times New Roman"/>
          <w:bCs/>
          <w:szCs w:val="24"/>
        </w:rPr>
      </w:pPr>
      <w:r w:rsidRPr="001018BB">
        <w:rPr>
          <w:rFonts w:ascii="Times New Roman" w:hAnsi="Times New Roman" w:cs="Times New Roman"/>
          <w:bCs/>
          <w:szCs w:val="24"/>
        </w:rPr>
        <w:t xml:space="preserve">Data to be collected will not be released </w:t>
      </w:r>
      <w:r>
        <w:rPr>
          <w:rFonts w:ascii="Times New Roman" w:hAnsi="Times New Roman" w:cs="Times New Roman"/>
          <w:bCs/>
          <w:szCs w:val="24"/>
        </w:rPr>
        <w:t xml:space="preserve">to the public </w:t>
      </w:r>
      <w:r w:rsidRPr="001018BB">
        <w:rPr>
          <w:rFonts w:ascii="Times New Roman" w:hAnsi="Times New Roman" w:cs="Times New Roman"/>
          <w:bCs/>
          <w:szCs w:val="24"/>
        </w:rPr>
        <w:t xml:space="preserve">with institutional or </w:t>
      </w:r>
      <w:r>
        <w:rPr>
          <w:rFonts w:ascii="Times New Roman" w:hAnsi="Times New Roman" w:cs="Times New Roman"/>
          <w:bCs/>
          <w:szCs w:val="24"/>
        </w:rPr>
        <w:t xml:space="preserve">personal identifiers attached. </w:t>
      </w:r>
      <w:r w:rsidRPr="001018BB">
        <w:rPr>
          <w:rFonts w:ascii="Times New Roman" w:hAnsi="Times New Roman" w:cs="Times New Roman"/>
          <w:bCs/>
          <w:szCs w:val="24"/>
        </w:rPr>
        <w:t>Data will be presented in ag</w:t>
      </w:r>
      <w:r>
        <w:rPr>
          <w:rFonts w:ascii="Times New Roman" w:hAnsi="Times New Roman" w:cs="Times New Roman"/>
          <w:bCs/>
          <w:szCs w:val="24"/>
        </w:rPr>
        <w:t xml:space="preserve">gregate statistical form only. </w:t>
      </w:r>
      <w:r w:rsidRPr="001018BB">
        <w:rPr>
          <w:rFonts w:ascii="Times New Roman" w:hAnsi="Times New Roman" w:cs="Times New Roman"/>
          <w:bCs/>
          <w:szCs w:val="24"/>
        </w:rPr>
        <w:t>In addition, each data file undergoes extensive disclosure risk analysis and is reviewed by the NCES/IES Disclosure Review Board before use in generating report analyses and before rele</w:t>
      </w:r>
      <w:r>
        <w:rPr>
          <w:rFonts w:ascii="Times New Roman" w:hAnsi="Times New Roman" w:cs="Times New Roman"/>
          <w:bCs/>
          <w:szCs w:val="24"/>
        </w:rPr>
        <w:t>ase as a public use data file. R</w:t>
      </w:r>
      <w:r w:rsidRPr="001018BB">
        <w:rPr>
          <w:rFonts w:ascii="Times New Roman" w:hAnsi="Times New Roman" w:cs="Times New Roman"/>
          <w:bCs/>
          <w:szCs w:val="24"/>
        </w:rPr>
        <w:t>espondent</w:t>
      </w:r>
      <w:r>
        <w:rPr>
          <w:rFonts w:ascii="Times New Roman" w:hAnsi="Times New Roman" w:cs="Times New Roman"/>
          <w:bCs/>
          <w:szCs w:val="24"/>
        </w:rPr>
        <w:t>s</w:t>
      </w:r>
      <w:r w:rsidRPr="001018BB">
        <w:rPr>
          <w:rFonts w:ascii="Times New Roman" w:hAnsi="Times New Roman" w:cs="Times New Roman"/>
          <w:bCs/>
          <w:szCs w:val="24"/>
        </w:rPr>
        <w:t xml:space="preserve"> will be assured that all information identifying them or their school</w:t>
      </w:r>
      <w:r>
        <w:rPr>
          <w:rFonts w:ascii="Times New Roman" w:hAnsi="Times New Roman" w:cs="Times New Roman"/>
          <w:bCs/>
          <w:szCs w:val="24"/>
        </w:rPr>
        <w:t>s</w:t>
      </w:r>
      <w:r w:rsidRPr="001018BB">
        <w:rPr>
          <w:rFonts w:ascii="Times New Roman" w:hAnsi="Times New Roman" w:cs="Times New Roman"/>
          <w:bCs/>
          <w:szCs w:val="24"/>
        </w:rPr>
        <w:t xml:space="preserve"> </w:t>
      </w:r>
      <w:r>
        <w:rPr>
          <w:rFonts w:ascii="Times New Roman" w:hAnsi="Times New Roman" w:cs="Times New Roman"/>
          <w:bCs/>
          <w:szCs w:val="24"/>
        </w:rPr>
        <w:t xml:space="preserve">or institutions </w:t>
      </w:r>
      <w:r w:rsidRPr="001018BB">
        <w:rPr>
          <w:rFonts w:ascii="Times New Roman" w:hAnsi="Times New Roman" w:cs="Times New Roman"/>
          <w:bCs/>
          <w:szCs w:val="24"/>
        </w:rPr>
        <w:t>will be kept confidential in compliance with the Education Sciences Reform Act of 2002 (</w:t>
      </w:r>
      <w:r w:rsidR="00E801CD">
        <w:rPr>
          <w:rFonts w:ascii="Times New Roman" w:hAnsi="Times New Roman" w:cs="Times New Roman"/>
          <w:bCs/>
          <w:szCs w:val="24"/>
        </w:rPr>
        <w:t>ESRA 2002, 20 U.S.</w:t>
      </w:r>
      <w:r w:rsidR="00E371C4" w:rsidRPr="00E371C4">
        <w:rPr>
          <w:rFonts w:ascii="Times New Roman" w:hAnsi="Times New Roman" w:cs="Times New Roman"/>
          <w:bCs/>
          <w:szCs w:val="24"/>
        </w:rPr>
        <w:t>C</w:t>
      </w:r>
      <w:r w:rsidR="00E801CD">
        <w:rPr>
          <w:rFonts w:ascii="Times New Roman" w:hAnsi="Times New Roman" w:cs="Times New Roman"/>
          <w:bCs/>
          <w:szCs w:val="24"/>
        </w:rPr>
        <w:t>.</w:t>
      </w:r>
      <w:r w:rsidR="00E371C4" w:rsidRPr="00E371C4">
        <w:rPr>
          <w:rFonts w:ascii="Times New Roman" w:hAnsi="Times New Roman" w:cs="Times New Roman"/>
          <w:bCs/>
          <w:szCs w:val="24"/>
        </w:rPr>
        <w:t xml:space="preserve"> § 9573</w:t>
      </w:r>
      <w:r w:rsidRPr="001018BB">
        <w:rPr>
          <w:rFonts w:ascii="Times New Roman" w:hAnsi="Times New Roman" w:cs="Times New Roman"/>
          <w:bCs/>
          <w:szCs w:val="24"/>
        </w:rPr>
        <w:t>).</w:t>
      </w:r>
      <w:r w:rsidRPr="00E371C4">
        <w:rPr>
          <w:rFonts w:ascii="Times New Roman" w:hAnsi="Times New Roman" w:cs="Times New Roman"/>
          <w:bCs/>
          <w:szCs w:val="24"/>
        </w:rPr>
        <w:t xml:space="preserve"> </w:t>
      </w:r>
    </w:p>
    <w:p w:rsidR="00ED1CA7" w:rsidRPr="0083654A" w:rsidRDefault="00ED1CA7">
      <w:pPr>
        <w:rPr>
          <w:rFonts w:ascii="Times New Roman" w:hAnsi="Times New Roman" w:cs="Times New Roman"/>
          <w:b/>
          <w:sz w:val="24"/>
          <w:szCs w:val="24"/>
        </w:rPr>
      </w:pPr>
      <w:r w:rsidRPr="0083654A">
        <w:rPr>
          <w:rFonts w:ascii="Times New Roman" w:hAnsi="Times New Roman" w:cs="Times New Roman"/>
          <w:b/>
          <w:sz w:val="24"/>
          <w:szCs w:val="24"/>
        </w:rPr>
        <w:t>Description of Sample and Burden</w:t>
      </w:r>
    </w:p>
    <w:p w:rsidR="00431EAE" w:rsidRDefault="00C4092B" w:rsidP="00431EAE">
      <w:pPr>
        <w:ind w:firstLine="720"/>
        <w:rPr>
          <w:rFonts w:ascii="Times New Roman" w:hAnsi="Times New Roman" w:cs="Times New Roman"/>
        </w:rPr>
      </w:pPr>
      <w:r w:rsidRPr="00D66638">
        <w:rPr>
          <w:rFonts w:ascii="Times New Roman" w:hAnsi="Times New Roman" w:cs="Times New Roman"/>
          <w:bCs/>
        </w:rPr>
        <w:t>The proposed sample design for FRSS is a nationally representative samp</w:t>
      </w:r>
      <w:r w:rsidR="00D66638">
        <w:rPr>
          <w:rFonts w:ascii="Times New Roman" w:hAnsi="Times New Roman" w:cs="Times New Roman"/>
          <w:bCs/>
        </w:rPr>
        <w:t>le of 1,500</w:t>
      </w:r>
      <w:r w:rsidRPr="00D66638">
        <w:rPr>
          <w:rFonts w:ascii="Times New Roman" w:hAnsi="Times New Roman" w:cs="Times New Roman"/>
        </w:rPr>
        <w:t xml:space="preserve"> </w:t>
      </w:r>
      <w:r w:rsidR="00D66638">
        <w:rPr>
          <w:rFonts w:ascii="Times New Roman" w:hAnsi="Times New Roman" w:cs="Times New Roman"/>
        </w:rPr>
        <w:t xml:space="preserve">regular </w:t>
      </w:r>
      <w:r w:rsidRPr="00D66638">
        <w:rPr>
          <w:rFonts w:ascii="Times New Roman" w:hAnsi="Times New Roman" w:cs="Times New Roman"/>
        </w:rPr>
        <w:t xml:space="preserve">public </w:t>
      </w:r>
      <w:r w:rsidR="0076504A" w:rsidRPr="00D66638">
        <w:rPr>
          <w:rFonts w:ascii="Times New Roman" w:hAnsi="Times New Roman" w:cs="Times New Roman"/>
        </w:rPr>
        <w:t xml:space="preserve">secondary </w:t>
      </w:r>
      <w:r w:rsidRPr="00D66638">
        <w:rPr>
          <w:rFonts w:ascii="Times New Roman" w:hAnsi="Times New Roman" w:cs="Times New Roman"/>
        </w:rPr>
        <w:t xml:space="preserve">schools from the NCES </w:t>
      </w:r>
      <w:r w:rsidR="0076504A" w:rsidRPr="00D66638">
        <w:rPr>
          <w:rFonts w:ascii="Times New Roman" w:hAnsi="Times New Roman" w:cs="Times New Roman"/>
        </w:rPr>
        <w:t>Common Core of Data (CCD) Public Elementary/Secondary School Universe Survey: School Year 2009–10 file</w:t>
      </w:r>
      <w:r w:rsidRPr="00D66638">
        <w:rPr>
          <w:rFonts w:ascii="Times New Roman" w:hAnsi="Times New Roman" w:cs="Times New Roman"/>
          <w:bCs/>
        </w:rPr>
        <w:t xml:space="preserve">. </w:t>
      </w:r>
      <w:r w:rsidR="00D66638">
        <w:rPr>
          <w:rFonts w:ascii="Times New Roman" w:hAnsi="Times New Roman" w:cs="Times New Roman"/>
          <w:bCs/>
        </w:rPr>
        <w:t xml:space="preserve">The proposed PEQIS survey will collect data from </w:t>
      </w:r>
      <w:r w:rsidR="0076504A" w:rsidRPr="00D66638">
        <w:rPr>
          <w:rFonts w:ascii="Times New Roman" w:hAnsi="Times New Roman" w:cs="Times New Roman"/>
          <w:bCs/>
        </w:rPr>
        <w:t xml:space="preserve">a nationally representative sample of </w:t>
      </w:r>
      <w:r w:rsidR="00D66638">
        <w:rPr>
          <w:rFonts w:ascii="Times New Roman" w:hAnsi="Times New Roman" w:cs="Times New Roman"/>
        </w:rPr>
        <w:t>1,600</w:t>
      </w:r>
      <w:r w:rsidR="0076504A" w:rsidRPr="00D66638">
        <w:rPr>
          <w:rFonts w:ascii="Times New Roman" w:hAnsi="Times New Roman" w:cs="Times New Roman"/>
        </w:rPr>
        <w:t xml:space="preserve"> </w:t>
      </w:r>
      <w:r w:rsidR="00D66638" w:rsidRPr="00D66638">
        <w:rPr>
          <w:rFonts w:ascii="Times New Roman" w:hAnsi="Times New Roman" w:cs="Times New Roman"/>
        </w:rPr>
        <w:t>4-year and 2-year Title IV degree-granting postsecondary institutions in the 50 states and the District of Columbia</w:t>
      </w:r>
      <w:r w:rsidR="00D66638">
        <w:rPr>
          <w:rFonts w:ascii="Times New Roman" w:hAnsi="Times New Roman" w:cs="Times New Roman"/>
        </w:rPr>
        <w:t xml:space="preserve">. </w:t>
      </w:r>
      <w:r w:rsidR="00431EAE">
        <w:rPr>
          <w:rFonts w:ascii="Times New Roman" w:hAnsi="Times New Roman" w:cs="Times New Roman"/>
        </w:rPr>
        <w:t xml:space="preserve">The </w:t>
      </w:r>
      <w:r w:rsidR="00804877">
        <w:rPr>
          <w:rFonts w:ascii="Times New Roman" w:hAnsi="Times New Roman" w:cs="Times New Roman"/>
        </w:rPr>
        <w:t xml:space="preserve">FRSS and PEQIS </w:t>
      </w:r>
      <w:r w:rsidR="00431EAE">
        <w:rPr>
          <w:rFonts w:ascii="Times New Roman" w:hAnsi="Times New Roman" w:cs="Times New Roman"/>
        </w:rPr>
        <w:t xml:space="preserve">data collection will be accomplished by means of a self-administered survey. </w:t>
      </w:r>
      <w:r w:rsidR="008E2333">
        <w:rPr>
          <w:rFonts w:ascii="Times New Roman" w:hAnsi="Times New Roman" w:cs="Times New Roman"/>
        </w:rPr>
        <w:t>Each r</w:t>
      </w:r>
      <w:r w:rsidR="00431EAE">
        <w:rPr>
          <w:rFonts w:ascii="Times New Roman" w:hAnsi="Times New Roman" w:cs="Times New Roman"/>
        </w:rPr>
        <w:t xml:space="preserve">espondent will have the option of completing the survey </w:t>
      </w:r>
      <w:r w:rsidR="008E2333">
        <w:rPr>
          <w:rFonts w:ascii="Times New Roman" w:hAnsi="Times New Roman" w:cs="Times New Roman"/>
        </w:rPr>
        <w:t xml:space="preserve">using </w:t>
      </w:r>
      <w:r w:rsidR="00431EAE">
        <w:rPr>
          <w:rFonts w:ascii="Times New Roman" w:hAnsi="Times New Roman" w:cs="Times New Roman"/>
        </w:rPr>
        <w:t>a paper questionnaire or a Web version of the questionnaire. The questionnaire</w:t>
      </w:r>
      <w:r w:rsidR="00804877">
        <w:rPr>
          <w:rFonts w:ascii="Times New Roman" w:hAnsi="Times New Roman" w:cs="Times New Roman"/>
        </w:rPr>
        <w:t>s</w:t>
      </w:r>
      <w:r w:rsidR="00431EAE">
        <w:rPr>
          <w:rFonts w:ascii="Times New Roman" w:hAnsi="Times New Roman" w:cs="Times New Roman"/>
        </w:rPr>
        <w:t xml:space="preserve"> </w:t>
      </w:r>
      <w:r w:rsidR="00804877">
        <w:rPr>
          <w:rFonts w:ascii="Times New Roman" w:hAnsi="Times New Roman" w:cs="Times New Roman"/>
        </w:rPr>
        <w:t>are</w:t>
      </w:r>
      <w:r w:rsidR="00431EAE">
        <w:rPr>
          <w:rFonts w:ascii="Times New Roman" w:hAnsi="Times New Roman" w:cs="Times New Roman"/>
        </w:rPr>
        <w:t xml:space="preserve"> limited to three pages of items readily available to respondents and can be completed by most respondents in </w:t>
      </w:r>
      <w:r w:rsidR="00000C25">
        <w:rPr>
          <w:rFonts w:ascii="Times New Roman" w:hAnsi="Times New Roman" w:cs="Times New Roman"/>
        </w:rPr>
        <w:t xml:space="preserve">30 </w:t>
      </w:r>
      <w:r w:rsidR="00431EAE">
        <w:rPr>
          <w:rFonts w:ascii="Times New Roman" w:hAnsi="Times New Roman" w:cs="Times New Roman"/>
        </w:rPr>
        <w:t xml:space="preserve">minutes or less. These procedures are typical for </w:t>
      </w:r>
      <w:r w:rsidR="00804877">
        <w:rPr>
          <w:rFonts w:ascii="Times New Roman" w:hAnsi="Times New Roman" w:cs="Times New Roman"/>
        </w:rPr>
        <w:t xml:space="preserve">FRSS and </w:t>
      </w:r>
      <w:r w:rsidR="00431EAE">
        <w:rPr>
          <w:rFonts w:ascii="Times New Roman" w:hAnsi="Times New Roman" w:cs="Times New Roman"/>
        </w:rPr>
        <w:t>PEQIS surveys and result in minimum burden on respondents.</w:t>
      </w:r>
    </w:p>
    <w:p w:rsidR="008E2333" w:rsidRDefault="008E2333" w:rsidP="009C0728">
      <w:pPr>
        <w:ind w:firstLine="720"/>
        <w:rPr>
          <w:rFonts w:ascii="Times New Roman" w:hAnsi="Times New Roman" w:cs="Times New Roman"/>
        </w:rPr>
      </w:pPr>
      <w:r>
        <w:rPr>
          <w:rFonts w:ascii="Times New Roman" w:hAnsi="Times New Roman" w:cs="Times New Roman"/>
        </w:rPr>
        <w:t xml:space="preserve">Prior to contacting schools for the FRSS survey, a courtesy </w:t>
      </w:r>
      <w:r w:rsidR="00974C35">
        <w:rPr>
          <w:rFonts w:ascii="Times New Roman" w:hAnsi="Times New Roman" w:cs="Times New Roman"/>
        </w:rPr>
        <w:t>information packet consisting of a cover letter</w:t>
      </w:r>
      <w:r w:rsidR="003F4F38">
        <w:rPr>
          <w:rFonts w:ascii="Times New Roman" w:hAnsi="Times New Roman" w:cs="Times New Roman"/>
        </w:rPr>
        <w:t xml:space="preserve"> (Attachment 3)</w:t>
      </w:r>
      <w:r w:rsidR="00974C35">
        <w:rPr>
          <w:rFonts w:ascii="Times New Roman" w:hAnsi="Times New Roman" w:cs="Times New Roman"/>
        </w:rPr>
        <w:t xml:space="preserve"> and copy of the questionnaire will be mailed to the superintendent of each district with sampled schools. The packet will also include a list of the sampled schools within the district. Any special requirements that districts have for approval of surveys will be met before schools in those districts are contacted.</w:t>
      </w:r>
      <w:r w:rsidR="003F4F38">
        <w:rPr>
          <w:rFonts w:ascii="Times New Roman" w:hAnsi="Times New Roman" w:cs="Times New Roman"/>
        </w:rPr>
        <w:t xml:space="preserve"> </w:t>
      </w:r>
      <w:r w:rsidR="00A678FB">
        <w:rPr>
          <w:rFonts w:ascii="Times New Roman" w:hAnsi="Times New Roman" w:cs="Times New Roman"/>
        </w:rPr>
        <w:t>Each of the approximately 100 s</w:t>
      </w:r>
      <w:r w:rsidR="000A0548">
        <w:rPr>
          <w:rFonts w:ascii="Times New Roman" w:hAnsi="Times New Roman" w:cs="Times New Roman"/>
        </w:rPr>
        <w:t>pecial clearance district</w:t>
      </w:r>
      <w:r w:rsidR="00A678FB">
        <w:rPr>
          <w:rFonts w:ascii="Times New Roman" w:hAnsi="Times New Roman" w:cs="Times New Roman"/>
        </w:rPr>
        <w:t>s</w:t>
      </w:r>
      <w:r w:rsidR="000A0548">
        <w:rPr>
          <w:rFonts w:ascii="Times New Roman" w:hAnsi="Times New Roman" w:cs="Times New Roman"/>
        </w:rPr>
        <w:t xml:space="preserve"> </w:t>
      </w:r>
      <w:r w:rsidR="00A678FB">
        <w:rPr>
          <w:rFonts w:ascii="Times New Roman" w:hAnsi="Times New Roman" w:cs="Times New Roman"/>
        </w:rPr>
        <w:t xml:space="preserve">has unique requirements for obtaining approval. The </w:t>
      </w:r>
      <w:r w:rsidR="000A0548">
        <w:rPr>
          <w:rFonts w:ascii="Times New Roman" w:hAnsi="Times New Roman" w:cs="Times New Roman"/>
        </w:rPr>
        <w:t xml:space="preserve">materials </w:t>
      </w:r>
      <w:r w:rsidR="00A678FB">
        <w:rPr>
          <w:rFonts w:ascii="Times New Roman" w:hAnsi="Times New Roman" w:cs="Times New Roman"/>
        </w:rPr>
        <w:t xml:space="preserve">sent to special districts will be tailored to meet the specific requirements of each district, </w:t>
      </w:r>
      <w:r w:rsidR="000A0548">
        <w:rPr>
          <w:rFonts w:ascii="Times New Roman" w:hAnsi="Times New Roman" w:cs="Times New Roman"/>
        </w:rPr>
        <w:t>based on i</w:t>
      </w:r>
      <w:r w:rsidR="003F4F38">
        <w:rPr>
          <w:rFonts w:ascii="Times New Roman" w:hAnsi="Times New Roman" w:cs="Times New Roman"/>
        </w:rPr>
        <w:t xml:space="preserve">nformation from the </w:t>
      </w:r>
      <w:r w:rsidR="000A0548">
        <w:rPr>
          <w:rFonts w:ascii="Times New Roman" w:hAnsi="Times New Roman" w:cs="Times New Roman"/>
        </w:rPr>
        <w:t>OMB package</w:t>
      </w:r>
      <w:r w:rsidR="00A678FB">
        <w:rPr>
          <w:rFonts w:ascii="Times New Roman" w:hAnsi="Times New Roman" w:cs="Times New Roman"/>
        </w:rPr>
        <w:t xml:space="preserve">. </w:t>
      </w:r>
      <w:r w:rsidR="00A1521E">
        <w:rPr>
          <w:rFonts w:ascii="Times New Roman" w:hAnsi="Times New Roman" w:cs="Times New Roman"/>
        </w:rPr>
        <w:t>For example, most districts request information on survey justification, confidentiality, sample size, and survey collection procedures, which will be copied from the appropriate sections of the OMB package.</w:t>
      </w:r>
    </w:p>
    <w:p w:rsidR="009C0728" w:rsidRDefault="00431EAE" w:rsidP="009C0728">
      <w:pPr>
        <w:ind w:firstLine="720"/>
        <w:rPr>
          <w:rFonts w:ascii="Times New Roman" w:hAnsi="Times New Roman" w:cs="Times New Roman"/>
        </w:rPr>
      </w:pPr>
      <w:r>
        <w:rPr>
          <w:rFonts w:ascii="Times New Roman" w:hAnsi="Times New Roman" w:cs="Times New Roman"/>
        </w:rPr>
        <w:t>Questionnaires and information needed to access the Web survey</w:t>
      </w:r>
      <w:r w:rsidR="00804877">
        <w:rPr>
          <w:rFonts w:ascii="Times New Roman" w:hAnsi="Times New Roman" w:cs="Times New Roman"/>
        </w:rPr>
        <w:t>s</w:t>
      </w:r>
      <w:r>
        <w:rPr>
          <w:rFonts w:ascii="Times New Roman" w:hAnsi="Times New Roman" w:cs="Times New Roman"/>
        </w:rPr>
        <w:t xml:space="preserve"> will be mailed in September 201</w:t>
      </w:r>
      <w:r w:rsidR="004822A6">
        <w:rPr>
          <w:rFonts w:ascii="Times New Roman" w:hAnsi="Times New Roman" w:cs="Times New Roman"/>
        </w:rPr>
        <w:t>1</w:t>
      </w:r>
      <w:r>
        <w:rPr>
          <w:rFonts w:ascii="Times New Roman" w:hAnsi="Times New Roman" w:cs="Times New Roman"/>
        </w:rPr>
        <w:t xml:space="preserve"> to the </w:t>
      </w:r>
      <w:r w:rsidR="001D122A">
        <w:rPr>
          <w:rFonts w:ascii="Times New Roman" w:hAnsi="Times New Roman" w:cs="Times New Roman"/>
        </w:rPr>
        <w:t xml:space="preserve">principals of the </w:t>
      </w:r>
      <w:r w:rsidR="00804877">
        <w:rPr>
          <w:rFonts w:ascii="Times New Roman" w:hAnsi="Times New Roman" w:cs="Times New Roman"/>
        </w:rPr>
        <w:t xml:space="preserve">sampled schools </w:t>
      </w:r>
      <w:r w:rsidR="001D122A">
        <w:rPr>
          <w:rFonts w:ascii="Times New Roman" w:hAnsi="Times New Roman" w:cs="Times New Roman"/>
        </w:rPr>
        <w:t xml:space="preserve">(for FRSS) </w:t>
      </w:r>
      <w:r w:rsidR="00804877">
        <w:rPr>
          <w:rFonts w:ascii="Times New Roman" w:hAnsi="Times New Roman" w:cs="Times New Roman"/>
        </w:rPr>
        <w:t xml:space="preserve">and </w:t>
      </w:r>
      <w:r w:rsidR="001D122A">
        <w:rPr>
          <w:rFonts w:ascii="Times New Roman" w:hAnsi="Times New Roman" w:cs="Times New Roman"/>
        </w:rPr>
        <w:t xml:space="preserve">to the </w:t>
      </w:r>
      <w:r w:rsidR="001D122A" w:rsidRPr="001D122A">
        <w:rPr>
          <w:rFonts w:ascii="Times New Roman" w:hAnsi="Times New Roman" w:cs="Times New Roman"/>
        </w:rPr>
        <w:t xml:space="preserve">PEQIS coordinator of </w:t>
      </w:r>
      <w:r w:rsidR="00804877">
        <w:rPr>
          <w:rFonts w:ascii="Times New Roman" w:hAnsi="Times New Roman" w:cs="Times New Roman"/>
        </w:rPr>
        <w:t>institutions</w:t>
      </w:r>
      <w:r w:rsidR="001D122A" w:rsidRPr="001D122A">
        <w:rPr>
          <w:rFonts w:ascii="Times New Roman" w:hAnsi="Times New Roman" w:cs="Times New Roman"/>
        </w:rPr>
        <w:t xml:space="preserve"> in the PEQIS panel</w:t>
      </w:r>
      <w:r>
        <w:rPr>
          <w:rFonts w:ascii="Times New Roman" w:hAnsi="Times New Roman" w:cs="Times New Roman"/>
        </w:rPr>
        <w:t xml:space="preserve">. </w:t>
      </w:r>
      <w:r w:rsidR="001D122A" w:rsidRPr="001D122A">
        <w:rPr>
          <w:rFonts w:ascii="Times New Roman" w:hAnsi="Times New Roman" w:cs="Times New Roman"/>
        </w:rPr>
        <w:t xml:space="preserve">The cover letter </w:t>
      </w:r>
      <w:r w:rsidR="001D122A">
        <w:rPr>
          <w:rFonts w:ascii="Times New Roman" w:hAnsi="Times New Roman" w:cs="Times New Roman"/>
        </w:rPr>
        <w:t xml:space="preserve">and questionnaire </w:t>
      </w:r>
      <w:r w:rsidR="001D122A" w:rsidRPr="001D122A">
        <w:rPr>
          <w:rFonts w:ascii="Times New Roman" w:hAnsi="Times New Roman" w:cs="Times New Roman"/>
        </w:rPr>
        <w:t>will include a description of th</w:t>
      </w:r>
      <w:r w:rsidR="001D122A">
        <w:rPr>
          <w:rFonts w:ascii="Times New Roman" w:hAnsi="Times New Roman" w:cs="Times New Roman"/>
        </w:rPr>
        <w:t>e most appropriate respondent</w:t>
      </w:r>
      <w:r w:rsidR="001D122A" w:rsidRPr="001D122A">
        <w:rPr>
          <w:rFonts w:ascii="Times New Roman" w:hAnsi="Times New Roman" w:cs="Times New Roman"/>
        </w:rPr>
        <w:t>.</w:t>
      </w:r>
      <w:r w:rsidR="001D122A">
        <w:rPr>
          <w:rFonts w:ascii="Times New Roman" w:hAnsi="Times New Roman" w:cs="Times New Roman"/>
        </w:rPr>
        <w:t xml:space="preserve"> </w:t>
      </w:r>
      <w:r w:rsidR="00985EE0">
        <w:rPr>
          <w:rFonts w:ascii="Times New Roman" w:hAnsi="Times New Roman" w:cs="Times New Roman"/>
        </w:rPr>
        <w:t>Follow-</w:t>
      </w:r>
      <w:r>
        <w:rPr>
          <w:rFonts w:ascii="Times New Roman" w:hAnsi="Times New Roman" w:cs="Times New Roman"/>
        </w:rPr>
        <w:t xml:space="preserve">up for </w:t>
      </w:r>
      <w:proofErr w:type="spellStart"/>
      <w:r>
        <w:rPr>
          <w:rFonts w:ascii="Times New Roman" w:hAnsi="Times New Roman" w:cs="Times New Roman"/>
        </w:rPr>
        <w:t>nonresponse</w:t>
      </w:r>
      <w:proofErr w:type="spellEnd"/>
      <w:r>
        <w:rPr>
          <w:rFonts w:ascii="Times New Roman" w:hAnsi="Times New Roman" w:cs="Times New Roman"/>
        </w:rPr>
        <w:t xml:space="preserve"> will be conducted both by mail and telephone and will begin about 3 weeks after the questionnaires have been mailed to the </w:t>
      </w:r>
      <w:r w:rsidR="00000C25">
        <w:rPr>
          <w:rFonts w:ascii="Times New Roman" w:hAnsi="Times New Roman" w:cs="Times New Roman"/>
        </w:rPr>
        <w:t xml:space="preserve">schools and </w:t>
      </w:r>
      <w:r>
        <w:rPr>
          <w:rFonts w:ascii="Times New Roman" w:hAnsi="Times New Roman" w:cs="Times New Roman"/>
        </w:rPr>
        <w:t>institutions. Experience</w:t>
      </w:r>
      <w:r w:rsidR="00804877">
        <w:rPr>
          <w:rFonts w:ascii="Times New Roman" w:hAnsi="Times New Roman" w:cs="Times New Roman"/>
        </w:rPr>
        <w:t>d</w:t>
      </w:r>
      <w:r>
        <w:rPr>
          <w:rFonts w:ascii="Times New Roman" w:hAnsi="Times New Roman" w:cs="Times New Roman"/>
        </w:rPr>
        <w:t xml:space="preserve"> telephone interviewers will be trained to</w:t>
      </w:r>
      <w:r w:rsidR="00985EE0">
        <w:rPr>
          <w:rFonts w:ascii="Times New Roman" w:hAnsi="Times New Roman" w:cs="Times New Roman"/>
        </w:rPr>
        <w:t xml:space="preserve"> conduct the </w:t>
      </w:r>
      <w:proofErr w:type="spellStart"/>
      <w:r w:rsidR="00985EE0">
        <w:rPr>
          <w:rFonts w:ascii="Times New Roman" w:hAnsi="Times New Roman" w:cs="Times New Roman"/>
        </w:rPr>
        <w:t>nonresponse</w:t>
      </w:r>
      <w:proofErr w:type="spellEnd"/>
      <w:r w:rsidR="00985EE0">
        <w:rPr>
          <w:rFonts w:ascii="Times New Roman" w:hAnsi="Times New Roman" w:cs="Times New Roman"/>
        </w:rPr>
        <w:t xml:space="preserve"> follow-</w:t>
      </w:r>
      <w:r>
        <w:rPr>
          <w:rFonts w:ascii="Times New Roman" w:hAnsi="Times New Roman" w:cs="Times New Roman"/>
        </w:rPr>
        <w:t xml:space="preserve">up and will be monitored by </w:t>
      </w:r>
      <w:proofErr w:type="spellStart"/>
      <w:r>
        <w:rPr>
          <w:rFonts w:ascii="Times New Roman" w:hAnsi="Times New Roman" w:cs="Times New Roman"/>
        </w:rPr>
        <w:t>Westat</w:t>
      </w:r>
      <w:proofErr w:type="spellEnd"/>
      <w:r>
        <w:rPr>
          <w:rFonts w:ascii="Times New Roman" w:hAnsi="Times New Roman" w:cs="Times New Roman"/>
        </w:rPr>
        <w:t xml:space="preserve"> supervisory personne</w:t>
      </w:r>
      <w:r w:rsidR="00985EE0">
        <w:rPr>
          <w:rFonts w:ascii="Times New Roman" w:hAnsi="Times New Roman" w:cs="Times New Roman"/>
        </w:rPr>
        <w:t xml:space="preserve">l. Telephone </w:t>
      </w:r>
      <w:proofErr w:type="spellStart"/>
      <w:r w:rsidR="00985EE0">
        <w:rPr>
          <w:rFonts w:ascii="Times New Roman" w:hAnsi="Times New Roman" w:cs="Times New Roman"/>
        </w:rPr>
        <w:t>nonresponse</w:t>
      </w:r>
      <w:proofErr w:type="spellEnd"/>
      <w:r w:rsidR="00985EE0">
        <w:rPr>
          <w:rFonts w:ascii="Times New Roman" w:hAnsi="Times New Roman" w:cs="Times New Roman"/>
        </w:rPr>
        <w:t xml:space="preserve"> follow-</w:t>
      </w:r>
      <w:r>
        <w:rPr>
          <w:rFonts w:ascii="Times New Roman" w:hAnsi="Times New Roman" w:cs="Times New Roman"/>
        </w:rPr>
        <w:t xml:space="preserve">up is used to prompt respondents to complete the survey by web or mail and is expected to take about 5 minutes. </w:t>
      </w:r>
    </w:p>
    <w:p w:rsidR="006F6069" w:rsidRPr="00B17E4E" w:rsidRDefault="006F6069" w:rsidP="009C0728">
      <w:pPr>
        <w:ind w:firstLine="720"/>
        <w:rPr>
          <w:rFonts w:ascii="Times New Roman" w:hAnsi="Times New Roman" w:cs="Times New Roman"/>
        </w:rPr>
      </w:pPr>
    </w:p>
    <w:p w:rsidR="001D122A" w:rsidRPr="00F95745" w:rsidRDefault="006F6069" w:rsidP="00F95745">
      <w:pPr>
        <w:ind w:firstLine="720"/>
        <w:rPr>
          <w:rFonts w:ascii="Times New Roman" w:hAnsi="Times New Roman" w:cs="Times New Roman"/>
        </w:rPr>
      </w:pPr>
      <w:r>
        <w:rPr>
          <w:rFonts w:ascii="Times New Roman" w:hAnsi="Times New Roman" w:cs="Times New Roman"/>
        </w:rPr>
        <w:t xml:space="preserve">For FRSS 104, </w:t>
      </w:r>
      <w:r w:rsidR="00AE31AE">
        <w:rPr>
          <w:rFonts w:ascii="Times New Roman" w:hAnsi="Times New Roman" w:cs="Times New Roman"/>
        </w:rPr>
        <w:t>notification to the estimated 1,340 districts is expected to take approximately 5 minutes per district for a total of 111 respondent burden hours</w:t>
      </w:r>
      <w:r w:rsidR="001A0917">
        <w:rPr>
          <w:rFonts w:ascii="Times New Roman" w:hAnsi="Times New Roman" w:cs="Times New Roman"/>
        </w:rPr>
        <w:t xml:space="preserve"> (table 1)</w:t>
      </w:r>
      <w:r w:rsidR="00AE31AE">
        <w:rPr>
          <w:rFonts w:ascii="Times New Roman" w:hAnsi="Times New Roman" w:cs="Times New Roman"/>
        </w:rPr>
        <w:t xml:space="preserve">. </w:t>
      </w:r>
      <w:r w:rsidR="00A41B47">
        <w:rPr>
          <w:rFonts w:ascii="Times New Roman" w:hAnsi="Times New Roman" w:cs="Times New Roman"/>
        </w:rPr>
        <w:t>I</w:t>
      </w:r>
      <w:r>
        <w:rPr>
          <w:rFonts w:ascii="Times New Roman" w:hAnsi="Times New Roman" w:cs="Times New Roman"/>
        </w:rPr>
        <w:t xml:space="preserve">t is anticipated that approximately 100 </w:t>
      </w:r>
      <w:r w:rsidR="00F56113">
        <w:rPr>
          <w:rFonts w:ascii="Times New Roman" w:hAnsi="Times New Roman" w:cs="Times New Roman"/>
        </w:rPr>
        <w:t xml:space="preserve">districts with </w:t>
      </w:r>
      <w:r>
        <w:rPr>
          <w:rFonts w:ascii="Times New Roman" w:hAnsi="Times New Roman" w:cs="Times New Roman"/>
        </w:rPr>
        <w:t xml:space="preserve">special clearance </w:t>
      </w:r>
      <w:r w:rsidR="00F56113">
        <w:rPr>
          <w:rFonts w:ascii="Times New Roman" w:hAnsi="Times New Roman" w:cs="Times New Roman"/>
        </w:rPr>
        <w:t xml:space="preserve">procedures </w:t>
      </w:r>
      <w:r>
        <w:rPr>
          <w:rFonts w:ascii="Times New Roman" w:hAnsi="Times New Roman" w:cs="Times New Roman"/>
        </w:rPr>
        <w:t>will be contacted</w:t>
      </w:r>
      <w:r w:rsidR="00F56113">
        <w:rPr>
          <w:rFonts w:ascii="Times New Roman" w:hAnsi="Times New Roman" w:cs="Times New Roman"/>
        </w:rPr>
        <w:t>. The</w:t>
      </w:r>
      <w:r>
        <w:rPr>
          <w:rFonts w:ascii="Times New Roman" w:hAnsi="Times New Roman" w:cs="Times New Roman"/>
        </w:rPr>
        <w:t xml:space="preserve"> respondent burden </w:t>
      </w:r>
      <w:r w:rsidR="00F56113">
        <w:rPr>
          <w:rFonts w:ascii="Times New Roman" w:hAnsi="Times New Roman" w:cs="Times New Roman"/>
        </w:rPr>
        <w:t xml:space="preserve">will be </w:t>
      </w:r>
      <w:r>
        <w:rPr>
          <w:rFonts w:ascii="Times New Roman" w:hAnsi="Times New Roman" w:cs="Times New Roman"/>
        </w:rPr>
        <w:t xml:space="preserve">approximately 2 hours per </w:t>
      </w:r>
      <w:r w:rsidR="00A41B47">
        <w:rPr>
          <w:rFonts w:ascii="Times New Roman" w:hAnsi="Times New Roman" w:cs="Times New Roman"/>
        </w:rPr>
        <w:t xml:space="preserve">special </w:t>
      </w:r>
      <w:r>
        <w:rPr>
          <w:rFonts w:ascii="Times New Roman" w:hAnsi="Times New Roman" w:cs="Times New Roman"/>
        </w:rPr>
        <w:t xml:space="preserve">district for a total of 200 respondent burden hours. </w:t>
      </w:r>
      <w:r w:rsidR="00342131">
        <w:rPr>
          <w:rFonts w:ascii="Times New Roman" w:hAnsi="Times New Roman" w:cs="Times New Roman"/>
        </w:rPr>
        <w:t xml:space="preserve">The estimated burden </w:t>
      </w:r>
      <w:r w:rsidR="00617678">
        <w:rPr>
          <w:rFonts w:ascii="Times New Roman" w:hAnsi="Times New Roman" w:cs="Times New Roman"/>
        </w:rPr>
        <w:t xml:space="preserve">time </w:t>
      </w:r>
      <w:r>
        <w:rPr>
          <w:rFonts w:ascii="Times New Roman" w:hAnsi="Times New Roman" w:cs="Times New Roman"/>
        </w:rPr>
        <w:t xml:space="preserve">for </w:t>
      </w:r>
      <w:r w:rsidR="00F56113">
        <w:rPr>
          <w:rFonts w:ascii="Times New Roman" w:hAnsi="Times New Roman" w:cs="Times New Roman"/>
        </w:rPr>
        <w:t xml:space="preserve">sampled </w:t>
      </w:r>
      <w:r w:rsidR="00342131">
        <w:rPr>
          <w:rFonts w:ascii="Times New Roman" w:hAnsi="Times New Roman" w:cs="Times New Roman"/>
        </w:rPr>
        <w:t xml:space="preserve">schools </w:t>
      </w:r>
      <w:r>
        <w:rPr>
          <w:rFonts w:ascii="Times New Roman" w:hAnsi="Times New Roman" w:cs="Times New Roman"/>
        </w:rPr>
        <w:t xml:space="preserve">to review the introductory letter requesting their </w:t>
      </w:r>
      <w:r w:rsidR="00342131">
        <w:rPr>
          <w:rFonts w:ascii="Times New Roman" w:hAnsi="Times New Roman" w:cs="Times New Roman"/>
        </w:rPr>
        <w:t>participat</w:t>
      </w:r>
      <w:r>
        <w:rPr>
          <w:rFonts w:ascii="Times New Roman" w:hAnsi="Times New Roman" w:cs="Times New Roman"/>
        </w:rPr>
        <w:t>ion</w:t>
      </w:r>
      <w:r w:rsidR="00342131">
        <w:rPr>
          <w:rFonts w:ascii="Times New Roman" w:hAnsi="Times New Roman" w:cs="Times New Roman"/>
        </w:rPr>
        <w:t xml:space="preserve"> </w:t>
      </w:r>
      <w:r w:rsidR="00F02F55">
        <w:rPr>
          <w:rFonts w:ascii="Times New Roman" w:hAnsi="Times New Roman" w:cs="Times New Roman"/>
        </w:rPr>
        <w:t xml:space="preserve">(initial contact) </w:t>
      </w:r>
      <w:r w:rsidR="00342131">
        <w:rPr>
          <w:rFonts w:ascii="Times New Roman" w:hAnsi="Times New Roman" w:cs="Times New Roman"/>
        </w:rPr>
        <w:t>is 5 minutes per school for a total burden of 125 hours.</w:t>
      </w:r>
      <w:r w:rsidR="003446F5">
        <w:rPr>
          <w:rFonts w:ascii="Times New Roman" w:hAnsi="Times New Roman" w:cs="Times New Roman"/>
        </w:rPr>
        <w:t xml:space="preserve"> </w:t>
      </w:r>
      <w:r w:rsidR="00000C25">
        <w:rPr>
          <w:rFonts w:ascii="Times New Roman" w:hAnsi="Times New Roman" w:cs="Times New Roman"/>
        </w:rPr>
        <w:t xml:space="preserve">The response rates for FRSS </w:t>
      </w:r>
      <w:r w:rsidR="00256B68">
        <w:rPr>
          <w:rFonts w:ascii="Times New Roman" w:hAnsi="Times New Roman" w:cs="Times New Roman"/>
        </w:rPr>
        <w:t xml:space="preserve">and PEQIS </w:t>
      </w:r>
      <w:r w:rsidR="00000C25">
        <w:rPr>
          <w:rFonts w:ascii="Times New Roman" w:hAnsi="Times New Roman" w:cs="Times New Roman"/>
        </w:rPr>
        <w:t>surveys of school</w:t>
      </w:r>
      <w:r w:rsidR="00256B68">
        <w:rPr>
          <w:rFonts w:ascii="Times New Roman" w:hAnsi="Times New Roman" w:cs="Times New Roman"/>
        </w:rPr>
        <w:t>s and institutions</w:t>
      </w:r>
      <w:r w:rsidR="00000C25">
        <w:rPr>
          <w:rFonts w:ascii="Times New Roman" w:hAnsi="Times New Roman" w:cs="Times New Roman"/>
        </w:rPr>
        <w:t xml:space="preserve"> typically have been 90 percent or greater. At a response rate of 90 percent, the initial sample of </w:t>
      </w:r>
      <w:r w:rsidR="007A00B1">
        <w:rPr>
          <w:rFonts w:ascii="Times New Roman" w:hAnsi="Times New Roman" w:cs="Times New Roman"/>
        </w:rPr>
        <w:t>1</w:t>
      </w:r>
      <w:r w:rsidR="00E7104D">
        <w:rPr>
          <w:rFonts w:ascii="Times New Roman" w:hAnsi="Times New Roman" w:cs="Times New Roman"/>
        </w:rPr>
        <w:t>,</w:t>
      </w:r>
      <w:r w:rsidR="007A00B1">
        <w:rPr>
          <w:rFonts w:ascii="Times New Roman" w:hAnsi="Times New Roman" w:cs="Times New Roman"/>
        </w:rPr>
        <w:t>500</w:t>
      </w:r>
      <w:r w:rsidR="00000C25">
        <w:rPr>
          <w:rFonts w:ascii="Times New Roman" w:hAnsi="Times New Roman" w:cs="Times New Roman"/>
        </w:rPr>
        <w:t xml:space="preserve"> schools </w:t>
      </w:r>
      <w:r w:rsidR="00256B68">
        <w:rPr>
          <w:rFonts w:ascii="Times New Roman" w:hAnsi="Times New Roman" w:cs="Times New Roman"/>
        </w:rPr>
        <w:t xml:space="preserve">for FRSS 104 </w:t>
      </w:r>
      <w:r w:rsidR="00000C25">
        <w:rPr>
          <w:rFonts w:ascii="Times New Roman" w:hAnsi="Times New Roman" w:cs="Times New Roman"/>
        </w:rPr>
        <w:t xml:space="preserve">will yield about </w:t>
      </w:r>
      <w:r w:rsidR="007A00B1">
        <w:rPr>
          <w:rFonts w:ascii="Times New Roman" w:hAnsi="Times New Roman" w:cs="Times New Roman"/>
        </w:rPr>
        <w:t>1</w:t>
      </w:r>
      <w:r w:rsidR="00E7104D">
        <w:rPr>
          <w:rFonts w:ascii="Times New Roman" w:hAnsi="Times New Roman" w:cs="Times New Roman"/>
        </w:rPr>
        <w:t>,</w:t>
      </w:r>
      <w:r w:rsidR="007A00B1">
        <w:rPr>
          <w:rFonts w:ascii="Times New Roman" w:hAnsi="Times New Roman" w:cs="Times New Roman"/>
        </w:rPr>
        <w:t>350</w:t>
      </w:r>
      <w:r w:rsidR="00000C25">
        <w:rPr>
          <w:rFonts w:ascii="Times New Roman" w:hAnsi="Times New Roman" w:cs="Times New Roman"/>
        </w:rPr>
        <w:t xml:space="preserve"> completed questionnaires. Based on a response burden of approximately </w:t>
      </w:r>
      <w:r w:rsidR="002C1EFC" w:rsidRPr="002C1EFC">
        <w:rPr>
          <w:rFonts w:ascii="Times New Roman" w:hAnsi="Times New Roman" w:cs="Times New Roman"/>
        </w:rPr>
        <w:t xml:space="preserve">30 </w:t>
      </w:r>
      <w:r w:rsidR="00000C25" w:rsidRPr="002C1EFC">
        <w:rPr>
          <w:rFonts w:ascii="Times New Roman" w:hAnsi="Times New Roman" w:cs="Times New Roman"/>
        </w:rPr>
        <w:t>minutes</w:t>
      </w:r>
      <w:r w:rsidR="00000C25">
        <w:rPr>
          <w:rFonts w:ascii="Times New Roman" w:hAnsi="Times New Roman" w:cs="Times New Roman"/>
        </w:rPr>
        <w:t xml:space="preserve"> per completed questionnaire, the response burden to complete the </w:t>
      </w:r>
      <w:r w:rsidR="00256B68">
        <w:rPr>
          <w:rFonts w:ascii="Times New Roman" w:hAnsi="Times New Roman" w:cs="Times New Roman"/>
        </w:rPr>
        <w:t xml:space="preserve">FRSS 104 survey </w:t>
      </w:r>
      <w:r w:rsidR="00000C25">
        <w:rPr>
          <w:rFonts w:ascii="Times New Roman" w:hAnsi="Times New Roman" w:cs="Times New Roman"/>
        </w:rPr>
        <w:t xml:space="preserve">is estimated to be about </w:t>
      </w:r>
      <w:r w:rsidR="005970E1">
        <w:rPr>
          <w:rFonts w:ascii="Times New Roman" w:hAnsi="Times New Roman" w:cs="Times New Roman"/>
        </w:rPr>
        <w:t>675</w:t>
      </w:r>
      <w:r w:rsidR="00000C25">
        <w:rPr>
          <w:rFonts w:ascii="Times New Roman" w:hAnsi="Times New Roman" w:cs="Times New Roman"/>
        </w:rPr>
        <w:t xml:space="preserve"> hours.</w:t>
      </w:r>
      <w:r w:rsidR="00250C79">
        <w:rPr>
          <w:rStyle w:val="FootnoteReference"/>
          <w:rFonts w:ascii="Times New Roman" w:hAnsi="Times New Roman" w:cs="Times New Roman"/>
        </w:rPr>
        <w:footnoteReference w:id="7"/>
      </w:r>
      <w:r w:rsidR="00000C25">
        <w:rPr>
          <w:rFonts w:ascii="Times New Roman" w:hAnsi="Times New Roman" w:cs="Times New Roman"/>
        </w:rPr>
        <w:t xml:space="preserve"> It is anticipated that about </w:t>
      </w:r>
      <w:r w:rsidR="007A00B1">
        <w:rPr>
          <w:rFonts w:ascii="Times New Roman" w:hAnsi="Times New Roman" w:cs="Times New Roman"/>
        </w:rPr>
        <w:t>25</w:t>
      </w:r>
      <w:r w:rsidR="00000C25">
        <w:rPr>
          <w:rFonts w:ascii="Times New Roman" w:hAnsi="Times New Roman" w:cs="Times New Roman"/>
        </w:rPr>
        <w:t xml:space="preserve"> percent of the sample will have returned the completed s</w:t>
      </w:r>
      <w:r w:rsidR="00985EE0">
        <w:rPr>
          <w:rFonts w:ascii="Times New Roman" w:hAnsi="Times New Roman" w:cs="Times New Roman"/>
        </w:rPr>
        <w:t xml:space="preserve">urvey before </w:t>
      </w:r>
      <w:proofErr w:type="spellStart"/>
      <w:r w:rsidR="00985EE0">
        <w:rPr>
          <w:rFonts w:ascii="Times New Roman" w:hAnsi="Times New Roman" w:cs="Times New Roman"/>
        </w:rPr>
        <w:t>nonresponse</w:t>
      </w:r>
      <w:proofErr w:type="spellEnd"/>
      <w:r w:rsidR="00985EE0">
        <w:rPr>
          <w:rFonts w:ascii="Times New Roman" w:hAnsi="Times New Roman" w:cs="Times New Roman"/>
        </w:rPr>
        <w:t xml:space="preserve"> follow-</w:t>
      </w:r>
      <w:r w:rsidR="00000C25">
        <w:rPr>
          <w:rFonts w:ascii="Times New Roman" w:hAnsi="Times New Roman" w:cs="Times New Roman"/>
        </w:rPr>
        <w:t xml:space="preserve">up begins and about </w:t>
      </w:r>
      <w:r w:rsidR="007A00B1">
        <w:rPr>
          <w:rFonts w:ascii="Times New Roman" w:hAnsi="Times New Roman" w:cs="Times New Roman"/>
        </w:rPr>
        <w:t>75</w:t>
      </w:r>
      <w:r w:rsidR="00000C25">
        <w:rPr>
          <w:rFonts w:ascii="Times New Roman" w:hAnsi="Times New Roman" w:cs="Times New Roman"/>
        </w:rPr>
        <w:t xml:space="preserve"> percent of the sample (i.e. </w:t>
      </w:r>
      <w:r w:rsidR="007A00B1">
        <w:rPr>
          <w:rFonts w:ascii="Times New Roman" w:hAnsi="Times New Roman" w:cs="Times New Roman"/>
        </w:rPr>
        <w:t>1</w:t>
      </w:r>
      <w:r w:rsidR="00E7104D">
        <w:rPr>
          <w:rFonts w:ascii="Times New Roman" w:hAnsi="Times New Roman" w:cs="Times New Roman"/>
        </w:rPr>
        <w:t>,</w:t>
      </w:r>
      <w:r w:rsidR="007A00B1">
        <w:rPr>
          <w:rFonts w:ascii="Times New Roman" w:hAnsi="Times New Roman" w:cs="Times New Roman"/>
        </w:rPr>
        <w:t>125</w:t>
      </w:r>
      <w:r w:rsidR="001A0917">
        <w:rPr>
          <w:rFonts w:ascii="Times New Roman" w:hAnsi="Times New Roman" w:cs="Times New Roman"/>
        </w:rPr>
        <w:t xml:space="preserve"> schools</w:t>
      </w:r>
      <w:r w:rsidR="00000C25">
        <w:rPr>
          <w:rFonts w:ascii="Times New Roman" w:hAnsi="Times New Roman" w:cs="Times New Roman"/>
        </w:rPr>
        <w:t>) wi</w:t>
      </w:r>
      <w:r w:rsidR="00985EE0">
        <w:rPr>
          <w:rFonts w:ascii="Times New Roman" w:hAnsi="Times New Roman" w:cs="Times New Roman"/>
        </w:rPr>
        <w:t xml:space="preserve">ll receive a </w:t>
      </w:r>
      <w:proofErr w:type="spellStart"/>
      <w:r w:rsidR="00985EE0">
        <w:rPr>
          <w:rFonts w:ascii="Times New Roman" w:hAnsi="Times New Roman" w:cs="Times New Roman"/>
        </w:rPr>
        <w:t>nonresponse</w:t>
      </w:r>
      <w:proofErr w:type="spellEnd"/>
      <w:r w:rsidR="00985EE0">
        <w:rPr>
          <w:rFonts w:ascii="Times New Roman" w:hAnsi="Times New Roman" w:cs="Times New Roman"/>
        </w:rPr>
        <w:t xml:space="preserve"> follow-</w:t>
      </w:r>
      <w:r w:rsidR="00000C25">
        <w:rPr>
          <w:rFonts w:ascii="Times New Roman" w:hAnsi="Times New Roman" w:cs="Times New Roman"/>
        </w:rPr>
        <w:t>up call that will take about 5 minutes. The total estimated bur</w:t>
      </w:r>
      <w:r w:rsidR="00985EE0">
        <w:rPr>
          <w:rFonts w:ascii="Times New Roman" w:hAnsi="Times New Roman" w:cs="Times New Roman"/>
        </w:rPr>
        <w:t xml:space="preserve">den time for </w:t>
      </w:r>
      <w:proofErr w:type="spellStart"/>
      <w:r w:rsidR="00985EE0">
        <w:rPr>
          <w:rFonts w:ascii="Times New Roman" w:hAnsi="Times New Roman" w:cs="Times New Roman"/>
        </w:rPr>
        <w:t>nonresponse</w:t>
      </w:r>
      <w:proofErr w:type="spellEnd"/>
      <w:r w:rsidR="00985EE0">
        <w:rPr>
          <w:rFonts w:ascii="Times New Roman" w:hAnsi="Times New Roman" w:cs="Times New Roman"/>
        </w:rPr>
        <w:t xml:space="preserve"> follow-</w:t>
      </w:r>
      <w:r w:rsidR="00000C25">
        <w:rPr>
          <w:rFonts w:ascii="Times New Roman" w:hAnsi="Times New Roman" w:cs="Times New Roman"/>
        </w:rPr>
        <w:t xml:space="preserve">up is about </w:t>
      </w:r>
      <w:r w:rsidR="007A00B1">
        <w:rPr>
          <w:rFonts w:ascii="Times New Roman" w:hAnsi="Times New Roman" w:cs="Times New Roman"/>
        </w:rPr>
        <w:t>9</w:t>
      </w:r>
      <w:r w:rsidR="005970E1">
        <w:rPr>
          <w:rFonts w:ascii="Times New Roman" w:hAnsi="Times New Roman" w:cs="Times New Roman"/>
        </w:rPr>
        <w:t>3</w:t>
      </w:r>
      <w:r w:rsidR="00000C25">
        <w:rPr>
          <w:rFonts w:ascii="Times New Roman" w:hAnsi="Times New Roman" w:cs="Times New Roman"/>
        </w:rPr>
        <w:t xml:space="preserve"> hours. The total number of burden hours for data collection and </w:t>
      </w:r>
      <w:proofErr w:type="spellStart"/>
      <w:r w:rsidR="00985EE0">
        <w:rPr>
          <w:rFonts w:ascii="Times New Roman" w:hAnsi="Times New Roman" w:cs="Times New Roman"/>
        </w:rPr>
        <w:t>nonresponse</w:t>
      </w:r>
      <w:proofErr w:type="spellEnd"/>
      <w:r w:rsidR="00985EE0">
        <w:rPr>
          <w:rFonts w:ascii="Times New Roman" w:hAnsi="Times New Roman" w:cs="Times New Roman"/>
        </w:rPr>
        <w:t xml:space="preserve"> follow-</w:t>
      </w:r>
      <w:r w:rsidR="00000C25">
        <w:rPr>
          <w:rFonts w:ascii="Times New Roman" w:hAnsi="Times New Roman" w:cs="Times New Roman"/>
        </w:rPr>
        <w:t xml:space="preserve">up is about </w:t>
      </w:r>
      <w:r w:rsidR="001A0917">
        <w:rPr>
          <w:rFonts w:ascii="Times New Roman" w:hAnsi="Times New Roman" w:cs="Times New Roman"/>
        </w:rPr>
        <w:t xml:space="preserve">1,204 </w:t>
      </w:r>
      <w:r w:rsidR="00000C25">
        <w:rPr>
          <w:rFonts w:ascii="Times New Roman" w:hAnsi="Times New Roman" w:cs="Times New Roman"/>
        </w:rPr>
        <w:t xml:space="preserve">hours. </w:t>
      </w:r>
    </w:p>
    <w:p w:rsidR="00CC1018" w:rsidRPr="00AC2CDC" w:rsidRDefault="00CC1018" w:rsidP="00AC2CDC">
      <w:pPr>
        <w:ind w:left="990" w:hanging="990"/>
        <w:rPr>
          <w:rFonts w:ascii="Times New Roman" w:hAnsi="Times New Roman" w:cs="Times New Roman"/>
          <w:b/>
        </w:rPr>
      </w:pPr>
      <w:proofErr w:type="gramStart"/>
      <w:r w:rsidRPr="00AC2CDC">
        <w:rPr>
          <w:rFonts w:ascii="Times New Roman" w:hAnsi="Times New Roman" w:cs="Times New Roman"/>
          <w:b/>
        </w:rPr>
        <w:t>Table 1.</w:t>
      </w:r>
      <w:proofErr w:type="gramEnd"/>
      <w:r w:rsidR="00AC2CDC">
        <w:rPr>
          <w:rFonts w:ascii="Times New Roman" w:hAnsi="Times New Roman" w:cs="Times New Roman"/>
          <w:b/>
        </w:rPr>
        <w:tab/>
      </w:r>
      <w:r w:rsidRPr="00AC2CDC">
        <w:rPr>
          <w:rFonts w:ascii="Times New Roman" w:hAnsi="Times New Roman" w:cs="Times New Roman"/>
          <w:b/>
        </w:rPr>
        <w:t>Estimated burden for data co</w:t>
      </w:r>
      <w:r w:rsidR="00141410">
        <w:rPr>
          <w:rFonts w:ascii="Times New Roman" w:hAnsi="Times New Roman" w:cs="Times New Roman"/>
          <w:b/>
        </w:rPr>
        <w:t xml:space="preserve">llection and </w:t>
      </w:r>
      <w:proofErr w:type="spellStart"/>
      <w:r w:rsidR="00141410">
        <w:rPr>
          <w:rFonts w:ascii="Times New Roman" w:hAnsi="Times New Roman" w:cs="Times New Roman"/>
          <w:b/>
        </w:rPr>
        <w:t>nonresponse</w:t>
      </w:r>
      <w:proofErr w:type="spellEnd"/>
      <w:r w:rsidR="00141410">
        <w:rPr>
          <w:rFonts w:ascii="Times New Roman" w:hAnsi="Times New Roman" w:cs="Times New Roman"/>
          <w:b/>
        </w:rPr>
        <w:t xml:space="preserve"> follow-</w:t>
      </w:r>
      <w:r w:rsidRPr="00AC2CDC">
        <w:rPr>
          <w:rFonts w:ascii="Times New Roman" w:hAnsi="Times New Roman" w:cs="Times New Roman"/>
          <w:b/>
        </w:rPr>
        <w:t>up</w:t>
      </w:r>
      <w:r w:rsidR="000F2B06" w:rsidRPr="00AC2CDC">
        <w:rPr>
          <w:rFonts w:ascii="Times New Roman" w:hAnsi="Times New Roman" w:cs="Times New Roman"/>
          <w:b/>
        </w:rPr>
        <w:t>: FRSS</w:t>
      </w:r>
      <w:r w:rsidRPr="00AC2CDC">
        <w:rPr>
          <w:rFonts w:ascii="Times New Roman" w:hAnsi="Times New Roman" w:cs="Times New Roman"/>
          <w:b/>
        </w:rPr>
        <w:t xml:space="preserve"> </w:t>
      </w:r>
    </w:p>
    <w:tbl>
      <w:tblPr>
        <w:tblStyle w:val="TableGrid"/>
        <w:tblW w:w="0" w:type="auto"/>
        <w:jc w:val="center"/>
        <w:tblBorders>
          <w:left w:val="none" w:sz="0" w:space="0" w:color="auto"/>
          <w:right w:val="none" w:sz="0" w:space="0" w:color="auto"/>
        </w:tblBorders>
        <w:tblLook w:val="04A0"/>
      </w:tblPr>
      <w:tblGrid>
        <w:gridCol w:w="2214"/>
        <w:gridCol w:w="1194"/>
        <w:gridCol w:w="1194"/>
        <w:gridCol w:w="1194"/>
        <w:gridCol w:w="1194"/>
        <w:gridCol w:w="1194"/>
        <w:gridCol w:w="1194"/>
      </w:tblGrid>
      <w:tr w:rsidR="007A00B1" w:rsidRPr="00AC2CDC" w:rsidTr="00AE31AE">
        <w:trPr>
          <w:trHeight w:val="772"/>
          <w:jc w:val="center"/>
        </w:trPr>
        <w:tc>
          <w:tcPr>
            <w:tcW w:w="2214" w:type="dxa"/>
            <w:tcBorders>
              <w:bottom w:val="single" w:sz="4" w:space="0" w:color="000000" w:themeColor="text1"/>
            </w:tcBorders>
            <w:vAlign w:val="bottom"/>
          </w:tcPr>
          <w:p w:rsidR="007A00B1" w:rsidRPr="00AC2CDC" w:rsidRDefault="00AC2CDC" w:rsidP="00AC2CDC">
            <w:pPr>
              <w:spacing w:line="240" w:lineRule="atLeast"/>
              <w:rPr>
                <w:rFonts w:ascii="Times New Roman" w:hAnsi="Times New Roman" w:cs="Times New Roman"/>
                <w:sz w:val="18"/>
                <w:szCs w:val="18"/>
              </w:rPr>
            </w:pPr>
            <w:r w:rsidRPr="00AC2CDC">
              <w:rPr>
                <w:rFonts w:ascii="Times New Roman" w:hAnsi="Times New Roman" w:cs="Times New Roman"/>
                <w:sz w:val="18"/>
                <w:szCs w:val="18"/>
              </w:rPr>
              <w:t>Type of c</w:t>
            </w:r>
            <w:r w:rsidR="007A00B1" w:rsidRPr="00AC2CDC">
              <w:rPr>
                <w:rFonts w:ascii="Times New Roman" w:hAnsi="Times New Roman" w:cs="Times New Roman"/>
                <w:sz w:val="18"/>
                <w:szCs w:val="18"/>
              </w:rPr>
              <w:t>ollection</w:t>
            </w:r>
          </w:p>
        </w:tc>
        <w:tc>
          <w:tcPr>
            <w:tcW w:w="1194"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Sample size</w:t>
            </w:r>
          </w:p>
        </w:tc>
        <w:tc>
          <w:tcPr>
            <w:tcW w:w="1194"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response rate (percent)</w:t>
            </w:r>
          </w:p>
        </w:tc>
        <w:tc>
          <w:tcPr>
            <w:tcW w:w="1194"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respondents</w:t>
            </w:r>
          </w:p>
        </w:tc>
        <w:tc>
          <w:tcPr>
            <w:tcW w:w="1194"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responses</w:t>
            </w:r>
          </w:p>
        </w:tc>
        <w:tc>
          <w:tcPr>
            <w:tcW w:w="1194"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Total burden hours per respondent</w:t>
            </w:r>
          </w:p>
        </w:tc>
        <w:tc>
          <w:tcPr>
            <w:tcW w:w="1194"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Respondent burden hours</w:t>
            </w:r>
          </w:p>
        </w:tc>
      </w:tr>
      <w:tr w:rsidR="00AE31AE" w:rsidRPr="00AC2CDC" w:rsidTr="00AE31AE">
        <w:trPr>
          <w:trHeight w:val="247"/>
          <w:jc w:val="center"/>
        </w:trPr>
        <w:tc>
          <w:tcPr>
            <w:tcW w:w="2214" w:type="dxa"/>
            <w:tcBorders>
              <w:top w:val="single" w:sz="4" w:space="0" w:color="000000" w:themeColor="text1"/>
              <w:bottom w:val="nil"/>
              <w:right w:val="nil"/>
            </w:tcBorders>
          </w:tcPr>
          <w:p w:rsidR="00AE31AE" w:rsidRPr="00AC2CDC" w:rsidRDefault="00AE31AE" w:rsidP="00AE31AE">
            <w:pPr>
              <w:tabs>
                <w:tab w:val="right" w:leader="dot" w:pos="1998"/>
              </w:tabs>
              <w:spacing w:line="240" w:lineRule="atLeast"/>
              <w:rPr>
                <w:rFonts w:ascii="Times New Roman" w:hAnsi="Times New Roman" w:cs="Times New Roman"/>
                <w:sz w:val="18"/>
                <w:szCs w:val="18"/>
              </w:rPr>
            </w:pPr>
            <w:r>
              <w:rPr>
                <w:rFonts w:ascii="Times New Roman" w:hAnsi="Times New Roman" w:cs="Times New Roman"/>
                <w:sz w:val="18"/>
                <w:szCs w:val="18"/>
              </w:rPr>
              <w:t>District notification</w:t>
            </w:r>
            <w:r>
              <w:rPr>
                <w:rFonts w:ascii="Times New Roman" w:hAnsi="Times New Roman" w:cs="Times New Roman"/>
                <w:sz w:val="18"/>
                <w:szCs w:val="18"/>
              </w:rPr>
              <w:tab/>
            </w:r>
          </w:p>
        </w:tc>
        <w:tc>
          <w:tcPr>
            <w:tcW w:w="1194" w:type="dxa"/>
            <w:tcBorders>
              <w:top w:val="single" w:sz="4" w:space="0" w:color="000000" w:themeColor="text1"/>
              <w:left w:val="nil"/>
              <w:bottom w:val="nil"/>
              <w:right w:val="nil"/>
            </w:tcBorders>
            <w:vAlign w:val="bottom"/>
          </w:tcPr>
          <w:p w:rsidR="00AE31AE" w:rsidRPr="00AC2CDC" w:rsidRDefault="00AE31AE" w:rsidP="00AE31AE">
            <w:pPr>
              <w:spacing w:line="240" w:lineRule="atLeast"/>
              <w:jc w:val="right"/>
              <w:rPr>
                <w:rFonts w:ascii="Times New Roman" w:hAnsi="Times New Roman" w:cs="Times New Roman"/>
                <w:sz w:val="18"/>
                <w:szCs w:val="18"/>
              </w:rPr>
            </w:pPr>
            <w:r>
              <w:rPr>
                <w:rFonts w:ascii="Times New Roman" w:hAnsi="Times New Roman" w:cs="Times New Roman"/>
                <w:sz w:val="18"/>
                <w:szCs w:val="18"/>
              </w:rPr>
              <w:t>1,340</w:t>
            </w:r>
          </w:p>
        </w:tc>
        <w:tc>
          <w:tcPr>
            <w:tcW w:w="1194" w:type="dxa"/>
            <w:tcBorders>
              <w:top w:val="single" w:sz="4" w:space="0" w:color="000000" w:themeColor="text1"/>
              <w:left w:val="nil"/>
              <w:bottom w:val="nil"/>
              <w:right w:val="nil"/>
            </w:tcBorders>
            <w:vAlign w:val="bottom"/>
          </w:tcPr>
          <w:p w:rsidR="00AE31AE" w:rsidRPr="00AC2CDC" w:rsidRDefault="00AE31AE" w:rsidP="00AE31AE">
            <w:pPr>
              <w:spacing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single" w:sz="4" w:space="0" w:color="000000" w:themeColor="text1"/>
              <w:left w:val="nil"/>
              <w:bottom w:val="nil"/>
              <w:right w:val="nil"/>
            </w:tcBorders>
            <w:vAlign w:val="bottom"/>
          </w:tcPr>
          <w:p w:rsidR="00AE31AE" w:rsidRPr="00860352" w:rsidRDefault="00AE31AE" w:rsidP="00AE31AE">
            <w:pPr>
              <w:spacing w:line="240" w:lineRule="atLeast"/>
              <w:jc w:val="right"/>
              <w:rPr>
                <w:rFonts w:ascii="Times New Roman" w:hAnsi="Times New Roman" w:cs="Times New Roman"/>
                <w:b/>
                <w:sz w:val="18"/>
                <w:szCs w:val="18"/>
              </w:rPr>
            </w:pPr>
            <w:r w:rsidRPr="00860352">
              <w:rPr>
                <w:rFonts w:ascii="Times New Roman" w:hAnsi="Times New Roman" w:cs="Times New Roman"/>
                <w:b/>
                <w:sz w:val="18"/>
                <w:szCs w:val="18"/>
              </w:rPr>
              <w:t>1,340</w:t>
            </w:r>
          </w:p>
        </w:tc>
        <w:tc>
          <w:tcPr>
            <w:tcW w:w="1194" w:type="dxa"/>
            <w:tcBorders>
              <w:top w:val="single" w:sz="4" w:space="0" w:color="000000" w:themeColor="text1"/>
              <w:left w:val="nil"/>
              <w:bottom w:val="nil"/>
              <w:right w:val="nil"/>
            </w:tcBorders>
            <w:vAlign w:val="bottom"/>
          </w:tcPr>
          <w:p w:rsidR="00AE31AE" w:rsidRPr="00AC2CDC" w:rsidRDefault="00AE31AE" w:rsidP="00AE31AE">
            <w:pPr>
              <w:spacing w:line="240" w:lineRule="atLeast"/>
              <w:jc w:val="right"/>
              <w:rPr>
                <w:rFonts w:ascii="Times New Roman" w:hAnsi="Times New Roman" w:cs="Times New Roman"/>
                <w:sz w:val="18"/>
                <w:szCs w:val="18"/>
              </w:rPr>
            </w:pPr>
            <w:r>
              <w:rPr>
                <w:rFonts w:ascii="Times New Roman" w:hAnsi="Times New Roman" w:cs="Times New Roman"/>
                <w:sz w:val="18"/>
                <w:szCs w:val="18"/>
              </w:rPr>
              <w:t>1,340</w:t>
            </w:r>
          </w:p>
        </w:tc>
        <w:tc>
          <w:tcPr>
            <w:tcW w:w="1194" w:type="dxa"/>
            <w:tcBorders>
              <w:top w:val="single" w:sz="4" w:space="0" w:color="000000" w:themeColor="text1"/>
              <w:left w:val="nil"/>
              <w:bottom w:val="nil"/>
              <w:right w:val="nil"/>
            </w:tcBorders>
            <w:vAlign w:val="bottom"/>
          </w:tcPr>
          <w:p w:rsidR="00AE31AE" w:rsidRPr="00AC2CDC" w:rsidRDefault="00AE31AE" w:rsidP="00AE31AE">
            <w:pPr>
              <w:spacing w:line="240" w:lineRule="atLeast"/>
              <w:jc w:val="right"/>
              <w:rPr>
                <w:rFonts w:ascii="Times New Roman" w:hAnsi="Times New Roman" w:cs="Times New Roman"/>
                <w:sz w:val="18"/>
                <w:szCs w:val="18"/>
              </w:rPr>
            </w:pPr>
            <w:r>
              <w:rPr>
                <w:rFonts w:ascii="Times New Roman" w:hAnsi="Times New Roman" w:cs="Times New Roman"/>
                <w:sz w:val="18"/>
                <w:szCs w:val="18"/>
              </w:rPr>
              <w:t>.083</w:t>
            </w:r>
          </w:p>
        </w:tc>
        <w:tc>
          <w:tcPr>
            <w:tcW w:w="1194" w:type="dxa"/>
            <w:tcBorders>
              <w:top w:val="single" w:sz="4" w:space="0" w:color="000000" w:themeColor="text1"/>
              <w:left w:val="nil"/>
              <w:bottom w:val="nil"/>
            </w:tcBorders>
            <w:vAlign w:val="bottom"/>
          </w:tcPr>
          <w:p w:rsidR="00AE31AE" w:rsidRPr="00AC2CDC" w:rsidRDefault="00AE31AE" w:rsidP="00AE31AE">
            <w:pPr>
              <w:spacing w:line="240" w:lineRule="atLeast"/>
              <w:jc w:val="right"/>
              <w:rPr>
                <w:rFonts w:ascii="Times New Roman" w:hAnsi="Times New Roman" w:cs="Times New Roman"/>
                <w:sz w:val="18"/>
                <w:szCs w:val="18"/>
              </w:rPr>
            </w:pPr>
            <w:r>
              <w:rPr>
                <w:rFonts w:ascii="Times New Roman" w:hAnsi="Times New Roman" w:cs="Times New Roman"/>
                <w:sz w:val="18"/>
                <w:szCs w:val="18"/>
              </w:rPr>
              <w:t>111</w:t>
            </w:r>
          </w:p>
        </w:tc>
      </w:tr>
      <w:tr w:rsidR="003446F5" w:rsidRPr="00AC2CDC" w:rsidTr="00AE31AE">
        <w:trPr>
          <w:trHeight w:val="247"/>
          <w:jc w:val="center"/>
        </w:trPr>
        <w:tc>
          <w:tcPr>
            <w:tcW w:w="2214" w:type="dxa"/>
            <w:tcBorders>
              <w:top w:val="nil"/>
              <w:bottom w:val="nil"/>
              <w:right w:val="nil"/>
            </w:tcBorders>
          </w:tcPr>
          <w:p w:rsidR="003446F5" w:rsidRPr="00AC2CDC" w:rsidRDefault="003446F5" w:rsidP="00A678FB">
            <w:pPr>
              <w:tabs>
                <w:tab w:val="right" w:leader="dot" w:pos="1998"/>
              </w:tabs>
              <w:spacing w:line="240" w:lineRule="atLeast"/>
              <w:rPr>
                <w:rFonts w:ascii="Times New Roman" w:hAnsi="Times New Roman" w:cs="Times New Roman"/>
                <w:sz w:val="18"/>
                <w:szCs w:val="18"/>
              </w:rPr>
            </w:pPr>
            <w:r>
              <w:rPr>
                <w:rFonts w:ascii="Times New Roman" w:hAnsi="Times New Roman" w:cs="Times New Roman"/>
                <w:sz w:val="18"/>
                <w:szCs w:val="18"/>
              </w:rPr>
              <w:t xml:space="preserve">Special </w:t>
            </w:r>
            <w:r w:rsidR="00A1521E">
              <w:rPr>
                <w:rFonts w:ascii="Times New Roman" w:hAnsi="Times New Roman" w:cs="Times New Roman"/>
                <w:sz w:val="18"/>
                <w:szCs w:val="18"/>
              </w:rPr>
              <w:t>c</w:t>
            </w:r>
            <w:r>
              <w:rPr>
                <w:rFonts w:ascii="Times New Roman" w:hAnsi="Times New Roman" w:cs="Times New Roman"/>
                <w:sz w:val="18"/>
                <w:szCs w:val="18"/>
              </w:rPr>
              <w:t xml:space="preserve">learance </w:t>
            </w:r>
            <w:r w:rsidR="00A1521E">
              <w:rPr>
                <w:rFonts w:ascii="Times New Roman" w:hAnsi="Times New Roman" w:cs="Times New Roman"/>
                <w:sz w:val="18"/>
                <w:szCs w:val="18"/>
              </w:rPr>
              <w:t>d</w:t>
            </w:r>
            <w:r>
              <w:rPr>
                <w:rFonts w:ascii="Times New Roman" w:hAnsi="Times New Roman" w:cs="Times New Roman"/>
                <w:sz w:val="18"/>
                <w:szCs w:val="18"/>
              </w:rPr>
              <w:t>istrict</w:t>
            </w:r>
            <w:r w:rsidR="00A1521E">
              <w:rPr>
                <w:rFonts w:ascii="Times New Roman" w:hAnsi="Times New Roman" w:cs="Times New Roman"/>
                <w:sz w:val="18"/>
                <w:szCs w:val="18"/>
              </w:rPr>
              <w:t xml:space="preserve"> review</w:t>
            </w:r>
            <w:r>
              <w:rPr>
                <w:rFonts w:ascii="Times New Roman" w:hAnsi="Times New Roman" w:cs="Times New Roman"/>
                <w:sz w:val="18"/>
                <w:szCs w:val="18"/>
              </w:rPr>
              <w:tab/>
            </w:r>
          </w:p>
        </w:tc>
        <w:tc>
          <w:tcPr>
            <w:tcW w:w="1194" w:type="dxa"/>
            <w:tcBorders>
              <w:top w:val="nil"/>
              <w:left w:val="nil"/>
              <w:bottom w:val="nil"/>
              <w:right w:val="nil"/>
            </w:tcBorders>
            <w:vAlign w:val="bottom"/>
          </w:tcPr>
          <w:p w:rsidR="003446F5" w:rsidRPr="00AC2CDC" w:rsidRDefault="003446F5" w:rsidP="00A678FB">
            <w:pPr>
              <w:spacing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3446F5" w:rsidRPr="00AC2CDC" w:rsidRDefault="003446F5" w:rsidP="00A678FB">
            <w:pPr>
              <w:spacing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3446F5" w:rsidRPr="00AC2CDC" w:rsidRDefault="003446F5" w:rsidP="00A678FB">
            <w:pPr>
              <w:spacing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3446F5" w:rsidRPr="00AC2CDC" w:rsidRDefault="003446F5" w:rsidP="00A678FB">
            <w:pPr>
              <w:spacing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3446F5" w:rsidRPr="00AC2CDC" w:rsidRDefault="003446F5" w:rsidP="00A678FB">
            <w:pPr>
              <w:spacing w:line="240" w:lineRule="atLeast"/>
              <w:jc w:val="right"/>
              <w:rPr>
                <w:rFonts w:ascii="Times New Roman" w:hAnsi="Times New Roman" w:cs="Times New Roman"/>
                <w:sz w:val="18"/>
                <w:szCs w:val="18"/>
              </w:rPr>
            </w:pPr>
            <w:r>
              <w:rPr>
                <w:rFonts w:ascii="Times New Roman" w:hAnsi="Times New Roman" w:cs="Times New Roman"/>
                <w:sz w:val="18"/>
                <w:szCs w:val="18"/>
              </w:rPr>
              <w:t>2.00</w:t>
            </w:r>
          </w:p>
        </w:tc>
        <w:tc>
          <w:tcPr>
            <w:tcW w:w="1194" w:type="dxa"/>
            <w:tcBorders>
              <w:top w:val="nil"/>
              <w:left w:val="nil"/>
              <w:bottom w:val="nil"/>
            </w:tcBorders>
            <w:vAlign w:val="bottom"/>
          </w:tcPr>
          <w:p w:rsidR="003446F5" w:rsidRPr="00AC2CDC" w:rsidRDefault="003446F5" w:rsidP="00A678FB">
            <w:pPr>
              <w:spacing w:line="240" w:lineRule="atLeast"/>
              <w:jc w:val="right"/>
              <w:rPr>
                <w:rFonts w:ascii="Times New Roman" w:hAnsi="Times New Roman" w:cs="Times New Roman"/>
                <w:sz w:val="18"/>
                <w:szCs w:val="18"/>
              </w:rPr>
            </w:pPr>
            <w:r>
              <w:rPr>
                <w:rFonts w:ascii="Times New Roman" w:hAnsi="Times New Roman" w:cs="Times New Roman"/>
                <w:sz w:val="18"/>
                <w:szCs w:val="18"/>
              </w:rPr>
              <w:t>200</w:t>
            </w:r>
          </w:p>
        </w:tc>
      </w:tr>
      <w:tr w:rsidR="003446F5" w:rsidRPr="00AC2CDC" w:rsidTr="00545482">
        <w:trPr>
          <w:trHeight w:val="247"/>
          <w:jc w:val="center"/>
        </w:trPr>
        <w:tc>
          <w:tcPr>
            <w:tcW w:w="2214" w:type="dxa"/>
            <w:tcBorders>
              <w:top w:val="nil"/>
              <w:bottom w:val="nil"/>
              <w:right w:val="nil"/>
            </w:tcBorders>
          </w:tcPr>
          <w:p w:rsidR="003446F5" w:rsidRPr="00AC2CDC" w:rsidRDefault="006F6069" w:rsidP="003446F5">
            <w:pPr>
              <w:tabs>
                <w:tab w:val="right" w:leader="dot" w:pos="1998"/>
              </w:tabs>
              <w:spacing w:line="240" w:lineRule="atLeast"/>
              <w:rPr>
                <w:rFonts w:ascii="Times New Roman" w:hAnsi="Times New Roman" w:cs="Times New Roman"/>
                <w:sz w:val="18"/>
                <w:szCs w:val="18"/>
              </w:rPr>
            </w:pPr>
            <w:r>
              <w:rPr>
                <w:rFonts w:ascii="Times New Roman" w:hAnsi="Times New Roman" w:cs="Times New Roman"/>
                <w:sz w:val="18"/>
                <w:szCs w:val="18"/>
              </w:rPr>
              <w:t>Initial s</w:t>
            </w:r>
            <w:r w:rsidR="003446F5">
              <w:rPr>
                <w:rFonts w:ascii="Times New Roman" w:hAnsi="Times New Roman" w:cs="Times New Roman"/>
                <w:sz w:val="18"/>
                <w:szCs w:val="18"/>
              </w:rPr>
              <w:t xml:space="preserve">chool contact </w:t>
            </w:r>
            <w:r w:rsidR="003446F5">
              <w:rPr>
                <w:rFonts w:ascii="Times New Roman" w:hAnsi="Times New Roman" w:cs="Times New Roman"/>
                <w:sz w:val="18"/>
                <w:szCs w:val="18"/>
              </w:rPr>
              <w:tab/>
            </w:r>
          </w:p>
        </w:tc>
        <w:tc>
          <w:tcPr>
            <w:tcW w:w="1194" w:type="dxa"/>
            <w:tcBorders>
              <w:top w:val="nil"/>
              <w:left w:val="nil"/>
              <w:bottom w:val="nil"/>
              <w:right w:val="nil"/>
            </w:tcBorders>
            <w:vAlign w:val="bottom"/>
          </w:tcPr>
          <w:p w:rsidR="003446F5" w:rsidRPr="00AC2CDC" w:rsidRDefault="003446F5" w:rsidP="00A678FB">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1,500</w:t>
            </w:r>
          </w:p>
        </w:tc>
        <w:tc>
          <w:tcPr>
            <w:tcW w:w="1194" w:type="dxa"/>
            <w:tcBorders>
              <w:top w:val="nil"/>
              <w:left w:val="nil"/>
              <w:bottom w:val="nil"/>
              <w:right w:val="nil"/>
            </w:tcBorders>
            <w:vAlign w:val="bottom"/>
          </w:tcPr>
          <w:p w:rsidR="003446F5" w:rsidRPr="00AC2CDC" w:rsidRDefault="003446F5" w:rsidP="00A678FB">
            <w:pPr>
              <w:spacing w:line="240" w:lineRule="atLeast"/>
              <w:jc w:val="right"/>
              <w:rPr>
                <w:rFonts w:ascii="Times New Roman" w:hAnsi="Times New Roman" w:cs="Times New Roman"/>
                <w:sz w:val="18"/>
                <w:szCs w:val="18"/>
              </w:rPr>
            </w:pPr>
            <w:r>
              <w:rPr>
                <w:rFonts w:ascii="Times New Roman" w:hAnsi="Times New Roman" w:cs="Times New Roman"/>
                <w:sz w:val="18"/>
                <w:szCs w:val="18"/>
              </w:rPr>
              <w:t>1</w:t>
            </w:r>
            <w:r w:rsidRPr="00AC2CDC">
              <w:rPr>
                <w:rFonts w:ascii="Times New Roman" w:hAnsi="Times New Roman" w:cs="Times New Roman"/>
                <w:sz w:val="18"/>
                <w:szCs w:val="18"/>
              </w:rPr>
              <w:t>.</w:t>
            </w:r>
            <w:r>
              <w:rPr>
                <w:rFonts w:ascii="Times New Roman" w:hAnsi="Times New Roman" w:cs="Times New Roman"/>
                <w:sz w:val="18"/>
                <w:szCs w:val="18"/>
              </w:rPr>
              <w:t>0</w:t>
            </w:r>
            <w:r w:rsidRPr="00AC2CDC">
              <w:rPr>
                <w:rFonts w:ascii="Times New Roman" w:hAnsi="Times New Roman" w:cs="Times New Roman"/>
                <w:sz w:val="18"/>
                <w:szCs w:val="18"/>
              </w:rPr>
              <w:t>0</w:t>
            </w:r>
          </w:p>
        </w:tc>
        <w:tc>
          <w:tcPr>
            <w:tcW w:w="1194" w:type="dxa"/>
            <w:tcBorders>
              <w:top w:val="nil"/>
              <w:left w:val="nil"/>
              <w:bottom w:val="nil"/>
              <w:right w:val="nil"/>
            </w:tcBorders>
            <w:vAlign w:val="bottom"/>
          </w:tcPr>
          <w:p w:rsidR="003446F5" w:rsidRPr="00860352" w:rsidRDefault="003446F5" w:rsidP="00A678FB">
            <w:pPr>
              <w:spacing w:line="240" w:lineRule="atLeast"/>
              <w:jc w:val="right"/>
              <w:rPr>
                <w:rFonts w:ascii="Times New Roman" w:hAnsi="Times New Roman" w:cs="Times New Roman"/>
                <w:b/>
                <w:sz w:val="18"/>
                <w:szCs w:val="18"/>
              </w:rPr>
            </w:pPr>
            <w:r w:rsidRPr="00860352">
              <w:rPr>
                <w:rFonts w:ascii="Times New Roman" w:hAnsi="Times New Roman" w:cs="Times New Roman"/>
                <w:b/>
                <w:sz w:val="18"/>
                <w:szCs w:val="18"/>
              </w:rPr>
              <w:t>1,500</w:t>
            </w:r>
          </w:p>
        </w:tc>
        <w:tc>
          <w:tcPr>
            <w:tcW w:w="1194" w:type="dxa"/>
            <w:tcBorders>
              <w:top w:val="nil"/>
              <w:left w:val="nil"/>
              <w:bottom w:val="nil"/>
              <w:right w:val="nil"/>
            </w:tcBorders>
            <w:vAlign w:val="bottom"/>
          </w:tcPr>
          <w:p w:rsidR="003446F5" w:rsidRPr="00AC2CDC" w:rsidRDefault="003446F5" w:rsidP="00A678FB">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w:t>
            </w:r>
            <w:r>
              <w:rPr>
                <w:rFonts w:ascii="Times New Roman" w:hAnsi="Times New Roman" w:cs="Times New Roman"/>
                <w:sz w:val="18"/>
                <w:szCs w:val="18"/>
              </w:rPr>
              <w:t>500</w:t>
            </w:r>
          </w:p>
        </w:tc>
        <w:tc>
          <w:tcPr>
            <w:tcW w:w="1194" w:type="dxa"/>
            <w:tcBorders>
              <w:top w:val="nil"/>
              <w:left w:val="nil"/>
              <w:bottom w:val="nil"/>
              <w:right w:val="nil"/>
            </w:tcBorders>
            <w:vAlign w:val="bottom"/>
          </w:tcPr>
          <w:p w:rsidR="003446F5" w:rsidRPr="00AC2CDC" w:rsidRDefault="003446F5" w:rsidP="00A678FB">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r>
              <w:rPr>
                <w:rFonts w:ascii="Times New Roman" w:hAnsi="Times New Roman" w:cs="Times New Roman"/>
                <w:sz w:val="18"/>
                <w:szCs w:val="18"/>
              </w:rPr>
              <w:t>083</w:t>
            </w:r>
          </w:p>
        </w:tc>
        <w:tc>
          <w:tcPr>
            <w:tcW w:w="1194" w:type="dxa"/>
            <w:tcBorders>
              <w:top w:val="nil"/>
              <w:left w:val="nil"/>
              <w:bottom w:val="nil"/>
            </w:tcBorders>
            <w:vAlign w:val="bottom"/>
          </w:tcPr>
          <w:p w:rsidR="003446F5" w:rsidRPr="00AC2CDC" w:rsidRDefault="003446F5" w:rsidP="00A678FB">
            <w:pPr>
              <w:spacing w:line="240" w:lineRule="atLeast"/>
              <w:jc w:val="right"/>
              <w:rPr>
                <w:rFonts w:ascii="Times New Roman" w:hAnsi="Times New Roman" w:cs="Times New Roman"/>
                <w:sz w:val="18"/>
                <w:szCs w:val="18"/>
              </w:rPr>
            </w:pPr>
            <w:r>
              <w:rPr>
                <w:rFonts w:ascii="Times New Roman" w:hAnsi="Times New Roman" w:cs="Times New Roman"/>
                <w:sz w:val="18"/>
                <w:szCs w:val="18"/>
              </w:rPr>
              <w:t>125</w:t>
            </w:r>
          </w:p>
        </w:tc>
      </w:tr>
      <w:tr w:rsidR="003446F5" w:rsidRPr="00AC2CDC" w:rsidTr="00545482">
        <w:trPr>
          <w:trHeight w:val="247"/>
          <w:jc w:val="center"/>
        </w:trPr>
        <w:tc>
          <w:tcPr>
            <w:tcW w:w="2214" w:type="dxa"/>
            <w:tcBorders>
              <w:top w:val="nil"/>
              <w:bottom w:val="nil"/>
              <w:right w:val="nil"/>
            </w:tcBorders>
          </w:tcPr>
          <w:p w:rsidR="003446F5" w:rsidRPr="00AC2CDC" w:rsidRDefault="003446F5" w:rsidP="00FA440A">
            <w:pPr>
              <w:tabs>
                <w:tab w:val="right" w:leader="dot" w:pos="1998"/>
              </w:tabs>
              <w:spacing w:line="240" w:lineRule="atLeast"/>
              <w:rPr>
                <w:rFonts w:ascii="Times New Roman" w:hAnsi="Times New Roman" w:cs="Times New Roman"/>
                <w:sz w:val="18"/>
                <w:szCs w:val="18"/>
              </w:rPr>
            </w:pPr>
            <w:r w:rsidRPr="00AC2CDC">
              <w:rPr>
                <w:rFonts w:ascii="Times New Roman" w:hAnsi="Times New Roman" w:cs="Times New Roman"/>
                <w:sz w:val="18"/>
                <w:szCs w:val="18"/>
              </w:rPr>
              <w:t>Questionnaire</w:t>
            </w:r>
            <w:r>
              <w:rPr>
                <w:rFonts w:ascii="Times New Roman" w:hAnsi="Times New Roman" w:cs="Times New Roman"/>
                <w:sz w:val="18"/>
                <w:szCs w:val="18"/>
              </w:rPr>
              <w:tab/>
            </w:r>
          </w:p>
        </w:tc>
        <w:tc>
          <w:tcPr>
            <w:tcW w:w="1194" w:type="dxa"/>
            <w:tcBorders>
              <w:top w:val="nil"/>
              <w:left w:val="nil"/>
              <w:bottom w:val="nil"/>
              <w:right w:val="nil"/>
            </w:tcBorders>
            <w:vAlign w:val="bottom"/>
          </w:tcPr>
          <w:p w:rsidR="003446F5" w:rsidRPr="00AC2CDC" w:rsidRDefault="003446F5" w:rsidP="00FA440A">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1,500</w:t>
            </w:r>
          </w:p>
        </w:tc>
        <w:tc>
          <w:tcPr>
            <w:tcW w:w="1194" w:type="dxa"/>
            <w:tcBorders>
              <w:top w:val="nil"/>
              <w:left w:val="nil"/>
              <w:bottom w:val="nil"/>
              <w:right w:val="nil"/>
            </w:tcBorders>
            <w:vAlign w:val="bottom"/>
          </w:tcPr>
          <w:p w:rsidR="003446F5" w:rsidRPr="00AC2CDC" w:rsidRDefault="003446F5" w:rsidP="00FA440A">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.90</w:t>
            </w:r>
          </w:p>
        </w:tc>
        <w:tc>
          <w:tcPr>
            <w:tcW w:w="1194" w:type="dxa"/>
            <w:tcBorders>
              <w:top w:val="nil"/>
              <w:left w:val="nil"/>
              <w:bottom w:val="nil"/>
              <w:right w:val="nil"/>
            </w:tcBorders>
            <w:vAlign w:val="bottom"/>
          </w:tcPr>
          <w:p w:rsidR="003446F5" w:rsidRPr="00AC2CDC" w:rsidRDefault="003446F5" w:rsidP="00FA440A">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1,350</w:t>
            </w:r>
          </w:p>
        </w:tc>
        <w:tc>
          <w:tcPr>
            <w:tcW w:w="1194" w:type="dxa"/>
            <w:tcBorders>
              <w:top w:val="nil"/>
              <w:left w:val="nil"/>
              <w:bottom w:val="nil"/>
              <w:right w:val="nil"/>
            </w:tcBorders>
            <w:vAlign w:val="bottom"/>
          </w:tcPr>
          <w:p w:rsidR="003446F5" w:rsidRPr="00AC2CDC" w:rsidRDefault="003446F5" w:rsidP="00FA440A">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1,350</w:t>
            </w:r>
          </w:p>
        </w:tc>
        <w:tc>
          <w:tcPr>
            <w:tcW w:w="1194" w:type="dxa"/>
            <w:tcBorders>
              <w:top w:val="nil"/>
              <w:left w:val="nil"/>
              <w:bottom w:val="nil"/>
              <w:right w:val="nil"/>
            </w:tcBorders>
            <w:vAlign w:val="bottom"/>
          </w:tcPr>
          <w:p w:rsidR="003446F5" w:rsidRPr="00AC2CDC" w:rsidRDefault="003446F5" w:rsidP="00FA440A">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.50</w:t>
            </w:r>
          </w:p>
        </w:tc>
        <w:tc>
          <w:tcPr>
            <w:tcW w:w="1194" w:type="dxa"/>
            <w:tcBorders>
              <w:top w:val="nil"/>
              <w:left w:val="nil"/>
              <w:bottom w:val="nil"/>
            </w:tcBorders>
            <w:vAlign w:val="bottom"/>
          </w:tcPr>
          <w:p w:rsidR="003446F5" w:rsidRPr="00AC2CDC" w:rsidRDefault="003446F5" w:rsidP="00FA440A">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675</w:t>
            </w:r>
          </w:p>
        </w:tc>
      </w:tr>
      <w:tr w:rsidR="003446F5" w:rsidRPr="00AC2CDC" w:rsidTr="00AC2CDC">
        <w:trPr>
          <w:trHeight w:val="262"/>
          <w:jc w:val="center"/>
        </w:trPr>
        <w:tc>
          <w:tcPr>
            <w:tcW w:w="2214" w:type="dxa"/>
            <w:tcBorders>
              <w:top w:val="nil"/>
              <w:bottom w:val="single" w:sz="4" w:space="0" w:color="000000" w:themeColor="text1"/>
              <w:right w:val="nil"/>
            </w:tcBorders>
          </w:tcPr>
          <w:p w:rsidR="003446F5" w:rsidRPr="00AC2CDC" w:rsidRDefault="003446F5" w:rsidP="00AC2CDC">
            <w:pPr>
              <w:tabs>
                <w:tab w:val="right" w:leader="dot" w:pos="1998"/>
              </w:tabs>
              <w:spacing w:line="240" w:lineRule="atLeast"/>
              <w:rPr>
                <w:rFonts w:ascii="Times New Roman" w:hAnsi="Times New Roman" w:cs="Times New Roman"/>
                <w:sz w:val="18"/>
                <w:szCs w:val="18"/>
              </w:rPr>
            </w:pPr>
            <w:proofErr w:type="spellStart"/>
            <w:r w:rsidRPr="00AC2CDC">
              <w:rPr>
                <w:rFonts w:ascii="Times New Roman" w:hAnsi="Times New Roman" w:cs="Times New Roman"/>
                <w:sz w:val="18"/>
                <w:szCs w:val="18"/>
              </w:rPr>
              <w:t>Nonresponse</w:t>
            </w:r>
            <w:proofErr w:type="spellEnd"/>
            <w:r w:rsidRPr="00AC2CDC">
              <w:rPr>
                <w:rFonts w:ascii="Times New Roman" w:hAnsi="Times New Roman" w:cs="Times New Roman"/>
                <w:sz w:val="18"/>
                <w:szCs w:val="18"/>
              </w:rPr>
              <w:t xml:space="preserve"> </w:t>
            </w:r>
            <w:r>
              <w:rPr>
                <w:rFonts w:ascii="Times New Roman" w:hAnsi="Times New Roman" w:cs="Times New Roman"/>
                <w:sz w:val="18"/>
                <w:szCs w:val="18"/>
              </w:rPr>
              <w:t>follow-up</w:t>
            </w:r>
            <w:r w:rsidRPr="00AC2CDC">
              <w:rPr>
                <w:rFonts w:ascii="Times New Roman" w:hAnsi="Times New Roman" w:cs="Times New Roman"/>
                <w:sz w:val="18"/>
                <w:szCs w:val="18"/>
              </w:rPr>
              <w:t xml:space="preserve"> call</w:t>
            </w:r>
            <w:r>
              <w:rPr>
                <w:rFonts w:ascii="Times New Roman" w:hAnsi="Times New Roman" w:cs="Times New Roman"/>
                <w:sz w:val="18"/>
                <w:szCs w:val="18"/>
              </w:rPr>
              <w:tab/>
            </w:r>
          </w:p>
        </w:tc>
        <w:tc>
          <w:tcPr>
            <w:tcW w:w="1194" w:type="dxa"/>
            <w:tcBorders>
              <w:top w:val="nil"/>
              <w:left w:val="nil"/>
              <w:bottom w:val="single" w:sz="4" w:space="0" w:color="000000" w:themeColor="text1"/>
              <w:right w:val="nil"/>
            </w:tcBorders>
            <w:vAlign w:val="bottom"/>
          </w:tcPr>
          <w:p w:rsidR="003446F5" w:rsidRPr="00AC2CDC" w:rsidRDefault="003446F5"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1,500</w:t>
            </w:r>
          </w:p>
        </w:tc>
        <w:tc>
          <w:tcPr>
            <w:tcW w:w="1194" w:type="dxa"/>
            <w:tcBorders>
              <w:top w:val="nil"/>
              <w:left w:val="nil"/>
              <w:bottom w:val="single" w:sz="4" w:space="0" w:color="000000" w:themeColor="text1"/>
              <w:right w:val="nil"/>
            </w:tcBorders>
            <w:vAlign w:val="bottom"/>
          </w:tcPr>
          <w:p w:rsidR="003446F5" w:rsidRPr="00AC2CDC" w:rsidRDefault="003446F5"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.75</w:t>
            </w:r>
          </w:p>
        </w:tc>
        <w:tc>
          <w:tcPr>
            <w:tcW w:w="1194" w:type="dxa"/>
            <w:tcBorders>
              <w:top w:val="nil"/>
              <w:left w:val="nil"/>
              <w:bottom w:val="single" w:sz="4" w:space="0" w:color="000000" w:themeColor="text1"/>
              <w:right w:val="nil"/>
            </w:tcBorders>
            <w:vAlign w:val="bottom"/>
          </w:tcPr>
          <w:p w:rsidR="003446F5" w:rsidRPr="00AC2CDC" w:rsidRDefault="003446F5"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1,125</w:t>
            </w:r>
          </w:p>
        </w:tc>
        <w:tc>
          <w:tcPr>
            <w:tcW w:w="1194" w:type="dxa"/>
            <w:tcBorders>
              <w:top w:val="nil"/>
              <w:left w:val="nil"/>
              <w:bottom w:val="single" w:sz="4" w:space="0" w:color="000000" w:themeColor="text1"/>
              <w:right w:val="nil"/>
            </w:tcBorders>
            <w:vAlign w:val="bottom"/>
          </w:tcPr>
          <w:p w:rsidR="003446F5" w:rsidRPr="00AC2CDC" w:rsidRDefault="003446F5"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1,125</w:t>
            </w:r>
          </w:p>
        </w:tc>
        <w:tc>
          <w:tcPr>
            <w:tcW w:w="1194" w:type="dxa"/>
            <w:tcBorders>
              <w:top w:val="nil"/>
              <w:left w:val="nil"/>
              <w:bottom w:val="single" w:sz="4" w:space="0" w:color="000000" w:themeColor="text1"/>
              <w:right w:val="nil"/>
            </w:tcBorders>
            <w:vAlign w:val="bottom"/>
          </w:tcPr>
          <w:p w:rsidR="003446F5" w:rsidRPr="00AC2CDC" w:rsidRDefault="003446F5"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.083</w:t>
            </w:r>
          </w:p>
        </w:tc>
        <w:tc>
          <w:tcPr>
            <w:tcW w:w="1194" w:type="dxa"/>
            <w:tcBorders>
              <w:top w:val="nil"/>
              <w:left w:val="nil"/>
              <w:bottom w:val="single" w:sz="4" w:space="0" w:color="000000" w:themeColor="text1"/>
            </w:tcBorders>
            <w:vAlign w:val="bottom"/>
          </w:tcPr>
          <w:p w:rsidR="003446F5" w:rsidRPr="00AC2CDC" w:rsidRDefault="003446F5"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93</w:t>
            </w:r>
          </w:p>
        </w:tc>
      </w:tr>
      <w:tr w:rsidR="003446F5" w:rsidRPr="00AC2CDC" w:rsidTr="00AC2CDC">
        <w:trPr>
          <w:trHeight w:val="262"/>
          <w:jc w:val="center"/>
        </w:trPr>
        <w:tc>
          <w:tcPr>
            <w:tcW w:w="2214" w:type="dxa"/>
            <w:tcBorders>
              <w:right w:val="nil"/>
            </w:tcBorders>
          </w:tcPr>
          <w:p w:rsidR="003446F5" w:rsidRPr="00AC2CDC" w:rsidRDefault="003446F5" w:rsidP="00AC2CDC">
            <w:pPr>
              <w:tabs>
                <w:tab w:val="right" w:leader="dot" w:pos="1998"/>
              </w:tabs>
              <w:spacing w:line="240" w:lineRule="atLeast"/>
              <w:rPr>
                <w:rFonts w:ascii="Times New Roman" w:hAnsi="Times New Roman" w:cs="Times New Roman"/>
                <w:sz w:val="18"/>
                <w:szCs w:val="18"/>
              </w:rPr>
            </w:pPr>
            <w:r w:rsidRPr="00AC2CDC">
              <w:rPr>
                <w:rFonts w:ascii="Times New Roman" w:hAnsi="Times New Roman" w:cs="Times New Roman"/>
                <w:sz w:val="18"/>
                <w:szCs w:val="18"/>
              </w:rPr>
              <w:t>Total burden</w:t>
            </w:r>
            <w:r>
              <w:rPr>
                <w:rFonts w:ascii="Times New Roman" w:hAnsi="Times New Roman" w:cs="Times New Roman"/>
                <w:sz w:val="18"/>
                <w:szCs w:val="18"/>
              </w:rPr>
              <w:tab/>
            </w:r>
          </w:p>
        </w:tc>
        <w:tc>
          <w:tcPr>
            <w:tcW w:w="1194" w:type="dxa"/>
            <w:tcBorders>
              <w:left w:val="nil"/>
              <w:right w:val="nil"/>
            </w:tcBorders>
            <w:vAlign w:val="bottom"/>
          </w:tcPr>
          <w:p w:rsidR="003446F5" w:rsidRPr="00AC2CDC" w:rsidRDefault="003446F5"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p>
        </w:tc>
        <w:tc>
          <w:tcPr>
            <w:tcW w:w="1194" w:type="dxa"/>
            <w:tcBorders>
              <w:left w:val="nil"/>
              <w:right w:val="nil"/>
            </w:tcBorders>
            <w:vAlign w:val="bottom"/>
          </w:tcPr>
          <w:p w:rsidR="003446F5" w:rsidRPr="00AC2CDC" w:rsidRDefault="003446F5"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p>
        </w:tc>
        <w:tc>
          <w:tcPr>
            <w:tcW w:w="1194" w:type="dxa"/>
            <w:tcBorders>
              <w:left w:val="nil"/>
              <w:right w:val="nil"/>
            </w:tcBorders>
            <w:vAlign w:val="bottom"/>
          </w:tcPr>
          <w:p w:rsidR="003446F5" w:rsidRPr="00AC2CDC" w:rsidRDefault="00CE3E8E" w:rsidP="00CE3E8E">
            <w:pPr>
              <w:spacing w:line="240" w:lineRule="atLeast"/>
              <w:jc w:val="right"/>
              <w:rPr>
                <w:rFonts w:ascii="Times New Roman" w:hAnsi="Times New Roman" w:cs="Times New Roman"/>
                <w:sz w:val="18"/>
                <w:szCs w:val="18"/>
              </w:rPr>
            </w:pPr>
            <w:r>
              <w:rPr>
                <w:rFonts w:ascii="Times New Roman" w:hAnsi="Times New Roman" w:cs="Times New Roman"/>
                <w:sz w:val="18"/>
                <w:szCs w:val="18"/>
              </w:rPr>
              <w:t>2</w:t>
            </w:r>
            <w:r w:rsidR="003446F5">
              <w:rPr>
                <w:rFonts w:ascii="Times New Roman" w:hAnsi="Times New Roman" w:cs="Times New Roman"/>
                <w:sz w:val="18"/>
                <w:szCs w:val="18"/>
              </w:rPr>
              <w:t>,</w:t>
            </w:r>
            <w:r>
              <w:rPr>
                <w:rFonts w:ascii="Times New Roman" w:hAnsi="Times New Roman" w:cs="Times New Roman"/>
                <w:sz w:val="18"/>
                <w:szCs w:val="18"/>
              </w:rPr>
              <w:t>840</w:t>
            </w:r>
          </w:p>
        </w:tc>
        <w:tc>
          <w:tcPr>
            <w:tcW w:w="1194" w:type="dxa"/>
            <w:tcBorders>
              <w:left w:val="nil"/>
              <w:right w:val="nil"/>
            </w:tcBorders>
            <w:vAlign w:val="bottom"/>
          </w:tcPr>
          <w:p w:rsidR="003446F5" w:rsidRPr="00AC2CDC" w:rsidRDefault="003446F5" w:rsidP="00AC2CDC">
            <w:pPr>
              <w:spacing w:line="240" w:lineRule="atLeast"/>
              <w:jc w:val="right"/>
              <w:rPr>
                <w:rFonts w:ascii="Times New Roman" w:hAnsi="Times New Roman" w:cs="Times New Roman"/>
                <w:sz w:val="18"/>
                <w:szCs w:val="18"/>
              </w:rPr>
            </w:pPr>
            <w:r>
              <w:rPr>
                <w:rFonts w:ascii="Times New Roman" w:hAnsi="Times New Roman" w:cs="Times New Roman"/>
                <w:sz w:val="18"/>
                <w:szCs w:val="18"/>
              </w:rPr>
              <w:t>5,415</w:t>
            </w:r>
          </w:p>
        </w:tc>
        <w:tc>
          <w:tcPr>
            <w:tcW w:w="1194" w:type="dxa"/>
            <w:tcBorders>
              <w:left w:val="nil"/>
              <w:right w:val="nil"/>
            </w:tcBorders>
            <w:vAlign w:val="bottom"/>
          </w:tcPr>
          <w:p w:rsidR="003446F5" w:rsidRPr="00AC2CDC" w:rsidRDefault="003446F5"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p>
        </w:tc>
        <w:tc>
          <w:tcPr>
            <w:tcW w:w="1194" w:type="dxa"/>
            <w:tcBorders>
              <w:left w:val="nil"/>
            </w:tcBorders>
            <w:vAlign w:val="bottom"/>
          </w:tcPr>
          <w:p w:rsidR="003446F5" w:rsidRPr="00AC2CDC" w:rsidRDefault="003446F5" w:rsidP="00AC2CDC">
            <w:pPr>
              <w:spacing w:line="240" w:lineRule="atLeast"/>
              <w:jc w:val="right"/>
              <w:rPr>
                <w:rFonts w:ascii="Times New Roman" w:hAnsi="Times New Roman" w:cs="Times New Roman"/>
                <w:sz w:val="18"/>
                <w:szCs w:val="18"/>
              </w:rPr>
            </w:pPr>
            <w:r>
              <w:rPr>
                <w:rFonts w:ascii="Times New Roman" w:hAnsi="Times New Roman" w:cs="Times New Roman"/>
                <w:sz w:val="18"/>
                <w:szCs w:val="18"/>
              </w:rPr>
              <w:t>1,204</w:t>
            </w:r>
          </w:p>
        </w:tc>
      </w:tr>
    </w:tbl>
    <w:p w:rsidR="00F02F55" w:rsidRDefault="00F02F55">
      <w:pPr>
        <w:rPr>
          <w:rFonts w:ascii="Times New Roman" w:hAnsi="Times New Roman" w:cs="Times New Roman"/>
        </w:rPr>
      </w:pPr>
    </w:p>
    <w:p w:rsidR="009C0728" w:rsidRPr="00B17E4E" w:rsidRDefault="00617678" w:rsidP="009C0728">
      <w:pPr>
        <w:ind w:firstLine="720"/>
        <w:rPr>
          <w:rFonts w:ascii="Times New Roman" w:hAnsi="Times New Roman" w:cs="Times New Roman"/>
        </w:rPr>
      </w:pPr>
      <w:r>
        <w:rPr>
          <w:rFonts w:ascii="Times New Roman" w:hAnsi="Times New Roman" w:cs="Times New Roman"/>
        </w:rPr>
        <w:t xml:space="preserve">For PEQIS 18, the estimated burden time for </w:t>
      </w:r>
      <w:r w:rsidR="00F02F55">
        <w:rPr>
          <w:rFonts w:ascii="Times New Roman" w:hAnsi="Times New Roman" w:cs="Times New Roman"/>
        </w:rPr>
        <w:t xml:space="preserve">sampled institutions to review the introductory letter requesting their participation (initial contact) </w:t>
      </w:r>
      <w:r>
        <w:rPr>
          <w:rFonts w:ascii="Times New Roman" w:hAnsi="Times New Roman" w:cs="Times New Roman"/>
        </w:rPr>
        <w:t>is 5 minutes per district for a total of 133 respondent burden hours</w:t>
      </w:r>
      <w:r w:rsidR="001A0917" w:rsidRPr="001A0917">
        <w:rPr>
          <w:rFonts w:ascii="Times New Roman" w:hAnsi="Times New Roman" w:cs="Times New Roman"/>
        </w:rPr>
        <w:t xml:space="preserve"> </w:t>
      </w:r>
      <w:r w:rsidR="001A0917">
        <w:rPr>
          <w:rFonts w:ascii="Times New Roman" w:hAnsi="Times New Roman" w:cs="Times New Roman"/>
        </w:rPr>
        <w:t>(table 2).</w:t>
      </w:r>
      <w:r w:rsidR="003446F5">
        <w:rPr>
          <w:rFonts w:ascii="Times New Roman" w:hAnsi="Times New Roman" w:cs="Times New Roman"/>
        </w:rPr>
        <w:t xml:space="preserve"> </w:t>
      </w:r>
      <w:r>
        <w:rPr>
          <w:rFonts w:ascii="Times New Roman" w:hAnsi="Times New Roman" w:cs="Times New Roman"/>
        </w:rPr>
        <w:t>T</w:t>
      </w:r>
      <w:r w:rsidR="000F2B06">
        <w:rPr>
          <w:rFonts w:ascii="Times New Roman" w:hAnsi="Times New Roman" w:cs="Times New Roman"/>
        </w:rPr>
        <w:t>he initial sample of 1,600 institutions will yield about 1</w:t>
      </w:r>
      <w:r w:rsidR="00256B68">
        <w:rPr>
          <w:rFonts w:ascii="Times New Roman" w:hAnsi="Times New Roman" w:cs="Times New Roman"/>
        </w:rPr>
        <w:t>,</w:t>
      </w:r>
      <w:r w:rsidR="000F2B06">
        <w:rPr>
          <w:rFonts w:ascii="Times New Roman" w:hAnsi="Times New Roman" w:cs="Times New Roman"/>
        </w:rPr>
        <w:t>440 completed questionnaires</w:t>
      </w:r>
      <w:r w:rsidR="00256B68">
        <w:rPr>
          <w:rFonts w:ascii="Times New Roman" w:hAnsi="Times New Roman" w:cs="Times New Roman"/>
        </w:rPr>
        <w:t>, assuming a response rate of 90 percent</w:t>
      </w:r>
      <w:r w:rsidR="000F2B06">
        <w:rPr>
          <w:rFonts w:ascii="Times New Roman" w:hAnsi="Times New Roman" w:cs="Times New Roman"/>
        </w:rPr>
        <w:t xml:space="preserve">. Based on a response burden of approximately </w:t>
      </w:r>
      <w:r w:rsidR="000F2B06" w:rsidRPr="00EC718D">
        <w:rPr>
          <w:rFonts w:ascii="Times New Roman" w:hAnsi="Times New Roman" w:cs="Times New Roman"/>
        </w:rPr>
        <w:t xml:space="preserve">30 minutes per completed questionnaire, the estimated response burden to complete the </w:t>
      </w:r>
      <w:r w:rsidR="00256B68" w:rsidRPr="00EC718D">
        <w:rPr>
          <w:rFonts w:ascii="Times New Roman" w:hAnsi="Times New Roman" w:cs="Times New Roman"/>
        </w:rPr>
        <w:t>PEQIS 18 sur</w:t>
      </w:r>
      <w:r w:rsidR="00256B68">
        <w:rPr>
          <w:rFonts w:ascii="Times New Roman" w:hAnsi="Times New Roman" w:cs="Times New Roman"/>
        </w:rPr>
        <w:t xml:space="preserve">vey </w:t>
      </w:r>
      <w:r w:rsidR="000F2B06">
        <w:rPr>
          <w:rFonts w:ascii="Times New Roman" w:hAnsi="Times New Roman" w:cs="Times New Roman"/>
        </w:rPr>
        <w:t xml:space="preserve">is estimated to be about </w:t>
      </w:r>
      <w:r w:rsidR="00D47EB8">
        <w:rPr>
          <w:rFonts w:ascii="Times New Roman" w:hAnsi="Times New Roman" w:cs="Times New Roman"/>
        </w:rPr>
        <w:t xml:space="preserve">720 </w:t>
      </w:r>
      <w:r w:rsidR="000F2B06">
        <w:rPr>
          <w:rFonts w:ascii="Times New Roman" w:hAnsi="Times New Roman" w:cs="Times New Roman"/>
        </w:rPr>
        <w:t>hours.</w:t>
      </w:r>
      <w:r w:rsidR="00250C79">
        <w:rPr>
          <w:rStyle w:val="FootnoteReference"/>
          <w:rFonts w:ascii="Times New Roman" w:hAnsi="Times New Roman" w:cs="Times New Roman"/>
        </w:rPr>
        <w:footnoteReference w:id="8"/>
      </w:r>
      <w:r w:rsidR="000F2B06">
        <w:rPr>
          <w:rFonts w:ascii="Times New Roman" w:hAnsi="Times New Roman" w:cs="Times New Roman"/>
        </w:rPr>
        <w:t xml:space="preserve"> It is anticipated that about </w:t>
      </w:r>
      <w:r w:rsidR="007A00B1">
        <w:rPr>
          <w:rFonts w:ascii="Times New Roman" w:hAnsi="Times New Roman" w:cs="Times New Roman"/>
        </w:rPr>
        <w:t>25</w:t>
      </w:r>
      <w:r w:rsidR="000F2B06">
        <w:rPr>
          <w:rFonts w:ascii="Times New Roman" w:hAnsi="Times New Roman" w:cs="Times New Roman"/>
        </w:rPr>
        <w:t xml:space="preserve"> percent of the sample will have returned the completed survey before </w:t>
      </w:r>
      <w:proofErr w:type="spellStart"/>
      <w:r w:rsidR="000F2B06">
        <w:rPr>
          <w:rFonts w:ascii="Times New Roman" w:hAnsi="Times New Roman" w:cs="Times New Roman"/>
        </w:rPr>
        <w:t>nonresponse</w:t>
      </w:r>
      <w:proofErr w:type="spellEnd"/>
      <w:r w:rsidR="000F2B06">
        <w:rPr>
          <w:rFonts w:ascii="Times New Roman" w:hAnsi="Times New Roman" w:cs="Times New Roman"/>
        </w:rPr>
        <w:t xml:space="preserve"> </w:t>
      </w:r>
      <w:r w:rsidR="00141410">
        <w:rPr>
          <w:rFonts w:ascii="Times New Roman" w:hAnsi="Times New Roman" w:cs="Times New Roman"/>
        </w:rPr>
        <w:t>follow-up</w:t>
      </w:r>
      <w:r w:rsidR="000F2B06">
        <w:rPr>
          <w:rFonts w:ascii="Times New Roman" w:hAnsi="Times New Roman" w:cs="Times New Roman"/>
        </w:rPr>
        <w:t xml:space="preserve"> begins and about </w:t>
      </w:r>
      <w:r w:rsidR="007A00B1">
        <w:rPr>
          <w:rFonts w:ascii="Times New Roman" w:hAnsi="Times New Roman" w:cs="Times New Roman"/>
        </w:rPr>
        <w:t>75</w:t>
      </w:r>
      <w:r w:rsidR="000F2B06">
        <w:rPr>
          <w:rFonts w:ascii="Times New Roman" w:hAnsi="Times New Roman" w:cs="Times New Roman"/>
        </w:rPr>
        <w:t xml:space="preserve"> percent of the sample (i.e. </w:t>
      </w:r>
      <w:r w:rsidR="00D47EB8">
        <w:rPr>
          <w:rFonts w:ascii="Times New Roman" w:hAnsi="Times New Roman" w:cs="Times New Roman"/>
        </w:rPr>
        <w:t>1</w:t>
      </w:r>
      <w:r w:rsidR="00256B68">
        <w:rPr>
          <w:rFonts w:ascii="Times New Roman" w:hAnsi="Times New Roman" w:cs="Times New Roman"/>
        </w:rPr>
        <w:t>,</w:t>
      </w:r>
      <w:r w:rsidR="00D47EB8">
        <w:rPr>
          <w:rFonts w:ascii="Times New Roman" w:hAnsi="Times New Roman" w:cs="Times New Roman"/>
        </w:rPr>
        <w:t>200</w:t>
      </w:r>
      <w:r w:rsidR="001A0917">
        <w:rPr>
          <w:rFonts w:ascii="Times New Roman" w:hAnsi="Times New Roman" w:cs="Times New Roman"/>
        </w:rPr>
        <w:t xml:space="preserve"> institutions</w:t>
      </w:r>
      <w:r w:rsidR="000F2B06">
        <w:rPr>
          <w:rFonts w:ascii="Times New Roman" w:hAnsi="Times New Roman" w:cs="Times New Roman"/>
        </w:rPr>
        <w:t xml:space="preserve">) will receive a </w:t>
      </w:r>
      <w:proofErr w:type="spellStart"/>
      <w:r w:rsidR="000F2B06">
        <w:rPr>
          <w:rFonts w:ascii="Times New Roman" w:hAnsi="Times New Roman" w:cs="Times New Roman"/>
        </w:rPr>
        <w:t>nonresponse</w:t>
      </w:r>
      <w:proofErr w:type="spellEnd"/>
      <w:r w:rsidR="000F2B06">
        <w:rPr>
          <w:rFonts w:ascii="Times New Roman" w:hAnsi="Times New Roman" w:cs="Times New Roman"/>
        </w:rPr>
        <w:t xml:space="preserve"> </w:t>
      </w:r>
      <w:r w:rsidR="00141410">
        <w:rPr>
          <w:rFonts w:ascii="Times New Roman" w:hAnsi="Times New Roman" w:cs="Times New Roman"/>
        </w:rPr>
        <w:t>follow-up</w:t>
      </w:r>
      <w:r w:rsidR="000F2B06">
        <w:rPr>
          <w:rFonts w:ascii="Times New Roman" w:hAnsi="Times New Roman" w:cs="Times New Roman"/>
        </w:rPr>
        <w:t xml:space="preserve"> call that will take about 5 minutes. The total estimated burden time for </w:t>
      </w:r>
      <w:proofErr w:type="spellStart"/>
      <w:r w:rsidR="000F2B06">
        <w:rPr>
          <w:rFonts w:ascii="Times New Roman" w:hAnsi="Times New Roman" w:cs="Times New Roman"/>
        </w:rPr>
        <w:t>nonresponse</w:t>
      </w:r>
      <w:proofErr w:type="spellEnd"/>
      <w:r w:rsidR="000F2B06">
        <w:rPr>
          <w:rFonts w:ascii="Times New Roman" w:hAnsi="Times New Roman" w:cs="Times New Roman"/>
        </w:rPr>
        <w:t xml:space="preserve"> </w:t>
      </w:r>
      <w:r w:rsidR="00141410">
        <w:rPr>
          <w:rFonts w:ascii="Times New Roman" w:hAnsi="Times New Roman" w:cs="Times New Roman"/>
        </w:rPr>
        <w:t>follow-up</w:t>
      </w:r>
      <w:r w:rsidR="000F2B06">
        <w:rPr>
          <w:rFonts w:ascii="Times New Roman" w:hAnsi="Times New Roman" w:cs="Times New Roman"/>
        </w:rPr>
        <w:t xml:space="preserve"> is about </w:t>
      </w:r>
      <w:r w:rsidR="00D47EB8">
        <w:rPr>
          <w:rFonts w:ascii="Times New Roman" w:hAnsi="Times New Roman" w:cs="Times New Roman"/>
        </w:rPr>
        <w:t>100</w:t>
      </w:r>
      <w:r w:rsidR="000F2B06">
        <w:rPr>
          <w:rFonts w:ascii="Times New Roman" w:hAnsi="Times New Roman" w:cs="Times New Roman"/>
        </w:rPr>
        <w:t xml:space="preserve"> hours. The total number of burden hours for data collection and </w:t>
      </w:r>
      <w:proofErr w:type="spellStart"/>
      <w:r w:rsidR="000F2B06">
        <w:rPr>
          <w:rFonts w:ascii="Times New Roman" w:hAnsi="Times New Roman" w:cs="Times New Roman"/>
        </w:rPr>
        <w:t>nonresponse</w:t>
      </w:r>
      <w:proofErr w:type="spellEnd"/>
      <w:r w:rsidR="000F2B06">
        <w:rPr>
          <w:rFonts w:ascii="Times New Roman" w:hAnsi="Times New Roman" w:cs="Times New Roman"/>
        </w:rPr>
        <w:t xml:space="preserve"> </w:t>
      </w:r>
      <w:r w:rsidR="00141410">
        <w:rPr>
          <w:rFonts w:ascii="Times New Roman" w:hAnsi="Times New Roman" w:cs="Times New Roman"/>
        </w:rPr>
        <w:t>follow-up</w:t>
      </w:r>
      <w:r w:rsidR="000F2B06">
        <w:rPr>
          <w:rFonts w:ascii="Times New Roman" w:hAnsi="Times New Roman" w:cs="Times New Roman"/>
        </w:rPr>
        <w:t xml:space="preserve"> is about </w:t>
      </w:r>
      <w:r w:rsidR="001A0917">
        <w:rPr>
          <w:rFonts w:ascii="Times New Roman" w:hAnsi="Times New Roman" w:cs="Times New Roman"/>
        </w:rPr>
        <w:t xml:space="preserve">953 </w:t>
      </w:r>
      <w:r w:rsidR="000F2B06">
        <w:rPr>
          <w:rFonts w:ascii="Times New Roman" w:hAnsi="Times New Roman" w:cs="Times New Roman"/>
        </w:rPr>
        <w:t xml:space="preserve">hours. </w:t>
      </w:r>
    </w:p>
    <w:p w:rsidR="000F2B06" w:rsidRPr="00AC2CDC" w:rsidRDefault="00F02F55" w:rsidP="00AC2CDC">
      <w:pPr>
        <w:ind w:left="990" w:hanging="990"/>
        <w:rPr>
          <w:rFonts w:ascii="Times New Roman" w:hAnsi="Times New Roman" w:cs="Times New Roman"/>
          <w:b/>
        </w:rPr>
      </w:pPr>
      <w:r>
        <w:rPr>
          <w:rFonts w:ascii="Times New Roman" w:hAnsi="Times New Roman" w:cs="Times New Roman"/>
          <w:b/>
        </w:rPr>
        <w:br w:type="column"/>
      </w:r>
      <w:proofErr w:type="gramStart"/>
      <w:r w:rsidR="000F2B06" w:rsidRPr="00AC2CDC">
        <w:rPr>
          <w:rFonts w:ascii="Times New Roman" w:hAnsi="Times New Roman" w:cs="Times New Roman"/>
          <w:b/>
        </w:rPr>
        <w:lastRenderedPageBreak/>
        <w:t>Table 2.</w:t>
      </w:r>
      <w:proofErr w:type="gramEnd"/>
      <w:r w:rsidR="00AC2CDC">
        <w:rPr>
          <w:rFonts w:ascii="Times New Roman" w:hAnsi="Times New Roman" w:cs="Times New Roman"/>
          <w:b/>
        </w:rPr>
        <w:tab/>
      </w:r>
      <w:r w:rsidR="000F2B06" w:rsidRPr="00AC2CDC">
        <w:rPr>
          <w:rFonts w:ascii="Times New Roman" w:hAnsi="Times New Roman" w:cs="Times New Roman"/>
          <w:b/>
        </w:rPr>
        <w:t xml:space="preserve">Estimated burden for data collection and </w:t>
      </w:r>
      <w:proofErr w:type="spellStart"/>
      <w:r w:rsidR="000F2B06" w:rsidRPr="00AC2CDC">
        <w:rPr>
          <w:rFonts w:ascii="Times New Roman" w:hAnsi="Times New Roman" w:cs="Times New Roman"/>
          <w:b/>
        </w:rPr>
        <w:t>nonresponse</w:t>
      </w:r>
      <w:proofErr w:type="spellEnd"/>
      <w:r w:rsidR="000F2B06" w:rsidRPr="00AC2CDC">
        <w:rPr>
          <w:rFonts w:ascii="Times New Roman" w:hAnsi="Times New Roman" w:cs="Times New Roman"/>
          <w:b/>
        </w:rPr>
        <w:t xml:space="preserve"> </w:t>
      </w:r>
      <w:r w:rsidR="00141410">
        <w:rPr>
          <w:rFonts w:ascii="Times New Roman" w:hAnsi="Times New Roman" w:cs="Times New Roman"/>
          <w:b/>
        </w:rPr>
        <w:t>follow-up</w:t>
      </w:r>
      <w:r w:rsidR="000F2B06" w:rsidRPr="00AC2CDC">
        <w:rPr>
          <w:rFonts w:ascii="Times New Roman" w:hAnsi="Times New Roman" w:cs="Times New Roman"/>
          <w:b/>
        </w:rPr>
        <w:t>: PEQIS</w:t>
      </w:r>
    </w:p>
    <w:tbl>
      <w:tblPr>
        <w:tblStyle w:val="TableGrid"/>
        <w:tblW w:w="0" w:type="auto"/>
        <w:jc w:val="center"/>
        <w:tblBorders>
          <w:left w:val="none" w:sz="0" w:space="0" w:color="auto"/>
          <w:right w:val="none" w:sz="0" w:space="0" w:color="auto"/>
        </w:tblBorders>
        <w:tblLook w:val="04A0"/>
      </w:tblPr>
      <w:tblGrid>
        <w:gridCol w:w="2213"/>
        <w:gridCol w:w="1054"/>
        <w:gridCol w:w="1255"/>
        <w:gridCol w:w="1267"/>
        <w:gridCol w:w="1214"/>
        <w:gridCol w:w="1301"/>
        <w:gridCol w:w="1272"/>
      </w:tblGrid>
      <w:tr w:rsidR="007A00B1" w:rsidRPr="00AC2CDC" w:rsidTr="00AC2CDC">
        <w:trPr>
          <w:trHeight w:val="772"/>
          <w:jc w:val="center"/>
        </w:trPr>
        <w:tc>
          <w:tcPr>
            <w:tcW w:w="2213" w:type="dxa"/>
            <w:tcBorders>
              <w:bottom w:val="single" w:sz="4" w:space="0" w:color="000000" w:themeColor="text1"/>
            </w:tcBorders>
            <w:vAlign w:val="bottom"/>
          </w:tcPr>
          <w:p w:rsidR="007A00B1" w:rsidRPr="00AC2CDC" w:rsidRDefault="00AC2CDC" w:rsidP="00AC2CDC">
            <w:pPr>
              <w:spacing w:line="240" w:lineRule="atLeast"/>
              <w:rPr>
                <w:rFonts w:ascii="Times New Roman" w:hAnsi="Times New Roman" w:cs="Times New Roman"/>
                <w:sz w:val="18"/>
                <w:szCs w:val="18"/>
              </w:rPr>
            </w:pPr>
            <w:r w:rsidRPr="00AC2CDC">
              <w:rPr>
                <w:rFonts w:ascii="Times New Roman" w:hAnsi="Times New Roman" w:cs="Times New Roman"/>
                <w:sz w:val="18"/>
                <w:szCs w:val="18"/>
              </w:rPr>
              <w:t>Type of c</w:t>
            </w:r>
            <w:r w:rsidR="007A00B1" w:rsidRPr="00AC2CDC">
              <w:rPr>
                <w:rFonts w:ascii="Times New Roman" w:hAnsi="Times New Roman" w:cs="Times New Roman"/>
                <w:sz w:val="18"/>
                <w:szCs w:val="18"/>
              </w:rPr>
              <w:t>ollection</w:t>
            </w:r>
          </w:p>
        </w:tc>
        <w:tc>
          <w:tcPr>
            <w:tcW w:w="1054"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Sample size</w:t>
            </w:r>
          </w:p>
        </w:tc>
        <w:tc>
          <w:tcPr>
            <w:tcW w:w="1255"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response rate (percent)</w:t>
            </w:r>
          </w:p>
        </w:tc>
        <w:tc>
          <w:tcPr>
            <w:tcW w:w="1267"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respondents</w:t>
            </w:r>
          </w:p>
        </w:tc>
        <w:tc>
          <w:tcPr>
            <w:tcW w:w="1214"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responses</w:t>
            </w:r>
          </w:p>
        </w:tc>
        <w:tc>
          <w:tcPr>
            <w:tcW w:w="1301"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Total burden hours per respondent</w:t>
            </w:r>
          </w:p>
        </w:tc>
        <w:tc>
          <w:tcPr>
            <w:tcW w:w="1272" w:type="dxa"/>
            <w:tcBorders>
              <w:bottom w:val="single" w:sz="4" w:space="0" w:color="000000" w:themeColor="text1"/>
            </w:tcBorders>
            <w:vAlign w:val="bottom"/>
          </w:tcPr>
          <w:p w:rsidR="007A00B1" w:rsidRPr="00AC2CDC" w:rsidRDefault="007A00B1"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Respondent burden hours</w:t>
            </w:r>
          </w:p>
        </w:tc>
      </w:tr>
      <w:tr w:rsidR="00AC2CDC" w:rsidRPr="00AC2CDC" w:rsidTr="00FA440A">
        <w:trPr>
          <w:trHeight w:val="247"/>
          <w:jc w:val="center"/>
        </w:trPr>
        <w:tc>
          <w:tcPr>
            <w:tcW w:w="2213" w:type="dxa"/>
            <w:tcBorders>
              <w:bottom w:val="nil"/>
              <w:right w:val="nil"/>
            </w:tcBorders>
          </w:tcPr>
          <w:p w:rsidR="00AC2CDC" w:rsidRPr="00AC2CDC" w:rsidRDefault="006F6069" w:rsidP="006F6069">
            <w:pPr>
              <w:tabs>
                <w:tab w:val="right" w:leader="dot" w:pos="1998"/>
              </w:tabs>
              <w:spacing w:line="240" w:lineRule="atLeast"/>
              <w:rPr>
                <w:rFonts w:ascii="Times New Roman" w:hAnsi="Times New Roman" w:cs="Times New Roman"/>
                <w:sz w:val="18"/>
                <w:szCs w:val="18"/>
              </w:rPr>
            </w:pPr>
            <w:r>
              <w:rPr>
                <w:rFonts w:ascii="Times New Roman" w:hAnsi="Times New Roman" w:cs="Times New Roman"/>
                <w:sz w:val="18"/>
                <w:szCs w:val="18"/>
              </w:rPr>
              <w:t>Initial i</w:t>
            </w:r>
            <w:r w:rsidR="003446F5">
              <w:rPr>
                <w:rFonts w:ascii="Times New Roman" w:hAnsi="Times New Roman" w:cs="Times New Roman"/>
                <w:sz w:val="18"/>
                <w:szCs w:val="18"/>
              </w:rPr>
              <w:t>nstitution contact</w:t>
            </w:r>
            <w:r w:rsidR="00FA440A" w:rsidRPr="00AC2CDC">
              <w:rPr>
                <w:rFonts w:ascii="Times New Roman" w:hAnsi="Times New Roman" w:cs="Times New Roman"/>
                <w:sz w:val="18"/>
                <w:szCs w:val="18"/>
              </w:rPr>
              <w:tab/>
            </w:r>
          </w:p>
        </w:tc>
        <w:tc>
          <w:tcPr>
            <w:tcW w:w="1054" w:type="dxa"/>
            <w:tcBorders>
              <w:left w:val="nil"/>
              <w:bottom w:val="nil"/>
              <w:right w:val="nil"/>
            </w:tcBorders>
            <w:vAlign w:val="bottom"/>
          </w:tcPr>
          <w:p w:rsidR="00AC2CDC" w:rsidRPr="00AC2CDC" w:rsidRDefault="00AC2CDC"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1,600</w:t>
            </w:r>
          </w:p>
        </w:tc>
        <w:tc>
          <w:tcPr>
            <w:tcW w:w="1255" w:type="dxa"/>
            <w:tcBorders>
              <w:left w:val="nil"/>
              <w:bottom w:val="nil"/>
              <w:right w:val="nil"/>
            </w:tcBorders>
            <w:vAlign w:val="bottom"/>
          </w:tcPr>
          <w:p w:rsidR="00AC2CDC" w:rsidRPr="00AC2CDC" w:rsidRDefault="00FA440A" w:rsidP="003C19C2">
            <w:pPr>
              <w:spacing w:line="240" w:lineRule="atLeast"/>
              <w:jc w:val="right"/>
              <w:rPr>
                <w:rFonts w:ascii="Times New Roman" w:hAnsi="Times New Roman" w:cs="Times New Roman"/>
                <w:sz w:val="18"/>
                <w:szCs w:val="18"/>
              </w:rPr>
            </w:pPr>
            <w:r>
              <w:rPr>
                <w:rFonts w:ascii="Times New Roman" w:hAnsi="Times New Roman" w:cs="Times New Roman"/>
                <w:sz w:val="18"/>
                <w:szCs w:val="18"/>
              </w:rPr>
              <w:t>1</w:t>
            </w:r>
            <w:r w:rsidR="00AC2CDC" w:rsidRPr="00AC2CDC">
              <w:rPr>
                <w:rFonts w:ascii="Times New Roman" w:hAnsi="Times New Roman" w:cs="Times New Roman"/>
                <w:sz w:val="18"/>
                <w:szCs w:val="18"/>
              </w:rPr>
              <w:t>.0</w:t>
            </w:r>
          </w:p>
        </w:tc>
        <w:tc>
          <w:tcPr>
            <w:tcW w:w="1267" w:type="dxa"/>
            <w:tcBorders>
              <w:left w:val="nil"/>
              <w:bottom w:val="nil"/>
              <w:right w:val="nil"/>
            </w:tcBorders>
            <w:vAlign w:val="bottom"/>
          </w:tcPr>
          <w:p w:rsidR="00AC2CDC" w:rsidRPr="00860352" w:rsidRDefault="00AC2CDC" w:rsidP="00FA440A">
            <w:pPr>
              <w:spacing w:line="240" w:lineRule="atLeast"/>
              <w:jc w:val="right"/>
              <w:rPr>
                <w:rFonts w:ascii="Times New Roman" w:hAnsi="Times New Roman" w:cs="Times New Roman"/>
                <w:b/>
                <w:sz w:val="18"/>
                <w:szCs w:val="18"/>
              </w:rPr>
            </w:pPr>
            <w:r w:rsidRPr="00860352">
              <w:rPr>
                <w:rFonts w:ascii="Times New Roman" w:hAnsi="Times New Roman" w:cs="Times New Roman"/>
                <w:b/>
                <w:sz w:val="18"/>
                <w:szCs w:val="18"/>
              </w:rPr>
              <w:t>1,</w:t>
            </w:r>
            <w:r w:rsidR="00FA440A" w:rsidRPr="00860352">
              <w:rPr>
                <w:rFonts w:ascii="Times New Roman" w:hAnsi="Times New Roman" w:cs="Times New Roman"/>
                <w:b/>
                <w:sz w:val="18"/>
                <w:szCs w:val="18"/>
              </w:rPr>
              <w:t>600</w:t>
            </w:r>
          </w:p>
        </w:tc>
        <w:tc>
          <w:tcPr>
            <w:tcW w:w="1214" w:type="dxa"/>
            <w:tcBorders>
              <w:left w:val="nil"/>
              <w:bottom w:val="nil"/>
              <w:right w:val="nil"/>
            </w:tcBorders>
            <w:vAlign w:val="bottom"/>
          </w:tcPr>
          <w:p w:rsidR="00AC2CDC" w:rsidRPr="00AC2CDC" w:rsidRDefault="00AC2CDC" w:rsidP="00FA440A">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w:t>
            </w:r>
            <w:r w:rsidR="00FA440A">
              <w:rPr>
                <w:rFonts w:ascii="Times New Roman" w:hAnsi="Times New Roman" w:cs="Times New Roman"/>
                <w:sz w:val="18"/>
                <w:szCs w:val="18"/>
              </w:rPr>
              <w:t>600</w:t>
            </w:r>
          </w:p>
        </w:tc>
        <w:tc>
          <w:tcPr>
            <w:tcW w:w="1301" w:type="dxa"/>
            <w:tcBorders>
              <w:left w:val="nil"/>
              <w:bottom w:val="nil"/>
              <w:right w:val="nil"/>
            </w:tcBorders>
            <w:vAlign w:val="bottom"/>
          </w:tcPr>
          <w:p w:rsidR="00AC2CDC" w:rsidRPr="00AC2CDC" w:rsidRDefault="00AC2CDC" w:rsidP="00FA440A">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r w:rsidR="00FA440A">
              <w:rPr>
                <w:rFonts w:ascii="Times New Roman" w:hAnsi="Times New Roman" w:cs="Times New Roman"/>
                <w:sz w:val="18"/>
                <w:szCs w:val="18"/>
              </w:rPr>
              <w:t>083</w:t>
            </w:r>
          </w:p>
        </w:tc>
        <w:tc>
          <w:tcPr>
            <w:tcW w:w="1272" w:type="dxa"/>
            <w:tcBorders>
              <w:left w:val="nil"/>
              <w:bottom w:val="nil"/>
            </w:tcBorders>
            <w:vAlign w:val="bottom"/>
          </w:tcPr>
          <w:p w:rsidR="00AC2CDC" w:rsidRPr="00AC2CDC" w:rsidRDefault="00FA440A" w:rsidP="00FA440A">
            <w:pPr>
              <w:spacing w:line="240" w:lineRule="atLeast"/>
              <w:jc w:val="right"/>
              <w:rPr>
                <w:rFonts w:ascii="Times New Roman" w:hAnsi="Times New Roman" w:cs="Times New Roman"/>
                <w:sz w:val="18"/>
                <w:szCs w:val="18"/>
              </w:rPr>
            </w:pPr>
            <w:r>
              <w:rPr>
                <w:rFonts w:ascii="Times New Roman" w:hAnsi="Times New Roman" w:cs="Times New Roman"/>
                <w:sz w:val="18"/>
                <w:szCs w:val="18"/>
              </w:rPr>
              <w:t>133</w:t>
            </w:r>
          </w:p>
        </w:tc>
      </w:tr>
      <w:tr w:rsidR="00FA440A" w:rsidRPr="00AC2CDC" w:rsidTr="00FA440A">
        <w:trPr>
          <w:trHeight w:val="262"/>
          <w:jc w:val="center"/>
        </w:trPr>
        <w:tc>
          <w:tcPr>
            <w:tcW w:w="2213" w:type="dxa"/>
            <w:tcBorders>
              <w:top w:val="nil"/>
              <w:bottom w:val="nil"/>
              <w:right w:val="nil"/>
            </w:tcBorders>
          </w:tcPr>
          <w:p w:rsidR="00FA440A" w:rsidRPr="00AC2CDC" w:rsidRDefault="00FA440A" w:rsidP="00AC2CDC">
            <w:pPr>
              <w:tabs>
                <w:tab w:val="right" w:leader="dot" w:pos="1998"/>
              </w:tabs>
              <w:spacing w:line="240" w:lineRule="atLeast"/>
              <w:rPr>
                <w:rFonts w:ascii="Times New Roman" w:hAnsi="Times New Roman" w:cs="Times New Roman"/>
                <w:sz w:val="18"/>
                <w:szCs w:val="18"/>
              </w:rPr>
            </w:pPr>
            <w:r w:rsidRPr="00AC2CDC">
              <w:rPr>
                <w:rFonts w:ascii="Times New Roman" w:hAnsi="Times New Roman" w:cs="Times New Roman"/>
                <w:sz w:val="18"/>
                <w:szCs w:val="18"/>
              </w:rPr>
              <w:t>Questionnaire</w:t>
            </w:r>
            <w:r w:rsidRPr="00AC2CDC">
              <w:rPr>
                <w:rFonts w:ascii="Times New Roman" w:hAnsi="Times New Roman" w:cs="Times New Roman"/>
                <w:sz w:val="18"/>
                <w:szCs w:val="18"/>
              </w:rPr>
              <w:tab/>
            </w:r>
          </w:p>
        </w:tc>
        <w:tc>
          <w:tcPr>
            <w:tcW w:w="1054" w:type="dxa"/>
            <w:tcBorders>
              <w:top w:val="nil"/>
              <w:left w:val="nil"/>
              <w:bottom w:val="nil"/>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1,600</w:t>
            </w:r>
          </w:p>
        </w:tc>
        <w:tc>
          <w:tcPr>
            <w:tcW w:w="1255" w:type="dxa"/>
            <w:tcBorders>
              <w:top w:val="nil"/>
              <w:left w:val="nil"/>
              <w:bottom w:val="nil"/>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.90</w:t>
            </w:r>
          </w:p>
        </w:tc>
        <w:tc>
          <w:tcPr>
            <w:tcW w:w="1267" w:type="dxa"/>
            <w:tcBorders>
              <w:top w:val="nil"/>
              <w:left w:val="nil"/>
              <w:bottom w:val="nil"/>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1,440</w:t>
            </w:r>
          </w:p>
        </w:tc>
        <w:tc>
          <w:tcPr>
            <w:tcW w:w="1214" w:type="dxa"/>
            <w:tcBorders>
              <w:top w:val="nil"/>
              <w:left w:val="nil"/>
              <w:bottom w:val="nil"/>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1,440</w:t>
            </w:r>
          </w:p>
        </w:tc>
        <w:tc>
          <w:tcPr>
            <w:tcW w:w="1301" w:type="dxa"/>
            <w:tcBorders>
              <w:top w:val="nil"/>
              <w:left w:val="nil"/>
              <w:bottom w:val="nil"/>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.50</w:t>
            </w:r>
          </w:p>
        </w:tc>
        <w:tc>
          <w:tcPr>
            <w:tcW w:w="1272" w:type="dxa"/>
            <w:tcBorders>
              <w:top w:val="nil"/>
              <w:left w:val="nil"/>
              <w:bottom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720</w:t>
            </w:r>
          </w:p>
        </w:tc>
      </w:tr>
      <w:tr w:rsidR="00FA440A" w:rsidRPr="00AC2CDC" w:rsidTr="00FA440A">
        <w:trPr>
          <w:trHeight w:val="262"/>
          <w:jc w:val="center"/>
        </w:trPr>
        <w:tc>
          <w:tcPr>
            <w:tcW w:w="2213" w:type="dxa"/>
            <w:tcBorders>
              <w:top w:val="nil"/>
              <w:bottom w:val="single" w:sz="4" w:space="0" w:color="000000" w:themeColor="text1"/>
              <w:right w:val="nil"/>
            </w:tcBorders>
          </w:tcPr>
          <w:p w:rsidR="00FA440A" w:rsidRPr="00AC2CDC" w:rsidRDefault="00FA440A" w:rsidP="00AC2CDC">
            <w:pPr>
              <w:tabs>
                <w:tab w:val="right" w:leader="dot" w:pos="1998"/>
              </w:tabs>
              <w:spacing w:line="240" w:lineRule="atLeast"/>
              <w:rPr>
                <w:rFonts w:ascii="Times New Roman" w:hAnsi="Times New Roman" w:cs="Times New Roman"/>
                <w:sz w:val="18"/>
                <w:szCs w:val="18"/>
              </w:rPr>
            </w:pPr>
            <w:proofErr w:type="spellStart"/>
            <w:r w:rsidRPr="00AC2CDC">
              <w:rPr>
                <w:rFonts w:ascii="Times New Roman" w:hAnsi="Times New Roman" w:cs="Times New Roman"/>
                <w:sz w:val="18"/>
                <w:szCs w:val="18"/>
              </w:rPr>
              <w:t>Nonresponse</w:t>
            </w:r>
            <w:proofErr w:type="spellEnd"/>
            <w:r w:rsidRPr="00AC2CDC">
              <w:rPr>
                <w:rFonts w:ascii="Times New Roman" w:hAnsi="Times New Roman" w:cs="Times New Roman"/>
                <w:sz w:val="18"/>
                <w:szCs w:val="18"/>
              </w:rPr>
              <w:t xml:space="preserve"> </w:t>
            </w:r>
            <w:r>
              <w:rPr>
                <w:rFonts w:ascii="Times New Roman" w:hAnsi="Times New Roman" w:cs="Times New Roman"/>
                <w:sz w:val="18"/>
                <w:szCs w:val="18"/>
              </w:rPr>
              <w:t>follow-up</w:t>
            </w:r>
            <w:r w:rsidRPr="00AC2CDC">
              <w:rPr>
                <w:rFonts w:ascii="Times New Roman" w:hAnsi="Times New Roman" w:cs="Times New Roman"/>
                <w:sz w:val="18"/>
                <w:szCs w:val="18"/>
              </w:rPr>
              <w:t xml:space="preserve"> call</w:t>
            </w:r>
            <w:r w:rsidRPr="00AC2CDC">
              <w:rPr>
                <w:rFonts w:ascii="Times New Roman" w:hAnsi="Times New Roman" w:cs="Times New Roman"/>
                <w:sz w:val="18"/>
                <w:szCs w:val="18"/>
              </w:rPr>
              <w:tab/>
            </w:r>
          </w:p>
        </w:tc>
        <w:tc>
          <w:tcPr>
            <w:tcW w:w="1054" w:type="dxa"/>
            <w:tcBorders>
              <w:top w:val="nil"/>
              <w:left w:val="nil"/>
              <w:bottom w:val="single" w:sz="4" w:space="0" w:color="000000" w:themeColor="text1"/>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1,600</w:t>
            </w:r>
          </w:p>
        </w:tc>
        <w:tc>
          <w:tcPr>
            <w:tcW w:w="1255" w:type="dxa"/>
            <w:tcBorders>
              <w:top w:val="nil"/>
              <w:left w:val="nil"/>
              <w:bottom w:val="single" w:sz="4" w:space="0" w:color="000000" w:themeColor="text1"/>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.75</w:t>
            </w:r>
          </w:p>
        </w:tc>
        <w:tc>
          <w:tcPr>
            <w:tcW w:w="1267" w:type="dxa"/>
            <w:tcBorders>
              <w:top w:val="nil"/>
              <w:left w:val="nil"/>
              <w:bottom w:val="single" w:sz="4" w:space="0" w:color="000000" w:themeColor="text1"/>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1,200</w:t>
            </w:r>
          </w:p>
        </w:tc>
        <w:tc>
          <w:tcPr>
            <w:tcW w:w="1214" w:type="dxa"/>
            <w:tcBorders>
              <w:top w:val="nil"/>
              <w:left w:val="nil"/>
              <w:bottom w:val="single" w:sz="4" w:space="0" w:color="000000" w:themeColor="text1"/>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1,200</w:t>
            </w:r>
          </w:p>
        </w:tc>
        <w:tc>
          <w:tcPr>
            <w:tcW w:w="1301" w:type="dxa"/>
            <w:tcBorders>
              <w:top w:val="nil"/>
              <w:left w:val="nil"/>
              <w:bottom w:val="single" w:sz="4" w:space="0" w:color="000000" w:themeColor="text1"/>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.083</w:t>
            </w:r>
          </w:p>
        </w:tc>
        <w:tc>
          <w:tcPr>
            <w:tcW w:w="1272" w:type="dxa"/>
            <w:tcBorders>
              <w:top w:val="nil"/>
              <w:left w:val="nil"/>
              <w:bottom w:val="single" w:sz="4" w:space="0" w:color="000000" w:themeColor="text1"/>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100</w:t>
            </w:r>
          </w:p>
        </w:tc>
      </w:tr>
      <w:tr w:rsidR="00FA440A" w:rsidRPr="00AC2CDC" w:rsidTr="00AC2CDC">
        <w:trPr>
          <w:trHeight w:val="262"/>
          <w:jc w:val="center"/>
        </w:trPr>
        <w:tc>
          <w:tcPr>
            <w:tcW w:w="2213" w:type="dxa"/>
            <w:tcBorders>
              <w:right w:val="nil"/>
            </w:tcBorders>
          </w:tcPr>
          <w:p w:rsidR="00FA440A" w:rsidRPr="00AC2CDC" w:rsidRDefault="00FA440A" w:rsidP="00AC2CDC">
            <w:pPr>
              <w:tabs>
                <w:tab w:val="right" w:leader="dot" w:pos="1998"/>
              </w:tabs>
              <w:spacing w:line="240" w:lineRule="atLeast"/>
              <w:rPr>
                <w:rFonts w:ascii="Times New Roman" w:hAnsi="Times New Roman" w:cs="Times New Roman"/>
                <w:sz w:val="18"/>
                <w:szCs w:val="18"/>
              </w:rPr>
            </w:pPr>
            <w:r w:rsidRPr="00AC2CDC">
              <w:rPr>
                <w:rFonts w:ascii="Times New Roman" w:hAnsi="Times New Roman" w:cs="Times New Roman"/>
                <w:sz w:val="18"/>
                <w:szCs w:val="18"/>
              </w:rPr>
              <w:t>Total burden</w:t>
            </w:r>
            <w:r w:rsidRPr="00AC2CDC">
              <w:rPr>
                <w:rFonts w:ascii="Times New Roman" w:hAnsi="Times New Roman" w:cs="Times New Roman"/>
                <w:sz w:val="18"/>
                <w:szCs w:val="18"/>
              </w:rPr>
              <w:tab/>
            </w:r>
          </w:p>
        </w:tc>
        <w:tc>
          <w:tcPr>
            <w:tcW w:w="1054" w:type="dxa"/>
            <w:tcBorders>
              <w:left w:val="nil"/>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p>
        </w:tc>
        <w:tc>
          <w:tcPr>
            <w:tcW w:w="1255" w:type="dxa"/>
            <w:tcBorders>
              <w:left w:val="nil"/>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p>
        </w:tc>
        <w:tc>
          <w:tcPr>
            <w:tcW w:w="1267" w:type="dxa"/>
            <w:tcBorders>
              <w:left w:val="nil"/>
              <w:right w:val="nil"/>
            </w:tcBorders>
            <w:vAlign w:val="bottom"/>
          </w:tcPr>
          <w:p w:rsidR="00FA440A" w:rsidRPr="00AC2CDC" w:rsidRDefault="00860352" w:rsidP="00860352">
            <w:pPr>
              <w:spacing w:line="240" w:lineRule="atLeast"/>
              <w:jc w:val="right"/>
              <w:rPr>
                <w:rFonts w:ascii="Times New Roman" w:hAnsi="Times New Roman" w:cs="Times New Roman"/>
                <w:sz w:val="18"/>
                <w:szCs w:val="18"/>
              </w:rPr>
            </w:pPr>
            <w:r>
              <w:rPr>
                <w:rFonts w:ascii="Times New Roman" w:hAnsi="Times New Roman" w:cs="Times New Roman"/>
                <w:sz w:val="18"/>
                <w:szCs w:val="18"/>
              </w:rPr>
              <w:t>1</w:t>
            </w:r>
            <w:r w:rsidR="00FA440A">
              <w:rPr>
                <w:rFonts w:ascii="Times New Roman" w:hAnsi="Times New Roman" w:cs="Times New Roman"/>
                <w:sz w:val="18"/>
                <w:szCs w:val="18"/>
              </w:rPr>
              <w:t>,</w:t>
            </w:r>
            <w:r>
              <w:rPr>
                <w:rFonts w:ascii="Times New Roman" w:hAnsi="Times New Roman" w:cs="Times New Roman"/>
                <w:sz w:val="18"/>
                <w:szCs w:val="18"/>
              </w:rPr>
              <w:t>60</w:t>
            </w:r>
            <w:r w:rsidR="00FA440A">
              <w:rPr>
                <w:rFonts w:ascii="Times New Roman" w:hAnsi="Times New Roman" w:cs="Times New Roman"/>
                <w:sz w:val="18"/>
                <w:szCs w:val="18"/>
              </w:rPr>
              <w:t>0</w:t>
            </w:r>
          </w:p>
        </w:tc>
        <w:tc>
          <w:tcPr>
            <w:tcW w:w="1214" w:type="dxa"/>
            <w:tcBorders>
              <w:left w:val="nil"/>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Pr>
                <w:rFonts w:ascii="Times New Roman" w:hAnsi="Times New Roman" w:cs="Times New Roman"/>
                <w:sz w:val="18"/>
                <w:szCs w:val="18"/>
              </w:rPr>
              <w:t>4,240</w:t>
            </w:r>
          </w:p>
        </w:tc>
        <w:tc>
          <w:tcPr>
            <w:tcW w:w="1301" w:type="dxa"/>
            <w:tcBorders>
              <w:left w:val="nil"/>
              <w:righ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p>
        </w:tc>
        <w:tc>
          <w:tcPr>
            <w:tcW w:w="1272" w:type="dxa"/>
            <w:tcBorders>
              <w:left w:val="nil"/>
            </w:tcBorders>
            <w:vAlign w:val="bottom"/>
          </w:tcPr>
          <w:p w:rsidR="00FA440A" w:rsidRPr="00AC2CDC" w:rsidRDefault="00FA440A" w:rsidP="00AC2CDC">
            <w:pPr>
              <w:spacing w:line="240" w:lineRule="atLeast"/>
              <w:jc w:val="right"/>
              <w:rPr>
                <w:rFonts w:ascii="Times New Roman" w:hAnsi="Times New Roman" w:cs="Times New Roman"/>
                <w:sz w:val="18"/>
                <w:szCs w:val="18"/>
              </w:rPr>
            </w:pPr>
            <w:r>
              <w:rPr>
                <w:rFonts w:ascii="Times New Roman" w:hAnsi="Times New Roman" w:cs="Times New Roman"/>
                <w:sz w:val="18"/>
                <w:szCs w:val="18"/>
              </w:rPr>
              <w:t>953</w:t>
            </w:r>
          </w:p>
        </w:tc>
      </w:tr>
    </w:tbl>
    <w:p w:rsidR="000F2B06" w:rsidRPr="00B17E4E" w:rsidRDefault="000F2B06">
      <w:pPr>
        <w:rPr>
          <w:rFonts w:ascii="Times New Roman" w:hAnsi="Times New Roman" w:cs="Times New Roman"/>
        </w:rPr>
      </w:pPr>
    </w:p>
    <w:p w:rsidR="00ED1CA7" w:rsidRPr="0083654A" w:rsidRDefault="00ED1CA7">
      <w:pPr>
        <w:rPr>
          <w:rFonts w:ascii="Times New Roman" w:hAnsi="Times New Roman" w:cs="Times New Roman"/>
          <w:b/>
          <w:sz w:val="24"/>
          <w:szCs w:val="24"/>
        </w:rPr>
      </w:pPr>
      <w:r w:rsidRPr="0083654A">
        <w:rPr>
          <w:rFonts w:ascii="Times New Roman" w:hAnsi="Times New Roman" w:cs="Times New Roman"/>
          <w:b/>
          <w:sz w:val="24"/>
          <w:szCs w:val="24"/>
        </w:rPr>
        <w:t>Procedures and Data Collection Instrument</w:t>
      </w:r>
      <w:r w:rsidR="00431EAE" w:rsidRPr="0083654A">
        <w:rPr>
          <w:rFonts w:ascii="Times New Roman" w:hAnsi="Times New Roman" w:cs="Times New Roman"/>
          <w:b/>
          <w:sz w:val="24"/>
          <w:szCs w:val="24"/>
        </w:rPr>
        <w:t>s</w:t>
      </w:r>
    </w:p>
    <w:p w:rsidR="004563E2" w:rsidRPr="002733FF" w:rsidRDefault="004563E2" w:rsidP="00DB2FCD">
      <w:pPr>
        <w:rPr>
          <w:rFonts w:ascii="Times New Roman" w:hAnsi="Times New Roman" w:cs="Times New Roman"/>
          <w:b/>
        </w:rPr>
      </w:pPr>
      <w:r w:rsidRPr="002733FF">
        <w:rPr>
          <w:rFonts w:ascii="Times New Roman" w:hAnsi="Times New Roman" w:cs="Times New Roman"/>
          <w:b/>
        </w:rPr>
        <w:t>FRSS</w:t>
      </w:r>
      <w:r w:rsidR="002733FF" w:rsidRPr="002733FF">
        <w:rPr>
          <w:rFonts w:ascii="Times New Roman" w:hAnsi="Times New Roman" w:cs="Times New Roman"/>
          <w:b/>
        </w:rPr>
        <w:t xml:space="preserve"> 104 Secondary School Survey</w:t>
      </w:r>
    </w:p>
    <w:p w:rsidR="00BD2175" w:rsidRDefault="000E1E47" w:rsidP="003E32D9">
      <w:pPr>
        <w:ind w:firstLine="720"/>
        <w:rPr>
          <w:rFonts w:ascii="Times New Roman" w:hAnsi="Times New Roman" w:cs="Times New Roman"/>
        </w:rPr>
      </w:pPr>
      <w:r>
        <w:rPr>
          <w:rFonts w:ascii="Times New Roman" w:hAnsi="Times New Roman" w:cs="Times New Roman"/>
        </w:rPr>
        <w:t xml:space="preserve">A </w:t>
      </w:r>
      <w:r w:rsidR="003E32D9">
        <w:rPr>
          <w:rFonts w:ascii="Times New Roman" w:hAnsi="Times New Roman" w:cs="Times New Roman"/>
        </w:rPr>
        <w:t xml:space="preserve">questionnaire, </w:t>
      </w:r>
      <w:r>
        <w:rPr>
          <w:rFonts w:ascii="Times New Roman" w:hAnsi="Times New Roman" w:cs="Times New Roman"/>
        </w:rPr>
        <w:t xml:space="preserve">cover letter (Attachment </w:t>
      </w:r>
      <w:r w:rsidR="003F4F38">
        <w:rPr>
          <w:rFonts w:ascii="Times New Roman" w:hAnsi="Times New Roman" w:cs="Times New Roman"/>
        </w:rPr>
        <w:t>4</w:t>
      </w:r>
      <w:r>
        <w:rPr>
          <w:rFonts w:ascii="Times New Roman" w:hAnsi="Times New Roman" w:cs="Times New Roman"/>
        </w:rPr>
        <w:t xml:space="preserve">), and Web information sheet (Attachment </w:t>
      </w:r>
      <w:r w:rsidR="003F4F38">
        <w:rPr>
          <w:rFonts w:ascii="Times New Roman" w:hAnsi="Times New Roman" w:cs="Times New Roman"/>
        </w:rPr>
        <w:t>5</w:t>
      </w:r>
      <w:r>
        <w:rPr>
          <w:rFonts w:ascii="Times New Roman" w:hAnsi="Times New Roman" w:cs="Times New Roman"/>
        </w:rPr>
        <w:t>) will be mailed to each sampled school. The cover letter requests the participation of the school and introduces the purpose and content of the survey. It also notes that the survey should be completed by the person most knowledgeable about dual credit and exam-based courses at the school. The cover letter also includes instructions on how to complete and return the survey, as well as contac</w:t>
      </w:r>
      <w:r w:rsidR="00985EE0">
        <w:rPr>
          <w:rFonts w:ascii="Times New Roman" w:hAnsi="Times New Roman" w:cs="Times New Roman"/>
        </w:rPr>
        <w:t>t information in case of questions</w:t>
      </w:r>
      <w:r>
        <w:rPr>
          <w:rFonts w:ascii="Times New Roman" w:hAnsi="Times New Roman" w:cs="Times New Roman"/>
        </w:rPr>
        <w:t xml:space="preserve">. The Web information sheet is included in the mailing to provide information about the option to complete a Web version of the survey. On the cover of the survey, respondents are assured that their participation is voluntary and their answers may not be disclosed or used in identifiable form for any other purpose unless compelled by law (Education Sciences Reform Act of 2002, </w:t>
      </w:r>
      <w:r w:rsidR="00E801CD">
        <w:rPr>
          <w:rFonts w:ascii="Times New Roman" w:hAnsi="Times New Roman" w:cs="Times New Roman"/>
          <w:bCs/>
          <w:szCs w:val="24"/>
        </w:rPr>
        <w:t>20 U.S.</w:t>
      </w:r>
      <w:r w:rsidR="00E801CD" w:rsidRPr="00E371C4">
        <w:rPr>
          <w:rFonts w:ascii="Times New Roman" w:hAnsi="Times New Roman" w:cs="Times New Roman"/>
          <w:bCs/>
          <w:szCs w:val="24"/>
        </w:rPr>
        <w:t>C</w:t>
      </w:r>
      <w:r w:rsidR="00E801CD">
        <w:rPr>
          <w:rFonts w:ascii="Times New Roman" w:hAnsi="Times New Roman" w:cs="Times New Roman"/>
          <w:bCs/>
          <w:szCs w:val="24"/>
        </w:rPr>
        <w:t>.</w:t>
      </w:r>
      <w:r w:rsidR="00E801CD" w:rsidRPr="00E371C4">
        <w:rPr>
          <w:rFonts w:ascii="Times New Roman" w:hAnsi="Times New Roman" w:cs="Times New Roman"/>
          <w:bCs/>
          <w:szCs w:val="24"/>
        </w:rPr>
        <w:t xml:space="preserve"> § 9573</w:t>
      </w:r>
      <w:r>
        <w:rPr>
          <w:rFonts w:ascii="Times New Roman" w:hAnsi="Times New Roman" w:cs="Times New Roman"/>
        </w:rPr>
        <w:t xml:space="preserve">). </w:t>
      </w:r>
    </w:p>
    <w:p w:rsidR="000E1E47" w:rsidRPr="003E32D9" w:rsidRDefault="000E1E47" w:rsidP="003E32D9">
      <w:pPr>
        <w:ind w:firstLine="720"/>
        <w:rPr>
          <w:rFonts w:ascii="Times New Roman" w:hAnsi="Times New Roman" w:cs="Times New Roman"/>
        </w:rPr>
      </w:pPr>
      <w:r>
        <w:rPr>
          <w:rFonts w:ascii="Times New Roman" w:hAnsi="Times New Roman" w:cs="Times New Roman"/>
        </w:rPr>
        <w:t xml:space="preserve">All sampled </w:t>
      </w:r>
      <w:r w:rsidR="00523F19">
        <w:rPr>
          <w:rFonts w:ascii="Times New Roman" w:hAnsi="Times New Roman" w:cs="Times New Roman"/>
        </w:rPr>
        <w:t>schools</w:t>
      </w:r>
      <w:r>
        <w:rPr>
          <w:rFonts w:ascii="Times New Roman" w:hAnsi="Times New Roman" w:cs="Times New Roman"/>
        </w:rPr>
        <w:t xml:space="preserve"> that do not complete a survey within 3 weeks after the initial mailing of the survey will receive a </w:t>
      </w:r>
      <w:proofErr w:type="spellStart"/>
      <w:r>
        <w:rPr>
          <w:rFonts w:ascii="Times New Roman" w:hAnsi="Times New Roman" w:cs="Times New Roman"/>
        </w:rPr>
        <w:t>nonresponse</w:t>
      </w:r>
      <w:proofErr w:type="spellEnd"/>
      <w:r>
        <w:rPr>
          <w:rFonts w:ascii="Times New Roman" w:hAnsi="Times New Roman" w:cs="Times New Roman"/>
        </w:rPr>
        <w:t xml:space="preserve"> follow-up letter (Attachment </w:t>
      </w:r>
      <w:r w:rsidR="001D26E8">
        <w:rPr>
          <w:rFonts w:ascii="Times New Roman" w:hAnsi="Times New Roman" w:cs="Times New Roman"/>
        </w:rPr>
        <w:t>6</w:t>
      </w:r>
      <w:r>
        <w:rPr>
          <w:rFonts w:ascii="Times New Roman" w:hAnsi="Times New Roman" w:cs="Times New Roman"/>
        </w:rPr>
        <w:t>)</w:t>
      </w:r>
      <w:r w:rsidR="005B487D">
        <w:rPr>
          <w:rFonts w:ascii="Times New Roman" w:hAnsi="Times New Roman" w:cs="Times New Roman"/>
        </w:rPr>
        <w:t>,</w:t>
      </w:r>
      <w:r>
        <w:rPr>
          <w:rFonts w:ascii="Times New Roman" w:hAnsi="Times New Roman" w:cs="Times New Roman"/>
        </w:rPr>
        <w:t xml:space="preserve"> another copy of the Web information sheet</w:t>
      </w:r>
      <w:r w:rsidR="005B487D">
        <w:rPr>
          <w:rFonts w:ascii="Times New Roman" w:hAnsi="Times New Roman" w:cs="Times New Roman"/>
        </w:rPr>
        <w:t>,</w:t>
      </w:r>
      <w:r>
        <w:rPr>
          <w:rFonts w:ascii="Times New Roman" w:hAnsi="Times New Roman" w:cs="Times New Roman"/>
        </w:rPr>
        <w:t xml:space="preserve"> and a brief, scripted telephone call (Attachment </w:t>
      </w:r>
      <w:r w:rsidR="001D26E8">
        <w:rPr>
          <w:rFonts w:ascii="Times New Roman" w:hAnsi="Times New Roman" w:cs="Times New Roman"/>
        </w:rPr>
        <w:t>7</w:t>
      </w:r>
      <w:r>
        <w:rPr>
          <w:rFonts w:ascii="Times New Roman" w:hAnsi="Times New Roman" w:cs="Times New Roman"/>
        </w:rPr>
        <w:t>) prompting the respondent to return a completed survey via the Web</w:t>
      </w:r>
      <w:r w:rsidR="00B813F2">
        <w:rPr>
          <w:rFonts w:ascii="Times New Roman" w:hAnsi="Times New Roman" w:cs="Times New Roman"/>
        </w:rPr>
        <w:t>, fax,</w:t>
      </w:r>
      <w:r>
        <w:rPr>
          <w:rFonts w:ascii="Times New Roman" w:hAnsi="Times New Roman" w:cs="Times New Roman"/>
        </w:rPr>
        <w:t xml:space="preserve"> or mail. </w:t>
      </w:r>
    </w:p>
    <w:p w:rsidR="00CF5600" w:rsidRDefault="0048241C" w:rsidP="003E32D9">
      <w:pPr>
        <w:ind w:firstLine="720"/>
        <w:rPr>
          <w:rFonts w:ascii="Times New Roman" w:hAnsi="Times New Roman" w:cs="Times New Roman"/>
        </w:rPr>
      </w:pPr>
      <w:r w:rsidRPr="0048241C">
        <w:rPr>
          <w:rFonts w:ascii="Times New Roman" w:hAnsi="Times New Roman" w:cs="Times New Roman"/>
        </w:rPr>
        <w:t>The survey is designed to collect general information on dual credit and exam-based courses for pub</w:t>
      </w:r>
      <w:r w:rsidR="00C57774">
        <w:rPr>
          <w:rFonts w:ascii="Times New Roman" w:hAnsi="Times New Roman" w:cs="Times New Roman"/>
        </w:rPr>
        <w:t xml:space="preserve">lic secondary school students. </w:t>
      </w:r>
      <w:r w:rsidR="0045703A">
        <w:rPr>
          <w:rFonts w:ascii="Times New Roman" w:hAnsi="Times New Roman" w:cs="Times New Roman"/>
        </w:rPr>
        <w:t xml:space="preserve">The instructions and definitions page includes descriptions of key survey terminology, such as Advanced Placement (AP) courses, dual credit, credit in escrow, and duplicated counts of students. </w:t>
      </w:r>
      <w:r w:rsidR="005D6F48">
        <w:rPr>
          <w:rFonts w:ascii="Times New Roman" w:hAnsi="Times New Roman" w:cs="Times New Roman"/>
        </w:rPr>
        <w:t xml:space="preserve">Below is a description of each question on the survey. </w:t>
      </w:r>
    </w:p>
    <w:p w:rsidR="000E1E47" w:rsidRPr="000E1E47" w:rsidRDefault="0048241C" w:rsidP="003E32D9">
      <w:pPr>
        <w:ind w:firstLine="720"/>
        <w:rPr>
          <w:rFonts w:ascii="Times New Roman" w:hAnsi="Times New Roman" w:cs="Times New Roman"/>
        </w:rPr>
      </w:pPr>
      <w:r w:rsidRPr="0048241C">
        <w:rPr>
          <w:rFonts w:ascii="Times New Roman" w:hAnsi="Times New Roman" w:cs="Times New Roman"/>
        </w:rPr>
        <w:t xml:space="preserve">The first four questions ask about types of exam-based courses, including Advanced Placement (AP) and International Baccalaureate (IB) courses. The first question asks whether students took AP or IB courses and is included to set up the skip pattern for Question 2. The second question asks for the number of enrollments in both types of exam-based courses. </w:t>
      </w:r>
      <w:r w:rsidR="006F41D9">
        <w:rPr>
          <w:rFonts w:ascii="Times New Roman" w:hAnsi="Times New Roman" w:cs="Times New Roman"/>
        </w:rPr>
        <w:t>Questions 1 and 2 were both asked in the 2002</w:t>
      </w:r>
      <w:r w:rsidR="00BD2175">
        <w:rPr>
          <w:rFonts w:ascii="Times New Roman" w:hAnsi="Times New Roman" w:cs="Times New Roman"/>
        </w:rPr>
        <w:t>–</w:t>
      </w:r>
      <w:r w:rsidR="006F41D9">
        <w:rPr>
          <w:rFonts w:ascii="Times New Roman" w:hAnsi="Times New Roman" w:cs="Times New Roman"/>
        </w:rPr>
        <w:t xml:space="preserve">03 survey. </w:t>
      </w:r>
      <w:r w:rsidR="006E1B40" w:rsidRPr="001D7910">
        <w:rPr>
          <w:rFonts w:ascii="Times New Roman" w:hAnsi="Times New Roman" w:cs="Times New Roman"/>
        </w:rPr>
        <w:t xml:space="preserve">During </w:t>
      </w:r>
      <w:r w:rsidR="00EA02BE" w:rsidRPr="001D7910">
        <w:rPr>
          <w:rFonts w:ascii="Times New Roman" w:hAnsi="Times New Roman" w:cs="Times New Roman"/>
        </w:rPr>
        <w:t xml:space="preserve">survey development </w:t>
      </w:r>
      <w:r w:rsidR="006E1B40" w:rsidRPr="001D7910">
        <w:rPr>
          <w:rFonts w:ascii="Times New Roman" w:hAnsi="Times New Roman" w:cs="Times New Roman"/>
        </w:rPr>
        <w:t xml:space="preserve">calls, we found that students sometimes receive dual credit for passing an AP course without having to take the AP exam. Some respondents were counting these courses in both the AP subsection and the dual credit subsection of the questionnaire. As a result, the next set of questions was added </w:t>
      </w:r>
      <w:r w:rsidR="00120E6A" w:rsidRPr="001D7910">
        <w:rPr>
          <w:rFonts w:ascii="Times New Roman" w:hAnsi="Times New Roman" w:cs="Times New Roman"/>
        </w:rPr>
        <w:t xml:space="preserve">prior to the pretest </w:t>
      </w:r>
      <w:r w:rsidR="006E1B40" w:rsidRPr="001D7910">
        <w:rPr>
          <w:rFonts w:ascii="Times New Roman" w:hAnsi="Times New Roman" w:cs="Times New Roman"/>
        </w:rPr>
        <w:t>to address the potential overlap between AP and dual credit courses.</w:t>
      </w:r>
      <w:r w:rsidR="006E1B40" w:rsidRPr="001D7910">
        <w:t xml:space="preserve"> </w:t>
      </w:r>
      <w:r w:rsidRPr="001D7910">
        <w:rPr>
          <w:rFonts w:ascii="Times New Roman" w:hAnsi="Times New Roman" w:cs="Times New Roman"/>
        </w:rPr>
        <w:t xml:space="preserve">Question 3 asks whether any students have taken any AP courses for which they could earn dual credit without taking the AP exam. Question 4 asks for the number of enrollments in such courses. </w:t>
      </w:r>
      <w:r w:rsidR="00222823" w:rsidRPr="001D7910">
        <w:rPr>
          <w:rFonts w:ascii="Times New Roman" w:hAnsi="Times New Roman" w:cs="Times New Roman"/>
        </w:rPr>
        <w:t>W</w:t>
      </w:r>
      <w:r w:rsidRPr="001D7910">
        <w:rPr>
          <w:rFonts w:ascii="Times New Roman" w:hAnsi="Times New Roman" w:cs="Times New Roman"/>
        </w:rPr>
        <w:t xml:space="preserve">e </w:t>
      </w:r>
      <w:r w:rsidR="00222823" w:rsidRPr="001D7910">
        <w:rPr>
          <w:rFonts w:ascii="Times New Roman" w:hAnsi="Times New Roman" w:cs="Times New Roman"/>
        </w:rPr>
        <w:t xml:space="preserve">also </w:t>
      </w:r>
      <w:r w:rsidRPr="001D7910">
        <w:rPr>
          <w:rFonts w:ascii="Times New Roman" w:hAnsi="Times New Roman" w:cs="Times New Roman"/>
        </w:rPr>
        <w:t xml:space="preserve">added </w:t>
      </w:r>
      <w:r w:rsidR="00AC6A81" w:rsidRPr="001D7910">
        <w:rPr>
          <w:rFonts w:ascii="Times New Roman" w:hAnsi="Times New Roman" w:cs="Times New Roman"/>
        </w:rPr>
        <w:t>specific instructions which indicate that AP courses should be excluded from the dual credit section unless students receive dual credit without taking the AP exam</w:t>
      </w:r>
      <w:r w:rsidR="00120E6A" w:rsidRPr="001D7910">
        <w:rPr>
          <w:rFonts w:ascii="Times New Roman" w:hAnsi="Times New Roman" w:cs="Times New Roman"/>
        </w:rPr>
        <w:t xml:space="preserve"> (item 4 on the instructions and definitions page)</w:t>
      </w:r>
      <w:r w:rsidR="00AC6A81" w:rsidRPr="001D7910">
        <w:rPr>
          <w:rFonts w:ascii="Times New Roman" w:hAnsi="Times New Roman" w:cs="Times New Roman"/>
        </w:rPr>
        <w:t>.</w:t>
      </w:r>
      <w:r w:rsidR="00AC6A81" w:rsidRPr="00AC6A81">
        <w:rPr>
          <w:rFonts w:ascii="Times New Roman" w:hAnsi="Times New Roman" w:cs="Times New Roman"/>
        </w:rPr>
        <w:t xml:space="preserve"> </w:t>
      </w:r>
    </w:p>
    <w:p w:rsidR="000E1E47" w:rsidRPr="000E1E47" w:rsidRDefault="0048241C" w:rsidP="003E32D9">
      <w:pPr>
        <w:ind w:firstLine="720"/>
        <w:rPr>
          <w:rFonts w:ascii="Times New Roman" w:hAnsi="Times New Roman" w:cs="Times New Roman"/>
        </w:rPr>
      </w:pPr>
      <w:r w:rsidRPr="0048241C">
        <w:rPr>
          <w:rFonts w:ascii="Times New Roman" w:hAnsi="Times New Roman" w:cs="Times New Roman"/>
        </w:rPr>
        <w:lastRenderedPageBreak/>
        <w:t>Questions 5</w:t>
      </w:r>
      <w:r w:rsidR="00BD2175">
        <w:rPr>
          <w:rFonts w:ascii="Times New Roman" w:hAnsi="Times New Roman" w:cs="Times New Roman"/>
        </w:rPr>
        <w:t>–</w:t>
      </w:r>
      <w:r w:rsidRPr="0048241C">
        <w:rPr>
          <w:rFonts w:ascii="Times New Roman" w:hAnsi="Times New Roman" w:cs="Times New Roman"/>
        </w:rPr>
        <w:t>7 ask about dual credit courses and requirements related to taking such courses. Question 5 is provided to ‘screen out’ schools that do not have students taking dual credit courses.</w:t>
      </w:r>
      <w:r w:rsidR="001018BB">
        <w:rPr>
          <w:rFonts w:ascii="Times New Roman" w:hAnsi="Times New Roman" w:cs="Times New Roman"/>
        </w:rPr>
        <w:t xml:space="preserve"> </w:t>
      </w:r>
      <w:r w:rsidRPr="0048241C">
        <w:rPr>
          <w:rFonts w:ascii="Times New Roman" w:hAnsi="Times New Roman" w:cs="Times New Roman"/>
        </w:rPr>
        <w:t xml:space="preserve">Question 6 asks whether the school has established any requirements that students must meet for participation in dual credit courses, and is included to set up the skip pattern for Question 7. Question 7 asks about specific student requirements for enrolling in dual credit courses. </w:t>
      </w:r>
      <w:r w:rsidR="006F41D9">
        <w:rPr>
          <w:rFonts w:ascii="Times New Roman" w:hAnsi="Times New Roman" w:cs="Times New Roman"/>
        </w:rPr>
        <w:t>Questions 5 through 7 were asked in the 2002</w:t>
      </w:r>
      <w:r w:rsidR="00BD2175">
        <w:rPr>
          <w:rFonts w:ascii="Times New Roman" w:hAnsi="Times New Roman" w:cs="Times New Roman"/>
        </w:rPr>
        <w:t>–</w:t>
      </w:r>
      <w:r w:rsidR="006F41D9">
        <w:rPr>
          <w:rFonts w:ascii="Times New Roman" w:hAnsi="Times New Roman" w:cs="Times New Roman"/>
        </w:rPr>
        <w:t>03 survey.</w:t>
      </w:r>
    </w:p>
    <w:p w:rsidR="00A1357C" w:rsidRDefault="0048241C" w:rsidP="003E32D9">
      <w:pPr>
        <w:ind w:firstLine="720"/>
        <w:rPr>
          <w:rFonts w:ascii="Times New Roman" w:hAnsi="Times New Roman" w:cs="Times New Roman"/>
        </w:rPr>
      </w:pPr>
      <w:r w:rsidRPr="0048241C">
        <w:rPr>
          <w:rFonts w:ascii="Times New Roman" w:hAnsi="Times New Roman" w:cs="Times New Roman"/>
        </w:rPr>
        <w:t xml:space="preserve">Question 8 </w:t>
      </w:r>
      <w:r w:rsidR="00C25F13">
        <w:rPr>
          <w:rFonts w:ascii="Times New Roman" w:hAnsi="Times New Roman"/>
        </w:rPr>
        <w:t xml:space="preserve">was included in the survey to address an NCES policy interest in </w:t>
      </w:r>
      <w:r w:rsidRPr="0048241C">
        <w:rPr>
          <w:rFonts w:ascii="Times New Roman" w:hAnsi="Times New Roman" w:cs="Times New Roman"/>
        </w:rPr>
        <w:t xml:space="preserve">whether any students earned postsecondary credentials by taking dual credit courses. </w:t>
      </w:r>
    </w:p>
    <w:p w:rsidR="008665AC" w:rsidRDefault="0048241C" w:rsidP="008665AC">
      <w:pPr>
        <w:ind w:firstLine="720"/>
      </w:pPr>
      <w:r w:rsidRPr="0048241C">
        <w:rPr>
          <w:rFonts w:ascii="Times New Roman" w:hAnsi="Times New Roman" w:cs="Times New Roman"/>
        </w:rPr>
        <w:t xml:space="preserve">Question 9 asks whether students took any dual credit courses with an academic focus or a career and technical/vocational focus. </w:t>
      </w:r>
      <w:r w:rsidR="005B5226">
        <w:rPr>
          <w:rFonts w:ascii="Times New Roman" w:hAnsi="Times New Roman" w:cs="Times New Roman"/>
        </w:rPr>
        <w:t xml:space="preserve">It is used as a screening question for the remaining questions in the grid for each course focus. </w:t>
      </w:r>
      <w:r w:rsidR="00EA02BE">
        <w:rPr>
          <w:rFonts w:ascii="Times New Roman" w:hAnsi="Times New Roman" w:cs="Times New Roman"/>
        </w:rPr>
        <w:t>T</w:t>
      </w:r>
      <w:r w:rsidR="00C25F13" w:rsidRPr="005247E7">
        <w:rPr>
          <w:rFonts w:ascii="Times New Roman" w:hAnsi="Times New Roman" w:cs="Times New Roman"/>
        </w:rPr>
        <w:t xml:space="preserve">he wording of the section heading </w:t>
      </w:r>
      <w:r w:rsidR="00C25F13">
        <w:rPr>
          <w:rFonts w:ascii="Times New Roman" w:hAnsi="Times New Roman" w:cs="Times New Roman"/>
        </w:rPr>
        <w:t xml:space="preserve">and instructions </w:t>
      </w:r>
      <w:r w:rsidR="005B5226">
        <w:rPr>
          <w:rFonts w:ascii="Times New Roman" w:hAnsi="Times New Roman" w:cs="Times New Roman"/>
        </w:rPr>
        <w:t>above question 9</w:t>
      </w:r>
      <w:r w:rsidR="00EA02BE">
        <w:rPr>
          <w:rFonts w:ascii="Times New Roman" w:hAnsi="Times New Roman" w:cs="Times New Roman"/>
        </w:rPr>
        <w:t xml:space="preserve"> is included</w:t>
      </w:r>
      <w:r w:rsidR="005B5226">
        <w:rPr>
          <w:rFonts w:ascii="Times New Roman" w:hAnsi="Times New Roman" w:cs="Times New Roman"/>
        </w:rPr>
        <w:t xml:space="preserve"> </w:t>
      </w:r>
      <w:r w:rsidR="00C25F13" w:rsidRPr="005247E7">
        <w:rPr>
          <w:rFonts w:ascii="Times New Roman" w:hAnsi="Times New Roman" w:cs="Times New Roman"/>
        </w:rPr>
        <w:t>to emphasize that only dual credit courses</w:t>
      </w:r>
      <w:r w:rsidR="00EA02BE">
        <w:rPr>
          <w:rFonts w:ascii="Times New Roman" w:hAnsi="Times New Roman" w:cs="Times New Roman"/>
        </w:rPr>
        <w:t xml:space="preserve"> (not AP courses)</w:t>
      </w:r>
      <w:r w:rsidR="00C25F13" w:rsidRPr="005247E7">
        <w:rPr>
          <w:rFonts w:ascii="Times New Roman" w:hAnsi="Times New Roman" w:cs="Times New Roman"/>
        </w:rPr>
        <w:t xml:space="preserve"> should be included.</w:t>
      </w:r>
      <w:r w:rsidR="00C25F13">
        <w:rPr>
          <w:rFonts w:ascii="Times New Roman" w:hAnsi="Times New Roman" w:cs="Times New Roman"/>
        </w:rPr>
        <w:t xml:space="preserve"> In addition, we referenced the specific item on the definitions page for course focus.</w:t>
      </w:r>
      <w:r w:rsidR="008665AC" w:rsidRPr="008665AC">
        <w:rPr>
          <w:rFonts w:ascii="Times New Roman" w:hAnsi="Times New Roman" w:cs="Times New Roman"/>
        </w:rPr>
        <w:t xml:space="preserve"> </w:t>
      </w:r>
      <w:r w:rsidR="008665AC">
        <w:rPr>
          <w:rFonts w:ascii="Times New Roman" w:hAnsi="Times New Roman" w:cs="Times New Roman"/>
        </w:rPr>
        <w:t>Question 9 was asked in the 2002–03 survey.</w:t>
      </w:r>
    </w:p>
    <w:p w:rsidR="004C204C" w:rsidRPr="00AC2CDC" w:rsidRDefault="0048241C" w:rsidP="00AC2CDC">
      <w:pPr>
        <w:ind w:firstLine="720"/>
        <w:rPr>
          <w:rFonts w:ascii="Times New Roman" w:hAnsi="Times New Roman" w:cs="Times New Roman"/>
        </w:rPr>
      </w:pPr>
      <w:r w:rsidRPr="00AC2CDC">
        <w:rPr>
          <w:rFonts w:ascii="Times New Roman" w:hAnsi="Times New Roman" w:cs="Times New Roman"/>
        </w:rPr>
        <w:t xml:space="preserve">Question 10 asks respondents for the number of enrollments for courses taught primarily through distance education, </w:t>
      </w:r>
      <w:r w:rsidR="005B5226" w:rsidRPr="00AC2CDC">
        <w:rPr>
          <w:rFonts w:ascii="Times New Roman" w:hAnsi="Times New Roman" w:cs="Times New Roman"/>
        </w:rPr>
        <w:t xml:space="preserve">taught at locations for secondary school students, </w:t>
      </w:r>
      <w:r w:rsidRPr="00AC2CDC">
        <w:rPr>
          <w:rFonts w:ascii="Times New Roman" w:hAnsi="Times New Roman" w:cs="Times New Roman"/>
        </w:rPr>
        <w:t xml:space="preserve">and </w:t>
      </w:r>
      <w:r w:rsidR="005B5226" w:rsidRPr="00AC2CDC">
        <w:rPr>
          <w:rFonts w:ascii="Times New Roman" w:hAnsi="Times New Roman" w:cs="Times New Roman"/>
        </w:rPr>
        <w:t xml:space="preserve">taught </w:t>
      </w:r>
      <w:r w:rsidRPr="00AC2CDC">
        <w:rPr>
          <w:rFonts w:ascii="Times New Roman" w:hAnsi="Times New Roman" w:cs="Times New Roman"/>
        </w:rPr>
        <w:t xml:space="preserve">on the </w:t>
      </w:r>
      <w:r w:rsidR="008665AC" w:rsidRPr="00AC2CDC">
        <w:rPr>
          <w:rFonts w:ascii="Times New Roman" w:hAnsi="Times New Roman" w:cs="Times New Roman"/>
        </w:rPr>
        <w:t xml:space="preserve">campus of a </w:t>
      </w:r>
      <w:r w:rsidRPr="00AC2CDC">
        <w:rPr>
          <w:rFonts w:ascii="Times New Roman" w:hAnsi="Times New Roman" w:cs="Times New Roman"/>
        </w:rPr>
        <w:t>postsecondary</w:t>
      </w:r>
      <w:r w:rsidR="008665AC" w:rsidRPr="00AC2CDC">
        <w:rPr>
          <w:rFonts w:ascii="Times New Roman" w:hAnsi="Times New Roman" w:cs="Times New Roman"/>
        </w:rPr>
        <w:t xml:space="preserve"> institution.</w:t>
      </w:r>
      <w:r w:rsidRPr="00AC2CDC">
        <w:rPr>
          <w:rFonts w:ascii="Times New Roman" w:hAnsi="Times New Roman" w:cs="Times New Roman"/>
        </w:rPr>
        <w:t xml:space="preserve"> </w:t>
      </w:r>
    </w:p>
    <w:p w:rsidR="00F74D90" w:rsidRDefault="0048241C" w:rsidP="003E32D9">
      <w:pPr>
        <w:ind w:firstLine="720"/>
        <w:rPr>
          <w:rFonts w:ascii="Times New Roman" w:hAnsi="Times New Roman" w:cs="Times New Roman"/>
        </w:rPr>
      </w:pPr>
      <w:r w:rsidRPr="0048241C">
        <w:rPr>
          <w:rFonts w:ascii="Times New Roman" w:hAnsi="Times New Roman" w:cs="Times New Roman"/>
        </w:rPr>
        <w:t>Questions 11</w:t>
      </w:r>
      <w:r w:rsidR="00BD2175">
        <w:rPr>
          <w:rFonts w:ascii="Times New Roman" w:hAnsi="Times New Roman" w:cs="Times New Roman"/>
        </w:rPr>
        <w:t>–</w:t>
      </w:r>
      <w:r w:rsidRPr="0048241C">
        <w:rPr>
          <w:rFonts w:ascii="Times New Roman" w:hAnsi="Times New Roman" w:cs="Times New Roman"/>
        </w:rPr>
        <w:t>12 focus on dual credit courses taught on high school and postsecondary campuses. Question 11 asks about the instructors who taught the dual credit courses on the high school campus. Question 12 asks about the student composition of courses taught at the postsecondary institution.</w:t>
      </w:r>
      <w:r w:rsidR="004C3BED">
        <w:rPr>
          <w:rFonts w:ascii="Times New Roman" w:hAnsi="Times New Roman" w:cs="Times New Roman"/>
        </w:rPr>
        <w:t xml:space="preserve"> Questions 11 and 12 were both asked in the 2002</w:t>
      </w:r>
      <w:r w:rsidR="00BD2175">
        <w:rPr>
          <w:rFonts w:ascii="Times New Roman" w:hAnsi="Times New Roman" w:cs="Times New Roman"/>
        </w:rPr>
        <w:t>–</w:t>
      </w:r>
      <w:r w:rsidR="004C3BED">
        <w:rPr>
          <w:rFonts w:ascii="Times New Roman" w:hAnsi="Times New Roman" w:cs="Times New Roman"/>
        </w:rPr>
        <w:t>03 survey</w:t>
      </w:r>
      <w:r w:rsidR="004C3BED" w:rsidRPr="008665AC">
        <w:rPr>
          <w:rFonts w:ascii="Times New Roman" w:hAnsi="Times New Roman" w:cs="Times New Roman"/>
        </w:rPr>
        <w:t>.</w:t>
      </w:r>
      <w:r w:rsidR="008665AC" w:rsidRPr="008665AC">
        <w:rPr>
          <w:rFonts w:ascii="Times New Roman" w:hAnsi="Times New Roman" w:cs="Times New Roman"/>
        </w:rPr>
        <w:t xml:space="preserve"> </w:t>
      </w:r>
    </w:p>
    <w:p w:rsidR="000E1E47" w:rsidRPr="000E1E47" w:rsidRDefault="0048241C" w:rsidP="003E32D9">
      <w:pPr>
        <w:ind w:firstLine="720"/>
        <w:rPr>
          <w:rFonts w:ascii="Times New Roman" w:hAnsi="Times New Roman" w:cs="Times New Roman"/>
        </w:rPr>
      </w:pPr>
      <w:r w:rsidRPr="0048241C">
        <w:rPr>
          <w:rFonts w:ascii="Times New Roman" w:hAnsi="Times New Roman" w:cs="Times New Roman"/>
        </w:rPr>
        <w:t xml:space="preserve">Question 13 asks whether students were awarded postsecondary credit immediately upon course completion or were offered credit in escrow. </w:t>
      </w:r>
      <w:r w:rsidR="004C3BED">
        <w:rPr>
          <w:rFonts w:ascii="Times New Roman" w:hAnsi="Times New Roman" w:cs="Times New Roman"/>
        </w:rPr>
        <w:t>Question 13 was asked in the 2002</w:t>
      </w:r>
      <w:r w:rsidR="00BD2175">
        <w:rPr>
          <w:rFonts w:ascii="Times New Roman" w:hAnsi="Times New Roman" w:cs="Times New Roman"/>
        </w:rPr>
        <w:t>–</w:t>
      </w:r>
      <w:r w:rsidR="004C3BED">
        <w:rPr>
          <w:rFonts w:ascii="Times New Roman" w:hAnsi="Times New Roman" w:cs="Times New Roman"/>
        </w:rPr>
        <w:t>03 survey.</w:t>
      </w:r>
    </w:p>
    <w:p w:rsidR="000E1E47" w:rsidRDefault="0048241C" w:rsidP="00E423F0">
      <w:pPr>
        <w:ind w:firstLine="720"/>
        <w:rPr>
          <w:rFonts w:ascii="Times New Roman" w:hAnsi="Times New Roman" w:cs="Times New Roman"/>
          <w:b/>
        </w:rPr>
      </w:pPr>
      <w:r w:rsidRPr="0048241C">
        <w:rPr>
          <w:rFonts w:ascii="Times New Roman" w:hAnsi="Times New Roman" w:cs="Times New Roman"/>
        </w:rPr>
        <w:t>Questions 14</w:t>
      </w:r>
      <w:r w:rsidR="00BD2175">
        <w:rPr>
          <w:rFonts w:ascii="Times New Roman" w:hAnsi="Times New Roman" w:cs="Times New Roman"/>
        </w:rPr>
        <w:t>–</w:t>
      </w:r>
      <w:r w:rsidRPr="0048241C">
        <w:rPr>
          <w:rFonts w:ascii="Times New Roman" w:hAnsi="Times New Roman" w:cs="Times New Roman"/>
        </w:rPr>
        <w:t>16 are included in the survey to collect information about the costs of enrollment in dual credit courses. Question 14 asks whether students or their parents generally paid out of pocket for tuition, fees, and books related to dual credit courses. Question 15 asks whether the school or district paid any of these expenses for students taking dual credit courses. Question 16 asks who is responsible for transportation costs associated with participation in dual credit courses.</w:t>
      </w:r>
      <w:r w:rsidR="001018BB">
        <w:rPr>
          <w:rFonts w:ascii="Times New Roman" w:hAnsi="Times New Roman" w:cs="Times New Roman"/>
        </w:rPr>
        <w:t xml:space="preserve"> </w:t>
      </w:r>
    </w:p>
    <w:p w:rsidR="00DB2FCD" w:rsidRPr="00DB2FCD" w:rsidRDefault="00DB2FCD" w:rsidP="00DB2FCD">
      <w:pPr>
        <w:rPr>
          <w:rFonts w:ascii="Times New Roman" w:hAnsi="Times New Roman" w:cs="Times New Roman"/>
          <w:b/>
        </w:rPr>
      </w:pPr>
      <w:r>
        <w:rPr>
          <w:rFonts w:ascii="Times New Roman" w:hAnsi="Times New Roman" w:cs="Times New Roman"/>
          <w:b/>
        </w:rPr>
        <w:t>PEQIS</w:t>
      </w:r>
      <w:r w:rsidR="002733FF">
        <w:rPr>
          <w:rFonts w:ascii="Times New Roman" w:hAnsi="Times New Roman" w:cs="Times New Roman"/>
          <w:b/>
        </w:rPr>
        <w:t xml:space="preserve"> 18 Postsecondary Institution Survey</w:t>
      </w:r>
    </w:p>
    <w:p w:rsidR="00BD2175" w:rsidRDefault="009F5A25" w:rsidP="009F5A25">
      <w:pPr>
        <w:ind w:firstLine="720"/>
        <w:rPr>
          <w:rFonts w:ascii="Times New Roman" w:hAnsi="Times New Roman" w:cs="Times New Roman"/>
        </w:rPr>
      </w:pPr>
      <w:r>
        <w:rPr>
          <w:rFonts w:ascii="Times New Roman" w:hAnsi="Times New Roman" w:cs="Times New Roman"/>
        </w:rPr>
        <w:t xml:space="preserve">A </w:t>
      </w:r>
      <w:r w:rsidR="003E32D9">
        <w:rPr>
          <w:rFonts w:ascii="Times New Roman" w:hAnsi="Times New Roman" w:cs="Times New Roman"/>
        </w:rPr>
        <w:t>questionnaire</w:t>
      </w:r>
      <w:r w:rsidR="001D26E8">
        <w:rPr>
          <w:rFonts w:ascii="Times New Roman" w:hAnsi="Times New Roman" w:cs="Times New Roman"/>
        </w:rPr>
        <w:t xml:space="preserve">, </w:t>
      </w:r>
      <w:r>
        <w:rPr>
          <w:rFonts w:ascii="Times New Roman" w:hAnsi="Times New Roman" w:cs="Times New Roman"/>
        </w:rPr>
        <w:t xml:space="preserve">cover letter (Attachment </w:t>
      </w:r>
      <w:r w:rsidR="001D26E8">
        <w:rPr>
          <w:rFonts w:ascii="Times New Roman" w:hAnsi="Times New Roman" w:cs="Times New Roman"/>
        </w:rPr>
        <w:t>8</w:t>
      </w:r>
      <w:r>
        <w:rPr>
          <w:rFonts w:ascii="Times New Roman" w:hAnsi="Times New Roman" w:cs="Times New Roman"/>
        </w:rPr>
        <w:t xml:space="preserve">), and </w:t>
      </w:r>
      <w:r w:rsidR="00AC53C4">
        <w:rPr>
          <w:rFonts w:ascii="Times New Roman" w:hAnsi="Times New Roman" w:cs="Times New Roman"/>
        </w:rPr>
        <w:t>W</w:t>
      </w:r>
      <w:r>
        <w:rPr>
          <w:rFonts w:ascii="Times New Roman" w:hAnsi="Times New Roman" w:cs="Times New Roman"/>
        </w:rPr>
        <w:t>eb information sheet (Attachment</w:t>
      </w:r>
      <w:r w:rsidR="003E32D9">
        <w:rPr>
          <w:rFonts w:ascii="Times New Roman" w:hAnsi="Times New Roman" w:cs="Times New Roman"/>
        </w:rPr>
        <w:t xml:space="preserve"> </w:t>
      </w:r>
      <w:r w:rsidR="001D26E8">
        <w:rPr>
          <w:rFonts w:ascii="Times New Roman" w:hAnsi="Times New Roman" w:cs="Times New Roman"/>
        </w:rPr>
        <w:t>9</w:t>
      </w:r>
      <w:r>
        <w:rPr>
          <w:rFonts w:ascii="Times New Roman" w:hAnsi="Times New Roman" w:cs="Times New Roman"/>
        </w:rPr>
        <w:t xml:space="preserve">) will be mailed to each </w:t>
      </w:r>
      <w:r w:rsidR="000D6BAE">
        <w:rPr>
          <w:rFonts w:ascii="Times New Roman" w:hAnsi="Times New Roman" w:cs="Times New Roman"/>
        </w:rPr>
        <w:t>institution</w:t>
      </w:r>
      <w:r w:rsidR="0080794F">
        <w:rPr>
          <w:rFonts w:ascii="Times New Roman" w:hAnsi="Times New Roman" w:cs="Times New Roman"/>
        </w:rPr>
        <w:t xml:space="preserve"> in the </w:t>
      </w:r>
      <w:r w:rsidR="000D6BAE">
        <w:rPr>
          <w:rFonts w:ascii="Times New Roman" w:hAnsi="Times New Roman" w:cs="Times New Roman"/>
        </w:rPr>
        <w:t>PEQIS</w:t>
      </w:r>
      <w:r w:rsidR="0080794F">
        <w:rPr>
          <w:rFonts w:ascii="Times New Roman" w:hAnsi="Times New Roman" w:cs="Times New Roman"/>
        </w:rPr>
        <w:t xml:space="preserve"> panel</w:t>
      </w:r>
      <w:r>
        <w:rPr>
          <w:rFonts w:ascii="Times New Roman" w:hAnsi="Times New Roman" w:cs="Times New Roman"/>
        </w:rPr>
        <w:t>.</w:t>
      </w:r>
      <w:r w:rsidR="0080794F" w:rsidRPr="0080794F">
        <w:rPr>
          <w:rFonts w:ascii="Times New Roman" w:hAnsi="Times New Roman" w:cs="Times New Roman"/>
        </w:rPr>
        <w:t xml:space="preserve"> </w:t>
      </w:r>
      <w:r>
        <w:rPr>
          <w:rFonts w:ascii="Times New Roman" w:hAnsi="Times New Roman" w:cs="Times New Roman"/>
        </w:rPr>
        <w:t>The cover letter requests the participation of the institution and introduces the purpose and content of the survey. It also notes that the survey should be completed by the person most knowledgeable about dual enrollment at the institution. The cover letter also includes instructions on how to complete and return the survey, as well as con</w:t>
      </w:r>
      <w:r w:rsidR="00532287">
        <w:rPr>
          <w:rFonts w:ascii="Times New Roman" w:hAnsi="Times New Roman" w:cs="Times New Roman"/>
        </w:rPr>
        <w:t>tact information in case of questions</w:t>
      </w:r>
      <w:r>
        <w:rPr>
          <w:rFonts w:ascii="Times New Roman" w:hAnsi="Times New Roman" w:cs="Times New Roman"/>
        </w:rPr>
        <w:t xml:space="preserve">. The </w:t>
      </w:r>
      <w:r w:rsidR="00AC53C4">
        <w:rPr>
          <w:rFonts w:ascii="Times New Roman" w:hAnsi="Times New Roman" w:cs="Times New Roman"/>
        </w:rPr>
        <w:t>W</w:t>
      </w:r>
      <w:r>
        <w:rPr>
          <w:rFonts w:ascii="Times New Roman" w:hAnsi="Times New Roman" w:cs="Times New Roman"/>
        </w:rPr>
        <w:t xml:space="preserve">eb information sheet is included in the mailing to provide information about the option to complete a </w:t>
      </w:r>
      <w:r w:rsidR="00AC53C4">
        <w:rPr>
          <w:rFonts w:ascii="Times New Roman" w:hAnsi="Times New Roman" w:cs="Times New Roman"/>
        </w:rPr>
        <w:t>W</w:t>
      </w:r>
      <w:r>
        <w:rPr>
          <w:rFonts w:ascii="Times New Roman" w:hAnsi="Times New Roman" w:cs="Times New Roman"/>
        </w:rPr>
        <w:t xml:space="preserve">eb version of the survey. On the cover of the survey, respondents are assured that their participation is voluntary and their answers may not be disclosed or used in identifiable form for any other purpose unless compelled by law (Education Sciences Reform Act of 2002, </w:t>
      </w:r>
      <w:r w:rsidR="001E43F3" w:rsidRPr="00E371C4">
        <w:rPr>
          <w:rFonts w:ascii="Times New Roman" w:hAnsi="Times New Roman" w:cs="Times New Roman"/>
          <w:bCs/>
          <w:szCs w:val="24"/>
        </w:rPr>
        <w:t>20 U.S.C</w:t>
      </w:r>
      <w:r w:rsidR="001E43F3">
        <w:rPr>
          <w:rFonts w:ascii="Times New Roman" w:hAnsi="Times New Roman" w:cs="Times New Roman"/>
          <w:bCs/>
          <w:szCs w:val="24"/>
        </w:rPr>
        <w:t>.</w:t>
      </w:r>
      <w:r w:rsidR="001E43F3" w:rsidRPr="00E371C4">
        <w:rPr>
          <w:rFonts w:ascii="Times New Roman" w:hAnsi="Times New Roman" w:cs="Times New Roman"/>
          <w:bCs/>
          <w:szCs w:val="24"/>
        </w:rPr>
        <w:t xml:space="preserve"> § 9573</w:t>
      </w:r>
      <w:r>
        <w:rPr>
          <w:rFonts w:ascii="Times New Roman" w:hAnsi="Times New Roman" w:cs="Times New Roman"/>
        </w:rPr>
        <w:t xml:space="preserve">). </w:t>
      </w:r>
    </w:p>
    <w:p w:rsidR="009F5A25" w:rsidRDefault="009F5A25" w:rsidP="009F5A25">
      <w:pPr>
        <w:ind w:firstLine="720"/>
        <w:rPr>
          <w:rFonts w:ascii="Times New Roman" w:hAnsi="Times New Roman" w:cs="Times New Roman"/>
        </w:rPr>
      </w:pPr>
      <w:r>
        <w:rPr>
          <w:rFonts w:ascii="Times New Roman" w:hAnsi="Times New Roman" w:cs="Times New Roman"/>
        </w:rPr>
        <w:t xml:space="preserve">All sampled institutions that do not complete a survey within 3 weeks after the initial mailing of the survey will receive a </w:t>
      </w:r>
      <w:proofErr w:type="spellStart"/>
      <w:r>
        <w:rPr>
          <w:rFonts w:ascii="Times New Roman" w:hAnsi="Times New Roman" w:cs="Times New Roman"/>
        </w:rPr>
        <w:t>nonresponse</w:t>
      </w:r>
      <w:proofErr w:type="spellEnd"/>
      <w:r>
        <w:rPr>
          <w:rFonts w:ascii="Times New Roman" w:hAnsi="Times New Roman" w:cs="Times New Roman"/>
        </w:rPr>
        <w:t xml:space="preserve"> follow-up letter (Attachment </w:t>
      </w:r>
      <w:r w:rsidR="001D26E8">
        <w:rPr>
          <w:rFonts w:ascii="Times New Roman" w:hAnsi="Times New Roman" w:cs="Times New Roman"/>
        </w:rPr>
        <w:t>10</w:t>
      </w:r>
      <w:r>
        <w:rPr>
          <w:rFonts w:ascii="Times New Roman" w:hAnsi="Times New Roman" w:cs="Times New Roman"/>
        </w:rPr>
        <w:t>)</w:t>
      </w:r>
      <w:r w:rsidR="00BD2175">
        <w:rPr>
          <w:rFonts w:ascii="Times New Roman" w:hAnsi="Times New Roman" w:cs="Times New Roman"/>
        </w:rPr>
        <w:t>,</w:t>
      </w:r>
      <w:r>
        <w:rPr>
          <w:rFonts w:ascii="Times New Roman" w:hAnsi="Times New Roman" w:cs="Times New Roman"/>
        </w:rPr>
        <w:t xml:space="preserve"> another copy of the </w:t>
      </w:r>
      <w:r w:rsidR="00AC53C4">
        <w:rPr>
          <w:rFonts w:ascii="Times New Roman" w:hAnsi="Times New Roman" w:cs="Times New Roman"/>
        </w:rPr>
        <w:t>W</w:t>
      </w:r>
      <w:r>
        <w:rPr>
          <w:rFonts w:ascii="Times New Roman" w:hAnsi="Times New Roman" w:cs="Times New Roman"/>
        </w:rPr>
        <w:t>eb information sheet</w:t>
      </w:r>
      <w:r w:rsidR="00BD2175">
        <w:rPr>
          <w:rFonts w:ascii="Times New Roman" w:hAnsi="Times New Roman" w:cs="Times New Roman"/>
        </w:rPr>
        <w:t>,</w:t>
      </w:r>
      <w:r>
        <w:rPr>
          <w:rFonts w:ascii="Times New Roman" w:hAnsi="Times New Roman" w:cs="Times New Roman"/>
        </w:rPr>
        <w:t xml:space="preserve"> and a brief, scripted telephone call (Attachment </w:t>
      </w:r>
      <w:r w:rsidR="001D26E8">
        <w:rPr>
          <w:rFonts w:ascii="Times New Roman" w:hAnsi="Times New Roman" w:cs="Times New Roman"/>
        </w:rPr>
        <w:t>11</w:t>
      </w:r>
      <w:r>
        <w:rPr>
          <w:rFonts w:ascii="Times New Roman" w:hAnsi="Times New Roman" w:cs="Times New Roman"/>
        </w:rPr>
        <w:t>) prompting the respondent to return a completed survey via the Web</w:t>
      </w:r>
      <w:r w:rsidR="00B813F2">
        <w:rPr>
          <w:rFonts w:ascii="Times New Roman" w:hAnsi="Times New Roman" w:cs="Times New Roman"/>
        </w:rPr>
        <w:t>, fax,</w:t>
      </w:r>
      <w:r>
        <w:rPr>
          <w:rFonts w:ascii="Times New Roman" w:hAnsi="Times New Roman" w:cs="Times New Roman"/>
        </w:rPr>
        <w:t xml:space="preserve"> or mail. </w:t>
      </w:r>
    </w:p>
    <w:p w:rsidR="00BD2175" w:rsidRPr="00800F35" w:rsidRDefault="00375F97" w:rsidP="00EA48A7">
      <w:pPr>
        <w:ind w:firstLine="720"/>
        <w:rPr>
          <w:rFonts w:ascii="Times New Roman" w:hAnsi="Times New Roman" w:cs="Times New Roman"/>
        </w:rPr>
      </w:pPr>
      <w:r w:rsidRPr="00800F35">
        <w:rPr>
          <w:rFonts w:ascii="Times New Roman" w:hAnsi="Times New Roman" w:cs="Times New Roman"/>
        </w:rPr>
        <w:lastRenderedPageBreak/>
        <w:t xml:space="preserve">The survey is designed to collect basic information about dual enrollment courses offered to high school students by postsecondary institutions. This includes courses within and outside of a formal dual enrollment program. </w:t>
      </w:r>
      <w:r w:rsidR="0045703A">
        <w:rPr>
          <w:rFonts w:ascii="Times New Roman" w:hAnsi="Times New Roman" w:cs="Times New Roman"/>
        </w:rPr>
        <w:t>The instructions and definitions page of the questionnaire includes instructions for completing the survey, including the reporting time period. Definitions of key terms and concepts are also included on this page, including the definition of a dual enrollment program and what is meant by “</w:t>
      </w:r>
      <w:r w:rsidR="0045703A" w:rsidRPr="00AF0C77">
        <w:rPr>
          <w:rFonts w:ascii="Times New Roman" w:hAnsi="Times New Roman" w:cs="Times New Roman"/>
        </w:rPr>
        <w:t>within</w:t>
      </w:r>
      <w:r w:rsidR="0045703A">
        <w:rPr>
          <w:rFonts w:ascii="Times New Roman" w:hAnsi="Times New Roman" w:cs="Times New Roman"/>
        </w:rPr>
        <w:t xml:space="preserve">” and “outside” of a dual enrollment program. </w:t>
      </w:r>
      <w:r w:rsidR="00BD2175" w:rsidRPr="00800F35">
        <w:rPr>
          <w:rFonts w:ascii="Times New Roman" w:hAnsi="Times New Roman" w:cs="Times New Roman"/>
        </w:rPr>
        <w:t xml:space="preserve">Below is a description of each question on the survey. </w:t>
      </w:r>
    </w:p>
    <w:p w:rsidR="00EA48A7" w:rsidRPr="00800F35" w:rsidRDefault="00443A39" w:rsidP="00EA48A7">
      <w:pPr>
        <w:ind w:firstLine="720"/>
        <w:rPr>
          <w:rFonts w:ascii="Times New Roman" w:hAnsi="Times New Roman" w:cs="Times New Roman"/>
        </w:rPr>
      </w:pPr>
      <w:r w:rsidRPr="00800F35">
        <w:rPr>
          <w:rFonts w:ascii="Times New Roman" w:hAnsi="Times New Roman" w:cs="Times New Roman"/>
        </w:rPr>
        <w:t>The first question is asked to determine if any high school students took courses during the previous academic year for college credit through the institution. Respondents that answer “no” are asked to return the survey without answering any additional questions. This question was also asked in the 2002</w:t>
      </w:r>
      <w:r w:rsidR="00BD2175" w:rsidRPr="00800F35">
        <w:rPr>
          <w:rFonts w:ascii="Times New Roman" w:hAnsi="Times New Roman" w:cs="Times New Roman"/>
        </w:rPr>
        <w:t>–</w:t>
      </w:r>
      <w:r w:rsidRPr="00800F35">
        <w:rPr>
          <w:rFonts w:ascii="Times New Roman" w:hAnsi="Times New Roman" w:cs="Times New Roman"/>
        </w:rPr>
        <w:t xml:space="preserve">03 survey on Dual Enrollment Programs and Courses for High School Students. </w:t>
      </w:r>
    </w:p>
    <w:p w:rsidR="009F5A25" w:rsidRPr="00800F35" w:rsidRDefault="00443A39" w:rsidP="00443A39">
      <w:pPr>
        <w:ind w:firstLine="720"/>
        <w:rPr>
          <w:rFonts w:ascii="Times New Roman" w:hAnsi="Times New Roman" w:cs="Times New Roman"/>
        </w:rPr>
      </w:pPr>
      <w:r w:rsidRPr="00800F35">
        <w:rPr>
          <w:rFonts w:ascii="Times New Roman" w:hAnsi="Times New Roman" w:cs="Times New Roman"/>
        </w:rPr>
        <w:t>Questions 2</w:t>
      </w:r>
      <w:r w:rsidR="00BD2175" w:rsidRPr="00800F35">
        <w:rPr>
          <w:rFonts w:ascii="Times New Roman" w:hAnsi="Times New Roman" w:cs="Times New Roman"/>
        </w:rPr>
        <w:t>–</w:t>
      </w:r>
      <w:r w:rsidRPr="00800F35">
        <w:rPr>
          <w:rFonts w:ascii="Times New Roman" w:hAnsi="Times New Roman" w:cs="Times New Roman"/>
        </w:rPr>
        <w:t xml:space="preserve">3 are asked to gather information about courses offered to high school students outside of a dual enrollment program. Question 2 asks if any high </w:t>
      </w:r>
      <w:r w:rsidR="00527591" w:rsidRPr="00527591">
        <w:rPr>
          <w:rFonts w:ascii="Times New Roman" w:hAnsi="Times New Roman" w:cs="Times New Roman"/>
        </w:rPr>
        <w:t xml:space="preserve">school students took such a course, and Question 3 asks how many students took these courses. Questions 2 and 3 were both asked in the 2002–03 survey. </w:t>
      </w:r>
    </w:p>
    <w:p w:rsidR="00443A39" w:rsidRPr="00800F35" w:rsidRDefault="00527591" w:rsidP="00443A39">
      <w:pPr>
        <w:ind w:firstLine="576"/>
        <w:rPr>
          <w:rFonts w:ascii="Times New Roman" w:hAnsi="Times New Roman" w:cs="Times New Roman"/>
        </w:rPr>
      </w:pPr>
      <w:r w:rsidRPr="00527591">
        <w:rPr>
          <w:rFonts w:ascii="Times New Roman" w:hAnsi="Times New Roman" w:cs="Times New Roman"/>
        </w:rPr>
        <w:t xml:space="preserve">Question 4 is included to determine if high school students took courses for college credit through the institution that were part of a dual enrollment program. For the remaining survey questions, respondents are asked to consider only courses within a dual enrollment program. These questions are designed to collect characteristics of the dual enrollment courses (e.g., location and type of teacher) that would not be meaningful for courses outside an organized program (e.g., high school students taking courses on their own who are treated as regular college students). Question 5 asks for the unduplicated head count of high school students taking these courses. Questions 4 and 5 were asked in the 2002–03 survey. </w:t>
      </w:r>
    </w:p>
    <w:p w:rsidR="00443A39" w:rsidRPr="00800F35" w:rsidRDefault="00527591" w:rsidP="00CF2126">
      <w:pPr>
        <w:ind w:firstLine="576"/>
        <w:rPr>
          <w:rFonts w:ascii="Times New Roman" w:hAnsi="Times New Roman" w:cs="Times New Roman"/>
        </w:rPr>
      </w:pPr>
      <w:r w:rsidRPr="00527591">
        <w:rPr>
          <w:rFonts w:ascii="Times New Roman" w:hAnsi="Times New Roman" w:cs="Times New Roman"/>
        </w:rPr>
        <w:t>Question 6 asks whether the dual enrollment courses were taught at the college</w:t>
      </w:r>
      <w:r w:rsidR="003F5FE7">
        <w:rPr>
          <w:rFonts w:ascii="Times New Roman" w:hAnsi="Times New Roman" w:cs="Times New Roman"/>
        </w:rPr>
        <w:t xml:space="preserve"> campus, high school campus,</w:t>
      </w:r>
      <w:r w:rsidRPr="00527591">
        <w:rPr>
          <w:rFonts w:ascii="Times New Roman" w:hAnsi="Times New Roman" w:cs="Times New Roman"/>
        </w:rPr>
        <w:t xml:space="preserve"> through distance education</w:t>
      </w:r>
      <w:r w:rsidR="003F5FE7">
        <w:rPr>
          <w:rFonts w:ascii="Times New Roman" w:hAnsi="Times New Roman" w:cs="Times New Roman"/>
        </w:rPr>
        <w:t xml:space="preserve"> or some other location</w:t>
      </w:r>
      <w:r w:rsidRPr="00527591">
        <w:rPr>
          <w:rFonts w:ascii="Times New Roman" w:hAnsi="Times New Roman" w:cs="Times New Roman"/>
        </w:rPr>
        <w:t xml:space="preserve">. A similar question was asked in the 2002–03 survey. Prior to the pretest, this question was edited to account for courses taught via distance education. </w:t>
      </w:r>
    </w:p>
    <w:p w:rsidR="00443A39" w:rsidRPr="00800F35" w:rsidRDefault="00527591" w:rsidP="00443A39">
      <w:pPr>
        <w:ind w:firstLine="576"/>
        <w:rPr>
          <w:rFonts w:ascii="Times New Roman" w:hAnsi="Times New Roman" w:cs="Times New Roman"/>
        </w:rPr>
      </w:pPr>
      <w:r w:rsidRPr="00527591">
        <w:rPr>
          <w:rFonts w:ascii="Times New Roman" w:hAnsi="Times New Roman" w:cs="Times New Roman"/>
        </w:rPr>
        <w:t xml:space="preserve">Questions 7 and 8 collect information about the dual enrollment program instructors, and instructor qualifications for dual enrollment courses taught on a high school campus. Question 7 asks who the instructors were, and Question 8 asks how the minimum qualifications for high school instructors who taught college-level courses compare to those required for college instructors. Questions 7 and 8 were asked in the 2002–03 survey. </w:t>
      </w:r>
    </w:p>
    <w:p w:rsidR="00443A39" w:rsidRPr="00800F35" w:rsidRDefault="00527591" w:rsidP="00443A39">
      <w:pPr>
        <w:ind w:firstLine="576"/>
        <w:rPr>
          <w:rFonts w:ascii="Times New Roman" w:hAnsi="Times New Roman" w:cs="Times New Roman"/>
        </w:rPr>
      </w:pPr>
      <w:r w:rsidRPr="00527591">
        <w:rPr>
          <w:rFonts w:ascii="Times New Roman" w:hAnsi="Times New Roman" w:cs="Times New Roman"/>
        </w:rPr>
        <w:t xml:space="preserve">Questions 9–11 ask about </w:t>
      </w:r>
      <w:proofErr w:type="spellStart"/>
      <w:r w:rsidRPr="00527591">
        <w:rPr>
          <w:rFonts w:ascii="Times New Roman" w:hAnsi="Times New Roman" w:cs="Times New Roman"/>
        </w:rPr>
        <w:t>coursetaking</w:t>
      </w:r>
      <w:proofErr w:type="spellEnd"/>
      <w:r w:rsidRPr="00527591">
        <w:rPr>
          <w:rFonts w:ascii="Times New Roman" w:hAnsi="Times New Roman" w:cs="Times New Roman"/>
        </w:rPr>
        <w:t xml:space="preserve"> patterns for high school students participating in dual enrollment program(s) at the institution. Question 9 asks about the typical number of courses taken per academic term, and Question 10 asks for the maximum number of courses allowed per academic term. Question 11 asks when high school students were generally awarded college credit for courses taken through the dual enrol</w:t>
      </w:r>
      <w:r w:rsidR="00532287">
        <w:rPr>
          <w:rFonts w:ascii="Times New Roman" w:hAnsi="Times New Roman" w:cs="Times New Roman"/>
        </w:rPr>
        <w:t>lment</w:t>
      </w:r>
      <w:r w:rsidR="003F5FE7">
        <w:rPr>
          <w:rFonts w:ascii="Times New Roman" w:hAnsi="Times New Roman" w:cs="Times New Roman"/>
        </w:rPr>
        <w:t xml:space="preserve"> program(s). Questions 9-</w:t>
      </w:r>
      <w:r w:rsidR="00532287">
        <w:rPr>
          <w:rFonts w:ascii="Times New Roman" w:hAnsi="Times New Roman" w:cs="Times New Roman"/>
        </w:rPr>
        <w:t>11</w:t>
      </w:r>
      <w:r w:rsidRPr="00527591">
        <w:rPr>
          <w:rFonts w:ascii="Times New Roman" w:hAnsi="Times New Roman" w:cs="Times New Roman"/>
        </w:rPr>
        <w:t xml:space="preserve"> were asked in the 2002–03 survey. </w:t>
      </w:r>
    </w:p>
    <w:p w:rsidR="00443A39" w:rsidRPr="00800F35" w:rsidRDefault="00527591" w:rsidP="00443A39">
      <w:pPr>
        <w:ind w:firstLine="576"/>
        <w:rPr>
          <w:rFonts w:ascii="Times New Roman" w:hAnsi="Times New Roman" w:cs="Times New Roman"/>
        </w:rPr>
      </w:pPr>
      <w:r w:rsidRPr="00527591">
        <w:rPr>
          <w:rFonts w:ascii="Times New Roman" w:hAnsi="Times New Roman" w:cs="Times New Roman"/>
        </w:rPr>
        <w:t>Questions 12–14 are included in the survey to gather information about the eligibility requirements for high school students to participate in dual enrollment programs at the institution. These questions were asked in the 2002–03 survey. Question 12 collect</w:t>
      </w:r>
      <w:r w:rsidR="00532287">
        <w:rPr>
          <w:rFonts w:ascii="Times New Roman" w:hAnsi="Times New Roman" w:cs="Times New Roman"/>
        </w:rPr>
        <w:t>s</w:t>
      </w:r>
      <w:r w:rsidRPr="00527591">
        <w:rPr>
          <w:rFonts w:ascii="Times New Roman" w:hAnsi="Times New Roman" w:cs="Times New Roman"/>
        </w:rPr>
        <w:t xml:space="preserve"> information about grade level requirements. Question 13 asks about other eligibility requirements for students to participate in the dual enrollment program(s). </w:t>
      </w:r>
      <w:r w:rsidR="00443A39" w:rsidRPr="00800F35">
        <w:rPr>
          <w:rFonts w:ascii="Times New Roman" w:hAnsi="Times New Roman" w:cs="Times New Roman"/>
        </w:rPr>
        <w:t xml:space="preserve">Question 14 asks if the academic requirements for high school students to participate in the dual enrollment program(s) are the same or different from the admission standards for regular college students. </w:t>
      </w:r>
    </w:p>
    <w:p w:rsidR="00443A39" w:rsidRPr="00800F35" w:rsidRDefault="00443A39" w:rsidP="00443A39">
      <w:pPr>
        <w:ind w:firstLine="576"/>
        <w:rPr>
          <w:rFonts w:ascii="Times New Roman" w:hAnsi="Times New Roman" w:cs="Times New Roman"/>
        </w:rPr>
      </w:pPr>
      <w:r w:rsidRPr="00800F35">
        <w:rPr>
          <w:rFonts w:ascii="Times New Roman" w:hAnsi="Times New Roman" w:cs="Times New Roman"/>
        </w:rPr>
        <w:t xml:space="preserve">Question 15 asks whether the curriculum for courses in the dual enrollment program(s) are specially designed for high school students or the same as the curriculum for regular college students. </w:t>
      </w:r>
      <w:r w:rsidR="00622D7A" w:rsidRPr="00800F35">
        <w:rPr>
          <w:rFonts w:ascii="Times New Roman" w:hAnsi="Times New Roman" w:cs="Times New Roman"/>
        </w:rPr>
        <w:t>Question 15 was also asking during the 2002</w:t>
      </w:r>
      <w:r w:rsidR="00BD2175" w:rsidRPr="00800F35">
        <w:rPr>
          <w:rFonts w:ascii="Times New Roman" w:hAnsi="Times New Roman" w:cs="Times New Roman"/>
        </w:rPr>
        <w:t>–</w:t>
      </w:r>
      <w:r w:rsidR="00622D7A" w:rsidRPr="00800F35">
        <w:rPr>
          <w:rFonts w:ascii="Times New Roman" w:hAnsi="Times New Roman" w:cs="Times New Roman"/>
        </w:rPr>
        <w:t xml:space="preserve">03 data collection. </w:t>
      </w:r>
    </w:p>
    <w:p w:rsidR="00A2117B" w:rsidRPr="00AC2CDC" w:rsidRDefault="00443A39" w:rsidP="00AC2CDC">
      <w:pPr>
        <w:ind w:firstLine="576"/>
        <w:rPr>
          <w:rFonts w:ascii="Times New Roman" w:hAnsi="Times New Roman" w:cs="Times New Roman"/>
        </w:rPr>
      </w:pPr>
      <w:r w:rsidRPr="00AC2CDC">
        <w:rPr>
          <w:rFonts w:ascii="Times New Roman" w:hAnsi="Times New Roman" w:cs="Times New Roman"/>
        </w:rPr>
        <w:lastRenderedPageBreak/>
        <w:t>Questions 16</w:t>
      </w:r>
      <w:r w:rsidR="00BD2175" w:rsidRPr="00AC2CDC">
        <w:rPr>
          <w:rFonts w:ascii="Times New Roman" w:hAnsi="Times New Roman" w:cs="Times New Roman"/>
        </w:rPr>
        <w:t>–</w:t>
      </w:r>
      <w:r w:rsidRPr="00AC2CDC">
        <w:rPr>
          <w:rFonts w:ascii="Times New Roman" w:hAnsi="Times New Roman" w:cs="Times New Roman"/>
        </w:rPr>
        <w:t xml:space="preserve">18 are included in the survey to collect information about the costs of </w:t>
      </w:r>
      <w:r w:rsidR="003E32D9" w:rsidRPr="00AC2CDC">
        <w:rPr>
          <w:rFonts w:ascii="Times New Roman" w:hAnsi="Times New Roman" w:cs="Times New Roman"/>
        </w:rPr>
        <w:t xml:space="preserve">participation </w:t>
      </w:r>
      <w:r w:rsidRPr="00AC2CDC">
        <w:rPr>
          <w:rFonts w:ascii="Times New Roman" w:hAnsi="Times New Roman" w:cs="Times New Roman"/>
        </w:rPr>
        <w:t xml:space="preserve">in dual enrollment programs. </w:t>
      </w:r>
      <w:r w:rsidR="00622D7A" w:rsidRPr="00AC2CDC">
        <w:rPr>
          <w:rFonts w:ascii="Times New Roman" w:hAnsi="Times New Roman" w:cs="Times New Roman"/>
        </w:rPr>
        <w:t>Questions 17 and 18 were asked during the 2002</w:t>
      </w:r>
      <w:r w:rsidR="00BD2175" w:rsidRPr="00AC2CDC">
        <w:rPr>
          <w:rFonts w:ascii="Times New Roman" w:hAnsi="Times New Roman" w:cs="Times New Roman"/>
        </w:rPr>
        <w:t>–</w:t>
      </w:r>
      <w:r w:rsidR="00622D7A" w:rsidRPr="00AC2CDC">
        <w:rPr>
          <w:rFonts w:ascii="Times New Roman" w:hAnsi="Times New Roman" w:cs="Times New Roman"/>
        </w:rPr>
        <w:t>03 data collection, and q</w:t>
      </w:r>
      <w:r w:rsidRPr="00AC2CDC">
        <w:rPr>
          <w:rFonts w:ascii="Times New Roman" w:hAnsi="Times New Roman" w:cs="Times New Roman"/>
        </w:rPr>
        <w:t>uestion 16 is a new question added to the survey based on respondent feedback during</w:t>
      </w:r>
      <w:r w:rsidR="00EA0AF5">
        <w:rPr>
          <w:rFonts w:ascii="Times New Roman" w:hAnsi="Times New Roman" w:cs="Times New Roman"/>
        </w:rPr>
        <w:t xml:space="preserve"> survey development</w:t>
      </w:r>
      <w:r w:rsidRPr="00AC2CDC">
        <w:rPr>
          <w:rFonts w:ascii="Times New Roman" w:hAnsi="Times New Roman" w:cs="Times New Roman"/>
        </w:rPr>
        <w:t xml:space="preserve">. </w:t>
      </w:r>
      <w:r w:rsidR="00800F35" w:rsidRPr="00AC2CDC">
        <w:rPr>
          <w:rFonts w:ascii="Times New Roman" w:hAnsi="Times New Roman" w:cs="Times New Roman"/>
        </w:rPr>
        <w:t xml:space="preserve">Several respondents noted their institution discounts the rate of tuition for high school students participating in dual enrollment programs. Because the cost of dual enrollment program(s) is important to OESE, Question 16 was added to explicitly gather information about tuition discounts. </w:t>
      </w:r>
      <w:r w:rsidRPr="00AC2CDC">
        <w:rPr>
          <w:rFonts w:ascii="Times New Roman" w:hAnsi="Times New Roman" w:cs="Times New Roman"/>
        </w:rPr>
        <w:t>Question 17 asks which sources paid tuition for the college-level courses taken in the dual enrollment programs. Question 18 asks whether high school students or their parents generally paid out of pocket for tuition, fee</w:t>
      </w:r>
      <w:r w:rsidR="00800F35" w:rsidRPr="00AC2CDC">
        <w:rPr>
          <w:rFonts w:ascii="Times New Roman" w:hAnsi="Times New Roman" w:cs="Times New Roman"/>
        </w:rPr>
        <w:t>s</w:t>
      </w:r>
      <w:r w:rsidRPr="00AC2CDC">
        <w:rPr>
          <w:rFonts w:ascii="Times New Roman" w:hAnsi="Times New Roman" w:cs="Times New Roman"/>
        </w:rPr>
        <w:t xml:space="preserve">, or books related to these courses. </w:t>
      </w:r>
    </w:p>
    <w:p w:rsidR="00443A39" w:rsidRPr="00800F35" w:rsidRDefault="00443A39" w:rsidP="00443A39">
      <w:pPr>
        <w:ind w:firstLine="576"/>
        <w:rPr>
          <w:rFonts w:ascii="Times New Roman" w:hAnsi="Times New Roman" w:cs="Times New Roman"/>
        </w:rPr>
      </w:pPr>
      <w:r w:rsidRPr="00800F35">
        <w:rPr>
          <w:rFonts w:ascii="Times New Roman" w:hAnsi="Times New Roman" w:cs="Times New Roman"/>
        </w:rPr>
        <w:t xml:space="preserve">Question 19 </w:t>
      </w:r>
      <w:r w:rsidR="00622D7A" w:rsidRPr="00800F35">
        <w:rPr>
          <w:rFonts w:ascii="Times New Roman" w:hAnsi="Times New Roman" w:cs="Times New Roman"/>
        </w:rPr>
        <w:t xml:space="preserve">is a new question </w:t>
      </w:r>
      <w:r w:rsidRPr="00800F35">
        <w:rPr>
          <w:rFonts w:ascii="Times New Roman" w:hAnsi="Times New Roman" w:cs="Times New Roman"/>
        </w:rPr>
        <w:t xml:space="preserve">added to address an NCES policy interest. This question is asked to gather information about awards high school students may receive through participation in the dual enrollment program(s). </w:t>
      </w:r>
    </w:p>
    <w:p w:rsidR="00443A39" w:rsidRPr="00800F35" w:rsidRDefault="00443A39" w:rsidP="00443A39">
      <w:pPr>
        <w:ind w:firstLine="576"/>
        <w:rPr>
          <w:rFonts w:ascii="Times New Roman" w:hAnsi="Times New Roman" w:cs="Times New Roman"/>
        </w:rPr>
      </w:pPr>
      <w:r w:rsidRPr="00800F35">
        <w:rPr>
          <w:rFonts w:ascii="Times New Roman" w:hAnsi="Times New Roman" w:cs="Times New Roman"/>
        </w:rPr>
        <w:t>Question 20 is a new question added at the request of OESE because OESE has a policy interest in the prevalence of comprehensive dual enrollment programs.</w:t>
      </w:r>
      <w:r w:rsidR="001018BB" w:rsidRPr="00800F35">
        <w:rPr>
          <w:rFonts w:ascii="Times New Roman" w:hAnsi="Times New Roman" w:cs="Times New Roman"/>
        </w:rPr>
        <w:t xml:space="preserve"> </w:t>
      </w:r>
    </w:p>
    <w:p w:rsidR="002733FF" w:rsidRDefault="00443A39" w:rsidP="00443A39">
      <w:pPr>
        <w:ind w:firstLine="576"/>
        <w:rPr>
          <w:rFonts w:ascii="Times New Roman" w:hAnsi="Times New Roman" w:cs="Times New Roman"/>
        </w:rPr>
      </w:pPr>
      <w:r w:rsidRPr="00800F35">
        <w:rPr>
          <w:rFonts w:ascii="Times New Roman" w:hAnsi="Times New Roman" w:cs="Times New Roman"/>
        </w:rPr>
        <w:t>Questions 21</w:t>
      </w:r>
      <w:r w:rsidR="00BD2175" w:rsidRPr="00800F35">
        <w:rPr>
          <w:rFonts w:ascii="Times New Roman" w:hAnsi="Times New Roman" w:cs="Times New Roman"/>
        </w:rPr>
        <w:t>–</w:t>
      </w:r>
      <w:r w:rsidR="00622D7A" w:rsidRPr="00800F35">
        <w:rPr>
          <w:rFonts w:ascii="Times New Roman" w:hAnsi="Times New Roman" w:cs="Times New Roman"/>
        </w:rPr>
        <w:t xml:space="preserve">24 </w:t>
      </w:r>
      <w:r w:rsidRPr="00800F35">
        <w:rPr>
          <w:rFonts w:ascii="Times New Roman" w:hAnsi="Times New Roman" w:cs="Times New Roman"/>
        </w:rPr>
        <w:t>are included in the survey to gather information about dual enrollment programs that are geared specifically toward high school students at risk of educational failure. Question 21 asks if the institution has such a program. Questions 22</w:t>
      </w:r>
      <w:r w:rsidR="00BD2175" w:rsidRPr="00800F35">
        <w:rPr>
          <w:rFonts w:ascii="Times New Roman" w:hAnsi="Times New Roman" w:cs="Times New Roman"/>
        </w:rPr>
        <w:t>–</w:t>
      </w:r>
      <w:r w:rsidR="00622D7A" w:rsidRPr="00800F35">
        <w:rPr>
          <w:rFonts w:ascii="Times New Roman" w:hAnsi="Times New Roman" w:cs="Times New Roman"/>
        </w:rPr>
        <w:t xml:space="preserve">24 </w:t>
      </w:r>
      <w:r w:rsidRPr="00800F35">
        <w:rPr>
          <w:rFonts w:ascii="Times New Roman" w:hAnsi="Times New Roman" w:cs="Times New Roman"/>
        </w:rPr>
        <w:t>are only asked of institutions responding yes to Question 24. Question 22 asks for the number of students enrolled in these programs and Question 23 gathers information about the typical pattern of enrollments for these students. Questions 24 collect</w:t>
      </w:r>
      <w:r w:rsidR="00622D7A" w:rsidRPr="00800F35">
        <w:rPr>
          <w:rFonts w:ascii="Times New Roman" w:hAnsi="Times New Roman" w:cs="Times New Roman"/>
        </w:rPr>
        <w:t>s</w:t>
      </w:r>
      <w:r w:rsidRPr="00800F35">
        <w:rPr>
          <w:rFonts w:ascii="Times New Roman" w:hAnsi="Times New Roman" w:cs="Times New Roman"/>
        </w:rPr>
        <w:t xml:space="preserve"> information about support services available to students enrolled in these types of dual enrollment programs. </w:t>
      </w:r>
    </w:p>
    <w:p w:rsidR="00ED1CA7" w:rsidRPr="004B62AC" w:rsidRDefault="00ED1CA7">
      <w:pPr>
        <w:rPr>
          <w:rFonts w:ascii="Times New Roman" w:hAnsi="Times New Roman" w:cs="Times New Roman"/>
          <w:b/>
          <w:sz w:val="24"/>
          <w:szCs w:val="24"/>
        </w:rPr>
      </w:pPr>
      <w:r w:rsidRPr="004B62AC">
        <w:rPr>
          <w:rFonts w:ascii="Times New Roman" w:hAnsi="Times New Roman" w:cs="Times New Roman"/>
          <w:b/>
          <w:sz w:val="24"/>
          <w:szCs w:val="24"/>
        </w:rPr>
        <w:t>Consultations Outside of Agency</w:t>
      </w:r>
    </w:p>
    <w:p w:rsidR="009C0728" w:rsidRPr="00B17E4E" w:rsidRDefault="00182BF5" w:rsidP="009C0728">
      <w:pPr>
        <w:ind w:firstLine="720"/>
        <w:rPr>
          <w:rFonts w:ascii="Times New Roman" w:hAnsi="Times New Roman" w:cs="Times New Roman"/>
        </w:rPr>
      </w:pPr>
      <w:r>
        <w:rPr>
          <w:rFonts w:ascii="Times New Roman" w:hAnsi="Times New Roman" w:cs="Times New Roman"/>
        </w:rPr>
        <w:t xml:space="preserve">The </w:t>
      </w:r>
      <w:r w:rsidR="00786CE8">
        <w:rPr>
          <w:rFonts w:ascii="Times New Roman" w:hAnsi="Times New Roman" w:cs="Times New Roman"/>
        </w:rPr>
        <w:t xml:space="preserve">FRSS and PEQIS </w:t>
      </w:r>
      <w:r>
        <w:rPr>
          <w:rFonts w:ascii="Times New Roman" w:hAnsi="Times New Roman" w:cs="Times New Roman"/>
        </w:rPr>
        <w:t>survey</w:t>
      </w:r>
      <w:r w:rsidR="00786CE8">
        <w:rPr>
          <w:rFonts w:ascii="Times New Roman" w:hAnsi="Times New Roman" w:cs="Times New Roman"/>
        </w:rPr>
        <w:t>s</w:t>
      </w:r>
      <w:r>
        <w:rPr>
          <w:rFonts w:ascii="Times New Roman" w:hAnsi="Times New Roman" w:cs="Times New Roman"/>
        </w:rPr>
        <w:t xml:space="preserve"> w</w:t>
      </w:r>
      <w:r w:rsidR="00786CE8">
        <w:rPr>
          <w:rFonts w:ascii="Times New Roman" w:hAnsi="Times New Roman" w:cs="Times New Roman"/>
        </w:rPr>
        <w:t>ere</w:t>
      </w:r>
      <w:r>
        <w:rPr>
          <w:rFonts w:ascii="Times New Roman" w:hAnsi="Times New Roman" w:cs="Times New Roman"/>
        </w:rPr>
        <w:t xml:space="preserve"> developed in close consultation</w:t>
      </w:r>
      <w:r w:rsidR="005C27B1">
        <w:rPr>
          <w:rFonts w:ascii="Times New Roman" w:hAnsi="Times New Roman" w:cs="Times New Roman"/>
        </w:rPr>
        <w:t xml:space="preserve"> with the data requestor (OESE)</w:t>
      </w:r>
      <w:r w:rsidR="00786CE8">
        <w:rPr>
          <w:rFonts w:ascii="Times New Roman" w:hAnsi="Times New Roman" w:cs="Times New Roman"/>
        </w:rPr>
        <w:t>.</w:t>
      </w:r>
      <w:r w:rsidR="003A27EA">
        <w:rPr>
          <w:rFonts w:ascii="Times New Roman" w:hAnsi="Times New Roman" w:cs="Times New Roman"/>
        </w:rPr>
        <w:t xml:space="preserve"> General topics and questions were identified through literature reviews and review of the previous </w:t>
      </w:r>
      <w:r w:rsidR="00786CE8">
        <w:rPr>
          <w:rFonts w:ascii="Times New Roman" w:hAnsi="Times New Roman" w:cs="Times New Roman"/>
        </w:rPr>
        <w:t xml:space="preserve">surveys </w:t>
      </w:r>
      <w:r w:rsidR="003A27EA">
        <w:rPr>
          <w:rFonts w:ascii="Times New Roman" w:hAnsi="Times New Roman" w:cs="Times New Roman"/>
        </w:rPr>
        <w:t>conducted in 2002</w:t>
      </w:r>
      <w:r w:rsidR="00BD2175">
        <w:rPr>
          <w:rFonts w:ascii="Times New Roman" w:hAnsi="Times New Roman" w:cs="Times New Roman"/>
        </w:rPr>
        <w:t>–</w:t>
      </w:r>
      <w:r w:rsidR="003A27EA">
        <w:rPr>
          <w:rFonts w:ascii="Times New Roman" w:hAnsi="Times New Roman" w:cs="Times New Roman"/>
        </w:rPr>
        <w:t xml:space="preserve">03 and </w:t>
      </w:r>
      <w:r w:rsidR="00786CE8">
        <w:rPr>
          <w:rFonts w:ascii="Times New Roman" w:hAnsi="Times New Roman" w:cs="Times New Roman"/>
        </w:rPr>
        <w:t xml:space="preserve">the </w:t>
      </w:r>
      <w:r w:rsidR="003A27EA">
        <w:rPr>
          <w:rFonts w:ascii="Times New Roman" w:hAnsi="Times New Roman" w:cs="Times New Roman"/>
        </w:rPr>
        <w:t xml:space="preserve">resulting data. </w:t>
      </w:r>
      <w:r w:rsidR="00373FA5">
        <w:rPr>
          <w:rFonts w:ascii="Times New Roman" w:hAnsi="Times New Roman" w:cs="Times New Roman"/>
        </w:rPr>
        <w:t>For the FRSS survey, t</w:t>
      </w:r>
      <w:r w:rsidR="002E6EC3">
        <w:rPr>
          <w:rFonts w:ascii="Times New Roman" w:hAnsi="Times New Roman" w:cs="Times New Roman"/>
        </w:rPr>
        <w:t xml:space="preserve">wo rounds of feasibility </w:t>
      </w:r>
      <w:r w:rsidR="00F35307">
        <w:rPr>
          <w:rFonts w:ascii="Times New Roman" w:hAnsi="Times New Roman" w:cs="Times New Roman"/>
        </w:rPr>
        <w:t>calls</w:t>
      </w:r>
      <w:r w:rsidR="002E6EC3">
        <w:rPr>
          <w:rFonts w:ascii="Times New Roman" w:hAnsi="Times New Roman" w:cs="Times New Roman"/>
        </w:rPr>
        <w:t xml:space="preserve"> and one round of pretest calls were conducted to generate feedback from </w:t>
      </w:r>
      <w:r w:rsidR="00786CE8">
        <w:rPr>
          <w:rFonts w:ascii="Times New Roman" w:hAnsi="Times New Roman" w:cs="Times New Roman"/>
        </w:rPr>
        <w:t>respondents</w:t>
      </w:r>
      <w:r w:rsidR="002E6EC3">
        <w:rPr>
          <w:rFonts w:ascii="Times New Roman" w:hAnsi="Times New Roman" w:cs="Times New Roman"/>
        </w:rPr>
        <w:t xml:space="preserve"> on the relevan</w:t>
      </w:r>
      <w:r w:rsidR="00F35307">
        <w:rPr>
          <w:rFonts w:ascii="Times New Roman" w:hAnsi="Times New Roman" w:cs="Times New Roman"/>
        </w:rPr>
        <w:t xml:space="preserve">ce and respondent burden of </w:t>
      </w:r>
      <w:r w:rsidR="002E6EC3">
        <w:rPr>
          <w:rFonts w:ascii="Times New Roman" w:hAnsi="Times New Roman" w:cs="Times New Roman"/>
        </w:rPr>
        <w:t>survey items.</w:t>
      </w:r>
      <w:r w:rsidR="001018BB">
        <w:rPr>
          <w:rFonts w:ascii="Times New Roman" w:hAnsi="Times New Roman" w:cs="Times New Roman"/>
        </w:rPr>
        <w:t xml:space="preserve"> </w:t>
      </w:r>
      <w:r w:rsidR="00E423F0">
        <w:rPr>
          <w:rFonts w:ascii="Times New Roman" w:hAnsi="Times New Roman" w:cs="Times New Roman"/>
        </w:rPr>
        <w:t xml:space="preserve">For </w:t>
      </w:r>
      <w:r w:rsidR="00373FA5">
        <w:rPr>
          <w:rFonts w:ascii="Times New Roman" w:hAnsi="Times New Roman" w:cs="Times New Roman"/>
        </w:rPr>
        <w:t xml:space="preserve">the PEQIS survey, two rounds of feasibility calls and two rounds of pretest calls were conducted. </w:t>
      </w:r>
    </w:p>
    <w:p w:rsidR="00ED1CA7" w:rsidRPr="004B62AC" w:rsidRDefault="00ED1CA7">
      <w:pPr>
        <w:rPr>
          <w:rFonts w:ascii="Times New Roman" w:hAnsi="Times New Roman" w:cs="Times New Roman"/>
          <w:b/>
          <w:sz w:val="28"/>
          <w:szCs w:val="28"/>
        </w:rPr>
      </w:pPr>
      <w:r w:rsidRPr="004B62AC">
        <w:rPr>
          <w:rFonts w:ascii="Times New Roman" w:hAnsi="Times New Roman" w:cs="Times New Roman"/>
          <w:b/>
          <w:sz w:val="28"/>
          <w:szCs w:val="28"/>
        </w:rPr>
        <w:t>Survey Cost and Time Schedule</w:t>
      </w:r>
    </w:p>
    <w:p w:rsidR="008100E3" w:rsidRPr="008100E3" w:rsidRDefault="008100E3" w:rsidP="008100E3">
      <w:pPr>
        <w:ind w:firstLine="720"/>
        <w:rPr>
          <w:rFonts w:ascii="Times New Roman" w:hAnsi="Times New Roman"/>
        </w:rPr>
      </w:pPr>
      <w:r w:rsidRPr="008100E3">
        <w:rPr>
          <w:rFonts w:ascii="Times New Roman" w:hAnsi="Times New Roman"/>
        </w:rPr>
        <w:t xml:space="preserve">The FRSS 104 survey is estimated to cost the </w:t>
      </w:r>
      <w:r w:rsidR="00DB2662">
        <w:rPr>
          <w:rFonts w:ascii="Times New Roman" w:hAnsi="Times New Roman"/>
        </w:rPr>
        <w:t>federal</w:t>
      </w:r>
      <w:r w:rsidRPr="008100E3">
        <w:rPr>
          <w:rFonts w:ascii="Times New Roman" w:hAnsi="Times New Roman"/>
        </w:rPr>
        <w:t xml:space="preserve"> government about $615</w:t>
      </w:r>
      <w:r>
        <w:rPr>
          <w:rFonts w:ascii="Times New Roman" w:hAnsi="Times New Roman"/>
        </w:rPr>
        <w:t>,</w:t>
      </w:r>
      <w:r w:rsidRPr="008100E3">
        <w:rPr>
          <w:rFonts w:ascii="Times New Roman" w:hAnsi="Times New Roman"/>
        </w:rPr>
        <w:t xml:space="preserve">000, including about $575,000 for contractual costs and $40,000 for salaries and expenses. The PEQIS 18 survey is estimated to cost the </w:t>
      </w:r>
      <w:r w:rsidR="00DB2662">
        <w:rPr>
          <w:rFonts w:ascii="Times New Roman" w:hAnsi="Times New Roman"/>
        </w:rPr>
        <w:t>federal</w:t>
      </w:r>
      <w:r w:rsidRPr="008100E3">
        <w:rPr>
          <w:rFonts w:ascii="Times New Roman" w:hAnsi="Times New Roman"/>
        </w:rPr>
        <w:t xml:space="preserve"> government about $540,000, including about $500,000 for contractual costs and $40,000 for salaries and expenses. Contractual costs include the costs for survey preparation, data collection, data analysis, and report preparation and dissemination. </w:t>
      </w:r>
    </w:p>
    <w:p w:rsidR="008047DD" w:rsidRDefault="00FA3BC7" w:rsidP="008100E3">
      <w:pPr>
        <w:ind w:firstLine="720"/>
        <w:rPr>
          <w:rFonts w:ascii="Times New Roman" w:hAnsi="Times New Roman" w:cs="Times New Roman"/>
        </w:rPr>
      </w:pPr>
      <w:r w:rsidRPr="00B17E4E">
        <w:rPr>
          <w:rFonts w:ascii="Times New Roman" w:hAnsi="Times New Roman" w:cs="Times New Roman"/>
        </w:rPr>
        <w:t xml:space="preserve">Mailing of the </w:t>
      </w:r>
      <w:r w:rsidR="00A80696">
        <w:rPr>
          <w:rFonts w:ascii="Times New Roman" w:hAnsi="Times New Roman" w:cs="Times New Roman"/>
        </w:rPr>
        <w:t xml:space="preserve">FRSS 104 and PEQIS 18 </w:t>
      </w:r>
      <w:r w:rsidRPr="00B17E4E">
        <w:rPr>
          <w:rFonts w:ascii="Times New Roman" w:hAnsi="Times New Roman" w:cs="Times New Roman"/>
        </w:rPr>
        <w:t>survey</w:t>
      </w:r>
      <w:r w:rsidR="00B42CBC">
        <w:rPr>
          <w:rFonts w:ascii="Times New Roman" w:hAnsi="Times New Roman" w:cs="Times New Roman"/>
        </w:rPr>
        <w:t>s</w:t>
      </w:r>
      <w:r w:rsidRPr="00B17E4E">
        <w:rPr>
          <w:rFonts w:ascii="Times New Roman" w:hAnsi="Times New Roman" w:cs="Times New Roman"/>
        </w:rPr>
        <w:t xml:space="preserve"> is planned for September 2011. About 3 weeks after mail out of the surveys, </w:t>
      </w:r>
      <w:proofErr w:type="spellStart"/>
      <w:r w:rsidRPr="00B17E4E">
        <w:rPr>
          <w:rFonts w:ascii="Times New Roman" w:hAnsi="Times New Roman" w:cs="Times New Roman"/>
        </w:rPr>
        <w:t>Westat</w:t>
      </w:r>
      <w:proofErr w:type="spellEnd"/>
      <w:r w:rsidRPr="00B17E4E">
        <w:rPr>
          <w:rFonts w:ascii="Times New Roman" w:hAnsi="Times New Roman" w:cs="Times New Roman"/>
        </w:rPr>
        <w:t xml:space="preserve"> will begin telephone </w:t>
      </w:r>
      <w:r w:rsidR="00141410">
        <w:rPr>
          <w:rFonts w:ascii="Times New Roman" w:hAnsi="Times New Roman" w:cs="Times New Roman"/>
        </w:rPr>
        <w:t>follow-up</w:t>
      </w:r>
      <w:r w:rsidRPr="00B17E4E">
        <w:rPr>
          <w:rFonts w:ascii="Times New Roman" w:hAnsi="Times New Roman" w:cs="Times New Roman"/>
        </w:rPr>
        <w:t xml:space="preserve"> for </w:t>
      </w:r>
      <w:proofErr w:type="spellStart"/>
      <w:r w:rsidRPr="00B17E4E">
        <w:rPr>
          <w:rFonts w:ascii="Times New Roman" w:hAnsi="Times New Roman" w:cs="Times New Roman"/>
        </w:rPr>
        <w:t>nonresponse</w:t>
      </w:r>
      <w:proofErr w:type="spellEnd"/>
      <w:r w:rsidRPr="00B17E4E">
        <w:rPr>
          <w:rFonts w:ascii="Times New Roman" w:hAnsi="Times New Roman" w:cs="Times New Roman"/>
        </w:rPr>
        <w:t xml:space="preserve">. Data collection is scheduled for completion about 16 weeks after initial mail out. </w:t>
      </w:r>
    </w:p>
    <w:p w:rsidR="00ED1CA7" w:rsidRPr="004B62AC" w:rsidRDefault="00ED1CA7">
      <w:pPr>
        <w:rPr>
          <w:rFonts w:ascii="Times New Roman" w:hAnsi="Times New Roman" w:cs="Times New Roman"/>
          <w:b/>
          <w:sz w:val="28"/>
          <w:szCs w:val="28"/>
        </w:rPr>
      </w:pPr>
      <w:r w:rsidRPr="004B62AC">
        <w:rPr>
          <w:rFonts w:ascii="Times New Roman" w:hAnsi="Times New Roman" w:cs="Times New Roman"/>
          <w:b/>
          <w:sz w:val="28"/>
          <w:szCs w:val="28"/>
        </w:rPr>
        <w:t>Plan for Tabulation and Publication</w:t>
      </w:r>
    </w:p>
    <w:p w:rsidR="009741FD" w:rsidRDefault="00FE1B47" w:rsidP="00CC6DD7">
      <w:pPr>
        <w:ind w:firstLine="720"/>
        <w:rPr>
          <w:rFonts w:ascii="Times New Roman" w:hAnsi="Times New Roman" w:cs="Times New Roman"/>
        </w:rPr>
      </w:pPr>
      <w:r>
        <w:rPr>
          <w:rFonts w:ascii="Times New Roman" w:hAnsi="Times New Roman" w:cs="Times New Roman"/>
        </w:rPr>
        <w:t xml:space="preserve">The first look report will be released on the NCES website and include explanatory text and tables. Printed copies of the first look report will be sent to respondents </w:t>
      </w:r>
      <w:r w:rsidR="003C19C2">
        <w:rPr>
          <w:rFonts w:ascii="Times New Roman" w:hAnsi="Times New Roman" w:cs="Times New Roman"/>
        </w:rPr>
        <w:t xml:space="preserve">that </w:t>
      </w:r>
      <w:r>
        <w:rPr>
          <w:rFonts w:ascii="Times New Roman" w:hAnsi="Times New Roman" w:cs="Times New Roman"/>
        </w:rPr>
        <w:t>participat</w:t>
      </w:r>
      <w:r w:rsidR="003C19C2">
        <w:rPr>
          <w:rFonts w:ascii="Times New Roman" w:hAnsi="Times New Roman" w:cs="Times New Roman"/>
        </w:rPr>
        <w:t>ed</w:t>
      </w:r>
      <w:r>
        <w:rPr>
          <w:rFonts w:ascii="Times New Roman" w:hAnsi="Times New Roman" w:cs="Times New Roman"/>
        </w:rPr>
        <w:t xml:space="preserve"> in the survey</w:t>
      </w:r>
      <w:r w:rsidR="003C19C2">
        <w:rPr>
          <w:rFonts w:ascii="Times New Roman" w:hAnsi="Times New Roman" w:cs="Times New Roman"/>
        </w:rPr>
        <w:t>, and the FRSS 104 report will be sent to the districts with participating schools</w:t>
      </w:r>
      <w:r>
        <w:rPr>
          <w:rFonts w:ascii="Times New Roman" w:hAnsi="Times New Roman" w:cs="Times New Roman"/>
        </w:rPr>
        <w:t xml:space="preserve">. A public use data file will also be released on the NCES website. </w:t>
      </w:r>
      <w:r w:rsidR="00262A29" w:rsidRPr="0067543C">
        <w:rPr>
          <w:rFonts w:ascii="Times New Roman" w:hAnsi="Times New Roman" w:cs="Times New Roman"/>
        </w:rPr>
        <w:t xml:space="preserve">Survey responses will be weighted to produce national estimates. Tabulations will be produced for each data item. </w:t>
      </w:r>
    </w:p>
    <w:p w:rsidR="00F269DA" w:rsidRDefault="009741FD" w:rsidP="00CC6DD7">
      <w:pPr>
        <w:ind w:firstLine="720"/>
        <w:rPr>
          <w:rFonts w:ascii="Times New Roman" w:hAnsi="Times New Roman" w:cs="Times New Roman"/>
        </w:rPr>
      </w:pPr>
      <w:r>
        <w:rPr>
          <w:rFonts w:ascii="Times New Roman" w:hAnsi="Times New Roman" w:cs="Times New Roman"/>
        </w:rPr>
        <w:lastRenderedPageBreak/>
        <w:t xml:space="preserve">For FRSS 104, </w:t>
      </w:r>
      <w:r w:rsidR="00A5578E">
        <w:rPr>
          <w:rFonts w:ascii="Times New Roman" w:hAnsi="Times New Roman" w:cs="Times New Roman"/>
        </w:rPr>
        <w:t>c</w:t>
      </w:r>
      <w:r w:rsidR="00A5578E" w:rsidRPr="0067543C">
        <w:rPr>
          <w:rFonts w:ascii="Times New Roman" w:hAnsi="Times New Roman" w:cs="Times New Roman"/>
        </w:rPr>
        <w:t>ross tabulations</w:t>
      </w:r>
      <w:r w:rsidR="00262A29" w:rsidRPr="0067543C">
        <w:rPr>
          <w:rFonts w:ascii="Times New Roman" w:hAnsi="Times New Roman" w:cs="Times New Roman"/>
        </w:rPr>
        <w:t xml:space="preserve"> of data items will be made with selected classification variables, such as the following. </w:t>
      </w:r>
    </w:p>
    <w:p w:rsidR="00F269DA" w:rsidRDefault="00F269DA" w:rsidP="00CC6DD7">
      <w:pPr>
        <w:ind w:firstLine="720"/>
        <w:rPr>
          <w:rFonts w:ascii="Times New Roman" w:hAnsi="Times New Roman" w:cs="Times New Roman"/>
        </w:rPr>
      </w:pPr>
      <w:r>
        <w:rPr>
          <w:rFonts w:ascii="Times New Roman" w:hAnsi="Times New Roman" w:cs="Times New Roman"/>
        </w:rPr>
        <w:t xml:space="preserve">School enrollment (less than </w:t>
      </w:r>
      <w:r w:rsidR="009741FD">
        <w:rPr>
          <w:rFonts w:ascii="Times New Roman" w:hAnsi="Times New Roman" w:cs="Times New Roman"/>
        </w:rPr>
        <w:t>5</w:t>
      </w:r>
      <w:r>
        <w:rPr>
          <w:rFonts w:ascii="Times New Roman" w:hAnsi="Times New Roman" w:cs="Times New Roman"/>
        </w:rPr>
        <w:t xml:space="preserve">00, </w:t>
      </w:r>
      <w:r w:rsidR="009741FD">
        <w:rPr>
          <w:rFonts w:ascii="Times New Roman" w:hAnsi="Times New Roman" w:cs="Times New Roman"/>
        </w:rPr>
        <w:t>5</w:t>
      </w:r>
      <w:r>
        <w:rPr>
          <w:rFonts w:ascii="Times New Roman" w:hAnsi="Times New Roman" w:cs="Times New Roman"/>
        </w:rPr>
        <w:t>00</w:t>
      </w:r>
      <w:r w:rsidR="00BD2175">
        <w:rPr>
          <w:rFonts w:ascii="Times New Roman" w:hAnsi="Times New Roman" w:cs="Times New Roman"/>
        </w:rPr>
        <w:t>–</w:t>
      </w:r>
      <w:r w:rsidR="009741FD">
        <w:rPr>
          <w:rFonts w:ascii="Times New Roman" w:hAnsi="Times New Roman" w:cs="Times New Roman"/>
        </w:rPr>
        <w:t>1,199</w:t>
      </w:r>
      <w:r>
        <w:rPr>
          <w:rFonts w:ascii="Times New Roman" w:hAnsi="Times New Roman" w:cs="Times New Roman"/>
        </w:rPr>
        <w:t xml:space="preserve">, and </w:t>
      </w:r>
      <w:r w:rsidR="009741FD">
        <w:rPr>
          <w:rFonts w:ascii="Times New Roman" w:hAnsi="Times New Roman" w:cs="Times New Roman"/>
        </w:rPr>
        <w:t xml:space="preserve">1,200 </w:t>
      </w:r>
      <w:r>
        <w:rPr>
          <w:rFonts w:ascii="Times New Roman" w:hAnsi="Times New Roman" w:cs="Times New Roman"/>
        </w:rPr>
        <w:t>or more);</w:t>
      </w:r>
    </w:p>
    <w:p w:rsidR="00B23E65" w:rsidRDefault="00B23E65" w:rsidP="00CC6DD7">
      <w:pPr>
        <w:ind w:firstLine="720"/>
        <w:rPr>
          <w:rFonts w:ascii="Times New Roman" w:hAnsi="Times New Roman" w:cs="Times New Roman"/>
        </w:rPr>
      </w:pPr>
      <w:r>
        <w:rPr>
          <w:rFonts w:ascii="Times New Roman" w:hAnsi="Times New Roman" w:cs="Times New Roman"/>
        </w:rPr>
        <w:t>Community type (city, suburban, town, rural);</w:t>
      </w:r>
    </w:p>
    <w:p w:rsidR="00F269DA" w:rsidRDefault="00F269DA" w:rsidP="00CC6DD7">
      <w:pPr>
        <w:ind w:firstLine="720"/>
        <w:rPr>
          <w:rFonts w:ascii="Times New Roman" w:hAnsi="Times New Roman" w:cs="Times New Roman"/>
        </w:rPr>
      </w:pPr>
      <w:r>
        <w:rPr>
          <w:rFonts w:ascii="Times New Roman" w:hAnsi="Times New Roman" w:cs="Times New Roman"/>
        </w:rPr>
        <w:t>Geographical region (Northeast, Southeast, Central, and West);</w:t>
      </w:r>
    </w:p>
    <w:p w:rsidR="00A919EE" w:rsidRDefault="00F269DA" w:rsidP="00CC6DD7">
      <w:pPr>
        <w:ind w:left="720"/>
        <w:rPr>
          <w:rFonts w:ascii="Times New Roman" w:hAnsi="Times New Roman" w:cs="Times New Roman"/>
        </w:rPr>
      </w:pPr>
      <w:r>
        <w:rPr>
          <w:rFonts w:ascii="Times New Roman" w:hAnsi="Times New Roman" w:cs="Times New Roman"/>
        </w:rPr>
        <w:t>Percent minority enrollment (less than 6 percent, 6</w:t>
      </w:r>
      <w:r w:rsidR="00BD2175">
        <w:rPr>
          <w:rFonts w:ascii="Times New Roman" w:hAnsi="Times New Roman" w:cs="Times New Roman"/>
        </w:rPr>
        <w:t>–</w:t>
      </w:r>
      <w:r>
        <w:rPr>
          <w:rFonts w:ascii="Times New Roman" w:hAnsi="Times New Roman" w:cs="Times New Roman"/>
        </w:rPr>
        <w:t>20 percent, 21</w:t>
      </w:r>
      <w:r w:rsidR="00BD2175">
        <w:rPr>
          <w:rFonts w:ascii="Times New Roman" w:hAnsi="Times New Roman" w:cs="Times New Roman"/>
        </w:rPr>
        <w:t>–</w:t>
      </w:r>
      <w:r>
        <w:rPr>
          <w:rFonts w:ascii="Times New Roman" w:hAnsi="Times New Roman" w:cs="Times New Roman"/>
        </w:rPr>
        <w:t>49 percent, 50 percent or more); and</w:t>
      </w:r>
    </w:p>
    <w:p w:rsidR="00F958C3" w:rsidRPr="009741FD" w:rsidRDefault="009741FD" w:rsidP="00CC6DD7">
      <w:pPr>
        <w:ind w:firstLine="720"/>
        <w:rPr>
          <w:rFonts w:ascii="Times New Roman" w:hAnsi="Times New Roman" w:cs="Times New Roman"/>
        </w:rPr>
      </w:pPr>
      <w:r w:rsidRPr="009741FD">
        <w:rPr>
          <w:rFonts w:ascii="Times New Roman" w:hAnsi="Times New Roman" w:cs="Times New Roman"/>
        </w:rPr>
        <w:t xml:space="preserve">For PEQIS 18, </w:t>
      </w:r>
      <w:r w:rsidR="00A5578E" w:rsidRPr="009741FD">
        <w:rPr>
          <w:rFonts w:ascii="Times New Roman" w:hAnsi="Times New Roman" w:cs="Times New Roman"/>
        </w:rPr>
        <w:t>cross tabulations</w:t>
      </w:r>
      <w:r w:rsidR="00F958C3" w:rsidRPr="009741FD">
        <w:rPr>
          <w:rFonts w:ascii="Times New Roman" w:hAnsi="Times New Roman" w:cs="Times New Roman"/>
        </w:rPr>
        <w:t xml:space="preserve"> of data items will be made with selected classification variables, such as the following. </w:t>
      </w:r>
    </w:p>
    <w:p w:rsidR="00CF2126" w:rsidRPr="00C8463A" w:rsidRDefault="00CF2126" w:rsidP="00CC6DD7">
      <w:pPr>
        <w:pStyle w:val="N2-2ndBullet"/>
        <w:tabs>
          <w:tab w:val="clear" w:pos="1728"/>
          <w:tab w:val="left" w:pos="720"/>
        </w:tabs>
        <w:spacing w:after="200" w:line="276" w:lineRule="auto"/>
        <w:ind w:left="0" w:firstLine="720"/>
      </w:pPr>
      <w:r>
        <w:t xml:space="preserve">Type of </w:t>
      </w:r>
      <w:r w:rsidRPr="00C8463A">
        <w:t>institution (2-year public, 2-year private, 4-year public, 4-year private)</w:t>
      </w:r>
    </w:p>
    <w:p w:rsidR="00CF2126" w:rsidRPr="00C8463A" w:rsidRDefault="00CF2126" w:rsidP="00CC6DD7">
      <w:pPr>
        <w:pStyle w:val="N2-2ndBullet"/>
        <w:tabs>
          <w:tab w:val="clear" w:pos="1728"/>
          <w:tab w:val="left" w:pos="720"/>
        </w:tabs>
        <w:spacing w:after="200" w:line="276" w:lineRule="auto"/>
        <w:ind w:left="0" w:firstLine="720"/>
      </w:pPr>
      <w:r w:rsidRPr="00C8463A">
        <w:t>Size of institution (less than 3,000; 3,000</w:t>
      </w:r>
      <w:r w:rsidR="00BD2175">
        <w:t>–</w:t>
      </w:r>
      <w:r w:rsidRPr="00C8463A">
        <w:t>9,999; 10,000 or more)</w:t>
      </w:r>
    </w:p>
    <w:p w:rsidR="00ED1CA7" w:rsidRPr="008C5576" w:rsidRDefault="00ED1CA7">
      <w:pPr>
        <w:rPr>
          <w:rFonts w:ascii="Times New Roman" w:hAnsi="Times New Roman" w:cs="Times New Roman"/>
          <w:b/>
          <w:sz w:val="28"/>
          <w:szCs w:val="28"/>
        </w:rPr>
      </w:pPr>
      <w:r w:rsidRPr="008C5576">
        <w:rPr>
          <w:rFonts w:ascii="Times New Roman" w:hAnsi="Times New Roman" w:cs="Times New Roman"/>
          <w:b/>
          <w:sz w:val="28"/>
          <w:szCs w:val="28"/>
        </w:rPr>
        <w:t>Statistical Methodology</w:t>
      </w:r>
    </w:p>
    <w:p w:rsidR="00ED1CA7" w:rsidRDefault="00ED1CA7">
      <w:pPr>
        <w:rPr>
          <w:rFonts w:ascii="Times New Roman" w:hAnsi="Times New Roman" w:cs="Times New Roman"/>
          <w:b/>
          <w:sz w:val="24"/>
          <w:szCs w:val="24"/>
        </w:rPr>
      </w:pPr>
      <w:r w:rsidRPr="008C5576">
        <w:rPr>
          <w:rFonts w:ascii="Times New Roman" w:hAnsi="Times New Roman" w:cs="Times New Roman"/>
          <w:b/>
          <w:sz w:val="24"/>
          <w:szCs w:val="24"/>
        </w:rPr>
        <w:t>Reviewing Statisticians</w:t>
      </w:r>
    </w:p>
    <w:p w:rsidR="00607A5F" w:rsidRPr="008C5576" w:rsidRDefault="00AF4A55" w:rsidP="00607A5F">
      <w:pPr>
        <w:ind w:firstLine="720"/>
        <w:rPr>
          <w:rFonts w:ascii="Times New Roman" w:hAnsi="Times New Roman" w:cs="Times New Roman"/>
          <w:b/>
          <w:sz w:val="24"/>
          <w:szCs w:val="24"/>
        </w:rPr>
      </w:pPr>
      <w:r>
        <w:rPr>
          <w:rFonts w:ascii="Times New Roman" w:hAnsi="Times New Roman" w:cs="Times New Roman"/>
          <w:color w:val="000000"/>
        </w:rPr>
        <w:t xml:space="preserve">Jared Coopersmith, of NCES, is the Project Officer for this survey. </w:t>
      </w:r>
      <w:r w:rsidR="00607A5F" w:rsidRPr="00095865">
        <w:rPr>
          <w:rFonts w:ascii="Times New Roman" w:hAnsi="Times New Roman" w:cs="Times New Roman"/>
          <w:color w:val="000000"/>
        </w:rPr>
        <w:t xml:space="preserve">Adam Chu, Senior Statistician, </w:t>
      </w:r>
      <w:proofErr w:type="spellStart"/>
      <w:r w:rsidR="00607A5F" w:rsidRPr="00095865">
        <w:rPr>
          <w:rFonts w:ascii="Times New Roman" w:hAnsi="Times New Roman" w:cs="Times New Roman"/>
          <w:color w:val="000000"/>
        </w:rPr>
        <w:t>Westat</w:t>
      </w:r>
      <w:proofErr w:type="spellEnd"/>
      <w:r w:rsidR="00607A5F" w:rsidRPr="00095865">
        <w:rPr>
          <w:rFonts w:ascii="Times New Roman" w:hAnsi="Times New Roman" w:cs="Times New Roman"/>
          <w:color w:val="000000"/>
        </w:rPr>
        <w:t>, was consulted about the statistical aspects of the design.</w:t>
      </w:r>
      <w:r w:rsidR="00607A5F" w:rsidRPr="00095865">
        <w:rPr>
          <w:rFonts w:ascii="Times New Roman" w:hAnsi="Times New Roman" w:cs="Times New Roman"/>
          <w:bCs/>
          <w:color w:val="000000"/>
        </w:rPr>
        <w:t xml:space="preserve"> </w:t>
      </w:r>
      <w:proofErr w:type="spellStart"/>
      <w:r w:rsidR="00607A5F" w:rsidRPr="00095865">
        <w:rPr>
          <w:rFonts w:ascii="Times New Roman" w:hAnsi="Times New Roman" w:cs="Times New Roman"/>
          <w:bCs/>
          <w:color w:val="000000"/>
        </w:rPr>
        <w:t>Westat</w:t>
      </w:r>
      <w:proofErr w:type="spellEnd"/>
      <w:r w:rsidR="00607A5F" w:rsidRPr="00095865">
        <w:rPr>
          <w:rFonts w:ascii="Times New Roman" w:hAnsi="Times New Roman" w:cs="Times New Roman"/>
          <w:bCs/>
          <w:color w:val="000000"/>
        </w:rPr>
        <w:t xml:space="preserve"> is the contractor currently conducting the QRIS surveys for NCES.</w:t>
      </w:r>
    </w:p>
    <w:p w:rsidR="00ED1CA7" w:rsidRPr="00AF4A55" w:rsidRDefault="00AB0F39">
      <w:pPr>
        <w:rPr>
          <w:rFonts w:ascii="Times New Roman" w:hAnsi="Times New Roman" w:cs="Times New Roman"/>
          <w:b/>
          <w:sz w:val="24"/>
          <w:szCs w:val="24"/>
        </w:rPr>
      </w:pPr>
      <w:r w:rsidRPr="00AF4A55">
        <w:rPr>
          <w:rFonts w:ascii="Times New Roman" w:hAnsi="Times New Roman" w:cs="Times New Roman"/>
          <w:b/>
          <w:sz w:val="24"/>
          <w:szCs w:val="24"/>
        </w:rPr>
        <w:t>FRSS 104</w:t>
      </w:r>
      <w:r w:rsidR="00AF4A55" w:rsidRPr="00AF4A55">
        <w:rPr>
          <w:rFonts w:ascii="Times New Roman" w:hAnsi="Times New Roman" w:cs="Times New Roman"/>
          <w:b/>
          <w:sz w:val="24"/>
          <w:szCs w:val="24"/>
        </w:rPr>
        <w:t xml:space="preserve"> Secondary School Survey</w:t>
      </w:r>
    </w:p>
    <w:p w:rsidR="00A01D5E" w:rsidRPr="00A01D5E" w:rsidRDefault="00A01D5E" w:rsidP="003437B4">
      <w:pPr>
        <w:tabs>
          <w:tab w:val="left" w:pos="5040"/>
        </w:tabs>
        <w:rPr>
          <w:rFonts w:ascii="Times New Roman" w:hAnsi="Times New Roman" w:cs="Times New Roman"/>
          <w:b/>
        </w:rPr>
      </w:pPr>
      <w:r w:rsidRPr="00A01D5E">
        <w:rPr>
          <w:rFonts w:ascii="Times New Roman" w:hAnsi="Times New Roman" w:cs="Times New Roman"/>
          <w:b/>
        </w:rPr>
        <w:t>Respondent Universe</w:t>
      </w:r>
      <w:r w:rsidR="00995FEF" w:rsidRPr="00995FEF">
        <w:rPr>
          <w:rFonts w:ascii="Times New Roman" w:hAnsi="Times New Roman" w:cs="Times New Roman"/>
          <w:b/>
        </w:rPr>
        <w:t xml:space="preserve"> </w:t>
      </w:r>
      <w:r w:rsidR="00995FEF">
        <w:rPr>
          <w:rFonts w:ascii="Times New Roman" w:hAnsi="Times New Roman" w:cs="Times New Roman"/>
          <w:b/>
        </w:rPr>
        <w:t xml:space="preserve">and </w:t>
      </w:r>
      <w:r w:rsidR="00995FEF" w:rsidRPr="00A01D5E">
        <w:rPr>
          <w:rFonts w:ascii="Times New Roman" w:hAnsi="Times New Roman" w:cs="Times New Roman"/>
          <w:b/>
        </w:rPr>
        <w:t>Statistical Methodology</w:t>
      </w:r>
    </w:p>
    <w:p w:rsidR="008C5576" w:rsidRDefault="00A01D5E" w:rsidP="003437B4">
      <w:pPr>
        <w:ind w:firstLine="720"/>
        <w:rPr>
          <w:rFonts w:ascii="Times New Roman" w:hAnsi="Times New Roman" w:cs="Times New Roman"/>
        </w:rPr>
      </w:pPr>
      <w:r w:rsidRPr="00A01D5E">
        <w:rPr>
          <w:rFonts w:ascii="Times New Roman" w:hAnsi="Times New Roman" w:cs="Times New Roman"/>
        </w:rPr>
        <w:t xml:space="preserve">The respondent universe for the </w:t>
      </w:r>
      <w:r w:rsidR="00B76A45">
        <w:rPr>
          <w:rFonts w:ascii="Times New Roman" w:hAnsi="Times New Roman" w:cs="Times New Roman"/>
        </w:rPr>
        <w:t xml:space="preserve">FRSS </w:t>
      </w:r>
      <w:r w:rsidRPr="00A01D5E">
        <w:rPr>
          <w:rFonts w:ascii="Times New Roman" w:hAnsi="Times New Roman" w:cs="Times New Roman"/>
        </w:rPr>
        <w:t>survey on dual credit courses will be restricted to regular public secondary schools in the United States. For the purpose of this survey, “secondary schools” are defined to be those with at least an 11th or 12th grade. Note that vocational education, special education, and alternative/other non-regular schools will be excluded from the study, along with ungraded schools, and schools in the outlying U.S. territories. As described in the following section, a stratified sample of approximately 1,500 secondary schools will be selected for the survey from the 2009</w:t>
      </w:r>
      <w:r w:rsidR="00DE23F0">
        <w:rPr>
          <w:rFonts w:ascii="Times New Roman" w:hAnsi="Times New Roman" w:cs="Times New Roman"/>
        </w:rPr>
        <w:t>–</w:t>
      </w:r>
      <w:bookmarkStart w:id="4" w:name="_GoBack"/>
      <w:bookmarkEnd w:id="4"/>
      <w:r w:rsidRPr="00A01D5E">
        <w:rPr>
          <w:rFonts w:ascii="Times New Roman" w:hAnsi="Times New Roman" w:cs="Times New Roman"/>
        </w:rPr>
        <w:t xml:space="preserve">2010 NCES Common Core of Data (CCD) Public School Universe File. As indicated in Table </w:t>
      </w:r>
      <w:r w:rsidR="00B31F4C">
        <w:rPr>
          <w:rFonts w:ascii="Times New Roman" w:hAnsi="Times New Roman" w:cs="Times New Roman"/>
        </w:rPr>
        <w:t>3</w:t>
      </w:r>
      <w:r w:rsidRPr="00A01D5E">
        <w:rPr>
          <w:rFonts w:ascii="Times New Roman" w:hAnsi="Times New Roman" w:cs="Times New Roman"/>
        </w:rPr>
        <w:t>, approximately 19,000 regular secondary schools are included in the CCD universe file.</w:t>
      </w:r>
      <w:r w:rsidR="008C5576" w:rsidRPr="008C5576">
        <w:rPr>
          <w:rFonts w:ascii="Times New Roman" w:hAnsi="Times New Roman" w:cs="Times New Roman"/>
        </w:rPr>
        <w:t xml:space="preserve"> </w:t>
      </w:r>
    </w:p>
    <w:p w:rsidR="003437B4" w:rsidRPr="00A01D5E" w:rsidRDefault="003437B4" w:rsidP="003437B4">
      <w:pPr>
        <w:ind w:firstLine="720"/>
        <w:rPr>
          <w:rFonts w:ascii="Times New Roman" w:hAnsi="Times New Roman" w:cs="Times New Roman"/>
        </w:rPr>
      </w:pPr>
      <w:r w:rsidRPr="00A01D5E">
        <w:rPr>
          <w:rFonts w:ascii="Times New Roman" w:hAnsi="Times New Roman" w:cs="Times New Roman"/>
        </w:rPr>
        <w:t xml:space="preserve">A stratified sample design will be used to select 1,500 secondary schools for the proposed survey. The primary sampling strata will be defined by enrollment size class (less than 300, 300 to 499, 500 to 999, 1,000 to 1,499, and 1,500+) and minority status based on the percent of students in the school who are nonwhite (i.e., </w:t>
      </w:r>
      <w:r>
        <w:rPr>
          <w:rFonts w:ascii="Times New Roman" w:hAnsi="Times New Roman" w:cs="Times New Roman"/>
        </w:rPr>
        <w:t>the categories listed in Table 3</w:t>
      </w:r>
      <w:r w:rsidRPr="00A01D5E">
        <w:rPr>
          <w:rFonts w:ascii="Times New Roman" w:hAnsi="Times New Roman" w:cs="Times New Roman"/>
        </w:rPr>
        <w:t xml:space="preserve">). </w:t>
      </w:r>
    </w:p>
    <w:p w:rsidR="003437B4" w:rsidRPr="00A01D5E" w:rsidRDefault="003437B4" w:rsidP="003437B4">
      <w:pPr>
        <w:ind w:firstLine="720"/>
        <w:rPr>
          <w:rFonts w:ascii="Times New Roman" w:hAnsi="Times New Roman" w:cs="Times New Roman"/>
        </w:rPr>
      </w:pPr>
      <w:r w:rsidRPr="00A01D5E">
        <w:rPr>
          <w:rFonts w:ascii="Times New Roman" w:hAnsi="Times New Roman" w:cs="Times New Roman"/>
        </w:rPr>
        <w:t xml:space="preserve">Initially, the sample will be allocated to each primary stratum in rough proportion to the aggregate square root of the enrollment of the schools within the stratum. Such an allocation (referred to as a “probability-proportionate-to-square </w:t>
      </w:r>
      <w:r>
        <w:rPr>
          <w:rFonts w:ascii="Times New Roman" w:hAnsi="Times New Roman" w:cs="Times New Roman"/>
        </w:rPr>
        <w:t>r</w:t>
      </w:r>
      <w:r w:rsidRPr="00A01D5E">
        <w:rPr>
          <w:rFonts w:ascii="Times New Roman" w:hAnsi="Times New Roman" w:cs="Times New Roman"/>
        </w:rPr>
        <w:t xml:space="preserve">oot of size” design) has been used in prior FRSS surveys and is efficient for jointly estimating school-level characteristics and quantitative measures correlated with school enrollment. Prior to sample selection, schools in the frame will be sorted by broad categories of urban-centric locale code (city, suburban, town, rural) and OE region within the primary strata defined above. The sorting is designed to induce additional implicit </w:t>
      </w:r>
      <w:proofErr w:type="spellStart"/>
      <w:r w:rsidRPr="00A01D5E">
        <w:rPr>
          <w:rFonts w:ascii="Times New Roman" w:hAnsi="Times New Roman" w:cs="Times New Roman"/>
        </w:rPr>
        <w:t>substratification</w:t>
      </w:r>
      <w:proofErr w:type="spellEnd"/>
      <w:r w:rsidRPr="00A01D5E">
        <w:rPr>
          <w:rFonts w:ascii="Times New Roman" w:hAnsi="Times New Roman" w:cs="Times New Roman"/>
        </w:rPr>
        <w:t xml:space="preserve"> within the primary strata. The sample of 1,500 schools will then be selected systematically from </w:t>
      </w:r>
      <w:r w:rsidRPr="00A01D5E">
        <w:rPr>
          <w:rFonts w:ascii="Times New Roman" w:hAnsi="Times New Roman" w:cs="Times New Roman"/>
        </w:rPr>
        <w:lastRenderedPageBreak/>
        <w:t>the sorted frame at rates that are determined by the sample all</w:t>
      </w:r>
      <w:r>
        <w:rPr>
          <w:rFonts w:ascii="Times New Roman" w:hAnsi="Times New Roman" w:cs="Times New Roman"/>
        </w:rPr>
        <w:t>ocation described above. Table 4</w:t>
      </w:r>
      <w:r w:rsidRPr="00A01D5E">
        <w:rPr>
          <w:rFonts w:ascii="Times New Roman" w:hAnsi="Times New Roman" w:cs="Times New Roman"/>
        </w:rPr>
        <w:t xml:space="preserve"> summarizes the expected numbers of schools to be sampled under the proposed design.</w:t>
      </w:r>
    </w:p>
    <w:p w:rsidR="008C5576" w:rsidRPr="00AC2CDC" w:rsidRDefault="008C5576" w:rsidP="00AC2CDC">
      <w:pPr>
        <w:ind w:left="990" w:hanging="990"/>
        <w:rPr>
          <w:rFonts w:ascii="Times New Roman" w:hAnsi="Times New Roman" w:cs="Times New Roman"/>
          <w:b/>
        </w:rPr>
      </w:pPr>
      <w:proofErr w:type="gramStart"/>
      <w:r w:rsidRPr="00AC2CDC">
        <w:rPr>
          <w:rFonts w:ascii="Times New Roman" w:hAnsi="Times New Roman" w:cs="Times New Roman"/>
          <w:b/>
        </w:rPr>
        <w:t xml:space="preserve">Table </w:t>
      </w:r>
      <w:r w:rsidR="00B31F4C" w:rsidRPr="00AC2CDC">
        <w:rPr>
          <w:rFonts w:ascii="Times New Roman" w:hAnsi="Times New Roman" w:cs="Times New Roman"/>
          <w:b/>
        </w:rPr>
        <w:t>3</w:t>
      </w:r>
      <w:r w:rsidRPr="00AC2CDC">
        <w:rPr>
          <w:rFonts w:ascii="Times New Roman" w:hAnsi="Times New Roman" w:cs="Times New Roman"/>
          <w:b/>
        </w:rPr>
        <w:t>.</w:t>
      </w:r>
      <w:proofErr w:type="gramEnd"/>
      <w:r w:rsidR="00AC2CDC">
        <w:rPr>
          <w:rFonts w:ascii="Times New Roman" w:hAnsi="Times New Roman" w:cs="Times New Roman"/>
          <w:b/>
        </w:rPr>
        <w:tab/>
      </w:r>
      <w:r w:rsidR="00A01D5E" w:rsidRPr="00AC2CDC">
        <w:rPr>
          <w:rFonts w:ascii="Times New Roman" w:hAnsi="Times New Roman" w:cs="Times New Roman"/>
          <w:b/>
        </w:rPr>
        <w:t>Number and enrollment of secondary schools in the 2009</w:t>
      </w:r>
      <w:r w:rsidR="0045703A" w:rsidRPr="00800F35">
        <w:rPr>
          <w:rFonts w:ascii="Times New Roman" w:hAnsi="Times New Roman" w:cs="Times New Roman"/>
        </w:rPr>
        <w:t>–</w:t>
      </w:r>
      <w:r w:rsidR="00A01D5E" w:rsidRPr="00AC2CDC">
        <w:rPr>
          <w:rFonts w:ascii="Times New Roman" w:hAnsi="Times New Roman" w:cs="Times New Roman"/>
          <w:b/>
        </w:rPr>
        <w:t>2010 CCD public school frame by enrollment size class and minority status</w:t>
      </w:r>
    </w:p>
    <w:tbl>
      <w:tblPr>
        <w:tblW w:w="0" w:type="auto"/>
        <w:tblInd w:w="30" w:type="dxa"/>
        <w:tblLayout w:type="fixed"/>
        <w:tblCellMar>
          <w:left w:w="30" w:type="dxa"/>
          <w:right w:w="30" w:type="dxa"/>
        </w:tblCellMar>
        <w:tblLook w:val="0000"/>
      </w:tblPr>
      <w:tblGrid>
        <w:gridCol w:w="1440"/>
        <w:gridCol w:w="1728"/>
        <w:gridCol w:w="2772"/>
        <w:gridCol w:w="1710"/>
        <w:gridCol w:w="1710"/>
      </w:tblGrid>
      <w:tr w:rsidR="00A01D5E" w:rsidRPr="00AC2CDC" w:rsidTr="00AC2CDC">
        <w:trPr>
          <w:cantSplit/>
          <w:trHeight w:val="20"/>
        </w:trPr>
        <w:tc>
          <w:tcPr>
            <w:tcW w:w="1440" w:type="dxa"/>
            <w:tcBorders>
              <w:top w:val="single" w:sz="6" w:space="0" w:color="auto"/>
              <w:bottom w:val="single" w:sz="6" w:space="0" w:color="auto"/>
              <w:right w:val="single" w:sz="6" w:space="0" w:color="auto"/>
            </w:tcBorders>
            <w:vAlign w:val="bottom"/>
          </w:tcPr>
          <w:p w:rsidR="00A01D5E" w:rsidRPr="00AC2CDC" w:rsidRDefault="00A01D5E" w:rsidP="00AC2CDC">
            <w:pPr>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Instructional level</w:t>
            </w:r>
          </w:p>
        </w:tc>
        <w:tc>
          <w:tcPr>
            <w:tcW w:w="1728" w:type="dxa"/>
            <w:tcBorders>
              <w:top w:val="single" w:sz="6" w:space="0" w:color="auto"/>
              <w:bottom w:val="single" w:sz="6" w:space="0" w:color="auto"/>
              <w:right w:val="single" w:sz="6" w:space="0" w:color="auto"/>
            </w:tcBorders>
            <w:vAlign w:val="bottom"/>
          </w:tcPr>
          <w:p w:rsidR="00A01D5E" w:rsidRPr="00AC2CDC" w:rsidRDefault="00A01D5E" w:rsidP="00AC2CDC">
            <w:pPr>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Enrollment</w:t>
            </w:r>
            <w:r w:rsidR="00AC2CDC" w:rsidRPr="00AC2CDC">
              <w:rPr>
                <w:rFonts w:ascii="Times New Roman" w:hAnsi="Times New Roman" w:cs="Times New Roman"/>
                <w:sz w:val="18"/>
                <w:szCs w:val="18"/>
              </w:rPr>
              <w:t xml:space="preserve"> </w:t>
            </w:r>
            <w:r w:rsidRPr="00AC2CDC">
              <w:rPr>
                <w:rFonts w:ascii="Times New Roman" w:hAnsi="Times New Roman" w:cs="Times New Roman"/>
                <w:sz w:val="18"/>
                <w:szCs w:val="18"/>
              </w:rPr>
              <w:t>size class</w:t>
            </w:r>
          </w:p>
        </w:tc>
        <w:tc>
          <w:tcPr>
            <w:tcW w:w="2772" w:type="dxa"/>
            <w:tcBorders>
              <w:top w:val="single" w:sz="6" w:space="0" w:color="auto"/>
              <w:bottom w:val="single" w:sz="6" w:space="0" w:color="auto"/>
              <w:right w:val="single" w:sz="6" w:space="0" w:color="auto"/>
            </w:tcBorders>
            <w:vAlign w:val="bottom"/>
          </w:tcPr>
          <w:p w:rsidR="00A01D5E" w:rsidRPr="00AC2CDC" w:rsidRDefault="00AC2CDC" w:rsidP="00AC2CDC">
            <w:pPr>
              <w:spacing w:after="0" w:line="240" w:lineRule="atLeast"/>
              <w:rPr>
                <w:rFonts w:ascii="Times New Roman" w:hAnsi="Times New Roman" w:cs="Times New Roman"/>
                <w:sz w:val="18"/>
                <w:szCs w:val="18"/>
                <w:vertAlign w:val="superscript"/>
              </w:rPr>
            </w:pPr>
            <w:r>
              <w:rPr>
                <w:rFonts w:ascii="Times New Roman" w:hAnsi="Times New Roman" w:cs="Times New Roman"/>
                <w:sz w:val="18"/>
                <w:szCs w:val="18"/>
              </w:rPr>
              <w:t>Percent minority enrollment</w:t>
            </w:r>
            <w:r>
              <w:rPr>
                <w:rFonts w:ascii="Times New Roman" w:hAnsi="Times New Roman" w:cs="Times New Roman"/>
                <w:sz w:val="18"/>
                <w:szCs w:val="18"/>
                <w:vertAlign w:val="superscript"/>
              </w:rPr>
              <w:t>1</w:t>
            </w:r>
          </w:p>
        </w:tc>
        <w:tc>
          <w:tcPr>
            <w:tcW w:w="1710" w:type="dxa"/>
            <w:tcBorders>
              <w:top w:val="single" w:sz="6" w:space="0" w:color="auto"/>
              <w:left w:val="single" w:sz="6" w:space="0" w:color="auto"/>
              <w:bottom w:val="single" w:sz="6" w:space="0" w:color="auto"/>
              <w:right w:val="single" w:sz="6" w:space="0" w:color="auto"/>
            </w:tcBorders>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Number of schools</w:t>
            </w:r>
          </w:p>
        </w:tc>
        <w:tc>
          <w:tcPr>
            <w:tcW w:w="1710" w:type="dxa"/>
            <w:tcBorders>
              <w:top w:val="single" w:sz="6" w:space="0" w:color="auto"/>
              <w:bottom w:val="single" w:sz="6" w:space="0" w:color="auto"/>
            </w:tcBorders>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Enrollment</w:t>
            </w:r>
          </w:p>
        </w:tc>
      </w:tr>
      <w:tr w:rsidR="00A01D5E" w:rsidRPr="00AC2CDC" w:rsidTr="00AC2CDC">
        <w:trPr>
          <w:cantSplit/>
          <w:trHeight w:val="20"/>
        </w:trPr>
        <w:tc>
          <w:tcPr>
            <w:tcW w:w="1440" w:type="dxa"/>
            <w:tcBorders>
              <w:top w:val="single" w:sz="6" w:space="0" w:color="auto"/>
            </w:tcBorders>
          </w:tcPr>
          <w:p w:rsidR="00A01D5E" w:rsidRPr="00AC2CDC" w:rsidRDefault="00AC2CDC" w:rsidP="00AC2CDC">
            <w:pPr>
              <w:spacing w:after="0" w:line="240" w:lineRule="atLeast"/>
              <w:rPr>
                <w:rFonts w:ascii="Times New Roman" w:hAnsi="Times New Roman" w:cs="Times New Roman"/>
                <w:sz w:val="18"/>
                <w:szCs w:val="18"/>
                <w:vertAlign w:val="superscript"/>
              </w:rPr>
            </w:pPr>
            <w:r>
              <w:rPr>
                <w:rFonts w:ascii="Times New Roman" w:hAnsi="Times New Roman" w:cs="Times New Roman"/>
                <w:sz w:val="18"/>
                <w:szCs w:val="18"/>
              </w:rPr>
              <w:t>Secondary</w:t>
            </w:r>
            <w:r>
              <w:rPr>
                <w:rFonts w:ascii="Times New Roman" w:hAnsi="Times New Roman" w:cs="Times New Roman"/>
                <w:sz w:val="18"/>
                <w:szCs w:val="18"/>
                <w:vertAlign w:val="superscript"/>
              </w:rPr>
              <w:t>2</w:t>
            </w:r>
          </w:p>
        </w:tc>
        <w:tc>
          <w:tcPr>
            <w:tcW w:w="1728" w:type="dxa"/>
            <w:tcBorders>
              <w:top w:val="single" w:sz="6" w:space="0" w:color="auto"/>
            </w:tcBorders>
          </w:tcPr>
          <w:p w:rsidR="00A01D5E" w:rsidRPr="00AC2CDC" w:rsidRDefault="00A01D5E" w:rsidP="00AC2CDC">
            <w:pPr>
              <w:tabs>
                <w:tab w:val="left" w:leader="dot" w:pos="168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Less than 300</w:t>
            </w:r>
            <w:r w:rsidR="00AC2CDC">
              <w:rPr>
                <w:rFonts w:ascii="Times New Roman" w:hAnsi="Times New Roman" w:cs="Times New Roman"/>
                <w:sz w:val="18"/>
                <w:szCs w:val="18"/>
              </w:rPr>
              <w:tab/>
            </w:r>
          </w:p>
        </w:tc>
        <w:tc>
          <w:tcPr>
            <w:tcW w:w="2772" w:type="dxa"/>
            <w:tcBorders>
              <w:top w:val="single" w:sz="6" w:space="0" w:color="auto"/>
            </w:tcBorders>
            <w:vAlign w:val="bottom"/>
          </w:tcPr>
          <w:p w:rsidR="00A01D5E" w:rsidRPr="00AC2CDC" w:rsidRDefault="00A01D5E"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Missing</w:t>
            </w:r>
            <w:r w:rsidR="00AC2CDC">
              <w:rPr>
                <w:rFonts w:ascii="Times New Roman" w:hAnsi="Times New Roman" w:cs="Times New Roman"/>
                <w:sz w:val="18"/>
                <w:szCs w:val="18"/>
              </w:rPr>
              <w:tab/>
            </w:r>
          </w:p>
        </w:tc>
        <w:tc>
          <w:tcPr>
            <w:tcW w:w="1710" w:type="dxa"/>
            <w:tcBorders>
              <w:top w:val="single" w:sz="6" w:space="0" w:color="auto"/>
            </w:tcBorders>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246</w:t>
            </w:r>
          </w:p>
        </w:tc>
        <w:tc>
          <w:tcPr>
            <w:tcW w:w="1710" w:type="dxa"/>
            <w:tcBorders>
              <w:top w:val="single" w:sz="6" w:space="0" w:color="auto"/>
            </w:tcBorders>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36,900</w:t>
            </w:r>
          </w:p>
        </w:tc>
      </w:tr>
      <w:tr w:rsidR="00A01D5E" w:rsidRPr="00AC2CDC" w:rsidTr="00AC2CDC">
        <w:trPr>
          <w:cantSplit/>
          <w:trHeight w:val="20"/>
        </w:trPr>
        <w:tc>
          <w:tcPr>
            <w:tcW w:w="1440" w:type="dxa"/>
          </w:tcPr>
          <w:p w:rsidR="00A01D5E" w:rsidRPr="00AC2CDC" w:rsidRDefault="00A01D5E" w:rsidP="00AC2CDC">
            <w:pPr>
              <w:spacing w:after="0" w:line="240" w:lineRule="atLeast"/>
              <w:rPr>
                <w:rFonts w:ascii="Times New Roman" w:hAnsi="Times New Roman" w:cs="Times New Roman"/>
                <w:sz w:val="18"/>
                <w:szCs w:val="18"/>
              </w:rPr>
            </w:pPr>
          </w:p>
        </w:tc>
        <w:tc>
          <w:tcPr>
            <w:tcW w:w="1728" w:type="dxa"/>
          </w:tcPr>
          <w:p w:rsidR="00A01D5E" w:rsidRPr="00AC2CDC" w:rsidRDefault="00A01D5E"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01D5E" w:rsidRPr="00AC2CDC" w:rsidRDefault="00A01D5E"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Less than 6 percent</w:t>
            </w:r>
            <w:r w:rsidR="00AC2CDC">
              <w:rPr>
                <w:rFonts w:ascii="Times New Roman" w:hAnsi="Times New Roman" w:cs="Times New Roman"/>
                <w:sz w:val="18"/>
                <w:szCs w:val="18"/>
              </w:rPr>
              <w:tab/>
            </w:r>
          </w:p>
        </w:tc>
        <w:tc>
          <w:tcPr>
            <w:tcW w:w="1710" w:type="dxa"/>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1,714</w:t>
            </w:r>
          </w:p>
        </w:tc>
        <w:tc>
          <w:tcPr>
            <w:tcW w:w="1710" w:type="dxa"/>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257,100</w:t>
            </w:r>
          </w:p>
        </w:tc>
      </w:tr>
      <w:tr w:rsidR="00A01D5E" w:rsidRPr="00AC2CDC" w:rsidTr="00AC2CDC">
        <w:trPr>
          <w:cantSplit/>
          <w:trHeight w:val="20"/>
        </w:trPr>
        <w:tc>
          <w:tcPr>
            <w:tcW w:w="1440" w:type="dxa"/>
          </w:tcPr>
          <w:p w:rsidR="00A01D5E" w:rsidRPr="00AC2CDC" w:rsidRDefault="00A01D5E" w:rsidP="00AC2CDC">
            <w:pPr>
              <w:spacing w:after="0" w:line="240" w:lineRule="atLeast"/>
              <w:rPr>
                <w:rFonts w:ascii="Times New Roman" w:hAnsi="Times New Roman" w:cs="Times New Roman"/>
                <w:sz w:val="18"/>
                <w:szCs w:val="18"/>
              </w:rPr>
            </w:pPr>
          </w:p>
        </w:tc>
        <w:tc>
          <w:tcPr>
            <w:tcW w:w="1728" w:type="dxa"/>
          </w:tcPr>
          <w:p w:rsidR="00A01D5E" w:rsidRPr="00AC2CDC" w:rsidRDefault="00A01D5E"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01D5E" w:rsidRPr="00AC2CDC" w:rsidRDefault="00A01D5E"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6 to 20.9 percent</w:t>
            </w:r>
            <w:r w:rsidR="00AC2CDC">
              <w:rPr>
                <w:rFonts w:ascii="Times New Roman" w:hAnsi="Times New Roman" w:cs="Times New Roman"/>
                <w:sz w:val="18"/>
                <w:szCs w:val="18"/>
              </w:rPr>
              <w:tab/>
            </w:r>
          </w:p>
        </w:tc>
        <w:tc>
          <w:tcPr>
            <w:tcW w:w="1710" w:type="dxa"/>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1,460</w:t>
            </w:r>
          </w:p>
        </w:tc>
        <w:tc>
          <w:tcPr>
            <w:tcW w:w="1710" w:type="dxa"/>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219,000</w:t>
            </w:r>
          </w:p>
        </w:tc>
      </w:tr>
      <w:tr w:rsidR="00A01D5E" w:rsidRPr="00AC2CDC" w:rsidTr="00AC2CDC">
        <w:trPr>
          <w:cantSplit/>
          <w:trHeight w:val="20"/>
        </w:trPr>
        <w:tc>
          <w:tcPr>
            <w:tcW w:w="1440" w:type="dxa"/>
          </w:tcPr>
          <w:p w:rsidR="00A01D5E" w:rsidRPr="00AC2CDC" w:rsidRDefault="00A01D5E" w:rsidP="00AC2CDC">
            <w:pPr>
              <w:spacing w:after="0" w:line="240" w:lineRule="atLeast"/>
              <w:rPr>
                <w:rFonts w:ascii="Times New Roman" w:hAnsi="Times New Roman" w:cs="Times New Roman"/>
                <w:sz w:val="18"/>
                <w:szCs w:val="18"/>
              </w:rPr>
            </w:pPr>
          </w:p>
        </w:tc>
        <w:tc>
          <w:tcPr>
            <w:tcW w:w="1728" w:type="dxa"/>
          </w:tcPr>
          <w:p w:rsidR="00A01D5E" w:rsidRPr="00AC2CDC" w:rsidRDefault="00A01D5E"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01D5E" w:rsidRPr="00AC2CDC" w:rsidRDefault="00A01D5E"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21 to 49.9 percent</w:t>
            </w:r>
            <w:r w:rsidR="00AC2CDC">
              <w:rPr>
                <w:rFonts w:ascii="Times New Roman" w:hAnsi="Times New Roman" w:cs="Times New Roman"/>
                <w:sz w:val="18"/>
                <w:szCs w:val="18"/>
              </w:rPr>
              <w:tab/>
            </w:r>
          </w:p>
        </w:tc>
        <w:tc>
          <w:tcPr>
            <w:tcW w:w="1710" w:type="dxa"/>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1,106</w:t>
            </w:r>
          </w:p>
        </w:tc>
        <w:tc>
          <w:tcPr>
            <w:tcW w:w="1710" w:type="dxa"/>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165,900</w:t>
            </w:r>
          </w:p>
        </w:tc>
      </w:tr>
      <w:tr w:rsidR="00A01D5E" w:rsidRPr="00AC2CDC" w:rsidTr="00AC2CDC">
        <w:trPr>
          <w:cantSplit/>
          <w:trHeight w:val="20"/>
        </w:trPr>
        <w:tc>
          <w:tcPr>
            <w:tcW w:w="1440" w:type="dxa"/>
          </w:tcPr>
          <w:p w:rsidR="00A01D5E" w:rsidRPr="00AC2CDC" w:rsidRDefault="00A01D5E" w:rsidP="00AC2CDC">
            <w:pPr>
              <w:spacing w:after="0" w:line="240" w:lineRule="atLeast"/>
              <w:rPr>
                <w:rFonts w:ascii="Times New Roman" w:hAnsi="Times New Roman" w:cs="Times New Roman"/>
                <w:sz w:val="18"/>
                <w:szCs w:val="18"/>
              </w:rPr>
            </w:pPr>
          </w:p>
        </w:tc>
        <w:tc>
          <w:tcPr>
            <w:tcW w:w="1728" w:type="dxa"/>
          </w:tcPr>
          <w:p w:rsidR="00A01D5E" w:rsidRPr="00AC2CDC" w:rsidRDefault="00A01D5E"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01D5E" w:rsidRPr="00AC2CDC" w:rsidRDefault="00A01D5E"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50 percent or more</w:t>
            </w:r>
            <w:r w:rsidR="00AC2CDC">
              <w:rPr>
                <w:rFonts w:ascii="Times New Roman" w:hAnsi="Times New Roman" w:cs="Times New Roman"/>
                <w:sz w:val="18"/>
                <w:szCs w:val="18"/>
              </w:rPr>
              <w:tab/>
            </w:r>
          </w:p>
        </w:tc>
        <w:tc>
          <w:tcPr>
            <w:tcW w:w="1710" w:type="dxa"/>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1,653</w:t>
            </w:r>
          </w:p>
        </w:tc>
        <w:tc>
          <w:tcPr>
            <w:tcW w:w="1710" w:type="dxa"/>
            <w:vAlign w:val="bottom"/>
          </w:tcPr>
          <w:p w:rsidR="00A01D5E" w:rsidRPr="00AC2CDC" w:rsidRDefault="00A01D5E"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247,950</w:t>
            </w:r>
          </w:p>
        </w:tc>
      </w:tr>
      <w:tr w:rsidR="00AC2CDC" w:rsidRPr="00AC2CDC" w:rsidTr="00AC2CDC">
        <w:trPr>
          <w:cantSplit/>
          <w:trHeight w:val="20"/>
        </w:trPr>
        <w:tc>
          <w:tcPr>
            <w:tcW w:w="1440" w:type="dxa"/>
          </w:tcPr>
          <w:p w:rsidR="00AC2CDC" w:rsidRPr="00AC2CDC" w:rsidRDefault="00AC2CDC" w:rsidP="00AC2CDC">
            <w:pPr>
              <w:spacing w:after="0" w:line="120" w:lineRule="auto"/>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120" w:lineRule="auto"/>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120" w:lineRule="auto"/>
              <w:rPr>
                <w:rFonts w:ascii="Times New Roman" w:hAnsi="Times New Roman" w:cs="Times New Roman"/>
                <w:sz w:val="18"/>
                <w:szCs w:val="18"/>
              </w:rPr>
            </w:pPr>
          </w:p>
        </w:tc>
        <w:tc>
          <w:tcPr>
            <w:tcW w:w="1710" w:type="dxa"/>
            <w:vAlign w:val="bottom"/>
          </w:tcPr>
          <w:p w:rsidR="00AC2CDC" w:rsidRPr="00AC2CDC" w:rsidRDefault="00AC2CDC" w:rsidP="00AC2CDC">
            <w:pPr>
              <w:spacing w:after="0" w:line="120" w:lineRule="auto"/>
              <w:jc w:val="right"/>
              <w:rPr>
                <w:rFonts w:ascii="Times New Roman" w:hAnsi="Times New Roman" w:cs="Times New Roman"/>
                <w:sz w:val="18"/>
                <w:szCs w:val="18"/>
              </w:rPr>
            </w:pPr>
          </w:p>
        </w:tc>
        <w:tc>
          <w:tcPr>
            <w:tcW w:w="1710" w:type="dxa"/>
            <w:vAlign w:val="bottom"/>
          </w:tcPr>
          <w:p w:rsidR="00AC2CDC" w:rsidRPr="00AC2CDC" w:rsidRDefault="00AC2CDC" w:rsidP="00AC2CDC">
            <w:pPr>
              <w:spacing w:after="0" w:line="120" w:lineRule="auto"/>
              <w:jc w:val="right"/>
              <w:rPr>
                <w:rFonts w:ascii="Times New Roman" w:hAnsi="Times New Roman" w:cs="Times New Roman"/>
                <w:sz w:val="18"/>
                <w:szCs w:val="18"/>
              </w:rPr>
            </w:pP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300 to 499</w:t>
            </w:r>
            <w:r>
              <w:rPr>
                <w:rFonts w:ascii="Times New Roman" w:hAnsi="Times New Roman" w:cs="Times New Roman"/>
                <w:sz w:val="18"/>
                <w:szCs w:val="18"/>
              </w:rPr>
              <w:tab/>
            </w: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Missing</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0</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Less than 6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1,044</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417,600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6 to 20.9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688</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275,200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21 to 49.9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477</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190,800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50 percent or more</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899</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359,600</w:t>
            </w:r>
          </w:p>
        </w:tc>
      </w:tr>
      <w:tr w:rsidR="00AC2CDC" w:rsidRPr="00AC2CDC" w:rsidTr="00AC2CDC">
        <w:trPr>
          <w:cantSplit/>
          <w:trHeight w:val="20"/>
        </w:trPr>
        <w:tc>
          <w:tcPr>
            <w:tcW w:w="1440" w:type="dxa"/>
          </w:tcPr>
          <w:p w:rsidR="00AC2CDC" w:rsidRPr="00AC2CDC" w:rsidRDefault="00AC2CDC" w:rsidP="00AC2CDC">
            <w:pPr>
              <w:spacing w:after="0" w:line="120" w:lineRule="auto"/>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120" w:lineRule="auto"/>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120" w:lineRule="auto"/>
              <w:rPr>
                <w:rFonts w:ascii="Times New Roman" w:hAnsi="Times New Roman" w:cs="Times New Roman"/>
                <w:sz w:val="18"/>
                <w:szCs w:val="18"/>
              </w:rPr>
            </w:pPr>
          </w:p>
        </w:tc>
        <w:tc>
          <w:tcPr>
            <w:tcW w:w="1710" w:type="dxa"/>
            <w:vAlign w:val="bottom"/>
          </w:tcPr>
          <w:p w:rsidR="00AC2CDC" w:rsidRPr="00AC2CDC" w:rsidRDefault="00AC2CDC" w:rsidP="00AC2CDC">
            <w:pPr>
              <w:spacing w:after="0" w:line="120" w:lineRule="auto"/>
              <w:jc w:val="right"/>
              <w:rPr>
                <w:rFonts w:ascii="Times New Roman" w:hAnsi="Times New Roman" w:cs="Times New Roman"/>
                <w:sz w:val="18"/>
                <w:szCs w:val="18"/>
              </w:rPr>
            </w:pPr>
          </w:p>
        </w:tc>
        <w:tc>
          <w:tcPr>
            <w:tcW w:w="1710" w:type="dxa"/>
            <w:vAlign w:val="bottom"/>
          </w:tcPr>
          <w:p w:rsidR="00AC2CDC" w:rsidRPr="00AC2CDC" w:rsidRDefault="00AC2CDC" w:rsidP="00AC2CDC">
            <w:pPr>
              <w:spacing w:after="0" w:line="120" w:lineRule="auto"/>
              <w:jc w:val="right"/>
              <w:rPr>
                <w:rFonts w:ascii="Times New Roman" w:hAnsi="Times New Roman" w:cs="Times New Roman"/>
                <w:sz w:val="18"/>
                <w:szCs w:val="18"/>
              </w:rPr>
            </w:pP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500 to 999</w:t>
            </w:r>
            <w:r>
              <w:rPr>
                <w:rFonts w:ascii="Times New Roman" w:hAnsi="Times New Roman" w:cs="Times New Roman"/>
                <w:sz w:val="18"/>
                <w:szCs w:val="18"/>
              </w:rPr>
              <w:tab/>
            </w: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Missing</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0</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Less than 6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996</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747,000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6 to 20.9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1,119</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839,250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21 to 49.9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769</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576,750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50 percent or more</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1,066</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799,500</w:t>
            </w:r>
          </w:p>
        </w:tc>
      </w:tr>
      <w:tr w:rsidR="00AC2CDC" w:rsidRPr="00AC2CDC" w:rsidTr="00AC2CDC">
        <w:trPr>
          <w:cantSplit/>
          <w:trHeight w:val="20"/>
        </w:trPr>
        <w:tc>
          <w:tcPr>
            <w:tcW w:w="1440" w:type="dxa"/>
          </w:tcPr>
          <w:p w:rsidR="00AC2CDC" w:rsidRPr="00AC2CDC" w:rsidRDefault="00AC2CDC" w:rsidP="00AC2CDC">
            <w:pPr>
              <w:spacing w:after="0" w:line="120" w:lineRule="auto"/>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120" w:lineRule="auto"/>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120" w:lineRule="auto"/>
              <w:rPr>
                <w:rFonts w:ascii="Times New Roman" w:hAnsi="Times New Roman" w:cs="Times New Roman"/>
                <w:sz w:val="18"/>
                <w:szCs w:val="18"/>
              </w:rPr>
            </w:pPr>
          </w:p>
        </w:tc>
        <w:tc>
          <w:tcPr>
            <w:tcW w:w="1710" w:type="dxa"/>
            <w:vAlign w:val="bottom"/>
          </w:tcPr>
          <w:p w:rsidR="00AC2CDC" w:rsidRPr="00AC2CDC" w:rsidRDefault="00AC2CDC" w:rsidP="00AC2CDC">
            <w:pPr>
              <w:spacing w:after="0" w:line="120" w:lineRule="auto"/>
              <w:jc w:val="right"/>
              <w:rPr>
                <w:rFonts w:ascii="Times New Roman" w:hAnsi="Times New Roman" w:cs="Times New Roman"/>
                <w:sz w:val="18"/>
                <w:szCs w:val="18"/>
              </w:rPr>
            </w:pPr>
          </w:p>
        </w:tc>
        <w:tc>
          <w:tcPr>
            <w:tcW w:w="1710" w:type="dxa"/>
            <w:vAlign w:val="bottom"/>
          </w:tcPr>
          <w:p w:rsidR="00AC2CDC" w:rsidRPr="00AC2CDC" w:rsidRDefault="00AC2CDC" w:rsidP="00AC2CDC">
            <w:pPr>
              <w:spacing w:after="0" w:line="120" w:lineRule="auto"/>
              <w:jc w:val="right"/>
              <w:rPr>
                <w:rFonts w:ascii="Times New Roman" w:hAnsi="Times New Roman" w:cs="Times New Roman"/>
                <w:sz w:val="18"/>
                <w:szCs w:val="18"/>
              </w:rPr>
            </w:pP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1,000 to 1,499</w:t>
            </w:r>
            <w:r>
              <w:rPr>
                <w:rFonts w:ascii="Times New Roman" w:hAnsi="Times New Roman" w:cs="Times New Roman"/>
                <w:sz w:val="18"/>
                <w:szCs w:val="18"/>
              </w:rPr>
              <w:tab/>
            </w: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Missing</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0</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Less than 6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225</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281,250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6 to 20.9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760</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950,000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21 to 49.9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724</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905,000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50 percent or more</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779</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973,750</w:t>
            </w:r>
          </w:p>
        </w:tc>
      </w:tr>
      <w:tr w:rsidR="00AC2CDC" w:rsidRPr="00AC2CDC" w:rsidTr="00AC2CDC">
        <w:trPr>
          <w:cantSplit/>
          <w:trHeight w:val="20"/>
        </w:trPr>
        <w:tc>
          <w:tcPr>
            <w:tcW w:w="1440" w:type="dxa"/>
          </w:tcPr>
          <w:p w:rsidR="00AC2CDC" w:rsidRPr="00AC2CDC" w:rsidRDefault="00AC2CDC" w:rsidP="00AC2CDC">
            <w:pPr>
              <w:spacing w:after="0" w:line="120" w:lineRule="auto"/>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120" w:lineRule="auto"/>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120" w:lineRule="auto"/>
              <w:rPr>
                <w:rFonts w:ascii="Times New Roman" w:hAnsi="Times New Roman" w:cs="Times New Roman"/>
                <w:sz w:val="18"/>
                <w:szCs w:val="18"/>
              </w:rPr>
            </w:pPr>
          </w:p>
        </w:tc>
        <w:tc>
          <w:tcPr>
            <w:tcW w:w="1710" w:type="dxa"/>
            <w:vAlign w:val="bottom"/>
          </w:tcPr>
          <w:p w:rsidR="00AC2CDC" w:rsidRPr="00AC2CDC" w:rsidRDefault="00AC2CDC" w:rsidP="00AC2CDC">
            <w:pPr>
              <w:spacing w:after="0" w:line="120" w:lineRule="auto"/>
              <w:jc w:val="right"/>
              <w:rPr>
                <w:rFonts w:ascii="Times New Roman" w:hAnsi="Times New Roman" w:cs="Times New Roman"/>
                <w:sz w:val="18"/>
                <w:szCs w:val="18"/>
              </w:rPr>
            </w:pPr>
          </w:p>
        </w:tc>
        <w:tc>
          <w:tcPr>
            <w:tcW w:w="1710" w:type="dxa"/>
            <w:vAlign w:val="bottom"/>
          </w:tcPr>
          <w:p w:rsidR="00AC2CDC" w:rsidRPr="00AC2CDC" w:rsidRDefault="00AC2CDC" w:rsidP="00AC2CDC">
            <w:pPr>
              <w:spacing w:after="0" w:line="120" w:lineRule="auto"/>
              <w:jc w:val="right"/>
              <w:rPr>
                <w:rFonts w:ascii="Times New Roman" w:hAnsi="Times New Roman" w:cs="Times New Roman"/>
                <w:sz w:val="18"/>
                <w:szCs w:val="18"/>
              </w:rPr>
            </w:pP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1,500 or more</w:t>
            </w:r>
            <w:r>
              <w:rPr>
                <w:rFonts w:ascii="Times New Roman" w:hAnsi="Times New Roman" w:cs="Times New Roman"/>
                <w:sz w:val="18"/>
                <w:szCs w:val="18"/>
              </w:rPr>
              <w:tab/>
            </w: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Missing</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0</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Less than 6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72</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144,000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6 to 20.9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611</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1,222,000</w:t>
            </w:r>
          </w:p>
        </w:tc>
      </w:tr>
      <w:tr w:rsidR="00AC2CDC" w:rsidRPr="00AC2CDC" w:rsidTr="00AC2CDC">
        <w:trPr>
          <w:cantSplit/>
          <w:trHeight w:val="20"/>
        </w:trPr>
        <w:tc>
          <w:tcPr>
            <w:tcW w:w="1440" w:type="dxa"/>
          </w:tcPr>
          <w:p w:rsidR="00AC2CDC" w:rsidRPr="00AC2CDC" w:rsidRDefault="00AC2CDC" w:rsidP="00AC2CDC">
            <w:pPr>
              <w:spacing w:after="0" w:line="240" w:lineRule="atLeast"/>
              <w:rPr>
                <w:rFonts w:ascii="Times New Roman" w:hAnsi="Times New Roman" w:cs="Times New Roman"/>
                <w:sz w:val="18"/>
                <w:szCs w:val="18"/>
              </w:rPr>
            </w:pPr>
          </w:p>
        </w:tc>
        <w:tc>
          <w:tcPr>
            <w:tcW w:w="1728" w:type="dxa"/>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21 to 49.9 percent</w:t>
            </w:r>
            <w:r>
              <w:rPr>
                <w:rFonts w:ascii="Times New Roman" w:hAnsi="Times New Roman" w:cs="Times New Roman"/>
                <w:sz w:val="18"/>
                <w:szCs w:val="18"/>
              </w:rPr>
              <w:tab/>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1,032</w:t>
            </w:r>
          </w:p>
        </w:tc>
        <w:tc>
          <w:tcPr>
            <w:tcW w:w="1710" w:type="dxa"/>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2,064,000</w:t>
            </w:r>
          </w:p>
        </w:tc>
      </w:tr>
      <w:tr w:rsidR="00AC2CDC" w:rsidRPr="00AC2CDC" w:rsidTr="00AC2CDC">
        <w:trPr>
          <w:cantSplit/>
          <w:trHeight w:val="20"/>
        </w:trPr>
        <w:tc>
          <w:tcPr>
            <w:tcW w:w="1440" w:type="dxa"/>
            <w:tcBorders>
              <w:bottom w:val="single" w:sz="6" w:space="0" w:color="auto"/>
            </w:tcBorders>
          </w:tcPr>
          <w:p w:rsidR="00AC2CDC" w:rsidRPr="00AC2CDC" w:rsidRDefault="00AC2CDC" w:rsidP="00AC2CDC">
            <w:pPr>
              <w:spacing w:after="0" w:line="240" w:lineRule="atLeast"/>
              <w:rPr>
                <w:rFonts w:ascii="Times New Roman" w:hAnsi="Times New Roman" w:cs="Times New Roman"/>
                <w:sz w:val="18"/>
                <w:szCs w:val="18"/>
              </w:rPr>
            </w:pPr>
          </w:p>
        </w:tc>
        <w:tc>
          <w:tcPr>
            <w:tcW w:w="1728" w:type="dxa"/>
            <w:tcBorders>
              <w:bottom w:val="single" w:sz="6" w:space="0" w:color="auto"/>
            </w:tcBorders>
          </w:tcPr>
          <w:p w:rsidR="00AC2CDC" w:rsidRPr="00AC2CDC" w:rsidRDefault="00AC2CDC" w:rsidP="00AC2CDC">
            <w:pPr>
              <w:tabs>
                <w:tab w:val="left" w:leader="dot" w:pos="1680"/>
              </w:tabs>
              <w:spacing w:after="0" w:line="240" w:lineRule="atLeast"/>
              <w:rPr>
                <w:rFonts w:ascii="Times New Roman" w:hAnsi="Times New Roman" w:cs="Times New Roman"/>
                <w:sz w:val="18"/>
                <w:szCs w:val="18"/>
              </w:rPr>
            </w:pPr>
          </w:p>
        </w:tc>
        <w:tc>
          <w:tcPr>
            <w:tcW w:w="2772" w:type="dxa"/>
            <w:tcBorders>
              <w:bottom w:val="single" w:sz="6" w:space="0" w:color="auto"/>
            </w:tcBorders>
            <w:vAlign w:val="bottom"/>
          </w:tcPr>
          <w:p w:rsidR="00AC2CDC" w:rsidRPr="00AC2CDC" w:rsidRDefault="00AC2CDC" w:rsidP="00AC2CDC">
            <w:pPr>
              <w:tabs>
                <w:tab w:val="left" w:leader="dot" w:pos="2742"/>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50 percent or more</w:t>
            </w:r>
            <w:r>
              <w:rPr>
                <w:rFonts w:ascii="Times New Roman" w:hAnsi="Times New Roman" w:cs="Times New Roman"/>
                <w:sz w:val="18"/>
                <w:szCs w:val="18"/>
              </w:rPr>
              <w:tab/>
            </w:r>
          </w:p>
        </w:tc>
        <w:tc>
          <w:tcPr>
            <w:tcW w:w="1710" w:type="dxa"/>
            <w:tcBorders>
              <w:bottom w:val="single" w:sz="6" w:space="0" w:color="auto"/>
            </w:tcBorders>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1,481</w:t>
            </w:r>
          </w:p>
        </w:tc>
        <w:tc>
          <w:tcPr>
            <w:tcW w:w="1710" w:type="dxa"/>
            <w:tcBorders>
              <w:bottom w:val="single" w:sz="6" w:space="0" w:color="auto"/>
            </w:tcBorders>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2,962,000</w:t>
            </w:r>
          </w:p>
        </w:tc>
      </w:tr>
      <w:tr w:rsidR="00AC2CDC" w:rsidRPr="00AC2CDC" w:rsidTr="00AC2CDC">
        <w:trPr>
          <w:cantSplit/>
          <w:trHeight w:val="20"/>
        </w:trPr>
        <w:tc>
          <w:tcPr>
            <w:tcW w:w="5940" w:type="dxa"/>
            <w:gridSpan w:val="3"/>
            <w:tcBorders>
              <w:top w:val="single" w:sz="6" w:space="0" w:color="auto"/>
              <w:bottom w:val="single" w:sz="6" w:space="0" w:color="auto"/>
            </w:tcBorders>
          </w:tcPr>
          <w:p w:rsidR="00AC2CDC" w:rsidRPr="00AC2CDC" w:rsidRDefault="00AC2CDC" w:rsidP="00AC2CDC">
            <w:pPr>
              <w:tabs>
                <w:tab w:val="right" w:leader="dot" w:pos="588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Total</w:t>
            </w:r>
            <w:r>
              <w:rPr>
                <w:rFonts w:ascii="Times New Roman" w:hAnsi="Times New Roman" w:cs="Times New Roman"/>
                <w:sz w:val="18"/>
                <w:szCs w:val="18"/>
              </w:rPr>
              <w:tab/>
            </w:r>
          </w:p>
        </w:tc>
        <w:tc>
          <w:tcPr>
            <w:tcW w:w="1710" w:type="dxa"/>
            <w:tcBorders>
              <w:top w:val="single" w:sz="6" w:space="0" w:color="auto"/>
              <w:bottom w:val="single" w:sz="6" w:space="0" w:color="auto"/>
            </w:tcBorders>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18,921</w:t>
            </w:r>
          </w:p>
        </w:tc>
        <w:tc>
          <w:tcPr>
            <w:tcW w:w="1710" w:type="dxa"/>
            <w:tcBorders>
              <w:top w:val="single" w:sz="6" w:space="0" w:color="auto"/>
              <w:bottom w:val="single" w:sz="6" w:space="0" w:color="auto"/>
            </w:tcBorders>
            <w:vAlign w:val="bottom"/>
          </w:tcPr>
          <w:p w:rsidR="00AC2CDC" w:rsidRPr="00AC2CDC" w:rsidRDefault="00AC2CDC" w:rsidP="00AC2CDC">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14,634,550</w:t>
            </w:r>
          </w:p>
        </w:tc>
      </w:tr>
    </w:tbl>
    <w:p w:rsidR="00AC2CDC" w:rsidRPr="00AC2CDC" w:rsidRDefault="00AC2CDC" w:rsidP="00AC2CDC">
      <w:pPr>
        <w:spacing w:after="0" w:line="240" w:lineRule="auto"/>
        <w:rPr>
          <w:rFonts w:ascii="Times New Roman" w:hAnsi="Times New Roman" w:cs="Times New Roman"/>
          <w:sz w:val="18"/>
          <w:szCs w:val="18"/>
        </w:rPr>
      </w:pPr>
      <w:r w:rsidRPr="00AC2CDC">
        <w:rPr>
          <w:rFonts w:ascii="Times New Roman" w:hAnsi="Times New Roman" w:cs="Times New Roman"/>
          <w:sz w:val="18"/>
          <w:szCs w:val="18"/>
          <w:vertAlign w:val="superscript"/>
        </w:rPr>
        <w:t>1</w:t>
      </w:r>
      <w:r w:rsidRPr="00AC2CDC">
        <w:rPr>
          <w:rFonts w:ascii="Times New Roman" w:hAnsi="Times New Roman" w:cs="Times New Roman"/>
          <w:sz w:val="18"/>
          <w:szCs w:val="18"/>
        </w:rPr>
        <w:t>Percent of nonwhite students in school as reported in CCD file.</w:t>
      </w:r>
    </w:p>
    <w:p w:rsidR="00A01D5E" w:rsidRPr="00AC2CDC" w:rsidRDefault="00AC2CDC" w:rsidP="00AC2CDC">
      <w:pPr>
        <w:spacing w:after="0" w:line="240" w:lineRule="auto"/>
        <w:rPr>
          <w:rFonts w:ascii="Times New Roman" w:hAnsi="Times New Roman" w:cs="Times New Roman"/>
          <w:sz w:val="18"/>
          <w:szCs w:val="18"/>
        </w:rPr>
      </w:pPr>
      <w:r>
        <w:rPr>
          <w:rFonts w:ascii="Times New Roman" w:hAnsi="Times New Roman" w:cs="Times New Roman"/>
          <w:sz w:val="18"/>
          <w:szCs w:val="18"/>
          <w:vertAlign w:val="superscript"/>
        </w:rPr>
        <w:t>2</w:t>
      </w:r>
      <w:r w:rsidR="00A01D5E" w:rsidRPr="00AC2CDC">
        <w:rPr>
          <w:rFonts w:ascii="Times New Roman" w:hAnsi="Times New Roman" w:cs="Times New Roman"/>
          <w:sz w:val="18"/>
          <w:szCs w:val="18"/>
        </w:rPr>
        <w:t>Regular schools in the CCD public school universe file</w:t>
      </w:r>
      <w:r w:rsidR="00FB6DE1" w:rsidRPr="00AC2CDC">
        <w:rPr>
          <w:rFonts w:ascii="Times New Roman" w:hAnsi="Times New Roman" w:cs="Times New Roman"/>
          <w:sz w:val="18"/>
          <w:szCs w:val="18"/>
        </w:rPr>
        <w:t xml:space="preserve"> with a high grade of 11 or 12.</w:t>
      </w:r>
    </w:p>
    <w:p w:rsidR="00A01D5E" w:rsidRPr="00A01D5E" w:rsidRDefault="00A01D5E" w:rsidP="00A01D5E">
      <w:pPr>
        <w:rPr>
          <w:rFonts w:ascii="Times New Roman" w:hAnsi="Times New Roman" w:cs="Times New Roman"/>
        </w:rPr>
      </w:pPr>
    </w:p>
    <w:p w:rsidR="00A01D5E" w:rsidRPr="00AC2CDC" w:rsidRDefault="00A01D5E" w:rsidP="00AC2CDC">
      <w:pPr>
        <w:ind w:left="990" w:hanging="990"/>
        <w:rPr>
          <w:rFonts w:ascii="Times New Roman" w:hAnsi="Times New Roman" w:cs="Times New Roman"/>
          <w:b/>
        </w:rPr>
      </w:pPr>
      <w:proofErr w:type="gramStart"/>
      <w:r w:rsidRPr="00AC2CDC">
        <w:rPr>
          <w:rFonts w:ascii="Times New Roman" w:hAnsi="Times New Roman" w:cs="Times New Roman"/>
          <w:b/>
        </w:rPr>
        <w:t xml:space="preserve">Table </w:t>
      </w:r>
      <w:r w:rsidR="00A86296" w:rsidRPr="00AC2CDC">
        <w:rPr>
          <w:rFonts w:ascii="Times New Roman" w:hAnsi="Times New Roman" w:cs="Times New Roman"/>
          <w:b/>
        </w:rPr>
        <w:t>4</w:t>
      </w:r>
      <w:r w:rsidRPr="00AC2CDC">
        <w:rPr>
          <w:rFonts w:ascii="Times New Roman" w:hAnsi="Times New Roman" w:cs="Times New Roman"/>
          <w:b/>
        </w:rPr>
        <w:t>.</w:t>
      </w:r>
      <w:proofErr w:type="gramEnd"/>
      <w:r w:rsidR="00AC2CDC">
        <w:rPr>
          <w:rFonts w:ascii="Times New Roman" w:hAnsi="Times New Roman" w:cs="Times New Roman"/>
          <w:b/>
        </w:rPr>
        <w:tab/>
      </w:r>
      <w:r w:rsidRPr="00AC2CDC">
        <w:rPr>
          <w:rFonts w:ascii="Times New Roman" w:hAnsi="Times New Roman" w:cs="Times New Roman"/>
          <w:b/>
        </w:rPr>
        <w:t>Proposed allocation of the secondary school sample by enrollment size class and corresponding sampling rate</w:t>
      </w:r>
    </w:p>
    <w:tbl>
      <w:tblPr>
        <w:tblW w:w="0" w:type="auto"/>
        <w:tblLayout w:type="fixed"/>
        <w:tblCellMar>
          <w:left w:w="30" w:type="dxa"/>
          <w:right w:w="30" w:type="dxa"/>
        </w:tblCellMar>
        <w:tblLook w:val="0000"/>
      </w:tblPr>
      <w:tblGrid>
        <w:gridCol w:w="5700"/>
        <w:gridCol w:w="1845"/>
        <w:gridCol w:w="1845"/>
      </w:tblGrid>
      <w:tr w:rsidR="00A01D5E" w:rsidRPr="00A01D5E" w:rsidTr="00DE23F0">
        <w:trPr>
          <w:cantSplit/>
          <w:trHeight w:val="20"/>
        </w:trPr>
        <w:tc>
          <w:tcPr>
            <w:tcW w:w="5700" w:type="dxa"/>
            <w:tcBorders>
              <w:top w:val="single" w:sz="6" w:space="0" w:color="auto"/>
              <w:bottom w:val="single" w:sz="6" w:space="0" w:color="auto"/>
              <w:right w:val="single" w:sz="6" w:space="0" w:color="auto"/>
            </w:tcBorders>
          </w:tcPr>
          <w:p w:rsidR="00A01D5E" w:rsidRPr="00AC2CDC" w:rsidRDefault="00A01D5E" w:rsidP="00AC2CDC">
            <w:pPr>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Enrollment</w:t>
            </w:r>
            <w:r w:rsidR="00AC2CDC" w:rsidRPr="00AC2CDC">
              <w:rPr>
                <w:rFonts w:ascii="Times New Roman" w:hAnsi="Times New Roman" w:cs="Times New Roman"/>
                <w:sz w:val="18"/>
                <w:szCs w:val="18"/>
              </w:rPr>
              <w:t xml:space="preserve"> </w:t>
            </w:r>
            <w:r w:rsidRPr="00AC2CDC">
              <w:rPr>
                <w:rFonts w:ascii="Times New Roman" w:hAnsi="Times New Roman" w:cs="Times New Roman"/>
                <w:sz w:val="18"/>
                <w:szCs w:val="18"/>
              </w:rPr>
              <w:t>size class</w:t>
            </w:r>
          </w:p>
        </w:tc>
        <w:tc>
          <w:tcPr>
            <w:tcW w:w="1845" w:type="dxa"/>
            <w:tcBorders>
              <w:top w:val="single" w:sz="6" w:space="0" w:color="auto"/>
              <w:bottom w:val="single" w:sz="6" w:space="0" w:color="auto"/>
              <w:right w:val="single" w:sz="6" w:space="0" w:color="auto"/>
            </w:tcBorders>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 xml:space="preserve">Number of schools </w:t>
            </w:r>
            <w:r w:rsidR="00DE23F0">
              <w:rPr>
                <w:rFonts w:ascii="Times New Roman" w:hAnsi="Times New Roman" w:cs="Times New Roman"/>
                <w:sz w:val="18"/>
                <w:szCs w:val="18"/>
              </w:rPr>
              <w:br/>
            </w:r>
            <w:r w:rsidRPr="00AC2CDC">
              <w:rPr>
                <w:rFonts w:ascii="Times New Roman" w:hAnsi="Times New Roman" w:cs="Times New Roman"/>
                <w:sz w:val="18"/>
                <w:szCs w:val="18"/>
              </w:rPr>
              <w:t>to be selected</w:t>
            </w:r>
          </w:p>
        </w:tc>
        <w:tc>
          <w:tcPr>
            <w:tcW w:w="1845" w:type="dxa"/>
            <w:tcBorders>
              <w:top w:val="single" w:sz="6" w:space="0" w:color="auto"/>
              <w:bottom w:val="single" w:sz="6" w:space="0" w:color="auto"/>
            </w:tcBorders>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Sampling</w:t>
            </w:r>
            <w:r w:rsidR="00AC2CDC" w:rsidRPr="00AC2CDC">
              <w:rPr>
                <w:rFonts w:ascii="Times New Roman" w:hAnsi="Times New Roman" w:cs="Times New Roman"/>
                <w:sz w:val="18"/>
                <w:szCs w:val="18"/>
              </w:rPr>
              <w:t xml:space="preserve"> </w:t>
            </w:r>
            <w:r w:rsidRPr="00AC2CDC">
              <w:rPr>
                <w:rFonts w:ascii="Times New Roman" w:hAnsi="Times New Roman" w:cs="Times New Roman"/>
                <w:sz w:val="18"/>
                <w:szCs w:val="18"/>
              </w:rPr>
              <w:t>rate (1 in ...)</w:t>
            </w:r>
          </w:p>
        </w:tc>
      </w:tr>
      <w:tr w:rsidR="00A01D5E" w:rsidRPr="00A01D5E" w:rsidTr="00DE23F0">
        <w:trPr>
          <w:cantSplit/>
          <w:trHeight w:val="20"/>
        </w:trPr>
        <w:tc>
          <w:tcPr>
            <w:tcW w:w="5700" w:type="dxa"/>
            <w:tcBorders>
              <w:top w:val="single" w:sz="6" w:space="0" w:color="auto"/>
            </w:tcBorders>
          </w:tcPr>
          <w:p w:rsidR="00A01D5E" w:rsidRPr="00AC2CDC" w:rsidRDefault="00A01D5E" w:rsidP="00DE23F0">
            <w:pPr>
              <w:tabs>
                <w:tab w:val="right" w:leader="dot" w:pos="567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1. Under 300</w:t>
            </w:r>
            <w:r w:rsidR="00DE23F0">
              <w:rPr>
                <w:rFonts w:ascii="Times New Roman" w:hAnsi="Times New Roman" w:cs="Times New Roman"/>
                <w:sz w:val="18"/>
                <w:szCs w:val="18"/>
              </w:rPr>
              <w:tab/>
            </w:r>
          </w:p>
        </w:tc>
        <w:tc>
          <w:tcPr>
            <w:tcW w:w="1845" w:type="dxa"/>
            <w:tcBorders>
              <w:top w:val="single" w:sz="6" w:space="0" w:color="auto"/>
            </w:tcBorders>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238</w:t>
            </w:r>
          </w:p>
        </w:tc>
        <w:tc>
          <w:tcPr>
            <w:tcW w:w="1845" w:type="dxa"/>
            <w:tcBorders>
              <w:top w:val="single" w:sz="6" w:space="0" w:color="auto"/>
            </w:tcBorders>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25.96</w:t>
            </w:r>
          </w:p>
        </w:tc>
      </w:tr>
      <w:tr w:rsidR="00A01D5E" w:rsidRPr="00A01D5E" w:rsidTr="00DE23F0">
        <w:trPr>
          <w:cantSplit/>
          <w:trHeight w:val="20"/>
        </w:trPr>
        <w:tc>
          <w:tcPr>
            <w:tcW w:w="5700" w:type="dxa"/>
          </w:tcPr>
          <w:p w:rsidR="00A01D5E" w:rsidRPr="00AC2CDC" w:rsidRDefault="00A01D5E" w:rsidP="00DE23F0">
            <w:pPr>
              <w:tabs>
                <w:tab w:val="right" w:leader="dot" w:pos="567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2. 300 to 499</w:t>
            </w:r>
            <w:r w:rsidR="00DE23F0">
              <w:rPr>
                <w:rFonts w:ascii="Times New Roman" w:hAnsi="Times New Roman" w:cs="Times New Roman"/>
                <w:sz w:val="18"/>
                <w:szCs w:val="18"/>
              </w:rPr>
              <w:tab/>
            </w:r>
          </w:p>
        </w:tc>
        <w:tc>
          <w:tcPr>
            <w:tcW w:w="1845" w:type="dxa"/>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196</w:t>
            </w:r>
          </w:p>
        </w:tc>
        <w:tc>
          <w:tcPr>
            <w:tcW w:w="1845" w:type="dxa"/>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15.90</w:t>
            </w:r>
          </w:p>
        </w:tc>
      </w:tr>
      <w:tr w:rsidR="00A01D5E" w:rsidRPr="00A01D5E" w:rsidTr="00DE23F0">
        <w:trPr>
          <w:cantSplit/>
          <w:trHeight w:val="20"/>
        </w:trPr>
        <w:tc>
          <w:tcPr>
            <w:tcW w:w="5700" w:type="dxa"/>
          </w:tcPr>
          <w:p w:rsidR="00A01D5E" w:rsidRPr="00AC2CDC" w:rsidRDefault="00A01D5E" w:rsidP="00DE23F0">
            <w:pPr>
              <w:tabs>
                <w:tab w:val="right" w:leader="dot" w:pos="567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3. 500 to 999</w:t>
            </w:r>
            <w:r w:rsidR="00DE23F0">
              <w:rPr>
                <w:rFonts w:ascii="Times New Roman" w:hAnsi="Times New Roman" w:cs="Times New Roman"/>
                <w:sz w:val="18"/>
                <w:szCs w:val="18"/>
              </w:rPr>
              <w:tab/>
            </w:r>
          </w:p>
        </w:tc>
        <w:tc>
          <w:tcPr>
            <w:tcW w:w="1845" w:type="dxa"/>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340</w:t>
            </w:r>
          </w:p>
        </w:tc>
        <w:tc>
          <w:tcPr>
            <w:tcW w:w="1845" w:type="dxa"/>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11.61</w:t>
            </w:r>
          </w:p>
        </w:tc>
      </w:tr>
      <w:tr w:rsidR="00A01D5E" w:rsidRPr="00A01D5E" w:rsidTr="00DE23F0">
        <w:trPr>
          <w:cantSplit/>
          <w:trHeight w:val="20"/>
        </w:trPr>
        <w:tc>
          <w:tcPr>
            <w:tcW w:w="5700" w:type="dxa"/>
          </w:tcPr>
          <w:p w:rsidR="00A01D5E" w:rsidRPr="00AC2CDC" w:rsidRDefault="00A01D5E" w:rsidP="00DE23F0">
            <w:pPr>
              <w:tabs>
                <w:tab w:val="right" w:leader="dot" w:pos="567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4. 1,000 to 1,499</w:t>
            </w:r>
            <w:r w:rsidR="00DE23F0">
              <w:rPr>
                <w:rFonts w:ascii="Times New Roman" w:hAnsi="Times New Roman" w:cs="Times New Roman"/>
                <w:sz w:val="18"/>
                <w:szCs w:val="18"/>
              </w:rPr>
              <w:tab/>
            </w:r>
          </w:p>
        </w:tc>
        <w:tc>
          <w:tcPr>
            <w:tcW w:w="1845" w:type="dxa"/>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277</w:t>
            </w:r>
          </w:p>
        </w:tc>
        <w:tc>
          <w:tcPr>
            <w:tcW w:w="1845" w:type="dxa"/>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8.99</w:t>
            </w:r>
          </w:p>
        </w:tc>
      </w:tr>
      <w:tr w:rsidR="00A01D5E" w:rsidRPr="00A01D5E" w:rsidTr="00DE23F0">
        <w:trPr>
          <w:cantSplit/>
          <w:trHeight w:val="20"/>
        </w:trPr>
        <w:tc>
          <w:tcPr>
            <w:tcW w:w="5700" w:type="dxa"/>
            <w:tcBorders>
              <w:bottom w:val="single" w:sz="6" w:space="0" w:color="auto"/>
            </w:tcBorders>
          </w:tcPr>
          <w:p w:rsidR="00A01D5E" w:rsidRPr="00AC2CDC" w:rsidRDefault="00A01D5E" w:rsidP="00DE23F0">
            <w:pPr>
              <w:tabs>
                <w:tab w:val="right" w:leader="dot" w:pos="567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5. 1,500 or more</w:t>
            </w:r>
            <w:r w:rsidR="00DE23F0">
              <w:rPr>
                <w:rFonts w:ascii="Times New Roman" w:hAnsi="Times New Roman" w:cs="Times New Roman"/>
                <w:sz w:val="18"/>
                <w:szCs w:val="18"/>
              </w:rPr>
              <w:tab/>
            </w:r>
          </w:p>
        </w:tc>
        <w:tc>
          <w:tcPr>
            <w:tcW w:w="1845" w:type="dxa"/>
            <w:tcBorders>
              <w:bottom w:val="single" w:sz="6" w:space="0" w:color="auto"/>
            </w:tcBorders>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450</w:t>
            </w:r>
          </w:p>
        </w:tc>
        <w:tc>
          <w:tcPr>
            <w:tcW w:w="1845" w:type="dxa"/>
            <w:tcBorders>
              <w:bottom w:val="single" w:sz="6" w:space="0" w:color="auto"/>
            </w:tcBorders>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7.11</w:t>
            </w:r>
          </w:p>
        </w:tc>
      </w:tr>
      <w:tr w:rsidR="00A01D5E" w:rsidRPr="00A01D5E" w:rsidTr="00DE23F0">
        <w:trPr>
          <w:cantSplit/>
          <w:trHeight w:val="20"/>
        </w:trPr>
        <w:tc>
          <w:tcPr>
            <w:tcW w:w="5700" w:type="dxa"/>
            <w:tcBorders>
              <w:top w:val="single" w:sz="6" w:space="0" w:color="auto"/>
              <w:bottom w:val="single" w:sz="6" w:space="0" w:color="auto"/>
            </w:tcBorders>
          </w:tcPr>
          <w:p w:rsidR="00A01D5E" w:rsidRPr="00AC2CDC" w:rsidRDefault="00A01D5E" w:rsidP="00DE23F0">
            <w:pPr>
              <w:tabs>
                <w:tab w:val="right" w:leader="dot" w:pos="5670"/>
              </w:tabs>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Total</w:t>
            </w:r>
            <w:r w:rsidR="00DE23F0">
              <w:rPr>
                <w:rFonts w:ascii="Times New Roman" w:hAnsi="Times New Roman" w:cs="Times New Roman"/>
                <w:sz w:val="18"/>
                <w:szCs w:val="18"/>
              </w:rPr>
              <w:tab/>
            </w:r>
          </w:p>
        </w:tc>
        <w:tc>
          <w:tcPr>
            <w:tcW w:w="1845" w:type="dxa"/>
            <w:tcBorders>
              <w:top w:val="single" w:sz="6" w:space="0" w:color="auto"/>
              <w:bottom w:val="single" w:sz="6" w:space="0" w:color="auto"/>
            </w:tcBorders>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1,500</w:t>
            </w:r>
          </w:p>
        </w:tc>
        <w:tc>
          <w:tcPr>
            <w:tcW w:w="1845" w:type="dxa"/>
            <w:tcBorders>
              <w:top w:val="single" w:sz="6" w:space="0" w:color="auto"/>
              <w:bottom w:val="single" w:sz="6" w:space="0" w:color="auto"/>
            </w:tcBorders>
            <w:vAlign w:val="bottom"/>
          </w:tcPr>
          <w:p w:rsidR="00A01D5E" w:rsidRPr="00AC2CDC" w:rsidRDefault="00A01D5E" w:rsidP="00DE23F0">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w:t>
            </w:r>
          </w:p>
        </w:tc>
      </w:tr>
    </w:tbl>
    <w:p w:rsidR="00A01D5E" w:rsidRPr="00A01D5E" w:rsidRDefault="00A01D5E" w:rsidP="00A01D5E">
      <w:pPr>
        <w:rPr>
          <w:rFonts w:ascii="Times New Roman" w:hAnsi="Times New Roman" w:cs="Times New Roman"/>
        </w:rPr>
      </w:pPr>
    </w:p>
    <w:p w:rsidR="002F16E8" w:rsidRPr="00A01D5E" w:rsidRDefault="002F16E8" w:rsidP="002F16E8">
      <w:pPr>
        <w:rPr>
          <w:rFonts w:ascii="Times New Roman" w:hAnsi="Times New Roman" w:cs="Times New Roman"/>
          <w:b/>
        </w:rPr>
      </w:pPr>
      <w:r>
        <w:rPr>
          <w:rFonts w:ascii="Times New Roman" w:hAnsi="Times New Roman" w:cs="Times New Roman"/>
          <w:b/>
        </w:rPr>
        <w:br w:type="column"/>
      </w:r>
      <w:r w:rsidRPr="00A01D5E">
        <w:rPr>
          <w:rFonts w:ascii="Times New Roman" w:hAnsi="Times New Roman" w:cs="Times New Roman"/>
          <w:b/>
        </w:rPr>
        <w:lastRenderedPageBreak/>
        <w:t>Expected Levels of Precision</w:t>
      </w:r>
    </w:p>
    <w:p w:rsidR="002F16E8" w:rsidRPr="00A01D5E" w:rsidRDefault="002F16E8" w:rsidP="002F16E8">
      <w:pPr>
        <w:ind w:firstLine="720"/>
        <w:rPr>
          <w:rFonts w:ascii="Times New Roman" w:hAnsi="Times New Roman" w:cs="Times New Roman"/>
        </w:rPr>
      </w:pPr>
      <w:r>
        <w:rPr>
          <w:rFonts w:ascii="Times New Roman" w:hAnsi="Times New Roman" w:cs="Times New Roman"/>
        </w:rPr>
        <w:t>Table 5</w:t>
      </w:r>
      <w:r w:rsidRPr="00A01D5E">
        <w:rPr>
          <w:rFonts w:ascii="Times New Roman" w:hAnsi="Times New Roman" w:cs="Times New Roman"/>
        </w:rPr>
        <w:t xml:space="preserve"> summarizes the approximate sample sizes and standard errors to be expected under the proposed design for selected analytic domains. Note tha</w:t>
      </w:r>
      <w:r>
        <w:rPr>
          <w:rFonts w:ascii="Times New Roman" w:hAnsi="Times New Roman" w:cs="Times New Roman"/>
        </w:rPr>
        <w:t>t the standard errors in Table 5</w:t>
      </w:r>
      <w:r w:rsidRPr="00A01D5E">
        <w:rPr>
          <w:rFonts w:ascii="Times New Roman" w:hAnsi="Times New Roman" w:cs="Times New Roman"/>
        </w:rPr>
        <w:t xml:space="preserve"> reflect design effects ranging from 1.10 to 1.30. The design effects (i.e., unequal weighting effects) are a consequence of the fact that large schools will be sampled at relatively higher rates (i.e., have smaller sampling weights) than small schools. S</w:t>
      </w:r>
      <w:r>
        <w:rPr>
          <w:rFonts w:ascii="Times New Roman" w:hAnsi="Times New Roman" w:cs="Times New Roman"/>
        </w:rPr>
        <w:t>ince the sample sizes in Table 5</w:t>
      </w:r>
      <w:r w:rsidRPr="00A01D5E">
        <w:rPr>
          <w:rFonts w:ascii="Times New Roman" w:hAnsi="Times New Roman" w:cs="Times New Roman"/>
        </w:rPr>
        <w:t xml:space="preserve"> are based on preliminary tabulations of the CCD file, the actual sample sizes may differ from those shown. Also, note that the sample sizes represent the expected numbers of completed questionnaires, and not the initial number of schools to be selected. </w:t>
      </w:r>
      <w:r>
        <w:rPr>
          <w:rFonts w:ascii="Times New Roman" w:hAnsi="Times New Roman" w:cs="Times New Roman"/>
        </w:rPr>
        <w:t>T</w:t>
      </w:r>
      <w:r w:rsidRPr="00A01D5E">
        <w:rPr>
          <w:rFonts w:ascii="Times New Roman" w:hAnsi="Times New Roman" w:cs="Times New Roman"/>
        </w:rPr>
        <w:t xml:space="preserve">he </w:t>
      </w:r>
      <w:r w:rsidRPr="00527591">
        <w:rPr>
          <w:rFonts w:ascii="Times New Roman" w:hAnsi="Times New Roman" w:cs="Times New Roman"/>
        </w:rPr>
        <w:t xml:space="preserve">2002–03 </w:t>
      </w:r>
      <w:r w:rsidRPr="00A01D5E">
        <w:rPr>
          <w:rFonts w:ascii="Times New Roman" w:hAnsi="Times New Roman" w:cs="Times New Roman"/>
        </w:rPr>
        <w:t xml:space="preserve">FRSS survey on dual </w:t>
      </w:r>
      <w:r>
        <w:rPr>
          <w:rFonts w:ascii="Times New Roman" w:hAnsi="Times New Roman" w:cs="Times New Roman"/>
        </w:rPr>
        <w:t xml:space="preserve">credit </w:t>
      </w:r>
      <w:r w:rsidRPr="00A01D5E">
        <w:rPr>
          <w:rFonts w:ascii="Times New Roman" w:hAnsi="Times New Roman" w:cs="Times New Roman"/>
        </w:rPr>
        <w:t xml:space="preserve">achieved an </w:t>
      </w:r>
      <w:proofErr w:type="spellStart"/>
      <w:r w:rsidRPr="00A01D5E">
        <w:rPr>
          <w:rFonts w:ascii="Times New Roman" w:hAnsi="Times New Roman" w:cs="Times New Roman"/>
        </w:rPr>
        <w:t>unweighted</w:t>
      </w:r>
      <w:proofErr w:type="spellEnd"/>
      <w:r w:rsidRPr="00A01D5E">
        <w:rPr>
          <w:rFonts w:ascii="Times New Roman" w:hAnsi="Times New Roman" w:cs="Times New Roman"/>
        </w:rPr>
        <w:t xml:space="preserve"> response rate of over 90 percent. The standard errors in Tab</w:t>
      </w:r>
      <w:r>
        <w:rPr>
          <w:rFonts w:ascii="Times New Roman" w:hAnsi="Times New Roman" w:cs="Times New Roman"/>
        </w:rPr>
        <w:t>le 5</w:t>
      </w:r>
      <w:r w:rsidRPr="00A01D5E">
        <w:rPr>
          <w:rFonts w:ascii="Times New Roman" w:hAnsi="Times New Roman" w:cs="Times New Roman"/>
        </w:rPr>
        <w:t xml:space="preserve"> can be converted to 95 percent confidence bounds by multiplying the entries by 2. For ex</w:t>
      </w:r>
      <w:r>
        <w:rPr>
          <w:rFonts w:ascii="Times New Roman" w:hAnsi="Times New Roman" w:cs="Times New Roman"/>
        </w:rPr>
        <w:t>ample, as can be seen in Table 5</w:t>
      </w:r>
      <w:r w:rsidRPr="00A01D5E">
        <w:rPr>
          <w:rFonts w:ascii="Times New Roman" w:hAnsi="Times New Roman" w:cs="Times New Roman"/>
        </w:rPr>
        <w:t>, an estimated proportion of the order of 20 percent (P = 0.20) for city schools would be subject to a margin of error of ±0.050 (±5.0 percent) at the 95 percent confidence level. Similarly, an estimated proportion of the order of 50 percent (P = 0.50) for the total sample would be subject to a margin of error of ±0.032 (±3.2 percent) at the 95 percent confidence level.</w:t>
      </w:r>
    </w:p>
    <w:p w:rsidR="00A01D5E" w:rsidRPr="00DE23F0" w:rsidRDefault="00A01D5E" w:rsidP="00DE23F0">
      <w:pPr>
        <w:ind w:left="990" w:hanging="990"/>
        <w:rPr>
          <w:rFonts w:ascii="Times New Roman" w:hAnsi="Times New Roman" w:cs="Times New Roman"/>
          <w:b/>
        </w:rPr>
      </w:pPr>
      <w:proofErr w:type="gramStart"/>
      <w:r w:rsidRPr="00DE23F0">
        <w:rPr>
          <w:rFonts w:ascii="Times New Roman" w:hAnsi="Times New Roman" w:cs="Times New Roman"/>
          <w:b/>
        </w:rPr>
        <w:t xml:space="preserve">Table </w:t>
      </w:r>
      <w:r w:rsidR="00A86296" w:rsidRPr="00DE23F0">
        <w:rPr>
          <w:rFonts w:ascii="Times New Roman" w:hAnsi="Times New Roman" w:cs="Times New Roman"/>
          <w:b/>
        </w:rPr>
        <w:t>5</w:t>
      </w:r>
      <w:r w:rsidRPr="00DE23F0">
        <w:rPr>
          <w:rFonts w:ascii="Times New Roman" w:hAnsi="Times New Roman" w:cs="Times New Roman"/>
          <w:b/>
        </w:rPr>
        <w:t>.</w:t>
      </w:r>
      <w:proofErr w:type="gramEnd"/>
      <w:r w:rsidRPr="00DE23F0">
        <w:rPr>
          <w:rFonts w:ascii="Times New Roman" w:hAnsi="Times New Roman" w:cs="Times New Roman"/>
          <w:b/>
        </w:rPr>
        <w:tab/>
        <w:t>Expected sample sizes (number of responding schools) and corresponding standard errors for estimates of proportions for selected analytic domains</w:t>
      </w:r>
    </w:p>
    <w:tbl>
      <w:tblPr>
        <w:tblW w:w="9378" w:type="dxa"/>
        <w:tblLayout w:type="fixed"/>
        <w:tblCellMar>
          <w:left w:w="0" w:type="dxa"/>
          <w:right w:w="0" w:type="dxa"/>
        </w:tblCellMar>
        <w:tblLook w:val="0000"/>
      </w:tblPr>
      <w:tblGrid>
        <w:gridCol w:w="4770"/>
        <w:gridCol w:w="1152"/>
        <w:gridCol w:w="1152"/>
        <w:gridCol w:w="1152"/>
        <w:gridCol w:w="1152"/>
      </w:tblGrid>
      <w:tr w:rsidR="00DE23F0" w:rsidRPr="00DE23F0" w:rsidTr="00DE23F0">
        <w:trPr>
          <w:cantSplit/>
          <w:trHeight w:val="480"/>
        </w:trPr>
        <w:tc>
          <w:tcPr>
            <w:tcW w:w="4770" w:type="dxa"/>
            <w:vMerge w:val="restart"/>
            <w:tcBorders>
              <w:top w:val="single" w:sz="6" w:space="0" w:color="auto"/>
              <w:bottom w:val="nil"/>
              <w:right w:val="single" w:sz="6" w:space="0" w:color="auto"/>
            </w:tcBorders>
            <w:vAlign w:val="bottom"/>
          </w:tcPr>
          <w:p w:rsidR="00DE23F0" w:rsidRPr="00DE23F0" w:rsidRDefault="00DE23F0" w:rsidP="00DE23F0">
            <w:pPr>
              <w:spacing w:after="0" w:line="240" w:lineRule="atLeast"/>
              <w:rPr>
                <w:rFonts w:ascii="Times New Roman" w:hAnsi="Times New Roman" w:cs="Times New Roman"/>
                <w:sz w:val="18"/>
                <w:szCs w:val="18"/>
              </w:rPr>
            </w:pPr>
            <w:r w:rsidRPr="00DE23F0">
              <w:rPr>
                <w:rFonts w:ascii="Times New Roman" w:hAnsi="Times New Roman" w:cs="Times New Roman"/>
                <w:sz w:val="18"/>
                <w:szCs w:val="18"/>
              </w:rPr>
              <w:t>Domain</w:t>
            </w:r>
          </w:p>
        </w:tc>
        <w:tc>
          <w:tcPr>
            <w:tcW w:w="1152" w:type="dxa"/>
            <w:vMerge w:val="restart"/>
            <w:tcBorders>
              <w:top w:val="single" w:sz="6" w:space="0" w:color="auto"/>
              <w:bottom w:val="nil"/>
              <w:right w:val="single" w:sz="6" w:space="0" w:color="auto"/>
            </w:tcBorders>
            <w:vAlign w:val="bottom"/>
          </w:tcPr>
          <w:p w:rsidR="00DE23F0" w:rsidRPr="00DE23F0" w:rsidRDefault="00DE23F0" w:rsidP="00DE23F0">
            <w:pPr>
              <w:spacing w:after="0" w:line="240" w:lineRule="atLeast"/>
              <w:jc w:val="right"/>
              <w:rPr>
                <w:rFonts w:ascii="Times New Roman" w:hAnsi="Times New Roman" w:cs="Times New Roman"/>
                <w:sz w:val="18"/>
                <w:szCs w:val="18"/>
                <w:vertAlign w:val="superscript"/>
              </w:rPr>
            </w:pPr>
            <w:r w:rsidRPr="00DE23F0">
              <w:rPr>
                <w:rFonts w:ascii="Times New Roman" w:hAnsi="Times New Roman" w:cs="Times New Roman"/>
                <w:sz w:val="18"/>
                <w:szCs w:val="18"/>
              </w:rPr>
              <w:t>Expected sample size</w:t>
            </w:r>
            <w:r>
              <w:rPr>
                <w:rFonts w:ascii="Times New Roman" w:hAnsi="Times New Roman" w:cs="Times New Roman"/>
                <w:sz w:val="18"/>
                <w:szCs w:val="18"/>
                <w:vertAlign w:val="superscript"/>
              </w:rPr>
              <w:t>1</w:t>
            </w:r>
          </w:p>
        </w:tc>
        <w:tc>
          <w:tcPr>
            <w:tcW w:w="3456" w:type="dxa"/>
            <w:gridSpan w:val="3"/>
            <w:tcBorders>
              <w:top w:val="single" w:sz="6" w:space="0" w:color="auto"/>
              <w:bottom w:val="single" w:sz="6" w:space="0" w:color="auto"/>
            </w:tcBorders>
            <w:vAlign w:val="bottom"/>
          </w:tcPr>
          <w:p w:rsidR="00DE23F0" w:rsidRPr="00DE23F0" w:rsidRDefault="00DE23F0" w:rsidP="00DE23F0">
            <w:pPr>
              <w:spacing w:after="0" w:line="240" w:lineRule="atLeast"/>
              <w:jc w:val="center"/>
              <w:rPr>
                <w:rFonts w:ascii="Times New Roman" w:hAnsi="Times New Roman" w:cs="Times New Roman"/>
                <w:sz w:val="18"/>
                <w:szCs w:val="18"/>
              </w:rPr>
            </w:pPr>
            <w:r w:rsidRPr="00DE23F0">
              <w:rPr>
                <w:rFonts w:ascii="Times New Roman" w:hAnsi="Times New Roman" w:cs="Times New Roman"/>
                <w:sz w:val="18"/>
                <w:szCs w:val="18"/>
              </w:rPr>
              <w:t>Standard error</w:t>
            </w:r>
            <w:r>
              <w:rPr>
                <w:rFonts w:ascii="Times New Roman" w:hAnsi="Times New Roman" w:cs="Times New Roman"/>
                <w:sz w:val="18"/>
                <w:szCs w:val="18"/>
                <w:vertAlign w:val="superscript"/>
              </w:rPr>
              <w:t>2</w:t>
            </w:r>
            <w:r w:rsidRPr="00DE23F0">
              <w:rPr>
                <w:rFonts w:ascii="Times New Roman" w:hAnsi="Times New Roman" w:cs="Times New Roman"/>
                <w:sz w:val="18"/>
                <w:szCs w:val="18"/>
              </w:rPr>
              <w:t xml:space="preserve"> of an estimated</w:t>
            </w:r>
          </w:p>
          <w:p w:rsidR="00DE23F0" w:rsidRPr="00DE23F0" w:rsidRDefault="00DE23F0" w:rsidP="00DE23F0">
            <w:pPr>
              <w:spacing w:after="0" w:line="240" w:lineRule="atLeast"/>
              <w:jc w:val="center"/>
              <w:rPr>
                <w:rFonts w:ascii="Times New Roman" w:hAnsi="Times New Roman" w:cs="Times New Roman"/>
                <w:sz w:val="18"/>
                <w:szCs w:val="18"/>
              </w:rPr>
            </w:pPr>
            <w:r w:rsidRPr="00DE23F0">
              <w:rPr>
                <w:rFonts w:ascii="Times New Roman" w:hAnsi="Times New Roman" w:cs="Times New Roman"/>
                <w:sz w:val="18"/>
                <w:szCs w:val="18"/>
              </w:rPr>
              <w:t>proportion equal to ...</w:t>
            </w:r>
          </w:p>
        </w:tc>
      </w:tr>
      <w:tr w:rsidR="00DE23F0" w:rsidRPr="00DE23F0" w:rsidTr="00DE23F0">
        <w:trPr>
          <w:cantSplit/>
          <w:trHeight w:val="20"/>
        </w:trPr>
        <w:tc>
          <w:tcPr>
            <w:tcW w:w="4770" w:type="dxa"/>
            <w:vMerge/>
            <w:tcBorders>
              <w:bottom w:val="single" w:sz="6" w:space="0" w:color="auto"/>
              <w:right w:val="single" w:sz="6" w:space="0" w:color="auto"/>
            </w:tcBorders>
            <w:vAlign w:val="bottom"/>
          </w:tcPr>
          <w:p w:rsidR="00DE23F0" w:rsidRPr="00DE23F0" w:rsidRDefault="00DE23F0" w:rsidP="00DE23F0">
            <w:pPr>
              <w:spacing w:after="0" w:line="240" w:lineRule="atLeast"/>
              <w:rPr>
                <w:rFonts w:ascii="Times New Roman" w:hAnsi="Times New Roman" w:cs="Times New Roman"/>
                <w:sz w:val="18"/>
                <w:szCs w:val="18"/>
              </w:rPr>
            </w:pPr>
          </w:p>
        </w:tc>
        <w:tc>
          <w:tcPr>
            <w:tcW w:w="1152" w:type="dxa"/>
            <w:vMerge/>
            <w:tcBorders>
              <w:bottom w:val="single" w:sz="6" w:space="0" w:color="auto"/>
              <w:right w:val="single" w:sz="6" w:space="0" w:color="auto"/>
            </w:tcBorders>
          </w:tcPr>
          <w:p w:rsidR="00DE23F0" w:rsidRPr="00DE23F0" w:rsidRDefault="00DE23F0" w:rsidP="00DE23F0">
            <w:pPr>
              <w:spacing w:after="0" w:line="240" w:lineRule="atLeast"/>
              <w:rPr>
                <w:rFonts w:ascii="Times New Roman" w:hAnsi="Times New Roman" w:cs="Times New Roman"/>
                <w:sz w:val="18"/>
                <w:szCs w:val="18"/>
              </w:rPr>
            </w:pPr>
          </w:p>
        </w:tc>
        <w:tc>
          <w:tcPr>
            <w:tcW w:w="1152" w:type="dxa"/>
            <w:tcBorders>
              <w:bottom w:val="single" w:sz="6" w:space="0" w:color="auto"/>
              <w:right w:val="single" w:sz="6" w:space="0" w:color="auto"/>
            </w:tcBorders>
            <w:vAlign w:val="bottom"/>
          </w:tcPr>
          <w:p w:rsidR="00DE23F0" w:rsidRPr="00DE23F0" w:rsidRDefault="00DE23F0"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P = 0.20</w:t>
            </w:r>
          </w:p>
        </w:tc>
        <w:tc>
          <w:tcPr>
            <w:tcW w:w="1152" w:type="dxa"/>
            <w:tcBorders>
              <w:bottom w:val="single" w:sz="6" w:space="0" w:color="auto"/>
              <w:right w:val="single" w:sz="6" w:space="0" w:color="auto"/>
            </w:tcBorders>
            <w:vAlign w:val="bottom"/>
          </w:tcPr>
          <w:p w:rsidR="00DE23F0" w:rsidRPr="00DE23F0" w:rsidRDefault="00DE23F0"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P = </w:t>
            </w:r>
            <w:r w:rsidR="00A702AD">
              <w:rPr>
                <w:rFonts w:ascii="Times New Roman" w:hAnsi="Times New Roman" w:cs="Times New Roman"/>
                <w:sz w:val="18"/>
                <w:szCs w:val="18"/>
              </w:rPr>
              <w:t>0</w:t>
            </w:r>
            <w:r w:rsidRPr="00DE23F0">
              <w:rPr>
                <w:rFonts w:ascii="Times New Roman" w:hAnsi="Times New Roman" w:cs="Times New Roman"/>
                <w:sz w:val="18"/>
                <w:szCs w:val="18"/>
              </w:rPr>
              <w:t>.33</w:t>
            </w:r>
          </w:p>
        </w:tc>
        <w:tc>
          <w:tcPr>
            <w:tcW w:w="1152" w:type="dxa"/>
            <w:tcBorders>
              <w:bottom w:val="single" w:sz="6" w:space="0" w:color="auto"/>
            </w:tcBorders>
            <w:vAlign w:val="bottom"/>
          </w:tcPr>
          <w:p w:rsidR="00DE23F0" w:rsidRPr="00DE23F0" w:rsidRDefault="00DE23F0"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 P = </w:t>
            </w:r>
            <w:r w:rsidR="00A702AD">
              <w:rPr>
                <w:rFonts w:ascii="Times New Roman" w:hAnsi="Times New Roman" w:cs="Times New Roman"/>
                <w:sz w:val="18"/>
                <w:szCs w:val="18"/>
              </w:rPr>
              <w:t>0</w:t>
            </w:r>
            <w:r w:rsidRPr="00DE23F0">
              <w:rPr>
                <w:rFonts w:ascii="Times New Roman" w:hAnsi="Times New Roman" w:cs="Times New Roman"/>
                <w:sz w:val="18"/>
                <w:szCs w:val="18"/>
              </w:rPr>
              <w:t>.50</w:t>
            </w:r>
          </w:p>
        </w:tc>
      </w:tr>
      <w:tr w:rsidR="00A01D5E" w:rsidRPr="00DE23F0" w:rsidTr="00DE23F0">
        <w:trPr>
          <w:cantSplit/>
          <w:trHeight w:val="20"/>
        </w:trPr>
        <w:tc>
          <w:tcPr>
            <w:tcW w:w="4770" w:type="dxa"/>
            <w:tcBorders>
              <w:top w:val="single" w:sz="6" w:space="0" w:color="auto"/>
            </w:tcBorders>
            <w:vAlign w:val="bottom"/>
          </w:tcPr>
          <w:p w:rsidR="00A01D5E" w:rsidRPr="00DE23F0" w:rsidRDefault="00A01D5E" w:rsidP="00DE23F0">
            <w:pPr>
              <w:spacing w:after="0" w:line="240" w:lineRule="atLeast"/>
              <w:rPr>
                <w:rFonts w:ascii="Times New Roman" w:hAnsi="Times New Roman" w:cs="Times New Roman"/>
                <w:sz w:val="18"/>
                <w:szCs w:val="18"/>
              </w:rPr>
            </w:pPr>
          </w:p>
        </w:tc>
        <w:tc>
          <w:tcPr>
            <w:tcW w:w="1152" w:type="dxa"/>
            <w:tcBorders>
              <w:top w:val="single" w:sz="6" w:space="0" w:color="auto"/>
            </w:tcBorders>
          </w:tcPr>
          <w:p w:rsidR="00A01D5E" w:rsidRPr="00DE23F0" w:rsidRDefault="00A01D5E" w:rsidP="00DE23F0">
            <w:pPr>
              <w:spacing w:after="0" w:line="240" w:lineRule="atLeast"/>
              <w:rPr>
                <w:rFonts w:ascii="Times New Roman" w:hAnsi="Times New Roman" w:cs="Times New Roman"/>
                <w:sz w:val="18"/>
                <w:szCs w:val="18"/>
              </w:rPr>
            </w:pPr>
          </w:p>
        </w:tc>
        <w:tc>
          <w:tcPr>
            <w:tcW w:w="1152" w:type="dxa"/>
            <w:tcBorders>
              <w:top w:val="single" w:sz="6" w:space="0" w:color="auto"/>
            </w:tcBorders>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tcBorders>
              <w:top w:val="single" w:sz="6" w:space="0" w:color="auto"/>
            </w:tcBorders>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tcBorders>
              <w:top w:val="single" w:sz="6" w:space="0" w:color="auto"/>
            </w:tcBorders>
            <w:vAlign w:val="bottom"/>
          </w:tcPr>
          <w:p w:rsidR="00A01D5E" w:rsidRPr="00DE23F0" w:rsidRDefault="00A01D5E" w:rsidP="00DE23F0">
            <w:pPr>
              <w:spacing w:after="0" w:line="240" w:lineRule="atLeast"/>
              <w:jc w:val="right"/>
              <w:rPr>
                <w:rFonts w:ascii="Times New Roman" w:hAnsi="Times New Roman" w:cs="Times New Roman"/>
                <w:sz w:val="18"/>
                <w:szCs w:val="18"/>
              </w:rPr>
            </w:pP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rPr>
                <w:rFonts w:ascii="Times New Roman" w:hAnsi="Times New Roman" w:cs="Times New Roman"/>
                <w:sz w:val="18"/>
                <w:szCs w:val="18"/>
              </w:rPr>
            </w:pPr>
            <w:r w:rsidRPr="00DE23F0">
              <w:rPr>
                <w:rFonts w:ascii="Times New Roman" w:hAnsi="Times New Roman" w:cs="Times New Roman"/>
                <w:b/>
                <w:sz w:val="18"/>
                <w:szCs w:val="18"/>
              </w:rPr>
              <w:t>Total sample</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bookmarkStart w:id="5" w:name="RANGE!B7:B32"/>
            <w:r w:rsidRPr="00DE23F0">
              <w:rPr>
                <w:rFonts w:ascii="Times New Roman" w:hAnsi="Times New Roman" w:cs="Times New Roman"/>
                <w:sz w:val="18"/>
                <w:szCs w:val="18"/>
              </w:rPr>
              <w:t xml:space="preserve">1,350   </w:t>
            </w:r>
            <w:bookmarkEnd w:id="5"/>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0.012</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0.015</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0.016</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rPr>
                <w:rFonts w:ascii="Times New Roman" w:hAnsi="Times New Roman" w:cs="Times New Roman"/>
                <w:b/>
                <w:sz w:val="18"/>
                <w:szCs w:val="18"/>
              </w:rPr>
            </w:pPr>
            <w:r w:rsidRPr="00DE23F0">
              <w:rPr>
                <w:rFonts w:ascii="Times New Roman" w:hAnsi="Times New Roman" w:cs="Times New Roman"/>
                <w:b/>
                <w:sz w:val="18"/>
                <w:szCs w:val="18"/>
              </w:rPr>
              <w:t>Type of locale</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ight="187"/>
              <w:rPr>
                <w:rFonts w:ascii="Times New Roman" w:hAnsi="Times New Roman" w:cs="Times New Roman"/>
                <w:sz w:val="18"/>
                <w:szCs w:val="18"/>
              </w:rPr>
            </w:pPr>
            <w:r w:rsidRPr="00DE23F0">
              <w:rPr>
                <w:rFonts w:ascii="Times New Roman" w:hAnsi="Times New Roman" w:cs="Times New Roman"/>
                <w:sz w:val="18"/>
                <w:szCs w:val="18"/>
              </w:rPr>
              <w:t>City</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325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0.025</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0.030</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0.032</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ight="187"/>
              <w:rPr>
                <w:rFonts w:ascii="Times New Roman" w:hAnsi="Times New Roman" w:cs="Times New Roman"/>
                <w:sz w:val="18"/>
                <w:szCs w:val="18"/>
              </w:rPr>
            </w:pPr>
            <w:r w:rsidRPr="00DE23F0">
              <w:rPr>
                <w:rFonts w:ascii="Times New Roman" w:hAnsi="Times New Roman" w:cs="Times New Roman"/>
                <w:sz w:val="18"/>
                <w:szCs w:val="18"/>
              </w:rPr>
              <w:t>Suburban</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362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0.024</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0.028</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0.030</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ight="187"/>
              <w:rPr>
                <w:rFonts w:ascii="Times New Roman" w:hAnsi="Times New Roman" w:cs="Times New Roman"/>
                <w:sz w:val="18"/>
                <w:szCs w:val="18"/>
              </w:rPr>
            </w:pPr>
            <w:r w:rsidRPr="00DE23F0">
              <w:rPr>
                <w:rFonts w:ascii="Times New Roman" w:hAnsi="Times New Roman" w:cs="Times New Roman"/>
                <w:sz w:val="18"/>
                <w:szCs w:val="18"/>
              </w:rPr>
              <w:t>Town</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186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0.033</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0.039</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0.042</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ight="187"/>
              <w:rPr>
                <w:rFonts w:ascii="Times New Roman" w:hAnsi="Times New Roman" w:cs="Times New Roman"/>
                <w:sz w:val="18"/>
                <w:szCs w:val="18"/>
              </w:rPr>
            </w:pPr>
            <w:r w:rsidRPr="00DE23F0">
              <w:rPr>
                <w:rFonts w:ascii="Times New Roman" w:hAnsi="Times New Roman" w:cs="Times New Roman"/>
                <w:sz w:val="18"/>
                <w:szCs w:val="18"/>
              </w:rPr>
              <w:t>Rural</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477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0.021</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0.025</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0.026</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rPr>
                <w:rFonts w:ascii="Times New Roman" w:hAnsi="Times New Roman" w:cs="Times New Roman"/>
                <w:b/>
                <w:sz w:val="18"/>
                <w:szCs w:val="18"/>
              </w:rPr>
            </w:pPr>
            <w:r w:rsidRPr="00DE23F0">
              <w:rPr>
                <w:rFonts w:ascii="Times New Roman" w:hAnsi="Times New Roman" w:cs="Times New Roman"/>
                <w:b/>
                <w:sz w:val="18"/>
                <w:szCs w:val="18"/>
              </w:rPr>
              <w:t>Percent of students in school who are nonwhite</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Less than 6 percent</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229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0.030</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0.035</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0.038</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6 to 20.9 percent</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331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0.025</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0.029</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0.031</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21 to 49.9 percent</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330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0.025</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0.029</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0.031</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50 percent or more</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459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0.021</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0.025</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0.027</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rPr>
                <w:rFonts w:ascii="Times New Roman" w:hAnsi="Times New Roman" w:cs="Times New Roman"/>
                <w:b/>
                <w:sz w:val="18"/>
                <w:szCs w:val="18"/>
              </w:rPr>
            </w:pPr>
            <w:r w:rsidRPr="00DE23F0">
              <w:rPr>
                <w:rFonts w:ascii="Times New Roman" w:hAnsi="Times New Roman" w:cs="Times New Roman"/>
                <w:b/>
                <w:sz w:val="18"/>
                <w:szCs w:val="18"/>
              </w:rPr>
              <w:t>Region</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Northeast region</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255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0.029</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0.034</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0.036</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Southeast region</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324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0.025</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0.030</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0.032</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Central region</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351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0.024</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0.029</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0.030</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West region</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420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0.022</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0.026</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0.028</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rPr>
                <w:rFonts w:ascii="Times New Roman" w:hAnsi="Times New Roman" w:cs="Times New Roman"/>
                <w:b/>
                <w:sz w:val="18"/>
                <w:szCs w:val="18"/>
              </w:rPr>
            </w:pPr>
            <w:r w:rsidRPr="00DE23F0">
              <w:rPr>
                <w:rFonts w:ascii="Times New Roman" w:hAnsi="Times New Roman" w:cs="Times New Roman"/>
                <w:b/>
                <w:sz w:val="18"/>
                <w:szCs w:val="18"/>
              </w:rPr>
              <w:t>Enrollment size class</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Less than 300</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214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0.029</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0.034</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0.036</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300 to 499</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176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0.032</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0.037</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0.039</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500 to 999</w:t>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306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0.024</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0.028</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0.030</w:t>
            </w:r>
          </w:p>
        </w:tc>
      </w:tr>
      <w:tr w:rsidR="00A01D5E" w:rsidRPr="00DE23F0" w:rsidTr="00DE23F0">
        <w:trPr>
          <w:cantSplit/>
          <w:trHeight w:val="20"/>
        </w:trPr>
        <w:tc>
          <w:tcPr>
            <w:tcW w:w="4770" w:type="dxa"/>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1,000 to 1,499</w:t>
            </w:r>
            <w:r w:rsidR="00DE23F0">
              <w:rPr>
                <w:rFonts w:ascii="Times New Roman" w:hAnsi="Times New Roman" w:cs="Times New Roman"/>
                <w:sz w:val="18"/>
                <w:szCs w:val="18"/>
              </w:rPr>
              <w:tab/>
            </w:r>
            <w:r w:rsidR="00DE23F0">
              <w:rPr>
                <w:rFonts w:ascii="Times New Roman" w:hAnsi="Times New Roman" w:cs="Times New Roman"/>
                <w:sz w:val="18"/>
                <w:szCs w:val="18"/>
              </w:rPr>
              <w:tab/>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249   </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0.027</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0.031</w:t>
            </w:r>
          </w:p>
        </w:tc>
        <w:tc>
          <w:tcPr>
            <w:tcW w:w="1152" w:type="dxa"/>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0.033</w:t>
            </w:r>
          </w:p>
        </w:tc>
      </w:tr>
      <w:tr w:rsidR="00A01D5E" w:rsidRPr="00DE23F0" w:rsidTr="00DE23F0">
        <w:trPr>
          <w:cantSplit/>
          <w:trHeight w:val="20"/>
        </w:trPr>
        <w:tc>
          <w:tcPr>
            <w:tcW w:w="4770" w:type="dxa"/>
            <w:tcBorders>
              <w:bottom w:val="single" w:sz="4" w:space="0" w:color="auto"/>
            </w:tcBorders>
            <w:vAlign w:val="bottom"/>
          </w:tcPr>
          <w:p w:rsidR="00A01D5E" w:rsidRPr="00DE23F0" w:rsidRDefault="00A01D5E" w:rsidP="00DE23F0">
            <w:pPr>
              <w:tabs>
                <w:tab w:val="right" w:leader="dot" w:pos="4770"/>
              </w:tabs>
              <w:spacing w:after="0" w:line="240" w:lineRule="atLeast"/>
              <w:ind w:left="187"/>
              <w:rPr>
                <w:rFonts w:ascii="Times New Roman" w:hAnsi="Times New Roman" w:cs="Times New Roman"/>
                <w:sz w:val="18"/>
                <w:szCs w:val="18"/>
              </w:rPr>
            </w:pPr>
            <w:r w:rsidRPr="00DE23F0">
              <w:rPr>
                <w:rFonts w:ascii="Times New Roman" w:hAnsi="Times New Roman" w:cs="Times New Roman"/>
                <w:sz w:val="18"/>
                <w:szCs w:val="18"/>
              </w:rPr>
              <w:t>1,500 or more</w:t>
            </w:r>
            <w:r w:rsidR="00DE23F0">
              <w:rPr>
                <w:rFonts w:ascii="Times New Roman" w:hAnsi="Times New Roman" w:cs="Times New Roman"/>
                <w:sz w:val="18"/>
                <w:szCs w:val="18"/>
              </w:rPr>
              <w:tab/>
            </w:r>
          </w:p>
        </w:tc>
        <w:tc>
          <w:tcPr>
            <w:tcW w:w="1152" w:type="dxa"/>
            <w:tcBorders>
              <w:bottom w:val="single" w:sz="4" w:space="0" w:color="auto"/>
            </w:tcBorders>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 xml:space="preserve">405   </w:t>
            </w:r>
          </w:p>
        </w:tc>
        <w:tc>
          <w:tcPr>
            <w:tcW w:w="1152" w:type="dxa"/>
            <w:tcBorders>
              <w:bottom w:val="single" w:sz="4" w:space="0" w:color="auto"/>
            </w:tcBorders>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0.021</w:t>
            </w:r>
          </w:p>
        </w:tc>
        <w:tc>
          <w:tcPr>
            <w:tcW w:w="1152" w:type="dxa"/>
            <w:tcBorders>
              <w:bottom w:val="single" w:sz="4" w:space="0" w:color="auto"/>
            </w:tcBorders>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0.025</w:t>
            </w:r>
          </w:p>
        </w:tc>
        <w:tc>
          <w:tcPr>
            <w:tcW w:w="1152" w:type="dxa"/>
            <w:tcBorders>
              <w:bottom w:val="single" w:sz="4" w:space="0" w:color="auto"/>
            </w:tcBorders>
            <w:vAlign w:val="bottom"/>
          </w:tcPr>
          <w:p w:rsidR="00A01D5E" w:rsidRPr="00DE23F0" w:rsidRDefault="00A01D5E" w:rsidP="00DE23F0">
            <w:pPr>
              <w:spacing w:after="0" w:line="240" w:lineRule="atLeast"/>
              <w:jc w:val="right"/>
              <w:rPr>
                <w:rFonts w:ascii="Times New Roman" w:hAnsi="Times New Roman" w:cs="Times New Roman"/>
                <w:sz w:val="18"/>
                <w:szCs w:val="18"/>
              </w:rPr>
            </w:pPr>
            <w:r w:rsidRPr="00DE23F0">
              <w:rPr>
                <w:rFonts w:ascii="Times New Roman" w:hAnsi="Times New Roman" w:cs="Times New Roman"/>
                <w:sz w:val="18"/>
                <w:szCs w:val="18"/>
              </w:rPr>
              <w:t>0.026</w:t>
            </w:r>
          </w:p>
        </w:tc>
      </w:tr>
    </w:tbl>
    <w:p w:rsidR="00DE23F0" w:rsidRPr="00DE23F0" w:rsidRDefault="00DE23F0" w:rsidP="00DE23F0">
      <w:pPr>
        <w:spacing w:after="0" w:line="240" w:lineRule="atLeast"/>
        <w:rPr>
          <w:rFonts w:ascii="Times New Roman" w:hAnsi="Times New Roman" w:cs="Times New Roman"/>
          <w:sz w:val="18"/>
          <w:szCs w:val="18"/>
        </w:rPr>
      </w:pPr>
      <w:r>
        <w:rPr>
          <w:rFonts w:ascii="Times New Roman" w:hAnsi="Times New Roman" w:cs="Times New Roman"/>
          <w:sz w:val="18"/>
          <w:szCs w:val="18"/>
          <w:vertAlign w:val="superscript"/>
        </w:rPr>
        <w:t>1</w:t>
      </w:r>
      <w:r w:rsidRPr="00DE23F0">
        <w:rPr>
          <w:rFonts w:ascii="Times New Roman" w:hAnsi="Times New Roman" w:cs="Times New Roman"/>
          <w:sz w:val="18"/>
          <w:szCs w:val="18"/>
        </w:rPr>
        <w:t>Expected number of responding schools assuming a 90 percent response rate.</w:t>
      </w:r>
    </w:p>
    <w:p w:rsidR="00A01D5E" w:rsidRPr="00A01D5E" w:rsidRDefault="00DE23F0" w:rsidP="00DE23F0">
      <w:pPr>
        <w:rPr>
          <w:rFonts w:ascii="Times New Roman" w:hAnsi="Times New Roman" w:cs="Times New Roman"/>
        </w:rPr>
      </w:pPr>
      <w:r>
        <w:rPr>
          <w:rFonts w:ascii="Times New Roman" w:hAnsi="Times New Roman" w:cs="Times New Roman"/>
          <w:sz w:val="18"/>
          <w:szCs w:val="18"/>
          <w:vertAlign w:val="superscript"/>
        </w:rPr>
        <w:t>2</w:t>
      </w:r>
      <w:r w:rsidRPr="00DE23F0">
        <w:rPr>
          <w:rFonts w:ascii="Times New Roman" w:hAnsi="Times New Roman" w:cs="Times New Roman"/>
          <w:sz w:val="18"/>
          <w:szCs w:val="18"/>
        </w:rPr>
        <w:t>Assumes design effects ranging from 1.1 to 1.3 depending on analytic domain.</w:t>
      </w:r>
    </w:p>
    <w:p w:rsidR="00A24A23" w:rsidRDefault="00A24A23">
      <w:pPr>
        <w:rPr>
          <w:rFonts w:ascii="Times New Roman" w:hAnsi="Times New Roman" w:cs="Times New Roman"/>
          <w:b/>
        </w:rPr>
      </w:pPr>
      <w:r>
        <w:rPr>
          <w:rFonts w:ascii="Times New Roman" w:hAnsi="Times New Roman" w:cs="Times New Roman"/>
          <w:b/>
        </w:rPr>
        <w:br w:type="page"/>
      </w:r>
    </w:p>
    <w:p w:rsidR="00A01D5E" w:rsidRPr="00A01D5E" w:rsidRDefault="00A01D5E" w:rsidP="003437B4">
      <w:pPr>
        <w:rPr>
          <w:rFonts w:ascii="Times New Roman" w:hAnsi="Times New Roman" w:cs="Times New Roman"/>
          <w:b/>
        </w:rPr>
      </w:pPr>
      <w:r w:rsidRPr="00A01D5E">
        <w:rPr>
          <w:rFonts w:ascii="Times New Roman" w:hAnsi="Times New Roman" w:cs="Times New Roman"/>
          <w:b/>
        </w:rPr>
        <w:lastRenderedPageBreak/>
        <w:t>Estimation and Calculation of Sampling Errors</w:t>
      </w:r>
    </w:p>
    <w:p w:rsidR="00A01D5E" w:rsidRPr="00A01D5E" w:rsidRDefault="00A01D5E" w:rsidP="003437B4">
      <w:pPr>
        <w:ind w:firstLine="720"/>
        <w:rPr>
          <w:rFonts w:ascii="Times New Roman" w:hAnsi="Times New Roman" w:cs="Times New Roman"/>
        </w:rPr>
      </w:pPr>
      <w:r w:rsidRPr="00A01D5E">
        <w:rPr>
          <w:rFonts w:ascii="Times New Roman" w:hAnsi="Times New Roman" w:cs="Times New Roman"/>
        </w:rPr>
        <w:t xml:space="preserve">For estimation purposes, sampling weights reflecting the overall probabilities of selection will be attached to each data record. These weights will also include upward adjustments for unit </w:t>
      </w:r>
      <w:proofErr w:type="spellStart"/>
      <w:r w:rsidRPr="00A01D5E">
        <w:rPr>
          <w:rFonts w:ascii="Times New Roman" w:hAnsi="Times New Roman" w:cs="Times New Roman"/>
        </w:rPr>
        <w:t>nonresponse</w:t>
      </w:r>
      <w:proofErr w:type="spellEnd"/>
      <w:r w:rsidRPr="00A01D5E">
        <w:rPr>
          <w:rFonts w:ascii="Times New Roman" w:hAnsi="Times New Roman" w:cs="Times New Roman"/>
        </w:rPr>
        <w:t>. To properly reflect the complex features of the sample design, standard errors of the survey-based estimates will be calculated using jackknife replication. Under the jackknife replication approach, 50 subsamples or “replicates” will be formed in a way that preserves the basic features of the full sample design.</w:t>
      </w:r>
      <w:r w:rsidR="005E04AF">
        <w:rPr>
          <w:rFonts w:ascii="Times New Roman" w:hAnsi="Times New Roman" w:cs="Times New Roman"/>
        </w:rPr>
        <w:t xml:space="preserve"> </w:t>
      </w:r>
      <w:r w:rsidRPr="00A01D5E">
        <w:rPr>
          <w:rFonts w:ascii="Times New Roman" w:hAnsi="Times New Roman" w:cs="Times New Roman"/>
        </w:rPr>
        <w:t>A set of estimation weights (referred to as “replicate weights”) will then be generated for each jackknife replicate.</w:t>
      </w:r>
      <w:r w:rsidR="005E04AF">
        <w:rPr>
          <w:rFonts w:ascii="Times New Roman" w:hAnsi="Times New Roman" w:cs="Times New Roman"/>
        </w:rPr>
        <w:t xml:space="preserve"> </w:t>
      </w:r>
      <w:r w:rsidRPr="00A01D5E">
        <w:rPr>
          <w:rFonts w:ascii="Times New Roman" w:hAnsi="Times New Roman" w:cs="Times New Roman"/>
        </w:rPr>
        <w:t>Using the full sample weights and the replicate weights, estimates of any survey statistic can be calculated for the full sample and each of the 50 jackknife replicates. The mean square error of the replicate estimates then provides a measure of the variance (standard error) of the survey statistic. Previous surveys, using similar sample designs, have yielded relative standard errors (i.e., coefficients of variation) in the range of 2 to 10 percent for most national estimates. Similar results are expected for this survey.</w:t>
      </w:r>
    </w:p>
    <w:p w:rsidR="004563E2" w:rsidRPr="00AF4A55" w:rsidRDefault="004563E2" w:rsidP="003437B4">
      <w:pPr>
        <w:rPr>
          <w:rFonts w:ascii="Times New Roman" w:hAnsi="Times New Roman" w:cs="Times New Roman"/>
          <w:b/>
          <w:sz w:val="24"/>
          <w:szCs w:val="24"/>
        </w:rPr>
      </w:pPr>
      <w:r w:rsidRPr="00AF4A55">
        <w:rPr>
          <w:rFonts w:ascii="Times New Roman" w:hAnsi="Times New Roman" w:cs="Times New Roman"/>
          <w:b/>
          <w:sz w:val="24"/>
          <w:szCs w:val="24"/>
        </w:rPr>
        <w:t>PEQIS</w:t>
      </w:r>
      <w:r w:rsidR="00B23E65" w:rsidRPr="00AF4A55">
        <w:rPr>
          <w:rFonts w:ascii="Times New Roman" w:hAnsi="Times New Roman" w:cs="Times New Roman"/>
          <w:b/>
          <w:sz w:val="24"/>
          <w:szCs w:val="24"/>
        </w:rPr>
        <w:t xml:space="preserve"> 18</w:t>
      </w:r>
      <w:r w:rsidR="00AF4A55" w:rsidRPr="00AF4A55">
        <w:rPr>
          <w:rFonts w:ascii="Times New Roman" w:hAnsi="Times New Roman" w:cs="Times New Roman"/>
          <w:b/>
          <w:sz w:val="24"/>
          <w:szCs w:val="24"/>
        </w:rPr>
        <w:t xml:space="preserve"> Postsecondary Institution Survey</w:t>
      </w:r>
    </w:p>
    <w:p w:rsidR="007E71E1" w:rsidRDefault="007E71E1" w:rsidP="003437B4">
      <w:pPr>
        <w:rPr>
          <w:rFonts w:ascii="Times New Roman" w:hAnsi="Times New Roman" w:cs="Times New Roman"/>
        </w:rPr>
      </w:pPr>
      <w:r w:rsidRPr="00A01D5E">
        <w:rPr>
          <w:rFonts w:ascii="Times New Roman" w:hAnsi="Times New Roman" w:cs="Times New Roman"/>
          <w:b/>
        </w:rPr>
        <w:t>Respondent Universe</w:t>
      </w:r>
      <w:r w:rsidRPr="00995FEF">
        <w:rPr>
          <w:rFonts w:ascii="Times New Roman" w:hAnsi="Times New Roman" w:cs="Times New Roman"/>
          <w:b/>
        </w:rPr>
        <w:t xml:space="preserve"> </w:t>
      </w:r>
      <w:r>
        <w:rPr>
          <w:rFonts w:ascii="Times New Roman" w:hAnsi="Times New Roman" w:cs="Times New Roman"/>
          <w:b/>
        </w:rPr>
        <w:t xml:space="preserve">and </w:t>
      </w:r>
      <w:r w:rsidRPr="00A01D5E">
        <w:rPr>
          <w:rFonts w:ascii="Times New Roman" w:hAnsi="Times New Roman" w:cs="Times New Roman"/>
          <w:b/>
        </w:rPr>
        <w:t>Statistical Methodology</w:t>
      </w:r>
      <w:r w:rsidRPr="007E71E1">
        <w:rPr>
          <w:rFonts w:ascii="Times New Roman" w:hAnsi="Times New Roman" w:cs="Times New Roman"/>
        </w:rPr>
        <w:t xml:space="preserve"> </w:t>
      </w:r>
    </w:p>
    <w:p w:rsidR="00D01B3A" w:rsidRPr="007E71E1" w:rsidRDefault="00D01B3A" w:rsidP="003437B4">
      <w:pPr>
        <w:ind w:firstLine="720"/>
        <w:rPr>
          <w:rFonts w:ascii="Times New Roman" w:hAnsi="Times New Roman" w:cs="Times New Roman"/>
        </w:rPr>
      </w:pPr>
      <w:r w:rsidRPr="007E71E1">
        <w:rPr>
          <w:rFonts w:ascii="Times New Roman" w:hAnsi="Times New Roman" w:cs="Times New Roman"/>
        </w:rPr>
        <w:t xml:space="preserve">This survey will be sent to approximately 1,600 postsecondary institutions in the PEQIS panel. The sampling frame for the PEQIS panel was constructed from the Integrated Postsecondary Education Data System (PEQIS) “Institutional Characteristics” file. Institutions eligible for the PEQIS frame included 2-year and 4-year (including graduate-level) Title IV-eligible degree granting institutions located in the 50 states and the District of Columbia: a total of approximately 4,300 institutions. </w:t>
      </w:r>
    </w:p>
    <w:p w:rsidR="003437B4" w:rsidRPr="007E71E1" w:rsidRDefault="00D01B3A" w:rsidP="003437B4">
      <w:pPr>
        <w:ind w:firstLine="720"/>
        <w:rPr>
          <w:rFonts w:ascii="Times New Roman" w:hAnsi="Times New Roman" w:cs="Times New Roman"/>
        </w:rPr>
      </w:pPr>
      <w:r w:rsidRPr="007E71E1">
        <w:rPr>
          <w:rFonts w:ascii="Times New Roman" w:hAnsi="Times New Roman" w:cs="Times New Roman"/>
        </w:rPr>
        <w:t>The PEQIS sampling frame was stratified by instructional level (4-year, 2-year), control (public, private not-for-profit), highest level of offering (doctor’s/first professional, master’s, bachelor’s, less than bachelor’s), and total enrollment. Within each strata, institutions were sorted by region (Northeast, Southeast, Central, West), and by whether the institution had a relatively high minority enrollment. The sample of institutions was allocated to the strat</w:t>
      </w:r>
      <w:r w:rsidR="00B67925">
        <w:rPr>
          <w:rFonts w:ascii="Times New Roman" w:hAnsi="Times New Roman" w:cs="Times New Roman"/>
        </w:rPr>
        <w:t>a</w:t>
      </w:r>
      <w:r w:rsidRPr="007E71E1">
        <w:rPr>
          <w:rFonts w:ascii="Times New Roman" w:hAnsi="Times New Roman" w:cs="Times New Roman"/>
        </w:rPr>
        <w:t xml:space="preserve"> in proportion to the aggregate square root of total enrollment. Institutions within a stratum were sampled with equal probabilities of selection. </w:t>
      </w:r>
    </w:p>
    <w:p w:rsidR="00D01B3A" w:rsidRPr="007E71E1" w:rsidRDefault="00D01B3A" w:rsidP="003437B4">
      <w:pPr>
        <w:rPr>
          <w:rFonts w:ascii="Times New Roman" w:hAnsi="Times New Roman" w:cs="Times New Roman"/>
        </w:rPr>
      </w:pPr>
    </w:p>
    <w:sectPr w:rsidR="00D01B3A" w:rsidRPr="007E71E1" w:rsidSect="002F4BD9">
      <w:footerReference w:type="default" r:id="rId9"/>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1AE" w:rsidRDefault="00AE31AE" w:rsidP="00960F16">
      <w:pPr>
        <w:spacing w:after="0" w:line="240" w:lineRule="auto"/>
      </w:pPr>
      <w:r>
        <w:separator/>
      </w:r>
    </w:p>
  </w:endnote>
  <w:endnote w:type="continuationSeparator" w:id="0">
    <w:p w:rsidR="00AE31AE" w:rsidRDefault="00AE31AE" w:rsidP="00960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914485"/>
      <w:docPartObj>
        <w:docPartGallery w:val="Page Numbers (Bottom of Page)"/>
        <w:docPartUnique/>
      </w:docPartObj>
    </w:sdtPr>
    <w:sdtEndPr>
      <w:rPr>
        <w:rFonts w:ascii="Times New Roman" w:hAnsi="Times New Roman" w:cs="Times New Roman"/>
      </w:rPr>
    </w:sdtEndPr>
    <w:sdtContent>
      <w:p w:rsidR="00AE31AE" w:rsidRPr="00E50DAC" w:rsidRDefault="00A74299">
        <w:pPr>
          <w:pStyle w:val="Footer"/>
          <w:jc w:val="center"/>
          <w:rPr>
            <w:rFonts w:ascii="Times New Roman" w:hAnsi="Times New Roman" w:cs="Times New Roman"/>
          </w:rPr>
        </w:pPr>
        <w:r w:rsidRPr="00E50DAC">
          <w:rPr>
            <w:rFonts w:ascii="Times New Roman" w:hAnsi="Times New Roman" w:cs="Times New Roman"/>
          </w:rPr>
          <w:fldChar w:fldCharType="begin"/>
        </w:r>
        <w:r w:rsidR="00AE31AE" w:rsidRPr="00E50DAC">
          <w:rPr>
            <w:rFonts w:ascii="Times New Roman" w:hAnsi="Times New Roman" w:cs="Times New Roman"/>
          </w:rPr>
          <w:instrText xml:space="preserve"> PAGE   \* MERGEFORMAT </w:instrText>
        </w:r>
        <w:r w:rsidRPr="00E50DAC">
          <w:rPr>
            <w:rFonts w:ascii="Times New Roman" w:hAnsi="Times New Roman" w:cs="Times New Roman"/>
          </w:rPr>
          <w:fldChar w:fldCharType="separate"/>
        </w:r>
        <w:r w:rsidR="00860352">
          <w:rPr>
            <w:rFonts w:ascii="Times New Roman" w:hAnsi="Times New Roman" w:cs="Times New Roman"/>
            <w:noProof/>
          </w:rPr>
          <w:t>5</w:t>
        </w:r>
        <w:r w:rsidRPr="00E50DAC">
          <w:rPr>
            <w:rFonts w:ascii="Times New Roman" w:hAnsi="Times New Roman" w:cs="Times New Roman"/>
          </w:rPr>
          <w:fldChar w:fldCharType="end"/>
        </w:r>
      </w:p>
    </w:sdtContent>
  </w:sdt>
  <w:p w:rsidR="00AE31AE" w:rsidRDefault="00AE31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1AE" w:rsidRDefault="00AE31AE" w:rsidP="00960F16">
      <w:pPr>
        <w:spacing w:after="0" w:line="240" w:lineRule="auto"/>
      </w:pPr>
      <w:r>
        <w:separator/>
      </w:r>
    </w:p>
  </w:footnote>
  <w:footnote w:type="continuationSeparator" w:id="0">
    <w:p w:rsidR="00AE31AE" w:rsidRDefault="00AE31AE" w:rsidP="00960F16">
      <w:pPr>
        <w:spacing w:after="0" w:line="240" w:lineRule="auto"/>
      </w:pPr>
      <w:r>
        <w:continuationSeparator/>
      </w:r>
    </w:p>
  </w:footnote>
  <w:footnote w:id="1">
    <w:p w:rsidR="00AE31AE" w:rsidRPr="007478BD" w:rsidRDefault="00AE31AE" w:rsidP="007478BD">
      <w:pPr>
        <w:pStyle w:val="FootnoteText"/>
        <w:rPr>
          <w:rFonts w:ascii="Times New Roman" w:hAnsi="Times New Roman" w:cs="Times New Roman"/>
          <w:sz w:val="18"/>
          <w:szCs w:val="18"/>
        </w:rPr>
      </w:pPr>
      <w:r w:rsidRPr="007478BD">
        <w:rPr>
          <w:rStyle w:val="FootnoteReference"/>
          <w:rFonts w:ascii="Times New Roman" w:hAnsi="Times New Roman" w:cs="Times New Roman"/>
          <w:sz w:val="18"/>
          <w:szCs w:val="18"/>
        </w:rPr>
        <w:footnoteRef/>
      </w:r>
      <w:r w:rsidRPr="007478BD">
        <w:rPr>
          <w:rFonts w:ascii="Times New Roman" w:hAnsi="Times New Roman" w:cs="Times New Roman"/>
          <w:sz w:val="18"/>
          <w:szCs w:val="18"/>
        </w:rPr>
        <w:t xml:space="preserve"> </w:t>
      </w:r>
      <w:proofErr w:type="gramStart"/>
      <w:r w:rsidRPr="007478BD">
        <w:rPr>
          <w:rFonts w:ascii="Times New Roman" w:hAnsi="Times New Roman" w:cs="Times New Roman"/>
          <w:sz w:val="18"/>
          <w:szCs w:val="18"/>
        </w:rPr>
        <w:t>Florida Department of Education.</w:t>
      </w:r>
      <w:proofErr w:type="gramEnd"/>
      <w:r w:rsidRPr="007478BD">
        <w:rPr>
          <w:rFonts w:ascii="Times New Roman" w:hAnsi="Times New Roman" w:cs="Times New Roman"/>
          <w:sz w:val="18"/>
          <w:szCs w:val="18"/>
        </w:rPr>
        <w:t xml:space="preserve"> </w:t>
      </w:r>
      <w:proofErr w:type="gramStart"/>
      <w:r w:rsidRPr="007478BD">
        <w:rPr>
          <w:rFonts w:ascii="Times New Roman" w:hAnsi="Times New Roman" w:cs="Times New Roman"/>
          <w:sz w:val="18"/>
          <w:szCs w:val="18"/>
        </w:rPr>
        <w:t xml:space="preserve">(2004). </w:t>
      </w:r>
      <w:r>
        <w:rPr>
          <w:rFonts w:ascii="Times New Roman" w:hAnsi="Times New Roman" w:cs="Times New Roman"/>
          <w:i/>
          <w:sz w:val="18"/>
          <w:szCs w:val="18"/>
        </w:rPr>
        <w:t>Impact of D</w:t>
      </w:r>
      <w:r w:rsidRPr="0018178F">
        <w:rPr>
          <w:rFonts w:ascii="Times New Roman" w:hAnsi="Times New Roman" w:cs="Times New Roman"/>
          <w:i/>
          <w:sz w:val="18"/>
          <w:szCs w:val="18"/>
        </w:rPr>
        <w:t xml:space="preserve">ual </w:t>
      </w:r>
      <w:r>
        <w:rPr>
          <w:rFonts w:ascii="Times New Roman" w:hAnsi="Times New Roman" w:cs="Times New Roman"/>
          <w:i/>
          <w:sz w:val="18"/>
          <w:szCs w:val="18"/>
        </w:rPr>
        <w:t>E</w:t>
      </w:r>
      <w:r w:rsidRPr="0018178F">
        <w:rPr>
          <w:rFonts w:ascii="Times New Roman" w:hAnsi="Times New Roman" w:cs="Times New Roman"/>
          <w:i/>
          <w:sz w:val="18"/>
          <w:szCs w:val="18"/>
        </w:rPr>
        <w:t xml:space="preserve">nrollment on </w:t>
      </w:r>
      <w:r>
        <w:rPr>
          <w:rFonts w:ascii="Times New Roman" w:hAnsi="Times New Roman" w:cs="Times New Roman"/>
          <w:i/>
          <w:sz w:val="18"/>
          <w:szCs w:val="18"/>
        </w:rPr>
        <w:t>High Performing S</w:t>
      </w:r>
      <w:r w:rsidRPr="0018178F">
        <w:rPr>
          <w:rFonts w:ascii="Times New Roman" w:hAnsi="Times New Roman" w:cs="Times New Roman"/>
          <w:i/>
          <w:sz w:val="18"/>
          <w:szCs w:val="18"/>
        </w:rPr>
        <w:t>tudents</w:t>
      </w:r>
      <w:r>
        <w:rPr>
          <w:rFonts w:ascii="Times New Roman" w:hAnsi="Times New Roman" w:cs="Times New Roman"/>
          <w:sz w:val="18"/>
          <w:szCs w:val="18"/>
        </w:rPr>
        <w:t>.</w:t>
      </w:r>
      <w:proofErr w:type="gramEnd"/>
      <w:r>
        <w:rPr>
          <w:rFonts w:ascii="Times New Roman" w:hAnsi="Times New Roman" w:cs="Times New Roman"/>
          <w:sz w:val="18"/>
          <w:szCs w:val="18"/>
        </w:rPr>
        <w:t xml:space="preserve"> Tallahassee, FL: Florida Department of Education.</w:t>
      </w:r>
    </w:p>
  </w:footnote>
  <w:footnote w:id="2">
    <w:p w:rsidR="00AE31AE" w:rsidRPr="007478BD" w:rsidRDefault="00AE31AE" w:rsidP="007478BD">
      <w:pPr>
        <w:pStyle w:val="FootnoteText"/>
        <w:rPr>
          <w:rFonts w:ascii="Times New Roman" w:hAnsi="Times New Roman" w:cs="Times New Roman"/>
          <w:sz w:val="18"/>
          <w:szCs w:val="18"/>
        </w:rPr>
      </w:pPr>
      <w:r w:rsidRPr="007478BD">
        <w:rPr>
          <w:rStyle w:val="FootnoteReference"/>
          <w:rFonts w:ascii="Times New Roman" w:hAnsi="Times New Roman" w:cs="Times New Roman"/>
          <w:sz w:val="18"/>
          <w:szCs w:val="18"/>
        </w:rPr>
        <w:footnoteRef/>
      </w:r>
      <w:r w:rsidRPr="007478BD">
        <w:rPr>
          <w:rFonts w:ascii="Times New Roman" w:hAnsi="Times New Roman" w:cs="Times New Roman"/>
          <w:sz w:val="18"/>
          <w:szCs w:val="18"/>
        </w:rPr>
        <w:t xml:space="preserve">Hoffman, N. (2005). </w:t>
      </w:r>
      <w:r w:rsidRPr="0018178F">
        <w:rPr>
          <w:rFonts w:ascii="Times New Roman" w:hAnsi="Times New Roman" w:cs="Times New Roman"/>
          <w:i/>
          <w:sz w:val="18"/>
          <w:szCs w:val="18"/>
        </w:rPr>
        <w:t>Add and Subtract: Dual Enrollment as a State Strategy to Increase Postsecondary Success for Underrepresented Students</w:t>
      </w:r>
      <w:r w:rsidRPr="007478BD">
        <w:rPr>
          <w:rFonts w:ascii="Times New Roman" w:hAnsi="Times New Roman" w:cs="Times New Roman"/>
          <w:sz w:val="18"/>
          <w:szCs w:val="18"/>
        </w:rPr>
        <w:t>. Boston, MA: Jobs for the Future.</w:t>
      </w:r>
    </w:p>
  </w:footnote>
  <w:footnote w:id="3">
    <w:p w:rsidR="00AE31AE" w:rsidRPr="007478BD" w:rsidRDefault="00AE31AE" w:rsidP="007478BD">
      <w:pPr>
        <w:pStyle w:val="FootnoteText"/>
        <w:rPr>
          <w:rFonts w:ascii="Times New Roman" w:hAnsi="Times New Roman" w:cs="Times New Roman"/>
          <w:sz w:val="18"/>
          <w:szCs w:val="18"/>
        </w:rPr>
      </w:pPr>
      <w:r w:rsidRPr="007478BD">
        <w:rPr>
          <w:rStyle w:val="FootnoteReference"/>
          <w:rFonts w:ascii="Times New Roman" w:hAnsi="Times New Roman" w:cs="Times New Roman"/>
          <w:sz w:val="18"/>
          <w:szCs w:val="18"/>
        </w:rPr>
        <w:footnoteRef/>
      </w:r>
      <w:r w:rsidRPr="007478BD">
        <w:rPr>
          <w:rFonts w:ascii="Times New Roman" w:hAnsi="Times New Roman" w:cs="Times New Roman"/>
          <w:sz w:val="18"/>
          <w:szCs w:val="18"/>
        </w:rPr>
        <w:t xml:space="preserve"> </w:t>
      </w:r>
      <w:proofErr w:type="spellStart"/>
      <w:r w:rsidRPr="007478BD">
        <w:rPr>
          <w:rFonts w:ascii="Times New Roman" w:hAnsi="Times New Roman" w:cs="Times New Roman"/>
          <w:sz w:val="18"/>
          <w:szCs w:val="18"/>
        </w:rPr>
        <w:t>Dounay</w:t>
      </w:r>
      <w:proofErr w:type="spellEnd"/>
      <w:r w:rsidRPr="007478BD">
        <w:rPr>
          <w:rFonts w:ascii="Times New Roman" w:hAnsi="Times New Roman" w:cs="Times New Roman"/>
          <w:sz w:val="18"/>
          <w:szCs w:val="18"/>
        </w:rPr>
        <w:t xml:space="preserve">, J. (2008). </w:t>
      </w:r>
      <w:proofErr w:type="gramStart"/>
      <w:r w:rsidRPr="0018178F">
        <w:rPr>
          <w:rFonts w:ascii="Times New Roman" w:hAnsi="Times New Roman" w:cs="Times New Roman"/>
          <w:i/>
          <w:sz w:val="18"/>
          <w:szCs w:val="18"/>
        </w:rPr>
        <w:t>Dual Enrollment</w:t>
      </w:r>
      <w:r w:rsidRPr="007478BD">
        <w:rPr>
          <w:rFonts w:ascii="Times New Roman" w:hAnsi="Times New Roman" w:cs="Times New Roman"/>
          <w:sz w:val="18"/>
          <w:szCs w:val="18"/>
        </w:rPr>
        <w:t>.</w:t>
      </w:r>
      <w:proofErr w:type="gramEnd"/>
      <w:r w:rsidRPr="007478BD">
        <w:rPr>
          <w:rFonts w:ascii="Times New Roman" w:hAnsi="Times New Roman" w:cs="Times New Roman"/>
          <w:sz w:val="18"/>
          <w:szCs w:val="18"/>
        </w:rPr>
        <w:t xml:space="preserve"> Denver, CO: Education Commission of the States. </w:t>
      </w:r>
    </w:p>
  </w:footnote>
  <w:footnote w:id="4">
    <w:p w:rsidR="00AE31AE" w:rsidRDefault="00AE31AE" w:rsidP="007478BD">
      <w:pPr>
        <w:pStyle w:val="FootnoteText"/>
      </w:pPr>
      <w:r w:rsidRPr="007478BD">
        <w:rPr>
          <w:rStyle w:val="FootnoteReference"/>
          <w:rFonts w:ascii="Times New Roman" w:hAnsi="Times New Roman" w:cs="Times New Roman"/>
          <w:sz w:val="18"/>
          <w:szCs w:val="18"/>
        </w:rPr>
        <w:footnoteRef/>
      </w:r>
      <w:r w:rsidRPr="007478BD">
        <w:rPr>
          <w:rFonts w:ascii="Times New Roman" w:hAnsi="Times New Roman" w:cs="Times New Roman"/>
          <w:sz w:val="18"/>
          <w:szCs w:val="18"/>
        </w:rPr>
        <w:t xml:space="preserve"> </w:t>
      </w:r>
      <w:proofErr w:type="gramStart"/>
      <w:r w:rsidRPr="007478BD">
        <w:rPr>
          <w:rFonts w:ascii="Times New Roman" w:hAnsi="Times New Roman" w:cs="Times New Roman"/>
          <w:sz w:val="18"/>
          <w:szCs w:val="18"/>
        </w:rPr>
        <w:t xml:space="preserve">Karp, M., </w:t>
      </w:r>
      <w:r>
        <w:rPr>
          <w:rFonts w:ascii="Times New Roman" w:hAnsi="Times New Roman" w:cs="Times New Roman"/>
          <w:sz w:val="18"/>
          <w:szCs w:val="18"/>
        </w:rPr>
        <w:t>Calcagno, J.C., et al. (2007).</w:t>
      </w:r>
      <w:proofErr w:type="gramEnd"/>
      <w:r>
        <w:rPr>
          <w:rFonts w:ascii="Times New Roman" w:hAnsi="Times New Roman" w:cs="Times New Roman"/>
          <w:sz w:val="18"/>
          <w:szCs w:val="18"/>
        </w:rPr>
        <w:t xml:space="preserve"> </w:t>
      </w:r>
      <w:r w:rsidRPr="0018178F">
        <w:rPr>
          <w:rFonts w:ascii="Times New Roman" w:hAnsi="Times New Roman" w:cs="Times New Roman"/>
          <w:i/>
          <w:sz w:val="18"/>
          <w:szCs w:val="18"/>
        </w:rPr>
        <w:t>The Postsecondary Achievement of Participants in Dual Enrollment: An Analysis of Student Outcomes in Two States</w:t>
      </w:r>
      <w:r>
        <w:rPr>
          <w:rFonts w:ascii="Times New Roman" w:hAnsi="Times New Roman" w:cs="Times New Roman"/>
          <w:sz w:val="18"/>
          <w:szCs w:val="18"/>
        </w:rPr>
        <w:t xml:space="preserve">. </w:t>
      </w:r>
      <w:r w:rsidRPr="007478BD">
        <w:rPr>
          <w:rFonts w:ascii="Times New Roman" w:hAnsi="Times New Roman" w:cs="Times New Roman"/>
          <w:sz w:val="18"/>
          <w:szCs w:val="18"/>
        </w:rPr>
        <w:t>St. Paul, MN: National Research Center for Career and Technical Education.</w:t>
      </w:r>
      <w:r>
        <w:t xml:space="preserve"> </w:t>
      </w:r>
    </w:p>
  </w:footnote>
  <w:footnote w:id="5">
    <w:p w:rsidR="00AE31AE" w:rsidRPr="007478BD" w:rsidRDefault="00AE31AE" w:rsidP="007478BD">
      <w:pPr>
        <w:pStyle w:val="FootnoteText"/>
        <w:rPr>
          <w:rFonts w:ascii="Times New Roman" w:hAnsi="Times New Roman" w:cs="Times New Roman"/>
          <w:sz w:val="18"/>
          <w:szCs w:val="18"/>
        </w:rPr>
      </w:pPr>
      <w:r w:rsidRPr="007478BD">
        <w:rPr>
          <w:rStyle w:val="FootnoteReference"/>
          <w:rFonts w:ascii="Times New Roman" w:hAnsi="Times New Roman" w:cs="Times New Roman"/>
          <w:sz w:val="18"/>
          <w:szCs w:val="18"/>
        </w:rPr>
        <w:footnoteRef/>
      </w:r>
      <w:r w:rsidRPr="007478BD">
        <w:rPr>
          <w:rFonts w:ascii="Times New Roman" w:hAnsi="Times New Roman" w:cs="Times New Roman"/>
          <w:sz w:val="18"/>
          <w:szCs w:val="18"/>
        </w:rPr>
        <w:t xml:space="preserve"> </w:t>
      </w:r>
      <w:proofErr w:type="gramStart"/>
      <w:r w:rsidRPr="007478BD">
        <w:rPr>
          <w:rFonts w:ascii="Times New Roman" w:hAnsi="Times New Roman" w:cs="Times New Roman"/>
          <w:sz w:val="18"/>
          <w:szCs w:val="18"/>
        </w:rPr>
        <w:t>Hoffman, N., Vargas, J. and Santos, J. (2008)</w:t>
      </w:r>
      <w:r>
        <w:rPr>
          <w:rFonts w:ascii="Times New Roman" w:hAnsi="Times New Roman" w:cs="Times New Roman"/>
          <w:sz w:val="18"/>
          <w:szCs w:val="18"/>
        </w:rPr>
        <w:t>.</w:t>
      </w:r>
      <w:proofErr w:type="gramEnd"/>
      <w:r w:rsidRPr="007478BD">
        <w:rPr>
          <w:rFonts w:ascii="Times New Roman" w:hAnsi="Times New Roman" w:cs="Times New Roman"/>
          <w:sz w:val="18"/>
          <w:szCs w:val="18"/>
        </w:rPr>
        <w:t xml:space="preserve"> </w:t>
      </w:r>
      <w:r w:rsidRPr="0018178F">
        <w:rPr>
          <w:rFonts w:ascii="Times New Roman" w:hAnsi="Times New Roman" w:cs="Times New Roman"/>
          <w:i/>
          <w:sz w:val="18"/>
          <w:szCs w:val="18"/>
        </w:rPr>
        <w:t xml:space="preserve">On Ramp to College: </w:t>
      </w:r>
      <w:proofErr w:type="gramStart"/>
      <w:r w:rsidRPr="0018178F">
        <w:rPr>
          <w:rFonts w:ascii="Times New Roman" w:hAnsi="Times New Roman" w:cs="Times New Roman"/>
          <w:i/>
          <w:sz w:val="18"/>
          <w:szCs w:val="18"/>
        </w:rPr>
        <w:t>A</w:t>
      </w:r>
      <w:proofErr w:type="gramEnd"/>
      <w:r w:rsidRPr="0018178F">
        <w:rPr>
          <w:rFonts w:ascii="Times New Roman" w:hAnsi="Times New Roman" w:cs="Times New Roman"/>
          <w:i/>
          <w:sz w:val="18"/>
          <w:szCs w:val="18"/>
        </w:rPr>
        <w:t xml:space="preserve"> State Policymaker’s Guide to Dual Enrollment</w:t>
      </w:r>
      <w:r w:rsidRPr="007478BD">
        <w:rPr>
          <w:rFonts w:ascii="Times New Roman" w:hAnsi="Times New Roman" w:cs="Times New Roman"/>
          <w:sz w:val="18"/>
          <w:szCs w:val="18"/>
        </w:rPr>
        <w:t>. Boston, MA: Jobs for the Future.</w:t>
      </w:r>
    </w:p>
  </w:footnote>
  <w:footnote w:id="6">
    <w:p w:rsidR="00AE31AE" w:rsidRDefault="00AE31AE" w:rsidP="007478BD">
      <w:pPr>
        <w:pStyle w:val="FootnoteText"/>
      </w:pPr>
      <w:r w:rsidRPr="007478BD">
        <w:rPr>
          <w:rStyle w:val="FootnoteReference"/>
          <w:rFonts w:ascii="Times New Roman" w:hAnsi="Times New Roman" w:cs="Times New Roman"/>
          <w:sz w:val="18"/>
          <w:szCs w:val="18"/>
        </w:rPr>
        <w:footnoteRef/>
      </w:r>
      <w:r w:rsidRPr="007478BD">
        <w:rPr>
          <w:rFonts w:ascii="Times New Roman" w:hAnsi="Times New Roman" w:cs="Times New Roman"/>
          <w:sz w:val="18"/>
          <w:szCs w:val="18"/>
        </w:rPr>
        <w:t xml:space="preserve"> </w:t>
      </w:r>
      <w:proofErr w:type="gramStart"/>
      <w:r w:rsidRPr="007478BD">
        <w:rPr>
          <w:rFonts w:ascii="Times New Roman" w:hAnsi="Times New Roman" w:cs="Times New Roman"/>
          <w:sz w:val="18"/>
          <w:szCs w:val="18"/>
        </w:rPr>
        <w:t>Jobs for the Future.</w:t>
      </w:r>
      <w:proofErr w:type="gramEnd"/>
      <w:r w:rsidRPr="007478BD">
        <w:rPr>
          <w:rFonts w:ascii="Times New Roman" w:hAnsi="Times New Roman" w:cs="Times New Roman"/>
          <w:sz w:val="18"/>
          <w:szCs w:val="18"/>
        </w:rPr>
        <w:t xml:space="preserve"> (2010). </w:t>
      </w:r>
      <w:r w:rsidRPr="0018178F">
        <w:rPr>
          <w:rFonts w:ascii="Times New Roman" w:hAnsi="Times New Roman" w:cs="Times New Roman"/>
          <w:i/>
          <w:sz w:val="18"/>
          <w:szCs w:val="18"/>
        </w:rPr>
        <w:t>Early College High School: A Portrait in Numbers</w:t>
      </w:r>
      <w:r w:rsidRPr="007478BD">
        <w:rPr>
          <w:rFonts w:ascii="Times New Roman" w:hAnsi="Times New Roman" w:cs="Times New Roman"/>
          <w:sz w:val="18"/>
          <w:szCs w:val="18"/>
        </w:rPr>
        <w:t>. Boston, MA</w:t>
      </w:r>
      <w:r>
        <w:rPr>
          <w:rFonts w:ascii="Times New Roman" w:hAnsi="Times New Roman" w:cs="Times New Roman"/>
          <w:sz w:val="18"/>
          <w:szCs w:val="18"/>
        </w:rPr>
        <w:t>: Jobs for the Future</w:t>
      </w:r>
      <w:r w:rsidRPr="007478BD">
        <w:rPr>
          <w:rFonts w:ascii="Times New Roman" w:hAnsi="Times New Roman" w:cs="Times New Roman"/>
          <w:sz w:val="18"/>
          <w:szCs w:val="18"/>
        </w:rPr>
        <w:t>.</w:t>
      </w:r>
    </w:p>
  </w:footnote>
  <w:footnote w:id="7">
    <w:p w:rsidR="00AE31AE" w:rsidRPr="00250C79" w:rsidRDefault="00AE31AE" w:rsidP="00250C79">
      <w:pPr>
        <w:pStyle w:val="FootnoteText"/>
        <w:rPr>
          <w:rFonts w:ascii="Times New Roman" w:hAnsi="Times New Roman" w:cs="Times New Roman"/>
          <w:sz w:val="18"/>
          <w:szCs w:val="18"/>
        </w:rPr>
      </w:pPr>
      <w:r w:rsidRPr="00250C79">
        <w:rPr>
          <w:rStyle w:val="FootnoteReference"/>
          <w:rFonts w:ascii="Times New Roman" w:hAnsi="Times New Roman" w:cs="Times New Roman"/>
          <w:sz w:val="18"/>
          <w:szCs w:val="18"/>
        </w:rPr>
        <w:footnoteRef/>
      </w:r>
      <w:r w:rsidRPr="00250C79">
        <w:rPr>
          <w:rFonts w:ascii="Times New Roman" w:hAnsi="Times New Roman" w:cs="Times New Roman"/>
          <w:sz w:val="18"/>
          <w:szCs w:val="18"/>
        </w:rPr>
        <w:t xml:space="preserve"> </w:t>
      </w:r>
      <w:r>
        <w:rPr>
          <w:rFonts w:ascii="Times New Roman" w:hAnsi="Times New Roman" w:cs="Times New Roman"/>
          <w:sz w:val="18"/>
          <w:szCs w:val="18"/>
        </w:rPr>
        <w:t>This estimate is the</w:t>
      </w:r>
      <w:r w:rsidRPr="00250C79">
        <w:rPr>
          <w:rFonts w:ascii="Times New Roman" w:hAnsi="Times New Roman" w:cs="Times New Roman"/>
          <w:sz w:val="18"/>
          <w:szCs w:val="18"/>
        </w:rPr>
        <w:t xml:space="preserve"> </w:t>
      </w:r>
      <w:r>
        <w:rPr>
          <w:rFonts w:ascii="Times New Roman" w:hAnsi="Times New Roman" w:cs="Times New Roman"/>
          <w:sz w:val="18"/>
          <w:szCs w:val="18"/>
        </w:rPr>
        <w:t xml:space="preserve">average </w:t>
      </w:r>
      <w:r w:rsidRPr="00250C79">
        <w:rPr>
          <w:rFonts w:ascii="Times New Roman" w:hAnsi="Times New Roman" w:cs="Times New Roman"/>
          <w:sz w:val="18"/>
          <w:szCs w:val="18"/>
        </w:rPr>
        <w:t xml:space="preserve">amount of time secondary school staff respondents reported the questionnaire took them to complete during the pretest.  </w:t>
      </w:r>
    </w:p>
  </w:footnote>
  <w:footnote w:id="8">
    <w:p w:rsidR="00AE31AE" w:rsidRDefault="00AE31AE">
      <w:pPr>
        <w:pStyle w:val="FootnoteText"/>
      </w:pPr>
      <w:r w:rsidRPr="00250C79">
        <w:rPr>
          <w:rStyle w:val="FootnoteReference"/>
          <w:rFonts w:ascii="Times New Roman" w:hAnsi="Times New Roman" w:cs="Times New Roman"/>
          <w:sz w:val="18"/>
          <w:szCs w:val="18"/>
        </w:rPr>
        <w:footnoteRef/>
      </w:r>
      <w:r w:rsidRPr="00250C79">
        <w:rPr>
          <w:rFonts w:ascii="Times New Roman" w:hAnsi="Times New Roman" w:cs="Times New Roman"/>
          <w:sz w:val="18"/>
          <w:szCs w:val="18"/>
        </w:rPr>
        <w:t xml:space="preserve"> </w:t>
      </w:r>
      <w:r>
        <w:rPr>
          <w:rFonts w:ascii="Times New Roman" w:hAnsi="Times New Roman" w:cs="Times New Roman"/>
          <w:sz w:val="18"/>
          <w:szCs w:val="18"/>
        </w:rPr>
        <w:t>This e</w:t>
      </w:r>
      <w:r w:rsidRPr="00250C79">
        <w:rPr>
          <w:rFonts w:ascii="Times New Roman" w:hAnsi="Times New Roman" w:cs="Times New Roman"/>
          <w:sz w:val="18"/>
          <w:szCs w:val="18"/>
        </w:rPr>
        <w:t xml:space="preserve">stimate </w:t>
      </w:r>
      <w:r>
        <w:rPr>
          <w:rFonts w:ascii="Times New Roman" w:hAnsi="Times New Roman" w:cs="Times New Roman"/>
          <w:sz w:val="18"/>
          <w:szCs w:val="18"/>
        </w:rPr>
        <w:t>is</w:t>
      </w:r>
      <w:r w:rsidRPr="00250C79">
        <w:rPr>
          <w:rFonts w:ascii="Times New Roman" w:hAnsi="Times New Roman" w:cs="Times New Roman"/>
          <w:sz w:val="18"/>
          <w:szCs w:val="18"/>
        </w:rPr>
        <w:t xml:space="preserve"> the</w:t>
      </w:r>
      <w:r>
        <w:rPr>
          <w:rFonts w:ascii="Times New Roman" w:hAnsi="Times New Roman" w:cs="Times New Roman"/>
          <w:sz w:val="18"/>
          <w:szCs w:val="18"/>
        </w:rPr>
        <w:t xml:space="preserve"> average</w:t>
      </w:r>
      <w:r w:rsidRPr="00250C79">
        <w:rPr>
          <w:rFonts w:ascii="Times New Roman" w:hAnsi="Times New Roman" w:cs="Times New Roman"/>
          <w:sz w:val="18"/>
          <w:szCs w:val="18"/>
        </w:rPr>
        <w:t xml:space="preserve"> amount of time postsecondary respondents reported the questionnaire took to complete during the two pretest rounds.</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D1CA7"/>
    <w:rsid w:val="00000C25"/>
    <w:rsid w:val="00005E38"/>
    <w:rsid w:val="000114E2"/>
    <w:rsid w:val="00011CEA"/>
    <w:rsid w:val="000328F8"/>
    <w:rsid w:val="00033CA4"/>
    <w:rsid w:val="00034A9E"/>
    <w:rsid w:val="000353C2"/>
    <w:rsid w:val="00037814"/>
    <w:rsid w:val="000379A2"/>
    <w:rsid w:val="00046303"/>
    <w:rsid w:val="000463A1"/>
    <w:rsid w:val="000636BE"/>
    <w:rsid w:val="0007091E"/>
    <w:rsid w:val="000823D0"/>
    <w:rsid w:val="00084837"/>
    <w:rsid w:val="00094321"/>
    <w:rsid w:val="000A0548"/>
    <w:rsid w:val="000B4A9D"/>
    <w:rsid w:val="000D6BAE"/>
    <w:rsid w:val="000D75F2"/>
    <w:rsid w:val="000E11FB"/>
    <w:rsid w:val="000E1E47"/>
    <w:rsid w:val="000F2B06"/>
    <w:rsid w:val="000F4F58"/>
    <w:rsid w:val="001018BB"/>
    <w:rsid w:val="00120E6A"/>
    <w:rsid w:val="001243F8"/>
    <w:rsid w:val="00133A8B"/>
    <w:rsid w:val="00141410"/>
    <w:rsid w:val="00150BB4"/>
    <w:rsid w:val="0015295B"/>
    <w:rsid w:val="00157BF8"/>
    <w:rsid w:val="0018178F"/>
    <w:rsid w:val="00182BF5"/>
    <w:rsid w:val="00184483"/>
    <w:rsid w:val="00187E71"/>
    <w:rsid w:val="001A0917"/>
    <w:rsid w:val="001A3F64"/>
    <w:rsid w:val="001B3949"/>
    <w:rsid w:val="001B47E2"/>
    <w:rsid w:val="001C401E"/>
    <w:rsid w:val="001C6277"/>
    <w:rsid w:val="001D122A"/>
    <w:rsid w:val="001D26E8"/>
    <w:rsid w:val="001D3E40"/>
    <w:rsid w:val="001D4C9F"/>
    <w:rsid w:val="001D64C8"/>
    <w:rsid w:val="001D7910"/>
    <w:rsid w:val="001E43F3"/>
    <w:rsid w:val="001E5DE2"/>
    <w:rsid w:val="001E76C7"/>
    <w:rsid w:val="00206A2C"/>
    <w:rsid w:val="0020703F"/>
    <w:rsid w:val="00213D9F"/>
    <w:rsid w:val="00220A33"/>
    <w:rsid w:val="00222823"/>
    <w:rsid w:val="00233EEA"/>
    <w:rsid w:val="00247C7A"/>
    <w:rsid w:val="00250C79"/>
    <w:rsid w:val="00255482"/>
    <w:rsid w:val="00256B68"/>
    <w:rsid w:val="00262A29"/>
    <w:rsid w:val="0026313C"/>
    <w:rsid w:val="002714A5"/>
    <w:rsid w:val="002733FF"/>
    <w:rsid w:val="00277062"/>
    <w:rsid w:val="0028432D"/>
    <w:rsid w:val="00297867"/>
    <w:rsid w:val="002A24BA"/>
    <w:rsid w:val="002A652E"/>
    <w:rsid w:val="002C1EFC"/>
    <w:rsid w:val="002C23BA"/>
    <w:rsid w:val="002D0ECE"/>
    <w:rsid w:val="002D2B82"/>
    <w:rsid w:val="002E01A2"/>
    <w:rsid w:val="002E6EC3"/>
    <w:rsid w:val="002F16E8"/>
    <w:rsid w:val="002F1A28"/>
    <w:rsid w:val="002F4BD9"/>
    <w:rsid w:val="0030164C"/>
    <w:rsid w:val="00324014"/>
    <w:rsid w:val="0032599C"/>
    <w:rsid w:val="00332AB1"/>
    <w:rsid w:val="00342131"/>
    <w:rsid w:val="003437B4"/>
    <w:rsid w:val="003446F5"/>
    <w:rsid w:val="00352D18"/>
    <w:rsid w:val="00356673"/>
    <w:rsid w:val="00361895"/>
    <w:rsid w:val="00366502"/>
    <w:rsid w:val="00373FA5"/>
    <w:rsid w:val="00375F97"/>
    <w:rsid w:val="0038759F"/>
    <w:rsid w:val="00394EFC"/>
    <w:rsid w:val="003A167F"/>
    <w:rsid w:val="003A1E48"/>
    <w:rsid w:val="003A27EA"/>
    <w:rsid w:val="003B019F"/>
    <w:rsid w:val="003C19C2"/>
    <w:rsid w:val="003C3FAB"/>
    <w:rsid w:val="003D0168"/>
    <w:rsid w:val="003D2905"/>
    <w:rsid w:val="003E32D9"/>
    <w:rsid w:val="003F4F38"/>
    <w:rsid w:val="003F5FE7"/>
    <w:rsid w:val="00404F74"/>
    <w:rsid w:val="004111BA"/>
    <w:rsid w:val="00414596"/>
    <w:rsid w:val="00416F8F"/>
    <w:rsid w:val="004200AD"/>
    <w:rsid w:val="00431EAE"/>
    <w:rsid w:val="00443A39"/>
    <w:rsid w:val="004459D8"/>
    <w:rsid w:val="00451C6C"/>
    <w:rsid w:val="004563E2"/>
    <w:rsid w:val="0045703A"/>
    <w:rsid w:val="004626AE"/>
    <w:rsid w:val="00476187"/>
    <w:rsid w:val="004822A6"/>
    <w:rsid w:val="0048241C"/>
    <w:rsid w:val="004B4CA5"/>
    <w:rsid w:val="004B62AC"/>
    <w:rsid w:val="004B7B07"/>
    <w:rsid w:val="004C204C"/>
    <w:rsid w:val="004C3BED"/>
    <w:rsid w:val="004D481E"/>
    <w:rsid w:val="004E786D"/>
    <w:rsid w:val="004F1743"/>
    <w:rsid w:val="004F7746"/>
    <w:rsid w:val="005068CB"/>
    <w:rsid w:val="00523F19"/>
    <w:rsid w:val="00527591"/>
    <w:rsid w:val="00532287"/>
    <w:rsid w:val="00545482"/>
    <w:rsid w:val="005508B9"/>
    <w:rsid w:val="00552562"/>
    <w:rsid w:val="0055293B"/>
    <w:rsid w:val="005563E4"/>
    <w:rsid w:val="00566C81"/>
    <w:rsid w:val="00573897"/>
    <w:rsid w:val="00580620"/>
    <w:rsid w:val="00586BB6"/>
    <w:rsid w:val="005970E1"/>
    <w:rsid w:val="005A0A29"/>
    <w:rsid w:val="005A3DB6"/>
    <w:rsid w:val="005B487D"/>
    <w:rsid w:val="005B5226"/>
    <w:rsid w:val="005C098C"/>
    <w:rsid w:val="005C27B1"/>
    <w:rsid w:val="005D6F48"/>
    <w:rsid w:val="005E04AF"/>
    <w:rsid w:val="005F3B5C"/>
    <w:rsid w:val="006020B1"/>
    <w:rsid w:val="00602359"/>
    <w:rsid w:val="00607A5F"/>
    <w:rsid w:val="00617678"/>
    <w:rsid w:val="0062176C"/>
    <w:rsid w:val="00622D7A"/>
    <w:rsid w:val="00625E5E"/>
    <w:rsid w:val="00626972"/>
    <w:rsid w:val="00632FCE"/>
    <w:rsid w:val="0063786A"/>
    <w:rsid w:val="00651DD8"/>
    <w:rsid w:val="0065654B"/>
    <w:rsid w:val="00660109"/>
    <w:rsid w:val="00664125"/>
    <w:rsid w:val="0067543C"/>
    <w:rsid w:val="00677B87"/>
    <w:rsid w:val="006A361D"/>
    <w:rsid w:val="006C1DA9"/>
    <w:rsid w:val="006C50E4"/>
    <w:rsid w:val="006D0817"/>
    <w:rsid w:val="006E0FD2"/>
    <w:rsid w:val="006E1B40"/>
    <w:rsid w:val="006E6327"/>
    <w:rsid w:val="006F41D9"/>
    <w:rsid w:val="006F4CB9"/>
    <w:rsid w:val="006F6069"/>
    <w:rsid w:val="00705EF0"/>
    <w:rsid w:val="00736188"/>
    <w:rsid w:val="00745F86"/>
    <w:rsid w:val="007478BD"/>
    <w:rsid w:val="0076504A"/>
    <w:rsid w:val="00786CE8"/>
    <w:rsid w:val="00787B7A"/>
    <w:rsid w:val="007A00B1"/>
    <w:rsid w:val="007A3E40"/>
    <w:rsid w:val="007A5CDC"/>
    <w:rsid w:val="007B16BE"/>
    <w:rsid w:val="007D14C1"/>
    <w:rsid w:val="007D1682"/>
    <w:rsid w:val="007E04C6"/>
    <w:rsid w:val="007E110A"/>
    <w:rsid w:val="007E71E1"/>
    <w:rsid w:val="007F33A8"/>
    <w:rsid w:val="007F3E7B"/>
    <w:rsid w:val="00800F35"/>
    <w:rsid w:val="008047DD"/>
    <w:rsid w:val="00804877"/>
    <w:rsid w:val="0080794F"/>
    <w:rsid w:val="008100E3"/>
    <w:rsid w:val="00823CB3"/>
    <w:rsid w:val="00827746"/>
    <w:rsid w:val="0083654A"/>
    <w:rsid w:val="00846066"/>
    <w:rsid w:val="0085271B"/>
    <w:rsid w:val="008556AE"/>
    <w:rsid w:val="00860352"/>
    <w:rsid w:val="008665AC"/>
    <w:rsid w:val="00882FCD"/>
    <w:rsid w:val="00886CC9"/>
    <w:rsid w:val="00895622"/>
    <w:rsid w:val="008B644E"/>
    <w:rsid w:val="008C095F"/>
    <w:rsid w:val="008C5576"/>
    <w:rsid w:val="008C61D9"/>
    <w:rsid w:val="008D213D"/>
    <w:rsid w:val="008D2955"/>
    <w:rsid w:val="008E2333"/>
    <w:rsid w:val="008F1A3D"/>
    <w:rsid w:val="008F7227"/>
    <w:rsid w:val="0090486F"/>
    <w:rsid w:val="009105F0"/>
    <w:rsid w:val="00917C07"/>
    <w:rsid w:val="0092085C"/>
    <w:rsid w:val="00936284"/>
    <w:rsid w:val="009433B0"/>
    <w:rsid w:val="0095187B"/>
    <w:rsid w:val="00960F16"/>
    <w:rsid w:val="00962372"/>
    <w:rsid w:val="009646CC"/>
    <w:rsid w:val="00964EC3"/>
    <w:rsid w:val="009741FD"/>
    <w:rsid w:val="00974C35"/>
    <w:rsid w:val="00985EE0"/>
    <w:rsid w:val="009909A5"/>
    <w:rsid w:val="00995FEF"/>
    <w:rsid w:val="00996D9B"/>
    <w:rsid w:val="00997BF3"/>
    <w:rsid w:val="009B0F56"/>
    <w:rsid w:val="009C0728"/>
    <w:rsid w:val="009C11BF"/>
    <w:rsid w:val="009E1535"/>
    <w:rsid w:val="009F5A25"/>
    <w:rsid w:val="00A01D5E"/>
    <w:rsid w:val="00A1357C"/>
    <w:rsid w:val="00A1521E"/>
    <w:rsid w:val="00A2117B"/>
    <w:rsid w:val="00A24A23"/>
    <w:rsid w:val="00A30277"/>
    <w:rsid w:val="00A41B47"/>
    <w:rsid w:val="00A47279"/>
    <w:rsid w:val="00A52DFB"/>
    <w:rsid w:val="00A5578E"/>
    <w:rsid w:val="00A603D0"/>
    <w:rsid w:val="00A66173"/>
    <w:rsid w:val="00A678FB"/>
    <w:rsid w:val="00A702AD"/>
    <w:rsid w:val="00A74299"/>
    <w:rsid w:val="00A80696"/>
    <w:rsid w:val="00A85876"/>
    <w:rsid w:val="00A86296"/>
    <w:rsid w:val="00A919EE"/>
    <w:rsid w:val="00A939D8"/>
    <w:rsid w:val="00A97BC6"/>
    <w:rsid w:val="00AB0AF2"/>
    <w:rsid w:val="00AB0F39"/>
    <w:rsid w:val="00AB6949"/>
    <w:rsid w:val="00AC2638"/>
    <w:rsid w:val="00AC2CDC"/>
    <w:rsid w:val="00AC5110"/>
    <w:rsid w:val="00AC53C4"/>
    <w:rsid w:val="00AC6A81"/>
    <w:rsid w:val="00AC719C"/>
    <w:rsid w:val="00AE31AE"/>
    <w:rsid w:val="00AE4675"/>
    <w:rsid w:val="00AF0C77"/>
    <w:rsid w:val="00AF19F4"/>
    <w:rsid w:val="00AF4A55"/>
    <w:rsid w:val="00B0684D"/>
    <w:rsid w:val="00B07818"/>
    <w:rsid w:val="00B0787B"/>
    <w:rsid w:val="00B17E4E"/>
    <w:rsid w:val="00B21EF2"/>
    <w:rsid w:val="00B23E65"/>
    <w:rsid w:val="00B31F4C"/>
    <w:rsid w:val="00B32D21"/>
    <w:rsid w:val="00B42CBC"/>
    <w:rsid w:val="00B5688B"/>
    <w:rsid w:val="00B56F91"/>
    <w:rsid w:val="00B65BED"/>
    <w:rsid w:val="00B67925"/>
    <w:rsid w:val="00B76A45"/>
    <w:rsid w:val="00B813F2"/>
    <w:rsid w:val="00B900AF"/>
    <w:rsid w:val="00BA352A"/>
    <w:rsid w:val="00BD2175"/>
    <w:rsid w:val="00C25F13"/>
    <w:rsid w:val="00C36DE7"/>
    <w:rsid w:val="00C4092B"/>
    <w:rsid w:val="00C57774"/>
    <w:rsid w:val="00C6448F"/>
    <w:rsid w:val="00C84127"/>
    <w:rsid w:val="00CB633F"/>
    <w:rsid w:val="00CC1018"/>
    <w:rsid w:val="00CC6B31"/>
    <w:rsid w:val="00CC6DD7"/>
    <w:rsid w:val="00CE2D6D"/>
    <w:rsid w:val="00CE3E8E"/>
    <w:rsid w:val="00CE6D28"/>
    <w:rsid w:val="00CF080C"/>
    <w:rsid w:val="00CF15B5"/>
    <w:rsid w:val="00CF2126"/>
    <w:rsid w:val="00CF31FA"/>
    <w:rsid w:val="00CF5600"/>
    <w:rsid w:val="00CF72A0"/>
    <w:rsid w:val="00D00556"/>
    <w:rsid w:val="00D01B3A"/>
    <w:rsid w:val="00D038DE"/>
    <w:rsid w:val="00D070CD"/>
    <w:rsid w:val="00D3705A"/>
    <w:rsid w:val="00D47EB8"/>
    <w:rsid w:val="00D54093"/>
    <w:rsid w:val="00D5789C"/>
    <w:rsid w:val="00D66638"/>
    <w:rsid w:val="00D85713"/>
    <w:rsid w:val="00D915B8"/>
    <w:rsid w:val="00DA34E6"/>
    <w:rsid w:val="00DA7632"/>
    <w:rsid w:val="00DB2662"/>
    <w:rsid w:val="00DB2FCD"/>
    <w:rsid w:val="00DE23F0"/>
    <w:rsid w:val="00E05537"/>
    <w:rsid w:val="00E272B3"/>
    <w:rsid w:val="00E371C4"/>
    <w:rsid w:val="00E423F0"/>
    <w:rsid w:val="00E50DAC"/>
    <w:rsid w:val="00E55EBF"/>
    <w:rsid w:val="00E60140"/>
    <w:rsid w:val="00E62AEA"/>
    <w:rsid w:val="00E7104D"/>
    <w:rsid w:val="00E801CD"/>
    <w:rsid w:val="00E85E9E"/>
    <w:rsid w:val="00E92189"/>
    <w:rsid w:val="00EA02BE"/>
    <w:rsid w:val="00EA0AF5"/>
    <w:rsid w:val="00EA48A7"/>
    <w:rsid w:val="00EB4A8C"/>
    <w:rsid w:val="00EC2DCB"/>
    <w:rsid w:val="00EC718D"/>
    <w:rsid w:val="00EC7718"/>
    <w:rsid w:val="00ED1CA7"/>
    <w:rsid w:val="00ED5242"/>
    <w:rsid w:val="00EE6EDC"/>
    <w:rsid w:val="00EF40EE"/>
    <w:rsid w:val="00F02F55"/>
    <w:rsid w:val="00F21038"/>
    <w:rsid w:val="00F269DA"/>
    <w:rsid w:val="00F33C1E"/>
    <w:rsid w:val="00F35307"/>
    <w:rsid w:val="00F56113"/>
    <w:rsid w:val="00F635FD"/>
    <w:rsid w:val="00F65A27"/>
    <w:rsid w:val="00F700C8"/>
    <w:rsid w:val="00F74D90"/>
    <w:rsid w:val="00F7564C"/>
    <w:rsid w:val="00F87641"/>
    <w:rsid w:val="00F9102A"/>
    <w:rsid w:val="00F95745"/>
    <w:rsid w:val="00F958C3"/>
    <w:rsid w:val="00FA2B20"/>
    <w:rsid w:val="00FA3BC7"/>
    <w:rsid w:val="00FA440A"/>
    <w:rsid w:val="00FA775A"/>
    <w:rsid w:val="00FB6DE1"/>
    <w:rsid w:val="00FE1B47"/>
    <w:rsid w:val="00FF0001"/>
    <w:rsid w:val="00FF0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21"/>
  </w:style>
  <w:style w:type="paragraph" w:styleId="Heading8">
    <w:name w:val="heading 8"/>
    <w:basedOn w:val="Normal"/>
    <w:next w:val="Normal"/>
    <w:link w:val="Heading8Char"/>
    <w:uiPriority w:val="99"/>
    <w:qFormat/>
    <w:rsid w:val="000379A2"/>
    <w:pPr>
      <w:spacing w:before="240" w:after="60" w:line="240" w:lineRule="atLeast"/>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7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60F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0F16"/>
  </w:style>
  <w:style w:type="paragraph" w:styleId="Footer">
    <w:name w:val="footer"/>
    <w:basedOn w:val="Normal"/>
    <w:link w:val="FooterChar"/>
    <w:uiPriority w:val="99"/>
    <w:unhideWhenUsed/>
    <w:rsid w:val="00960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F16"/>
  </w:style>
  <w:style w:type="paragraph" w:styleId="BalloonText">
    <w:name w:val="Balloon Text"/>
    <w:basedOn w:val="Normal"/>
    <w:link w:val="BalloonTextChar"/>
    <w:uiPriority w:val="99"/>
    <w:semiHidden/>
    <w:unhideWhenUsed/>
    <w:rsid w:val="00000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C25"/>
    <w:rPr>
      <w:rFonts w:ascii="Tahoma" w:hAnsi="Tahoma" w:cs="Tahoma"/>
      <w:sz w:val="16"/>
      <w:szCs w:val="16"/>
    </w:rPr>
  </w:style>
  <w:style w:type="character" w:styleId="CommentReference">
    <w:name w:val="annotation reference"/>
    <w:basedOn w:val="DefaultParagraphFont"/>
    <w:uiPriority w:val="99"/>
    <w:semiHidden/>
    <w:unhideWhenUsed/>
    <w:rsid w:val="004822A6"/>
    <w:rPr>
      <w:sz w:val="16"/>
      <w:szCs w:val="16"/>
    </w:rPr>
  </w:style>
  <w:style w:type="paragraph" w:styleId="CommentText">
    <w:name w:val="annotation text"/>
    <w:basedOn w:val="Normal"/>
    <w:link w:val="CommentTextChar"/>
    <w:uiPriority w:val="99"/>
    <w:semiHidden/>
    <w:unhideWhenUsed/>
    <w:rsid w:val="004822A6"/>
    <w:pPr>
      <w:spacing w:line="240" w:lineRule="auto"/>
    </w:pPr>
    <w:rPr>
      <w:sz w:val="20"/>
      <w:szCs w:val="20"/>
    </w:rPr>
  </w:style>
  <w:style w:type="character" w:customStyle="1" w:styleId="CommentTextChar">
    <w:name w:val="Comment Text Char"/>
    <w:basedOn w:val="DefaultParagraphFont"/>
    <w:link w:val="CommentText"/>
    <w:uiPriority w:val="99"/>
    <w:semiHidden/>
    <w:rsid w:val="004822A6"/>
    <w:rPr>
      <w:sz w:val="20"/>
      <w:szCs w:val="20"/>
    </w:rPr>
  </w:style>
  <w:style w:type="paragraph" w:styleId="CommentSubject">
    <w:name w:val="annotation subject"/>
    <w:basedOn w:val="CommentText"/>
    <w:next w:val="CommentText"/>
    <w:link w:val="CommentSubjectChar"/>
    <w:uiPriority w:val="99"/>
    <w:semiHidden/>
    <w:unhideWhenUsed/>
    <w:rsid w:val="004822A6"/>
    <w:rPr>
      <w:b/>
      <w:bCs/>
    </w:rPr>
  </w:style>
  <w:style w:type="character" w:customStyle="1" w:styleId="CommentSubjectChar">
    <w:name w:val="Comment Subject Char"/>
    <w:basedOn w:val="CommentTextChar"/>
    <w:link w:val="CommentSubject"/>
    <w:uiPriority w:val="99"/>
    <w:semiHidden/>
    <w:rsid w:val="004822A6"/>
    <w:rPr>
      <w:b/>
      <w:bCs/>
      <w:sz w:val="20"/>
      <w:szCs w:val="20"/>
    </w:rPr>
  </w:style>
  <w:style w:type="paragraph" w:customStyle="1" w:styleId="N2-2ndBullet">
    <w:name w:val="N2-2nd Bullet"/>
    <w:basedOn w:val="Normal"/>
    <w:rsid w:val="00CF2126"/>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styleId="ListParagraph">
    <w:name w:val="List Paragraph"/>
    <w:basedOn w:val="Normal"/>
    <w:uiPriority w:val="34"/>
    <w:qFormat/>
    <w:rsid w:val="003B019F"/>
    <w:pPr>
      <w:spacing w:after="0" w:line="240" w:lineRule="auto"/>
      <w:ind w:left="720"/>
      <w:contextualSpacing/>
    </w:pPr>
    <w:rPr>
      <w:rFonts w:ascii="Times New Roman" w:eastAsia="Times New Roman" w:hAnsi="Times New Roman" w:cs="Times New Roman"/>
      <w:sz w:val="24"/>
      <w:szCs w:val="24"/>
    </w:rPr>
  </w:style>
  <w:style w:type="paragraph" w:customStyle="1" w:styleId="SL-FlLftSgl">
    <w:name w:val="SL-Fl Lft Sgl"/>
    <w:uiPriority w:val="99"/>
    <w:rsid w:val="0083654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uiPriority w:val="99"/>
    <w:rsid w:val="0083654A"/>
    <w:pPr>
      <w:tabs>
        <w:tab w:val="left" w:pos="576"/>
      </w:tabs>
      <w:overflowPunct w:val="0"/>
      <w:autoSpaceDE w:val="0"/>
      <w:autoSpaceDN w:val="0"/>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styleId="FootnoteText">
    <w:name w:val="footnote text"/>
    <w:basedOn w:val="Normal"/>
    <w:link w:val="FootnoteTextChar"/>
    <w:unhideWhenUsed/>
    <w:rsid w:val="00250C79"/>
    <w:pPr>
      <w:spacing w:after="0" w:line="240" w:lineRule="auto"/>
    </w:pPr>
    <w:rPr>
      <w:sz w:val="20"/>
      <w:szCs w:val="20"/>
    </w:rPr>
  </w:style>
  <w:style w:type="character" w:customStyle="1" w:styleId="FootnoteTextChar">
    <w:name w:val="Footnote Text Char"/>
    <w:basedOn w:val="DefaultParagraphFont"/>
    <w:link w:val="FootnoteText"/>
    <w:rsid w:val="00250C79"/>
    <w:rPr>
      <w:sz w:val="20"/>
      <w:szCs w:val="20"/>
    </w:rPr>
  </w:style>
  <w:style w:type="character" w:styleId="FootnoteReference">
    <w:name w:val="footnote reference"/>
    <w:basedOn w:val="DefaultParagraphFont"/>
    <w:unhideWhenUsed/>
    <w:rsid w:val="00250C79"/>
    <w:rPr>
      <w:vertAlign w:val="superscript"/>
    </w:rPr>
  </w:style>
  <w:style w:type="character" w:customStyle="1" w:styleId="Heading8Char">
    <w:name w:val="Heading 8 Char"/>
    <w:basedOn w:val="DefaultParagraphFont"/>
    <w:link w:val="Heading8"/>
    <w:uiPriority w:val="99"/>
    <w:rsid w:val="000379A2"/>
    <w:rPr>
      <w:rFonts w:ascii="Calibri" w:eastAsia="Times New Roman" w:hAnsi="Calibri" w:cs="Times New Roman"/>
      <w:i/>
      <w:iCs/>
      <w:sz w:val="24"/>
      <w:szCs w:val="24"/>
    </w:rPr>
  </w:style>
  <w:style w:type="character" w:styleId="Hyperlink">
    <w:name w:val="Hyperlink"/>
    <w:basedOn w:val="DefaultParagraphFont"/>
    <w:uiPriority w:val="99"/>
    <w:rsid w:val="000379A2"/>
    <w:rPr>
      <w:rFonts w:cs="Times New Roman"/>
      <w:color w:val="0000FF"/>
      <w:u w:val="single"/>
    </w:rPr>
  </w:style>
  <w:style w:type="paragraph" w:customStyle="1" w:styleId="C1-CtrSglSp">
    <w:name w:val="C1-Ctr Sgl Sp"/>
    <w:uiPriority w:val="99"/>
    <w:rsid w:val="00A939D8"/>
    <w:pPr>
      <w:keepLines/>
      <w:overflowPunct w:val="0"/>
      <w:autoSpaceDE w:val="0"/>
      <w:autoSpaceDN w:val="0"/>
      <w:adjustRightInd w:val="0"/>
      <w:spacing w:after="0" w:line="240" w:lineRule="atLeast"/>
      <w:jc w:val="center"/>
      <w:textAlignment w:val="baseline"/>
    </w:pPr>
    <w:rPr>
      <w:rFonts w:ascii="CG Times (WN)" w:eastAsia="Times New Roman" w:hAnsi="CG Times (W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2245393">
      <w:bodyDiv w:val="1"/>
      <w:marLeft w:val="0"/>
      <w:marRight w:val="0"/>
      <w:marTop w:val="0"/>
      <w:marBottom w:val="0"/>
      <w:divBdr>
        <w:top w:val="none" w:sz="0" w:space="0" w:color="auto"/>
        <w:left w:val="none" w:sz="0" w:space="0" w:color="auto"/>
        <w:bottom w:val="none" w:sz="0" w:space="0" w:color="auto"/>
        <w:right w:val="none" w:sz="0" w:space="0" w:color="auto"/>
      </w:divBdr>
    </w:div>
    <w:div w:id="1049038738">
      <w:bodyDiv w:val="1"/>
      <w:marLeft w:val="0"/>
      <w:marRight w:val="0"/>
      <w:marTop w:val="0"/>
      <w:marBottom w:val="0"/>
      <w:divBdr>
        <w:top w:val="none" w:sz="0" w:space="0" w:color="auto"/>
        <w:left w:val="none" w:sz="0" w:space="0" w:color="auto"/>
        <w:bottom w:val="none" w:sz="0" w:space="0" w:color="auto"/>
        <w:right w:val="none" w:sz="0" w:space="0" w:color="auto"/>
      </w:divBdr>
    </w:div>
    <w:div w:id="1114204489">
      <w:bodyDiv w:val="1"/>
      <w:marLeft w:val="0"/>
      <w:marRight w:val="0"/>
      <w:marTop w:val="0"/>
      <w:marBottom w:val="0"/>
      <w:divBdr>
        <w:top w:val="none" w:sz="0" w:space="0" w:color="auto"/>
        <w:left w:val="none" w:sz="0" w:space="0" w:color="auto"/>
        <w:bottom w:val="none" w:sz="0" w:space="0" w:color="auto"/>
        <w:right w:val="none" w:sz="0" w:space="0" w:color="auto"/>
      </w:divBdr>
    </w:div>
    <w:div w:id="167683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B1EC-3865-4FF5-A6C0-187EFD90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12</Pages>
  <Words>5796</Words>
  <Characters>33039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Marken_S</dc:creator>
  <cp:keywords/>
  <dc:description/>
  <cp:lastModifiedBy>Authorised User</cp:lastModifiedBy>
  <cp:revision>27</cp:revision>
  <cp:lastPrinted>2011-07-15T21:10:00Z</cp:lastPrinted>
  <dcterms:created xsi:type="dcterms:W3CDTF">2011-07-15T15:17:00Z</dcterms:created>
  <dcterms:modified xsi:type="dcterms:W3CDTF">2011-07-18T15:59:00Z</dcterms:modified>
</cp:coreProperties>
</file>