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13" w:rsidRPr="008C73C0" w:rsidRDefault="00B70EFC" w:rsidP="0026551C">
      <w:pPr>
        <w:pStyle w:val="ListParagraph"/>
        <w:spacing w:after="0" w:line="240" w:lineRule="auto"/>
        <w:ind w:left="0"/>
        <w:rPr>
          <w:rFonts w:ascii="Times New Roman" w:hAnsi="Times New Roman"/>
          <w:sz w:val="20"/>
          <w:szCs w:val="20"/>
        </w:rPr>
      </w:pPr>
      <w:r>
        <w:rPr>
          <w:rFonts w:ascii="Times New Roman" w:hAnsi="Times New Roman"/>
          <w:noProof/>
          <w:sz w:val="20"/>
          <w:szCs w:val="20"/>
        </w:rPr>
        <w:pict>
          <v:rect id="_x0000_s1026" style="position:absolute;margin-left:62.25pt;margin-top:-14.9pt;width:415.5pt;height:48pt;z-index:251658752">
            <v:textbox style="mso-next-textbox:#_x0000_s1026">
              <w:txbxContent>
                <w:p w:rsidR="005A68C2" w:rsidRPr="004226A7" w:rsidRDefault="005A68C2" w:rsidP="006A6C13">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5A68C2" w:rsidRPr="004226A7" w:rsidRDefault="005A68C2" w:rsidP="006A6C13">
                  <w:pPr>
                    <w:shd w:val="clear" w:color="auto" w:fill="D9D9D9"/>
                    <w:jc w:val="center"/>
                    <w:rPr>
                      <w:rFonts w:ascii="Times New Roman" w:hAnsi="Times New Roman"/>
                      <w:sz w:val="32"/>
                      <w:szCs w:val="32"/>
                    </w:rPr>
                  </w:pPr>
                  <w:r>
                    <w:rPr>
                      <w:rFonts w:ascii="Times New Roman" w:hAnsi="Times New Roman"/>
                      <w:sz w:val="32"/>
                      <w:szCs w:val="32"/>
                    </w:rPr>
                    <w:t>Fiscal Oversight and Accountability</w:t>
                  </w:r>
                </w:p>
              </w:txbxContent>
            </v:textbox>
            <w10:wrap type="square"/>
          </v:rect>
        </w:pict>
      </w:r>
    </w:p>
    <w:p w:rsidR="006A6C13" w:rsidRPr="008C73C0" w:rsidRDefault="006A6C13" w:rsidP="0026551C">
      <w:pPr>
        <w:pStyle w:val="ListParagraph"/>
        <w:spacing w:after="0" w:line="240" w:lineRule="auto"/>
        <w:ind w:left="0"/>
        <w:rPr>
          <w:rFonts w:ascii="Times New Roman" w:hAnsi="Times New Roman"/>
          <w:sz w:val="20"/>
          <w:szCs w:val="20"/>
        </w:rPr>
      </w:pPr>
    </w:p>
    <w:p w:rsidR="00015624" w:rsidRPr="005A68C2" w:rsidRDefault="00015624" w:rsidP="0026551C">
      <w:pPr>
        <w:pStyle w:val="ListParagraph"/>
        <w:spacing w:after="0" w:line="240" w:lineRule="auto"/>
        <w:ind w:left="0"/>
        <w:rPr>
          <w:rFonts w:ascii="Times New Roman" w:hAnsi="Times New Roman"/>
          <w:sz w:val="20"/>
          <w:szCs w:val="20"/>
        </w:rPr>
      </w:pPr>
    </w:p>
    <w:p w:rsidR="00AD30B0" w:rsidRDefault="00AD30B0" w:rsidP="0026551C">
      <w:pPr>
        <w:pStyle w:val="ListParagraph"/>
        <w:spacing w:after="0" w:line="240" w:lineRule="auto"/>
        <w:ind w:left="0"/>
        <w:rPr>
          <w:rFonts w:ascii="Times New Roman" w:hAnsi="Times New Roman"/>
          <w:i/>
          <w:sz w:val="20"/>
          <w:szCs w:val="20"/>
        </w:rPr>
      </w:pPr>
    </w:p>
    <w:p w:rsidR="005A68C2" w:rsidRPr="005A68C2" w:rsidRDefault="00AD30B0" w:rsidP="00AD30B0">
      <w:pPr>
        <w:pStyle w:val="ListParagraph"/>
        <w:spacing w:after="0" w:line="240" w:lineRule="auto"/>
        <w:ind w:left="0"/>
        <w:jc w:val="center"/>
        <w:rPr>
          <w:rFonts w:ascii="Times New Roman" w:hAnsi="Times New Roman"/>
          <w:sz w:val="16"/>
          <w:szCs w:val="16"/>
        </w:rPr>
      </w:pPr>
      <w:r>
        <w:rPr>
          <w:rFonts w:ascii="Times New Roman" w:hAnsi="Times New Roman"/>
          <w:i/>
          <w:sz w:val="20"/>
          <w:szCs w:val="20"/>
        </w:rPr>
        <w:t>Fiscal oversight and accountability</w:t>
      </w:r>
      <w:r w:rsidR="006D61A0">
        <w:rPr>
          <w:rFonts w:ascii="Times New Roman" w:hAnsi="Times New Roman"/>
          <w:i/>
          <w:sz w:val="20"/>
          <w:szCs w:val="20"/>
        </w:rPr>
        <w:t xml:space="preserve"> </w:t>
      </w:r>
      <w:r>
        <w:rPr>
          <w:rFonts w:ascii="Times New Roman" w:hAnsi="Times New Roman"/>
          <w:i/>
          <w:sz w:val="20"/>
          <w:szCs w:val="20"/>
        </w:rPr>
        <w:t>in</w:t>
      </w:r>
      <w:r w:rsidR="005A68C2" w:rsidRPr="005A68C2">
        <w:rPr>
          <w:rFonts w:ascii="Times New Roman" w:hAnsi="Times New Roman"/>
          <w:i/>
          <w:sz w:val="20"/>
          <w:szCs w:val="20"/>
        </w:rPr>
        <w:t>formation will be collected annuall</w:t>
      </w:r>
      <w:r>
        <w:rPr>
          <w:rFonts w:ascii="Times New Roman" w:hAnsi="Times New Roman"/>
          <w:i/>
          <w:sz w:val="20"/>
          <w:szCs w:val="20"/>
        </w:rPr>
        <w:t xml:space="preserve">y </w:t>
      </w:r>
      <w:r w:rsidR="001D3B11">
        <w:rPr>
          <w:rFonts w:ascii="Times New Roman" w:hAnsi="Times New Roman"/>
          <w:i/>
          <w:sz w:val="20"/>
          <w:szCs w:val="20"/>
        </w:rPr>
        <w:t xml:space="preserve">from the State and selected </w:t>
      </w:r>
      <w:proofErr w:type="spellStart"/>
      <w:r w:rsidR="001D3B11">
        <w:rPr>
          <w:rFonts w:ascii="Times New Roman" w:hAnsi="Times New Roman"/>
          <w:i/>
          <w:sz w:val="20"/>
          <w:szCs w:val="20"/>
        </w:rPr>
        <w:t>sub</w:t>
      </w:r>
      <w:r>
        <w:rPr>
          <w:rFonts w:ascii="Times New Roman" w:hAnsi="Times New Roman"/>
          <w:i/>
          <w:sz w:val="20"/>
          <w:szCs w:val="20"/>
        </w:rPr>
        <w:t>recipients</w:t>
      </w:r>
      <w:proofErr w:type="spellEnd"/>
      <w:r>
        <w:rPr>
          <w:rFonts w:ascii="Times New Roman" w:hAnsi="Times New Roman"/>
          <w:i/>
          <w:sz w:val="20"/>
          <w:szCs w:val="20"/>
        </w:rPr>
        <w:t>.</w:t>
      </w:r>
    </w:p>
    <w:tbl>
      <w:tblPr>
        <w:tblpPr w:leftFromText="180" w:rightFromText="180" w:vertAnchor="text" w:tblpY="1"/>
        <w:tblOverlap w:val="neve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4320"/>
        <w:gridCol w:w="5580"/>
      </w:tblGrid>
      <w:tr w:rsidR="006A6C13" w:rsidRPr="008C73C0" w:rsidTr="0073633C">
        <w:trPr>
          <w:trHeight w:val="467"/>
        </w:trPr>
        <w:tc>
          <w:tcPr>
            <w:tcW w:w="828" w:type="dxa"/>
            <w:shd w:val="clear" w:color="auto" w:fill="A6A6A6"/>
          </w:tcPr>
          <w:p w:rsidR="006A6C13" w:rsidRDefault="006A6C13" w:rsidP="0026551C">
            <w:pPr>
              <w:spacing w:after="0" w:line="240" w:lineRule="auto"/>
              <w:jc w:val="center"/>
              <w:rPr>
                <w:rFonts w:ascii="Times New Roman" w:hAnsi="Times New Roman"/>
                <w:b/>
                <w:sz w:val="20"/>
                <w:szCs w:val="20"/>
              </w:rPr>
            </w:pPr>
          </w:p>
          <w:p w:rsidR="003840C8" w:rsidRPr="008C73C0" w:rsidRDefault="003840C8" w:rsidP="0026551C">
            <w:pPr>
              <w:spacing w:after="0" w:line="240" w:lineRule="auto"/>
              <w:jc w:val="center"/>
              <w:rPr>
                <w:rFonts w:ascii="Times New Roman" w:hAnsi="Times New Roman"/>
                <w:b/>
                <w:sz w:val="20"/>
                <w:szCs w:val="20"/>
              </w:rPr>
            </w:pPr>
          </w:p>
        </w:tc>
        <w:tc>
          <w:tcPr>
            <w:tcW w:w="4320" w:type="dxa"/>
            <w:shd w:val="clear" w:color="auto" w:fill="A6A6A6"/>
          </w:tcPr>
          <w:p w:rsidR="006A6C13" w:rsidRPr="008C73C0" w:rsidRDefault="006A6C13" w:rsidP="0026551C">
            <w:pPr>
              <w:spacing w:after="0" w:line="240" w:lineRule="auto"/>
              <w:jc w:val="center"/>
              <w:rPr>
                <w:rFonts w:ascii="Times New Roman" w:hAnsi="Times New Roman"/>
                <w:b/>
                <w:sz w:val="20"/>
                <w:szCs w:val="20"/>
              </w:rPr>
            </w:pPr>
            <w:r w:rsidRPr="008C73C0">
              <w:rPr>
                <w:rFonts w:ascii="Times New Roman" w:hAnsi="Times New Roman"/>
                <w:b/>
                <w:sz w:val="20"/>
                <w:szCs w:val="20"/>
              </w:rPr>
              <w:t>STATE</w:t>
            </w:r>
          </w:p>
          <w:p w:rsidR="006A6C13" w:rsidRPr="008C73C0" w:rsidRDefault="006A6C13" w:rsidP="0026551C">
            <w:pPr>
              <w:spacing w:after="0" w:line="240" w:lineRule="auto"/>
              <w:jc w:val="center"/>
              <w:rPr>
                <w:rFonts w:ascii="Times New Roman" w:hAnsi="Times New Roman"/>
                <w:b/>
                <w:sz w:val="20"/>
                <w:szCs w:val="20"/>
              </w:rPr>
            </w:pPr>
            <w:r w:rsidRPr="008C73C0">
              <w:rPr>
                <w:rFonts w:ascii="Times New Roman" w:hAnsi="Times New Roman"/>
                <w:b/>
                <w:sz w:val="20"/>
                <w:szCs w:val="20"/>
              </w:rPr>
              <w:t>Information / Documentation</w:t>
            </w:r>
          </w:p>
        </w:tc>
        <w:tc>
          <w:tcPr>
            <w:tcW w:w="5580" w:type="dxa"/>
            <w:shd w:val="clear" w:color="auto" w:fill="A6A6A6"/>
          </w:tcPr>
          <w:p w:rsidR="006A6C13" w:rsidRPr="008C73C0" w:rsidRDefault="001D3B11" w:rsidP="0026551C">
            <w:pPr>
              <w:spacing w:after="0" w:line="240" w:lineRule="auto"/>
              <w:jc w:val="center"/>
              <w:rPr>
                <w:rFonts w:ascii="Times New Roman" w:hAnsi="Times New Roman"/>
                <w:b/>
                <w:sz w:val="20"/>
                <w:szCs w:val="20"/>
              </w:rPr>
            </w:pPr>
            <w:r>
              <w:rPr>
                <w:rFonts w:ascii="Times New Roman" w:hAnsi="Times New Roman"/>
                <w:b/>
                <w:sz w:val="20"/>
                <w:szCs w:val="20"/>
              </w:rPr>
              <w:t>SUB</w:t>
            </w:r>
            <w:r w:rsidR="006A6C13" w:rsidRPr="008C73C0">
              <w:rPr>
                <w:rFonts w:ascii="Times New Roman" w:hAnsi="Times New Roman"/>
                <w:b/>
                <w:sz w:val="20"/>
                <w:szCs w:val="20"/>
              </w:rPr>
              <w:t xml:space="preserve">RECIPIENT </w:t>
            </w:r>
          </w:p>
          <w:p w:rsidR="006A6C13" w:rsidRPr="008C73C0" w:rsidRDefault="006A6C13" w:rsidP="0026551C">
            <w:pPr>
              <w:spacing w:after="0" w:line="240" w:lineRule="auto"/>
              <w:jc w:val="center"/>
              <w:rPr>
                <w:rFonts w:ascii="Times New Roman" w:hAnsi="Times New Roman"/>
                <w:b/>
                <w:sz w:val="20"/>
                <w:szCs w:val="20"/>
              </w:rPr>
            </w:pPr>
            <w:r w:rsidRPr="008C73C0">
              <w:rPr>
                <w:rFonts w:ascii="Times New Roman" w:hAnsi="Times New Roman"/>
                <w:b/>
                <w:sz w:val="20"/>
                <w:szCs w:val="20"/>
              </w:rPr>
              <w:t>Information / Documentation</w:t>
            </w:r>
          </w:p>
        </w:tc>
      </w:tr>
      <w:tr w:rsidR="006A6C13" w:rsidRPr="008C73C0" w:rsidTr="0073633C">
        <w:trPr>
          <w:cantSplit/>
          <w:trHeight w:val="1936"/>
        </w:trPr>
        <w:tc>
          <w:tcPr>
            <w:tcW w:w="828" w:type="dxa"/>
            <w:textDirection w:val="btLr"/>
          </w:tcPr>
          <w:p w:rsidR="006A6C13" w:rsidRPr="008C73C0" w:rsidRDefault="006A6C13" w:rsidP="0026551C">
            <w:pPr>
              <w:spacing w:after="0" w:line="240" w:lineRule="auto"/>
              <w:ind w:left="113" w:right="113"/>
              <w:jc w:val="center"/>
              <w:rPr>
                <w:rFonts w:ascii="Times New Roman" w:hAnsi="Times New Roman"/>
                <w:b/>
                <w:sz w:val="20"/>
                <w:szCs w:val="20"/>
              </w:rPr>
            </w:pPr>
            <w:r w:rsidRPr="008C73C0">
              <w:rPr>
                <w:rFonts w:ascii="Times New Roman" w:hAnsi="Times New Roman"/>
                <w:b/>
                <w:sz w:val="20"/>
                <w:szCs w:val="20"/>
              </w:rPr>
              <w:t>Allocation of Funds</w:t>
            </w:r>
          </w:p>
          <w:p w:rsidR="006A6C13" w:rsidRPr="008C73C0" w:rsidRDefault="006A6C13" w:rsidP="0026551C">
            <w:pPr>
              <w:spacing w:after="0" w:line="240" w:lineRule="auto"/>
              <w:ind w:left="113" w:right="113"/>
              <w:jc w:val="center"/>
              <w:rPr>
                <w:rFonts w:ascii="Times New Roman" w:hAnsi="Times New Roman"/>
                <w:sz w:val="20"/>
                <w:szCs w:val="20"/>
              </w:rPr>
            </w:pPr>
          </w:p>
          <w:p w:rsidR="006A6C13" w:rsidRPr="008C73C0" w:rsidRDefault="006A6C13" w:rsidP="0026551C">
            <w:pPr>
              <w:spacing w:after="0" w:line="240" w:lineRule="auto"/>
              <w:ind w:left="113" w:right="113"/>
              <w:jc w:val="center"/>
              <w:rPr>
                <w:rFonts w:ascii="Times New Roman" w:hAnsi="Times New Roman"/>
                <w:b/>
                <w:sz w:val="20"/>
                <w:szCs w:val="20"/>
              </w:rPr>
            </w:pPr>
          </w:p>
        </w:tc>
        <w:tc>
          <w:tcPr>
            <w:tcW w:w="4320" w:type="dxa"/>
          </w:tcPr>
          <w:p w:rsidR="006A6C13" w:rsidRPr="008C73C0" w:rsidRDefault="006A6C13" w:rsidP="0026551C">
            <w:pPr>
              <w:spacing w:after="0" w:line="240" w:lineRule="auto"/>
              <w:rPr>
                <w:rFonts w:ascii="Times New Roman" w:hAnsi="Times New Roman"/>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The State allocated funds to participating LEAs based on their relative share of funding under Title I, Part A of the Elementary and Secondary Education Act of 1965.</w:t>
            </w:r>
          </w:p>
          <w:p w:rsidR="006A6C13" w:rsidRPr="008C73C0" w:rsidRDefault="006A6C13" w:rsidP="0026551C">
            <w:pPr>
              <w:spacing w:after="0" w:line="240" w:lineRule="auto"/>
              <w:rPr>
                <w:rFonts w:ascii="Times New Roman" w:hAnsi="Times New Roman"/>
                <w:sz w:val="20"/>
                <w:szCs w:val="20"/>
              </w:rPr>
            </w:pPr>
          </w:p>
          <w:p w:rsidR="006A6C13" w:rsidRPr="008C73C0" w:rsidRDefault="006A6C13" w:rsidP="0026551C">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6A6C13" w:rsidRPr="008C73C0" w:rsidRDefault="00A83DC3" w:rsidP="008C73C0">
            <w:pPr>
              <w:numPr>
                <w:ilvl w:val="2"/>
                <w:numId w:val="40"/>
              </w:numPr>
              <w:spacing w:after="0" w:line="240" w:lineRule="auto"/>
              <w:ind w:left="252" w:hanging="162"/>
              <w:rPr>
                <w:rFonts w:ascii="Times New Roman" w:hAnsi="Times New Roman"/>
                <w:b/>
                <w:sz w:val="20"/>
                <w:szCs w:val="20"/>
              </w:rPr>
            </w:pPr>
            <w:r>
              <w:rPr>
                <w:rFonts w:ascii="Times New Roman" w:hAnsi="Times New Roman"/>
                <w:sz w:val="20"/>
                <w:szCs w:val="20"/>
              </w:rPr>
              <w:t>A</w:t>
            </w:r>
            <w:r w:rsidR="006A6C13" w:rsidRPr="008C73C0">
              <w:rPr>
                <w:rFonts w:ascii="Times New Roman" w:hAnsi="Times New Roman"/>
                <w:sz w:val="20"/>
                <w:szCs w:val="20"/>
              </w:rPr>
              <w:t xml:space="preserve">llocation </w:t>
            </w:r>
            <w:r>
              <w:rPr>
                <w:rFonts w:ascii="Times New Roman" w:hAnsi="Times New Roman"/>
                <w:sz w:val="20"/>
                <w:szCs w:val="20"/>
              </w:rPr>
              <w:t xml:space="preserve">and disbursement </w:t>
            </w:r>
            <w:r w:rsidR="006A6C13" w:rsidRPr="008C73C0">
              <w:rPr>
                <w:rFonts w:ascii="Times New Roman" w:hAnsi="Times New Roman"/>
                <w:sz w:val="20"/>
                <w:szCs w:val="20"/>
              </w:rPr>
              <w:t>information</w:t>
            </w:r>
          </w:p>
          <w:p w:rsidR="006A6C13" w:rsidRPr="008C73C0" w:rsidRDefault="006A6C13" w:rsidP="00A83DC3">
            <w:pPr>
              <w:numPr>
                <w:ilvl w:val="2"/>
                <w:numId w:val="40"/>
              </w:numPr>
              <w:spacing w:after="0" w:line="240" w:lineRule="auto"/>
              <w:ind w:left="252" w:hanging="162"/>
              <w:rPr>
                <w:rFonts w:ascii="Times New Roman" w:hAnsi="Times New Roman"/>
                <w:b/>
                <w:sz w:val="20"/>
                <w:szCs w:val="20"/>
              </w:rPr>
            </w:pPr>
            <w:r w:rsidRPr="008C73C0">
              <w:rPr>
                <w:rFonts w:ascii="Times New Roman" w:hAnsi="Times New Roman"/>
                <w:sz w:val="20"/>
                <w:szCs w:val="20"/>
              </w:rPr>
              <w:t>LEA budgets for scope of work</w:t>
            </w:r>
            <w:r w:rsidR="00A83DC3">
              <w:rPr>
                <w:rFonts w:ascii="Times New Roman" w:hAnsi="Times New Roman"/>
                <w:sz w:val="20"/>
                <w:szCs w:val="20"/>
              </w:rPr>
              <w:t xml:space="preserve"> activities</w:t>
            </w:r>
          </w:p>
        </w:tc>
        <w:tc>
          <w:tcPr>
            <w:tcW w:w="5580" w:type="dxa"/>
          </w:tcPr>
          <w:p w:rsidR="006A6C13" w:rsidRPr="008C73C0" w:rsidRDefault="006A6C13" w:rsidP="0026551C">
            <w:pPr>
              <w:pStyle w:val="ListParagraph"/>
              <w:spacing w:after="0" w:line="240" w:lineRule="auto"/>
              <w:ind w:left="0"/>
              <w:rPr>
                <w:rFonts w:ascii="Times New Roman" w:hAnsi="Times New Roman"/>
                <w:b/>
                <w:sz w:val="20"/>
                <w:szCs w:val="20"/>
              </w:rPr>
            </w:pPr>
            <w:r w:rsidRPr="008C73C0">
              <w:rPr>
                <w:rFonts w:ascii="Times New Roman" w:hAnsi="Times New Roman"/>
                <w:b/>
                <w:sz w:val="20"/>
                <w:szCs w:val="20"/>
              </w:rPr>
              <w:t>Questions:</w:t>
            </w:r>
          </w:p>
          <w:p w:rsidR="006A6C13" w:rsidRPr="008C73C0" w:rsidRDefault="00A07EE5" w:rsidP="00015624">
            <w:pPr>
              <w:pStyle w:val="ListParagraph"/>
              <w:numPr>
                <w:ilvl w:val="0"/>
                <w:numId w:val="7"/>
              </w:numPr>
              <w:spacing w:after="0" w:line="240" w:lineRule="auto"/>
              <w:ind w:left="252" w:hanging="180"/>
              <w:rPr>
                <w:rFonts w:ascii="Times New Roman" w:hAnsi="Times New Roman"/>
                <w:sz w:val="20"/>
                <w:szCs w:val="20"/>
              </w:rPr>
            </w:pPr>
            <w:r>
              <w:rPr>
                <w:rFonts w:ascii="Times New Roman" w:hAnsi="Times New Roman"/>
                <w:sz w:val="20"/>
                <w:szCs w:val="20"/>
              </w:rPr>
              <w:t>What guidance did the</w:t>
            </w:r>
            <w:r w:rsidR="006A6C13" w:rsidRPr="008C73C0">
              <w:rPr>
                <w:rFonts w:ascii="Times New Roman" w:hAnsi="Times New Roman"/>
                <w:sz w:val="20"/>
                <w:szCs w:val="20"/>
              </w:rPr>
              <w:t xml:space="preserve"> State provide about the accountability and oversight responsibilities associated with Race to the Top funds?</w:t>
            </w:r>
          </w:p>
          <w:p w:rsidR="006A6C13" w:rsidRPr="008C73C0" w:rsidRDefault="006A6C13" w:rsidP="00015624">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What is </w:t>
            </w:r>
            <w:r w:rsidR="0026551C" w:rsidRPr="008C73C0">
              <w:rPr>
                <w:rFonts w:ascii="Times New Roman" w:hAnsi="Times New Roman"/>
                <w:sz w:val="20"/>
                <w:szCs w:val="20"/>
              </w:rPr>
              <w:t xml:space="preserve">the LEA’s </w:t>
            </w:r>
            <w:r w:rsidRPr="008C73C0">
              <w:rPr>
                <w:rFonts w:ascii="Times New Roman" w:hAnsi="Times New Roman"/>
                <w:sz w:val="20"/>
                <w:szCs w:val="20"/>
              </w:rPr>
              <w:t xml:space="preserve">total </w:t>
            </w:r>
            <w:r w:rsidR="006D61A0">
              <w:rPr>
                <w:rFonts w:ascii="Times New Roman" w:hAnsi="Times New Roman"/>
                <w:sz w:val="20"/>
                <w:szCs w:val="20"/>
              </w:rPr>
              <w:t xml:space="preserve">Race to the Top </w:t>
            </w:r>
            <w:r w:rsidRPr="008C73C0">
              <w:rPr>
                <w:rFonts w:ascii="Times New Roman" w:hAnsi="Times New Roman"/>
                <w:sz w:val="20"/>
                <w:szCs w:val="20"/>
              </w:rPr>
              <w:t>allocation?</w:t>
            </w:r>
          </w:p>
          <w:p w:rsidR="006A6C13" w:rsidRPr="008C73C0" w:rsidRDefault="006A6C13" w:rsidP="0026551C">
            <w:pPr>
              <w:spacing w:after="0" w:line="240" w:lineRule="auto"/>
              <w:jc w:val="center"/>
              <w:rPr>
                <w:rFonts w:ascii="Times New Roman" w:hAnsi="Times New Roman"/>
                <w:sz w:val="20"/>
                <w:szCs w:val="20"/>
              </w:rPr>
            </w:pPr>
          </w:p>
          <w:p w:rsidR="006A6C13" w:rsidRPr="008C73C0" w:rsidRDefault="006A6C13" w:rsidP="0026551C">
            <w:pPr>
              <w:spacing w:after="0" w:line="240" w:lineRule="auto"/>
              <w:jc w:val="center"/>
              <w:rPr>
                <w:rFonts w:ascii="Times New Roman" w:hAnsi="Times New Roman"/>
                <w:b/>
                <w:sz w:val="20"/>
                <w:szCs w:val="20"/>
              </w:rPr>
            </w:pPr>
          </w:p>
        </w:tc>
      </w:tr>
      <w:tr w:rsidR="008C73C0" w:rsidRPr="008C73C0" w:rsidTr="0073633C">
        <w:trPr>
          <w:cantSplit/>
          <w:trHeight w:val="10171"/>
        </w:trPr>
        <w:tc>
          <w:tcPr>
            <w:tcW w:w="828" w:type="dxa"/>
            <w:textDirection w:val="btLr"/>
          </w:tcPr>
          <w:p w:rsidR="008C73C0" w:rsidRPr="008C73C0" w:rsidRDefault="008C73C0" w:rsidP="005A68C2">
            <w:pPr>
              <w:spacing w:after="0" w:line="240" w:lineRule="auto"/>
              <w:ind w:left="113" w:right="113"/>
              <w:jc w:val="center"/>
              <w:rPr>
                <w:rFonts w:ascii="Times New Roman" w:hAnsi="Times New Roman"/>
                <w:b/>
                <w:sz w:val="20"/>
                <w:szCs w:val="20"/>
              </w:rPr>
            </w:pPr>
            <w:r w:rsidRPr="008C73C0">
              <w:rPr>
                <w:rFonts w:ascii="Times New Roman" w:hAnsi="Times New Roman"/>
                <w:b/>
                <w:sz w:val="20"/>
                <w:szCs w:val="20"/>
              </w:rPr>
              <w:t>Fiscal Management</w:t>
            </w:r>
          </w:p>
          <w:p w:rsidR="008C73C0" w:rsidRPr="008C73C0" w:rsidRDefault="008C73C0" w:rsidP="005A68C2">
            <w:pPr>
              <w:spacing w:line="240" w:lineRule="auto"/>
              <w:ind w:left="113" w:right="113"/>
              <w:jc w:val="center"/>
              <w:rPr>
                <w:rFonts w:ascii="Times New Roman" w:hAnsi="Times New Roman"/>
                <w:bCs/>
                <w:i/>
                <w:sz w:val="20"/>
                <w:szCs w:val="20"/>
              </w:rPr>
            </w:pPr>
            <w:r w:rsidRPr="008C73C0">
              <w:rPr>
                <w:rFonts w:ascii="Times New Roman" w:hAnsi="Times New Roman"/>
                <w:bCs/>
                <w:i/>
                <w:sz w:val="20"/>
                <w:szCs w:val="20"/>
              </w:rPr>
              <w:t>EDGAR 80.20, 80.21, and ARRA Sections 14002(b), 14003, 14004, 1604, 1605, and 1606</w:t>
            </w:r>
          </w:p>
          <w:p w:rsidR="008C73C0" w:rsidRPr="008C73C0" w:rsidRDefault="008C73C0" w:rsidP="005A68C2">
            <w:pPr>
              <w:spacing w:line="240" w:lineRule="auto"/>
              <w:ind w:left="113" w:right="113"/>
              <w:jc w:val="center"/>
              <w:rPr>
                <w:rFonts w:ascii="Times New Roman" w:hAnsi="Times New Roman"/>
                <w:bCs/>
                <w:i/>
                <w:sz w:val="20"/>
                <w:szCs w:val="20"/>
              </w:rPr>
            </w:pPr>
          </w:p>
          <w:p w:rsidR="008C73C0" w:rsidRPr="008C73C0" w:rsidRDefault="008C73C0" w:rsidP="005A68C2">
            <w:pPr>
              <w:spacing w:line="240" w:lineRule="auto"/>
              <w:ind w:left="113" w:right="113"/>
              <w:jc w:val="center"/>
              <w:rPr>
                <w:rFonts w:ascii="Times New Roman" w:hAnsi="Times New Roman"/>
                <w:b/>
                <w:sz w:val="20"/>
                <w:szCs w:val="20"/>
                <w:u w:val="single"/>
              </w:rPr>
            </w:pPr>
          </w:p>
        </w:tc>
        <w:tc>
          <w:tcPr>
            <w:tcW w:w="4320" w:type="dxa"/>
          </w:tcPr>
          <w:p w:rsidR="008C73C0" w:rsidRPr="008C73C0" w:rsidRDefault="008C73C0" w:rsidP="005A68C2">
            <w:pPr>
              <w:spacing w:line="240" w:lineRule="auto"/>
              <w:rPr>
                <w:rFonts w:ascii="Times New Roman" w:hAnsi="Times New Roman"/>
                <w:b/>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 xml:space="preserve">The State is practicing fiscal responsibility and administering the use of Race to the Top funds (both internally and externally with LEAs and contractors) to ensure compliance with Federal regulations and prevent fraud, waste, and abuse.  </w:t>
            </w:r>
          </w:p>
          <w:p w:rsidR="008C73C0" w:rsidRPr="008C73C0" w:rsidRDefault="008C73C0" w:rsidP="005A68C2">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A83DC3" w:rsidRPr="008C73C0" w:rsidRDefault="00A83DC3" w:rsidP="00A83DC3">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The State Chart of Accounts identifying all Race to the Top related fund, program, and account codes</w:t>
            </w:r>
            <w:r w:rsidR="006D61A0">
              <w:rPr>
                <w:rFonts w:ascii="Times New Roman" w:hAnsi="Times New Roman"/>
                <w:sz w:val="20"/>
                <w:szCs w:val="20"/>
              </w:rPr>
              <w:t>.</w:t>
            </w:r>
          </w:p>
          <w:p w:rsidR="00A83DC3" w:rsidRPr="008C73C0" w:rsidRDefault="00A83DC3" w:rsidP="00A83DC3">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A summary report of the Race to the Top revenues evidencing that the revenues have been tracked with unique fund codes</w:t>
            </w:r>
            <w:r w:rsidR="006D61A0">
              <w:rPr>
                <w:rFonts w:ascii="Times New Roman" w:hAnsi="Times New Roman"/>
                <w:sz w:val="20"/>
                <w:szCs w:val="20"/>
              </w:rPr>
              <w:t>.</w:t>
            </w:r>
          </w:p>
          <w:p w:rsidR="008C73C0" w:rsidRPr="008C73C0" w:rsidRDefault="008C73C0" w:rsidP="008C73C0">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Expenditure reports to demonstrate tracking of Race to the Top funds to allowable (project-based and approved) costs</w:t>
            </w:r>
            <w:r w:rsidR="006D61A0">
              <w:rPr>
                <w:rFonts w:ascii="Times New Roman" w:hAnsi="Times New Roman"/>
                <w:sz w:val="20"/>
                <w:szCs w:val="20"/>
              </w:rPr>
              <w:t>.</w:t>
            </w:r>
          </w:p>
          <w:p w:rsidR="008C73C0" w:rsidRPr="008C73C0" w:rsidRDefault="008C73C0" w:rsidP="008C73C0">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Expenditure reports that demonstrate compliance with cash management principles</w:t>
            </w:r>
            <w:r w:rsidR="006D61A0">
              <w:rPr>
                <w:rFonts w:ascii="Times New Roman" w:hAnsi="Times New Roman"/>
                <w:sz w:val="20"/>
                <w:szCs w:val="20"/>
              </w:rPr>
              <w:t>.</w:t>
            </w:r>
          </w:p>
          <w:p w:rsidR="008C73C0" w:rsidRPr="008C73C0" w:rsidRDefault="008C73C0" w:rsidP="008C73C0">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Alignment of spending to proposed and approved budget</w:t>
            </w:r>
            <w:r w:rsidR="006D61A0">
              <w:rPr>
                <w:rFonts w:ascii="Times New Roman" w:hAnsi="Times New Roman"/>
                <w:sz w:val="20"/>
                <w:szCs w:val="20"/>
              </w:rPr>
              <w:t>.</w:t>
            </w:r>
          </w:p>
          <w:p w:rsidR="008C73C0" w:rsidRPr="008C73C0" w:rsidRDefault="008C73C0" w:rsidP="008C73C0">
            <w:pPr>
              <w:numPr>
                <w:ilvl w:val="2"/>
                <w:numId w:val="39"/>
              </w:numPr>
              <w:spacing w:after="0" w:line="240" w:lineRule="auto"/>
              <w:ind w:left="252" w:hanging="162"/>
              <w:rPr>
                <w:rFonts w:ascii="Times New Roman" w:hAnsi="Times New Roman"/>
                <w:sz w:val="20"/>
                <w:szCs w:val="20"/>
              </w:rPr>
            </w:pPr>
            <w:r w:rsidRPr="008C73C0">
              <w:rPr>
                <w:rFonts w:ascii="Times New Roman" w:hAnsi="Times New Roman"/>
                <w:sz w:val="20"/>
                <w:szCs w:val="20"/>
              </w:rPr>
              <w:t>Evidence of use of funds only during the period of allowability</w:t>
            </w:r>
            <w:r w:rsidR="006D61A0">
              <w:rPr>
                <w:rFonts w:ascii="Times New Roman" w:hAnsi="Times New Roman"/>
                <w:sz w:val="20"/>
                <w:szCs w:val="20"/>
              </w:rPr>
              <w:t>.</w:t>
            </w:r>
          </w:p>
          <w:p w:rsidR="000373D3" w:rsidRPr="000373D3" w:rsidRDefault="000373D3" w:rsidP="000373D3">
            <w:pPr>
              <w:pStyle w:val="ListParagraph"/>
              <w:numPr>
                <w:ilvl w:val="0"/>
                <w:numId w:val="22"/>
              </w:numPr>
              <w:spacing w:after="0" w:line="240" w:lineRule="auto"/>
              <w:ind w:left="252" w:hanging="180"/>
              <w:rPr>
                <w:rFonts w:ascii="Times New Roman" w:hAnsi="Times New Roman"/>
                <w:sz w:val="20"/>
                <w:szCs w:val="20"/>
              </w:rPr>
            </w:pPr>
            <w:r w:rsidRPr="000373D3">
              <w:rPr>
                <w:rFonts w:ascii="Times New Roman" w:hAnsi="Times New Roman"/>
                <w:sz w:val="20"/>
                <w:szCs w:val="20"/>
              </w:rPr>
              <w:t xml:space="preserve">For the account that the RTT funds are residing in at the State level, provide: </w:t>
            </w:r>
          </w:p>
          <w:p w:rsidR="000373D3" w:rsidRPr="000373D3" w:rsidRDefault="000373D3" w:rsidP="000373D3">
            <w:pPr>
              <w:pStyle w:val="ListParagraph"/>
              <w:numPr>
                <w:ilvl w:val="0"/>
                <w:numId w:val="33"/>
              </w:numPr>
              <w:spacing w:after="0" w:line="240" w:lineRule="auto"/>
              <w:ind w:left="612" w:hanging="180"/>
              <w:rPr>
                <w:rFonts w:ascii="Times New Roman" w:hAnsi="Times New Roman"/>
                <w:sz w:val="20"/>
                <w:szCs w:val="20"/>
              </w:rPr>
            </w:pPr>
            <w:r w:rsidRPr="000373D3">
              <w:rPr>
                <w:rFonts w:ascii="Times New Roman" w:hAnsi="Times New Roman"/>
                <w:sz w:val="20"/>
                <w:szCs w:val="20"/>
              </w:rPr>
              <w:t>Documentation (i.e. monthly or quarterly bank statement, report from State Treasury account) evidencing whether or not the account is an interest bearing account.</w:t>
            </w:r>
          </w:p>
          <w:p w:rsidR="000373D3" w:rsidRPr="000373D3" w:rsidRDefault="000373D3" w:rsidP="000373D3">
            <w:pPr>
              <w:pStyle w:val="ListParagraph"/>
              <w:numPr>
                <w:ilvl w:val="0"/>
                <w:numId w:val="33"/>
              </w:numPr>
              <w:spacing w:after="0" w:line="240" w:lineRule="auto"/>
              <w:ind w:left="612" w:hanging="180"/>
              <w:rPr>
                <w:rFonts w:ascii="Times New Roman" w:hAnsi="Times New Roman"/>
                <w:sz w:val="20"/>
                <w:szCs w:val="20"/>
              </w:rPr>
            </w:pPr>
            <w:r w:rsidRPr="000373D3">
              <w:rPr>
                <w:rFonts w:ascii="Times New Roman" w:hAnsi="Times New Roman"/>
                <w:sz w:val="20"/>
                <w:szCs w:val="20"/>
              </w:rPr>
              <w:t>An example of evidence of receipt of RTT funds drawn down from G5 (e.g. wire transfer, cash receipt form, bank statement) into a non-interest bearing account.</w:t>
            </w:r>
          </w:p>
          <w:p w:rsidR="000373D3" w:rsidRPr="000373D3" w:rsidRDefault="000373D3" w:rsidP="000373D3">
            <w:pPr>
              <w:pStyle w:val="ListParagraph"/>
              <w:numPr>
                <w:ilvl w:val="0"/>
                <w:numId w:val="33"/>
              </w:numPr>
              <w:spacing w:after="0" w:line="240" w:lineRule="auto"/>
              <w:ind w:left="612" w:hanging="180"/>
              <w:rPr>
                <w:rFonts w:ascii="Times New Roman" w:hAnsi="Times New Roman"/>
                <w:sz w:val="20"/>
                <w:szCs w:val="20"/>
              </w:rPr>
            </w:pPr>
            <w:r w:rsidRPr="000373D3">
              <w:rPr>
                <w:rFonts w:ascii="Times New Roman" w:hAnsi="Times New Roman"/>
                <w:sz w:val="20"/>
                <w:szCs w:val="20"/>
              </w:rPr>
              <w:t xml:space="preserve">Evidence of corresponding outlay of RTT funds from the State’s account to </w:t>
            </w:r>
            <w:r w:rsidR="00A83DC3">
              <w:rPr>
                <w:rFonts w:ascii="Times New Roman" w:hAnsi="Times New Roman"/>
                <w:sz w:val="20"/>
                <w:szCs w:val="20"/>
              </w:rPr>
              <w:t>allowable expenditures, including</w:t>
            </w:r>
            <w:r w:rsidR="00A07EE5">
              <w:rPr>
                <w:rFonts w:ascii="Times New Roman" w:hAnsi="Times New Roman"/>
                <w:sz w:val="20"/>
                <w:szCs w:val="20"/>
              </w:rPr>
              <w:t xml:space="preserve"> </w:t>
            </w:r>
            <w:proofErr w:type="spellStart"/>
            <w:r w:rsidR="001D3B11">
              <w:rPr>
                <w:rFonts w:ascii="Times New Roman" w:hAnsi="Times New Roman"/>
                <w:sz w:val="20"/>
                <w:szCs w:val="20"/>
              </w:rPr>
              <w:t>sub</w:t>
            </w:r>
            <w:r w:rsidRPr="000373D3">
              <w:rPr>
                <w:rFonts w:ascii="Times New Roman" w:hAnsi="Times New Roman"/>
                <w:sz w:val="20"/>
                <w:szCs w:val="20"/>
              </w:rPr>
              <w:t>recipient</w:t>
            </w:r>
            <w:proofErr w:type="spellEnd"/>
            <w:r w:rsidRPr="000373D3">
              <w:rPr>
                <w:rFonts w:ascii="Times New Roman" w:hAnsi="Times New Roman"/>
                <w:sz w:val="20"/>
                <w:szCs w:val="20"/>
              </w:rPr>
              <w:t xml:space="preserve"> account</w:t>
            </w:r>
            <w:r w:rsidR="00A83DC3">
              <w:rPr>
                <w:rFonts w:ascii="Times New Roman" w:hAnsi="Times New Roman"/>
                <w:sz w:val="20"/>
                <w:szCs w:val="20"/>
              </w:rPr>
              <w:t>s</w:t>
            </w:r>
            <w:r w:rsidRPr="000373D3">
              <w:rPr>
                <w:rFonts w:ascii="Times New Roman" w:hAnsi="Times New Roman"/>
                <w:sz w:val="20"/>
                <w:szCs w:val="20"/>
              </w:rPr>
              <w:t xml:space="preserve"> (e.g. journal entry).</w:t>
            </w:r>
          </w:p>
          <w:p w:rsidR="008C73C0" w:rsidRPr="008C73C0" w:rsidRDefault="000373D3" w:rsidP="000373D3">
            <w:pPr>
              <w:spacing w:after="0" w:line="240" w:lineRule="auto"/>
              <w:ind w:left="450"/>
              <w:rPr>
                <w:rFonts w:ascii="Times New Roman" w:hAnsi="Times New Roman"/>
                <w:sz w:val="20"/>
                <w:szCs w:val="20"/>
              </w:rPr>
            </w:pPr>
            <w:r w:rsidRPr="000373D3">
              <w:rPr>
                <w:rFonts w:ascii="Times New Roman" w:hAnsi="Times New Roman"/>
                <w:sz w:val="20"/>
                <w:szCs w:val="20"/>
              </w:rPr>
              <w:t xml:space="preserve"> </w:t>
            </w:r>
          </w:p>
        </w:tc>
        <w:tc>
          <w:tcPr>
            <w:tcW w:w="5580" w:type="dxa"/>
          </w:tcPr>
          <w:p w:rsidR="008C73C0" w:rsidRPr="008C73C0" w:rsidRDefault="008C73C0" w:rsidP="005A68C2">
            <w:pPr>
              <w:pStyle w:val="ListParagraph"/>
              <w:spacing w:after="0" w:line="240" w:lineRule="auto"/>
              <w:ind w:left="0"/>
              <w:rPr>
                <w:rFonts w:ascii="Times New Roman" w:hAnsi="Times New Roman"/>
                <w:b/>
                <w:sz w:val="20"/>
                <w:szCs w:val="20"/>
              </w:rPr>
            </w:pPr>
            <w:r w:rsidRPr="008C73C0">
              <w:rPr>
                <w:rFonts w:ascii="Times New Roman" w:hAnsi="Times New Roman"/>
                <w:b/>
                <w:sz w:val="20"/>
                <w:szCs w:val="20"/>
              </w:rPr>
              <w:t>Questions:</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What internal controls does the LEA have in place to ensure that Race to the Top expenditures are allowable? </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How does the LEA ensure that it complies with the principles of cash management (i.e. ensuring that funds are used to meet immediate obligation needs, within 3-5 days)?  </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How does the LEA’s financial recordkeeping system account for the use of Race to the Top funds?</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What guidance has the LEA received from the State regarding the obligation and drawing down of Race to the Top funds?</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How were Race to the Top funds received (or requested for reimbursement) from the State?</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How are </w:t>
            </w:r>
            <w:r w:rsidR="00A07EE5">
              <w:rPr>
                <w:rFonts w:ascii="Times New Roman" w:hAnsi="Times New Roman"/>
                <w:sz w:val="20"/>
                <w:szCs w:val="20"/>
              </w:rPr>
              <w:t xml:space="preserve">Race to the Top revenues and expenditures </w:t>
            </w:r>
            <w:r w:rsidRPr="008C73C0">
              <w:rPr>
                <w:rFonts w:ascii="Times New Roman" w:hAnsi="Times New Roman"/>
                <w:sz w:val="20"/>
                <w:szCs w:val="20"/>
              </w:rPr>
              <w:t>tracked separately (please identify any Race to the Top specific codes)?</w:t>
            </w:r>
          </w:p>
          <w:p w:rsidR="008C73C0" w:rsidRPr="008C73C0" w:rsidRDefault="008C73C0" w:rsidP="008C73C0">
            <w:pPr>
              <w:pStyle w:val="ListParagraph"/>
              <w:spacing w:after="0" w:line="240" w:lineRule="auto"/>
              <w:ind w:left="360"/>
              <w:rPr>
                <w:rFonts w:ascii="Times New Roman" w:hAnsi="Times New Roman"/>
                <w:sz w:val="20"/>
                <w:szCs w:val="20"/>
              </w:rPr>
            </w:pPr>
          </w:p>
          <w:p w:rsidR="008C73C0" w:rsidRPr="008C73C0" w:rsidRDefault="008C73C0" w:rsidP="008C73C0">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8C73C0" w:rsidRPr="008C73C0" w:rsidRDefault="008C73C0" w:rsidP="008C73C0">
            <w:pPr>
              <w:pStyle w:val="ListParagraph"/>
              <w:numPr>
                <w:ilvl w:val="0"/>
                <w:numId w:val="22"/>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From the LEA’s accounting system: </w:t>
            </w:r>
          </w:p>
          <w:p w:rsidR="008C73C0" w:rsidRPr="008C73C0" w:rsidRDefault="008C73C0" w:rsidP="008C73C0">
            <w:pPr>
              <w:pStyle w:val="ListParagraph"/>
              <w:numPr>
                <w:ilvl w:val="0"/>
                <w:numId w:val="33"/>
              </w:numPr>
              <w:spacing w:after="0" w:line="240" w:lineRule="auto"/>
              <w:ind w:left="612" w:hanging="180"/>
              <w:rPr>
                <w:rFonts w:ascii="Times New Roman" w:hAnsi="Times New Roman"/>
                <w:sz w:val="20"/>
                <w:szCs w:val="20"/>
              </w:rPr>
            </w:pPr>
            <w:r w:rsidRPr="008C73C0">
              <w:rPr>
                <w:rFonts w:ascii="Times New Roman" w:hAnsi="Times New Roman"/>
                <w:sz w:val="20"/>
                <w:szCs w:val="20"/>
              </w:rPr>
              <w:t>The Chart of Accounts identifying all Race to the Top related fund, program, and account codes.</w:t>
            </w:r>
          </w:p>
          <w:p w:rsidR="008C73C0" w:rsidRPr="008C73C0" w:rsidRDefault="008C73C0" w:rsidP="008C73C0">
            <w:pPr>
              <w:pStyle w:val="ListParagraph"/>
              <w:numPr>
                <w:ilvl w:val="0"/>
                <w:numId w:val="33"/>
              </w:numPr>
              <w:spacing w:after="0" w:line="240" w:lineRule="auto"/>
              <w:ind w:left="612" w:hanging="180"/>
              <w:rPr>
                <w:rFonts w:ascii="Times New Roman" w:hAnsi="Times New Roman"/>
                <w:sz w:val="20"/>
                <w:szCs w:val="20"/>
              </w:rPr>
            </w:pPr>
            <w:r w:rsidRPr="008C73C0">
              <w:rPr>
                <w:rFonts w:ascii="Times New Roman" w:hAnsi="Times New Roman"/>
                <w:sz w:val="20"/>
                <w:szCs w:val="20"/>
              </w:rPr>
              <w:t>An example of a General Ledger report of revenues showing the fund, account, or program code that has been designated specifically as Race to the Top revenues.</w:t>
            </w:r>
          </w:p>
          <w:p w:rsidR="008C73C0" w:rsidRPr="000373D3" w:rsidRDefault="008C73C0" w:rsidP="000373D3">
            <w:pPr>
              <w:pStyle w:val="ListParagraph"/>
              <w:numPr>
                <w:ilvl w:val="0"/>
                <w:numId w:val="33"/>
              </w:numPr>
              <w:spacing w:after="0" w:line="240" w:lineRule="auto"/>
              <w:ind w:left="612" w:hanging="180"/>
              <w:rPr>
                <w:rFonts w:ascii="Times New Roman" w:hAnsi="Times New Roman"/>
                <w:sz w:val="20"/>
                <w:szCs w:val="20"/>
              </w:rPr>
            </w:pPr>
            <w:r w:rsidRPr="008C73C0">
              <w:rPr>
                <w:rFonts w:ascii="Times New Roman" w:hAnsi="Times New Roman"/>
                <w:sz w:val="20"/>
                <w:szCs w:val="20"/>
              </w:rPr>
              <w:t>An example of a General Ledger report of expenditures showing the fund, account, or program code that has been designated specifically as Race to the Top expenditures.</w:t>
            </w:r>
          </w:p>
          <w:p w:rsidR="008C73C0" w:rsidRPr="008C73C0" w:rsidRDefault="008C73C0" w:rsidP="008C73C0">
            <w:pPr>
              <w:pStyle w:val="ListParagraph"/>
              <w:numPr>
                <w:ilvl w:val="0"/>
                <w:numId w:val="24"/>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If funds were received on a </w:t>
            </w:r>
            <w:r w:rsidRPr="008C73C0">
              <w:rPr>
                <w:rFonts w:ascii="Times New Roman" w:hAnsi="Times New Roman"/>
                <w:sz w:val="20"/>
                <w:szCs w:val="20"/>
                <w:u w:val="single"/>
              </w:rPr>
              <w:t>reimbursement basis</w:t>
            </w:r>
            <w:r w:rsidRPr="008C73C0">
              <w:rPr>
                <w:rFonts w:ascii="Times New Roman" w:hAnsi="Times New Roman"/>
                <w:sz w:val="20"/>
                <w:szCs w:val="20"/>
              </w:rPr>
              <w:t>, please provide:</w:t>
            </w:r>
          </w:p>
          <w:p w:rsidR="008C73C0" w:rsidRPr="008C73C0" w:rsidRDefault="008C73C0" w:rsidP="008C73C0">
            <w:pPr>
              <w:pStyle w:val="ListParagraph"/>
              <w:numPr>
                <w:ilvl w:val="0"/>
                <w:numId w:val="32"/>
              </w:numPr>
              <w:spacing w:after="0" w:line="240" w:lineRule="auto"/>
              <w:ind w:left="612" w:hanging="180"/>
              <w:rPr>
                <w:rFonts w:ascii="Times New Roman" w:hAnsi="Times New Roman"/>
                <w:sz w:val="20"/>
                <w:szCs w:val="20"/>
              </w:rPr>
            </w:pPr>
            <w:r w:rsidRPr="008C73C0">
              <w:rPr>
                <w:rFonts w:ascii="Times New Roman" w:hAnsi="Times New Roman"/>
                <w:sz w:val="20"/>
                <w:szCs w:val="20"/>
              </w:rPr>
              <w:t>An example of a request for reimbursement form previously submitted to the State and the corresponding Race to the Top obligations of those funds totaling the amount received (e.g. expenditure report).</w:t>
            </w:r>
          </w:p>
          <w:p w:rsidR="008C73C0" w:rsidRPr="000373D3" w:rsidRDefault="008C73C0" w:rsidP="000373D3">
            <w:pPr>
              <w:pStyle w:val="ListParagraph"/>
              <w:numPr>
                <w:ilvl w:val="0"/>
                <w:numId w:val="32"/>
              </w:numPr>
              <w:spacing w:after="0" w:line="240" w:lineRule="auto"/>
              <w:ind w:left="612" w:hanging="180"/>
              <w:rPr>
                <w:rFonts w:ascii="Times New Roman" w:hAnsi="Times New Roman"/>
                <w:sz w:val="20"/>
                <w:szCs w:val="20"/>
              </w:rPr>
            </w:pPr>
            <w:r w:rsidRPr="008C73C0">
              <w:rPr>
                <w:rFonts w:ascii="Times New Roman" w:hAnsi="Times New Roman"/>
                <w:sz w:val="20"/>
                <w:szCs w:val="20"/>
              </w:rPr>
              <w:t>For the example reimbursement request form provided, the corresponding evidence of receipt of funds (e.g. wire transfer, cash receipt form, bank statement) from the State.</w:t>
            </w:r>
          </w:p>
          <w:p w:rsidR="008C73C0" w:rsidRPr="008C73C0" w:rsidRDefault="008C73C0" w:rsidP="008C73C0">
            <w:pPr>
              <w:pStyle w:val="ListParagraph"/>
              <w:numPr>
                <w:ilvl w:val="0"/>
                <w:numId w:val="26"/>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If funds were </w:t>
            </w:r>
            <w:r w:rsidRPr="008C73C0">
              <w:rPr>
                <w:rFonts w:ascii="Times New Roman" w:hAnsi="Times New Roman"/>
                <w:sz w:val="20"/>
                <w:szCs w:val="20"/>
                <w:u w:val="single"/>
              </w:rPr>
              <w:t>received as an advance</w:t>
            </w:r>
            <w:r w:rsidRPr="008C73C0">
              <w:rPr>
                <w:rFonts w:ascii="Times New Roman" w:hAnsi="Times New Roman"/>
                <w:sz w:val="20"/>
                <w:szCs w:val="20"/>
              </w:rPr>
              <w:t>, please provide:</w:t>
            </w:r>
          </w:p>
          <w:p w:rsidR="008C73C0" w:rsidRPr="008C73C0" w:rsidRDefault="006D61A0" w:rsidP="008C73C0">
            <w:pPr>
              <w:pStyle w:val="ListParagraph"/>
              <w:numPr>
                <w:ilvl w:val="0"/>
                <w:numId w:val="31"/>
              </w:numPr>
              <w:spacing w:after="0" w:line="240" w:lineRule="auto"/>
              <w:ind w:left="612" w:hanging="180"/>
              <w:rPr>
                <w:rFonts w:ascii="Times New Roman" w:hAnsi="Times New Roman"/>
                <w:b/>
                <w:sz w:val="20"/>
                <w:szCs w:val="20"/>
              </w:rPr>
            </w:pPr>
            <w:r>
              <w:rPr>
                <w:rFonts w:ascii="Times New Roman" w:hAnsi="Times New Roman"/>
                <w:sz w:val="20"/>
                <w:szCs w:val="20"/>
              </w:rPr>
              <w:t>An example</w:t>
            </w:r>
            <w:r w:rsidR="008C73C0" w:rsidRPr="008C73C0">
              <w:rPr>
                <w:rFonts w:ascii="Times New Roman" w:hAnsi="Times New Roman"/>
                <w:sz w:val="20"/>
                <w:szCs w:val="20"/>
              </w:rPr>
              <w:t xml:space="preserve"> receipt of Race to the Top funds (e.g. wire transfer, cash receipt form, bank statement) into a non-interest bearing account and corresponding SFSF obligations of those funds totaling the amount received (e.g. expenditure report).</w:t>
            </w:r>
          </w:p>
        </w:tc>
      </w:tr>
    </w:tbl>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4050"/>
        <w:gridCol w:w="5580"/>
      </w:tblGrid>
      <w:tr w:rsidR="008C73C0" w:rsidRPr="008C73C0" w:rsidTr="0073633C">
        <w:trPr>
          <w:cantSplit/>
          <w:trHeight w:val="1181"/>
        </w:trPr>
        <w:tc>
          <w:tcPr>
            <w:tcW w:w="1098" w:type="dxa"/>
            <w:textDirection w:val="btLr"/>
          </w:tcPr>
          <w:p w:rsidR="008C73C0" w:rsidRPr="008C73C0" w:rsidRDefault="008C73C0" w:rsidP="0026551C">
            <w:pPr>
              <w:spacing w:after="0" w:line="240" w:lineRule="auto"/>
              <w:ind w:left="113" w:right="113"/>
              <w:jc w:val="center"/>
              <w:rPr>
                <w:rFonts w:ascii="Times New Roman" w:eastAsia="MS Mincho" w:hAnsi="Times New Roman"/>
                <w:bCs/>
                <w:sz w:val="20"/>
                <w:szCs w:val="20"/>
              </w:rPr>
            </w:pPr>
            <w:proofErr w:type="spellStart"/>
            <w:r w:rsidRPr="008C73C0">
              <w:rPr>
                <w:rFonts w:ascii="Times New Roman" w:hAnsi="Times New Roman"/>
                <w:b/>
                <w:sz w:val="20"/>
                <w:szCs w:val="20"/>
              </w:rPr>
              <w:lastRenderedPageBreak/>
              <w:t>Sub</w:t>
            </w:r>
            <w:r w:rsidR="00113FE2">
              <w:rPr>
                <w:rFonts w:ascii="Times New Roman" w:hAnsi="Times New Roman"/>
                <w:b/>
                <w:sz w:val="20"/>
                <w:szCs w:val="20"/>
              </w:rPr>
              <w:t>r</w:t>
            </w:r>
            <w:r w:rsidRPr="008C73C0">
              <w:rPr>
                <w:rFonts w:ascii="Times New Roman" w:hAnsi="Times New Roman"/>
                <w:b/>
                <w:sz w:val="20"/>
                <w:szCs w:val="20"/>
              </w:rPr>
              <w:t>ecipient</w:t>
            </w:r>
            <w:proofErr w:type="spellEnd"/>
            <w:r w:rsidRPr="008C73C0">
              <w:rPr>
                <w:rFonts w:ascii="Times New Roman" w:hAnsi="Times New Roman"/>
                <w:b/>
                <w:sz w:val="20"/>
                <w:szCs w:val="20"/>
              </w:rPr>
              <w:t xml:space="preserve"> Monitoring</w:t>
            </w:r>
          </w:p>
          <w:p w:rsidR="008C73C0" w:rsidRPr="008C73C0" w:rsidRDefault="008C73C0" w:rsidP="0026551C">
            <w:pPr>
              <w:spacing w:after="0" w:line="240" w:lineRule="auto"/>
              <w:ind w:left="113" w:right="113"/>
              <w:jc w:val="center"/>
              <w:rPr>
                <w:rFonts w:ascii="Times New Roman" w:eastAsia="MS Mincho" w:hAnsi="Times New Roman"/>
                <w:bCs/>
                <w:sz w:val="20"/>
                <w:szCs w:val="20"/>
              </w:rPr>
            </w:pPr>
            <w:r w:rsidRPr="008C73C0">
              <w:rPr>
                <w:rFonts w:ascii="Times New Roman" w:hAnsi="Times New Roman"/>
                <w:i/>
                <w:sz w:val="20"/>
                <w:szCs w:val="20"/>
              </w:rPr>
              <w:t>(</w:t>
            </w:r>
            <w:r w:rsidRPr="008C73C0">
              <w:rPr>
                <w:rFonts w:ascii="Times New Roman" w:eastAsia="MS Mincho" w:hAnsi="Times New Roman"/>
                <w:bCs/>
                <w:i/>
                <w:sz w:val="20"/>
                <w:szCs w:val="20"/>
              </w:rPr>
              <w:t>EDGAR §80.40)</w:t>
            </w:r>
          </w:p>
          <w:p w:rsidR="008C73C0" w:rsidRPr="008C73C0" w:rsidRDefault="008C73C0" w:rsidP="0026551C">
            <w:pPr>
              <w:spacing w:after="0" w:line="240" w:lineRule="auto"/>
              <w:ind w:left="113" w:right="113"/>
              <w:jc w:val="center"/>
              <w:rPr>
                <w:rFonts w:ascii="Times New Roman" w:hAnsi="Times New Roman"/>
                <w:sz w:val="20"/>
                <w:szCs w:val="20"/>
              </w:rPr>
            </w:pPr>
          </w:p>
        </w:tc>
        <w:tc>
          <w:tcPr>
            <w:tcW w:w="4050" w:type="dxa"/>
          </w:tcPr>
          <w:p w:rsidR="008C73C0" w:rsidRPr="008C73C0" w:rsidRDefault="008C73C0" w:rsidP="0026551C">
            <w:pPr>
              <w:spacing w:after="0" w:line="240" w:lineRule="auto"/>
              <w:rPr>
                <w:rFonts w:ascii="Times New Roman" w:hAnsi="Times New Roman"/>
                <w:i/>
                <w:sz w:val="20"/>
                <w:szCs w:val="20"/>
              </w:rPr>
            </w:pPr>
            <w:r w:rsidRPr="008C73C0">
              <w:rPr>
                <w:rFonts w:ascii="Times New Roman" w:hAnsi="Times New Roman"/>
                <w:b/>
                <w:sz w:val="20"/>
                <w:szCs w:val="20"/>
              </w:rPr>
              <w:t>Requirement</w:t>
            </w:r>
            <w:r w:rsidRPr="008C73C0">
              <w:rPr>
                <w:rFonts w:ascii="Times New Roman" w:hAnsi="Times New Roman"/>
                <w:sz w:val="20"/>
                <w:szCs w:val="20"/>
              </w:rPr>
              <w:t>: The State’s monitoring strategy includes all components (detailed in first bullet below</w:t>
            </w:r>
            <w:r w:rsidRPr="008C73C0">
              <w:rPr>
                <w:rFonts w:ascii="Times New Roman" w:hAnsi="Times New Roman"/>
                <w:i/>
                <w:sz w:val="20"/>
                <w:szCs w:val="20"/>
              </w:rPr>
              <w:t xml:space="preserve">).  </w:t>
            </w:r>
          </w:p>
          <w:p w:rsidR="008C73C0" w:rsidRPr="008C73C0" w:rsidRDefault="008C73C0" w:rsidP="0026551C">
            <w:pPr>
              <w:spacing w:after="0" w:line="240" w:lineRule="auto"/>
              <w:rPr>
                <w:rFonts w:ascii="Times New Roman" w:hAnsi="Times New Roman"/>
                <w:sz w:val="20"/>
                <w:szCs w:val="20"/>
              </w:rPr>
            </w:pPr>
          </w:p>
          <w:p w:rsidR="008C73C0" w:rsidRPr="008C73C0" w:rsidRDefault="008C73C0" w:rsidP="0026551C">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A83DC3" w:rsidRPr="008C73C0" w:rsidRDefault="00A83DC3" w:rsidP="00A83DC3">
            <w:pPr>
              <w:pStyle w:val="ListParagraph"/>
              <w:numPr>
                <w:ilvl w:val="0"/>
                <w:numId w:val="37"/>
              </w:numPr>
              <w:spacing w:after="0" w:line="240" w:lineRule="auto"/>
              <w:ind w:left="342" w:hanging="180"/>
              <w:rPr>
                <w:rFonts w:ascii="Times New Roman" w:hAnsi="Times New Roman"/>
                <w:sz w:val="20"/>
                <w:szCs w:val="20"/>
              </w:rPr>
            </w:pPr>
            <w:r w:rsidRPr="008C73C0">
              <w:rPr>
                <w:rFonts w:ascii="Times New Roman" w:hAnsi="Times New Roman"/>
                <w:sz w:val="20"/>
                <w:szCs w:val="20"/>
              </w:rPr>
              <w:t>Race to the Top-specific monitoring plan, prot</w:t>
            </w:r>
            <w:r w:rsidR="001D3B11">
              <w:rPr>
                <w:rFonts w:ascii="Times New Roman" w:hAnsi="Times New Roman"/>
                <w:sz w:val="20"/>
                <w:szCs w:val="20"/>
              </w:rPr>
              <w:t xml:space="preserve">ocols, and schedule for all </w:t>
            </w:r>
            <w:proofErr w:type="spellStart"/>
            <w:r w:rsidR="001D3B11">
              <w:rPr>
                <w:rFonts w:ascii="Times New Roman" w:hAnsi="Times New Roman"/>
                <w:sz w:val="20"/>
                <w:szCs w:val="20"/>
              </w:rPr>
              <w:t>sub</w:t>
            </w:r>
            <w:r w:rsidRPr="008C73C0">
              <w:rPr>
                <w:rFonts w:ascii="Times New Roman" w:hAnsi="Times New Roman"/>
                <w:sz w:val="20"/>
                <w:szCs w:val="20"/>
              </w:rPr>
              <w:t>recipients</w:t>
            </w:r>
            <w:proofErr w:type="spellEnd"/>
            <w:r w:rsidRPr="008C73C0">
              <w:rPr>
                <w:rFonts w:ascii="Times New Roman" w:hAnsi="Times New Roman"/>
                <w:sz w:val="20"/>
                <w:szCs w:val="20"/>
              </w:rPr>
              <w:t>, vendors, and contractors</w:t>
            </w:r>
            <w:r w:rsidR="006D61A0">
              <w:rPr>
                <w:rFonts w:ascii="Times New Roman" w:hAnsi="Times New Roman"/>
                <w:sz w:val="20"/>
                <w:szCs w:val="20"/>
              </w:rPr>
              <w:t>.</w:t>
            </w:r>
          </w:p>
          <w:p w:rsidR="008C73C0" w:rsidRPr="008C73C0" w:rsidRDefault="008C73C0" w:rsidP="008C73C0">
            <w:pPr>
              <w:pStyle w:val="ListParagraph"/>
              <w:numPr>
                <w:ilvl w:val="0"/>
                <w:numId w:val="37"/>
              </w:numPr>
              <w:spacing w:after="0" w:line="240" w:lineRule="auto"/>
              <w:ind w:left="342" w:hanging="180"/>
              <w:rPr>
                <w:rFonts w:ascii="Times New Roman" w:hAnsi="Times New Roman"/>
                <w:sz w:val="20"/>
                <w:szCs w:val="20"/>
              </w:rPr>
            </w:pPr>
            <w:r w:rsidRPr="008C73C0">
              <w:rPr>
                <w:rFonts w:ascii="Times New Roman" w:hAnsi="Times New Roman"/>
                <w:sz w:val="20"/>
                <w:szCs w:val="20"/>
              </w:rPr>
              <w:t>Evidence that the State’s monitoring strategy outlines its ability to:</w:t>
            </w:r>
          </w:p>
          <w:p w:rsidR="008C73C0" w:rsidRPr="008C73C0" w:rsidRDefault="008C73C0" w:rsidP="008C73C0">
            <w:pPr>
              <w:pStyle w:val="ListParagraph"/>
              <w:numPr>
                <w:ilvl w:val="0"/>
                <w:numId w:val="38"/>
              </w:numPr>
              <w:spacing w:after="0" w:line="240" w:lineRule="auto"/>
              <w:ind w:left="522" w:hanging="198"/>
              <w:rPr>
                <w:rFonts w:ascii="Times New Roman" w:hAnsi="Times New Roman"/>
                <w:sz w:val="20"/>
                <w:szCs w:val="20"/>
              </w:rPr>
            </w:pPr>
            <w:r w:rsidRPr="008C73C0">
              <w:rPr>
                <w:rFonts w:ascii="Times New Roman" w:hAnsi="Times New Roman"/>
                <w:sz w:val="20"/>
                <w:szCs w:val="20"/>
              </w:rPr>
              <w:t>Assess LEA progress and alignment to the</w:t>
            </w:r>
            <w:r w:rsidR="006D61A0">
              <w:rPr>
                <w:rFonts w:ascii="Times New Roman" w:hAnsi="Times New Roman"/>
                <w:sz w:val="20"/>
                <w:szCs w:val="20"/>
              </w:rPr>
              <w:t>ir</w:t>
            </w:r>
            <w:r w:rsidRPr="008C73C0">
              <w:rPr>
                <w:rFonts w:ascii="Times New Roman" w:hAnsi="Times New Roman"/>
                <w:sz w:val="20"/>
                <w:szCs w:val="20"/>
              </w:rPr>
              <w:t xml:space="preserve"> scopes of work, determine the quality of LEA implementation through established methods, tools, and processes, and identify and work to mitigate potential obstacles and/or risks that could impact the LEAs</w:t>
            </w:r>
            <w:r w:rsidR="006D61A0">
              <w:rPr>
                <w:rFonts w:ascii="Times New Roman" w:hAnsi="Times New Roman"/>
                <w:sz w:val="20"/>
                <w:szCs w:val="20"/>
              </w:rPr>
              <w:t>’</w:t>
            </w:r>
            <w:r w:rsidRPr="008C73C0">
              <w:rPr>
                <w:rFonts w:ascii="Times New Roman" w:hAnsi="Times New Roman"/>
                <w:sz w:val="20"/>
                <w:szCs w:val="20"/>
              </w:rPr>
              <w:t xml:space="preserve"> ability to achieve its goals. </w:t>
            </w:r>
          </w:p>
          <w:p w:rsidR="008C73C0" w:rsidRPr="008C73C0" w:rsidRDefault="008C73C0" w:rsidP="008C73C0">
            <w:pPr>
              <w:pStyle w:val="ListParagraph"/>
              <w:numPr>
                <w:ilvl w:val="0"/>
                <w:numId w:val="38"/>
              </w:numPr>
              <w:spacing w:after="0" w:line="240" w:lineRule="auto"/>
              <w:ind w:left="522" w:hanging="198"/>
              <w:rPr>
                <w:rFonts w:ascii="Times New Roman" w:hAnsi="Times New Roman"/>
                <w:sz w:val="20"/>
                <w:szCs w:val="20"/>
              </w:rPr>
            </w:pPr>
            <w:r w:rsidRPr="008C73C0">
              <w:rPr>
                <w:rFonts w:ascii="Times New Roman" w:hAnsi="Times New Roman"/>
                <w:sz w:val="20"/>
                <w:szCs w:val="20"/>
              </w:rPr>
              <w:t xml:space="preserve">Monitor grant and subgrant activities to assure compliance with applicable Federal requirements; and </w:t>
            </w:r>
          </w:p>
          <w:p w:rsidR="008C73C0" w:rsidRPr="008C73C0" w:rsidRDefault="008C73C0" w:rsidP="008C73C0">
            <w:pPr>
              <w:pStyle w:val="ListParagraph"/>
              <w:numPr>
                <w:ilvl w:val="0"/>
                <w:numId w:val="37"/>
              </w:numPr>
              <w:spacing w:after="0" w:line="240" w:lineRule="auto"/>
              <w:ind w:left="342" w:hanging="180"/>
              <w:rPr>
                <w:rFonts w:ascii="Times New Roman" w:hAnsi="Times New Roman"/>
                <w:sz w:val="20"/>
                <w:szCs w:val="20"/>
              </w:rPr>
            </w:pPr>
            <w:r w:rsidRPr="008C73C0">
              <w:rPr>
                <w:rFonts w:ascii="Times New Roman" w:hAnsi="Times New Roman"/>
                <w:sz w:val="20"/>
                <w:szCs w:val="20"/>
              </w:rPr>
              <w:t>Sample monitoring reports and corrective action follow-up</w:t>
            </w:r>
            <w:r w:rsidR="006D61A0">
              <w:rPr>
                <w:rFonts w:ascii="Times New Roman" w:hAnsi="Times New Roman"/>
                <w:sz w:val="20"/>
                <w:szCs w:val="20"/>
              </w:rPr>
              <w:t>.</w:t>
            </w:r>
          </w:p>
          <w:p w:rsidR="008C73C0" w:rsidRPr="0063012F" w:rsidRDefault="008C73C0" w:rsidP="0063012F">
            <w:pPr>
              <w:spacing w:after="0" w:line="240" w:lineRule="auto"/>
              <w:ind w:left="162"/>
              <w:rPr>
                <w:rFonts w:ascii="Times New Roman" w:hAnsi="Times New Roman"/>
                <w:sz w:val="20"/>
                <w:szCs w:val="20"/>
              </w:rPr>
            </w:pPr>
          </w:p>
        </w:tc>
        <w:tc>
          <w:tcPr>
            <w:tcW w:w="5580" w:type="dxa"/>
          </w:tcPr>
          <w:p w:rsidR="008C73C0" w:rsidRPr="008C73C0" w:rsidRDefault="008C73C0" w:rsidP="0026551C">
            <w:pPr>
              <w:pStyle w:val="ListParagraph"/>
              <w:spacing w:after="0" w:line="240" w:lineRule="auto"/>
              <w:ind w:left="0"/>
              <w:rPr>
                <w:rFonts w:ascii="Times New Roman" w:hAnsi="Times New Roman"/>
                <w:b/>
                <w:sz w:val="20"/>
                <w:szCs w:val="20"/>
              </w:rPr>
            </w:pPr>
            <w:r w:rsidRPr="008C73C0">
              <w:rPr>
                <w:rFonts w:ascii="Times New Roman" w:hAnsi="Times New Roman"/>
                <w:b/>
                <w:sz w:val="20"/>
                <w:szCs w:val="20"/>
              </w:rPr>
              <w:t>Questions:</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Has the LEA been monitored by the State? If so, when? If not, has the LEA been notified of when it will be monitored?</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Did the State provide the LEA with a copy of its monitoring instruments?</w:t>
            </w:r>
          </w:p>
          <w:p w:rsidR="008C73C0" w:rsidRPr="008C73C0" w:rsidRDefault="008C73C0" w:rsidP="008C73C0">
            <w:pPr>
              <w:pStyle w:val="ListParagraph"/>
              <w:numPr>
                <w:ilvl w:val="0"/>
                <w:numId w:val="7"/>
              </w:numPr>
              <w:spacing w:after="0" w:line="240" w:lineRule="auto"/>
              <w:ind w:left="252" w:hanging="180"/>
              <w:rPr>
                <w:rFonts w:ascii="Times New Roman" w:hAnsi="Times New Roman"/>
                <w:sz w:val="20"/>
                <w:szCs w:val="20"/>
              </w:rPr>
            </w:pPr>
            <w:r w:rsidRPr="008C73C0">
              <w:rPr>
                <w:rFonts w:ascii="Times New Roman" w:hAnsi="Times New Roman"/>
                <w:sz w:val="20"/>
                <w:szCs w:val="20"/>
              </w:rPr>
              <w:t xml:space="preserve">If the LEA has been monitored by the State, what issues did the State discuss during its monitoring? What recommendations did the State make?  </w:t>
            </w:r>
          </w:p>
          <w:p w:rsidR="008C73C0" w:rsidRPr="00A83DC3" w:rsidRDefault="008C73C0" w:rsidP="008C73C0">
            <w:pPr>
              <w:pStyle w:val="ListParagraph"/>
              <w:numPr>
                <w:ilvl w:val="0"/>
                <w:numId w:val="7"/>
              </w:numPr>
              <w:spacing w:after="0" w:line="240" w:lineRule="auto"/>
              <w:ind w:left="252" w:hanging="180"/>
              <w:rPr>
                <w:rFonts w:ascii="Times New Roman" w:eastAsia="MS Mincho" w:hAnsi="Times New Roman"/>
                <w:bCs/>
                <w:sz w:val="20"/>
                <w:szCs w:val="20"/>
              </w:rPr>
            </w:pPr>
            <w:r w:rsidRPr="008C73C0">
              <w:rPr>
                <w:rFonts w:ascii="Times New Roman" w:hAnsi="Times New Roman"/>
                <w:sz w:val="20"/>
                <w:szCs w:val="20"/>
              </w:rPr>
              <w:t>What actions has the LEA taken in response to any monitoring recommendations?</w:t>
            </w:r>
          </w:p>
          <w:p w:rsidR="008C73C0" w:rsidRPr="008C73C0" w:rsidRDefault="008C73C0" w:rsidP="0026551C">
            <w:pPr>
              <w:pStyle w:val="ListParagraph"/>
              <w:spacing w:after="0" w:line="240" w:lineRule="auto"/>
              <w:ind w:left="0"/>
              <w:rPr>
                <w:rFonts w:ascii="Times New Roman" w:hAnsi="Times New Roman"/>
                <w:sz w:val="20"/>
                <w:szCs w:val="20"/>
              </w:rPr>
            </w:pPr>
          </w:p>
          <w:p w:rsidR="008C73C0" w:rsidRPr="008C73C0" w:rsidRDefault="008C73C0" w:rsidP="0026551C">
            <w:pPr>
              <w:pStyle w:val="ListParagraph"/>
              <w:spacing w:after="0" w:line="240" w:lineRule="auto"/>
              <w:ind w:left="0"/>
              <w:rPr>
                <w:rFonts w:ascii="Times New Roman" w:hAnsi="Times New Roman"/>
                <w:b/>
                <w:sz w:val="20"/>
                <w:szCs w:val="20"/>
              </w:rPr>
            </w:pPr>
            <w:r w:rsidRPr="008C73C0">
              <w:rPr>
                <w:rFonts w:ascii="Times New Roman" w:hAnsi="Times New Roman"/>
                <w:b/>
                <w:sz w:val="20"/>
                <w:szCs w:val="20"/>
              </w:rPr>
              <w:t>Documentation</w:t>
            </w:r>
            <w:r w:rsidR="006D61A0">
              <w:rPr>
                <w:rFonts w:ascii="Times New Roman" w:hAnsi="Times New Roman"/>
                <w:b/>
                <w:sz w:val="20"/>
                <w:szCs w:val="20"/>
              </w:rPr>
              <w:t>:</w:t>
            </w:r>
          </w:p>
          <w:p w:rsidR="008C73C0" w:rsidRPr="008C73C0" w:rsidRDefault="008C73C0" w:rsidP="008C73C0">
            <w:pPr>
              <w:pStyle w:val="ListParagraph"/>
              <w:numPr>
                <w:ilvl w:val="0"/>
                <w:numId w:val="30"/>
              </w:numPr>
              <w:spacing w:after="0" w:line="240" w:lineRule="auto"/>
              <w:ind w:left="252" w:hanging="180"/>
              <w:rPr>
                <w:rFonts w:ascii="Times New Roman" w:hAnsi="Times New Roman"/>
                <w:sz w:val="20"/>
                <w:szCs w:val="20"/>
              </w:rPr>
            </w:pPr>
            <w:r w:rsidRPr="008C73C0">
              <w:rPr>
                <w:rFonts w:ascii="Times New Roman" w:hAnsi="Times New Roman"/>
                <w:sz w:val="20"/>
                <w:szCs w:val="20"/>
              </w:rPr>
              <w:t>Notification from the State that this entity has been selected for a State monitoring review (if applicable).</w:t>
            </w:r>
          </w:p>
          <w:p w:rsidR="008C73C0" w:rsidRPr="008C73C0" w:rsidRDefault="008C73C0" w:rsidP="008C73C0">
            <w:pPr>
              <w:pStyle w:val="ListParagraph"/>
              <w:numPr>
                <w:ilvl w:val="0"/>
                <w:numId w:val="30"/>
              </w:numPr>
              <w:spacing w:after="0" w:line="240" w:lineRule="auto"/>
              <w:ind w:left="252" w:hanging="180"/>
              <w:rPr>
                <w:rFonts w:ascii="Times New Roman" w:hAnsi="Times New Roman"/>
                <w:color w:val="000000"/>
                <w:sz w:val="20"/>
                <w:szCs w:val="20"/>
              </w:rPr>
            </w:pPr>
            <w:r w:rsidRPr="008C73C0">
              <w:rPr>
                <w:rFonts w:ascii="Times New Roman" w:hAnsi="Times New Roman"/>
                <w:color w:val="000000"/>
                <w:sz w:val="20"/>
                <w:szCs w:val="20"/>
              </w:rPr>
              <w:t>A copy of the State's monitoring report(s) for the entity, to date (if applicable).</w:t>
            </w:r>
          </w:p>
          <w:p w:rsidR="008C73C0" w:rsidRPr="008C73C0" w:rsidRDefault="008C73C0" w:rsidP="008C73C0">
            <w:pPr>
              <w:pStyle w:val="ListParagraph"/>
              <w:numPr>
                <w:ilvl w:val="0"/>
                <w:numId w:val="30"/>
              </w:numPr>
              <w:spacing w:after="0" w:line="240" w:lineRule="auto"/>
              <w:ind w:left="252" w:hanging="180"/>
              <w:rPr>
                <w:rFonts w:ascii="Times New Roman" w:hAnsi="Times New Roman"/>
                <w:color w:val="000000"/>
                <w:sz w:val="20"/>
                <w:szCs w:val="20"/>
              </w:rPr>
            </w:pPr>
            <w:r w:rsidRPr="008C73C0">
              <w:rPr>
                <w:rFonts w:ascii="Times New Roman" w:hAnsi="Times New Roman"/>
                <w:sz w:val="20"/>
                <w:szCs w:val="20"/>
              </w:rPr>
              <w:t>Documentation evidencing corrective actions taken by the entity, in response to the State's monitoring recommendations (if applicable).</w:t>
            </w:r>
          </w:p>
          <w:p w:rsidR="008C73C0" w:rsidRPr="008C73C0" w:rsidRDefault="008C73C0" w:rsidP="008C73C0">
            <w:pPr>
              <w:pStyle w:val="ListParagraph"/>
              <w:numPr>
                <w:ilvl w:val="0"/>
                <w:numId w:val="30"/>
              </w:numPr>
              <w:spacing w:after="0" w:line="240" w:lineRule="auto"/>
              <w:ind w:left="252" w:hanging="180"/>
              <w:rPr>
                <w:rFonts w:ascii="Times New Roman" w:hAnsi="Times New Roman"/>
                <w:color w:val="000000"/>
                <w:sz w:val="20"/>
                <w:szCs w:val="20"/>
              </w:rPr>
            </w:pPr>
            <w:r w:rsidRPr="008C73C0">
              <w:rPr>
                <w:rFonts w:ascii="Times New Roman" w:hAnsi="Times New Roman"/>
                <w:color w:val="000000"/>
                <w:sz w:val="20"/>
                <w:szCs w:val="20"/>
              </w:rPr>
              <w:t>A copy of the entity's response to the State, resolving any findings (if applicable).</w:t>
            </w:r>
          </w:p>
          <w:p w:rsidR="008C73C0" w:rsidRPr="008C73C0" w:rsidRDefault="008C73C0" w:rsidP="008C73C0">
            <w:pPr>
              <w:pStyle w:val="ListParagraph"/>
              <w:numPr>
                <w:ilvl w:val="0"/>
                <w:numId w:val="30"/>
              </w:numPr>
              <w:spacing w:after="0" w:line="240" w:lineRule="auto"/>
              <w:ind w:left="252" w:hanging="180"/>
              <w:rPr>
                <w:rFonts w:ascii="Times New Roman" w:hAnsi="Times New Roman"/>
                <w:color w:val="000000"/>
                <w:sz w:val="20"/>
                <w:szCs w:val="20"/>
              </w:rPr>
            </w:pPr>
            <w:r w:rsidRPr="008C73C0">
              <w:rPr>
                <w:rFonts w:ascii="Times New Roman" w:hAnsi="Times New Roman"/>
                <w:color w:val="000000"/>
                <w:sz w:val="20"/>
                <w:szCs w:val="20"/>
              </w:rPr>
              <w:t xml:space="preserve">A copy of audits covering the </w:t>
            </w:r>
            <w:r w:rsidRPr="008C73C0">
              <w:rPr>
                <w:rFonts w:ascii="Times New Roman" w:hAnsi="Times New Roman"/>
                <w:sz w:val="20"/>
                <w:szCs w:val="20"/>
              </w:rPr>
              <w:t xml:space="preserve">Race to the Top </w:t>
            </w:r>
            <w:r w:rsidRPr="008C73C0">
              <w:rPr>
                <w:rFonts w:ascii="Times New Roman" w:hAnsi="Times New Roman"/>
                <w:color w:val="000000"/>
                <w:sz w:val="20"/>
                <w:szCs w:val="20"/>
              </w:rPr>
              <w:t>program (if applicable).</w:t>
            </w:r>
          </w:p>
          <w:p w:rsidR="008C73C0" w:rsidRPr="008C73C0" w:rsidRDefault="008C73C0" w:rsidP="0026551C">
            <w:pPr>
              <w:spacing w:after="0" w:line="240" w:lineRule="auto"/>
              <w:jc w:val="center"/>
              <w:rPr>
                <w:rFonts w:ascii="Times New Roman" w:hAnsi="Times New Roman"/>
                <w:sz w:val="20"/>
                <w:szCs w:val="20"/>
              </w:rPr>
            </w:pPr>
          </w:p>
        </w:tc>
      </w:tr>
      <w:tr w:rsidR="008C73C0" w:rsidRPr="008C73C0" w:rsidTr="0073633C">
        <w:trPr>
          <w:cantSplit/>
          <w:trHeight w:val="2807"/>
        </w:trPr>
        <w:tc>
          <w:tcPr>
            <w:tcW w:w="1098" w:type="dxa"/>
            <w:textDirection w:val="btLr"/>
          </w:tcPr>
          <w:p w:rsidR="008C73C0" w:rsidRPr="008C73C0" w:rsidRDefault="008C73C0" w:rsidP="0026551C">
            <w:pPr>
              <w:spacing w:after="0" w:line="240" w:lineRule="auto"/>
              <w:ind w:left="113" w:right="113"/>
              <w:jc w:val="center"/>
              <w:rPr>
                <w:rFonts w:ascii="Times New Roman" w:hAnsi="Times New Roman"/>
                <w:sz w:val="20"/>
                <w:szCs w:val="20"/>
              </w:rPr>
            </w:pPr>
            <w:r w:rsidRPr="008C73C0">
              <w:rPr>
                <w:rFonts w:ascii="Times New Roman" w:hAnsi="Times New Roman"/>
                <w:b/>
                <w:sz w:val="20"/>
                <w:szCs w:val="20"/>
              </w:rPr>
              <w:t>Quarterly ARRA Section 1512 Reporting</w:t>
            </w:r>
          </w:p>
          <w:p w:rsidR="008C73C0" w:rsidRPr="008C73C0" w:rsidRDefault="008C73C0" w:rsidP="0026551C">
            <w:pPr>
              <w:spacing w:after="0" w:line="240" w:lineRule="auto"/>
              <w:ind w:left="113" w:right="113"/>
              <w:jc w:val="center"/>
              <w:rPr>
                <w:rFonts w:ascii="Times New Roman" w:hAnsi="Times New Roman"/>
                <w:sz w:val="20"/>
                <w:szCs w:val="20"/>
              </w:rPr>
            </w:pPr>
            <w:r w:rsidRPr="008C73C0">
              <w:rPr>
                <w:rFonts w:ascii="Times New Roman" w:hAnsi="Times New Roman"/>
                <w:sz w:val="20"/>
                <w:szCs w:val="20"/>
              </w:rPr>
              <w:t>(</w:t>
            </w:r>
            <w:r w:rsidRPr="008C73C0">
              <w:rPr>
                <w:rFonts w:ascii="Times New Roman" w:hAnsi="Times New Roman"/>
                <w:i/>
                <w:sz w:val="20"/>
                <w:szCs w:val="20"/>
              </w:rPr>
              <w:t>ARRA Sections 14008 and 1512)</w:t>
            </w:r>
          </w:p>
        </w:tc>
        <w:tc>
          <w:tcPr>
            <w:tcW w:w="4050" w:type="dxa"/>
          </w:tcPr>
          <w:p w:rsidR="008C73C0" w:rsidRPr="008C73C0" w:rsidRDefault="008C73C0" w:rsidP="0026551C">
            <w:pPr>
              <w:spacing w:after="0" w:line="240" w:lineRule="auto"/>
              <w:rPr>
                <w:rFonts w:ascii="Times New Roman" w:hAnsi="Times New Roman"/>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 xml:space="preserve">The State is ensuring compliance with ARRA Section 1512 quarterly reporting regulations.  </w:t>
            </w:r>
          </w:p>
          <w:p w:rsidR="008C73C0" w:rsidRPr="008C73C0" w:rsidRDefault="008C73C0" w:rsidP="0026551C">
            <w:pPr>
              <w:spacing w:after="0" w:line="240" w:lineRule="auto"/>
              <w:rPr>
                <w:rFonts w:ascii="Times New Roman" w:hAnsi="Times New Roman"/>
                <w:b/>
                <w:sz w:val="20"/>
                <w:szCs w:val="20"/>
              </w:rPr>
            </w:pPr>
          </w:p>
          <w:p w:rsidR="008C73C0" w:rsidRPr="008C73C0" w:rsidRDefault="008C73C0" w:rsidP="0026551C">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8C73C0" w:rsidRPr="008C73C0" w:rsidRDefault="008C73C0" w:rsidP="008C73C0">
            <w:pPr>
              <w:numPr>
                <w:ilvl w:val="0"/>
                <w:numId w:val="35"/>
              </w:numPr>
              <w:spacing w:after="0" w:line="240" w:lineRule="auto"/>
              <w:ind w:left="162" w:hanging="180"/>
              <w:rPr>
                <w:rFonts w:ascii="Times New Roman" w:hAnsi="Times New Roman"/>
                <w:sz w:val="20"/>
                <w:szCs w:val="20"/>
              </w:rPr>
            </w:pPr>
            <w:r w:rsidRPr="008C73C0">
              <w:rPr>
                <w:rFonts w:ascii="Times New Roman" w:hAnsi="Times New Roman"/>
                <w:sz w:val="20"/>
                <w:szCs w:val="20"/>
              </w:rPr>
              <w:t>An explanation of/example for section 1512 reporting process</w:t>
            </w:r>
            <w:r w:rsidR="006D61A0">
              <w:rPr>
                <w:rFonts w:ascii="Times New Roman" w:hAnsi="Times New Roman"/>
                <w:sz w:val="20"/>
                <w:szCs w:val="20"/>
              </w:rPr>
              <w:t>.</w:t>
            </w:r>
          </w:p>
          <w:p w:rsidR="008C73C0" w:rsidRPr="008C73C0" w:rsidRDefault="008C73C0" w:rsidP="008C73C0">
            <w:pPr>
              <w:numPr>
                <w:ilvl w:val="0"/>
                <w:numId w:val="35"/>
              </w:numPr>
              <w:spacing w:after="0" w:line="240" w:lineRule="auto"/>
              <w:ind w:left="162" w:hanging="180"/>
              <w:rPr>
                <w:rFonts w:ascii="Times New Roman" w:hAnsi="Times New Roman"/>
                <w:sz w:val="20"/>
                <w:szCs w:val="20"/>
              </w:rPr>
            </w:pPr>
            <w:r w:rsidRPr="008C73C0">
              <w:rPr>
                <w:rFonts w:ascii="Times New Roman" w:hAnsi="Times New Roman"/>
                <w:sz w:val="20"/>
                <w:szCs w:val="20"/>
              </w:rPr>
              <w:t>Sample of documentation supporting the data in Section 1512 quarterly report</w:t>
            </w:r>
            <w:r w:rsidR="006D61A0">
              <w:rPr>
                <w:rFonts w:ascii="Times New Roman" w:hAnsi="Times New Roman"/>
                <w:sz w:val="20"/>
                <w:szCs w:val="20"/>
              </w:rPr>
              <w:t>.</w:t>
            </w:r>
          </w:p>
          <w:p w:rsidR="008C73C0" w:rsidRPr="008C73C0" w:rsidRDefault="008C73C0" w:rsidP="008C73C0">
            <w:pPr>
              <w:numPr>
                <w:ilvl w:val="0"/>
                <w:numId w:val="35"/>
              </w:numPr>
              <w:spacing w:after="0" w:line="240" w:lineRule="auto"/>
              <w:ind w:left="162" w:hanging="180"/>
              <w:rPr>
                <w:rFonts w:ascii="Times New Roman" w:hAnsi="Times New Roman"/>
                <w:sz w:val="20"/>
                <w:szCs w:val="20"/>
              </w:rPr>
            </w:pPr>
            <w:r w:rsidRPr="008C73C0">
              <w:rPr>
                <w:rFonts w:ascii="Times New Roman" w:hAnsi="Times New Roman"/>
                <w:sz w:val="20"/>
                <w:szCs w:val="20"/>
              </w:rPr>
              <w:t>Evidence of State ensuring the validity of LEA-reported numbers.</w:t>
            </w:r>
          </w:p>
        </w:tc>
        <w:tc>
          <w:tcPr>
            <w:tcW w:w="5580" w:type="dxa"/>
          </w:tcPr>
          <w:p w:rsidR="00A83DC3" w:rsidRPr="008C73C0" w:rsidRDefault="00A83DC3" w:rsidP="00A83DC3">
            <w:pPr>
              <w:pStyle w:val="ListParagraph"/>
              <w:spacing w:after="0" w:line="240" w:lineRule="auto"/>
              <w:ind w:left="0"/>
              <w:rPr>
                <w:rFonts w:ascii="Times New Roman" w:hAnsi="Times New Roman"/>
                <w:b/>
                <w:sz w:val="20"/>
                <w:szCs w:val="20"/>
              </w:rPr>
            </w:pPr>
            <w:r>
              <w:rPr>
                <w:rFonts w:ascii="Times New Roman" w:hAnsi="Times New Roman"/>
                <w:b/>
                <w:sz w:val="20"/>
                <w:szCs w:val="20"/>
              </w:rPr>
              <w:t>Questions:</w:t>
            </w:r>
          </w:p>
          <w:p w:rsidR="008C73C0" w:rsidRPr="008C73C0" w:rsidRDefault="008C73C0" w:rsidP="008C73C0">
            <w:pPr>
              <w:numPr>
                <w:ilvl w:val="0"/>
                <w:numId w:val="14"/>
              </w:numPr>
              <w:spacing w:after="0" w:line="240" w:lineRule="auto"/>
              <w:ind w:left="252" w:hanging="162"/>
              <w:rPr>
                <w:rFonts w:ascii="Times New Roman" w:hAnsi="Times New Roman"/>
                <w:sz w:val="20"/>
                <w:szCs w:val="20"/>
              </w:rPr>
            </w:pPr>
            <w:r w:rsidRPr="008C73C0">
              <w:rPr>
                <w:rFonts w:ascii="Times New Roman" w:hAnsi="Times New Roman"/>
                <w:sz w:val="20"/>
                <w:szCs w:val="20"/>
              </w:rPr>
              <w:t xml:space="preserve">  How does the LEA report the jobs to the State, and how does the LEA calculate expenditures and jobs created/saved?</w:t>
            </w:r>
          </w:p>
          <w:p w:rsidR="008C73C0" w:rsidRPr="008C73C0" w:rsidRDefault="008C73C0" w:rsidP="0026551C">
            <w:pPr>
              <w:spacing w:after="0" w:line="240" w:lineRule="auto"/>
              <w:rPr>
                <w:rFonts w:ascii="Times New Roman" w:hAnsi="Times New Roman"/>
                <w:color w:val="000000"/>
                <w:sz w:val="20"/>
                <w:szCs w:val="20"/>
              </w:rPr>
            </w:pPr>
          </w:p>
          <w:p w:rsidR="008C73C0" w:rsidRPr="008C73C0" w:rsidRDefault="008C73C0" w:rsidP="0026551C">
            <w:pPr>
              <w:pStyle w:val="ListParagraph"/>
              <w:spacing w:after="0" w:line="240" w:lineRule="auto"/>
              <w:ind w:left="0"/>
              <w:rPr>
                <w:rFonts w:ascii="Times New Roman" w:hAnsi="Times New Roman"/>
                <w:b/>
                <w:sz w:val="20"/>
                <w:szCs w:val="20"/>
              </w:rPr>
            </w:pPr>
            <w:r w:rsidRPr="008C73C0">
              <w:rPr>
                <w:rFonts w:ascii="Times New Roman" w:hAnsi="Times New Roman"/>
                <w:b/>
                <w:sz w:val="20"/>
                <w:szCs w:val="20"/>
              </w:rPr>
              <w:t>Documentation</w:t>
            </w:r>
            <w:r w:rsidR="006D61A0">
              <w:rPr>
                <w:rFonts w:ascii="Times New Roman" w:hAnsi="Times New Roman"/>
                <w:b/>
                <w:sz w:val="20"/>
                <w:szCs w:val="20"/>
              </w:rPr>
              <w:t>:</w:t>
            </w:r>
          </w:p>
          <w:p w:rsidR="008C73C0" w:rsidRPr="008C73C0" w:rsidRDefault="0063012F" w:rsidP="008C73C0">
            <w:pPr>
              <w:pStyle w:val="ListParagraph"/>
              <w:numPr>
                <w:ilvl w:val="0"/>
                <w:numId w:val="34"/>
              </w:numPr>
              <w:spacing w:after="0" w:line="240" w:lineRule="auto"/>
              <w:ind w:left="252" w:hanging="180"/>
              <w:rPr>
                <w:rFonts w:ascii="Times New Roman" w:hAnsi="Times New Roman"/>
                <w:color w:val="000000"/>
                <w:sz w:val="20"/>
                <w:szCs w:val="20"/>
              </w:rPr>
            </w:pPr>
            <w:r>
              <w:rPr>
                <w:rFonts w:ascii="Times New Roman" w:hAnsi="Times New Roman"/>
                <w:color w:val="000000"/>
                <w:sz w:val="20"/>
                <w:szCs w:val="20"/>
              </w:rPr>
              <w:t>G</w:t>
            </w:r>
            <w:r w:rsidR="008C73C0" w:rsidRPr="008C73C0">
              <w:rPr>
                <w:rFonts w:ascii="Times New Roman" w:hAnsi="Times New Roman"/>
                <w:color w:val="000000"/>
                <w:sz w:val="20"/>
                <w:szCs w:val="20"/>
              </w:rPr>
              <w:t xml:space="preserve">uidance from the State </w:t>
            </w:r>
            <w:r>
              <w:rPr>
                <w:rFonts w:ascii="Times New Roman" w:hAnsi="Times New Roman"/>
                <w:color w:val="000000"/>
                <w:sz w:val="20"/>
                <w:szCs w:val="20"/>
              </w:rPr>
              <w:t>regarding</w:t>
            </w:r>
            <w:r w:rsidR="008C73C0" w:rsidRPr="008C73C0">
              <w:rPr>
                <w:rFonts w:ascii="Times New Roman" w:hAnsi="Times New Roman"/>
                <w:color w:val="000000"/>
                <w:sz w:val="20"/>
                <w:szCs w:val="20"/>
              </w:rPr>
              <w:t xml:space="preserve"> 1512 reports.</w:t>
            </w:r>
          </w:p>
          <w:p w:rsidR="008C73C0" w:rsidRPr="008C73C0" w:rsidRDefault="008C73C0" w:rsidP="008C73C0">
            <w:pPr>
              <w:pStyle w:val="ListParagraph"/>
              <w:numPr>
                <w:ilvl w:val="0"/>
                <w:numId w:val="34"/>
              </w:numPr>
              <w:spacing w:after="0" w:line="240" w:lineRule="auto"/>
              <w:ind w:left="252" w:hanging="180"/>
              <w:rPr>
                <w:rFonts w:ascii="Times New Roman" w:hAnsi="Times New Roman"/>
                <w:color w:val="000000"/>
                <w:sz w:val="20"/>
                <w:szCs w:val="20"/>
              </w:rPr>
            </w:pPr>
            <w:r w:rsidRPr="008C73C0">
              <w:rPr>
                <w:rFonts w:ascii="Times New Roman" w:hAnsi="Times New Roman"/>
                <w:color w:val="000000"/>
                <w:sz w:val="20"/>
                <w:szCs w:val="20"/>
              </w:rPr>
              <w:t>Snapshots from the program used to enter and submit data or a copy of completed State-provided template (if applicable).</w:t>
            </w:r>
          </w:p>
          <w:p w:rsidR="008C73C0" w:rsidRPr="0063012F" w:rsidRDefault="008C73C0" w:rsidP="0063012F">
            <w:pPr>
              <w:spacing w:after="0" w:line="240" w:lineRule="auto"/>
              <w:ind w:left="72"/>
              <w:rPr>
                <w:rFonts w:ascii="Times New Roman" w:hAnsi="Times New Roman"/>
                <w:color w:val="000000"/>
                <w:sz w:val="20"/>
                <w:szCs w:val="20"/>
              </w:rPr>
            </w:pPr>
          </w:p>
        </w:tc>
      </w:tr>
    </w:tbl>
    <w:p w:rsidR="006A6C13" w:rsidRPr="008C73C0" w:rsidRDefault="006A6C13" w:rsidP="0026551C">
      <w:pPr>
        <w:spacing w:after="0" w:line="240" w:lineRule="auto"/>
        <w:rPr>
          <w:rFonts w:ascii="Times New Roman" w:hAnsi="Times New Roman"/>
          <w:i/>
          <w:sz w:val="20"/>
          <w:szCs w:val="20"/>
        </w:rPr>
      </w:pPr>
    </w:p>
    <w:p w:rsidR="00EB4692" w:rsidRDefault="00EB4692" w:rsidP="0026551C">
      <w:pPr>
        <w:spacing w:after="0" w:line="240" w:lineRule="auto"/>
        <w:rPr>
          <w:rFonts w:ascii="Times New Roman" w:hAnsi="Times New Roman"/>
          <w:sz w:val="20"/>
          <w:szCs w:val="20"/>
        </w:rPr>
      </w:pPr>
    </w:p>
    <w:p w:rsidR="00F66FA8" w:rsidRDefault="00F66FA8" w:rsidP="00F66FA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Paperwork Reduction Act Statement</w:t>
      </w:r>
    </w:p>
    <w:p w:rsidR="00F66FA8" w:rsidRDefault="00F66FA8" w:rsidP="00F66FA8">
      <w:pPr>
        <w:spacing w:after="0" w:line="240" w:lineRule="auto"/>
        <w:jc w:val="center"/>
        <w:rPr>
          <w:rFonts w:ascii="Times New Roman" w:hAnsi="Times New Roman"/>
          <w:color w:val="000000"/>
          <w:sz w:val="20"/>
          <w:szCs w:val="20"/>
        </w:rPr>
      </w:pPr>
    </w:p>
    <w:p w:rsidR="00F66FA8" w:rsidRDefault="00F66FA8" w:rsidP="00F66FA8">
      <w:pPr>
        <w:autoSpaceDE w:val="0"/>
        <w:autoSpaceDN w:val="0"/>
        <w:adjustRightInd w:val="0"/>
        <w:rPr>
          <w:rFonts w:ascii="Times New Roman" w:hAnsi="Times New Roman"/>
          <w:sz w:val="18"/>
          <w:szCs w:val="18"/>
        </w:rPr>
      </w:pPr>
      <w:r>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041625">
        <w:rPr>
          <w:rFonts w:ascii="Times New Roman" w:hAnsi="Times New Roman"/>
          <w:sz w:val="18"/>
          <w:szCs w:val="18"/>
        </w:rPr>
        <w:t>average 74 hours (annually)</w:t>
      </w:r>
      <w:r>
        <w:rPr>
          <w:rFonts w:ascii="Times New Roman" w:hAnsi="Times New Roman"/>
          <w:color w:val="FF0000"/>
          <w:sz w:val="18"/>
          <w:szCs w:val="18"/>
        </w:rPr>
        <w:t xml:space="preserve"> </w:t>
      </w:r>
      <w:r>
        <w:rPr>
          <w:rFonts w:ascii="Times New Roman" w:hAnsi="Times New Roman"/>
          <w:sz w:val="18"/>
          <w:szCs w:val="18"/>
        </w:rPr>
        <w:t xml:space="preserve">per grantee,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041625">
        <w:rPr>
          <w:rFonts w:ascii="Times New Roman" w:hAnsi="Times New Roman"/>
          <w:sz w:val="18"/>
          <w:szCs w:val="18"/>
        </w:rPr>
        <w:t>(34 CFR 75.720, 75.730-732</w:t>
      </w:r>
      <w:r>
        <w:rPr>
          <w:rFonts w:ascii="Times New Roman" w:hAnsi="Times New Roman"/>
          <w:sz w:val="18"/>
          <w:szCs w:val="18"/>
        </w:rPr>
        <w:t xml:space="preserve">; </w:t>
      </w:r>
      <w:r w:rsidRPr="00041625">
        <w:rPr>
          <w:rFonts w:ascii="Times New Roman" w:hAnsi="Times New Roman"/>
          <w:sz w:val="18"/>
          <w:szCs w:val="18"/>
        </w:rPr>
        <w:t>34 CFR 80.40 and 80.4</w:t>
      </w:r>
      <w:r>
        <w:rPr>
          <w:rFonts w:ascii="Times New Roman" w:hAnsi="Times New Roman"/>
          <w:sz w:val="18"/>
          <w:szCs w:val="18"/>
        </w:rPr>
        <w:t>1</w:t>
      </w:r>
      <w:r w:rsidRPr="00041625">
        <w:rPr>
          <w:rFonts w:ascii="Times New Roman" w:hAnsi="Times New Roman"/>
          <w:sz w:val="18"/>
          <w:szCs w:val="18"/>
        </w:rPr>
        <w:t xml:space="preserve">). Send </w:t>
      </w:r>
      <w:r>
        <w:rPr>
          <w:rFonts w:ascii="Times New Roman" w:hAnsi="Times New Roman"/>
          <w:sz w:val="18"/>
          <w:szCs w:val="18"/>
        </w:rPr>
        <w:t xml:space="preserve">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color w:val="000000"/>
          <w:sz w:val="18"/>
          <w:szCs w:val="18"/>
        </w:rPr>
        <w:t xml:space="preserve">email </w:t>
      </w:r>
      <w:hyperlink r:id="rId8" w:history="1">
        <w:r>
          <w:rPr>
            <w:rStyle w:val="Hyperlink"/>
            <w:rFonts w:ascii="Times New Roman" w:hAnsi="Times New Roman"/>
            <w:color w:val="0000FF"/>
            <w:sz w:val="18"/>
            <w:szCs w:val="18"/>
          </w:rPr>
          <w:t>ICDocketMgr@ed.gov</w:t>
        </w:r>
      </w:hyperlink>
      <w:r>
        <w:rPr>
          <w:rFonts w:ascii="Times New Roman" w:hAnsi="Times New Roman"/>
          <w:color w:val="000000"/>
          <w:sz w:val="18"/>
          <w:szCs w:val="18"/>
        </w:rPr>
        <w:t xml:space="preserve"> </w:t>
      </w:r>
      <w:r>
        <w:rPr>
          <w:rFonts w:ascii="Times New Roman" w:hAnsi="Times New Roman"/>
          <w:sz w:val="18"/>
          <w:szCs w:val="18"/>
        </w:rPr>
        <w:t xml:space="preserve">and reference the OMB Control Number 1894-New. </w:t>
      </w:r>
    </w:p>
    <w:p w:rsidR="00F66FA8" w:rsidRPr="008C73C0" w:rsidRDefault="00F66FA8" w:rsidP="00F66FA8">
      <w:pPr>
        <w:spacing w:after="0" w:line="240" w:lineRule="auto"/>
        <w:rPr>
          <w:rFonts w:ascii="Times New Roman" w:hAnsi="Times New Roman"/>
          <w:sz w:val="20"/>
          <w:szCs w:val="20"/>
        </w:rPr>
      </w:pPr>
    </w:p>
    <w:sectPr w:rsidR="00F66FA8" w:rsidRPr="008C73C0" w:rsidSect="00827934">
      <w:headerReference w:type="even" r:id="rId9"/>
      <w:footerReference w:type="default" r:id="rId10"/>
      <w:pgSz w:w="12240" w:h="15840"/>
      <w:pgMar w:top="720" w:right="45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E9" w:rsidRDefault="00EE0CE9" w:rsidP="006F349F">
      <w:pPr>
        <w:spacing w:after="0" w:line="240" w:lineRule="auto"/>
      </w:pPr>
      <w:r>
        <w:separator/>
      </w:r>
    </w:p>
  </w:endnote>
  <w:endnote w:type="continuationSeparator" w:id="0">
    <w:p w:rsidR="00EE0CE9" w:rsidRDefault="00EE0CE9" w:rsidP="006F3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C2" w:rsidRPr="005A68C2" w:rsidRDefault="00B70EFC" w:rsidP="005A68C2">
    <w:pPr>
      <w:pStyle w:val="Footer"/>
      <w:pBdr>
        <w:top w:val="single" w:sz="4" w:space="1" w:color="D9D9D9"/>
      </w:pBdr>
      <w:ind w:left="720"/>
      <w:jc w:val="right"/>
      <w:rPr>
        <w:rFonts w:ascii="Times New Roman" w:hAnsi="Times New Roman"/>
        <w:sz w:val="18"/>
        <w:szCs w:val="18"/>
      </w:rPr>
    </w:pPr>
    <w:r w:rsidRPr="0026551C">
      <w:rPr>
        <w:rFonts w:ascii="Times New Roman" w:hAnsi="Times New Roman"/>
        <w:sz w:val="18"/>
        <w:szCs w:val="18"/>
      </w:rPr>
      <w:fldChar w:fldCharType="begin"/>
    </w:r>
    <w:r w:rsidR="005A68C2" w:rsidRPr="0026551C">
      <w:rPr>
        <w:rFonts w:ascii="Times New Roman" w:hAnsi="Times New Roman"/>
        <w:sz w:val="18"/>
        <w:szCs w:val="18"/>
      </w:rPr>
      <w:instrText xml:space="preserve"> PAGE   \* MERGEFORMAT </w:instrText>
    </w:r>
    <w:r w:rsidRPr="0026551C">
      <w:rPr>
        <w:rFonts w:ascii="Times New Roman" w:hAnsi="Times New Roman"/>
        <w:sz w:val="18"/>
        <w:szCs w:val="18"/>
      </w:rPr>
      <w:fldChar w:fldCharType="separate"/>
    </w:r>
    <w:r w:rsidR="00F66FA8">
      <w:rPr>
        <w:rFonts w:ascii="Times New Roman" w:hAnsi="Times New Roman"/>
        <w:noProof/>
        <w:sz w:val="18"/>
        <w:szCs w:val="18"/>
      </w:rPr>
      <w:t>2</w:t>
    </w:r>
    <w:r w:rsidRPr="0026551C">
      <w:rPr>
        <w:rFonts w:ascii="Times New Roman" w:hAnsi="Times New Roman"/>
        <w:sz w:val="18"/>
        <w:szCs w:val="18"/>
      </w:rPr>
      <w:fldChar w:fldCharType="end"/>
    </w:r>
    <w:r w:rsidR="005A68C2" w:rsidRPr="0026551C">
      <w:rPr>
        <w:rFonts w:ascii="Times New Roman" w:hAnsi="Times New Roman"/>
        <w:sz w:val="18"/>
        <w:szCs w:val="18"/>
      </w:rPr>
      <w:t xml:space="preserve"> | </w:t>
    </w:r>
    <w:r w:rsidR="005A68C2" w:rsidRPr="0026551C">
      <w:rPr>
        <w:rFonts w:ascii="Times New Roman" w:hAnsi="Times New Roman"/>
        <w:color w:val="7F7F7F"/>
        <w:spacing w:val="60"/>
        <w:sz w:val="18"/>
        <w:szCs w:val="18"/>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E9" w:rsidRDefault="00EE0CE9" w:rsidP="006F349F">
      <w:pPr>
        <w:spacing w:after="0" w:line="240" w:lineRule="auto"/>
      </w:pPr>
      <w:r>
        <w:separator/>
      </w:r>
    </w:p>
  </w:footnote>
  <w:footnote w:type="continuationSeparator" w:id="0">
    <w:p w:rsidR="00EE0CE9" w:rsidRDefault="00EE0CE9" w:rsidP="006F3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C2" w:rsidRPr="00D91366" w:rsidRDefault="005A68C2" w:rsidP="00D8321A">
    <w:pPr>
      <w:pStyle w:val="Header"/>
      <w:pBdr>
        <w:bottom w:val="thickThinSmallGap" w:sz="24" w:space="1" w:color="622423"/>
      </w:pBd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DD7"/>
    <w:multiLevelType w:val="hybridMultilevel"/>
    <w:tmpl w:val="DAC436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E7C33"/>
    <w:multiLevelType w:val="hybridMultilevel"/>
    <w:tmpl w:val="F21A7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8508C"/>
    <w:multiLevelType w:val="hybridMultilevel"/>
    <w:tmpl w:val="93C44B0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0AC43795"/>
    <w:multiLevelType w:val="hybridMultilevel"/>
    <w:tmpl w:val="FF7AA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6218F"/>
    <w:multiLevelType w:val="hybridMultilevel"/>
    <w:tmpl w:val="2A50A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E2C4B"/>
    <w:multiLevelType w:val="hybridMultilevel"/>
    <w:tmpl w:val="E6E2E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52F1E"/>
    <w:multiLevelType w:val="hybridMultilevel"/>
    <w:tmpl w:val="7C9AA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F31A8"/>
    <w:multiLevelType w:val="hybridMultilevel"/>
    <w:tmpl w:val="7CAA0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21ADB"/>
    <w:multiLevelType w:val="hybridMultilevel"/>
    <w:tmpl w:val="0EA8A24E"/>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679F1"/>
    <w:multiLevelType w:val="hybridMultilevel"/>
    <w:tmpl w:val="3A4E3D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86716"/>
    <w:multiLevelType w:val="hybridMultilevel"/>
    <w:tmpl w:val="F22C3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337C1"/>
    <w:multiLevelType w:val="hybridMultilevel"/>
    <w:tmpl w:val="64A80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B6036"/>
    <w:multiLevelType w:val="hybridMultilevel"/>
    <w:tmpl w:val="A0767C0E"/>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80075B"/>
    <w:multiLevelType w:val="hybridMultilevel"/>
    <w:tmpl w:val="C38C6A7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288A65F0"/>
    <w:multiLevelType w:val="hybridMultilevel"/>
    <w:tmpl w:val="D9AC2076"/>
    <w:lvl w:ilvl="0" w:tplc="15C442D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295F5682"/>
    <w:multiLevelType w:val="hybridMultilevel"/>
    <w:tmpl w:val="DCE6D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F78CF"/>
    <w:multiLevelType w:val="hybridMultilevel"/>
    <w:tmpl w:val="84FE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C037D"/>
    <w:multiLevelType w:val="hybridMultilevel"/>
    <w:tmpl w:val="05CCC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34402"/>
    <w:multiLevelType w:val="hybridMultilevel"/>
    <w:tmpl w:val="80C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C08C6"/>
    <w:multiLevelType w:val="hybridMultilevel"/>
    <w:tmpl w:val="4C14F0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DD1D9E"/>
    <w:multiLevelType w:val="hybridMultilevel"/>
    <w:tmpl w:val="0B6EBF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D28AF"/>
    <w:multiLevelType w:val="hybridMultilevel"/>
    <w:tmpl w:val="E8F21574"/>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D01D8"/>
    <w:multiLevelType w:val="hybridMultilevel"/>
    <w:tmpl w:val="B8A87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D36061"/>
    <w:multiLevelType w:val="hybridMultilevel"/>
    <w:tmpl w:val="785A7F12"/>
    <w:lvl w:ilvl="0" w:tplc="7B329A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EFB2A79"/>
    <w:multiLevelType w:val="hybridMultilevel"/>
    <w:tmpl w:val="41E44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C442D0">
      <w:start w:val="1"/>
      <w:numFmt w:val="bullet"/>
      <w:lvlText w:val=""/>
      <w:lvlJc w:val="left"/>
      <w:pPr>
        <w:ind w:left="45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13C77"/>
    <w:multiLevelType w:val="hybridMultilevel"/>
    <w:tmpl w:val="B082F58C"/>
    <w:lvl w:ilvl="0" w:tplc="15C442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E64828"/>
    <w:multiLevelType w:val="hybridMultilevel"/>
    <w:tmpl w:val="BBCE4E66"/>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60111"/>
    <w:multiLevelType w:val="hybridMultilevel"/>
    <w:tmpl w:val="A1C6D3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35027F"/>
    <w:multiLevelType w:val="hybridMultilevel"/>
    <w:tmpl w:val="F06E6E62"/>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F37106"/>
    <w:multiLevelType w:val="hybridMultilevel"/>
    <w:tmpl w:val="9646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C442D0">
      <w:start w:val="1"/>
      <w:numFmt w:val="bullet"/>
      <w:lvlText w:val=""/>
      <w:lvlJc w:val="left"/>
      <w:pPr>
        <w:ind w:left="45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22B0B"/>
    <w:multiLevelType w:val="hybridMultilevel"/>
    <w:tmpl w:val="A7DC28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B3F29D2"/>
    <w:multiLevelType w:val="hybridMultilevel"/>
    <w:tmpl w:val="50ECD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D66FA70">
      <w:numFmt w:val="bullet"/>
      <w:lvlText w:val="-"/>
      <w:lvlJc w:val="left"/>
      <w:pPr>
        <w:ind w:left="1800" w:hanging="360"/>
      </w:pPr>
      <w:rPr>
        <w:rFonts w:ascii="Times New Roman" w:eastAsia="Calibr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3F69C2"/>
    <w:multiLevelType w:val="hybridMultilevel"/>
    <w:tmpl w:val="1C46F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F936CD"/>
    <w:multiLevelType w:val="hybridMultilevel"/>
    <w:tmpl w:val="16D65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907BB"/>
    <w:multiLevelType w:val="hybridMultilevel"/>
    <w:tmpl w:val="61CC307E"/>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8808E5"/>
    <w:multiLevelType w:val="hybridMultilevel"/>
    <w:tmpl w:val="C6C4E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DD0E49"/>
    <w:multiLevelType w:val="hybridMultilevel"/>
    <w:tmpl w:val="574C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9C0B7E"/>
    <w:multiLevelType w:val="hybridMultilevel"/>
    <w:tmpl w:val="463C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701A0"/>
    <w:multiLevelType w:val="hybridMultilevel"/>
    <w:tmpl w:val="FA4859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ED278A"/>
    <w:multiLevelType w:val="hybridMultilevel"/>
    <w:tmpl w:val="35487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9"/>
  </w:num>
  <w:num w:numId="4">
    <w:abstractNumId w:val="19"/>
  </w:num>
  <w:num w:numId="5">
    <w:abstractNumId w:val="30"/>
  </w:num>
  <w:num w:numId="6">
    <w:abstractNumId w:val="0"/>
  </w:num>
  <w:num w:numId="7">
    <w:abstractNumId w:val="31"/>
  </w:num>
  <w:num w:numId="8">
    <w:abstractNumId w:val="2"/>
  </w:num>
  <w:num w:numId="9">
    <w:abstractNumId w:val="13"/>
  </w:num>
  <w:num w:numId="10">
    <w:abstractNumId w:val="27"/>
  </w:num>
  <w:num w:numId="11">
    <w:abstractNumId w:val="37"/>
  </w:num>
  <w:num w:numId="12">
    <w:abstractNumId w:val="18"/>
  </w:num>
  <w:num w:numId="13">
    <w:abstractNumId w:val="16"/>
  </w:num>
  <w:num w:numId="14">
    <w:abstractNumId w:val="22"/>
  </w:num>
  <w:num w:numId="15">
    <w:abstractNumId w:val="39"/>
  </w:num>
  <w:num w:numId="16">
    <w:abstractNumId w:val="17"/>
  </w:num>
  <w:num w:numId="17">
    <w:abstractNumId w:val="7"/>
  </w:num>
  <w:num w:numId="18">
    <w:abstractNumId w:val="33"/>
  </w:num>
  <w:num w:numId="19">
    <w:abstractNumId w:val="40"/>
  </w:num>
  <w:num w:numId="20">
    <w:abstractNumId w:val="6"/>
  </w:num>
  <w:num w:numId="21">
    <w:abstractNumId w:val="4"/>
  </w:num>
  <w:num w:numId="22">
    <w:abstractNumId w:val="15"/>
  </w:num>
  <w:num w:numId="23">
    <w:abstractNumId w:val="3"/>
  </w:num>
  <w:num w:numId="24">
    <w:abstractNumId w:val="32"/>
  </w:num>
  <w:num w:numId="25">
    <w:abstractNumId w:val="5"/>
  </w:num>
  <w:num w:numId="26">
    <w:abstractNumId w:val="11"/>
  </w:num>
  <w:num w:numId="27">
    <w:abstractNumId w:val="1"/>
  </w:num>
  <w:num w:numId="28">
    <w:abstractNumId w:val="35"/>
  </w:num>
  <w:num w:numId="29">
    <w:abstractNumId w:val="38"/>
  </w:num>
  <w:num w:numId="30">
    <w:abstractNumId w:val="28"/>
  </w:num>
  <w:num w:numId="31">
    <w:abstractNumId w:val="34"/>
  </w:num>
  <w:num w:numId="32">
    <w:abstractNumId w:val="12"/>
  </w:num>
  <w:num w:numId="33">
    <w:abstractNumId w:val="14"/>
  </w:num>
  <w:num w:numId="34">
    <w:abstractNumId w:val="26"/>
  </w:num>
  <w:num w:numId="35">
    <w:abstractNumId w:val="8"/>
  </w:num>
  <w:num w:numId="36">
    <w:abstractNumId w:val="25"/>
  </w:num>
  <w:num w:numId="37">
    <w:abstractNumId w:val="21"/>
  </w:num>
  <w:num w:numId="38">
    <w:abstractNumId w:val="10"/>
  </w:num>
  <w:num w:numId="39">
    <w:abstractNumId w:val="29"/>
  </w:num>
  <w:num w:numId="40">
    <w:abstractNumId w:val="24"/>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349F"/>
    <w:rsid w:val="00015624"/>
    <w:rsid w:val="000373D3"/>
    <w:rsid w:val="00064FC4"/>
    <w:rsid w:val="00102486"/>
    <w:rsid w:val="00107CF5"/>
    <w:rsid w:val="00113FE2"/>
    <w:rsid w:val="001742A0"/>
    <w:rsid w:val="001764FC"/>
    <w:rsid w:val="001A1D34"/>
    <w:rsid w:val="001D3B11"/>
    <w:rsid w:val="00204CAF"/>
    <w:rsid w:val="0024423B"/>
    <w:rsid w:val="0026551C"/>
    <w:rsid w:val="002A3B3E"/>
    <w:rsid w:val="003171D2"/>
    <w:rsid w:val="00320E0D"/>
    <w:rsid w:val="00355DD8"/>
    <w:rsid w:val="003840C8"/>
    <w:rsid w:val="0038572D"/>
    <w:rsid w:val="003E0F0A"/>
    <w:rsid w:val="0046666A"/>
    <w:rsid w:val="00471077"/>
    <w:rsid w:val="004B2002"/>
    <w:rsid w:val="004F0831"/>
    <w:rsid w:val="005A2CCE"/>
    <w:rsid w:val="005A68C2"/>
    <w:rsid w:val="005F5655"/>
    <w:rsid w:val="006040FD"/>
    <w:rsid w:val="0063012F"/>
    <w:rsid w:val="006A6C13"/>
    <w:rsid w:val="006D0A79"/>
    <w:rsid w:val="006D61A0"/>
    <w:rsid w:val="006F349F"/>
    <w:rsid w:val="0073633C"/>
    <w:rsid w:val="00767315"/>
    <w:rsid w:val="00784A88"/>
    <w:rsid w:val="007A7702"/>
    <w:rsid w:val="007D16ED"/>
    <w:rsid w:val="00810AB7"/>
    <w:rsid w:val="00827934"/>
    <w:rsid w:val="008C73C0"/>
    <w:rsid w:val="00964D88"/>
    <w:rsid w:val="00984FBC"/>
    <w:rsid w:val="009B31FA"/>
    <w:rsid w:val="009F13CA"/>
    <w:rsid w:val="00A07EE5"/>
    <w:rsid w:val="00A5286C"/>
    <w:rsid w:val="00A83DC3"/>
    <w:rsid w:val="00AD30B0"/>
    <w:rsid w:val="00B15361"/>
    <w:rsid w:val="00B5102D"/>
    <w:rsid w:val="00B70EFC"/>
    <w:rsid w:val="00B72881"/>
    <w:rsid w:val="00BA1BAF"/>
    <w:rsid w:val="00BE17F8"/>
    <w:rsid w:val="00BF2E94"/>
    <w:rsid w:val="00C113CD"/>
    <w:rsid w:val="00D35A46"/>
    <w:rsid w:val="00D743C4"/>
    <w:rsid w:val="00D82997"/>
    <w:rsid w:val="00D8321A"/>
    <w:rsid w:val="00DB6C42"/>
    <w:rsid w:val="00DD3D99"/>
    <w:rsid w:val="00DF6322"/>
    <w:rsid w:val="00E0037E"/>
    <w:rsid w:val="00E34ACB"/>
    <w:rsid w:val="00EB4692"/>
    <w:rsid w:val="00EE0CE9"/>
    <w:rsid w:val="00EF438E"/>
    <w:rsid w:val="00F240AF"/>
    <w:rsid w:val="00F451F0"/>
    <w:rsid w:val="00F66FA8"/>
    <w:rsid w:val="00FF3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9F"/>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49F"/>
    <w:pPr>
      <w:ind w:left="720"/>
    </w:pPr>
  </w:style>
  <w:style w:type="character" w:styleId="CommentReference">
    <w:name w:val="annotation reference"/>
    <w:basedOn w:val="DefaultParagraphFont"/>
    <w:semiHidden/>
    <w:unhideWhenUsed/>
    <w:rsid w:val="006F349F"/>
    <w:rPr>
      <w:sz w:val="16"/>
      <w:szCs w:val="16"/>
    </w:rPr>
  </w:style>
  <w:style w:type="paragraph" w:styleId="CommentText">
    <w:name w:val="annotation text"/>
    <w:basedOn w:val="Normal"/>
    <w:link w:val="CommentTextChar"/>
    <w:semiHidden/>
    <w:unhideWhenUsed/>
    <w:rsid w:val="006F349F"/>
    <w:rPr>
      <w:sz w:val="20"/>
      <w:szCs w:val="20"/>
    </w:rPr>
  </w:style>
  <w:style w:type="character" w:customStyle="1" w:styleId="CommentTextChar">
    <w:name w:val="Comment Text Char"/>
    <w:basedOn w:val="DefaultParagraphFont"/>
    <w:link w:val="CommentText"/>
    <w:semiHidden/>
    <w:rsid w:val="006F349F"/>
    <w:rPr>
      <w:rFonts w:ascii="Calibri" w:eastAsia="Times New Roman" w:hAnsi="Calibri" w:cs="Times New Roman"/>
      <w:sz w:val="20"/>
      <w:szCs w:val="20"/>
    </w:rPr>
  </w:style>
  <w:style w:type="paragraph" w:styleId="Header">
    <w:name w:val="header"/>
    <w:basedOn w:val="Normal"/>
    <w:link w:val="HeaderChar"/>
    <w:uiPriority w:val="99"/>
    <w:unhideWhenUsed/>
    <w:rsid w:val="006F349F"/>
    <w:pPr>
      <w:tabs>
        <w:tab w:val="center" w:pos="4680"/>
        <w:tab w:val="right" w:pos="9360"/>
      </w:tabs>
    </w:pPr>
  </w:style>
  <w:style w:type="character" w:customStyle="1" w:styleId="HeaderChar">
    <w:name w:val="Header Char"/>
    <w:basedOn w:val="DefaultParagraphFont"/>
    <w:link w:val="Header"/>
    <w:uiPriority w:val="99"/>
    <w:rsid w:val="006F349F"/>
    <w:rPr>
      <w:rFonts w:ascii="Calibri" w:eastAsia="Times New Roman" w:hAnsi="Calibri" w:cs="Times New Roman"/>
    </w:rPr>
  </w:style>
  <w:style w:type="paragraph" w:styleId="Footer">
    <w:name w:val="footer"/>
    <w:basedOn w:val="Normal"/>
    <w:link w:val="FooterChar"/>
    <w:uiPriority w:val="99"/>
    <w:unhideWhenUsed/>
    <w:rsid w:val="006F349F"/>
    <w:pPr>
      <w:tabs>
        <w:tab w:val="center" w:pos="4680"/>
        <w:tab w:val="right" w:pos="9360"/>
      </w:tabs>
    </w:pPr>
  </w:style>
  <w:style w:type="character" w:customStyle="1" w:styleId="FooterChar">
    <w:name w:val="Footer Char"/>
    <w:basedOn w:val="DefaultParagraphFont"/>
    <w:link w:val="Footer"/>
    <w:uiPriority w:val="99"/>
    <w:rsid w:val="006F349F"/>
    <w:rPr>
      <w:rFonts w:ascii="Calibri" w:eastAsia="Times New Roman" w:hAnsi="Calibri" w:cs="Times New Roman"/>
    </w:rPr>
  </w:style>
  <w:style w:type="paragraph" w:styleId="BalloonText">
    <w:name w:val="Balloon Text"/>
    <w:basedOn w:val="Normal"/>
    <w:link w:val="BalloonTextChar"/>
    <w:uiPriority w:val="99"/>
    <w:semiHidden/>
    <w:unhideWhenUsed/>
    <w:rsid w:val="006F3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9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F349F"/>
    <w:rPr>
      <w:sz w:val="20"/>
      <w:szCs w:val="20"/>
    </w:rPr>
  </w:style>
  <w:style w:type="character" w:customStyle="1" w:styleId="FootnoteTextChar">
    <w:name w:val="Footnote Text Char"/>
    <w:basedOn w:val="DefaultParagraphFont"/>
    <w:link w:val="FootnoteText"/>
    <w:uiPriority w:val="99"/>
    <w:semiHidden/>
    <w:rsid w:val="006F349F"/>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F349F"/>
    <w:rPr>
      <w:vertAlign w:val="superscript"/>
    </w:rPr>
  </w:style>
  <w:style w:type="paragraph" w:customStyle="1" w:styleId="Default">
    <w:name w:val="Default"/>
    <w:rsid w:val="006F349F"/>
    <w:pPr>
      <w:autoSpaceDE w:val="0"/>
      <w:autoSpaceDN w:val="0"/>
      <w:adjustRightInd w:val="0"/>
    </w:pPr>
    <w:rPr>
      <w:rFonts w:ascii="Garamond" w:hAnsi="Garamond" w:cs="Garamond"/>
      <w:color w:val="000000"/>
      <w:sz w:val="24"/>
      <w:szCs w:val="24"/>
    </w:rPr>
  </w:style>
  <w:style w:type="paragraph" w:styleId="EndnoteText">
    <w:name w:val="endnote text"/>
    <w:basedOn w:val="Normal"/>
    <w:link w:val="EndnoteTextChar"/>
    <w:uiPriority w:val="99"/>
    <w:semiHidden/>
    <w:unhideWhenUsed/>
    <w:rsid w:val="006F349F"/>
    <w:rPr>
      <w:sz w:val="20"/>
      <w:szCs w:val="20"/>
    </w:rPr>
  </w:style>
  <w:style w:type="character" w:customStyle="1" w:styleId="EndnoteTextChar">
    <w:name w:val="Endnote Text Char"/>
    <w:basedOn w:val="DefaultParagraphFont"/>
    <w:link w:val="EndnoteText"/>
    <w:uiPriority w:val="99"/>
    <w:semiHidden/>
    <w:rsid w:val="006F349F"/>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6F349F"/>
    <w:rPr>
      <w:vertAlign w:val="superscript"/>
    </w:rPr>
  </w:style>
  <w:style w:type="paragraph" w:styleId="CommentSubject">
    <w:name w:val="annotation subject"/>
    <w:basedOn w:val="CommentText"/>
    <w:next w:val="CommentText"/>
    <w:link w:val="CommentSubjectChar"/>
    <w:uiPriority w:val="99"/>
    <w:semiHidden/>
    <w:unhideWhenUsed/>
    <w:rsid w:val="00EB4692"/>
    <w:rPr>
      <w:b/>
      <w:bCs/>
    </w:rPr>
  </w:style>
  <w:style w:type="character" w:customStyle="1" w:styleId="CommentSubjectChar">
    <w:name w:val="Comment Subject Char"/>
    <w:basedOn w:val="CommentTextChar"/>
    <w:link w:val="CommentSubject"/>
    <w:uiPriority w:val="99"/>
    <w:semiHidden/>
    <w:rsid w:val="00EB4692"/>
    <w:rPr>
      <w:b/>
      <w:bCs/>
    </w:rPr>
  </w:style>
  <w:style w:type="paragraph" w:styleId="Revision">
    <w:name w:val="Revision"/>
    <w:hidden/>
    <w:uiPriority w:val="99"/>
    <w:semiHidden/>
    <w:rsid w:val="006D61A0"/>
    <w:rPr>
      <w:rFonts w:eastAsia="Times New Roman"/>
      <w:sz w:val="22"/>
      <w:szCs w:val="22"/>
    </w:rPr>
  </w:style>
  <w:style w:type="character" w:styleId="Hyperlink">
    <w:name w:val="Hyperlink"/>
    <w:basedOn w:val="DefaultParagraphFont"/>
    <w:uiPriority w:val="99"/>
    <w:semiHidden/>
    <w:unhideWhenUsed/>
    <w:rsid w:val="00F66F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E1CF-F5BB-41C9-AB0D-9E874D29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Melissa Siry</cp:lastModifiedBy>
  <cp:revision>2</cp:revision>
  <cp:lastPrinted>2011-02-07T18:59:00Z</cp:lastPrinted>
  <dcterms:created xsi:type="dcterms:W3CDTF">2011-02-08T15:29:00Z</dcterms:created>
  <dcterms:modified xsi:type="dcterms:W3CDTF">2011-02-08T15:29:00Z</dcterms:modified>
</cp:coreProperties>
</file>